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0B5EB" w14:textId="77777777" w:rsidR="005158B1" w:rsidRPr="00170B6C" w:rsidRDefault="005158B1" w:rsidP="00A05AB6">
      <w:pPr>
        <w:numPr>
          <w:ilvl w:val="0"/>
          <w:numId w:val="1"/>
        </w:numPr>
        <w:tabs>
          <w:tab w:val="left" w:pos="567"/>
        </w:tabs>
        <w:spacing w:after="0" w:line="240" w:lineRule="auto"/>
        <w:contextualSpacing/>
        <w:rPr>
          <w:rFonts w:ascii="Calibri" w:eastAsia="Calibri" w:hAnsi="Calibri" w:cs="Times New Roman"/>
          <w:b/>
          <w:sz w:val="24"/>
        </w:rPr>
      </w:pPr>
      <w:r w:rsidRPr="00170B6C">
        <w:rPr>
          <w:rFonts w:ascii="Calibri" w:eastAsia="Calibri" w:hAnsi="Calibri" w:cs="Times New Roman"/>
          <w:b/>
          <w:sz w:val="24"/>
        </w:rPr>
        <w:t>Glossary of terms</w:t>
      </w:r>
    </w:p>
    <w:p w14:paraId="09D4DD12" w14:textId="35E5BDFD" w:rsidR="00B6069E" w:rsidRPr="00B6069E" w:rsidRDefault="00B6069E" w:rsidP="00A21117">
      <w:pPr>
        <w:spacing w:after="0" w:line="240" w:lineRule="auto"/>
        <w:ind w:left="426"/>
        <w:rPr>
          <w:rFonts w:eastAsia="Calibri" w:cstheme="minorHAnsi"/>
        </w:rPr>
      </w:pPr>
      <w:bookmarkStart w:id="0" w:name="_Hlk58241171"/>
      <w:r w:rsidRPr="00B6069E">
        <w:rPr>
          <w:rFonts w:eastAsia="Calibri" w:cstheme="minorHAnsi"/>
          <w:b/>
          <w:bCs/>
          <w:i/>
          <w:iCs/>
        </w:rPr>
        <w:t>Cool Box: </w:t>
      </w:r>
      <w:r w:rsidRPr="00B6069E">
        <w:rPr>
          <w:rFonts w:eastAsia="Calibri" w:cstheme="minorHAnsi"/>
        </w:rPr>
        <w:t>Validated medical grade cool boxes and cool packs from a recognised medical supply company, used in conjunction with validated maximum–minimum thermometers.  If the cool box is intended to be used for storage with repeated removal of vaccines, the cool box validation must take this into account.</w:t>
      </w:r>
    </w:p>
    <w:p w14:paraId="39FE0389" w14:textId="77777777" w:rsidR="00EA5F3B" w:rsidRPr="00EA5F3B" w:rsidRDefault="00EA5F3B" w:rsidP="00EA5F3B">
      <w:pPr>
        <w:spacing w:after="0" w:line="240" w:lineRule="auto"/>
        <w:ind w:left="426"/>
        <w:rPr>
          <w:rFonts w:eastAsia="Calibri" w:cstheme="minorHAnsi"/>
        </w:rPr>
      </w:pPr>
      <w:r w:rsidRPr="00EA5F3B">
        <w:rPr>
          <w:rFonts w:eastAsia="Calibri" w:cstheme="minorHAnsi"/>
          <w:b/>
          <w:bCs/>
          <w:i/>
          <w:iCs/>
        </w:rPr>
        <w:t xml:space="preserve">End user location: </w:t>
      </w:r>
      <w:r w:rsidRPr="00EA5F3B">
        <w:rPr>
          <w:rFonts w:eastAsia="Calibri" w:cstheme="minorHAnsi"/>
        </w:rPr>
        <w:t>A location within the same PCN geography where the administration of vaccine takes place e.g. care home</w:t>
      </w:r>
    </w:p>
    <w:p w14:paraId="44F2DA25" w14:textId="6ED8AF95" w:rsidR="00A21117" w:rsidRPr="00534AD4" w:rsidRDefault="00A21117" w:rsidP="00A21117">
      <w:pPr>
        <w:spacing w:after="0" w:line="240" w:lineRule="auto"/>
        <w:ind w:left="426"/>
        <w:rPr>
          <w:rFonts w:eastAsia="Calibri" w:cstheme="minorHAnsi"/>
          <w:i/>
          <w:iCs/>
        </w:rPr>
      </w:pPr>
      <w:r w:rsidRPr="00534AD4">
        <w:rPr>
          <w:rFonts w:eastAsia="Calibri" w:cstheme="minorHAnsi"/>
          <w:b/>
          <w:bCs/>
          <w:i/>
          <w:iCs/>
        </w:rPr>
        <w:t>Foundry:</w:t>
      </w:r>
      <w:r w:rsidRPr="00534AD4">
        <w:rPr>
          <w:rFonts w:eastAsia="Calibri" w:cstheme="minorHAnsi"/>
          <w:i/>
          <w:iCs/>
        </w:rPr>
        <w:t xml:space="preserve"> </w:t>
      </w:r>
      <w:r w:rsidRPr="00534AD4">
        <w:rPr>
          <w:rFonts w:eastAsia="Times New Roman"/>
        </w:rPr>
        <w:t>a web-based stock control system that is used at PCN Designated Site.</w:t>
      </w:r>
    </w:p>
    <w:p w14:paraId="33A78A65" w14:textId="77777777" w:rsidR="00A21117" w:rsidRPr="0032102A" w:rsidRDefault="00A21117" w:rsidP="00A21117">
      <w:pPr>
        <w:spacing w:after="0" w:line="240" w:lineRule="auto"/>
        <w:ind w:left="426"/>
        <w:rPr>
          <w:rFonts w:ascii="Calibri" w:eastAsia="Calibri" w:hAnsi="Calibri" w:cs="Calibri"/>
          <w:i/>
          <w:iCs/>
        </w:rPr>
      </w:pPr>
      <w:r w:rsidRPr="0032102A">
        <w:rPr>
          <w:rFonts w:ascii="Calibri" w:eastAsia="Calibri" w:hAnsi="Calibri" w:cs="Arial"/>
          <w:b/>
          <w:bCs/>
          <w:i/>
          <w:iCs/>
        </w:rPr>
        <w:t>Lead GP:</w:t>
      </w:r>
      <w:r w:rsidRPr="0032102A">
        <w:rPr>
          <w:rFonts w:ascii="Calibri" w:eastAsia="Calibri" w:hAnsi="Calibri" w:cs="Arial"/>
          <w:i/>
          <w:iCs/>
        </w:rPr>
        <w:t xml:space="preserve"> </w:t>
      </w:r>
      <w:r w:rsidRPr="0032102A">
        <w:rPr>
          <w:rFonts w:ascii="Calibri" w:eastAsia="Calibri" w:hAnsi="Calibri" w:cs="Arial"/>
        </w:rPr>
        <w:t xml:space="preserve">Lead doctor at the PCN Designated Site responsible for the </w:t>
      </w:r>
      <w:r w:rsidRPr="0032102A">
        <w:rPr>
          <w:rFonts w:ascii="Calibri" w:eastAsia="Calibri" w:hAnsi="Calibri" w:cs="Times New Roman"/>
        </w:rPr>
        <w:t xml:space="preserve">safe and secure handling and management of medicines within </w:t>
      </w:r>
      <w:r w:rsidRPr="0032102A">
        <w:rPr>
          <w:rFonts w:ascii="Calibri" w:eastAsia="Calibri" w:hAnsi="Calibri" w:cs="Arial"/>
        </w:rPr>
        <w:t>the site.</w:t>
      </w:r>
    </w:p>
    <w:p w14:paraId="3D750D13" w14:textId="77777777" w:rsidR="00A21117" w:rsidRPr="00A716FD" w:rsidRDefault="00A21117" w:rsidP="00A21117">
      <w:pPr>
        <w:spacing w:after="0" w:line="240" w:lineRule="auto"/>
        <w:ind w:left="426"/>
        <w:rPr>
          <w:rFonts w:ascii="Calibri" w:eastAsia="Calibri" w:hAnsi="Calibri" w:cs="Calibri"/>
        </w:rPr>
      </w:pPr>
      <w:r w:rsidRPr="00A716FD">
        <w:rPr>
          <w:rFonts w:ascii="Calibri" w:eastAsia="Calibri" w:hAnsi="Calibri" w:cs="Times New Roman"/>
          <w:b/>
          <w:i/>
          <w:iCs/>
        </w:rPr>
        <w:t>Nominated Responsible Person:</w:t>
      </w:r>
      <w:r w:rsidRPr="00A716FD">
        <w:rPr>
          <w:rFonts w:ascii="Calibri" w:eastAsia="Calibri" w:hAnsi="Calibri" w:cs="Times New Roman"/>
          <w:bCs/>
        </w:rPr>
        <w:t xml:space="preserve"> </w:t>
      </w:r>
      <w:r w:rsidRPr="00A716FD">
        <w:rPr>
          <w:rFonts w:ascii="Calibri" w:eastAsia="Calibri" w:hAnsi="Calibri" w:cs="Calibri"/>
        </w:rPr>
        <w:t xml:space="preserve">named and suitably trained team member at each vaccination site who has been delegated operational responsibility for oversight of ordering, receipt, storage and safe handling of vaccines and medicines by the </w:t>
      </w:r>
      <w:r>
        <w:rPr>
          <w:rFonts w:ascii="Calibri" w:eastAsia="Calibri" w:hAnsi="Calibri" w:cs="Calibri"/>
        </w:rPr>
        <w:t>Lead GP</w:t>
      </w:r>
      <w:r w:rsidRPr="00A716FD">
        <w:rPr>
          <w:rFonts w:ascii="Calibri" w:eastAsia="Calibri" w:hAnsi="Calibri" w:cs="Calibri"/>
        </w:rPr>
        <w:t xml:space="preserve"> aided by the Primary Care Lead Pharmacist.</w:t>
      </w:r>
    </w:p>
    <w:p w14:paraId="4E835736" w14:textId="77777777" w:rsidR="00A21117" w:rsidRPr="00702B63" w:rsidRDefault="00A21117" w:rsidP="00A21117">
      <w:pPr>
        <w:spacing w:after="0" w:line="240" w:lineRule="auto"/>
        <w:ind w:left="426"/>
        <w:rPr>
          <w:rFonts w:eastAsia="Calibri" w:cstheme="minorHAnsi"/>
        </w:rPr>
      </w:pPr>
      <w:r w:rsidRPr="00D97FF9">
        <w:rPr>
          <w:rFonts w:eastAsia="Calibri" w:cstheme="minorHAnsi"/>
          <w:b/>
          <w:bCs/>
          <w:i/>
          <w:iCs/>
        </w:rPr>
        <w:t>PCN Designated Site:</w:t>
      </w:r>
      <w:r w:rsidRPr="00702B63">
        <w:rPr>
          <w:rFonts w:eastAsia="Calibri" w:cstheme="minorHAnsi"/>
        </w:rPr>
        <w:t xml:space="preserve"> An approved </w:t>
      </w:r>
      <w:r w:rsidRPr="00702B63">
        <w:rPr>
          <w:rFonts w:cstheme="minorHAnsi"/>
        </w:rPr>
        <w:t xml:space="preserve">local vaccination site that meets the core requirements for </w:t>
      </w:r>
      <w:r>
        <w:rPr>
          <w:rFonts w:eastAsia="Calibri" w:cs="Arial"/>
        </w:rPr>
        <w:t xml:space="preserve">COVID-19 </w:t>
      </w:r>
      <w:r w:rsidRPr="00702B63">
        <w:rPr>
          <w:rFonts w:cstheme="minorHAnsi"/>
        </w:rPr>
        <w:t>vaccination according to the Enhanced Service Specification.</w:t>
      </w:r>
    </w:p>
    <w:p w14:paraId="1FB58D22" w14:textId="77777777" w:rsidR="00A21117" w:rsidRPr="00A716FD" w:rsidRDefault="00A21117" w:rsidP="00A21117">
      <w:pPr>
        <w:spacing w:after="0" w:line="240" w:lineRule="auto"/>
        <w:ind w:left="426"/>
        <w:rPr>
          <w:rFonts w:ascii="Calibri" w:eastAsia="Calibri" w:hAnsi="Calibri" w:cs="Times New Roman"/>
          <w:bCs/>
        </w:rPr>
      </w:pPr>
      <w:r w:rsidRPr="00A716FD">
        <w:rPr>
          <w:rFonts w:eastAsia="Calibri" w:cstheme="minorHAnsi"/>
          <w:b/>
          <w:bCs/>
          <w:i/>
          <w:iCs/>
        </w:rPr>
        <w:t>Primary</w:t>
      </w:r>
      <w:r w:rsidRPr="00A716FD">
        <w:rPr>
          <w:rFonts w:ascii="Calibri" w:eastAsia="Calibri" w:hAnsi="Calibri" w:cs="Calibri"/>
          <w:b/>
          <w:bCs/>
          <w:i/>
          <w:iCs/>
        </w:rPr>
        <w:t xml:space="preserve"> Care Lead Pharmacist: </w:t>
      </w:r>
      <w:r w:rsidRPr="00A716FD">
        <w:rPr>
          <w:rFonts w:ascii="Calibri" w:eastAsia="Calibri" w:hAnsi="Calibri" w:cs="Times New Roman"/>
          <w:bCs/>
        </w:rPr>
        <w:t xml:space="preserve">the pharmacist lead for a locality in primary care, as agreed by the Regional Chief Pharmacist and often being the CCG lead pharmacist, who is responsible for supporting the </w:t>
      </w:r>
      <w:r>
        <w:rPr>
          <w:rFonts w:ascii="Calibri" w:eastAsia="Calibri" w:hAnsi="Calibri" w:cs="Times New Roman"/>
          <w:bCs/>
        </w:rPr>
        <w:t>Lead GP</w:t>
      </w:r>
      <w:r w:rsidRPr="00A716FD">
        <w:rPr>
          <w:rFonts w:ascii="Calibri" w:eastAsia="Calibri" w:hAnsi="Calibri" w:cs="Times New Roman"/>
          <w:bCs/>
        </w:rPr>
        <w:t xml:space="preserve"> to deliver the governance requirements.</w:t>
      </w:r>
    </w:p>
    <w:p w14:paraId="12F41504" w14:textId="77777777" w:rsidR="00A21117" w:rsidRPr="00702B63" w:rsidRDefault="00A21117" w:rsidP="00A21117">
      <w:pPr>
        <w:spacing w:after="0" w:line="240" w:lineRule="auto"/>
        <w:ind w:left="426"/>
        <w:rPr>
          <w:rFonts w:eastAsia="Calibri" w:cstheme="minorHAnsi"/>
        </w:rPr>
      </w:pPr>
      <w:r w:rsidRPr="00D97FF9">
        <w:rPr>
          <w:rFonts w:eastAsia="Calibri" w:cstheme="minorHAnsi"/>
          <w:b/>
          <w:bCs/>
          <w:i/>
          <w:iCs/>
        </w:rPr>
        <w:t>Suitably trained members of staff:</w:t>
      </w:r>
      <w:r>
        <w:rPr>
          <w:rFonts w:eastAsia="Calibri" w:cstheme="minorHAnsi"/>
        </w:rPr>
        <w:t xml:space="preserve"> Staff that have completed the requisite national training and been assessed as competent to undertake the task.</w:t>
      </w:r>
    </w:p>
    <w:bookmarkEnd w:id="0"/>
    <w:p w14:paraId="0A1C1BE3" w14:textId="77777777" w:rsidR="005158B1" w:rsidRDefault="005158B1" w:rsidP="005158B1">
      <w:pPr>
        <w:pStyle w:val="ListParagraph"/>
        <w:spacing w:line="240" w:lineRule="auto"/>
        <w:ind w:left="360"/>
        <w:rPr>
          <w:b/>
          <w:sz w:val="24"/>
        </w:rPr>
      </w:pPr>
    </w:p>
    <w:p w14:paraId="39EC13BE" w14:textId="22EA1B0A" w:rsidR="00FB3CF9" w:rsidRDefault="00FB3CF9" w:rsidP="00A05AB6">
      <w:pPr>
        <w:pStyle w:val="ListParagraph"/>
        <w:numPr>
          <w:ilvl w:val="0"/>
          <w:numId w:val="1"/>
        </w:numPr>
        <w:spacing w:line="240" w:lineRule="auto"/>
        <w:rPr>
          <w:b/>
          <w:sz w:val="24"/>
        </w:rPr>
      </w:pPr>
      <w:r w:rsidRPr="00551917">
        <w:rPr>
          <w:b/>
          <w:sz w:val="24"/>
        </w:rPr>
        <w:t>P</w:t>
      </w:r>
      <w:r w:rsidR="00906243">
        <w:rPr>
          <w:b/>
          <w:sz w:val="24"/>
        </w:rPr>
        <w:t>urpose</w:t>
      </w:r>
    </w:p>
    <w:p w14:paraId="672A6659" w14:textId="77777777" w:rsidR="000D7935" w:rsidRDefault="000D7935" w:rsidP="000E3A5F">
      <w:pPr>
        <w:spacing w:after="0" w:line="240" w:lineRule="auto"/>
        <w:ind w:left="426"/>
      </w:pPr>
    </w:p>
    <w:p w14:paraId="0A37501D" w14:textId="2FF4A7EC" w:rsidR="00620E1B" w:rsidRPr="00620E1B" w:rsidRDefault="00283DBF" w:rsidP="004E684E">
      <w:pPr>
        <w:ind w:left="360"/>
      </w:pPr>
      <w:r>
        <w:t xml:space="preserve">This SOP describes the process for </w:t>
      </w:r>
      <w:r w:rsidR="00591D35">
        <w:t>preparation of r</w:t>
      </w:r>
      <w:r w:rsidR="00C81746">
        <w:t xml:space="preserve">eady to administer syringes of </w:t>
      </w:r>
      <w:r w:rsidR="00C464C1" w:rsidRPr="00C464C1">
        <w:rPr>
          <w:rFonts w:eastAsia="Times New Roman" w:cstheme="minorHAnsi"/>
          <w:lang w:eastAsia="en-GB"/>
        </w:rPr>
        <w:t>AstraZeneca COVID-19 Vaccine (ChAdOx1 S [recombinant])</w:t>
      </w:r>
      <w:r w:rsidR="004B72F3">
        <w:rPr>
          <w:rFonts w:eastAsia="Times New Roman" w:cstheme="minorHAnsi"/>
          <w:lang w:eastAsia="en-GB"/>
        </w:rPr>
        <w:t xml:space="preserve"> </w:t>
      </w:r>
      <w:r w:rsidR="00636498">
        <w:t>prior to immediate administration.</w:t>
      </w:r>
    </w:p>
    <w:p w14:paraId="56DABE0D" w14:textId="77777777" w:rsidR="00FB3CF9" w:rsidRDefault="00906243" w:rsidP="00A05AB6">
      <w:pPr>
        <w:pStyle w:val="ListParagraph"/>
        <w:numPr>
          <w:ilvl w:val="0"/>
          <w:numId w:val="1"/>
        </w:numPr>
        <w:spacing w:line="240" w:lineRule="auto"/>
        <w:rPr>
          <w:b/>
          <w:sz w:val="24"/>
        </w:rPr>
      </w:pPr>
      <w:r>
        <w:rPr>
          <w:b/>
          <w:sz w:val="24"/>
        </w:rPr>
        <w:t>S</w:t>
      </w:r>
      <w:r w:rsidR="00FB3CF9" w:rsidRPr="00551917">
        <w:rPr>
          <w:b/>
          <w:sz w:val="24"/>
        </w:rPr>
        <w:t>cope</w:t>
      </w:r>
    </w:p>
    <w:p w14:paraId="5A74D19E" w14:textId="77777777" w:rsidR="00C464C1" w:rsidRDefault="00C464C1" w:rsidP="00C464C1">
      <w:pPr>
        <w:spacing w:after="0" w:line="240" w:lineRule="auto"/>
        <w:rPr>
          <w:rFonts w:eastAsia="Times New Roman" w:cstheme="minorHAnsi"/>
          <w:lang w:eastAsia="en-GB"/>
        </w:rPr>
      </w:pPr>
    </w:p>
    <w:p w14:paraId="765F1E33" w14:textId="0883AB87" w:rsidR="00BD5EBB" w:rsidRDefault="00C464C1" w:rsidP="001100D1">
      <w:pPr>
        <w:spacing w:after="0" w:line="240" w:lineRule="auto"/>
        <w:ind w:left="360"/>
        <w:rPr>
          <w:rFonts w:eastAsia="Times New Roman" w:cstheme="minorHAnsi"/>
          <w:lang w:eastAsia="en-GB"/>
        </w:rPr>
      </w:pPr>
      <w:r w:rsidRPr="00C464C1">
        <w:rPr>
          <w:rFonts w:eastAsia="Times New Roman" w:cstheme="minorHAnsi"/>
          <w:lang w:eastAsia="en-GB"/>
        </w:rPr>
        <w:t xml:space="preserve">This procedure covers the process from the removal of vials of </w:t>
      </w:r>
      <w:r>
        <w:rPr>
          <w:rFonts w:eastAsia="Times New Roman" w:cstheme="minorHAnsi"/>
          <w:lang w:eastAsia="en-GB"/>
        </w:rPr>
        <w:t>v</w:t>
      </w:r>
      <w:r w:rsidRPr="008F3798">
        <w:rPr>
          <w:rFonts w:eastAsia="Times New Roman" w:cstheme="minorHAnsi"/>
          <w:lang w:eastAsia="en-GB"/>
        </w:rPr>
        <w:t>accine</w:t>
      </w:r>
      <w:r>
        <w:rPr>
          <w:rFonts w:eastAsia="Times New Roman" w:cstheme="minorHAnsi"/>
          <w:lang w:eastAsia="en-GB"/>
        </w:rPr>
        <w:t xml:space="preserve"> </w:t>
      </w:r>
      <w:r w:rsidRPr="00C464C1">
        <w:rPr>
          <w:rFonts w:eastAsia="Times New Roman" w:cstheme="minorHAnsi"/>
          <w:lang w:eastAsia="en-GB"/>
        </w:rPr>
        <w:t xml:space="preserve">from the outer carton in the refrigerator </w:t>
      </w:r>
      <w:r>
        <w:rPr>
          <w:rFonts w:eastAsia="Times New Roman" w:cstheme="minorHAnsi"/>
          <w:lang w:eastAsia="en-GB"/>
        </w:rPr>
        <w:t xml:space="preserve">or cool box up </w:t>
      </w:r>
      <w:r w:rsidRPr="00C464C1">
        <w:rPr>
          <w:rFonts w:eastAsia="Times New Roman" w:cstheme="minorHAnsi"/>
          <w:lang w:eastAsia="en-GB"/>
        </w:rPr>
        <w:t>until the point of administration</w:t>
      </w:r>
      <w:r w:rsidRPr="00426040">
        <w:rPr>
          <w:rFonts w:eastAsia="Times New Roman" w:cstheme="minorHAnsi"/>
          <w:lang w:eastAsia="en-GB"/>
        </w:rPr>
        <w:t xml:space="preserve">. This includes </w:t>
      </w:r>
      <w:r w:rsidR="00426040" w:rsidRPr="00426040">
        <w:rPr>
          <w:rFonts w:eastAsia="Times New Roman" w:cstheme="minorHAnsi"/>
          <w:lang w:eastAsia="en-GB"/>
        </w:rPr>
        <w:t>the preparation of syringes for administration and</w:t>
      </w:r>
      <w:r w:rsidR="00426040">
        <w:rPr>
          <w:rFonts w:eastAsia="Times New Roman" w:cstheme="minorHAnsi"/>
          <w:lang w:eastAsia="en-GB"/>
        </w:rPr>
        <w:t xml:space="preserve"> </w:t>
      </w:r>
      <w:r w:rsidRPr="00426040">
        <w:rPr>
          <w:rFonts w:eastAsia="Times New Roman" w:cstheme="minorHAnsi"/>
          <w:lang w:eastAsia="en-GB"/>
        </w:rPr>
        <w:t xml:space="preserve">assigning an expiry date and time after </w:t>
      </w:r>
      <w:r w:rsidR="00426040">
        <w:rPr>
          <w:rFonts w:eastAsia="Times New Roman" w:cstheme="minorHAnsi"/>
          <w:lang w:eastAsia="en-GB"/>
        </w:rPr>
        <w:t>the</w:t>
      </w:r>
      <w:r w:rsidR="006E6B6F" w:rsidRPr="00426040">
        <w:rPr>
          <w:rFonts w:eastAsia="Times New Roman" w:cstheme="minorHAnsi"/>
          <w:lang w:eastAsia="en-GB"/>
        </w:rPr>
        <w:t xml:space="preserve"> </w:t>
      </w:r>
      <w:r w:rsidRPr="00426040">
        <w:rPr>
          <w:rFonts w:eastAsia="Times New Roman" w:cstheme="minorHAnsi"/>
          <w:lang w:eastAsia="en-GB"/>
        </w:rPr>
        <w:t xml:space="preserve">first </w:t>
      </w:r>
      <w:r w:rsidR="00426040" w:rsidRPr="00426040">
        <w:rPr>
          <w:rFonts w:eastAsia="Times New Roman" w:cstheme="minorHAnsi"/>
          <w:lang w:eastAsia="en-GB"/>
        </w:rPr>
        <w:t>dose withdrawal</w:t>
      </w:r>
      <w:r w:rsidR="00426040">
        <w:rPr>
          <w:rFonts w:eastAsia="Times New Roman" w:cstheme="minorHAnsi"/>
          <w:lang w:eastAsia="en-GB"/>
        </w:rPr>
        <w:t>.</w:t>
      </w:r>
    </w:p>
    <w:p w14:paraId="530487AC" w14:textId="77777777" w:rsidR="00426040" w:rsidRDefault="00426040" w:rsidP="001100D1">
      <w:pPr>
        <w:spacing w:after="0" w:line="240" w:lineRule="auto"/>
        <w:ind w:left="360"/>
        <w:rPr>
          <w:rFonts w:eastAsia="Times New Roman" w:cstheme="minorHAnsi"/>
          <w:lang w:eastAsia="en-GB"/>
        </w:rPr>
      </w:pPr>
    </w:p>
    <w:p w14:paraId="3A168BDB" w14:textId="0FFF9259" w:rsidR="00BD5EBB" w:rsidRDefault="00BD5EBB" w:rsidP="001100D1">
      <w:pPr>
        <w:spacing w:after="0" w:line="240" w:lineRule="auto"/>
        <w:ind w:left="360"/>
        <w:rPr>
          <w:rFonts w:eastAsia="Times New Roman" w:cstheme="minorHAnsi"/>
          <w:lang w:eastAsia="en-GB"/>
        </w:rPr>
      </w:pPr>
      <w:r>
        <w:rPr>
          <w:rFonts w:eastAsia="Times New Roman" w:cstheme="minorHAnsi"/>
          <w:lang w:eastAsia="en-GB"/>
        </w:rPr>
        <w:t xml:space="preserve">This procedure </w:t>
      </w:r>
      <w:r w:rsidR="00B569B9">
        <w:rPr>
          <w:rFonts w:eastAsia="Times New Roman" w:cstheme="minorHAnsi"/>
          <w:lang w:eastAsia="en-GB"/>
        </w:rPr>
        <w:t>may be adapted to suit either of the following models:</w:t>
      </w:r>
    </w:p>
    <w:p w14:paraId="0AD1920B" w14:textId="4B9B396E" w:rsidR="00133EA5" w:rsidRDefault="00133EA5" w:rsidP="00E05790">
      <w:pPr>
        <w:pStyle w:val="ListParagraph"/>
        <w:numPr>
          <w:ilvl w:val="0"/>
          <w:numId w:val="4"/>
        </w:numPr>
        <w:spacing w:line="240" w:lineRule="auto"/>
      </w:pPr>
      <w:r w:rsidRPr="00E05790">
        <w:t>One person performing the entire process. If</w:t>
      </w:r>
      <w:r>
        <w:t xml:space="preserve"> the vaccine is </w:t>
      </w:r>
      <w:r w:rsidRPr="00BB26AA">
        <w:t>being administer</w:t>
      </w:r>
      <w:r w:rsidR="000C08C0" w:rsidRPr="00BB26AA">
        <w:t>ed</w:t>
      </w:r>
      <w:r w:rsidRPr="00BB26AA">
        <w:t xml:space="preserve"> under </w:t>
      </w:r>
      <w:r>
        <w:t xml:space="preserve">the national </w:t>
      </w:r>
      <w:r w:rsidR="007C7CBD">
        <w:t>Patient Group Direction (</w:t>
      </w:r>
      <w:r>
        <w:t>PGD</w:t>
      </w:r>
      <w:r w:rsidR="007C7CBD">
        <w:t>)</w:t>
      </w:r>
      <w:r>
        <w:t xml:space="preserve"> the same healthcare professional must</w:t>
      </w:r>
      <w:r w:rsidR="00E05790">
        <w:t xml:space="preserve">, </w:t>
      </w:r>
      <w:r w:rsidR="00E05790" w:rsidRPr="00E05790">
        <w:t>for each individual receiving the vaccine</w:t>
      </w:r>
      <w:r w:rsidR="00E05790">
        <w:t>,</w:t>
      </w:r>
      <w:r>
        <w:t xml:space="preserve"> undertake </w:t>
      </w:r>
      <w:r w:rsidR="00E05790" w:rsidRPr="00E05790">
        <w:t xml:space="preserve">all stages of the </w:t>
      </w:r>
      <w:r>
        <w:t>process including administration of the vaccine</w:t>
      </w:r>
      <w:r w:rsidR="007C7CBD">
        <w:t xml:space="preserve">.  </w:t>
      </w:r>
      <w:r w:rsidR="007C7CBD" w:rsidRPr="008C5A64">
        <w:t xml:space="preserve">See section </w:t>
      </w:r>
      <w:r w:rsidR="008C5A64">
        <w:t>8.1</w:t>
      </w:r>
      <w:r w:rsidR="007C7CBD">
        <w:t xml:space="preserve"> for more details on</w:t>
      </w:r>
      <w:r w:rsidR="007C7CBD" w:rsidRPr="007C7CBD">
        <w:t xml:space="preserve"> working under a PGD</w:t>
      </w:r>
      <w:r w:rsidR="000C2F3D">
        <w:t>.</w:t>
      </w:r>
    </w:p>
    <w:p w14:paraId="003F3E21" w14:textId="70BCCA37" w:rsidR="00B569B9" w:rsidRDefault="00B569B9" w:rsidP="00A05AB6">
      <w:pPr>
        <w:pStyle w:val="ListParagraph"/>
        <w:numPr>
          <w:ilvl w:val="0"/>
          <w:numId w:val="4"/>
        </w:numPr>
        <w:spacing w:line="240" w:lineRule="auto"/>
      </w:pPr>
      <w:r>
        <w:t xml:space="preserve">One person drawing up individual doses into syringes and passing the syringe to the vaccinator. </w:t>
      </w:r>
      <w:r w:rsidR="00E05790">
        <w:t>The national protocol</w:t>
      </w:r>
      <w:r w:rsidR="00133EA5">
        <w:t xml:space="preserve"> allow</w:t>
      </w:r>
      <w:r w:rsidR="00E05790">
        <w:t>s</w:t>
      </w:r>
      <w:r w:rsidR="00133EA5">
        <w:t xml:space="preserve"> this model. </w:t>
      </w:r>
      <w:r>
        <w:t>This model requires additional local risk assessment, and the introduction of local controls to</w:t>
      </w:r>
      <w:r w:rsidR="006C3240">
        <w:t xml:space="preserve"> reduce</w:t>
      </w:r>
      <w:r>
        <w:t xml:space="preserve"> the risk of needle stick injuries</w:t>
      </w:r>
      <w:r w:rsidR="006C3240">
        <w:t xml:space="preserve"> on transfer between individuals</w:t>
      </w:r>
      <w:r>
        <w:t>.</w:t>
      </w:r>
    </w:p>
    <w:p w14:paraId="02EB378F" w14:textId="77777777" w:rsidR="00620E1B" w:rsidRPr="00620E1B" w:rsidRDefault="00620E1B" w:rsidP="000E3A5F">
      <w:pPr>
        <w:spacing w:after="0" w:line="240" w:lineRule="auto"/>
        <w:ind w:left="426"/>
      </w:pPr>
    </w:p>
    <w:p w14:paraId="0719A626" w14:textId="77777777" w:rsidR="00A361CB" w:rsidRPr="00006F95" w:rsidRDefault="00906243" w:rsidP="00A05AB6">
      <w:pPr>
        <w:pStyle w:val="ListParagraph"/>
        <w:numPr>
          <w:ilvl w:val="0"/>
          <w:numId w:val="1"/>
        </w:numPr>
        <w:spacing w:line="240" w:lineRule="auto"/>
        <w:rPr>
          <w:b/>
          <w:sz w:val="24"/>
        </w:rPr>
      </w:pPr>
      <w:r>
        <w:rPr>
          <w:b/>
          <w:sz w:val="24"/>
        </w:rPr>
        <w:t>R</w:t>
      </w:r>
      <w:r w:rsidR="00DF3C9E">
        <w:rPr>
          <w:b/>
          <w:sz w:val="24"/>
        </w:rPr>
        <w:t>esponsibilit</w:t>
      </w:r>
      <w:r>
        <w:rPr>
          <w:b/>
          <w:sz w:val="24"/>
        </w:rPr>
        <w:t>y</w:t>
      </w:r>
    </w:p>
    <w:p w14:paraId="6A05A809" w14:textId="77777777" w:rsidR="00A361CB" w:rsidRDefault="00A361CB" w:rsidP="000E3A5F">
      <w:pPr>
        <w:spacing w:after="0" w:line="240" w:lineRule="auto"/>
        <w:ind w:left="426"/>
      </w:pPr>
    </w:p>
    <w:p w14:paraId="08D18782" w14:textId="540F03DB" w:rsidR="005E4F0C" w:rsidRDefault="005158B1" w:rsidP="005E4F0C">
      <w:pPr>
        <w:spacing w:line="240" w:lineRule="auto"/>
        <w:ind w:left="360"/>
      </w:pPr>
      <w:r>
        <w:t>Suitably trained members of s</w:t>
      </w:r>
      <w:r w:rsidR="001100D1">
        <w:t>taff</w:t>
      </w:r>
      <w:r w:rsidR="00B76FE9">
        <w:t xml:space="preserve"> </w:t>
      </w:r>
      <w:r w:rsidR="005044A0">
        <w:t xml:space="preserve">performing any stage of the preparation of </w:t>
      </w:r>
      <w:r w:rsidR="00F04DC8">
        <w:rPr>
          <w:rFonts w:eastAsia="Times New Roman" w:cstheme="minorHAnsi"/>
          <w:lang w:eastAsia="en-GB"/>
        </w:rPr>
        <w:t xml:space="preserve">the </w:t>
      </w:r>
      <w:r w:rsidR="00AA31F3">
        <w:rPr>
          <w:rFonts w:eastAsia="Times New Roman" w:cstheme="minorHAnsi"/>
          <w:lang w:eastAsia="en-GB"/>
        </w:rPr>
        <w:t>v</w:t>
      </w:r>
      <w:r w:rsidR="005044A0" w:rsidRPr="008F3798">
        <w:rPr>
          <w:rFonts w:eastAsia="Times New Roman" w:cstheme="minorHAnsi"/>
          <w:lang w:eastAsia="en-GB"/>
        </w:rPr>
        <w:t>accine</w:t>
      </w:r>
      <w:r w:rsidR="008532BF">
        <w:rPr>
          <w:rFonts w:eastAsia="Times New Roman" w:cstheme="minorHAnsi"/>
          <w:lang w:eastAsia="en-GB"/>
        </w:rPr>
        <w:t xml:space="preserve"> </w:t>
      </w:r>
      <w:r w:rsidR="005044A0">
        <w:t>are responsible for following this procedure.</w:t>
      </w:r>
    </w:p>
    <w:p w14:paraId="0524E29C" w14:textId="58E358FF" w:rsidR="00A21117" w:rsidRDefault="00A21117" w:rsidP="004069FF">
      <w:pPr>
        <w:spacing w:line="240" w:lineRule="auto"/>
        <w:ind w:left="360"/>
        <w:rPr>
          <w:iCs/>
        </w:rPr>
      </w:pPr>
      <w:r w:rsidRPr="00A21117">
        <w:rPr>
          <w:iCs/>
        </w:rPr>
        <w:lastRenderedPageBreak/>
        <w:t>The Lead GP and Primary Care Lead Pharmacist must ensure that appropriate and formal authorisation for vaccine administration is in place such as a Patient Group Direction or national protocol and that the staff groups who are supplied with the vaccine are those defined as eligible to do so.   Staff working under these mechanisms must understand their responsibilities</w:t>
      </w:r>
      <w:r>
        <w:rPr>
          <w:iCs/>
        </w:rPr>
        <w:t>.</w:t>
      </w:r>
    </w:p>
    <w:p w14:paraId="2B306544" w14:textId="38DF403A" w:rsidR="00B76FE9" w:rsidRDefault="00BD404E" w:rsidP="00BD404E">
      <w:pPr>
        <w:spacing w:after="0" w:line="240" w:lineRule="auto"/>
        <w:ind w:left="360"/>
      </w:pPr>
      <w:r w:rsidRPr="00BD404E">
        <w:t>When working in pairs, it is the responsibility of both people to continue to observe all local C</w:t>
      </w:r>
      <w:r w:rsidR="00AA31F3">
        <w:t>OVID</w:t>
      </w:r>
      <w:r w:rsidRPr="00BD404E">
        <w:t>-19 precautions.</w:t>
      </w:r>
    </w:p>
    <w:p w14:paraId="2D5A2033" w14:textId="77777777" w:rsidR="00BD404E" w:rsidRPr="00BF4BE9" w:rsidRDefault="00BD404E" w:rsidP="004069FF">
      <w:pPr>
        <w:spacing w:after="0" w:line="240" w:lineRule="auto"/>
      </w:pPr>
    </w:p>
    <w:p w14:paraId="7E986460" w14:textId="114C62C6" w:rsidR="00C81746" w:rsidRDefault="00906243" w:rsidP="00A05AB6">
      <w:pPr>
        <w:pStyle w:val="ListParagraph"/>
        <w:numPr>
          <w:ilvl w:val="0"/>
          <w:numId w:val="1"/>
        </w:numPr>
        <w:spacing w:line="240" w:lineRule="auto"/>
        <w:rPr>
          <w:b/>
          <w:sz w:val="24"/>
          <w:szCs w:val="24"/>
        </w:rPr>
      </w:pPr>
      <w:r w:rsidRPr="008532BF">
        <w:rPr>
          <w:b/>
          <w:sz w:val="24"/>
          <w:szCs w:val="24"/>
        </w:rPr>
        <w:t>Procedure</w:t>
      </w:r>
    </w:p>
    <w:p w14:paraId="70C5AEB9" w14:textId="77777777" w:rsidR="00542AC3" w:rsidRPr="00775009" w:rsidRDefault="00542AC3" w:rsidP="00542AC3">
      <w:pPr>
        <w:pStyle w:val="ListParagraph"/>
        <w:spacing w:line="240" w:lineRule="auto"/>
        <w:ind w:left="360"/>
        <w:rPr>
          <w:i/>
          <w:szCs w:val="24"/>
        </w:rPr>
      </w:pPr>
      <w:r w:rsidRPr="00775009">
        <w:rPr>
          <w:i/>
          <w:szCs w:val="24"/>
        </w:rPr>
        <w:t>Within this procedure when the term refrigerator/fridge is used, at end user locations this means</w:t>
      </w:r>
      <w:r>
        <w:rPr>
          <w:i/>
          <w:szCs w:val="24"/>
        </w:rPr>
        <w:t xml:space="preserve"> a validated</w:t>
      </w:r>
      <w:r w:rsidRPr="00775009">
        <w:rPr>
          <w:i/>
          <w:szCs w:val="24"/>
        </w:rPr>
        <w:t xml:space="preserve"> cool box</w:t>
      </w:r>
    </w:p>
    <w:p w14:paraId="3A760C23" w14:textId="77777777" w:rsidR="00194A43" w:rsidRDefault="00194A43" w:rsidP="00194A43">
      <w:pPr>
        <w:pStyle w:val="ListParagraph"/>
        <w:spacing w:line="240" w:lineRule="auto"/>
        <w:ind w:left="360"/>
        <w:rPr>
          <w:b/>
          <w:sz w:val="24"/>
          <w:szCs w:val="24"/>
        </w:rPr>
      </w:pPr>
    </w:p>
    <w:p w14:paraId="233C79C1" w14:textId="676C3A26" w:rsidR="008D423B" w:rsidRDefault="008D423B" w:rsidP="00A05AB6">
      <w:pPr>
        <w:pStyle w:val="ListParagraph"/>
        <w:numPr>
          <w:ilvl w:val="1"/>
          <w:numId w:val="1"/>
        </w:numPr>
        <w:spacing w:line="240" w:lineRule="auto"/>
        <w:ind w:left="993" w:hanging="567"/>
        <w:rPr>
          <w:b/>
        </w:rPr>
      </w:pPr>
      <w:r>
        <w:rPr>
          <w:b/>
        </w:rPr>
        <w:t>Workstation preparation</w:t>
      </w:r>
    </w:p>
    <w:p w14:paraId="0DBECDA7" w14:textId="77777777" w:rsidR="008D423B" w:rsidRPr="008D423B" w:rsidRDefault="008D423B" w:rsidP="008D423B">
      <w:pPr>
        <w:pStyle w:val="ListParagraph"/>
        <w:spacing w:line="240" w:lineRule="auto"/>
        <w:ind w:left="993"/>
        <w:rPr>
          <w:b/>
        </w:rPr>
      </w:pPr>
    </w:p>
    <w:p w14:paraId="55BABBF2" w14:textId="77777777" w:rsidR="009B36A3" w:rsidRPr="008D423B" w:rsidRDefault="009B36A3" w:rsidP="00A05AB6">
      <w:pPr>
        <w:pStyle w:val="ListParagraph"/>
        <w:numPr>
          <w:ilvl w:val="2"/>
          <w:numId w:val="1"/>
        </w:numPr>
        <w:spacing w:line="240" w:lineRule="auto"/>
        <w:rPr>
          <w:b/>
        </w:rPr>
      </w:pPr>
      <w:r w:rsidRPr="008D423B">
        <w:rPr>
          <w:rFonts w:cstheme="minorHAnsi"/>
        </w:rPr>
        <w:t>Confirm the preparation workstation is clear and free from any other vials of vaccine.</w:t>
      </w:r>
    </w:p>
    <w:p w14:paraId="7E0E5C33" w14:textId="547ADEC7" w:rsidR="009B36A3" w:rsidRPr="00011E6D" w:rsidRDefault="009B36A3" w:rsidP="00A05AB6">
      <w:pPr>
        <w:pStyle w:val="ListParagraph"/>
        <w:numPr>
          <w:ilvl w:val="2"/>
          <w:numId w:val="1"/>
        </w:numPr>
        <w:spacing w:line="240" w:lineRule="auto"/>
        <w:rPr>
          <w:b/>
        </w:rPr>
      </w:pPr>
      <w:r>
        <w:rPr>
          <w:rFonts w:cstheme="minorHAnsi"/>
        </w:rPr>
        <w:t>Ensure</w:t>
      </w:r>
      <w:r w:rsidR="00D50B56">
        <w:rPr>
          <w:rFonts w:cstheme="minorHAnsi"/>
        </w:rPr>
        <w:t xml:space="preserve"> a</w:t>
      </w:r>
      <w:r>
        <w:rPr>
          <w:rFonts w:cstheme="minorHAnsi"/>
        </w:rPr>
        <w:t xml:space="preserve"> </w:t>
      </w:r>
      <w:r w:rsidR="00011E6D">
        <w:rPr>
          <w:rFonts w:cstheme="minorHAnsi"/>
        </w:rPr>
        <w:t xml:space="preserve">yellow lidded </w:t>
      </w:r>
      <w:r>
        <w:rPr>
          <w:rFonts w:cstheme="minorHAnsi"/>
        </w:rPr>
        <w:t>sharps bin with sufficient free capacity is available.</w:t>
      </w:r>
    </w:p>
    <w:p w14:paraId="08C14FD0" w14:textId="423A59B2" w:rsidR="00011E6D" w:rsidRPr="00811F17" w:rsidRDefault="00011E6D" w:rsidP="00A05AB6">
      <w:pPr>
        <w:pStyle w:val="ListParagraph"/>
        <w:numPr>
          <w:ilvl w:val="2"/>
          <w:numId w:val="1"/>
        </w:numPr>
        <w:spacing w:line="240" w:lineRule="auto"/>
        <w:rPr>
          <w:b/>
        </w:rPr>
      </w:pPr>
      <w:r>
        <w:rPr>
          <w:rFonts w:cstheme="minorHAnsi"/>
        </w:rPr>
        <w:t>Ensure indelible pen</w:t>
      </w:r>
      <w:r w:rsidR="005F5904">
        <w:rPr>
          <w:rFonts w:cstheme="minorHAnsi"/>
        </w:rPr>
        <w:t xml:space="preserve"> is</w:t>
      </w:r>
      <w:r>
        <w:rPr>
          <w:rFonts w:cstheme="minorHAnsi"/>
        </w:rPr>
        <w:t xml:space="preserve"> available</w:t>
      </w:r>
    </w:p>
    <w:p w14:paraId="5AFEC582" w14:textId="6FB30D49" w:rsidR="00811F17" w:rsidRPr="00ED00A6" w:rsidRDefault="00663AC9" w:rsidP="00A05AB6">
      <w:pPr>
        <w:pStyle w:val="ListParagraph"/>
        <w:numPr>
          <w:ilvl w:val="2"/>
          <w:numId w:val="1"/>
        </w:numPr>
        <w:spacing w:line="240" w:lineRule="auto"/>
        <w:rPr>
          <w:b/>
        </w:rPr>
      </w:pPr>
      <w:r w:rsidRPr="00663AC9">
        <w:rPr>
          <w:rFonts w:cstheme="minorHAnsi"/>
        </w:rPr>
        <w:t xml:space="preserve">Put on apron </w:t>
      </w:r>
    </w:p>
    <w:p w14:paraId="69866413" w14:textId="7A2EF2D9" w:rsidR="00663AC9" w:rsidRPr="00811F17" w:rsidRDefault="00663AC9" w:rsidP="00A05AB6">
      <w:pPr>
        <w:pStyle w:val="ListParagraph"/>
        <w:numPr>
          <w:ilvl w:val="2"/>
          <w:numId w:val="1"/>
        </w:numPr>
        <w:spacing w:line="240" w:lineRule="auto"/>
        <w:rPr>
          <w:b/>
        </w:rPr>
      </w:pPr>
      <w:r w:rsidRPr="002D4AF3">
        <w:rPr>
          <w:rFonts w:cstheme="minorHAnsi"/>
        </w:rPr>
        <w:t xml:space="preserve">Clean workstation with a </w:t>
      </w:r>
      <w:r w:rsidR="00C61222">
        <w:rPr>
          <w:rFonts w:cstheme="minorHAnsi"/>
        </w:rPr>
        <w:t>disinfectant</w:t>
      </w:r>
      <w:r w:rsidRPr="002D4AF3">
        <w:rPr>
          <w:rFonts w:cstheme="minorHAnsi"/>
        </w:rPr>
        <w:t xml:space="preserve"> wipe and discard</w:t>
      </w:r>
      <w:r w:rsidR="00011E6D">
        <w:rPr>
          <w:rFonts w:cstheme="minorHAnsi"/>
        </w:rPr>
        <w:t xml:space="preserve"> in</w:t>
      </w:r>
      <w:r w:rsidR="00727DA8">
        <w:rPr>
          <w:rFonts w:cstheme="minorHAnsi"/>
        </w:rPr>
        <w:t>to a</w:t>
      </w:r>
      <w:r w:rsidR="00011E6D">
        <w:rPr>
          <w:rFonts w:cstheme="minorHAnsi"/>
        </w:rPr>
        <w:t xml:space="preserve"> clinical waste bin</w:t>
      </w:r>
      <w:r w:rsidR="00373FA6">
        <w:rPr>
          <w:rFonts w:cstheme="minorHAnsi"/>
        </w:rPr>
        <w:t>.</w:t>
      </w:r>
    </w:p>
    <w:p w14:paraId="1B44CA07" w14:textId="5DBC7C1F" w:rsidR="008D423B" w:rsidRPr="00194A43" w:rsidRDefault="007A4FFD" w:rsidP="00A05AB6">
      <w:pPr>
        <w:pStyle w:val="ListParagraph"/>
        <w:numPr>
          <w:ilvl w:val="2"/>
          <w:numId w:val="1"/>
        </w:numPr>
        <w:spacing w:line="240" w:lineRule="auto"/>
        <w:rPr>
          <w:b/>
          <w:color w:val="FF0000"/>
        </w:rPr>
      </w:pPr>
      <w:r>
        <w:rPr>
          <w:rFonts w:cstheme="minorHAnsi"/>
          <w:color w:val="FF0000"/>
        </w:rPr>
        <w:t>[Insert statement on local practice for sanitising hands / donning gloves for preparing injectable medicine</w:t>
      </w:r>
      <w:r w:rsidR="00D50B56">
        <w:rPr>
          <w:rFonts w:cstheme="minorHAnsi"/>
          <w:color w:val="FF0000"/>
        </w:rPr>
        <w:t>s</w:t>
      </w:r>
      <w:r>
        <w:rPr>
          <w:rFonts w:cstheme="minorHAnsi"/>
          <w:color w:val="FF0000"/>
        </w:rPr>
        <w:t>]</w:t>
      </w:r>
    </w:p>
    <w:p w14:paraId="22F29033" w14:textId="77777777" w:rsidR="00194A43" w:rsidRPr="00194A43" w:rsidRDefault="00194A43" w:rsidP="00194A43">
      <w:pPr>
        <w:pStyle w:val="ListParagraph"/>
        <w:spacing w:line="240" w:lineRule="auto"/>
        <w:ind w:left="1224"/>
        <w:rPr>
          <w:b/>
          <w:color w:val="FF0000"/>
        </w:rPr>
      </w:pPr>
    </w:p>
    <w:p w14:paraId="4D3D9271" w14:textId="77777777" w:rsidR="00194A43" w:rsidRPr="00C81746" w:rsidRDefault="00194A43" w:rsidP="00A05AB6">
      <w:pPr>
        <w:pStyle w:val="ListParagraph"/>
        <w:numPr>
          <w:ilvl w:val="1"/>
          <w:numId w:val="1"/>
        </w:numPr>
        <w:spacing w:line="240" w:lineRule="auto"/>
        <w:ind w:left="993" w:hanging="567"/>
        <w:rPr>
          <w:b/>
          <w:sz w:val="24"/>
          <w:szCs w:val="24"/>
        </w:rPr>
      </w:pPr>
      <w:r w:rsidRPr="00C81746">
        <w:rPr>
          <w:b/>
        </w:rPr>
        <w:t xml:space="preserve">Removal </w:t>
      </w:r>
      <w:r>
        <w:rPr>
          <w:b/>
        </w:rPr>
        <w:t>of vaccines from the refrigerator</w:t>
      </w:r>
    </w:p>
    <w:p w14:paraId="68E385B9" w14:textId="77777777" w:rsidR="00194A43" w:rsidRPr="00681F27" w:rsidRDefault="00194A43" w:rsidP="00194A43">
      <w:pPr>
        <w:pStyle w:val="ListParagraph"/>
        <w:spacing w:line="240" w:lineRule="auto"/>
        <w:ind w:left="993"/>
        <w:rPr>
          <w:szCs w:val="24"/>
        </w:rPr>
      </w:pPr>
    </w:p>
    <w:p w14:paraId="247E3A5A" w14:textId="46C0B5BC" w:rsidR="00194A43" w:rsidRDefault="00194A43" w:rsidP="00A05AB6">
      <w:pPr>
        <w:pStyle w:val="ListParagraph"/>
        <w:numPr>
          <w:ilvl w:val="2"/>
          <w:numId w:val="1"/>
        </w:numPr>
        <w:spacing w:line="240" w:lineRule="auto"/>
      </w:pPr>
      <w:r>
        <w:t xml:space="preserve">Remove </w:t>
      </w:r>
      <w:r w:rsidR="00F4304D">
        <w:t xml:space="preserve">the required number of </w:t>
      </w:r>
      <w:r>
        <w:t>vaccine</w:t>
      </w:r>
      <w:r w:rsidR="00FD0A76">
        <w:t xml:space="preserve"> vial</w:t>
      </w:r>
      <w:r w:rsidR="00F4304D">
        <w:t>s</w:t>
      </w:r>
      <w:r>
        <w:t xml:space="preserve"> </w:t>
      </w:r>
      <w:r w:rsidR="00F4304D">
        <w:t>from the original carton in the refrigerator</w:t>
      </w:r>
      <w:r w:rsidR="00FD0A76">
        <w:t>.</w:t>
      </w:r>
    </w:p>
    <w:p w14:paraId="7B8DF13B" w14:textId="1FA32464" w:rsidR="00194A43" w:rsidRPr="00426040" w:rsidRDefault="00194A43" w:rsidP="00A05AB6">
      <w:pPr>
        <w:pStyle w:val="ListParagraph"/>
        <w:numPr>
          <w:ilvl w:val="2"/>
          <w:numId w:val="1"/>
        </w:numPr>
        <w:spacing w:line="240" w:lineRule="auto"/>
      </w:pPr>
      <w:r w:rsidRPr="00C464C1">
        <w:rPr>
          <w:rFonts w:eastAsia="Times New Roman" w:cstheme="minorHAnsi"/>
          <w:lang w:eastAsia="en-GB"/>
        </w:rPr>
        <w:t xml:space="preserve">If there is more than one </w:t>
      </w:r>
      <w:r w:rsidR="00542AC3">
        <w:t>batch of vaccine vials</w:t>
      </w:r>
      <w:r>
        <w:t xml:space="preserve">, use the one with the shortest expiry. </w:t>
      </w:r>
      <w:r w:rsidRPr="00C464C1">
        <w:rPr>
          <w:rFonts w:ascii="Calibri" w:hAnsi="Calibri" w:cs="Calibri"/>
          <w:color w:val="000000"/>
        </w:rPr>
        <w:t>One vial contains sufficient vaccine for 8 doses (4ml) or 10 doses (5ml) depending on presentation received.</w:t>
      </w:r>
    </w:p>
    <w:p w14:paraId="07F3FF93" w14:textId="77777777" w:rsidR="009B36A3" w:rsidRPr="008D423B" w:rsidRDefault="009B36A3" w:rsidP="009B36A3">
      <w:pPr>
        <w:pStyle w:val="ListParagraph"/>
        <w:spacing w:line="240" w:lineRule="auto"/>
        <w:ind w:left="1224"/>
        <w:rPr>
          <w:b/>
        </w:rPr>
      </w:pPr>
    </w:p>
    <w:p w14:paraId="36525E87" w14:textId="0561CFC4" w:rsidR="00663AC9" w:rsidRPr="006C2326" w:rsidRDefault="001E5810" w:rsidP="00542AC3">
      <w:pPr>
        <w:pStyle w:val="ListParagraph"/>
        <w:numPr>
          <w:ilvl w:val="1"/>
          <w:numId w:val="1"/>
        </w:numPr>
        <w:spacing w:line="240" w:lineRule="auto"/>
        <w:ind w:left="993" w:hanging="567"/>
      </w:pPr>
      <w:r w:rsidRPr="00266E9F">
        <w:rPr>
          <w:b/>
        </w:rPr>
        <w:t>Withdrawal into syringe</w:t>
      </w:r>
      <w:r w:rsidR="00266E9F">
        <w:rPr>
          <w:b/>
        </w:rPr>
        <w:t>s</w:t>
      </w:r>
    </w:p>
    <w:p w14:paraId="16F0EA73" w14:textId="1CE85158" w:rsidR="002261AF" w:rsidRPr="009F597F" w:rsidRDefault="006C2326" w:rsidP="006C2326">
      <w:pPr>
        <w:tabs>
          <w:tab w:val="left" w:pos="851"/>
        </w:tabs>
        <w:spacing w:line="240" w:lineRule="auto"/>
        <w:ind w:left="851"/>
      </w:pPr>
      <w:r w:rsidRPr="009F597F">
        <w:t>Work with one vaccine vial at any one time.</w:t>
      </w:r>
    </w:p>
    <w:p w14:paraId="30FC5712" w14:textId="54C7520C" w:rsidR="00373FA6" w:rsidRPr="009F597F" w:rsidRDefault="00BD5EBB" w:rsidP="00A05AB6">
      <w:pPr>
        <w:pStyle w:val="ListParagraph"/>
        <w:numPr>
          <w:ilvl w:val="2"/>
          <w:numId w:val="5"/>
        </w:numPr>
        <w:spacing w:line="240" w:lineRule="auto"/>
      </w:pPr>
      <w:r w:rsidRPr="009F597F">
        <w:t xml:space="preserve"> </w:t>
      </w:r>
      <w:r w:rsidR="008A2AEC" w:rsidRPr="009F597F">
        <w:t>Gather</w:t>
      </w:r>
      <w:r w:rsidR="00373FA6" w:rsidRPr="009F597F">
        <w:t xml:space="preserve"> the following materials required to </w:t>
      </w:r>
      <w:r w:rsidR="00D140E9" w:rsidRPr="009F597F">
        <w:t>p</w:t>
      </w:r>
      <w:r w:rsidR="00ED00A6" w:rsidRPr="009F597F">
        <w:t>repare</w:t>
      </w:r>
      <w:r w:rsidR="00373FA6" w:rsidRPr="009F597F">
        <w:t xml:space="preserve"> syringes:</w:t>
      </w:r>
    </w:p>
    <w:p w14:paraId="1BF7C013" w14:textId="380975BA" w:rsidR="00F974D4" w:rsidRPr="009F597F" w:rsidRDefault="00EB3864" w:rsidP="00A05AB6">
      <w:pPr>
        <w:pStyle w:val="ListParagraph"/>
        <w:numPr>
          <w:ilvl w:val="3"/>
          <w:numId w:val="3"/>
        </w:numPr>
        <w:spacing w:line="240" w:lineRule="auto"/>
      </w:pPr>
      <w:r w:rsidRPr="009F597F">
        <w:t>AstraZeneca</w:t>
      </w:r>
      <w:r w:rsidR="00542AC3">
        <w:t xml:space="preserve"> </w:t>
      </w:r>
      <w:r w:rsidRPr="009F597F">
        <w:t xml:space="preserve">COVID-19 Vaccine </w:t>
      </w:r>
      <w:r w:rsidR="007659AB" w:rsidRPr="009F597F">
        <w:t>v</w:t>
      </w:r>
      <w:r w:rsidR="00ED00A6" w:rsidRPr="009F597F">
        <w:t>ial</w:t>
      </w:r>
      <w:r w:rsidR="00373FA6" w:rsidRPr="009F597F">
        <w:t xml:space="preserve"> X 1</w:t>
      </w:r>
    </w:p>
    <w:p w14:paraId="7F8C2C95" w14:textId="6F1F8C20" w:rsidR="003E08C0" w:rsidRPr="009F597F" w:rsidRDefault="00ED00A6" w:rsidP="00A05AB6">
      <w:pPr>
        <w:pStyle w:val="ListParagraph"/>
        <w:numPr>
          <w:ilvl w:val="3"/>
          <w:numId w:val="3"/>
        </w:numPr>
        <w:spacing w:line="240" w:lineRule="auto"/>
      </w:pPr>
      <w:r w:rsidRPr="009F597F">
        <w:t>1ml syringe with integrated 23g</w:t>
      </w:r>
      <w:r w:rsidR="003E08C0" w:rsidRPr="009F597F">
        <w:t xml:space="preserve"> </w:t>
      </w:r>
      <w:r w:rsidRPr="009F597F">
        <w:t>x 25mm needle</w:t>
      </w:r>
      <w:r w:rsidR="00EB3864" w:rsidRPr="009F597F">
        <w:t xml:space="preserve"> X 8 or 10</w:t>
      </w:r>
      <w:r w:rsidR="003E08C0" w:rsidRPr="009F597F">
        <w:t xml:space="preserve"> </w:t>
      </w:r>
    </w:p>
    <w:p w14:paraId="098C30B3" w14:textId="03ED4543" w:rsidR="003E08C0" w:rsidRPr="009F597F" w:rsidRDefault="003E08C0" w:rsidP="003E08C0">
      <w:pPr>
        <w:pStyle w:val="ListParagraph"/>
        <w:spacing w:line="240" w:lineRule="auto"/>
        <w:ind w:left="1728"/>
      </w:pPr>
      <w:r w:rsidRPr="009F597F">
        <w:t xml:space="preserve">N.B. </w:t>
      </w:r>
      <w:r w:rsidR="00F4304D">
        <w:t xml:space="preserve">A 21g x 38mm or </w:t>
      </w:r>
      <w:r w:rsidRPr="009F597F">
        <w:t>23g x 38mm needle and 1ml syringe</w:t>
      </w:r>
      <w:r w:rsidR="00F4304D">
        <w:t xml:space="preserve"> should be used for administering the vaccine to </w:t>
      </w:r>
      <w:r w:rsidRPr="009F597F">
        <w:t>morbidly obese patients.</w:t>
      </w:r>
      <w:r w:rsidR="00F4304D">
        <w:t xml:space="preserve"> These are available to order via the Immform system.</w:t>
      </w:r>
    </w:p>
    <w:p w14:paraId="3E7D7A75" w14:textId="4086CD18" w:rsidR="00ED00A6" w:rsidRDefault="00F4304D" w:rsidP="00A05AB6">
      <w:pPr>
        <w:pStyle w:val="ListParagraph"/>
        <w:numPr>
          <w:ilvl w:val="3"/>
          <w:numId w:val="3"/>
        </w:numPr>
        <w:spacing w:line="240" w:lineRule="auto"/>
      </w:pPr>
      <w:r>
        <w:t>Sterile s</w:t>
      </w:r>
      <w:r w:rsidR="00734BA2" w:rsidRPr="009F597F">
        <w:t xml:space="preserve">ingle use 70% alcohol swab </w:t>
      </w:r>
      <w:r w:rsidR="00EB3864" w:rsidRPr="009F597F">
        <w:t>X 8 or 10</w:t>
      </w:r>
    </w:p>
    <w:p w14:paraId="0E413069" w14:textId="11A74C7C" w:rsidR="00477FAC" w:rsidRPr="00477FAC" w:rsidRDefault="00477FAC" w:rsidP="00477FAC">
      <w:pPr>
        <w:pStyle w:val="ListParagraph"/>
        <w:spacing w:line="240" w:lineRule="auto"/>
        <w:rPr>
          <w:color w:val="FF0000"/>
        </w:rPr>
      </w:pPr>
      <w:r w:rsidRPr="00477FAC">
        <w:rPr>
          <w:color w:val="FF0000"/>
        </w:rPr>
        <w:t>[NB: An additional syringe/needle and alcohol swab will be required if loc</w:t>
      </w:r>
      <w:r>
        <w:rPr>
          <w:color w:val="FF0000"/>
        </w:rPr>
        <w:t>al policy is to withdraw 9 or 11</w:t>
      </w:r>
      <w:r w:rsidRPr="00477FAC">
        <w:rPr>
          <w:color w:val="FF0000"/>
        </w:rPr>
        <w:t xml:space="preserve"> doses (see section </w:t>
      </w:r>
      <w:r w:rsidR="00B85FDC">
        <w:rPr>
          <w:color w:val="FF0000"/>
        </w:rPr>
        <w:t>5</w:t>
      </w:r>
      <w:r w:rsidRPr="00B85FDC">
        <w:rPr>
          <w:color w:val="FF0000"/>
        </w:rPr>
        <w:t>.3.11</w:t>
      </w:r>
      <w:r w:rsidRPr="00477FAC">
        <w:rPr>
          <w:color w:val="FF0000"/>
        </w:rPr>
        <w:t xml:space="preserve"> f</w:t>
      </w:r>
      <w:r>
        <w:rPr>
          <w:color w:val="FF0000"/>
        </w:rPr>
        <w:t>or information about a 9th or 11</w:t>
      </w:r>
      <w:r w:rsidRPr="00477FAC">
        <w:rPr>
          <w:color w:val="FF0000"/>
        </w:rPr>
        <w:t>th dose)]</w:t>
      </w:r>
    </w:p>
    <w:p w14:paraId="24D9F43C" w14:textId="77777777" w:rsidR="00194A43" w:rsidRDefault="00194A43" w:rsidP="005F5326">
      <w:pPr>
        <w:spacing w:after="0" w:line="240" w:lineRule="auto"/>
      </w:pPr>
    </w:p>
    <w:p w14:paraId="6B03478D" w14:textId="6F803764" w:rsidR="00194A43" w:rsidRPr="00FD0A76" w:rsidRDefault="00194A43" w:rsidP="00A05AB6">
      <w:pPr>
        <w:pStyle w:val="ListParagraph"/>
        <w:numPr>
          <w:ilvl w:val="2"/>
          <w:numId w:val="5"/>
        </w:numPr>
        <w:spacing w:line="240" w:lineRule="auto"/>
      </w:pPr>
      <w:r w:rsidRPr="00194A43">
        <w:t>After first dose withdrawal, use the vial as soon as practically possible and within 6 hours (stored at 2°C to 25°C</w:t>
      </w:r>
      <w:r w:rsidRPr="00FD0A76">
        <w:t>). Document the expiry date and time (24 hour format, e.g. 1400) on the vial after first use.</w:t>
      </w:r>
    </w:p>
    <w:p w14:paraId="77DCD1D3" w14:textId="77777777" w:rsidR="00194A43" w:rsidRPr="00FD0A76" w:rsidRDefault="00194A43" w:rsidP="00194A43">
      <w:pPr>
        <w:spacing w:after="0" w:line="240" w:lineRule="auto"/>
      </w:pPr>
    </w:p>
    <w:p w14:paraId="0EA2ABFF" w14:textId="59A3ACBA" w:rsidR="00B85FDC" w:rsidRDefault="00B85FDC" w:rsidP="00B85FDC">
      <w:pPr>
        <w:pStyle w:val="ListParagraph"/>
        <w:numPr>
          <w:ilvl w:val="2"/>
          <w:numId w:val="5"/>
        </w:numPr>
        <w:spacing w:line="240" w:lineRule="auto"/>
        <w:rPr>
          <w:b/>
        </w:rPr>
      </w:pPr>
      <w:r>
        <w:t xml:space="preserve">Obtain a second check that the correct vaccine has been selected, by confirming the product name on the vial(s), and the expiry date and time is correct.  The second person should document this check by signing the label </w:t>
      </w:r>
      <w:r>
        <w:rPr>
          <w:b/>
          <w:color w:val="FF0000"/>
        </w:rPr>
        <w:t>[2nd check depending on local policy and setting]</w:t>
      </w:r>
    </w:p>
    <w:p w14:paraId="0EA3FC98" w14:textId="77777777" w:rsidR="00EA146C" w:rsidRDefault="00EA146C" w:rsidP="00837741">
      <w:pPr>
        <w:spacing w:after="0" w:line="240" w:lineRule="auto"/>
      </w:pPr>
    </w:p>
    <w:p w14:paraId="2812CC4A" w14:textId="716E5369" w:rsidR="00837741" w:rsidRDefault="00837741" w:rsidP="00837741">
      <w:pPr>
        <w:pStyle w:val="ListParagraph"/>
        <w:numPr>
          <w:ilvl w:val="2"/>
          <w:numId w:val="1"/>
        </w:numPr>
        <w:spacing w:line="240" w:lineRule="auto"/>
      </w:pPr>
      <w:r w:rsidRPr="00837741">
        <w:t>The vaccine vial is a colourless to slightly brown, clear to slightly opaque solution. Visually inspect the vial prior to administration and discard if particulate matter or differences in the described appearance are observed. Do not shake the vial.</w:t>
      </w:r>
    </w:p>
    <w:p w14:paraId="20C2E221" w14:textId="77777777" w:rsidR="00B85FDC" w:rsidRDefault="00B85FDC" w:rsidP="00B85FDC">
      <w:pPr>
        <w:pStyle w:val="ListParagraph"/>
        <w:spacing w:line="240" w:lineRule="auto"/>
        <w:ind w:left="1224"/>
      </w:pPr>
    </w:p>
    <w:p w14:paraId="1D2E33AC" w14:textId="7433FC9C" w:rsidR="00EA146C" w:rsidRDefault="00EA146C" w:rsidP="00A05AB6">
      <w:pPr>
        <w:pStyle w:val="ListParagraph"/>
        <w:numPr>
          <w:ilvl w:val="2"/>
          <w:numId w:val="1"/>
        </w:numPr>
        <w:spacing w:line="240" w:lineRule="auto"/>
      </w:pPr>
      <w:r>
        <w:t>C</w:t>
      </w:r>
      <w:r w:rsidRPr="001E5810">
        <w:t xml:space="preserve">leanse the vial stopper with a single use </w:t>
      </w:r>
      <w:r w:rsidR="00045041">
        <w:t>70% alcohol</w:t>
      </w:r>
      <w:r w:rsidRPr="001E5810">
        <w:t xml:space="preserve"> swab</w:t>
      </w:r>
      <w:r>
        <w:t>, and discard swab in a clinical waste bin</w:t>
      </w:r>
      <w:r w:rsidR="00D140E9">
        <w:t>.</w:t>
      </w:r>
    </w:p>
    <w:p w14:paraId="191066E4" w14:textId="77777777" w:rsidR="00266E9F" w:rsidRDefault="00266E9F" w:rsidP="00266E9F">
      <w:pPr>
        <w:pStyle w:val="ListParagraph"/>
        <w:spacing w:line="240" w:lineRule="auto"/>
        <w:ind w:left="1224"/>
      </w:pPr>
    </w:p>
    <w:p w14:paraId="7F2FC332" w14:textId="6F69D9C3" w:rsidR="001E5810" w:rsidRPr="009F597F" w:rsidRDefault="001E5810" w:rsidP="00A05AB6">
      <w:pPr>
        <w:pStyle w:val="ListParagraph"/>
        <w:numPr>
          <w:ilvl w:val="2"/>
          <w:numId w:val="1"/>
        </w:numPr>
        <w:spacing w:line="240" w:lineRule="auto"/>
      </w:pPr>
      <w:r w:rsidRPr="009F597F">
        <w:t xml:space="preserve">Using aseptic technique, draw up </w:t>
      </w:r>
      <w:r w:rsidR="00EB3864" w:rsidRPr="009F597F">
        <w:rPr>
          <w:b/>
        </w:rPr>
        <w:t>0.5</w:t>
      </w:r>
      <w:r w:rsidRPr="009F597F">
        <w:rPr>
          <w:b/>
        </w:rPr>
        <w:t>mL</w:t>
      </w:r>
      <w:r w:rsidRPr="009F597F">
        <w:t xml:space="preserve"> of the vaccine </w:t>
      </w:r>
      <w:r w:rsidR="00663AC9" w:rsidRPr="009F597F">
        <w:t xml:space="preserve">using a </w:t>
      </w:r>
      <w:r w:rsidR="00B85FDC">
        <w:t xml:space="preserve">new </w:t>
      </w:r>
      <w:r w:rsidR="00663AC9" w:rsidRPr="009F597F">
        <w:t>1ml syringe with integrated 23g</w:t>
      </w:r>
      <w:r w:rsidR="001C1A6F" w:rsidRPr="009F597F">
        <w:t xml:space="preserve"> (or 25g)</w:t>
      </w:r>
      <w:r w:rsidR="00663AC9" w:rsidRPr="009F597F">
        <w:t xml:space="preserve"> x 25mm needle</w:t>
      </w:r>
      <w:r w:rsidR="00266E9F" w:rsidRPr="009F597F">
        <w:t>.</w:t>
      </w:r>
    </w:p>
    <w:p w14:paraId="31F412C5" w14:textId="1226FAC8" w:rsidR="00266E9F" w:rsidRDefault="00266E9F" w:rsidP="009F597F">
      <w:pPr>
        <w:spacing w:line="240" w:lineRule="auto"/>
        <w:ind w:left="720" w:firstLine="504"/>
      </w:pPr>
      <w:r w:rsidRPr="009F597F">
        <w:t>N.B.</w:t>
      </w:r>
      <w:r w:rsidR="007634FD" w:rsidRPr="009F597F">
        <w:t xml:space="preserve">23g x </w:t>
      </w:r>
      <w:r w:rsidR="00663AC9" w:rsidRPr="009F597F">
        <w:t xml:space="preserve">38mm needles </w:t>
      </w:r>
      <w:r w:rsidR="007634FD" w:rsidRPr="009F597F">
        <w:t xml:space="preserve">and 1ml syringes </w:t>
      </w:r>
      <w:r w:rsidR="00663AC9" w:rsidRPr="009F597F">
        <w:t>are available for morbidly obese patients.</w:t>
      </w:r>
    </w:p>
    <w:p w14:paraId="5C0D329C" w14:textId="112BCAD1" w:rsidR="005F5326" w:rsidRDefault="005F5326" w:rsidP="00A05AB6">
      <w:pPr>
        <w:pStyle w:val="ListParagraph"/>
        <w:numPr>
          <w:ilvl w:val="2"/>
          <w:numId w:val="1"/>
        </w:numPr>
        <w:spacing w:line="240" w:lineRule="auto"/>
      </w:pPr>
      <w:r>
        <w:rPr>
          <w:bCs/>
        </w:rPr>
        <w:t xml:space="preserve">Adjust </w:t>
      </w:r>
      <w:r w:rsidRPr="002D4AF3">
        <w:rPr>
          <w:bCs/>
        </w:rPr>
        <w:t xml:space="preserve">to remove air bubbles with the needle still in the vial to avoid loss of </w:t>
      </w:r>
      <w:r>
        <w:rPr>
          <w:bCs/>
        </w:rPr>
        <w:t>vaccine</w:t>
      </w:r>
      <w:r w:rsidRPr="002D4AF3">
        <w:t>.</w:t>
      </w:r>
    </w:p>
    <w:p w14:paraId="0990C03E" w14:textId="77777777" w:rsidR="005F5326" w:rsidRDefault="005F5326" w:rsidP="005F5326">
      <w:pPr>
        <w:pStyle w:val="ListParagraph"/>
        <w:spacing w:line="240" w:lineRule="auto"/>
        <w:ind w:left="1224"/>
      </w:pPr>
    </w:p>
    <w:p w14:paraId="2BD25D6E" w14:textId="481AABBE" w:rsidR="00266E9F" w:rsidRPr="00266E9F" w:rsidRDefault="00FF4F39" w:rsidP="00A05AB6">
      <w:pPr>
        <w:pStyle w:val="ListParagraph"/>
        <w:numPr>
          <w:ilvl w:val="2"/>
          <w:numId w:val="1"/>
        </w:numPr>
        <w:spacing w:line="240" w:lineRule="auto"/>
      </w:pPr>
      <w:r>
        <w:t xml:space="preserve">Check volume withdrawn </w:t>
      </w:r>
      <w:r w:rsidRPr="009F597F">
        <w:t xml:space="preserve">is </w:t>
      </w:r>
      <w:r w:rsidR="00EB3864" w:rsidRPr="009F597F">
        <w:rPr>
          <w:b/>
        </w:rPr>
        <w:t>0.5</w:t>
      </w:r>
      <w:r w:rsidR="00C61222" w:rsidRPr="009F597F">
        <w:rPr>
          <w:b/>
        </w:rPr>
        <w:t>mL</w:t>
      </w:r>
      <w:r w:rsidR="00EA146C" w:rsidRPr="009F597F">
        <w:rPr>
          <w:b/>
        </w:rPr>
        <w:t>.</w:t>
      </w:r>
      <w:r w:rsidR="00EA146C">
        <w:rPr>
          <w:b/>
        </w:rPr>
        <w:t xml:space="preserve"> </w:t>
      </w:r>
      <w:r w:rsidR="00EA146C" w:rsidRPr="00011E6D">
        <w:rPr>
          <w:b/>
          <w:color w:val="FF0000"/>
        </w:rPr>
        <w:t>[</w:t>
      </w:r>
      <w:r w:rsidR="00EA146C">
        <w:rPr>
          <w:b/>
          <w:color w:val="FF0000"/>
        </w:rPr>
        <w:t xml:space="preserve">May require independent </w:t>
      </w:r>
      <w:bookmarkStart w:id="1" w:name="_Hlk60232296"/>
      <w:r w:rsidR="00EA146C">
        <w:rPr>
          <w:b/>
          <w:color w:val="FF0000"/>
        </w:rPr>
        <w:t>2</w:t>
      </w:r>
      <w:r w:rsidR="00EA146C" w:rsidRPr="00011E6D">
        <w:rPr>
          <w:b/>
          <w:color w:val="FF0000"/>
          <w:vertAlign w:val="superscript"/>
        </w:rPr>
        <w:t>nd</w:t>
      </w:r>
      <w:r w:rsidR="00EA146C">
        <w:rPr>
          <w:b/>
          <w:color w:val="FF0000"/>
        </w:rPr>
        <w:t xml:space="preserve"> check depending on local policy]</w:t>
      </w:r>
      <w:bookmarkEnd w:id="1"/>
    </w:p>
    <w:p w14:paraId="7B80E8F4" w14:textId="77777777" w:rsidR="00266E9F" w:rsidRPr="00266E9F" w:rsidRDefault="00266E9F" w:rsidP="00266E9F">
      <w:pPr>
        <w:pStyle w:val="ListParagraph"/>
        <w:spacing w:line="240" w:lineRule="auto"/>
        <w:ind w:left="1224"/>
      </w:pPr>
    </w:p>
    <w:p w14:paraId="6888BB0D" w14:textId="77777777" w:rsidR="00266E9F" w:rsidRPr="00266E9F" w:rsidRDefault="00663AC9" w:rsidP="00A05AB6">
      <w:pPr>
        <w:pStyle w:val="ListParagraph"/>
        <w:numPr>
          <w:ilvl w:val="2"/>
          <w:numId w:val="1"/>
        </w:numPr>
        <w:spacing w:line="240" w:lineRule="auto"/>
      </w:pPr>
      <w:r w:rsidRPr="00734BA2">
        <w:rPr>
          <w:rFonts w:eastAsia="Times New Roman" w:cstheme="minorHAnsi"/>
          <w:color w:val="000000" w:themeColor="text1"/>
          <w:lang w:val="en" w:eastAsia="en-GB"/>
        </w:rPr>
        <w:t xml:space="preserve">Visually inspect the syringes for particles </w:t>
      </w:r>
      <w:r w:rsidRPr="00266E9F">
        <w:rPr>
          <w:rFonts w:eastAsia="Times New Roman" w:cstheme="minorHAnsi"/>
          <w:color w:val="000000"/>
          <w:lang w:val="en" w:eastAsia="en-GB"/>
        </w:rPr>
        <w:t>and leaks. Discard if these are observed.</w:t>
      </w:r>
    </w:p>
    <w:p w14:paraId="1B75CD3B" w14:textId="77777777" w:rsidR="00266E9F" w:rsidRPr="00266E9F" w:rsidRDefault="00266E9F" w:rsidP="00266E9F">
      <w:pPr>
        <w:pStyle w:val="ListParagraph"/>
        <w:spacing w:line="240" w:lineRule="auto"/>
        <w:ind w:left="1224"/>
      </w:pPr>
    </w:p>
    <w:p w14:paraId="71A673B6" w14:textId="03240BD5" w:rsidR="00266E9F" w:rsidRDefault="001E5810" w:rsidP="00A05AB6">
      <w:pPr>
        <w:pStyle w:val="ListParagraph"/>
        <w:numPr>
          <w:ilvl w:val="2"/>
          <w:numId w:val="1"/>
        </w:numPr>
        <w:spacing w:line="240" w:lineRule="auto"/>
      </w:pPr>
      <w:r w:rsidRPr="00266E9F">
        <w:rPr>
          <w:bCs/>
        </w:rPr>
        <w:t>The newly filled syringe must be used for immediate administration</w:t>
      </w:r>
      <w:r w:rsidRPr="002D4AF3">
        <w:t>.</w:t>
      </w:r>
      <w:r w:rsidR="00091612">
        <w:t xml:space="preserve"> </w:t>
      </w:r>
      <w:r w:rsidR="00091612" w:rsidRPr="00011E6D">
        <w:rPr>
          <w:b/>
          <w:color w:val="FF0000"/>
        </w:rPr>
        <w:t>[</w:t>
      </w:r>
      <w:r w:rsidR="00091612">
        <w:rPr>
          <w:b/>
          <w:color w:val="FF0000"/>
        </w:rPr>
        <w:t>Local risk assessment required to manage risk of needle stick injury]</w:t>
      </w:r>
    </w:p>
    <w:p w14:paraId="63220CE2" w14:textId="77777777" w:rsidR="00266E9F" w:rsidRDefault="00266E9F" w:rsidP="00266E9F">
      <w:pPr>
        <w:pStyle w:val="ListParagraph"/>
        <w:spacing w:line="240" w:lineRule="auto"/>
        <w:ind w:left="1224"/>
      </w:pPr>
    </w:p>
    <w:p w14:paraId="1FADED86" w14:textId="5B147452" w:rsidR="006C2326" w:rsidRDefault="00045041" w:rsidP="006C2326">
      <w:pPr>
        <w:pStyle w:val="ListParagraph"/>
        <w:numPr>
          <w:ilvl w:val="2"/>
          <w:numId w:val="1"/>
        </w:numPr>
        <w:spacing w:line="240" w:lineRule="auto"/>
      </w:pPr>
      <w:r w:rsidRPr="005F5326">
        <w:t>Steps</w:t>
      </w:r>
      <w:r w:rsidR="009F597F" w:rsidRPr="005F5326">
        <w:t xml:space="preserve"> 5.3.</w:t>
      </w:r>
      <w:r w:rsidR="00837741">
        <w:t>4</w:t>
      </w:r>
      <w:r w:rsidR="005E4F0C" w:rsidRPr="005F5326">
        <w:t xml:space="preserve"> to</w:t>
      </w:r>
      <w:r w:rsidR="009F597F" w:rsidRPr="005F5326">
        <w:t xml:space="preserve"> 5.3.</w:t>
      </w:r>
      <w:r w:rsidR="005F5326">
        <w:t>10</w:t>
      </w:r>
      <w:r w:rsidR="009F597F" w:rsidRPr="005F5326">
        <w:t xml:space="preserve"> </w:t>
      </w:r>
      <w:r w:rsidR="007634FD" w:rsidRPr="005F5326">
        <w:t>may</w:t>
      </w:r>
      <w:r w:rsidR="007634FD" w:rsidRPr="009F597F">
        <w:t xml:space="preserve"> be repeated a further </w:t>
      </w:r>
      <w:r w:rsidR="006C2326" w:rsidRPr="009F597F">
        <w:t>seven or</w:t>
      </w:r>
      <w:r w:rsidR="00EB3864" w:rsidRPr="009F597F">
        <w:t xml:space="preserve"> </w:t>
      </w:r>
      <w:r w:rsidR="006C2326" w:rsidRPr="009F597F">
        <w:t>nine</w:t>
      </w:r>
      <w:r w:rsidR="007634FD" w:rsidRPr="009F597F">
        <w:t xml:space="preserve"> times</w:t>
      </w:r>
      <w:r w:rsidR="00266E9F" w:rsidRPr="009F597F">
        <w:t xml:space="preserve"> </w:t>
      </w:r>
      <w:r w:rsidR="006C2326" w:rsidRPr="009F597F">
        <w:t>to produce a total of eight or ten</w:t>
      </w:r>
      <w:r w:rsidR="007634FD" w:rsidRPr="009F597F">
        <w:t xml:space="preserve"> syringes from each vaccine vial.</w:t>
      </w:r>
      <w:r w:rsidR="00266E9F" w:rsidRPr="009F597F">
        <w:t xml:space="preserve"> </w:t>
      </w:r>
      <w:r w:rsidR="00ED00A6" w:rsidRPr="009F597F">
        <w:t>Each time the vial bung is punctured, this should be in a different location to previous points of puncture on the bung.</w:t>
      </w:r>
      <w:r w:rsidR="009B0767" w:rsidRPr="009F597F">
        <w:t xml:space="preserve"> </w:t>
      </w:r>
      <w:r w:rsidR="000011B3" w:rsidRPr="000011B3">
        <w:t>It is normal for liquid to remain in the vial after withdrawing the final dose.</w:t>
      </w:r>
      <w:r w:rsidR="00CD37C0">
        <w:t xml:space="preserve"> </w:t>
      </w:r>
      <w:r w:rsidR="00B85FDC">
        <w:t>When low dead volume syringes and/or needles are used, the amount remaining in the vial may be sufficient for an additional dose. Care should be taken to ensure a full 0.5ml dose is administered. Where a full 0.5ml dose cannot be extracted, the remaining volume should be discarded.</w:t>
      </w:r>
      <w:r w:rsidR="00F4304D">
        <w:t xml:space="preserve"> Do not pool excess vaccine from multiple vials.</w:t>
      </w:r>
    </w:p>
    <w:p w14:paraId="5C24B8D1" w14:textId="77777777" w:rsidR="00B85FDC" w:rsidRDefault="00B85FDC" w:rsidP="00B85FDC">
      <w:pPr>
        <w:pStyle w:val="ListParagraph"/>
        <w:spacing w:line="240" w:lineRule="auto"/>
        <w:ind w:left="1224"/>
      </w:pPr>
    </w:p>
    <w:p w14:paraId="06EE503B" w14:textId="7F88A146" w:rsidR="005F5326" w:rsidRDefault="005F5326" w:rsidP="00A05AB6">
      <w:pPr>
        <w:pStyle w:val="ListParagraph"/>
        <w:numPr>
          <w:ilvl w:val="2"/>
          <w:numId w:val="1"/>
        </w:numPr>
        <w:spacing w:line="240" w:lineRule="auto"/>
      </w:pPr>
      <w:r>
        <w:t>Update the stock management system on Foundry.</w:t>
      </w:r>
    </w:p>
    <w:p w14:paraId="10AC5B9A" w14:textId="77777777" w:rsidR="005F5326" w:rsidRDefault="005F5326" w:rsidP="005F5326">
      <w:pPr>
        <w:spacing w:after="0" w:line="240" w:lineRule="auto"/>
      </w:pPr>
    </w:p>
    <w:p w14:paraId="11EDAB73" w14:textId="4F0A98C6" w:rsidR="002261AF" w:rsidRDefault="007634FD" w:rsidP="00A05AB6">
      <w:pPr>
        <w:pStyle w:val="ListParagraph"/>
        <w:numPr>
          <w:ilvl w:val="2"/>
          <w:numId w:val="1"/>
        </w:numPr>
        <w:spacing w:line="240" w:lineRule="auto"/>
      </w:pPr>
      <w:r>
        <w:t xml:space="preserve">Once </w:t>
      </w:r>
      <w:r w:rsidR="000011B3">
        <w:t>all the required doses have been withdrawn</w:t>
      </w:r>
      <w:r w:rsidR="00A52541">
        <w:t xml:space="preserve"> or if expiry has been exceeded,</w:t>
      </w:r>
      <w:r w:rsidR="00045041">
        <w:t xml:space="preserve"> discard</w:t>
      </w:r>
      <w:r>
        <w:t xml:space="preserve"> the used</w:t>
      </w:r>
      <w:r w:rsidR="00FF4F39">
        <w:t xml:space="preserve"> vaccine</w:t>
      </w:r>
      <w:r>
        <w:t xml:space="preserve"> vial </w:t>
      </w:r>
      <w:r w:rsidRPr="009F597F">
        <w:t xml:space="preserve">into a </w:t>
      </w:r>
      <w:r w:rsidR="00EA146C" w:rsidRPr="009F597F">
        <w:t>yellow lidded</w:t>
      </w:r>
      <w:r w:rsidR="00EA146C">
        <w:t xml:space="preserve"> </w:t>
      </w:r>
      <w:r w:rsidR="003831CA">
        <w:t>sharps bin</w:t>
      </w:r>
      <w:r w:rsidR="00045041">
        <w:t>.</w:t>
      </w:r>
    </w:p>
    <w:p w14:paraId="6F9B24EA" w14:textId="77777777" w:rsidR="00CD7F5D" w:rsidRDefault="00CD7F5D" w:rsidP="00CD7F5D">
      <w:pPr>
        <w:spacing w:after="0" w:line="240" w:lineRule="auto"/>
      </w:pPr>
    </w:p>
    <w:p w14:paraId="456C4094" w14:textId="77777777" w:rsidR="002D190B" w:rsidRDefault="002261AF" w:rsidP="003423B7">
      <w:pPr>
        <w:pStyle w:val="ListParagraph"/>
        <w:numPr>
          <w:ilvl w:val="2"/>
          <w:numId w:val="1"/>
        </w:numPr>
        <w:spacing w:line="240" w:lineRule="auto"/>
      </w:pPr>
      <w:r w:rsidRPr="00A05AB6">
        <w:t>At the end of the session</w:t>
      </w:r>
      <w:r w:rsidR="00A05AB6" w:rsidRPr="00A05AB6">
        <w:t xml:space="preserve">, any vials that have had doses withdrawn must be </w:t>
      </w:r>
      <w:r w:rsidRPr="00A05AB6">
        <w:t>d</w:t>
      </w:r>
      <w:r w:rsidR="007634FD" w:rsidRPr="00A05AB6">
        <w:t>iscard</w:t>
      </w:r>
      <w:r w:rsidR="00542AC3">
        <w:t>ed</w:t>
      </w:r>
      <w:r w:rsidR="00EA146C" w:rsidRPr="00A05AB6">
        <w:t xml:space="preserve"> </w:t>
      </w:r>
      <w:r w:rsidR="007634FD" w:rsidRPr="00A05AB6">
        <w:t>into a</w:t>
      </w:r>
      <w:r w:rsidR="00EA146C" w:rsidRPr="00A05AB6">
        <w:t xml:space="preserve"> yellow lidded sharps </w:t>
      </w:r>
      <w:r w:rsidR="007634FD" w:rsidRPr="00A05AB6">
        <w:t>bin</w:t>
      </w:r>
      <w:r w:rsidRPr="00A05AB6">
        <w:t xml:space="preserve">. </w:t>
      </w:r>
    </w:p>
    <w:p w14:paraId="64F65132" w14:textId="77777777" w:rsidR="002D190B" w:rsidRDefault="002D190B" w:rsidP="004600B8">
      <w:pPr>
        <w:spacing w:after="0" w:line="240" w:lineRule="auto"/>
      </w:pPr>
    </w:p>
    <w:p w14:paraId="084C3AD8" w14:textId="4A7F428A" w:rsidR="00A05AB6" w:rsidRDefault="002D190B" w:rsidP="003423B7">
      <w:pPr>
        <w:pStyle w:val="ListParagraph"/>
        <w:numPr>
          <w:ilvl w:val="2"/>
          <w:numId w:val="1"/>
        </w:numPr>
        <w:spacing w:line="240" w:lineRule="auto"/>
      </w:pPr>
      <w:r>
        <w:t xml:space="preserve">If </w:t>
      </w:r>
      <w:r w:rsidR="004600B8">
        <w:t>unused</w:t>
      </w:r>
      <w:r>
        <w:t xml:space="preserve"> vaccine vials have left the PCN Designated site for </w:t>
      </w:r>
      <w:r w:rsidR="004600B8">
        <w:t>administration</w:t>
      </w:r>
      <w:r>
        <w:t xml:space="preserve"> elsewhe</w:t>
      </w:r>
      <w:r w:rsidR="004600B8">
        <w:t>re, t</w:t>
      </w:r>
      <w:r w:rsidR="00B71456" w:rsidRPr="00B71456">
        <w:t>he</w:t>
      </w:r>
      <w:r w:rsidR="004600B8">
        <w:t>y must not be returned to stock</w:t>
      </w:r>
      <w:r w:rsidR="00B71456" w:rsidRPr="00B71456">
        <w:t>. Discard the vaccine vials into a yellow lidded sharps bin</w:t>
      </w:r>
      <w:r w:rsidR="004600B8">
        <w:t>.</w:t>
      </w:r>
    </w:p>
    <w:p w14:paraId="51D134FA" w14:textId="742B8AE4" w:rsidR="004600B8" w:rsidRDefault="00A97669" w:rsidP="000B5B55">
      <w:pPr>
        <w:tabs>
          <w:tab w:val="left" w:pos="1968"/>
        </w:tabs>
        <w:spacing w:after="0" w:line="240" w:lineRule="auto"/>
      </w:pPr>
      <w:r>
        <w:tab/>
      </w:r>
    </w:p>
    <w:p w14:paraId="677134B1" w14:textId="759BDF2C" w:rsidR="000F4075" w:rsidRPr="00D51516" w:rsidRDefault="00F91868" w:rsidP="00C0413A">
      <w:pPr>
        <w:pStyle w:val="ListParagraph"/>
        <w:numPr>
          <w:ilvl w:val="2"/>
          <w:numId w:val="1"/>
        </w:numPr>
        <w:spacing w:line="240" w:lineRule="auto"/>
      </w:pPr>
      <w:r w:rsidRPr="00F91868">
        <w:t>All waste must be handled in such a way as to prevent theft an</w:t>
      </w:r>
      <w:r w:rsidR="000F4075">
        <w:t xml:space="preserve">d misuse both on site and after </w:t>
      </w:r>
      <w:r w:rsidRPr="00F91868">
        <w:t>removal from the site.  Waste vaccines and empty vials must be placed into the clinical or medicinal waste stream according to normal local waste management procedures</w:t>
      </w:r>
      <w:r w:rsidR="000F4075" w:rsidRPr="00D51516">
        <w:t>. Outer cartons must have their labels defaced using permanent black marker pens, and must be disposed of via the confidential waste stream. Alternatively, packaging must be stored in a secure container(s) and shredded on-site.</w:t>
      </w:r>
    </w:p>
    <w:p w14:paraId="7930D74A" w14:textId="288E86C2" w:rsidR="00013509" w:rsidRDefault="00013509" w:rsidP="000B5B55">
      <w:pPr>
        <w:spacing w:after="0" w:line="240" w:lineRule="auto"/>
        <w:ind w:left="1440"/>
      </w:pPr>
    </w:p>
    <w:p w14:paraId="4AA8ACF0" w14:textId="77777777" w:rsidR="00542AC3" w:rsidRDefault="00542AC3" w:rsidP="00542AC3">
      <w:pPr>
        <w:spacing w:after="0" w:line="240" w:lineRule="auto"/>
      </w:pPr>
    </w:p>
    <w:p w14:paraId="457279A2" w14:textId="77777777" w:rsidR="002959D7" w:rsidRDefault="002959D7" w:rsidP="00542AC3">
      <w:pPr>
        <w:spacing w:after="0" w:line="240" w:lineRule="auto"/>
      </w:pPr>
    </w:p>
    <w:p w14:paraId="53B107AE" w14:textId="77777777" w:rsidR="002959D7" w:rsidRDefault="002959D7" w:rsidP="00542AC3">
      <w:pPr>
        <w:spacing w:after="0" w:line="240" w:lineRule="auto"/>
      </w:pPr>
    </w:p>
    <w:p w14:paraId="49807128" w14:textId="77777777" w:rsidR="002959D7" w:rsidRDefault="002959D7" w:rsidP="00542AC3">
      <w:pPr>
        <w:spacing w:after="0" w:line="240" w:lineRule="auto"/>
      </w:pPr>
    </w:p>
    <w:p w14:paraId="4E286996" w14:textId="77777777" w:rsidR="00994C34" w:rsidRPr="00A24302" w:rsidRDefault="00994C34" w:rsidP="00A05AB6">
      <w:pPr>
        <w:pStyle w:val="ListParagraph"/>
        <w:numPr>
          <w:ilvl w:val="1"/>
          <w:numId w:val="1"/>
        </w:numPr>
        <w:tabs>
          <w:tab w:val="left" w:pos="770"/>
        </w:tabs>
        <w:spacing w:line="240" w:lineRule="auto"/>
        <w:ind w:left="1283" w:hanging="947"/>
        <w:rPr>
          <w:color w:val="000000" w:themeColor="text1"/>
        </w:rPr>
      </w:pPr>
      <w:r w:rsidRPr="00A24302">
        <w:rPr>
          <w:b/>
          <w:bCs/>
          <w:sz w:val="24"/>
          <w:szCs w:val="24"/>
        </w:rPr>
        <w:t>Dealing with deviations from this procedure</w:t>
      </w:r>
    </w:p>
    <w:p w14:paraId="4E41E8D4" w14:textId="178D5ECB" w:rsidR="00C60F6E" w:rsidRDefault="00994C34" w:rsidP="00A05AB6">
      <w:pPr>
        <w:pStyle w:val="ListParagraph"/>
        <w:numPr>
          <w:ilvl w:val="2"/>
          <w:numId w:val="1"/>
        </w:numPr>
        <w:spacing w:line="240" w:lineRule="auto"/>
        <w:rPr>
          <w:rStyle w:val="normaltextrun"/>
          <w:rFonts w:ascii="Calibri" w:hAnsi="Calibri" w:cs="Calibri"/>
        </w:rPr>
      </w:pPr>
      <w:r>
        <w:rPr>
          <w:rFonts w:cstheme="minorHAnsi"/>
        </w:rPr>
        <w:t>Any deviations from this procedure must be reported t</w:t>
      </w:r>
      <w:r w:rsidRPr="00A24302">
        <w:rPr>
          <w:rFonts w:cstheme="minorHAnsi"/>
        </w:rPr>
        <w:t xml:space="preserve">o </w:t>
      </w:r>
      <w:r w:rsidRPr="00A24302">
        <w:rPr>
          <w:rStyle w:val="normaltextrun"/>
          <w:rFonts w:ascii="Calibri" w:hAnsi="Calibri" w:cs="Calibri"/>
        </w:rPr>
        <w:t xml:space="preserve">the Nominated Responsible Person who can then </w:t>
      </w:r>
      <w:r>
        <w:rPr>
          <w:rStyle w:val="normaltextrun"/>
          <w:rFonts w:ascii="Calibri" w:hAnsi="Calibri" w:cs="Calibri"/>
        </w:rPr>
        <w:t xml:space="preserve">escalate to the </w:t>
      </w:r>
      <w:r w:rsidRPr="00A24302">
        <w:rPr>
          <w:rStyle w:val="normaltextrun"/>
          <w:rFonts w:ascii="Calibri" w:hAnsi="Calibri" w:cs="Calibri"/>
        </w:rPr>
        <w:t>Primary Care Lead Pharmacist</w:t>
      </w:r>
      <w:r w:rsidR="008A2AEC">
        <w:rPr>
          <w:rStyle w:val="normaltextrun"/>
          <w:rFonts w:ascii="Calibri" w:hAnsi="Calibri" w:cs="Calibri"/>
        </w:rPr>
        <w:t xml:space="preserve"> or Lead GP</w:t>
      </w:r>
      <w:r>
        <w:rPr>
          <w:rStyle w:val="normaltextrun"/>
          <w:rFonts w:ascii="Calibri" w:hAnsi="Calibri" w:cs="Calibri"/>
        </w:rPr>
        <w:t>.</w:t>
      </w:r>
    </w:p>
    <w:p w14:paraId="258F2145" w14:textId="4EDDD757" w:rsidR="00C60F6E" w:rsidRPr="00C60F6E" w:rsidRDefault="00C60F6E" w:rsidP="00A05AB6">
      <w:pPr>
        <w:pStyle w:val="ListParagraph"/>
        <w:numPr>
          <w:ilvl w:val="2"/>
          <w:numId w:val="1"/>
        </w:numPr>
        <w:spacing w:line="240" w:lineRule="auto"/>
        <w:rPr>
          <w:rFonts w:ascii="Calibri" w:hAnsi="Calibri" w:cs="Calibri"/>
        </w:rPr>
      </w:pPr>
      <w:r w:rsidRPr="00C60F6E">
        <w:rPr>
          <w:rFonts w:cstheme="minorHAnsi"/>
        </w:rPr>
        <w:t xml:space="preserve">Where vaccine is </w:t>
      </w:r>
      <w:r w:rsidR="005842E0">
        <w:rPr>
          <w:rFonts w:cstheme="minorHAnsi"/>
        </w:rPr>
        <w:t>discarded</w:t>
      </w:r>
      <w:r>
        <w:rPr>
          <w:rFonts w:cstheme="minorHAnsi"/>
        </w:rPr>
        <w:t>,</w:t>
      </w:r>
      <w:r w:rsidRPr="00C60F6E">
        <w:rPr>
          <w:rFonts w:cstheme="minorHAnsi"/>
        </w:rPr>
        <w:t xml:space="preserve"> information must be reported on Foundry with the following codes:</w:t>
      </w:r>
    </w:p>
    <w:p w14:paraId="39C78680" w14:textId="27D5F0D7" w:rsidR="008A2AEC" w:rsidRDefault="00C60F6E" w:rsidP="00E81EC5">
      <w:pPr>
        <w:spacing w:line="240" w:lineRule="auto"/>
        <w:jc w:val="center"/>
        <w:rPr>
          <w:b/>
        </w:rPr>
      </w:pPr>
      <w:r>
        <w:rPr>
          <w:b/>
          <w:noProof/>
          <w:lang w:eastAsia="en-GB"/>
        </w:rPr>
        <w:drawing>
          <wp:inline distT="0" distB="0" distL="0" distR="0" wp14:anchorId="4B019327" wp14:editId="299F77F3">
            <wp:extent cx="6108746" cy="2700499"/>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3667"/>
                    <a:stretch/>
                  </pic:blipFill>
                  <pic:spPr bwMode="auto">
                    <a:xfrm>
                      <a:off x="0" y="0"/>
                      <a:ext cx="6114089" cy="2702861"/>
                    </a:xfrm>
                    <a:prstGeom prst="rect">
                      <a:avLst/>
                    </a:prstGeom>
                    <a:noFill/>
                    <a:ln>
                      <a:noFill/>
                    </a:ln>
                    <a:extLst>
                      <a:ext uri="{53640926-AAD7-44D8-BBD7-CCE9431645EC}">
                        <a14:shadowObscured xmlns:a14="http://schemas.microsoft.com/office/drawing/2010/main"/>
                      </a:ext>
                    </a:extLst>
                  </pic:spPr>
                </pic:pic>
              </a:graphicData>
            </a:graphic>
          </wp:inline>
        </w:drawing>
      </w:r>
    </w:p>
    <w:p w14:paraId="74EEDE10" w14:textId="064212DB" w:rsidR="00A21117" w:rsidRPr="00A21117" w:rsidRDefault="00BE03A7" w:rsidP="00A05AB6">
      <w:pPr>
        <w:pStyle w:val="ListParagraph"/>
        <w:numPr>
          <w:ilvl w:val="0"/>
          <w:numId w:val="1"/>
        </w:numPr>
        <w:spacing w:line="240" w:lineRule="auto"/>
        <w:rPr>
          <w:b/>
          <w:sz w:val="24"/>
        </w:rPr>
      </w:pPr>
      <w:r w:rsidRPr="00551917">
        <w:rPr>
          <w:b/>
          <w:sz w:val="24"/>
        </w:rPr>
        <w:t>Document history</w:t>
      </w:r>
    </w:p>
    <w:tbl>
      <w:tblPr>
        <w:tblStyle w:val="TableGrid"/>
        <w:tblW w:w="0" w:type="auto"/>
        <w:tblInd w:w="426" w:type="dxa"/>
        <w:tblLook w:val="04A0" w:firstRow="1" w:lastRow="0" w:firstColumn="1" w:lastColumn="0" w:noHBand="0" w:noVBand="1"/>
      </w:tblPr>
      <w:tblGrid>
        <w:gridCol w:w="1129"/>
        <w:gridCol w:w="1559"/>
        <w:gridCol w:w="3118"/>
        <w:gridCol w:w="3962"/>
      </w:tblGrid>
      <w:tr w:rsidR="00A21117" w14:paraId="524C0C35" w14:textId="77777777" w:rsidTr="009B02B0">
        <w:tc>
          <w:tcPr>
            <w:tcW w:w="1129" w:type="dxa"/>
          </w:tcPr>
          <w:p w14:paraId="0AC9F28B" w14:textId="77777777" w:rsidR="00A21117" w:rsidRPr="0032102A" w:rsidRDefault="00A21117" w:rsidP="009B02B0">
            <w:pPr>
              <w:rPr>
                <w:sz w:val="18"/>
                <w:szCs w:val="18"/>
              </w:rPr>
            </w:pPr>
            <w:r>
              <w:rPr>
                <w:sz w:val="18"/>
                <w:szCs w:val="18"/>
              </w:rPr>
              <w:t>Date</w:t>
            </w:r>
          </w:p>
        </w:tc>
        <w:tc>
          <w:tcPr>
            <w:tcW w:w="1559" w:type="dxa"/>
          </w:tcPr>
          <w:p w14:paraId="006A732D" w14:textId="77777777" w:rsidR="00A21117" w:rsidRDefault="00A21117" w:rsidP="009B02B0">
            <w:pPr>
              <w:jc w:val="both"/>
              <w:rPr>
                <w:sz w:val="18"/>
                <w:szCs w:val="18"/>
              </w:rPr>
            </w:pPr>
            <w:r>
              <w:rPr>
                <w:sz w:val="18"/>
                <w:szCs w:val="18"/>
              </w:rPr>
              <w:t>Version</w:t>
            </w:r>
          </w:p>
        </w:tc>
        <w:tc>
          <w:tcPr>
            <w:tcW w:w="3118" w:type="dxa"/>
          </w:tcPr>
          <w:p w14:paraId="0ED12D10" w14:textId="77777777" w:rsidR="00A21117" w:rsidRPr="0032102A" w:rsidRDefault="00A21117" w:rsidP="009B02B0">
            <w:pPr>
              <w:jc w:val="both"/>
              <w:rPr>
                <w:sz w:val="18"/>
                <w:szCs w:val="18"/>
              </w:rPr>
            </w:pPr>
            <w:r>
              <w:rPr>
                <w:sz w:val="18"/>
                <w:szCs w:val="18"/>
              </w:rPr>
              <w:t>Section</w:t>
            </w:r>
          </w:p>
        </w:tc>
        <w:tc>
          <w:tcPr>
            <w:tcW w:w="3962" w:type="dxa"/>
          </w:tcPr>
          <w:p w14:paraId="09BA7CA2" w14:textId="77777777" w:rsidR="00A21117" w:rsidRPr="0032102A" w:rsidRDefault="00A21117" w:rsidP="009B02B0">
            <w:pPr>
              <w:rPr>
                <w:sz w:val="18"/>
                <w:szCs w:val="18"/>
              </w:rPr>
            </w:pPr>
            <w:r>
              <w:rPr>
                <w:sz w:val="18"/>
                <w:szCs w:val="18"/>
              </w:rPr>
              <w:t>Details</w:t>
            </w:r>
          </w:p>
        </w:tc>
      </w:tr>
      <w:tr w:rsidR="00EA5F3B" w14:paraId="493E0B67" w14:textId="77777777" w:rsidTr="009B02B0">
        <w:tc>
          <w:tcPr>
            <w:tcW w:w="1129" w:type="dxa"/>
          </w:tcPr>
          <w:p w14:paraId="5B2D6A2E" w14:textId="2998A9A7" w:rsidR="00EA5F3B" w:rsidRDefault="00EA5F3B" w:rsidP="00EA5F3B">
            <w:pPr>
              <w:rPr>
                <w:sz w:val="18"/>
                <w:szCs w:val="18"/>
              </w:rPr>
            </w:pPr>
            <w:r>
              <w:rPr>
                <w:sz w:val="18"/>
                <w:szCs w:val="18"/>
              </w:rPr>
              <w:t>06.01.2021</w:t>
            </w:r>
          </w:p>
        </w:tc>
        <w:tc>
          <w:tcPr>
            <w:tcW w:w="1559" w:type="dxa"/>
          </w:tcPr>
          <w:p w14:paraId="784F4E55" w14:textId="60B122D0" w:rsidR="00EA5F3B" w:rsidRDefault="00EA5F3B" w:rsidP="00EA5F3B">
            <w:pPr>
              <w:rPr>
                <w:sz w:val="18"/>
                <w:szCs w:val="18"/>
              </w:rPr>
            </w:pPr>
            <w:r>
              <w:rPr>
                <w:sz w:val="18"/>
                <w:szCs w:val="18"/>
              </w:rPr>
              <w:t>1.1</w:t>
            </w:r>
          </w:p>
        </w:tc>
        <w:tc>
          <w:tcPr>
            <w:tcW w:w="3118" w:type="dxa"/>
          </w:tcPr>
          <w:p w14:paraId="157D1B1A" w14:textId="0C37826F" w:rsidR="00EA5F3B" w:rsidRDefault="00EA5F3B" w:rsidP="00EA5F3B">
            <w:pPr>
              <w:rPr>
                <w:sz w:val="18"/>
                <w:szCs w:val="18"/>
              </w:rPr>
            </w:pPr>
            <w:r>
              <w:rPr>
                <w:sz w:val="18"/>
                <w:szCs w:val="18"/>
              </w:rPr>
              <w:t>1</w:t>
            </w:r>
          </w:p>
        </w:tc>
        <w:tc>
          <w:tcPr>
            <w:tcW w:w="3962" w:type="dxa"/>
          </w:tcPr>
          <w:p w14:paraId="7B85709C" w14:textId="59397482" w:rsidR="00EA5F3B" w:rsidRDefault="00EA5F3B" w:rsidP="00EA5F3B">
            <w:pPr>
              <w:rPr>
                <w:sz w:val="18"/>
                <w:szCs w:val="18"/>
              </w:rPr>
            </w:pPr>
            <w:r>
              <w:rPr>
                <w:sz w:val="18"/>
                <w:szCs w:val="18"/>
              </w:rPr>
              <w:t>Definition of end user location added</w:t>
            </w:r>
          </w:p>
        </w:tc>
      </w:tr>
      <w:tr w:rsidR="00A21117" w14:paraId="75353E55" w14:textId="77777777" w:rsidTr="009B02B0">
        <w:tc>
          <w:tcPr>
            <w:tcW w:w="1129" w:type="dxa"/>
          </w:tcPr>
          <w:p w14:paraId="4A7D3C09" w14:textId="6E060B85" w:rsidR="00A21117" w:rsidRPr="0032102A" w:rsidRDefault="004600B8" w:rsidP="009B02B0">
            <w:pPr>
              <w:rPr>
                <w:sz w:val="18"/>
                <w:szCs w:val="18"/>
              </w:rPr>
            </w:pPr>
            <w:r>
              <w:rPr>
                <w:sz w:val="18"/>
                <w:szCs w:val="18"/>
              </w:rPr>
              <w:t>06.01.2021</w:t>
            </w:r>
          </w:p>
        </w:tc>
        <w:tc>
          <w:tcPr>
            <w:tcW w:w="1559" w:type="dxa"/>
          </w:tcPr>
          <w:p w14:paraId="40BF0318" w14:textId="0536612C" w:rsidR="00A21117" w:rsidRPr="0032102A" w:rsidRDefault="004600B8" w:rsidP="009B02B0">
            <w:pPr>
              <w:rPr>
                <w:sz w:val="18"/>
                <w:szCs w:val="18"/>
              </w:rPr>
            </w:pPr>
            <w:r>
              <w:rPr>
                <w:sz w:val="18"/>
                <w:szCs w:val="18"/>
              </w:rPr>
              <w:t>1.1</w:t>
            </w:r>
          </w:p>
        </w:tc>
        <w:tc>
          <w:tcPr>
            <w:tcW w:w="3118" w:type="dxa"/>
          </w:tcPr>
          <w:p w14:paraId="7AE684AF" w14:textId="2474C70F" w:rsidR="00A21117" w:rsidRPr="0032102A" w:rsidRDefault="004600B8" w:rsidP="009B02B0">
            <w:pPr>
              <w:rPr>
                <w:sz w:val="18"/>
                <w:szCs w:val="18"/>
              </w:rPr>
            </w:pPr>
            <w:r>
              <w:rPr>
                <w:sz w:val="18"/>
                <w:szCs w:val="18"/>
              </w:rPr>
              <w:t>5.3.15</w:t>
            </w:r>
          </w:p>
        </w:tc>
        <w:tc>
          <w:tcPr>
            <w:tcW w:w="3962" w:type="dxa"/>
          </w:tcPr>
          <w:p w14:paraId="787D2D06" w14:textId="428C47FB" w:rsidR="00A21117" w:rsidRPr="0032102A" w:rsidRDefault="004600B8" w:rsidP="009B02B0">
            <w:pPr>
              <w:rPr>
                <w:sz w:val="18"/>
                <w:szCs w:val="18"/>
              </w:rPr>
            </w:pPr>
            <w:r>
              <w:rPr>
                <w:sz w:val="18"/>
                <w:szCs w:val="18"/>
              </w:rPr>
              <w:t>Added instruction to discard unused vials that have left PCN Designated Site</w:t>
            </w:r>
          </w:p>
        </w:tc>
      </w:tr>
      <w:tr w:rsidR="006C4B10" w14:paraId="39001F41" w14:textId="77777777" w:rsidTr="009B02B0">
        <w:tc>
          <w:tcPr>
            <w:tcW w:w="1129" w:type="dxa"/>
          </w:tcPr>
          <w:p w14:paraId="59067130" w14:textId="54BBDF06" w:rsidR="006C4B10" w:rsidRDefault="006C4B10" w:rsidP="009B02B0">
            <w:pPr>
              <w:rPr>
                <w:sz w:val="18"/>
                <w:szCs w:val="18"/>
              </w:rPr>
            </w:pPr>
            <w:r>
              <w:rPr>
                <w:sz w:val="18"/>
                <w:szCs w:val="18"/>
              </w:rPr>
              <w:t>07.01.2021</w:t>
            </w:r>
          </w:p>
        </w:tc>
        <w:tc>
          <w:tcPr>
            <w:tcW w:w="1559" w:type="dxa"/>
          </w:tcPr>
          <w:p w14:paraId="673124F0" w14:textId="4667BDEC" w:rsidR="006C4B10" w:rsidRDefault="006C4B10" w:rsidP="009B02B0">
            <w:pPr>
              <w:rPr>
                <w:sz w:val="18"/>
                <w:szCs w:val="18"/>
              </w:rPr>
            </w:pPr>
            <w:r>
              <w:rPr>
                <w:sz w:val="18"/>
                <w:szCs w:val="18"/>
              </w:rPr>
              <w:t>1.2</w:t>
            </w:r>
          </w:p>
        </w:tc>
        <w:tc>
          <w:tcPr>
            <w:tcW w:w="3118" w:type="dxa"/>
          </w:tcPr>
          <w:p w14:paraId="6362F79B" w14:textId="14EDF149" w:rsidR="006C4B10" w:rsidRDefault="006C4B10" w:rsidP="009B02B0">
            <w:pPr>
              <w:rPr>
                <w:sz w:val="18"/>
                <w:szCs w:val="18"/>
              </w:rPr>
            </w:pPr>
            <w:r>
              <w:rPr>
                <w:sz w:val="18"/>
                <w:szCs w:val="18"/>
              </w:rPr>
              <w:t>5.3.11</w:t>
            </w:r>
          </w:p>
        </w:tc>
        <w:tc>
          <w:tcPr>
            <w:tcW w:w="3962" w:type="dxa"/>
          </w:tcPr>
          <w:p w14:paraId="66C1EF24" w14:textId="7603989A" w:rsidR="006C4B10" w:rsidRDefault="006C4B10" w:rsidP="009B02B0">
            <w:pPr>
              <w:rPr>
                <w:sz w:val="18"/>
                <w:szCs w:val="18"/>
              </w:rPr>
            </w:pPr>
            <w:r w:rsidRPr="006C4B10">
              <w:rPr>
                <w:sz w:val="18"/>
                <w:szCs w:val="18"/>
              </w:rPr>
              <w:t>Reference to section 8.3 about additional dose</w:t>
            </w:r>
          </w:p>
        </w:tc>
      </w:tr>
      <w:tr w:rsidR="006C4B10" w14:paraId="0874DF75" w14:textId="77777777" w:rsidTr="009B02B0">
        <w:tc>
          <w:tcPr>
            <w:tcW w:w="1129" w:type="dxa"/>
          </w:tcPr>
          <w:p w14:paraId="005FB0E4" w14:textId="06AD4906" w:rsidR="006C4B10" w:rsidRDefault="006C4B10" w:rsidP="009B02B0">
            <w:pPr>
              <w:rPr>
                <w:sz w:val="18"/>
                <w:szCs w:val="18"/>
              </w:rPr>
            </w:pPr>
            <w:r>
              <w:rPr>
                <w:sz w:val="18"/>
                <w:szCs w:val="18"/>
              </w:rPr>
              <w:t>07.01.2021</w:t>
            </w:r>
          </w:p>
        </w:tc>
        <w:tc>
          <w:tcPr>
            <w:tcW w:w="1559" w:type="dxa"/>
          </w:tcPr>
          <w:p w14:paraId="7211D62B" w14:textId="40D72387" w:rsidR="006C4B10" w:rsidRDefault="006C4B10" w:rsidP="009B02B0">
            <w:pPr>
              <w:rPr>
                <w:sz w:val="18"/>
                <w:szCs w:val="18"/>
              </w:rPr>
            </w:pPr>
            <w:r>
              <w:rPr>
                <w:sz w:val="18"/>
                <w:szCs w:val="18"/>
              </w:rPr>
              <w:t>1.2</w:t>
            </w:r>
          </w:p>
        </w:tc>
        <w:tc>
          <w:tcPr>
            <w:tcW w:w="3118" w:type="dxa"/>
          </w:tcPr>
          <w:p w14:paraId="31522A6E" w14:textId="187ABC4D" w:rsidR="006C4B10" w:rsidRDefault="006C4B10" w:rsidP="009B02B0">
            <w:pPr>
              <w:rPr>
                <w:sz w:val="18"/>
                <w:szCs w:val="18"/>
              </w:rPr>
            </w:pPr>
            <w:r>
              <w:rPr>
                <w:sz w:val="18"/>
                <w:szCs w:val="18"/>
              </w:rPr>
              <w:t>8.1</w:t>
            </w:r>
          </w:p>
        </w:tc>
        <w:tc>
          <w:tcPr>
            <w:tcW w:w="3962" w:type="dxa"/>
          </w:tcPr>
          <w:p w14:paraId="38329B19" w14:textId="379689AD" w:rsidR="006C4B10" w:rsidRDefault="006C4B10" w:rsidP="009B02B0">
            <w:pPr>
              <w:rPr>
                <w:sz w:val="18"/>
                <w:szCs w:val="18"/>
              </w:rPr>
            </w:pPr>
            <w:r>
              <w:rPr>
                <w:sz w:val="18"/>
                <w:szCs w:val="18"/>
              </w:rPr>
              <w:t>Additional link added</w:t>
            </w:r>
          </w:p>
        </w:tc>
      </w:tr>
      <w:tr w:rsidR="00CD37C0" w14:paraId="6F4BE48C" w14:textId="77777777" w:rsidTr="009B02B0">
        <w:tc>
          <w:tcPr>
            <w:tcW w:w="1129" w:type="dxa"/>
          </w:tcPr>
          <w:p w14:paraId="0E83FC23" w14:textId="4D8BBC1B" w:rsidR="00CD37C0" w:rsidRDefault="00CD37C0" w:rsidP="009B02B0">
            <w:pPr>
              <w:rPr>
                <w:sz w:val="18"/>
                <w:szCs w:val="18"/>
              </w:rPr>
            </w:pPr>
            <w:r>
              <w:rPr>
                <w:sz w:val="18"/>
                <w:szCs w:val="18"/>
              </w:rPr>
              <w:t>07.01.2021</w:t>
            </w:r>
          </w:p>
        </w:tc>
        <w:tc>
          <w:tcPr>
            <w:tcW w:w="1559" w:type="dxa"/>
          </w:tcPr>
          <w:p w14:paraId="786C8DC6" w14:textId="04BC2B5C" w:rsidR="00CD37C0" w:rsidRDefault="00CD37C0" w:rsidP="009B02B0">
            <w:pPr>
              <w:rPr>
                <w:sz w:val="18"/>
                <w:szCs w:val="18"/>
              </w:rPr>
            </w:pPr>
            <w:r>
              <w:rPr>
                <w:sz w:val="18"/>
                <w:szCs w:val="18"/>
              </w:rPr>
              <w:t>1.2</w:t>
            </w:r>
          </w:p>
        </w:tc>
        <w:tc>
          <w:tcPr>
            <w:tcW w:w="3118" w:type="dxa"/>
          </w:tcPr>
          <w:p w14:paraId="7787D492" w14:textId="41D809D7" w:rsidR="00CD37C0" w:rsidRDefault="00CD37C0" w:rsidP="009B02B0">
            <w:pPr>
              <w:rPr>
                <w:sz w:val="18"/>
                <w:szCs w:val="18"/>
              </w:rPr>
            </w:pPr>
            <w:r>
              <w:rPr>
                <w:sz w:val="18"/>
                <w:szCs w:val="18"/>
              </w:rPr>
              <w:t>8.3</w:t>
            </w:r>
          </w:p>
        </w:tc>
        <w:tc>
          <w:tcPr>
            <w:tcW w:w="3962" w:type="dxa"/>
          </w:tcPr>
          <w:p w14:paraId="30F2D7C1" w14:textId="17FE5766" w:rsidR="00CD37C0" w:rsidRDefault="00CD37C0" w:rsidP="009B02B0">
            <w:pPr>
              <w:rPr>
                <w:sz w:val="18"/>
                <w:szCs w:val="18"/>
              </w:rPr>
            </w:pPr>
            <w:r>
              <w:rPr>
                <w:sz w:val="18"/>
                <w:szCs w:val="18"/>
              </w:rPr>
              <w:t>Withdrawing additional doses information added</w:t>
            </w:r>
          </w:p>
        </w:tc>
      </w:tr>
      <w:tr w:rsidR="00E05790" w14:paraId="71D5CF36" w14:textId="77777777" w:rsidTr="009B02B0">
        <w:tc>
          <w:tcPr>
            <w:tcW w:w="1129" w:type="dxa"/>
          </w:tcPr>
          <w:p w14:paraId="6CF27C45" w14:textId="73BDC717" w:rsidR="00E05790" w:rsidRDefault="00E05790" w:rsidP="009B02B0">
            <w:pPr>
              <w:rPr>
                <w:sz w:val="18"/>
                <w:szCs w:val="18"/>
              </w:rPr>
            </w:pPr>
            <w:r>
              <w:rPr>
                <w:sz w:val="18"/>
                <w:szCs w:val="18"/>
              </w:rPr>
              <w:t>22.01.2021</w:t>
            </w:r>
          </w:p>
        </w:tc>
        <w:tc>
          <w:tcPr>
            <w:tcW w:w="1559" w:type="dxa"/>
          </w:tcPr>
          <w:p w14:paraId="2D965B8D" w14:textId="528BA116" w:rsidR="00E05790" w:rsidRDefault="00E05790" w:rsidP="009B02B0">
            <w:pPr>
              <w:rPr>
                <w:sz w:val="18"/>
                <w:szCs w:val="18"/>
              </w:rPr>
            </w:pPr>
            <w:r>
              <w:rPr>
                <w:sz w:val="18"/>
                <w:szCs w:val="18"/>
              </w:rPr>
              <w:t>1.3</w:t>
            </w:r>
          </w:p>
        </w:tc>
        <w:tc>
          <w:tcPr>
            <w:tcW w:w="3118" w:type="dxa"/>
          </w:tcPr>
          <w:p w14:paraId="7C430D0E" w14:textId="51AF99D7" w:rsidR="00E05790" w:rsidRDefault="00E05790" w:rsidP="009B02B0">
            <w:pPr>
              <w:rPr>
                <w:sz w:val="18"/>
                <w:szCs w:val="18"/>
              </w:rPr>
            </w:pPr>
            <w:r>
              <w:rPr>
                <w:sz w:val="18"/>
                <w:szCs w:val="18"/>
              </w:rPr>
              <w:t>3</w:t>
            </w:r>
          </w:p>
        </w:tc>
        <w:tc>
          <w:tcPr>
            <w:tcW w:w="3962" w:type="dxa"/>
          </w:tcPr>
          <w:p w14:paraId="3358D450" w14:textId="1929E21B" w:rsidR="00E05790" w:rsidRDefault="00E05790" w:rsidP="00E05790">
            <w:pPr>
              <w:rPr>
                <w:sz w:val="18"/>
                <w:szCs w:val="18"/>
              </w:rPr>
            </w:pPr>
            <w:r>
              <w:rPr>
                <w:sz w:val="18"/>
                <w:szCs w:val="18"/>
              </w:rPr>
              <w:t xml:space="preserve">Clarification on undertaking all steps of the process when working under the national PGD. Also wording now reflects availability of National Protocol </w:t>
            </w:r>
          </w:p>
        </w:tc>
      </w:tr>
      <w:tr w:rsidR="00E05790" w14:paraId="0C29B7C1" w14:textId="77777777" w:rsidTr="009B02B0">
        <w:tc>
          <w:tcPr>
            <w:tcW w:w="1129" w:type="dxa"/>
          </w:tcPr>
          <w:p w14:paraId="29ECC54B" w14:textId="377B3138" w:rsidR="00E05790" w:rsidRDefault="00E05790" w:rsidP="009B02B0">
            <w:pPr>
              <w:rPr>
                <w:sz w:val="18"/>
                <w:szCs w:val="18"/>
              </w:rPr>
            </w:pPr>
            <w:r>
              <w:rPr>
                <w:sz w:val="18"/>
                <w:szCs w:val="18"/>
              </w:rPr>
              <w:t>22.01.2021</w:t>
            </w:r>
          </w:p>
        </w:tc>
        <w:tc>
          <w:tcPr>
            <w:tcW w:w="1559" w:type="dxa"/>
          </w:tcPr>
          <w:p w14:paraId="7B5991E7" w14:textId="0C1BFD79" w:rsidR="00E05790" w:rsidRDefault="00E05790" w:rsidP="009B02B0">
            <w:pPr>
              <w:rPr>
                <w:sz w:val="18"/>
                <w:szCs w:val="18"/>
              </w:rPr>
            </w:pPr>
            <w:r>
              <w:rPr>
                <w:sz w:val="18"/>
                <w:szCs w:val="18"/>
              </w:rPr>
              <w:t>1.3</w:t>
            </w:r>
          </w:p>
        </w:tc>
        <w:tc>
          <w:tcPr>
            <w:tcW w:w="3118" w:type="dxa"/>
          </w:tcPr>
          <w:p w14:paraId="363F4BF2" w14:textId="28D7D36A" w:rsidR="00E05790" w:rsidRDefault="00E05790" w:rsidP="009B02B0">
            <w:pPr>
              <w:rPr>
                <w:sz w:val="18"/>
                <w:szCs w:val="18"/>
              </w:rPr>
            </w:pPr>
            <w:r>
              <w:rPr>
                <w:sz w:val="18"/>
                <w:szCs w:val="18"/>
              </w:rPr>
              <w:t>5.3.1</w:t>
            </w:r>
          </w:p>
        </w:tc>
        <w:tc>
          <w:tcPr>
            <w:tcW w:w="3962" w:type="dxa"/>
          </w:tcPr>
          <w:p w14:paraId="355154A9" w14:textId="4838C7E8" w:rsidR="00E05790" w:rsidRDefault="00E05790" w:rsidP="00477FAC">
            <w:pPr>
              <w:rPr>
                <w:sz w:val="18"/>
                <w:szCs w:val="18"/>
              </w:rPr>
            </w:pPr>
            <w:r>
              <w:rPr>
                <w:sz w:val="18"/>
                <w:szCs w:val="18"/>
              </w:rPr>
              <w:t>Additional consumables for 9</w:t>
            </w:r>
            <w:r w:rsidRPr="00477FAC">
              <w:rPr>
                <w:sz w:val="18"/>
                <w:szCs w:val="18"/>
                <w:vertAlign w:val="superscript"/>
              </w:rPr>
              <w:t>th</w:t>
            </w:r>
            <w:r>
              <w:rPr>
                <w:sz w:val="18"/>
                <w:szCs w:val="18"/>
              </w:rPr>
              <w:t xml:space="preserve"> or11</w:t>
            </w:r>
            <w:r w:rsidRPr="00477FAC">
              <w:rPr>
                <w:sz w:val="18"/>
                <w:szCs w:val="18"/>
                <w:vertAlign w:val="superscript"/>
              </w:rPr>
              <w:t xml:space="preserve">th </w:t>
            </w:r>
            <w:r>
              <w:rPr>
                <w:sz w:val="18"/>
                <w:szCs w:val="18"/>
              </w:rPr>
              <w:t>dose added</w:t>
            </w:r>
          </w:p>
        </w:tc>
      </w:tr>
      <w:tr w:rsidR="00E05790" w14:paraId="78EEABEF" w14:textId="77777777" w:rsidTr="009B02B0">
        <w:tc>
          <w:tcPr>
            <w:tcW w:w="1129" w:type="dxa"/>
          </w:tcPr>
          <w:p w14:paraId="2009BB7C" w14:textId="3E82E6F3" w:rsidR="00E05790" w:rsidRDefault="00E05790" w:rsidP="009B02B0">
            <w:pPr>
              <w:rPr>
                <w:sz w:val="18"/>
                <w:szCs w:val="18"/>
              </w:rPr>
            </w:pPr>
            <w:r>
              <w:rPr>
                <w:sz w:val="18"/>
                <w:szCs w:val="18"/>
              </w:rPr>
              <w:t>22.01.2021</w:t>
            </w:r>
          </w:p>
        </w:tc>
        <w:tc>
          <w:tcPr>
            <w:tcW w:w="1559" w:type="dxa"/>
          </w:tcPr>
          <w:p w14:paraId="306A42B1" w14:textId="3EE2E047" w:rsidR="00E05790" w:rsidRDefault="00E05790" w:rsidP="009B02B0">
            <w:pPr>
              <w:rPr>
                <w:sz w:val="18"/>
                <w:szCs w:val="18"/>
              </w:rPr>
            </w:pPr>
            <w:r>
              <w:rPr>
                <w:sz w:val="18"/>
                <w:szCs w:val="18"/>
              </w:rPr>
              <w:t>1.3</w:t>
            </w:r>
          </w:p>
        </w:tc>
        <w:tc>
          <w:tcPr>
            <w:tcW w:w="3118" w:type="dxa"/>
          </w:tcPr>
          <w:p w14:paraId="778D4515" w14:textId="7746F532" w:rsidR="00E05790" w:rsidRDefault="00E05790" w:rsidP="009B02B0">
            <w:pPr>
              <w:rPr>
                <w:sz w:val="18"/>
                <w:szCs w:val="18"/>
              </w:rPr>
            </w:pPr>
            <w:r>
              <w:rPr>
                <w:sz w:val="18"/>
                <w:szCs w:val="18"/>
              </w:rPr>
              <w:t>5.3.3</w:t>
            </w:r>
          </w:p>
        </w:tc>
        <w:tc>
          <w:tcPr>
            <w:tcW w:w="3962" w:type="dxa"/>
          </w:tcPr>
          <w:p w14:paraId="01A02D18" w14:textId="0376EC21" w:rsidR="00E05790" w:rsidRDefault="00E05790" w:rsidP="00477FAC">
            <w:pPr>
              <w:rPr>
                <w:sz w:val="18"/>
                <w:szCs w:val="18"/>
              </w:rPr>
            </w:pPr>
            <w:r>
              <w:rPr>
                <w:sz w:val="18"/>
                <w:szCs w:val="18"/>
              </w:rPr>
              <w:t>A</w:t>
            </w:r>
            <w:r w:rsidRPr="00B85FDC">
              <w:rPr>
                <w:sz w:val="18"/>
                <w:szCs w:val="18"/>
              </w:rPr>
              <w:t>ddition of 2</w:t>
            </w:r>
            <w:r w:rsidRPr="00B85FDC">
              <w:rPr>
                <w:sz w:val="18"/>
                <w:szCs w:val="18"/>
                <w:vertAlign w:val="superscript"/>
              </w:rPr>
              <w:t>nd</w:t>
            </w:r>
            <w:r w:rsidRPr="00B85FDC">
              <w:rPr>
                <w:sz w:val="18"/>
                <w:szCs w:val="18"/>
              </w:rPr>
              <w:t xml:space="preserve"> check to include correct vaccine vial selected</w:t>
            </w:r>
          </w:p>
        </w:tc>
      </w:tr>
      <w:tr w:rsidR="00E05790" w14:paraId="2CD221FB" w14:textId="77777777" w:rsidTr="009B02B0">
        <w:tc>
          <w:tcPr>
            <w:tcW w:w="1129" w:type="dxa"/>
          </w:tcPr>
          <w:p w14:paraId="4C41A689" w14:textId="1F69FE6D" w:rsidR="00E05790" w:rsidRDefault="00E05790" w:rsidP="009B02B0">
            <w:pPr>
              <w:rPr>
                <w:sz w:val="18"/>
                <w:szCs w:val="18"/>
              </w:rPr>
            </w:pPr>
            <w:r>
              <w:rPr>
                <w:sz w:val="18"/>
                <w:szCs w:val="18"/>
              </w:rPr>
              <w:t>22.01.2021</w:t>
            </w:r>
          </w:p>
        </w:tc>
        <w:tc>
          <w:tcPr>
            <w:tcW w:w="1559" w:type="dxa"/>
          </w:tcPr>
          <w:p w14:paraId="0D9EB89A" w14:textId="40526E18" w:rsidR="00E05790" w:rsidRDefault="00E05790" w:rsidP="009B02B0">
            <w:pPr>
              <w:rPr>
                <w:sz w:val="18"/>
                <w:szCs w:val="18"/>
              </w:rPr>
            </w:pPr>
            <w:r>
              <w:rPr>
                <w:sz w:val="18"/>
                <w:szCs w:val="18"/>
              </w:rPr>
              <w:t>1.3</w:t>
            </w:r>
          </w:p>
        </w:tc>
        <w:tc>
          <w:tcPr>
            <w:tcW w:w="3118" w:type="dxa"/>
          </w:tcPr>
          <w:p w14:paraId="1D1CB5D4" w14:textId="146E6557" w:rsidR="00E05790" w:rsidRDefault="00E05790" w:rsidP="009B02B0">
            <w:pPr>
              <w:rPr>
                <w:sz w:val="18"/>
                <w:szCs w:val="18"/>
              </w:rPr>
            </w:pPr>
            <w:r>
              <w:rPr>
                <w:sz w:val="18"/>
                <w:szCs w:val="18"/>
              </w:rPr>
              <w:t>5.3.6</w:t>
            </w:r>
          </w:p>
        </w:tc>
        <w:tc>
          <w:tcPr>
            <w:tcW w:w="3962" w:type="dxa"/>
          </w:tcPr>
          <w:p w14:paraId="71783D3C" w14:textId="4F2FF68B" w:rsidR="00E05790" w:rsidRDefault="00E05790" w:rsidP="00477FAC">
            <w:pPr>
              <w:rPr>
                <w:sz w:val="18"/>
                <w:szCs w:val="18"/>
              </w:rPr>
            </w:pPr>
            <w:r w:rsidRPr="00B85FDC">
              <w:rPr>
                <w:sz w:val="18"/>
                <w:szCs w:val="18"/>
              </w:rPr>
              <w:t>Now states “new” syringe / needle must be used</w:t>
            </w:r>
          </w:p>
        </w:tc>
      </w:tr>
      <w:tr w:rsidR="00E05790" w14:paraId="084C74BC" w14:textId="77777777" w:rsidTr="009B02B0">
        <w:tc>
          <w:tcPr>
            <w:tcW w:w="1129" w:type="dxa"/>
          </w:tcPr>
          <w:p w14:paraId="4C201837" w14:textId="1631C113" w:rsidR="00E05790" w:rsidRDefault="00E05790" w:rsidP="009B02B0">
            <w:pPr>
              <w:rPr>
                <w:sz w:val="18"/>
                <w:szCs w:val="18"/>
              </w:rPr>
            </w:pPr>
            <w:r>
              <w:rPr>
                <w:sz w:val="18"/>
                <w:szCs w:val="18"/>
              </w:rPr>
              <w:t>22.01.2021</w:t>
            </w:r>
          </w:p>
        </w:tc>
        <w:tc>
          <w:tcPr>
            <w:tcW w:w="1559" w:type="dxa"/>
          </w:tcPr>
          <w:p w14:paraId="064DD96A" w14:textId="0DC8A4A9" w:rsidR="00E05790" w:rsidRDefault="00E05790" w:rsidP="009B02B0">
            <w:pPr>
              <w:rPr>
                <w:sz w:val="18"/>
                <w:szCs w:val="18"/>
              </w:rPr>
            </w:pPr>
            <w:r>
              <w:rPr>
                <w:sz w:val="18"/>
                <w:szCs w:val="18"/>
              </w:rPr>
              <w:t>1.3</w:t>
            </w:r>
          </w:p>
        </w:tc>
        <w:tc>
          <w:tcPr>
            <w:tcW w:w="3118" w:type="dxa"/>
          </w:tcPr>
          <w:p w14:paraId="739A6C68" w14:textId="72DE13B0" w:rsidR="00E05790" w:rsidRDefault="00E05790" w:rsidP="009B02B0">
            <w:pPr>
              <w:rPr>
                <w:sz w:val="18"/>
                <w:szCs w:val="18"/>
              </w:rPr>
            </w:pPr>
            <w:r>
              <w:rPr>
                <w:sz w:val="18"/>
                <w:szCs w:val="18"/>
              </w:rPr>
              <w:t>5.3.11</w:t>
            </w:r>
          </w:p>
        </w:tc>
        <w:tc>
          <w:tcPr>
            <w:tcW w:w="3962" w:type="dxa"/>
          </w:tcPr>
          <w:p w14:paraId="063DB4C4" w14:textId="6E7917EB" w:rsidR="00E05790" w:rsidRPr="00B85FDC" w:rsidRDefault="00E05790" w:rsidP="00B85FDC">
            <w:pPr>
              <w:rPr>
                <w:sz w:val="18"/>
                <w:szCs w:val="18"/>
              </w:rPr>
            </w:pPr>
            <w:r>
              <w:rPr>
                <w:sz w:val="18"/>
                <w:szCs w:val="18"/>
              </w:rPr>
              <w:t>Previous section 8.3</w:t>
            </w:r>
            <w:r w:rsidRPr="00B85FDC">
              <w:rPr>
                <w:sz w:val="18"/>
                <w:szCs w:val="18"/>
              </w:rPr>
              <w:t xml:space="preserve"> on additional doses moved int</w:t>
            </w:r>
            <w:r>
              <w:rPr>
                <w:sz w:val="18"/>
                <w:szCs w:val="18"/>
              </w:rPr>
              <w:t>o this section</w:t>
            </w:r>
          </w:p>
        </w:tc>
      </w:tr>
      <w:tr w:rsidR="00E05790" w14:paraId="1F04067C" w14:textId="77777777" w:rsidTr="009B02B0">
        <w:tc>
          <w:tcPr>
            <w:tcW w:w="1129" w:type="dxa"/>
          </w:tcPr>
          <w:p w14:paraId="50025901" w14:textId="6ED0739F" w:rsidR="00E05790" w:rsidRDefault="00E05790" w:rsidP="009B02B0">
            <w:pPr>
              <w:rPr>
                <w:sz w:val="18"/>
                <w:szCs w:val="18"/>
              </w:rPr>
            </w:pPr>
            <w:r>
              <w:rPr>
                <w:sz w:val="18"/>
                <w:szCs w:val="18"/>
              </w:rPr>
              <w:t>22.01.2021</w:t>
            </w:r>
          </w:p>
        </w:tc>
        <w:tc>
          <w:tcPr>
            <w:tcW w:w="1559" w:type="dxa"/>
          </w:tcPr>
          <w:p w14:paraId="051D6744" w14:textId="4DF09532" w:rsidR="00E05790" w:rsidRDefault="00E05790" w:rsidP="009B02B0">
            <w:pPr>
              <w:rPr>
                <w:sz w:val="18"/>
                <w:szCs w:val="18"/>
              </w:rPr>
            </w:pPr>
            <w:r>
              <w:rPr>
                <w:sz w:val="18"/>
                <w:szCs w:val="18"/>
              </w:rPr>
              <w:t>1.3</w:t>
            </w:r>
          </w:p>
        </w:tc>
        <w:tc>
          <w:tcPr>
            <w:tcW w:w="3118" w:type="dxa"/>
          </w:tcPr>
          <w:p w14:paraId="540F3E65" w14:textId="21987183" w:rsidR="00E05790" w:rsidRDefault="00E05790" w:rsidP="009B02B0">
            <w:pPr>
              <w:rPr>
                <w:sz w:val="18"/>
                <w:szCs w:val="18"/>
              </w:rPr>
            </w:pPr>
            <w:r>
              <w:rPr>
                <w:sz w:val="18"/>
                <w:szCs w:val="18"/>
              </w:rPr>
              <w:t>8.3</w:t>
            </w:r>
          </w:p>
        </w:tc>
        <w:tc>
          <w:tcPr>
            <w:tcW w:w="3962" w:type="dxa"/>
          </w:tcPr>
          <w:p w14:paraId="67D9865A" w14:textId="4CC5C974" w:rsidR="00E05790" w:rsidRDefault="00E05790" w:rsidP="00B85FDC">
            <w:pPr>
              <w:rPr>
                <w:sz w:val="18"/>
                <w:szCs w:val="18"/>
              </w:rPr>
            </w:pPr>
            <w:r>
              <w:rPr>
                <w:sz w:val="18"/>
                <w:szCs w:val="18"/>
              </w:rPr>
              <w:t>Deleted and content moved to 5.3.11</w:t>
            </w:r>
          </w:p>
        </w:tc>
      </w:tr>
      <w:tr w:rsidR="00F4304D" w14:paraId="575A9D9C" w14:textId="77777777" w:rsidTr="009B02B0">
        <w:tc>
          <w:tcPr>
            <w:tcW w:w="1129" w:type="dxa"/>
          </w:tcPr>
          <w:p w14:paraId="401D1176" w14:textId="4A5D5E1C" w:rsidR="00F4304D" w:rsidRDefault="00F4304D" w:rsidP="009B02B0">
            <w:pPr>
              <w:rPr>
                <w:sz w:val="18"/>
                <w:szCs w:val="18"/>
              </w:rPr>
            </w:pPr>
            <w:r>
              <w:rPr>
                <w:sz w:val="18"/>
                <w:szCs w:val="18"/>
              </w:rPr>
              <w:t>02.02.21</w:t>
            </w:r>
          </w:p>
        </w:tc>
        <w:tc>
          <w:tcPr>
            <w:tcW w:w="1559" w:type="dxa"/>
          </w:tcPr>
          <w:p w14:paraId="3633A8E5" w14:textId="499F2414" w:rsidR="00F4304D" w:rsidRDefault="00F4304D" w:rsidP="00F4304D">
            <w:pPr>
              <w:rPr>
                <w:sz w:val="18"/>
                <w:szCs w:val="18"/>
              </w:rPr>
            </w:pPr>
            <w:r>
              <w:rPr>
                <w:sz w:val="18"/>
                <w:szCs w:val="18"/>
              </w:rPr>
              <w:t>1.4</w:t>
            </w:r>
          </w:p>
        </w:tc>
        <w:tc>
          <w:tcPr>
            <w:tcW w:w="3118" w:type="dxa"/>
          </w:tcPr>
          <w:p w14:paraId="76E3288A" w14:textId="6D481CEA" w:rsidR="00F4304D" w:rsidRDefault="00F4304D" w:rsidP="009B02B0">
            <w:pPr>
              <w:rPr>
                <w:sz w:val="18"/>
                <w:szCs w:val="18"/>
              </w:rPr>
            </w:pPr>
            <w:r>
              <w:rPr>
                <w:sz w:val="18"/>
                <w:szCs w:val="18"/>
              </w:rPr>
              <w:t>5.2.1</w:t>
            </w:r>
          </w:p>
        </w:tc>
        <w:tc>
          <w:tcPr>
            <w:tcW w:w="3962" w:type="dxa"/>
          </w:tcPr>
          <w:p w14:paraId="03971DB0" w14:textId="028A1D25" w:rsidR="00F4304D" w:rsidRDefault="00F4304D" w:rsidP="00B85FDC">
            <w:pPr>
              <w:rPr>
                <w:sz w:val="18"/>
                <w:szCs w:val="18"/>
              </w:rPr>
            </w:pPr>
            <w:r>
              <w:rPr>
                <w:sz w:val="18"/>
                <w:szCs w:val="18"/>
              </w:rPr>
              <w:t>Clarification of wording about removing of vaccine vials from refrigerator.</w:t>
            </w:r>
          </w:p>
        </w:tc>
      </w:tr>
      <w:tr w:rsidR="00F4304D" w14:paraId="0404D0AE" w14:textId="77777777" w:rsidTr="009B02B0">
        <w:tc>
          <w:tcPr>
            <w:tcW w:w="1129" w:type="dxa"/>
          </w:tcPr>
          <w:p w14:paraId="394E5EA8" w14:textId="47C6478D" w:rsidR="00F4304D" w:rsidRDefault="00F4304D" w:rsidP="009B02B0">
            <w:pPr>
              <w:rPr>
                <w:sz w:val="18"/>
                <w:szCs w:val="18"/>
              </w:rPr>
            </w:pPr>
            <w:r>
              <w:rPr>
                <w:sz w:val="18"/>
                <w:szCs w:val="18"/>
              </w:rPr>
              <w:t>02.02.21</w:t>
            </w:r>
          </w:p>
        </w:tc>
        <w:tc>
          <w:tcPr>
            <w:tcW w:w="1559" w:type="dxa"/>
          </w:tcPr>
          <w:p w14:paraId="0E921FD6" w14:textId="7292AAD7" w:rsidR="00F4304D" w:rsidRDefault="00F4304D" w:rsidP="00F4304D">
            <w:pPr>
              <w:rPr>
                <w:sz w:val="18"/>
                <w:szCs w:val="18"/>
              </w:rPr>
            </w:pPr>
            <w:r>
              <w:rPr>
                <w:sz w:val="18"/>
                <w:szCs w:val="18"/>
              </w:rPr>
              <w:t>1.4</w:t>
            </w:r>
          </w:p>
        </w:tc>
        <w:tc>
          <w:tcPr>
            <w:tcW w:w="3118" w:type="dxa"/>
          </w:tcPr>
          <w:p w14:paraId="16DC0F30" w14:textId="7FB0E03B" w:rsidR="00F4304D" w:rsidRDefault="00F4304D" w:rsidP="009B02B0">
            <w:pPr>
              <w:rPr>
                <w:sz w:val="18"/>
                <w:szCs w:val="18"/>
              </w:rPr>
            </w:pPr>
            <w:r>
              <w:rPr>
                <w:sz w:val="18"/>
                <w:szCs w:val="18"/>
              </w:rPr>
              <w:t>5.3.1</w:t>
            </w:r>
          </w:p>
        </w:tc>
        <w:tc>
          <w:tcPr>
            <w:tcW w:w="3962" w:type="dxa"/>
          </w:tcPr>
          <w:p w14:paraId="133F71FE" w14:textId="3F972774" w:rsidR="00F4304D" w:rsidRDefault="00F4304D" w:rsidP="00B85FDC">
            <w:pPr>
              <w:rPr>
                <w:sz w:val="18"/>
                <w:szCs w:val="18"/>
              </w:rPr>
            </w:pPr>
            <w:r>
              <w:rPr>
                <w:sz w:val="18"/>
                <w:szCs w:val="18"/>
              </w:rPr>
              <w:t>Amended needle gauge options for morbidly obese patients in accordance with PHE guidance</w:t>
            </w:r>
          </w:p>
        </w:tc>
      </w:tr>
      <w:tr w:rsidR="00F4304D" w14:paraId="20B65A07" w14:textId="77777777" w:rsidTr="009B02B0">
        <w:tc>
          <w:tcPr>
            <w:tcW w:w="1129" w:type="dxa"/>
          </w:tcPr>
          <w:p w14:paraId="6D588E7B" w14:textId="459BC38E" w:rsidR="00F4304D" w:rsidRDefault="00F4304D" w:rsidP="00F4304D">
            <w:pPr>
              <w:rPr>
                <w:sz w:val="18"/>
                <w:szCs w:val="18"/>
              </w:rPr>
            </w:pPr>
            <w:r>
              <w:rPr>
                <w:sz w:val="18"/>
                <w:szCs w:val="18"/>
              </w:rPr>
              <w:t>02.02.21</w:t>
            </w:r>
          </w:p>
        </w:tc>
        <w:tc>
          <w:tcPr>
            <w:tcW w:w="1559" w:type="dxa"/>
          </w:tcPr>
          <w:p w14:paraId="795F08B4" w14:textId="03A9E745" w:rsidR="00F4304D" w:rsidRDefault="00F4304D" w:rsidP="00F4304D">
            <w:pPr>
              <w:rPr>
                <w:sz w:val="18"/>
                <w:szCs w:val="18"/>
              </w:rPr>
            </w:pPr>
            <w:r>
              <w:rPr>
                <w:sz w:val="18"/>
                <w:szCs w:val="18"/>
              </w:rPr>
              <w:t>1.4</w:t>
            </w:r>
          </w:p>
        </w:tc>
        <w:tc>
          <w:tcPr>
            <w:tcW w:w="3118" w:type="dxa"/>
          </w:tcPr>
          <w:p w14:paraId="4DDDE3B1" w14:textId="5A7277FC" w:rsidR="00F4304D" w:rsidRDefault="00C426BA" w:rsidP="00F4304D">
            <w:pPr>
              <w:rPr>
                <w:sz w:val="18"/>
                <w:szCs w:val="18"/>
              </w:rPr>
            </w:pPr>
            <w:r>
              <w:rPr>
                <w:sz w:val="18"/>
                <w:szCs w:val="18"/>
              </w:rPr>
              <w:t>5.3.11</w:t>
            </w:r>
          </w:p>
        </w:tc>
        <w:tc>
          <w:tcPr>
            <w:tcW w:w="3962" w:type="dxa"/>
          </w:tcPr>
          <w:p w14:paraId="5474D258" w14:textId="7471D65C" w:rsidR="00F4304D" w:rsidRDefault="00C426BA" w:rsidP="00F4304D">
            <w:pPr>
              <w:rPr>
                <w:sz w:val="18"/>
                <w:szCs w:val="18"/>
              </w:rPr>
            </w:pPr>
            <w:r>
              <w:rPr>
                <w:sz w:val="18"/>
                <w:szCs w:val="18"/>
              </w:rPr>
              <w:t>Avoidance of pooling vaccines added</w:t>
            </w:r>
          </w:p>
        </w:tc>
      </w:tr>
      <w:tr w:rsidR="005E3CB4" w14:paraId="0C17F963" w14:textId="77777777" w:rsidTr="009B02B0">
        <w:tc>
          <w:tcPr>
            <w:tcW w:w="1129" w:type="dxa"/>
          </w:tcPr>
          <w:p w14:paraId="089F8E51" w14:textId="0EC707E3" w:rsidR="005E3CB4" w:rsidRDefault="005E3CB4" w:rsidP="00F4304D">
            <w:pPr>
              <w:rPr>
                <w:sz w:val="18"/>
                <w:szCs w:val="18"/>
              </w:rPr>
            </w:pPr>
            <w:r>
              <w:rPr>
                <w:sz w:val="18"/>
                <w:szCs w:val="18"/>
              </w:rPr>
              <w:lastRenderedPageBreak/>
              <w:t>12.02.21</w:t>
            </w:r>
          </w:p>
        </w:tc>
        <w:tc>
          <w:tcPr>
            <w:tcW w:w="1559" w:type="dxa"/>
          </w:tcPr>
          <w:p w14:paraId="6C236ED9" w14:textId="0486366E" w:rsidR="005E3CB4" w:rsidRDefault="005E3CB4" w:rsidP="00F4304D">
            <w:pPr>
              <w:rPr>
                <w:sz w:val="18"/>
                <w:szCs w:val="18"/>
              </w:rPr>
            </w:pPr>
            <w:r>
              <w:rPr>
                <w:sz w:val="18"/>
                <w:szCs w:val="18"/>
              </w:rPr>
              <w:t>1.5</w:t>
            </w:r>
          </w:p>
        </w:tc>
        <w:tc>
          <w:tcPr>
            <w:tcW w:w="3118" w:type="dxa"/>
          </w:tcPr>
          <w:p w14:paraId="2660683B" w14:textId="41E51BE3" w:rsidR="005E3CB4" w:rsidRDefault="005E3CB4" w:rsidP="00F4304D">
            <w:pPr>
              <w:rPr>
                <w:sz w:val="18"/>
                <w:szCs w:val="18"/>
              </w:rPr>
            </w:pPr>
            <w:r>
              <w:rPr>
                <w:sz w:val="18"/>
                <w:szCs w:val="18"/>
              </w:rPr>
              <w:t>5.3.16</w:t>
            </w:r>
          </w:p>
        </w:tc>
        <w:tc>
          <w:tcPr>
            <w:tcW w:w="3962" w:type="dxa"/>
          </w:tcPr>
          <w:p w14:paraId="5B8B5A67" w14:textId="78710928" w:rsidR="005E3CB4" w:rsidRDefault="005E3CB4" w:rsidP="00F4304D">
            <w:pPr>
              <w:rPr>
                <w:sz w:val="18"/>
                <w:szCs w:val="18"/>
              </w:rPr>
            </w:pPr>
            <w:r>
              <w:rPr>
                <w:sz w:val="18"/>
                <w:szCs w:val="18"/>
              </w:rPr>
              <w:t>Clarification of waste disposal advice to prevent theft and misuse</w:t>
            </w:r>
          </w:p>
        </w:tc>
      </w:tr>
      <w:tr w:rsidR="000B5B55" w14:paraId="3ACF3DCA" w14:textId="77777777" w:rsidTr="009B02B0">
        <w:tc>
          <w:tcPr>
            <w:tcW w:w="1129" w:type="dxa"/>
          </w:tcPr>
          <w:p w14:paraId="76B8865A" w14:textId="3B824AD8" w:rsidR="000B5B55" w:rsidRDefault="000B5B55" w:rsidP="00F4304D">
            <w:pPr>
              <w:rPr>
                <w:sz w:val="18"/>
                <w:szCs w:val="18"/>
              </w:rPr>
            </w:pPr>
            <w:r>
              <w:rPr>
                <w:sz w:val="18"/>
                <w:szCs w:val="18"/>
              </w:rPr>
              <w:t>12.02.21</w:t>
            </w:r>
          </w:p>
        </w:tc>
        <w:tc>
          <w:tcPr>
            <w:tcW w:w="1559" w:type="dxa"/>
          </w:tcPr>
          <w:p w14:paraId="200725A8" w14:textId="107E1FDB" w:rsidR="000B5B55" w:rsidRDefault="000B5B55" w:rsidP="00F4304D">
            <w:pPr>
              <w:rPr>
                <w:sz w:val="18"/>
                <w:szCs w:val="18"/>
              </w:rPr>
            </w:pPr>
            <w:r>
              <w:rPr>
                <w:sz w:val="18"/>
                <w:szCs w:val="18"/>
              </w:rPr>
              <w:t>1.5</w:t>
            </w:r>
          </w:p>
        </w:tc>
        <w:tc>
          <w:tcPr>
            <w:tcW w:w="3118" w:type="dxa"/>
          </w:tcPr>
          <w:p w14:paraId="4D3C545B" w14:textId="5198D0CD" w:rsidR="000B5B55" w:rsidRDefault="000B5B55" w:rsidP="00F4304D">
            <w:pPr>
              <w:rPr>
                <w:sz w:val="18"/>
                <w:szCs w:val="18"/>
              </w:rPr>
            </w:pPr>
            <w:r>
              <w:rPr>
                <w:sz w:val="18"/>
                <w:szCs w:val="18"/>
              </w:rPr>
              <w:t>5.3.17</w:t>
            </w:r>
          </w:p>
        </w:tc>
        <w:tc>
          <w:tcPr>
            <w:tcW w:w="3962" w:type="dxa"/>
          </w:tcPr>
          <w:p w14:paraId="1E7CF4FD" w14:textId="045DA627" w:rsidR="000B5B55" w:rsidRDefault="000B5B55" w:rsidP="00F4304D">
            <w:pPr>
              <w:rPr>
                <w:sz w:val="18"/>
                <w:szCs w:val="18"/>
              </w:rPr>
            </w:pPr>
            <w:r>
              <w:rPr>
                <w:sz w:val="18"/>
                <w:szCs w:val="18"/>
              </w:rPr>
              <w:t>Removed and incorporated into 5.3.16</w:t>
            </w:r>
          </w:p>
        </w:tc>
      </w:tr>
      <w:tr w:rsidR="000F4075" w14:paraId="6F791043" w14:textId="77777777" w:rsidTr="009B02B0">
        <w:tc>
          <w:tcPr>
            <w:tcW w:w="1129" w:type="dxa"/>
          </w:tcPr>
          <w:p w14:paraId="67BD2368" w14:textId="06A42628" w:rsidR="000F4075" w:rsidRPr="00D51516" w:rsidRDefault="000F4075" w:rsidP="00D51516">
            <w:pPr>
              <w:rPr>
                <w:sz w:val="18"/>
                <w:szCs w:val="18"/>
              </w:rPr>
            </w:pPr>
            <w:r w:rsidRPr="00D51516">
              <w:rPr>
                <w:sz w:val="18"/>
                <w:szCs w:val="18"/>
              </w:rPr>
              <w:t>1</w:t>
            </w:r>
            <w:r w:rsidR="00D51516">
              <w:rPr>
                <w:sz w:val="18"/>
                <w:szCs w:val="18"/>
              </w:rPr>
              <w:t>9</w:t>
            </w:r>
            <w:bookmarkStart w:id="2" w:name="_GoBack"/>
            <w:bookmarkEnd w:id="2"/>
            <w:r w:rsidRPr="00D51516">
              <w:rPr>
                <w:sz w:val="18"/>
                <w:szCs w:val="18"/>
              </w:rPr>
              <w:t>.</w:t>
            </w:r>
            <w:r w:rsidR="00D51516">
              <w:rPr>
                <w:sz w:val="18"/>
                <w:szCs w:val="18"/>
              </w:rPr>
              <w:t>0</w:t>
            </w:r>
            <w:r w:rsidRPr="00D51516">
              <w:rPr>
                <w:sz w:val="18"/>
                <w:szCs w:val="18"/>
              </w:rPr>
              <w:t>3.21</w:t>
            </w:r>
          </w:p>
        </w:tc>
        <w:tc>
          <w:tcPr>
            <w:tcW w:w="1559" w:type="dxa"/>
          </w:tcPr>
          <w:p w14:paraId="5E042AE4" w14:textId="65D5C693" w:rsidR="000F4075" w:rsidRPr="00D51516" w:rsidRDefault="000F4075" w:rsidP="00F4304D">
            <w:pPr>
              <w:rPr>
                <w:sz w:val="18"/>
                <w:szCs w:val="18"/>
              </w:rPr>
            </w:pPr>
            <w:r w:rsidRPr="00D51516">
              <w:rPr>
                <w:sz w:val="18"/>
                <w:szCs w:val="18"/>
              </w:rPr>
              <w:t>1.6</w:t>
            </w:r>
          </w:p>
        </w:tc>
        <w:tc>
          <w:tcPr>
            <w:tcW w:w="3118" w:type="dxa"/>
          </w:tcPr>
          <w:p w14:paraId="60EE4C0F" w14:textId="552FEA11" w:rsidR="000F4075" w:rsidRPr="00D51516" w:rsidRDefault="000F4075" w:rsidP="00F4304D">
            <w:pPr>
              <w:rPr>
                <w:sz w:val="18"/>
                <w:szCs w:val="18"/>
              </w:rPr>
            </w:pPr>
            <w:r w:rsidRPr="00D51516">
              <w:rPr>
                <w:sz w:val="18"/>
                <w:szCs w:val="18"/>
              </w:rPr>
              <w:t>5.3.16</w:t>
            </w:r>
          </w:p>
        </w:tc>
        <w:tc>
          <w:tcPr>
            <w:tcW w:w="3962" w:type="dxa"/>
          </w:tcPr>
          <w:p w14:paraId="30E8D67C" w14:textId="2FF5E9E9" w:rsidR="000F4075" w:rsidRPr="00D51516" w:rsidRDefault="000F4075" w:rsidP="00F4304D">
            <w:pPr>
              <w:rPr>
                <w:sz w:val="18"/>
                <w:szCs w:val="18"/>
              </w:rPr>
            </w:pPr>
            <w:r w:rsidRPr="00D51516">
              <w:rPr>
                <w:sz w:val="18"/>
                <w:szCs w:val="18"/>
              </w:rPr>
              <w:t>Further clarification of waste disposal advice to prevent theft and misuse</w:t>
            </w:r>
          </w:p>
        </w:tc>
      </w:tr>
    </w:tbl>
    <w:p w14:paraId="3DEEC669" w14:textId="77777777" w:rsidR="00BC7946" w:rsidRDefault="00BC7946" w:rsidP="00ED00A6">
      <w:pPr>
        <w:spacing w:after="0" w:line="240" w:lineRule="auto"/>
      </w:pPr>
    </w:p>
    <w:p w14:paraId="0E76DC93" w14:textId="77777777" w:rsidR="00765E3C" w:rsidRPr="00BC7946" w:rsidRDefault="00765E3C" w:rsidP="00ED00A6">
      <w:pPr>
        <w:spacing w:after="0" w:line="240" w:lineRule="auto"/>
      </w:pPr>
    </w:p>
    <w:p w14:paraId="7032F9A2" w14:textId="0C275532" w:rsidR="00EB2BA9" w:rsidRPr="008A2AEC" w:rsidRDefault="000E3A5F" w:rsidP="00A05AB6">
      <w:pPr>
        <w:pStyle w:val="ListParagraph"/>
        <w:numPr>
          <w:ilvl w:val="0"/>
          <w:numId w:val="1"/>
        </w:numPr>
        <w:spacing w:line="240" w:lineRule="auto"/>
        <w:rPr>
          <w:b/>
          <w:sz w:val="24"/>
        </w:rPr>
      </w:pPr>
      <w:r w:rsidRPr="008A2AEC">
        <w:rPr>
          <w:b/>
          <w:sz w:val="24"/>
        </w:rPr>
        <w:t>Supporting Documents</w:t>
      </w:r>
    </w:p>
    <w:p w14:paraId="258D567D" w14:textId="5EC1D967" w:rsidR="00513AC5" w:rsidRPr="00542AC3" w:rsidRDefault="00513AC5" w:rsidP="00C745B9">
      <w:pPr>
        <w:pStyle w:val="ListParagraph"/>
        <w:spacing w:line="240" w:lineRule="auto"/>
        <w:ind w:left="360"/>
      </w:pPr>
      <w:r w:rsidRPr="00542AC3">
        <w:t xml:space="preserve">AVH3.1 – AstraZeneca COVID-19 </w:t>
      </w:r>
      <w:r w:rsidR="00542AC3" w:rsidRPr="00542AC3">
        <w:t>Vaccine preparation</w:t>
      </w:r>
      <w:r w:rsidRPr="00542AC3">
        <w:t xml:space="preserve"> work instruction</w:t>
      </w:r>
    </w:p>
    <w:p w14:paraId="1AFA8AC9" w14:textId="2E704ED7" w:rsidR="004C4E68" w:rsidRDefault="006C2326" w:rsidP="00C745B9">
      <w:pPr>
        <w:pStyle w:val="ListParagraph"/>
        <w:spacing w:line="240" w:lineRule="auto"/>
        <w:ind w:left="360"/>
      </w:pPr>
      <w:r w:rsidRPr="00542AC3">
        <w:t>A</w:t>
      </w:r>
      <w:r w:rsidR="004C4E68" w:rsidRPr="00542AC3">
        <w:t>VH</w:t>
      </w:r>
      <w:r w:rsidR="00154395" w:rsidRPr="00542AC3">
        <w:t>3</w:t>
      </w:r>
      <w:r w:rsidR="00013509" w:rsidRPr="00542AC3">
        <w:t>.</w:t>
      </w:r>
      <w:r w:rsidR="00513AC5" w:rsidRPr="00542AC3">
        <w:t>2</w:t>
      </w:r>
      <w:r w:rsidR="005A3049" w:rsidRPr="00542AC3">
        <w:t xml:space="preserve"> - </w:t>
      </w:r>
      <w:r w:rsidR="006C3240" w:rsidRPr="00542AC3">
        <w:t>Vaccine Supervision Checklist</w:t>
      </w:r>
    </w:p>
    <w:p w14:paraId="75B61F88" w14:textId="77777777" w:rsidR="006C2326" w:rsidRDefault="006C2326" w:rsidP="006C2326">
      <w:pPr>
        <w:pStyle w:val="ListParagraph"/>
        <w:spacing w:line="240" w:lineRule="auto"/>
        <w:ind w:left="360"/>
        <w:rPr>
          <w:b/>
          <w:sz w:val="24"/>
        </w:rPr>
      </w:pPr>
    </w:p>
    <w:p w14:paraId="5F81E84A" w14:textId="77777777" w:rsidR="002959D7" w:rsidRDefault="002959D7" w:rsidP="006C2326">
      <w:pPr>
        <w:pStyle w:val="ListParagraph"/>
        <w:spacing w:line="240" w:lineRule="auto"/>
        <w:ind w:left="360"/>
        <w:rPr>
          <w:b/>
          <w:sz w:val="24"/>
        </w:rPr>
      </w:pPr>
    </w:p>
    <w:p w14:paraId="15B95A25" w14:textId="77777777" w:rsidR="002959D7" w:rsidRDefault="002959D7" w:rsidP="006C2326">
      <w:pPr>
        <w:pStyle w:val="ListParagraph"/>
        <w:spacing w:line="240" w:lineRule="auto"/>
        <w:ind w:left="360"/>
        <w:rPr>
          <w:b/>
          <w:sz w:val="24"/>
        </w:rPr>
      </w:pPr>
    </w:p>
    <w:p w14:paraId="44366C67" w14:textId="018293D8" w:rsidR="009B0767" w:rsidRDefault="00133EA5" w:rsidP="00A05AB6">
      <w:pPr>
        <w:pStyle w:val="ListParagraph"/>
        <w:numPr>
          <w:ilvl w:val="0"/>
          <w:numId w:val="1"/>
        </w:numPr>
        <w:spacing w:line="240" w:lineRule="auto"/>
        <w:rPr>
          <w:b/>
          <w:sz w:val="24"/>
        </w:rPr>
      </w:pPr>
      <w:r w:rsidRPr="00133EA5">
        <w:rPr>
          <w:b/>
          <w:sz w:val="24"/>
        </w:rPr>
        <w:t xml:space="preserve">Further </w:t>
      </w:r>
      <w:r w:rsidR="008015AD">
        <w:rPr>
          <w:b/>
          <w:sz w:val="24"/>
        </w:rPr>
        <w:t>i</w:t>
      </w:r>
      <w:r w:rsidRPr="00133EA5">
        <w:rPr>
          <w:b/>
          <w:sz w:val="24"/>
        </w:rPr>
        <w:t>nformation</w:t>
      </w:r>
    </w:p>
    <w:p w14:paraId="2396E6D6" w14:textId="2D838531" w:rsidR="00133EA5" w:rsidRPr="00133EA5" w:rsidRDefault="009B0767" w:rsidP="00A05AB6">
      <w:pPr>
        <w:pStyle w:val="ListParagraph"/>
        <w:numPr>
          <w:ilvl w:val="1"/>
          <w:numId w:val="1"/>
        </w:numPr>
        <w:tabs>
          <w:tab w:val="left" w:pos="770"/>
        </w:tabs>
        <w:spacing w:line="240" w:lineRule="auto"/>
        <w:ind w:left="1283" w:hanging="947"/>
        <w:rPr>
          <w:b/>
          <w:sz w:val="24"/>
        </w:rPr>
      </w:pPr>
      <w:bookmarkStart w:id="3" w:name="_Hlk58840189"/>
      <w:r>
        <w:rPr>
          <w:b/>
          <w:sz w:val="24"/>
        </w:rPr>
        <w:t>W</w:t>
      </w:r>
      <w:r w:rsidR="00133EA5" w:rsidRPr="00133EA5">
        <w:rPr>
          <w:b/>
          <w:sz w:val="24"/>
        </w:rPr>
        <w:t>orking under a PGD</w:t>
      </w:r>
      <w:bookmarkEnd w:id="3"/>
    </w:p>
    <w:p w14:paraId="02D32349" w14:textId="77777777" w:rsidR="00E86135" w:rsidRDefault="00133EA5" w:rsidP="00E86135">
      <w:pPr>
        <w:spacing w:line="240" w:lineRule="auto"/>
        <w:ind w:left="360"/>
      </w:pPr>
      <w:r>
        <w:t xml:space="preserve">There can be no delegation of any stage within the PGD so everything from clinical assessment, consent, through vaccine preparation and administration to record keeping has to be undertaken by the same registered </w:t>
      </w:r>
      <w:r w:rsidR="00A94AFC">
        <w:t>healthcare</w:t>
      </w:r>
      <w:r>
        <w:t xml:space="preserve"> </w:t>
      </w:r>
      <w:r w:rsidR="00A94AFC">
        <w:t>professional</w:t>
      </w:r>
      <w:r>
        <w:t xml:space="preserve"> working under the PGD.</w:t>
      </w:r>
    </w:p>
    <w:p w14:paraId="67FB114E" w14:textId="78FD6735" w:rsidR="001C5EB7" w:rsidRDefault="00A94AFC" w:rsidP="00E86135">
      <w:pPr>
        <w:spacing w:after="0" w:line="240" w:lineRule="auto"/>
        <w:ind w:left="360"/>
        <w:rPr>
          <w:rFonts w:ascii="Segoe UI" w:hAnsi="Segoe UI" w:cs="Segoe UI"/>
          <w:color w:val="DA846B"/>
          <w:sz w:val="81"/>
          <w:szCs w:val="81"/>
        </w:rPr>
      </w:pPr>
      <w:r>
        <w:t xml:space="preserve">Further information can be found </w:t>
      </w:r>
      <w:r w:rsidR="008C5A64">
        <w:t>at</w:t>
      </w:r>
      <w:r w:rsidR="001C5EB7">
        <w:t xml:space="preserve"> </w:t>
      </w:r>
      <w:hyperlink r:id="rId12" w:history="1">
        <w:r w:rsidR="001C5EB7" w:rsidRPr="00451D19">
          <w:rPr>
            <w:rStyle w:val="Hyperlink"/>
          </w:rPr>
          <w:t>Patient Group Directions for the COVID-19 vaccine</w:t>
        </w:r>
        <w:r w:rsidR="001C5EB7" w:rsidRPr="006C4B10">
          <w:rPr>
            <w:rStyle w:val="Hyperlink"/>
          </w:rPr>
          <w:t>s</w:t>
        </w:r>
        <w:r w:rsidR="001C5EB7" w:rsidRPr="00451D19">
          <w:rPr>
            <w:rStyle w:val="Hyperlink"/>
          </w:rPr>
          <w:t>: Summary</w:t>
        </w:r>
      </w:hyperlink>
      <w:r w:rsidR="001C5EB7">
        <w:t xml:space="preserve"> and</w:t>
      </w:r>
    </w:p>
    <w:p w14:paraId="3896D8C6" w14:textId="6C60AF0D" w:rsidR="00EA146C" w:rsidRDefault="00D51516" w:rsidP="00E86135">
      <w:pPr>
        <w:spacing w:after="0" w:line="240" w:lineRule="auto"/>
        <w:ind w:left="360"/>
        <w:rPr>
          <w:rStyle w:val="Hyperlink"/>
        </w:rPr>
      </w:pPr>
      <w:hyperlink r:id="rId13" w:history="1">
        <w:r w:rsidR="00662F83" w:rsidRPr="00662F83">
          <w:rPr>
            <w:rStyle w:val="Hyperlink"/>
          </w:rPr>
          <w:t>Delegation of supply or administration of medicines using a PGD</w:t>
        </w:r>
      </w:hyperlink>
      <w:r w:rsidR="001C5EB7">
        <w:rPr>
          <w:rStyle w:val="Hyperlink"/>
        </w:rPr>
        <w:t xml:space="preserve"> </w:t>
      </w:r>
    </w:p>
    <w:p w14:paraId="7B52FF57" w14:textId="77777777" w:rsidR="006C4B10" w:rsidRPr="00D71871" w:rsidRDefault="006C4B10" w:rsidP="00451D19">
      <w:pPr>
        <w:spacing w:after="0" w:line="240" w:lineRule="auto"/>
        <w:ind w:left="360"/>
        <w:rPr>
          <w:color w:val="0000FF" w:themeColor="hyperlink"/>
          <w:u w:val="single"/>
        </w:rPr>
      </w:pPr>
    </w:p>
    <w:p w14:paraId="03070A1D" w14:textId="7FAAA960" w:rsidR="00D71871" w:rsidRPr="00D71871" w:rsidRDefault="00D71871" w:rsidP="00D71871">
      <w:pPr>
        <w:pStyle w:val="ListParagraph"/>
        <w:numPr>
          <w:ilvl w:val="1"/>
          <w:numId w:val="1"/>
        </w:numPr>
        <w:tabs>
          <w:tab w:val="left" w:pos="770"/>
        </w:tabs>
        <w:spacing w:line="240" w:lineRule="auto"/>
        <w:ind w:left="1283" w:hanging="947"/>
        <w:rPr>
          <w:b/>
          <w:sz w:val="24"/>
        </w:rPr>
      </w:pPr>
      <w:r w:rsidRPr="00D71871">
        <w:rPr>
          <w:b/>
          <w:sz w:val="24"/>
        </w:rPr>
        <w:t>Storage conditions</w:t>
      </w:r>
    </w:p>
    <w:p w14:paraId="30A25EF0" w14:textId="5A2DDBC1" w:rsidR="00CD37C0" w:rsidRPr="00BC7946" w:rsidRDefault="000E7925" w:rsidP="00B85FDC">
      <w:pPr>
        <w:ind w:left="336"/>
      </w:pPr>
      <w:r>
        <w:t xml:space="preserve">At the time of writing there is no further stability information in addition to that included within the </w:t>
      </w:r>
      <w:hyperlink r:id="rId14" w:history="1">
        <w:r>
          <w:rPr>
            <w:rStyle w:val="Hyperlink"/>
          </w:rPr>
          <w:t>Regulation 174</w:t>
        </w:r>
      </w:hyperlink>
      <w:r>
        <w:t xml:space="preserve"> document for the AstraZeneca COVID-19 vaccine.</w:t>
      </w:r>
    </w:p>
    <w:p w14:paraId="2E8DC644" w14:textId="68E7F37D" w:rsidR="0098340E" w:rsidRDefault="0098340E" w:rsidP="00817520">
      <w:pPr>
        <w:spacing w:line="240" w:lineRule="auto"/>
      </w:pPr>
    </w:p>
    <w:sectPr w:rsidR="0098340E" w:rsidSect="006046FA">
      <w:headerReference w:type="default" r:id="rId15"/>
      <w:footerReference w:type="default" r:id="rId16"/>
      <w:pgSz w:w="11906" w:h="16838"/>
      <w:pgMar w:top="851" w:right="851" w:bottom="851" w:left="851"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0DA7D" w14:textId="77777777" w:rsidR="006C2326" w:rsidRDefault="006C2326" w:rsidP="00E56010">
      <w:pPr>
        <w:spacing w:after="0" w:line="240" w:lineRule="auto"/>
      </w:pPr>
      <w:r>
        <w:separator/>
      </w:r>
    </w:p>
  </w:endnote>
  <w:endnote w:type="continuationSeparator" w:id="0">
    <w:p w14:paraId="4CB1ACE3" w14:textId="77777777" w:rsidR="006C2326" w:rsidRDefault="006C2326" w:rsidP="00E5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31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423"/>
      <w:gridCol w:w="538"/>
      <w:gridCol w:w="2221"/>
      <w:gridCol w:w="668"/>
      <w:gridCol w:w="1663"/>
      <w:gridCol w:w="1559"/>
    </w:tblGrid>
    <w:tr w:rsidR="006C2326" w:rsidRPr="009C1C2A" w14:paraId="337948B0" w14:textId="77777777" w:rsidTr="4F313D50">
      <w:trPr>
        <w:trHeight w:val="305"/>
      </w:trPr>
      <w:tc>
        <w:tcPr>
          <w:tcW w:w="1242" w:type="dxa"/>
          <w:vAlign w:val="bottom"/>
        </w:tcPr>
        <w:p w14:paraId="37A19323"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Written by:</w:t>
          </w:r>
        </w:p>
      </w:tc>
      <w:tc>
        <w:tcPr>
          <w:tcW w:w="2423" w:type="dxa"/>
          <w:vAlign w:val="bottom"/>
        </w:tcPr>
        <w:p w14:paraId="3461D779"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538" w:type="dxa"/>
          <w:vAlign w:val="bottom"/>
        </w:tcPr>
        <w:p w14:paraId="048CC1B7"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3CF2D8B6"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668" w:type="dxa"/>
          <w:vAlign w:val="bottom"/>
        </w:tcPr>
        <w:p w14:paraId="3101716D"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0FB78278"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1559" w:type="dxa"/>
          <w:vMerge w:val="restart"/>
        </w:tcPr>
        <w:p w14:paraId="1FC39945" w14:textId="05A8670B" w:rsidR="006C2326" w:rsidRPr="009C1C2A" w:rsidRDefault="006C2326" w:rsidP="004E5B99">
          <w:pPr>
            <w:tabs>
              <w:tab w:val="center" w:pos="4513"/>
              <w:tab w:val="right" w:pos="9026"/>
            </w:tabs>
            <w:spacing w:after="60"/>
            <w:jc w:val="center"/>
            <w:rPr>
              <w:color w:val="A6A6A6" w:themeColor="background1" w:themeShade="A6"/>
            </w:rPr>
          </w:pPr>
          <w:r>
            <w:rPr>
              <w:noProof/>
              <w:color w:val="A6A6A6" w:themeColor="background1" w:themeShade="A6"/>
              <w:lang w:eastAsia="en-GB"/>
            </w:rPr>
            <w:drawing>
              <wp:inline distT="0" distB="0" distL="0" distR="0" wp14:anchorId="261D7748" wp14:editId="7DA242F4">
                <wp:extent cx="932815" cy="3898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389890"/>
                        </a:xfrm>
                        <a:prstGeom prst="rect">
                          <a:avLst/>
                        </a:prstGeom>
                        <a:noFill/>
                      </pic:spPr>
                    </pic:pic>
                  </a:graphicData>
                </a:graphic>
              </wp:inline>
            </w:drawing>
          </w:r>
        </w:p>
      </w:tc>
    </w:tr>
    <w:tr w:rsidR="006C2326" w:rsidRPr="009C1C2A" w14:paraId="7D51E6B1" w14:textId="77777777" w:rsidTr="4F313D50">
      <w:trPr>
        <w:trHeight w:val="305"/>
      </w:trPr>
      <w:tc>
        <w:tcPr>
          <w:tcW w:w="1242" w:type="dxa"/>
          <w:vAlign w:val="bottom"/>
        </w:tcPr>
        <w:p w14:paraId="19D35CC3"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Approved by:</w:t>
          </w:r>
        </w:p>
      </w:tc>
      <w:tc>
        <w:tcPr>
          <w:tcW w:w="2423" w:type="dxa"/>
          <w:vAlign w:val="bottom"/>
        </w:tcPr>
        <w:p w14:paraId="0562CB0E"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538" w:type="dxa"/>
          <w:vAlign w:val="bottom"/>
        </w:tcPr>
        <w:p w14:paraId="34F8F21A"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34CE0A41"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668" w:type="dxa"/>
          <w:vAlign w:val="bottom"/>
        </w:tcPr>
        <w:p w14:paraId="5D4EC514"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62EBF3C5"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1559" w:type="dxa"/>
          <w:vMerge/>
        </w:tcPr>
        <w:p w14:paraId="6D98A12B" w14:textId="77777777" w:rsidR="006C2326" w:rsidRPr="004517A2" w:rsidRDefault="006C2326" w:rsidP="004517A2">
          <w:pPr>
            <w:tabs>
              <w:tab w:val="center" w:pos="4513"/>
              <w:tab w:val="right" w:pos="9026"/>
            </w:tabs>
            <w:jc w:val="center"/>
            <w:rPr>
              <w:color w:val="00B050"/>
              <w:sz w:val="12"/>
              <w:szCs w:val="16"/>
            </w:rPr>
          </w:pPr>
        </w:p>
      </w:tc>
    </w:tr>
    <w:tr w:rsidR="006C2326" w:rsidRPr="009C1C2A" w14:paraId="11CF2780" w14:textId="77777777" w:rsidTr="4F313D50">
      <w:trPr>
        <w:trHeight w:val="305"/>
      </w:trPr>
      <w:tc>
        <w:tcPr>
          <w:tcW w:w="1242" w:type="dxa"/>
          <w:vAlign w:val="bottom"/>
        </w:tcPr>
        <w:p w14:paraId="28F8C2C6"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Authorised by:</w:t>
          </w:r>
        </w:p>
      </w:tc>
      <w:tc>
        <w:tcPr>
          <w:tcW w:w="2423" w:type="dxa"/>
          <w:vAlign w:val="bottom"/>
        </w:tcPr>
        <w:p w14:paraId="2946DB82"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538" w:type="dxa"/>
          <w:vAlign w:val="bottom"/>
        </w:tcPr>
        <w:p w14:paraId="31CE0781"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5997CC1D"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668" w:type="dxa"/>
          <w:vAlign w:val="bottom"/>
        </w:tcPr>
        <w:p w14:paraId="006817C5" w14:textId="77777777" w:rsidR="006C2326" w:rsidRPr="00E660BE" w:rsidRDefault="006C2326"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110FFD37" w14:textId="77777777" w:rsidR="006C2326" w:rsidRPr="00815723" w:rsidRDefault="006C2326" w:rsidP="00BB7EC8">
          <w:pPr>
            <w:tabs>
              <w:tab w:val="center" w:pos="4513"/>
              <w:tab w:val="right" w:pos="9026"/>
            </w:tabs>
            <w:rPr>
              <w:rFonts w:ascii="Arial" w:hAnsi="Arial" w:cs="Arial"/>
              <w:color w:val="A6A6A6" w:themeColor="background1" w:themeShade="A6"/>
              <w:sz w:val="20"/>
            </w:rPr>
          </w:pPr>
        </w:p>
      </w:tc>
      <w:tc>
        <w:tcPr>
          <w:tcW w:w="1559" w:type="dxa"/>
          <w:vMerge/>
        </w:tcPr>
        <w:p w14:paraId="6B699379" w14:textId="77777777" w:rsidR="006C2326" w:rsidRPr="004517A2" w:rsidRDefault="006C2326" w:rsidP="004517A2">
          <w:pPr>
            <w:tabs>
              <w:tab w:val="center" w:pos="4513"/>
              <w:tab w:val="right" w:pos="9026"/>
            </w:tabs>
            <w:jc w:val="center"/>
            <w:rPr>
              <w:color w:val="00B050"/>
              <w:sz w:val="12"/>
              <w:szCs w:val="16"/>
            </w:rPr>
          </w:pPr>
        </w:p>
      </w:tc>
    </w:tr>
  </w:tbl>
  <w:p w14:paraId="3FE9F23F" w14:textId="77777777" w:rsidR="006C2326" w:rsidRPr="002726D0" w:rsidRDefault="006C2326" w:rsidP="009C1C2A">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D50C" w14:textId="77777777" w:rsidR="006C2326" w:rsidRDefault="006C2326" w:rsidP="00E56010">
      <w:pPr>
        <w:spacing w:after="0" w:line="240" w:lineRule="auto"/>
      </w:pPr>
      <w:r>
        <w:separator/>
      </w:r>
    </w:p>
  </w:footnote>
  <w:footnote w:type="continuationSeparator" w:id="0">
    <w:p w14:paraId="718A80BC" w14:textId="77777777" w:rsidR="006C2326" w:rsidRDefault="006C2326" w:rsidP="00E5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63"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325"/>
      <w:gridCol w:w="170"/>
      <w:gridCol w:w="964"/>
      <w:gridCol w:w="284"/>
      <w:gridCol w:w="1247"/>
      <w:gridCol w:w="1247"/>
      <w:gridCol w:w="1248"/>
      <w:gridCol w:w="510"/>
      <w:gridCol w:w="737"/>
      <w:gridCol w:w="1531"/>
    </w:tblGrid>
    <w:tr w:rsidR="006C2326" w:rsidRPr="00E56010" w14:paraId="4A8A9AA5" w14:textId="77777777" w:rsidTr="4F313D50">
      <w:trPr>
        <w:trHeight w:val="336"/>
      </w:trPr>
      <w:tc>
        <w:tcPr>
          <w:tcW w:w="3459" w:type="dxa"/>
          <w:gridSpan w:val="3"/>
          <w:vMerge w:val="restart"/>
          <w:vAlign w:val="center"/>
        </w:tcPr>
        <w:p w14:paraId="27831E6F" w14:textId="52CC2A7A" w:rsidR="006C2326" w:rsidRPr="0077599F" w:rsidRDefault="006C2326" w:rsidP="00BF4BE9">
          <w:pPr>
            <w:rPr>
              <w:b/>
              <w:color w:val="00B050"/>
              <w:sz w:val="36"/>
              <w:szCs w:val="24"/>
            </w:rPr>
          </w:pPr>
          <w:r w:rsidRPr="00887F05">
            <w:rPr>
              <w:b/>
              <w:color w:val="0070C0"/>
              <w:sz w:val="32"/>
            </w:rPr>
            <w:t xml:space="preserve">SOP </w:t>
          </w:r>
          <w:r>
            <w:rPr>
              <w:b/>
              <w:color w:val="0070C0"/>
              <w:sz w:val="32"/>
            </w:rPr>
            <w:t xml:space="preserve">AVH3 </w:t>
          </w:r>
        </w:p>
      </w:tc>
      <w:tc>
        <w:tcPr>
          <w:tcW w:w="4536" w:type="dxa"/>
          <w:gridSpan w:val="5"/>
          <w:vAlign w:val="bottom"/>
        </w:tcPr>
        <w:p w14:paraId="5A0B5426" w14:textId="77777777" w:rsidR="006C2326" w:rsidRPr="00C05096" w:rsidRDefault="006C2326" w:rsidP="00C05096">
          <w:pPr>
            <w:pStyle w:val="Header"/>
            <w:jc w:val="right"/>
            <w:rPr>
              <w:b/>
              <w:color w:val="FF0000"/>
            </w:rPr>
          </w:pPr>
          <w:r w:rsidRPr="00C05096">
            <w:rPr>
              <w:b/>
              <w:color w:val="FF0000"/>
            </w:rPr>
            <w:t>Commercial – sensitive. For NHS use Only.</w:t>
          </w:r>
        </w:p>
        <w:p w14:paraId="1F72F646" w14:textId="77777777" w:rsidR="006C2326" w:rsidRPr="00C05096" w:rsidRDefault="006C2326" w:rsidP="00E56010">
          <w:pPr>
            <w:rPr>
              <w:b/>
              <w:color w:val="00B050"/>
              <w:sz w:val="36"/>
              <w:szCs w:val="24"/>
            </w:rPr>
          </w:pPr>
        </w:p>
      </w:tc>
      <w:tc>
        <w:tcPr>
          <w:tcW w:w="2268" w:type="dxa"/>
          <w:gridSpan w:val="2"/>
          <w:vAlign w:val="center"/>
        </w:tcPr>
        <w:p w14:paraId="08CE6F91" w14:textId="77777777" w:rsidR="006C2326" w:rsidRPr="00C05096" w:rsidRDefault="006C2326" w:rsidP="005D0747">
          <w:pPr>
            <w:tabs>
              <w:tab w:val="center" w:pos="4153"/>
              <w:tab w:val="right" w:pos="8306"/>
            </w:tabs>
            <w:jc w:val="right"/>
            <w:rPr>
              <w:b/>
              <w:sz w:val="14"/>
            </w:rPr>
          </w:pPr>
          <w:r w:rsidRPr="00C05096">
            <w:rPr>
              <w:b/>
              <w:noProof/>
              <w:sz w:val="14"/>
            </w:rPr>
            <w:drawing>
              <wp:inline distT="0" distB="0" distL="0" distR="0" wp14:anchorId="0EE04AFA" wp14:editId="4DA921BA">
                <wp:extent cx="857250" cy="318407"/>
                <wp:effectExtent l="0" t="0" r="0" b="5715"/>
                <wp:docPr id="48" name="Picture 48" descr="C:\Users\Sjackson2.RLBUHT\Desktop\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ckson2.RLBUHT\Desktop\NH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347"/>
                        <a:stretch/>
                      </pic:blipFill>
                      <pic:spPr bwMode="auto">
                        <a:xfrm>
                          <a:off x="0" y="0"/>
                          <a:ext cx="868006" cy="3224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C2326" w:rsidRPr="00E56010" w14:paraId="61CDCEAD" w14:textId="77777777" w:rsidTr="4F313D50">
      <w:trPr>
        <w:trHeight w:val="359"/>
      </w:trPr>
      <w:tc>
        <w:tcPr>
          <w:tcW w:w="3459" w:type="dxa"/>
          <w:gridSpan w:val="3"/>
          <w:vMerge/>
          <w:vAlign w:val="bottom"/>
        </w:tcPr>
        <w:p w14:paraId="6BB9E253" w14:textId="77777777" w:rsidR="006C2326" w:rsidRPr="0077599F" w:rsidRDefault="006C2326" w:rsidP="00E56010">
          <w:pPr>
            <w:rPr>
              <w:b/>
              <w:color w:val="00B050"/>
              <w:sz w:val="36"/>
              <w:szCs w:val="24"/>
            </w:rPr>
          </w:pPr>
        </w:p>
      </w:tc>
      <w:tc>
        <w:tcPr>
          <w:tcW w:w="6804" w:type="dxa"/>
          <w:gridSpan w:val="7"/>
          <w:vAlign w:val="center"/>
        </w:tcPr>
        <w:p w14:paraId="23DE523C" w14:textId="77777777" w:rsidR="006C2326" w:rsidRPr="00906243" w:rsidRDefault="006C2326" w:rsidP="00906243">
          <w:pPr>
            <w:spacing w:after="120"/>
            <w:contextualSpacing/>
            <w:jc w:val="right"/>
            <w:rPr>
              <w:b/>
              <w:color w:val="0070C0"/>
              <w:sz w:val="18"/>
            </w:rPr>
          </w:pPr>
        </w:p>
      </w:tc>
    </w:tr>
    <w:tr w:rsidR="006C2326" w:rsidRPr="00E56010" w14:paraId="3846DFCC" w14:textId="77777777" w:rsidTr="4F313D50">
      <w:trPr>
        <w:trHeight w:val="563"/>
      </w:trPr>
      <w:tc>
        <w:tcPr>
          <w:tcW w:w="7995" w:type="dxa"/>
          <w:gridSpan w:val="8"/>
          <w:vAlign w:val="center"/>
        </w:tcPr>
        <w:p w14:paraId="3579CEDA" w14:textId="1FADA632" w:rsidR="006C2326" w:rsidRPr="00422463" w:rsidRDefault="006C2326" w:rsidP="004B72F3">
          <w:pPr>
            <w:rPr>
              <w:rFonts w:ascii="Segoe UI" w:hAnsi="Segoe UI" w:cs="Segoe UI"/>
              <w:sz w:val="21"/>
              <w:szCs w:val="21"/>
            </w:rPr>
          </w:pPr>
          <w:r>
            <w:rPr>
              <w:b/>
              <w:color w:val="4F81BD" w:themeColor="accent1"/>
              <w:sz w:val="32"/>
              <w:szCs w:val="32"/>
              <w:shd w:val="clear" w:color="auto" w:fill="FFFFFF"/>
            </w:rPr>
            <w:t>Preparation of</w:t>
          </w:r>
          <w:r w:rsidRPr="00422463">
            <w:rPr>
              <w:b/>
              <w:color w:val="4F81BD" w:themeColor="accent1"/>
              <w:sz w:val="32"/>
              <w:szCs w:val="32"/>
              <w:shd w:val="clear" w:color="auto" w:fill="FFFFFF"/>
            </w:rPr>
            <w:t xml:space="preserve"> </w:t>
          </w:r>
          <w:r w:rsidRPr="004B72F3">
            <w:rPr>
              <w:b/>
              <w:color w:val="4F81BD" w:themeColor="accent1"/>
              <w:sz w:val="32"/>
              <w:szCs w:val="32"/>
            </w:rPr>
            <w:t>AstraZeneca</w:t>
          </w:r>
          <w:r>
            <w:rPr>
              <w:b/>
              <w:color w:val="4F81BD" w:themeColor="accent1"/>
              <w:sz w:val="32"/>
              <w:szCs w:val="32"/>
            </w:rPr>
            <w:t xml:space="preserve"> </w:t>
          </w:r>
          <w:r w:rsidRPr="00585A11">
            <w:rPr>
              <w:b/>
              <w:color w:val="4F81BD" w:themeColor="accent1"/>
              <w:sz w:val="32"/>
              <w:szCs w:val="32"/>
            </w:rPr>
            <w:t xml:space="preserve">COVID-19 Vaccine </w:t>
          </w:r>
          <w:r>
            <w:rPr>
              <w:b/>
              <w:color w:val="4F81BD" w:themeColor="accent1"/>
              <w:sz w:val="32"/>
              <w:szCs w:val="32"/>
              <w:shd w:val="clear" w:color="auto" w:fill="FFFFFF"/>
            </w:rPr>
            <w:t>Syringes for Administration at PCN Designated Sites and end user locations</w:t>
          </w:r>
        </w:p>
      </w:tc>
      <w:tc>
        <w:tcPr>
          <w:tcW w:w="2268" w:type="dxa"/>
          <w:gridSpan w:val="2"/>
          <w:vAlign w:val="center"/>
        </w:tcPr>
        <w:p w14:paraId="2587436A" w14:textId="77777777" w:rsidR="006C2326" w:rsidRPr="00906243" w:rsidRDefault="006C2326" w:rsidP="00906243">
          <w:pPr>
            <w:tabs>
              <w:tab w:val="center" w:pos="4153"/>
              <w:tab w:val="right" w:pos="8306"/>
            </w:tabs>
            <w:jc w:val="right"/>
            <w:rPr>
              <w:b/>
              <w:sz w:val="24"/>
            </w:rPr>
          </w:pPr>
          <w:r w:rsidRPr="00887F05">
            <w:rPr>
              <w:sz w:val="18"/>
            </w:rPr>
            <w:t xml:space="preserve">Page </w:t>
          </w:r>
          <w:r w:rsidRPr="00887F05">
            <w:rPr>
              <w:sz w:val="18"/>
            </w:rPr>
            <w:fldChar w:fldCharType="begin"/>
          </w:r>
          <w:r w:rsidRPr="00887F05">
            <w:rPr>
              <w:sz w:val="18"/>
            </w:rPr>
            <w:instrText xml:space="preserve"> PAGE  \* Arabic  \* MERGEFORMAT </w:instrText>
          </w:r>
          <w:r w:rsidRPr="00887F05">
            <w:rPr>
              <w:sz w:val="18"/>
            </w:rPr>
            <w:fldChar w:fldCharType="separate"/>
          </w:r>
          <w:r w:rsidR="00D51516">
            <w:rPr>
              <w:noProof/>
              <w:sz w:val="18"/>
            </w:rPr>
            <w:t>5</w:t>
          </w:r>
          <w:r w:rsidRPr="00887F05">
            <w:rPr>
              <w:sz w:val="18"/>
            </w:rPr>
            <w:fldChar w:fldCharType="end"/>
          </w:r>
          <w:r w:rsidRPr="00887F05">
            <w:rPr>
              <w:sz w:val="18"/>
            </w:rPr>
            <w:t xml:space="preserve"> of </w:t>
          </w:r>
          <w:r w:rsidRPr="00887F05">
            <w:rPr>
              <w:sz w:val="18"/>
            </w:rPr>
            <w:fldChar w:fldCharType="begin"/>
          </w:r>
          <w:r w:rsidRPr="00887F05">
            <w:rPr>
              <w:sz w:val="18"/>
            </w:rPr>
            <w:instrText xml:space="preserve"> NUMPAGES  \* Arabic  \* MERGEFORMAT </w:instrText>
          </w:r>
          <w:r w:rsidRPr="00887F05">
            <w:rPr>
              <w:sz w:val="18"/>
            </w:rPr>
            <w:fldChar w:fldCharType="separate"/>
          </w:r>
          <w:r w:rsidR="00D51516">
            <w:rPr>
              <w:noProof/>
              <w:sz w:val="18"/>
            </w:rPr>
            <w:t>5</w:t>
          </w:r>
          <w:r w:rsidRPr="00887F05">
            <w:rPr>
              <w:sz w:val="18"/>
            </w:rPr>
            <w:fldChar w:fldCharType="end"/>
          </w:r>
        </w:p>
      </w:tc>
    </w:tr>
    <w:tr w:rsidR="006C2326" w:rsidRPr="00E56010" w14:paraId="67C140CF" w14:textId="77777777" w:rsidTr="00C81746">
      <w:trPr>
        <w:trHeight w:val="330"/>
      </w:trPr>
      <w:tc>
        <w:tcPr>
          <w:tcW w:w="2325" w:type="dxa"/>
          <w:vAlign w:val="center"/>
        </w:tcPr>
        <w:p w14:paraId="6F43E86E" w14:textId="19D448C1" w:rsidR="006C2326" w:rsidRPr="000F4075" w:rsidRDefault="006C2326" w:rsidP="00D51516">
          <w:pPr>
            <w:tabs>
              <w:tab w:val="center" w:pos="4153"/>
              <w:tab w:val="right" w:pos="8306"/>
            </w:tabs>
            <w:rPr>
              <w:i/>
              <w:sz w:val="14"/>
              <w:szCs w:val="14"/>
              <w:highlight w:val="yellow"/>
            </w:rPr>
          </w:pPr>
          <w:r w:rsidRPr="00D51516">
            <w:rPr>
              <w:i/>
              <w:sz w:val="14"/>
              <w:szCs w:val="14"/>
            </w:rPr>
            <w:t>Version:1</w:t>
          </w:r>
          <w:r w:rsidR="004B3555" w:rsidRPr="00D51516">
            <w:rPr>
              <w:i/>
              <w:sz w:val="14"/>
              <w:szCs w:val="14"/>
            </w:rPr>
            <w:t>.</w:t>
          </w:r>
          <w:r w:rsidR="000F4075" w:rsidRPr="00D51516">
            <w:rPr>
              <w:i/>
              <w:sz w:val="14"/>
              <w:szCs w:val="14"/>
            </w:rPr>
            <w:t>6</w:t>
          </w:r>
          <w:r w:rsidR="00F91868" w:rsidRPr="00D51516">
            <w:rPr>
              <w:i/>
              <w:sz w:val="14"/>
              <w:szCs w:val="14"/>
            </w:rPr>
            <w:t xml:space="preserve">                </w:t>
          </w:r>
          <w:r w:rsidR="00F91868" w:rsidRPr="00D51516">
            <w:rPr>
              <w:iCs/>
              <w:sz w:val="14"/>
              <w:szCs w:val="14"/>
            </w:rPr>
            <w:t xml:space="preserve"> </w:t>
          </w:r>
          <w:r w:rsidR="00D51516">
            <w:rPr>
              <w:iCs/>
              <w:sz w:val="14"/>
              <w:szCs w:val="14"/>
            </w:rPr>
            <w:t>19</w:t>
          </w:r>
          <w:r w:rsidR="000F4075" w:rsidRPr="00D51516">
            <w:rPr>
              <w:iCs/>
              <w:sz w:val="14"/>
              <w:szCs w:val="14"/>
            </w:rPr>
            <w:t>/03</w:t>
          </w:r>
          <w:r w:rsidR="004B3555" w:rsidRPr="00D51516">
            <w:rPr>
              <w:iCs/>
              <w:sz w:val="14"/>
              <w:szCs w:val="14"/>
            </w:rPr>
            <w:t>.2021</w:t>
          </w:r>
        </w:p>
      </w:tc>
      <w:tc>
        <w:tcPr>
          <w:tcW w:w="170" w:type="dxa"/>
          <w:vAlign w:val="center"/>
        </w:tcPr>
        <w:p w14:paraId="52E56223" w14:textId="77777777" w:rsidR="006C2326" w:rsidRPr="000F4075" w:rsidRDefault="006C2326" w:rsidP="003C02FA">
          <w:pPr>
            <w:tabs>
              <w:tab w:val="center" w:pos="4153"/>
              <w:tab w:val="right" w:pos="8306"/>
            </w:tabs>
            <w:rPr>
              <w:sz w:val="14"/>
              <w:szCs w:val="14"/>
              <w:highlight w:val="yellow"/>
            </w:rPr>
          </w:pPr>
        </w:p>
      </w:tc>
      <w:tc>
        <w:tcPr>
          <w:tcW w:w="1248" w:type="dxa"/>
          <w:gridSpan w:val="2"/>
          <w:vAlign w:val="center"/>
        </w:tcPr>
        <w:p w14:paraId="3043EF14" w14:textId="77777777" w:rsidR="006C2326" w:rsidRPr="00D51516" w:rsidRDefault="006C2326" w:rsidP="003C02FA">
          <w:pPr>
            <w:tabs>
              <w:tab w:val="center" w:pos="4153"/>
              <w:tab w:val="right" w:pos="8306"/>
            </w:tabs>
            <w:rPr>
              <w:i/>
              <w:sz w:val="14"/>
              <w:szCs w:val="14"/>
            </w:rPr>
          </w:pPr>
          <w:r w:rsidRPr="00D51516">
            <w:rPr>
              <w:i/>
              <w:sz w:val="14"/>
              <w:szCs w:val="14"/>
            </w:rPr>
            <w:t>Supersedes:</w:t>
          </w:r>
        </w:p>
      </w:tc>
      <w:tc>
        <w:tcPr>
          <w:tcW w:w="1247" w:type="dxa"/>
          <w:vAlign w:val="center"/>
        </w:tcPr>
        <w:p w14:paraId="146E8121" w14:textId="5C340F3C" w:rsidR="006C2326" w:rsidRPr="00D51516" w:rsidRDefault="006C2326" w:rsidP="000F4075">
          <w:pPr>
            <w:tabs>
              <w:tab w:val="center" w:pos="4153"/>
              <w:tab w:val="right" w:pos="8306"/>
            </w:tabs>
            <w:rPr>
              <w:i/>
              <w:iCs/>
              <w:sz w:val="14"/>
              <w:szCs w:val="14"/>
            </w:rPr>
          </w:pPr>
          <w:r w:rsidRPr="00D51516">
            <w:rPr>
              <w:i/>
              <w:iCs/>
              <w:sz w:val="14"/>
              <w:szCs w:val="14"/>
            </w:rPr>
            <w:t xml:space="preserve">Version: </w:t>
          </w:r>
          <w:r w:rsidR="004B3555" w:rsidRPr="00D51516">
            <w:rPr>
              <w:i/>
              <w:iCs/>
              <w:sz w:val="14"/>
              <w:szCs w:val="14"/>
            </w:rPr>
            <w:t>1</w:t>
          </w:r>
          <w:r w:rsidR="00477FAC" w:rsidRPr="00D51516">
            <w:rPr>
              <w:i/>
              <w:iCs/>
              <w:sz w:val="14"/>
              <w:szCs w:val="14"/>
            </w:rPr>
            <w:t>.</w:t>
          </w:r>
          <w:r w:rsidR="000F4075" w:rsidRPr="00D51516">
            <w:rPr>
              <w:i/>
              <w:iCs/>
              <w:sz w:val="14"/>
              <w:szCs w:val="14"/>
            </w:rPr>
            <w:t>5</w:t>
          </w:r>
          <w:r w:rsidR="00F91868" w:rsidRPr="00D51516">
            <w:rPr>
              <w:i/>
              <w:iCs/>
              <w:sz w:val="14"/>
              <w:szCs w:val="14"/>
            </w:rPr>
            <w:t xml:space="preserve">                   </w:t>
          </w:r>
        </w:p>
      </w:tc>
      <w:tc>
        <w:tcPr>
          <w:tcW w:w="1247" w:type="dxa"/>
          <w:vAlign w:val="center"/>
        </w:tcPr>
        <w:p w14:paraId="20A00786" w14:textId="77777777" w:rsidR="006C2326" w:rsidRPr="00E56010" w:rsidRDefault="006C2326" w:rsidP="005D0747">
          <w:pPr>
            <w:tabs>
              <w:tab w:val="center" w:pos="4153"/>
              <w:tab w:val="right" w:pos="8306"/>
            </w:tabs>
            <w:jc w:val="right"/>
            <w:rPr>
              <w:sz w:val="14"/>
              <w:szCs w:val="14"/>
            </w:rPr>
          </w:pPr>
          <w:r w:rsidRPr="00E56010">
            <w:rPr>
              <w:i/>
              <w:sz w:val="14"/>
              <w:szCs w:val="14"/>
            </w:rPr>
            <w:t>Date effective</w:t>
          </w:r>
          <w:r>
            <w:rPr>
              <w:i/>
              <w:sz w:val="14"/>
              <w:szCs w:val="14"/>
            </w:rPr>
            <w:t>:</w:t>
          </w:r>
        </w:p>
      </w:tc>
      <w:tc>
        <w:tcPr>
          <w:tcW w:w="1248" w:type="dxa"/>
          <w:vAlign w:val="center"/>
        </w:tcPr>
        <w:p w14:paraId="07547A01" w14:textId="77777777" w:rsidR="006C2326" w:rsidRPr="00422463" w:rsidRDefault="006C2326" w:rsidP="008A1637">
          <w:pPr>
            <w:tabs>
              <w:tab w:val="center" w:pos="4153"/>
              <w:tab w:val="right" w:pos="8306"/>
            </w:tabs>
            <w:rPr>
              <w:i/>
              <w:color w:val="000000" w:themeColor="text1"/>
              <w:sz w:val="14"/>
              <w:szCs w:val="14"/>
            </w:rPr>
          </w:pPr>
        </w:p>
      </w:tc>
      <w:tc>
        <w:tcPr>
          <w:tcW w:w="1247" w:type="dxa"/>
          <w:gridSpan w:val="2"/>
          <w:vAlign w:val="center"/>
        </w:tcPr>
        <w:p w14:paraId="26DCBD8C" w14:textId="77777777" w:rsidR="006C2326" w:rsidRPr="00422463" w:rsidRDefault="006C2326" w:rsidP="005D0747">
          <w:pPr>
            <w:tabs>
              <w:tab w:val="center" w:pos="4153"/>
              <w:tab w:val="right" w:pos="8306"/>
            </w:tabs>
            <w:jc w:val="right"/>
            <w:rPr>
              <w:i/>
              <w:color w:val="000000" w:themeColor="text1"/>
              <w:sz w:val="14"/>
              <w:szCs w:val="14"/>
            </w:rPr>
          </w:pPr>
          <w:r w:rsidRPr="00422463">
            <w:rPr>
              <w:i/>
              <w:color w:val="000000" w:themeColor="text1"/>
              <w:sz w:val="14"/>
              <w:szCs w:val="14"/>
            </w:rPr>
            <w:t>Date for review:</w:t>
          </w:r>
        </w:p>
      </w:tc>
      <w:tc>
        <w:tcPr>
          <w:tcW w:w="1531" w:type="dxa"/>
          <w:vAlign w:val="center"/>
        </w:tcPr>
        <w:p w14:paraId="5043CB0F" w14:textId="77777777" w:rsidR="006C2326" w:rsidRPr="00422463" w:rsidRDefault="006C2326" w:rsidP="008A1637">
          <w:pPr>
            <w:tabs>
              <w:tab w:val="center" w:pos="4153"/>
              <w:tab w:val="right" w:pos="8306"/>
            </w:tabs>
            <w:rPr>
              <w:i/>
              <w:color w:val="000000" w:themeColor="text1"/>
              <w:sz w:val="14"/>
              <w:szCs w:val="14"/>
            </w:rPr>
          </w:pPr>
        </w:p>
      </w:tc>
    </w:tr>
  </w:tbl>
  <w:p w14:paraId="07459315" w14:textId="77777777" w:rsidR="006C2326" w:rsidRPr="004D7B92" w:rsidRDefault="006C232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660D"/>
    <w:multiLevelType w:val="hybridMultilevel"/>
    <w:tmpl w:val="89AE5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066226"/>
    <w:multiLevelType w:val="multilevel"/>
    <w:tmpl w:val="561E400C"/>
    <w:lvl w:ilvl="0">
      <w:start w:val="1"/>
      <w:numFmt w:val="decimal"/>
      <w:lvlText w:val="%1."/>
      <w:lvlJc w:val="left"/>
      <w:pPr>
        <w:ind w:left="360" w:hanging="360"/>
      </w:pPr>
    </w:lvl>
    <w:lvl w:ilvl="1">
      <w:start w:val="1"/>
      <w:numFmt w:val="decimal"/>
      <w:lvlText w:val="%1.%2."/>
      <w:lvlJc w:val="left"/>
      <w:pPr>
        <w:ind w:left="1850" w:hanging="432"/>
      </w:pPr>
      <w:rPr>
        <w:b w:val="0"/>
      </w:rPr>
    </w:lvl>
    <w:lvl w:ilvl="2">
      <w:start w:val="1"/>
      <w:numFmt w:val="bullet"/>
      <w:lvlText w:val=""/>
      <w:lvlJc w:val="left"/>
      <w:pPr>
        <w:ind w:left="1224" w:hanging="504"/>
      </w:pPr>
      <w:rPr>
        <w:rFonts w:ascii="Symbol" w:hAnsi="Symbol" w:hint="default"/>
        <w:b w:val="0"/>
        <w:color w:val="auto"/>
      </w:rPr>
    </w:lvl>
    <w:lvl w:ilvl="3">
      <w:start w:val="1"/>
      <w:numFmt w:val="bullet"/>
      <w:lvlText w:val=""/>
      <w:lvlJc w:val="left"/>
      <w:pPr>
        <w:ind w:left="1728" w:hanging="648"/>
      </w:pPr>
      <w:rPr>
        <w:rFonts w:ascii="Symbol" w:hAnsi="Symbol"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617DD"/>
    <w:multiLevelType w:val="multilevel"/>
    <w:tmpl w:val="BA9C75BC"/>
    <w:lvl w:ilvl="0">
      <w:start w:val="1"/>
      <w:numFmt w:val="decimal"/>
      <w:pStyle w:val="Style1"/>
      <w:isLgl/>
      <w:lvlText w:val="4.%1."/>
      <w:lvlJc w:val="left"/>
      <w:pPr>
        <w:tabs>
          <w:tab w:val="num" w:pos="2835"/>
        </w:tabs>
        <w:ind w:left="851" w:hanging="426"/>
      </w:pPr>
      <w:rPr>
        <w:rFonts w:hint="default"/>
      </w:rPr>
    </w:lvl>
    <w:lvl w:ilvl="1">
      <w:start w:val="1"/>
      <w:numFmt w:val="decimal"/>
      <w:pStyle w:val="Style2"/>
      <w:isLgl/>
      <w:lvlText w:val="4.%1.%2."/>
      <w:lvlJc w:val="left"/>
      <w:pPr>
        <w:ind w:left="1418" w:hanging="567"/>
      </w:pPr>
      <w:rPr>
        <w:rFonts w:hint="default"/>
      </w:rPr>
    </w:lvl>
    <w:lvl w:ilvl="2">
      <w:start w:val="1"/>
      <w:numFmt w:val="bullet"/>
      <w:lvlRestart w:val="0"/>
      <w:pStyle w:val="Style3"/>
      <w:lvlText w:val=""/>
      <w:lvlJc w:val="left"/>
      <w:pPr>
        <w:ind w:left="1843" w:hanging="284"/>
      </w:pPr>
      <w:rPr>
        <w:rFonts w:ascii="Symbol" w:hAnsi="Symbol" w:hint="default"/>
        <w:color w:val="auto"/>
      </w:rPr>
    </w:lvl>
    <w:lvl w:ilvl="3">
      <w:start w:val="1"/>
      <w:numFmt w:val="bullet"/>
      <w:lvlRestart w:val="0"/>
      <w:lvlText w:val="o"/>
      <w:lvlJc w:val="left"/>
      <w:pPr>
        <w:ind w:left="2268" w:hanging="283"/>
      </w:pPr>
      <w:rPr>
        <w:rFonts w:ascii="Courier New" w:hAnsi="Courier New" w:hint="default"/>
      </w:rPr>
    </w:lvl>
    <w:lvl w:ilvl="4">
      <w:start w:val="1"/>
      <w:numFmt w:val="none"/>
      <w:lvlRestart w:val="0"/>
      <w:lvlText w:val="%5."/>
      <w:lvlJc w:val="left"/>
      <w:pPr>
        <w:ind w:left="851" w:hanging="426"/>
      </w:pPr>
      <w:rPr>
        <w:rFonts w:hint="default"/>
      </w:rPr>
    </w:lvl>
    <w:lvl w:ilvl="5">
      <w:start w:val="1"/>
      <w:numFmt w:val="none"/>
      <w:lvlRestart w:val="0"/>
      <w:lvlText w:val="%6."/>
      <w:lvlJc w:val="left"/>
      <w:pPr>
        <w:ind w:left="851" w:hanging="426"/>
      </w:pPr>
      <w:rPr>
        <w:rFonts w:hint="default"/>
      </w:rPr>
    </w:lvl>
    <w:lvl w:ilvl="6">
      <w:start w:val="1"/>
      <w:numFmt w:val="none"/>
      <w:lvlRestart w:val="0"/>
      <w:lvlText w:val="%7."/>
      <w:lvlJc w:val="left"/>
      <w:pPr>
        <w:ind w:left="851" w:hanging="426"/>
      </w:pPr>
      <w:rPr>
        <w:rFonts w:hint="default"/>
      </w:rPr>
    </w:lvl>
    <w:lvl w:ilvl="7">
      <w:start w:val="1"/>
      <w:numFmt w:val="none"/>
      <w:lvlRestart w:val="0"/>
      <w:lvlText w:val="%8."/>
      <w:lvlJc w:val="left"/>
      <w:pPr>
        <w:ind w:left="851" w:hanging="426"/>
      </w:pPr>
      <w:rPr>
        <w:rFonts w:hint="default"/>
      </w:rPr>
    </w:lvl>
    <w:lvl w:ilvl="8">
      <w:start w:val="1"/>
      <w:numFmt w:val="none"/>
      <w:lvlText w:val="%9."/>
      <w:lvlJc w:val="left"/>
      <w:pPr>
        <w:ind w:left="851" w:hanging="426"/>
      </w:pPr>
      <w:rPr>
        <w:rFonts w:hint="default"/>
      </w:rPr>
    </w:lvl>
  </w:abstractNum>
  <w:abstractNum w:abstractNumId="3" w15:restartNumberingAfterBreak="0">
    <w:nsid w:val="4E2F3597"/>
    <w:multiLevelType w:val="multilevel"/>
    <w:tmpl w:val="0564271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E8"/>
    <w:rsid w:val="000011B3"/>
    <w:rsid w:val="00006F95"/>
    <w:rsid w:val="00007A0C"/>
    <w:rsid w:val="00011E6D"/>
    <w:rsid w:val="00013509"/>
    <w:rsid w:val="00014B67"/>
    <w:rsid w:val="00045041"/>
    <w:rsid w:val="000510A3"/>
    <w:rsid w:val="00052024"/>
    <w:rsid w:val="000645B3"/>
    <w:rsid w:val="0006669A"/>
    <w:rsid w:val="00070606"/>
    <w:rsid w:val="00073715"/>
    <w:rsid w:val="00082B2F"/>
    <w:rsid w:val="00087606"/>
    <w:rsid w:val="00091612"/>
    <w:rsid w:val="000B5B55"/>
    <w:rsid w:val="000B76FF"/>
    <w:rsid w:val="000B79CE"/>
    <w:rsid w:val="000C08C0"/>
    <w:rsid w:val="000C2F3D"/>
    <w:rsid w:val="000C3DDB"/>
    <w:rsid w:val="000D109E"/>
    <w:rsid w:val="000D7935"/>
    <w:rsid w:val="000E3A5F"/>
    <w:rsid w:val="000E7925"/>
    <w:rsid w:val="000F4075"/>
    <w:rsid w:val="001003F0"/>
    <w:rsid w:val="00106972"/>
    <w:rsid w:val="001100D1"/>
    <w:rsid w:val="00114ACF"/>
    <w:rsid w:val="00124F21"/>
    <w:rsid w:val="00133EA5"/>
    <w:rsid w:val="00134AA5"/>
    <w:rsid w:val="00154395"/>
    <w:rsid w:val="00154D89"/>
    <w:rsid w:val="00156900"/>
    <w:rsid w:val="00164124"/>
    <w:rsid w:val="00165B99"/>
    <w:rsid w:val="00176518"/>
    <w:rsid w:val="001841A7"/>
    <w:rsid w:val="00194A43"/>
    <w:rsid w:val="001A16BE"/>
    <w:rsid w:val="001C1A6F"/>
    <w:rsid w:val="001C40A1"/>
    <w:rsid w:val="001C5EB7"/>
    <w:rsid w:val="001C6A22"/>
    <w:rsid w:val="001D563E"/>
    <w:rsid w:val="001E2101"/>
    <w:rsid w:val="001E5810"/>
    <w:rsid w:val="001F55B8"/>
    <w:rsid w:val="00212F37"/>
    <w:rsid w:val="00221C20"/>
    <w:rsid w:val="00223069"/>
    <w:rsid w:val="002261AF"/>
    <w:rsid w:val="00236E58"/>
    <w:rsid w:val="002372A3"/>
    <w:rsid w:val="00254850"/>
    <w:rsid w:val="00255D96"/>
    <w:rsid w:val="0026602C"/>
    <w:rsid w:val="00266E9F"/>
    <w:rsid w:val="00271CC3"/>
    <w:rsid w:val="002726D0"/>
    <w:rsid w:val="00283DBF"/>
    <w:rsid w:val="002874C2"/>
    <w:rsid w:val="002959D7"/>
    <w:rsid w:val="002A6FA5"/>
    <w:rsid w:val="002B03FB"/>
    <w:rsid w:val="002C524D"/>
    <w:rsid w:val="002D190B"/>
    <w:rsid w:val="002D4AF3"/>
    <w:rsid w:val="002E0ECE"/>
    <w:rsid w:val="002E5C7B"/>
    <w:rsid w:val="00302F51"/>
    <w:rsid w:val="00316C50"/>
    <w:rsid w:val="003336B0"/>
    <w:rsid w:val="003378FC"/>
    <w:rsid w:val="003732DD"/>
    <w:rsid w:val="00373FA6"/>
    <w:rsid w:val="00376613"/>
    <w:rsid w:val="00380F83"/>
    <w:rsid w:val="003831CA"/>
    <w:rsid w:val="003A0C04"/>
    <w:rsid w:val="003A4C25"/>
    <w:rsid w:val="003A62F4"/>
    <w:rsid w:val="003B28A1"/>
    <w:rsid w:val="003C02FA"/>
    <w:rsid w:val="003E08C0"/>
    <w:rsid w:val="003E1E87"/>
    <w:rsid w:val="003E775A"/>
    <w:rsid w:val="004069FF"/>
    <w:rsid w:val="0041399A"/>
    <w:rsid w:val="00413E71"/>
    <w:rsid w:val="00421E9B"/>
    <w:rsid w:val="00422463"/>
    <w:rsid w:val="004241A2"/>
    <w:rsid w:val="00426040"/>
    <w:rsid w:val="004517A2"/>
    <w:rsid w:val="00451D19"/>
    <w:rsid w:val="004600B8"/>
    <w:rsid w:val="00463ED6"/>
    <w:rsid w:val="00467B20"/>
    <w:rsid w:val="00477FAC"/>
    <w:rsid w:val="0048616D"/>
    <w:rsid w:val="004B3555"/>
    <w:rsid w:val="004B72F3"/>
    <w:rsid w:val="004C4E68"/>
    <w:rsid w:val="004D5B31"/>
    <w:rsid w:val="004D7B92"/>
    <w:rsid w:val="004E5B99"/>
    <w:rsid w:val="004E684E"/>
    <w:rsid w:val="00503201"/>
    <w:rsid w:val="005044A0"/>
    <w:rsid w:val="005070A3"/>
    <w:rsid w:val="00513AC5"/>
    <w:rsid w:val="005158B1"/>
    <w:rsid w:val="00542AC3"/>
    <w:rsid w:val="00551917"/>
    <w:rsid w:val="00556894"/>
    <w:rsid w:val="005644CC"/>
    <w:rsid w:val="005842E0"/>
    <w:rsid w:val="005850A3"/>
    <w:rsid w:val="005854C2"/>
    <w:rsid w:val="00585A11"/>
    <w:rsid w:val="00591D35"/>
    <w:rsid w:val="005A3049"/>
    <w:rsid w:val="005A43B6"/>
    <w:rsid w:val="005C44C3"/>
    <w:rsid w:val="005D0747"/>
    <w:rsid w:val="005E3CB4"/>
    <w:rsid w:val="005E4F0C"/>
    <w:rsid w:val="005F5326"/>
    <w:rsid w:val="005F5904"/>
    <w:rsid w:val="006046FA"/>
    <w:rsid w:val="00620E1B"/>
    <w:rsid w:val="00625479"/>
    <w:rsid w:val="00636498"/>
    <w:rsid w:val="00662F83"/>
    <w:rsid w:val="00663AC9"/>
    <w:rsid w:val="00674997"/>
    <w:rsid w:val="00681F27"/>
    <w:rsid w:val="006A0C14"/>
    <w:rsid w:val="006B17E8"/>
    <w:rsid w:val="006C2326"/>
    <w:rsid w:val="006C3240"/>
    <w:rsid w:val="006C4B10"/>
    <w:rsid w:val="006C7256"/>
    <w:rsid w:val="006D2723"/>
    <w:rsid w:val="006E14F4"/>
    <w:rsid w:val="006E6B6F"/>
    <w:rsid w:val="006E782D"/>
    <w:rsid w:val="00720201"/>
    <w:rsid w:val="00722A56"/>
    <w:rsid w:val="007239D8"/>
    <w:rsid w:val="00725D67"/>
    <w:rsid w:val="00727DA8"/>
    <w:rsid w:val="00734BA2"/>
    <w:rsid w:val="00735BF0"/>
    <w:rsid w:val="007538BA"/>
    <w:rsid w:val="007634FD"/>
    <w:rsid w:val="007659AB"/>
    <w:rsid w:val="00765E3C"/>
    <w:rsid w:val="00766024"/>
    <w:rsid w:val="00775009"/>
    <w:rsid w:val="0077599F"/>
    <w:rsid w:val="0078506F"/>
    <w:rsid w:val="00795F75"/>
    <w:rsid w:val="007972AE"/>
    <w:rsid w:val="007A4FFD"/>
    <w:rsid w:val="007B19D7"/>
    <w:rsid w:val="007C0AC4"/>
    <w:rsid w:val="007C2E17"/>
    <w:rsid w:val="007C7CBD"/>
    <w:rsid w:val="008015AD"/>
    <w:rsid w:val="00811F17"/>
    <w:rsid w:val="00815723"/>
    <w:rsid w:val="00817520"/>
    <w:rsid w:val="008233F2"/>
    <w:rsid w:val="00837741"/>
    <w:rsid w:val="008406F0"/>
    <w:rsid w:val="008476EE"/>
    <w:rsid w:val="008532BF"/>
    <w:rsid w:val="00873331"/>
    <w:rsid w:val="00887F05"/>
    <w:rsid w:val="0089096C"/>
    <w:rsid w:val="0089267A"/>
    <w:rsid w:val="008A1637"/>
    <w:rsid w:val="008A2AEC"/>
    <w:rsid w:val="008B2915"/>
    <w:rsid w:val="008B6ADE"/>
    <w:rsid w:val="008C2190"/>
    <w:rsid w:val="008C5A64"/>
    <w:rsid w:val="008C7613"/>
    <w:rsid w:val="008D423B"/>
    <w:rsid w:val="008D51EC"/>
    <w:rsid w:val="008F3798"/>
    <w:rsid w:val="00906243"/>
    <w:rsid w:val="0091409C"/>
    <w:rsid w:val="0091517C"/>
    <w:rsid w:val="00915CC1"/>
    <w:rsid w:val="00934CE1"/>
    <w:rsid w:val="0093701F"/>
    <w:rsid w:val="00945141"/>
    <w:rsid w:val="00953705"/>
    <w:rsid w:val="00961340"/>
    <w:rsid w:val="00964488"/>
    <w:rsid w:val="0098340E"/>
    <w:rsid w:val="00993BF9"/>
    <w:rsid w:val="00994C34"/>
    <w:rsid w:val="009B02B0"/>
    <w:rsid w:val="009B0767"/>
    <w:rsid w:val="009B0D4B"/>
    <w:rsid w:val="009B36A3"/>
    <w:rsid w:val="009C1C2A"/>
    <w:rsid w:val="009D604D"/>
    <w:rsid w:val="009E42A2"/>
    <w:rsid w:val="009F597F"/>
    <w:rsid w:val="00A05AB6"/>
    <w:rsid w:val="00A21117"/>
    <w:rsid w:val="00A361CB"/>
    <w:rsid w:val="00A450F4"/>
    <w:rsid w:val="00A52541"/>
    <w:rsid w:val="00A566E2"/>
    <w:rsid w:val="00A84E14"/>
    <w:rsid w:val="00A91C4F"/>
    <w:rsid w:val="00A94AFC"/>
    <w:rsid w:val="00A97669"/>
    <w:rsid w:val="00AA31F3"/>
    <w:rsid w:val="00B1110B"/>
    <w:rsid w:val="00B235AD"/>
    <w:rsid w:val="00B569B9"/>
    <w:rsid w:val="00B6069E"/>
    <w:rsid w:val="00B65E07"/>
    <w:rsid w:val="00B71456"/>
    <w:rsid w:val="00B720E7"/>
    <w:rsid w:val="00B737B6"/>
    <w:rsid w:val="00B7653B"/>
    <w:rsid w:val="00B76FE9"/>
    <w:rsid w:val="00B85FDC"/>
    <w:rsid w:val="00BA5273"/>
    <w:rsid w:val="00BB26AA"/>
    <w:rsid w:val="00BB5EC6"/>
    <w:rsid w:val="00BB7EC8"/>
    <w:rsid w:val="00BC7946"/>
    <w:rsid w:val="00BC7D69"/>
    <w:rsid w:val="00BD404E"/>
    <w:rsid w:val="00BD5EBB"/>
    <w:rsid w:val="00BD67B1"/>
    <w:rsid w:val="00BE03A7"/>
    <w:rsid w:val="00BE0B66"/>
    <w:rsid w:val="00BF4BE9"/>
    <w:rsid w:val="00C00786"/>
    <w:rsid w:val="00C05096"/>
    <w:rsid w:val="00C05C52"/>
    <w:rsid w:val="00C05DA0"/>
    <w:rsid w:val="00C12568"/>
    <w:rsid w:val="00C17AFD"/>
    <w:rsid w:val="00C249DA"/>
    <w:rsid w:val="00C334D5"/>
    <w:rsid w:val="00C33BE0"/>
    <w:rsid w:val="00C426BA"/>
    <w:rsid w:val="00C464C1"/>
    <w:rsid w:val="00C53F9A"/>
    <w:rsid w:val="00C60F6E"/>
    <w:rsid w:val="00C61222"/>
    <w:rsid w:val="00C637E8"/>
    <w:rsid w:val="00C745B9"/>
    <w:rsid w:val="00C81746"/>
    <w:rsid w:val="00CA2A6C"/>
    <w:rsid w:val="00CA4223"/>
    <w:rsid w:val="00CB2B23"/>
    <w:rsid w:val="00CB45BA"/>
    <w:rsid w:val="00CD37C0"/>
    <w:rsid w:val="00CD7F5D"/>
    <w:rsid w:val="00CE087E"/>
    <w:rsid w:val="00CE17FC"/>
    <w:rsid w:val="00CE785A"/>
    <w:rsid w:val="00CF794B"/>
    <w:rsid w:val="00D0482E"/>
    <w:rsid w:val="00D140E9"/>
    <w:rsid w:val="00D17539"/>
    <w:rsid w:val="00D25123"/>
    <w:rsid w:val="00D30209"/>
    <w:rsid w:val="00D318CE"/>
    <w:rsid w:val="00D34335"/>
    <w:rsid w:val="00D4495F"/>
    <w:rsid w:val="00D50B56"/>
    <w:rsid w:val="00D51516"/>
    <w:rsid w:val="00D71871"/>
    <w:rsid w:val="00D847E1"/>
    <w:rsid w:val="00D85FE4"/>
    <w:rsid w:val="00DC11B0"/>
    <w:rsid w:val="00DE1C5E"/>
    <w:rsid w:val="00DF3C9E"/>
    <w:rsid w:val="00DF4772"/>
    <w:rsid w:val="00E05790"/>
    <w:rsid w:val="00E2486C"/>
    <w:rsid w:val="00E26919"/>
    <w:rsid w:val="00E356E3"/>
    <w:rsid w:val="00E56010"/>
    <w:rsid w:val="00E6071F"/>
    <w:rsid w:val="00E660BE"/>
    <w:rsid w:val="00E81EC5"/>
    <w:rsid w:val="00E86135"/>
    <w:rsid w:val="00EA146C"/>
    <w:rsid w:val="00EA5F3B"/>
    <w:rsid w:val="00EB01BC"/>
    <w:rsid w:val="00EB2BA9"/>
    <w:rsid w:val="00EB3864"/>
    <w:rsid w:val="00ED00A6"/>
    <w:rsid w:val="00ED4D5A"/>
    <w:rsid w:val="00F02113"/>
    <w:rsid w:val="00F04DC8"/>
    <w:rsid w:val="00F061D4"/>
    <w:rsid w:val="00F0743D"/>
    <w:rsid w:val="00F260AE"/>
    <w:rsid w:val="00F4304D"/>
    <w:rsid w:val="00F85932"/>
    <w:rsid w:val="00F91868"/>
    <w:rsid w:val="00F974D4"/>
    <w:rsid w:val="00FB3CF9"/>
    <w:rsid w:val="00FC61DA"/>
    <w:rsid w:val="00FD0A76"/>
    <w:rsid w:val="00FD0D64"/>
    <w:rsid w:val="00FE5698"/>
    <w:rsid w:val="00FF4F39"/>
    <w:rsid w:val="11D4E945"/>
    <w:rsid w:val="124DBD13"/>
    <w:rsid w:val="12B786AE"/>
    <w:rsid w:val="27C966F1"/>
    <w:rsid w:val="2E3750B2"/>
    <w:rsid w:val="4037B9C2"/>
    <w:rsid w:val="49367195"/>
    <w:rsid w:val="4F313D50"/>
    <w:rsid w:val="5379D1A3"/>
    <w:rsid w:val="5AC54CE0"/>
    <w:rsid w:val="694BF355"/>
    <w:rsid w:val="6A01A742"/>
    <w:rsid w:val="7D16F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1B26B64"/>
  <w15:docId w15:val="{84A3FAAA-8620-4996-9FD7-08286B63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90"/>
  </w:style>
  <w:style w:type="paragraph" w:styleId="Heading1">
    <w:name w:val="heading 1"/>
    <w:basedOn w:val="Normal"/>
    <w:next w:val="Normal"/>
    <w:link w:val="Heading1Char"/>
    <w:uiPriority w:val="9"/>
    <w:qFormat/>
    <w:rsid w:val="00A94A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CF9"/>
    <w:rPr>
      <w:color w:val="0000FF" w:themeColor="hyperlink"/>
      <w:u w:val="single"/>
    </w:rPr>
  </w:style>
  <w:style w:type="paragraph" w:styleId="ListParagraph">
    <w:name w:val="List Paragraph"/>
    <w:basedOn w:val="Normal"/>
    <w:uiPriority w:val="34"/>
    <w:qFormat/>
    <w:rsid w:val="00C53F9A"/>
    <w:pPr>
      <w:spacing w:after="0" w:line="480" w:lineRule="auto"/>
      <w:ind w:left="720"/>
      <w:contextualSpacing/>
    </w:pPr>
  </w:style>
  <w:style w:type="paragraph" w:styleId="Header">
    <w:name w:val="header"/>
    <w:aliases w:val="SPS Header"/>
    <w:basedOn w:val="Normal"/>
    <w:link w:val="HeaderChar"/>
    <w:uiPriority w:val="99"/>
    <w:unhideWhenUsed/>
    <w:rsid w:val="00E56010"/>
    <w:pPr>
      <w:tabs>
        <w:tab w:val="center" w:pos="4513"/>
        <w:tab w:val="right" w:pos="9026"/>
      </w:tabs>
      <w:spacing w:after="0" w:line="240" w:lineRule="auto"/>
    </w:pPr>
  </w:style>
  <w:style w:type="character" w:customStyle="1" w:styleId="HeaderChar">
    <w:name w:val="Header Char"/>
    <w:aliases w:val="SPS Header Char"/>
    <w:basedOn w:val="DefaultParagraphFont"/>
    <w:link w:val="Header"/>
    <w:uiPriority w:val="99"/>
    <w:rsid w:val="00E56010"/>
  </w:style>
  <w:style w:type="paragraph" w:styleId="Footer">
    <w:name w:val="footer"/>
    <w:basedOn w:val="Normal"/>
    <w:link w:val="FooterChar"/>
    <w:uiPriority w:val="99"/>
    <w:unhideWhenUsed/>
    <w:rsid w:val="00E56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010"/>
  </w:style>
  <w:style w:type="paragraph" w:styleId="BalloonText">
    <w:name w:val="Balloon Text"/>
    <w:basedOn w:val="Normal"/>
    <w:link w:val="BalloonTextChar"/>
    <w:uiPriority w:val="99"/>
    <w:semiHidden/>
    <w:unhideWhenUsed/>
    <w:rsid w:val="00E5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10"/>
    <w:rPr>
      <w:rFonts w:ascii="Tahoma" w:hAnsi="Tahoma" w:cs="Tahoma"/>
      <w:sz w:val="16"/>
      <w:szCs w:val="16"/>
    </w:rPr>
  </w:style>
  <w:style w:type="table" w:styleId="TableGrid">
    <w:name w:val="Table Grid"/>
    <w:basedOn w:val="TableNormal"/>
    <w:uiPriority w:val="59"/>
    <w:rsid w:val="00E56010"/>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8C2190"/>
    <w:pPr>
      <w:numPr>
        <w:numId w:val="2"/>
      </w:numPr>
      <w:spacing w:before="220" w:line="240" w:lineRule="auto"/>
      <w:ind w:left="850" w:hanging="425"/>
      <w:contextualSpacing w:val="0"/>
    </w:pPr>
  </w:style>
  <w:style w:type="paragraph" w:styleId="NoSpacing">
    <w:name w:val="No Spacing"/>
    <w:uiPriority w:val="1"/>
    <w:qFormat/>
    <w:rsid w:val="00C53F9A"/>
    <w:pPr>
      <w:spacing w:after="0" w:line="240" w:lineRule="auto"/>
    </w:pPr>
  </w:style>
  <w:style w:type="paragraph" w:customStyle="1" w:styleId="Style3">
    <w:name w:val="Style3"/>
    <w:basedOn w:val="Style1"/>
    <w:qFormat/>
    <w:rsid w:val="008C2190"/>
    <w:pPr>
      <w:numPr>
        <w:ilvl w:val="2"/>
      </w:numPr>
      <w:spacing w:before="0"/>
      <w:contextualSpacing/>
    </w:pPr>
  </w:style>
  <w:style w:type="paragraph" w:customStyle="1" w:styleId="Style2">
    <w:name w:val="Style2"/>
    <w:basedOn w:val="Style1"/>
    <w:qFormat/>
    <w:rsid w:val="008C2190"/>
    <w:pPr>
      <w:numPr>
        <w:ilvl w:val="1"/>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B76F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6FE9"/>
  </w:style>
  <w:style w:type="character" w:customStyle="1" w:styleId="eop">
    <w:name w:val="eop"/>
    <w:basedOn w:val="DefaultParagraphFont"/>
    <w:rsid w:val="00B76FE9"/>
  </w:style>
  <w:style w:type="paragraph" w:customStyle="1" w:styleId="Default">
    <w:name w:val="Default"/>
    <w:rsid w:val="00EB2BA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D423B"/>
    <w:rPr>
      <w:b/>
      <w:bCs/>
    </w:rPr>
  </w:style>
  <w:style w:type="character" w:customStyle="1" w:styleId="CommentSubjectChar">
    <w:name w:val="Comment Subject Char"/>
    <w:basedOn w:val="CommentTextChar"/>
    <w:link w:val="CommentSubject"/>
    <w:uiPriority w:val="99"/>
    <w:semiHidden/>
    <w:rsid w:val="008D423B"/>
    <w:rPr>
      <w:b/>
      <w:bCs/>
      <w:sz w:val="20"/>
      <w:szCs w:val="20"/>
    </w:rPr>
  </w:style>
  <w:style w:type="paragraph" w:styleId="NormalWeb">
    <w:name w:val="Normal (Web)"/>
    <w:basedOn w:val="Normal"/>
    <w:uiPriority w:val="99"/>
    <w:semiHidden/>
    <w:unhideWhenUsed/>
    <w:rsid w:val="00C745B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94AFC"/>
    <w:rPr>
      <w:color w:val="605E5C"/>
      <w:shd w:val="clear" w:color="auto" w:fill="E1DFDD"/>
    </w:rPr>
  </w:style>
  <w:style w:type="character" w:customStyle="1" w:styleId="Heading1Char">
    <w:name w:val="Heading 1 Char"/>
    <w:basedOn w:val="DefaultParagraphFont"/>
    <w:link w:val="Heading1"/>
    <w:uiPriority w:val="9"/>
    <w:rsid w:val="00A94AF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94AFC"/>
    <w:rPr>
      <w:color w:val="800080" w:themeColor="followedHyperlink"/>
      <w:u w:val="single"/>
    </w:rPr>
  </w:style>
  <w:style w:type="character" w:customStyle="1" w:styleId="UnresolvedMention">
    <w:name w:val="Unresolved Mention"/>
    <w:basedOn w:val="DefaultParagraphFont"/>
    <w:uiPriority w:val="99"/>
    <w:semiHidden/>
    <w:unhideWhenUsed/>
    <w:rsid w:val="00D7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180">
      <w:bodyDiv w:val="1"/>
      <w:marLeft w:val="0"/>
      <w:marRight w:val="0"/>
      <w:marTop w:val="0"/>
      <w:marBottom w:val="0"/>
      <w:divBdr>
        <w:top w:val="none" w:sz="0" w:space="0" w:color="auto"/>
        <w:left w:val="none" w:sz="0" w:space="0" w:color="auto"/>
        <w:bottom w:val="none" w:sz="0" w:space="0" w:color="auto"/>
        <w:right w:val="none" w:sz="0" w:space="0" w:color="auto"/>
      </w:divBdr>
    </w:div>
    <w:div w:id="118845082">
      <w:bodyDiv w:val="1"/>
      <w:marLeft w:val="0"/>
      <w:marRight w:val="0"/>
      <w:marTop w:val="0"/>
      <w:marBottom w:val="0"/>
      <w:divBdr>
        <w:top w:val="none" w:sz="0" w:space="0" w:color="auto"/>
        <w:left w:val="none" w:sz="0" w:space="0" w:color="auto"/>
        <w:bottom w:val="none" w:sz="0" w:space="0" w:color="auto"/>
        <w:right w:val="none" w:sz="0" w:space="0" w:color="auto"/>
      </w:divBdr>
      <w:divsChild>
        <w:div w:id="1438134582">
          <w:marLeft w:val="0"/>
          <w:marRight w:val="0"/>
          <w:marTop w:val="0"/>
          <w:marBottom w:val="0"/>
          <w:divBdr>
            <w:top w:val="none" w:sz="0" w:space="0" w:color="auto"/>
            <w:left w:val="none" w:sz="0" w:space="0" w:color="auto"/>
            <w:bottom w:val="none" w:sz="0" w:space="0" w:color="auto"/>
            <w:right w:val="none" w:sz="0" w:space="0" w:color="auto"/>
          </w:divBdr>
        </w:div>
      </w:divsChild>
    </w:div>
    <w:div w:id="119156296">
      <w:bodyDiv w:val="1"/>
      <w:marLeft w:val="0"/>
      <w:marRight w:val="0"/>
      <w:marTop w:val="0"/>
      <w:marBottom w:val="0"/>
      <w:divBdr>
        <w:top w:val="none" w:sz="0" w:space="0" w:color="auto"/>
        <w:left w:val="none" w:sz="0" w:space="0" w:color="auto"/>
        <w:bottom w:val="none" w:sz="0" w:space="0" w:color="auto"/>
        <w:right w:val="none" w:sz="0" w:space="0" w:color="auto"/>
      </w:divBdr>
    </w:div>
    <w:div w:id="127673056">
      <w:bodyDiv w:val="1"/>
      <w:marLeft w:val="0"/>
      <w:marRight w:val="0"/>
      <w:marTop w:val="0"/>
      <w:marBottom w:val="0"/>
      <w:divBdr>
        <w:top w:val="none" w:sz="0" w:space="0" w:color="auto"/>
        <w:left w:val="none" w:sz="0" w:space="0" w:color="auto"/>
        <w:bottom w:val="none" w:sz="0" w:space="0" w:color="auto"/>
        <w:right w:val="none" w:sz="0" w:space="0" w:color="auto"/>
      </w:divBdr>
    </w:div>
    <w:div w:id="171535210">
      <w:bodyDiv w:val="1"/>
      <w:marLeft w:val="0"/>
      <w:marRight w:val="0"/>
      <w:marTop w:val="0"/>
      <w:marBottom w:val="0"/>
      <w:divBdr>
        <w:top w:val="none" w:sz="0" w:space="0" w:color="auto"/>
        <w:left w:val="none" w:sz="0" w:space="0" w:color="auto"/>
        <w:bottom w:val="none" w:sz="0" w:space="0" w:color="auto"/>
        <w:right w:val="none" w:sz="0" w:space="0" w:color="auto"/>
      </w:divBdr>
    </w:div>
    <w:div w:id="312410542">
      <w:bodyDiv w:val="1"/>
      <w:marLeft w:val="0"/>
      <w:marRight w:val="0"/>
      <w:marTop w:val="0"/>
      <w:marBottom w:val="0"/>
      <w:divBdr>
        <w:top w:val="none" w:sz="0" w:space="0" w:color="auto"/>
        <w:left w:val="none" w:sz="0" w:space="0" w:color="auto"/>
        <w:bottom w:val="none" w:sz="0" w:space="0" w:color="auto"/>
        <w:right w:val="none" w:sz="0" w:space="0" w:color="auto"/>
      </w:divBdr>
    </w:div>
    <w:div w:id="494566349">
      <w:bodyDiv w:val="1"/>
      <w:marLeft w:val="0"/>
      <w:marRight w:val="0"/>
      <w:marTop w:val="0"/>
      <w:marBottom w:val="0"/>
      <w:divBdr>
        <w:top w:val="none" w:sz="0" w:space="0" w:color="auto"/>
        <w:left w:val="none" w:sz="0" w:space="0" w:color="auto"/>
        <w:bottom w:val="none" w:sz="0" w:space="0" w:color="auto"/>
        <w:right w:val="none" w:sz="0" w:space="0" w:color="auto"/>
      </w:divBdr>
    </w:div>
    <w:div w:id="508522588">
      <w:bodyDiv w:val="1"/>
      <w:marLeft w:val="0"/>
      <w:marRight w:val="0"/>
      <w:marTop w:val="0"/>
      <w:marBottom w:val="0"/>
      <w:divBdr>
        <w:top w:val="none" w:sz="0" w:space="0" w:color="auto"/>
        <w:left w:val="none" w:sz="0" w:space="0" w:color="auto"/>
        <w:bottom w:val="none" w:sz="0" w:space="0" w:color="auto"/>
        <w:right w:val="none" w:sz="0" w:space="0" w:color="auto"/>
      </w:divBdr>
    </w:div>
    <w:div w:id="734822196">
      <w:bodyDiv w:val="1"/>
      <w:marLeft w:val="0"/>
      <w:marRight w:val="0"/>
      <w:marTop w:val="0"/>
      <w:marBottom w:val="0"/>
      <w:divBdr>
        <w:top w:val="none" w:sz="0" w:space="0" w:color="auto"/>
        <w:left w:val="none" w:sz="0" w:space="0" w:color="auto"/>
        <w:bottom w:val="none" w:sz="0" w:space="0" w:color="auto"/>
        <w:right w:val="none" w:sz="0" w:space="0" w:color="auto"/>
      </w:divBdr>
    </w:div>
    <w:div w:id="735012105">
      <w:bodyDiv w:val="1"/>
      <w:marLeft w:val="0"/>
      <w:marRight w:val="0"/>
      <w:marTop w:val="0"/>
      <w:marBottom w:val="0"/>
      <w:divBdr>
        <w:top w:val="none" w:sz="0" w:space="0" w:color="auto"/>
        <w:left w:val="none" w:sz="0" w:space="0" w:color="auto"/>
        <w:bottom w:val="none" w:sz="0" w:space="0" w:color="auto"/>
        <w:right w:val="none" w:sz="0" w:space="0" w:color="auto"/>
      </w:divBdr>
    </w:div>
    <w:div w:id="841819522">
      <w:bodyDiv w:val="1"/>
      <w:marLeft w:val="0"/>
      <w:marRight w:val="0"/>
      <w:marTop w:val="0"/>
      <w:marBottom w:val="0"/>
      <w:divBdr>
        <w:top w:val="none" w:sz="0" w:space="0" w:color="auto"/>
        <w:left w:val="none" w:sz="0" w:space="0" w:color="auto"/>
        <w:bottom w:val="none" w:sz="0" w:space="0" w:color="auto"/>
        <w:right w:val="none" w:sz="0" w:space="0" w:color="auto"/>
      </w:divBdr>
    </w:div>
    <w:div w:id="963540100">
      <w:bodyDiv w:val="1"/>
      <w:marLeft w:val="0"/>
      <w:marRight w:val="0"/>
      <w:marTop w:val="0"/>
      <w:marBottom w:val="0"/>
      <w:divBdr>
        <w:top w:val="none" w:sz="0" w:space="0" w:color="auto"/>
        <w:left w:val="none" w:sz="0" w:space="0" w:color="auto"/>
        <w:bottom w:val="none" w:sz="0" w:space="0" w:color="auto"/>
        <w:right w:val="none" w:sz="0" w:space="0" w:color="auto"/>
      </w:divBdr>
    </w:div>
    <w:div w:id="1150052133">
      <w:bodyDiv w:val="1"/>
      <w:marLeft w:val="0"/>
      <w:marRight w:val="0"/>
      <w:marTop w:val="0"/>
      <w:marBottom w:val="0"/>
      <w:divBdr>
        <w:top w:val="none" w:sz="0" w:space="0" w:color="auto"/>
        <w:left w:val="none" w:sz="0" w:space="0" w:color="auto"/>
        <w:bottom w:val="none" w:sz="0" w:space="0" w:color="auto"/>
        <w:right w:val="none" w:sz="0" w:space="0" w:color="auto"/>
      </w:divBdr>
    </w:div>
    <w:div w:id="1186409068">
      <w:bodyDiv w:val="1"/>
      <w:marLeft w:val="0"/>
      <w:marRight w:val="0"/>
      <w:marTop w:val="0"/>
      <w:marBottom w:val="0"/>
      <w:divBdr>
        <w:top w:val="none" w:sz="0" w:space="0" w:color="auto"/>
        <w:left w:val="none" w:sz="0" w:space="0" w:color="auto"/>
        <w:bottom w:val="none" w:sz="0" w:space="0" w:color="auto"/>
        <w:right w:val="none" w:sz="0" w:space="0" w:color="auto"/>
      </w:divBdr>
      <w:divsChild>
        <w:div w:id="2113546224">
          <w:marLeft w:val="0"/>
          <w:marRight w:val="0"/>
          <w:marTop w:val="0"/>
          <w:marBottom w:val="0"/>
          <w:divBdr>
            <w:top w:val="none" w:sz="0" w:space="0" w:color="auto"/>
            <w:left w:val="none" w:sz="0" w:space="0" w:color="auto"/>
            <w:bottom w:val="none" w:sz="0" w:space="0" w:color="auto"/>
            <w:right w:val="none" w:sz="0" w:space="0" w:color="auto"/>
          </w:divBdr>
        </w:div>
      </w:divsChild>
    </w:div>
    <w:div w:id="1251083934">
      <w:bodyDiv w:val="1"/>
      <w:marLeft w:val="0"/>
      <w:marRight w:val="0"/>
      <w:marTop w:val="0"/>
      <w:marBottom w:val="0"/>
      <w:divBdr>
        <w:top w:val="none" w:sz="0" w:space="0" w:color="auto"/>
        <w:left w:val="none" w:sz="0" w:space="0" w:color="auto"/>
        <w:bottom w:val="none" w:sz="0" w:space="0" w:color="auto"/>
        <w:right w:val="none" w:sz="0" w:space="0" w:color="auto"/>
      </w:divBdr>
    </w:div>
    <w:div w:id="1261403542">
      <w:bodyDiv w:val="1"/>
      <w:marLeft w:val="0"/>
      <w:marRight w:val="0"/>
      <w:marTop w:val="0"/>
      <w:marBottom w:val="0"/>
      <w:divBdr>
        <w:top w:val="none" w:sz="0" w:space="0" w:color="auto"/>
        <w:left w:val="none" w:sz="0" w:space="0" w:color="auto"/>
        <w:bottom w:val="none" w:sz="0" w:space="0" w:color="auto"/>
        <w:right w:val="none" w:sz="0" w:space="0" w:color="auto"/>
      </w:divBdr>
      <w:divsChild>
        <w:div w:id="1247883232">
          <w:marLeft w:val="0"/>
          <w:marRight w:val="0"/>
          <w:marTop w:val="0"/>
          <w:marBottom w:val="0"/>
          <w:divBdr>
            <w:top w:val="none" w:sz="0" w:space="0" w:color="auto"/>
            <w:left w:val="none" w:sz="0" w:space="0" w:color="auto"/>
            <w:bottom w:val="none" w:sz="0" w:space="0" w:color="auto"/>
            <w:right w:val="none" w:sz="0" w:space="0" w:color="auto"/>
          </w:divBdr>
        </w:div>
      </w:divsChild>
    </w:div>
    <w:div w:id="1358584442">
      <w:bodyDiv w:val="1"/>
      <w:marLeft w:val="0"/>
      <w:marRight w:val="0"/>
      <w:marTop w:val="0"/>
      <w:marBottom w:val="0"/>
      <w:divBdr>
        <w:top w:val="none" w:sz="0" w:space="0" w:color="auto"/>
        <w:left w:val="none" w:sz="0" w:space="0" w:color="auto"/>
        <w:bottom w:val="none" w:sz="0" w:space="0" w:color="auto"/>
        <w:right w:val="none" w:sz="0" w:space="0" w:color="auto"/>
      </w:divBdr>
      <w:divsChild>
        <w:div w:id="1718897658">
          <w:marLeft w:val="0"/>
          <w:marRight w:val="0"/>
          <w:marTop w:val="0"/>
          <w:marBottom w:val="0"/>
          <w:divBdr>
            <w:top w:val="none" w:sz="0" w:space="0" w:color="auto"/>
            <w:left w:val="none" w:sz="0" w:space="0" w:color="auto"/>
            <w:bottom w:val="none" w:sz="0" w:space="0" w:color="auto"/>
            <w:right w:val="none" w:sz="0" w:space="0" w:color="auto"/>
          </w:divBdr>
        </w:div>
      </w:divsChild>
    </w:div>
    <w:div w:id="1392268131">
      <w:bodyDiv w:val="1"/>
      <w:marLeft w:val="0"/>
      <w:marRight w:val="0"/>
      <w:marTop w:val="0"/>
      <w:marBottom w:val="0"/>
      <w:divBdr>
        <w:top w:val="none" w:sz="0" w:space="0" w:color="auto"/>
        <w:left w:val="none" w:sz="0" w:space="0" w:color="auto"/>
        <w:bottom w:val="none" w:sz="0" w:space="0" w:color="auto"/>
        <w:right w:val="none" w:sz="0" w:space="0" w:color="auto"/>
      </w:divBdr>
    </w:div>
    <w:div w:id="1443376060">
      <w:bodyDiv w:val="1"/>
      <w:marLeft w:val="0"/>
      <w:marRight w:val="0"/>
      <w:marTop w:val="0"/>
      <w:marBottom w:val="0"/>
      <w:divBdr>
        <w:top w:val="none" w:sz="0" w:space="0" w:color="auto"/>
        <w:left w:val="none" w:sz="0" w:space="0" w:color="auto"/>
        <w:bottom w:val="none" w:sz="0" w:space="0" w:color="auto"/>
        <w:right w:val="none" w:sz="0" w:space="0" w:color="auto"/>
      </w:divBdr>
    </w:div>
    <w:div w:id="1489976221">
      <w:bodyDiv w:val="1"/>
      <w:marLeft w:val="0"/>
      <w:marRight w:val="0"/>
      <w:marTop w:val="0"/>
      <w:marBottom w:val="0"/>
      <w:divBdr>
        <w:top w:val="none" w:sz="0" w:space="0" w:color="auto"/>
        <w:left w:val="none" w:sz="0" w:space="0" w:color="auto"/>
        <w:bottom w:val="none" w:sz="0" w:space="0" w:color="auto"/>
        <w:right w:val="none" w:sz="0" w:space="0" w:color="auto"/>
      </w:divBdr>
    </w:div>
    <w:div w:id="1512329377">
      <w:bodyDiv w:val="1"/>
      <w:marLeft w:val="0"/>
      <w:marRight w:val="0"/>
      <w:marTop w:val="0"/>
      <w:marBottom w:val="0"/>
      <w:divBdr>
        <w:top w:val="none" w:sz="0" w:space="0" w:color="auto"/>
        <w:left w:val="none" w:sz="0" w:space="0" w:color="auto"/>
        <w:bottom w:val="none" w:sz="0" w:space="0" w:color="auto"/>
        <w:right w:val="none" w:sz="0" w:space="0" w:color="auto"/>
      </w:divBdr>
    </w:div>
    <w:div w:id="1748111257">
      <w:bodyDiv w:val="1"/>
      <w:marLeft w:val="0"/>
      <w:marRight w:val="0"/>
      <w:marTop w:val="0"/>
      <w:marBottom w:val="0"/>
      <w:divBdr>
        <w:top w:val="none" w:sz="0" w:space="0" w:color="auto"/>
        <w:left w:val="none" w:sz="0" w:space="0" w:color="auto"/>
        <w:bottom w:val="none" w:sz="0" w:space="0" w:color="auto"/>
        <w:right w:val="none" w:sz="0" w:space="0" w:color="auto"/>
      </w:divBdr>
    </w:div>
    <w:div w:id="1845438841">
      <w:bodyDiv w:val="1"/>
      <w:marLeft w:val="0"/>
      <w:marRight w:val="0"/>
      <w:marTop w:val="0"/>
      <w:marBottom w:val="0"/>
      <w:divBdr>
        <w:top w:val="none" w:sz="0" w:space="0" w:color="auto"/>
        <w:left w:val="none" w:sz="0" w:space="0" w:color="auto"/>
        <w:bottom w:val="none" w:sz="0" w:space="0" w:color="auto"/>
        <w:right w:val="none" w:sz="0" w:space="0" w:color="auto"/>
      </w:divBdr>
    </w:div>
    <w:div w:id="1920480759">
      <w:bodyDiv w:val="1"/>
      <w:marLeft w:val="0"/>
      <w:marRight w:val="0"/>
      <w:marTop w:val="0"/>
      <w:marBottom w:val="0"/>
      <w:divBdr>
        <w:top w:val="none" w:sz="0" w:space="0" w:color="auto"/>
        <w:left w:val="none" w:sz="0" w:space="0" w:color="auto"/>
        <w:bottom w:val="none" w:sz="0" w:space="0" w:color="auto"/>
        <w:right w:val="none" w:sz="0" w:space="0" w:color="auto"/>
      </w:divBdr>
    </w:div>
    <w:div w:id="1921404307">
      <w:bodyDiv w:val="1"/>
      <w:marLeft w:val="0"/>
      <w:marRight w:val="0"/>
      <w:marTop w:val="0"/>
      <w:marBottom w:val="0"/>
      <w:divBdr>
        <w:top w:val="none" w:sz="0" w:space="0" w:color="auto"/>
        <w:left w:val="none" w:sz="0" w:space="0" w:color="auto"/>
        <w:bottom w:val="none" w:sz="0" w:space="0" w:color="auto"/>
        <w:right w:val="none" w:sz="0" w:space="0" w:color="auto"/>
      </w:divBdr>
    </w:div>
    <w:div w:id="20805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s.nhs.uk/articles/delegation-of-supply-or-administration-of-medicines-using-a-pg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ronavirus/publication/patient-group-directions-for-the-covid-19-mrna-vaccine-bnt162b2-pfizer-biontech-and-the-astra-zeneca-covid-19-vaccine-chadox1-s-recombinant-vaccine-summ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gulatory-approval-of-covid-19-vaccine-astrazene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6563D865E1ED429F36A4D64E06A8A6" ma:contentTypeVersion="4" ma:contentTypeDescription="Create a new document." ma:contentTypeScope="" ma:versionID="330e9bf92a990642e4e7d1c57246caac">
  <xsd:schema xmlns:xsd="http://www.w3.org/2001/XMLSchema" xmlns:xs="http://www.w3.org/2001/XMLSchema" xmlns:p="http://schemas.microsoft.com/office/2006/metadata/properties" xmlns:ns2="f15e7df3-507e-4bc0-813b-5c6e8f4cd97a" targetNamespace="http://schemas.microsoft.com/office/2006/metadata/properties" ma:root="true" ma:fieldsID="c5234a2fa5790c4b3cae9bf0a95e25df" ns2:_="">
    <xsd:import namespace="f15e7df3-507e-4bc0-813b-5c6e8f4cd9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e7df3-507e-4bc0-813b-5c6e8f4cd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1D75-8BC4-442B-A096-E91AD5592881}">
  <ds:schemaRefs>
    <ds:schemaRef ds:uri="http://schemas.microsoft.com/sharepoint/v3/contenttype/forms"/>
  </ds:schemaRefs>
</ds:datastoreItem>
</file>

<file path=customXml/itemProps2.xml><?xml version="1.0" encoding="utf-8"?>
<ds:datastoreItem xmlns:ds="http://schemas.openxmlformats.org/officeDocument/2006/customXml" ds:itemID="{42A46C48-3B8A-464F-8AC5-DA1681297BE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15e7df3-507e-4bc0-813b-5c6e8f4cd97a"/>
    <ds:schemaRef ds:uri="http://www.w3.org/XML/1998/namespace"/>
    <ds:schemaRef ds:uri="http://purl.org/dc/dcmitype/"/>
  </ds:schemaRefs>
</ds:datastoreItem>
</file>

<file path=customXml/itemProps3.xml><?xml version="1.0" encoding="utf-8"?>
<ds:datastoreItem xmlns:ds="http://schemas.openxmlformats.org/officeDocument/2006/customXml" ds:itemID="{DF3C6BAC-4205-4088-B2B9-69481A2CE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e7df3-507e-4bc0-813b-5c6e8f4cd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F72F4-DB1F-42D6-88C3-02E4B1C9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Phythian Matthew (RQ6) RLBUHT</dc:creator>
  <cp:lastModifiedBy>Erskine David</cp:lastModifiedBy>
  <cp:revision>2</cp:revision>
  <cp:lastPrinted>2018-07-10T13:21:00Z</cp:lastPrinted>
  <dcterms:created xsi:type="dcterms:W3CDTF">2021-03-19T14:01:00Z</dcterms:created>
  <dcterms:modified xsi:type="dcterms:W3CDTF">2021-03-19T14:01:00Z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0x010100E36563D865E1ED429F36A4D64E06A8A6</vt:lpwstr>
  </property>
</Properties>
</file>