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1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0267"/>
      </w:tblGrid>
      <w:tr w:rsidR="00D2402E" w:rsidRPr="00862949" w14:paraId="1973ABC6" w14:textId="77777777" w:rsidTr="009B0BCE">
        <w:trPr>
          <w:trHeight w:val="192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18874BCD" w14:textId="77777777" w:rsidR="00D2402E" w:rsidRPr="00E369CC" w:rsidRDefault="00860B89" w:rsidP="00F81A28">
            <w:pPr>
              <w:jc w:val="right"/>
              <w:rPr>
                <w:rFonts w:cs="Arial"/>
                <w:b/>
                <w:bCs/>
                <w:iCs/>
                <w:color w:val="0070C0"/>
                <w:sz w:val="15"/>
                <w:szCs w:val="15"/>
                <w:lang w:val="en-US"/>
              </w:rPr>
            </w:pPr>
            <w:r>
              <w:rPr>
                <w:rFonts w:cs="Arial"/>
                <w:b/>
                <w:bCs/>
                <w:iCs/>
                <w:color w:val="333399"/>
                <w:sz w:val="15"/>
                <w:szCs w:val="15"/>
                <w:lang w:val="en-US"/>
              </w:rPr>
              <w:t xml:space="preserve">  </w:t>
            </w:r>
            <w:r w:rsidR="00A3053B">
              <w:rPr>
                <w:rFonts w:cs="Arial"/>
                <w:b/>
                <w:bCs/>
                <w:iCs/>
                <w:color w:val="333399"/>
                <w:sz w:val="15"/>
                <w:szCs w:val="15"/>
                <w:lang w:val="en-US"/>
              </w:rPr>
              <w:t xml:space="preserve"> </w:t>
            </w:r>
            <w:r w:rsidR="00AB34E3" w:rsidRPr="00862949">
              <w:rPr>
                <w:rFonts w:cs="Arial"/>
                <w:b/>
                <w:bCs/>
                <w:iCs/>
                <w:color w:val="333399"/>
                <w:sz w:val="15"/>
                <w:szCs w:val="15"/>
                <w:lang w:val="en-US"/>
              </w:rPr>
              <w:t xml:space="preserve"> </w:t>
            </w:r>
            <w:r w:rsidR="009C539A" w:rsidRPr="00862949">
              <w:rPr>
                <w:rFonts w:cs="Arial"/>
                <w:b/>
                <w:bCs/>
                <w:iCs/>
                <w:color w:val="333399"/>
                <w:sz w:val="15"/>
                <w:szCs w:val="15"/>
                <w:lang w:val="en-US"/>
              </w:rPr>
              <w:t xml:space="preserve"> </w:t>
            </w:r>
            <w:hyperlink r:id="rId11" w:tgtFrame="_blank" w:history="1">
              <w:r w:rsidR="00F81A28" w:rsidRPr="009B0BCE">
                <w:rPr>
                  <w:rStyle w:val="Hyperlink"/>
                  <w:rFonts w:ascii="Arial" w:hAnsi="Arial" w:cs="Arial"/>
                  <w:b/>
                  <w:bCs/>
                  <w:iCs/>
                  <w:color w:val="0070C0"/>
                  <w:sz w:val="20"/>
                  <w:szCs w:val="15"/>
                  <w:lang w:val="en-US"/>
                </w:rPr>
                <w:t>SPS</w:t>
              </w:r>
              <w:r w:rsidR="00D2402E" w:rsidRPr="009B0BCE">
                <w:rPr>
                  <w:rStyle w:val="Hyperlink"/>
                  <w:rFonts w:ascii="Arial" w:hAnsi="Arial" w:cs="Arial"/>
                  <w:b/>
                  <w:bCs/>
                  <w:iCs/>
                  <w:color w:val="0070C0"/>
                  <w:sz w:val="20"/>
                  <w:szCs w:val="15"/>
                  <w:lang w:val="en-US"/>
                </w:rPr>
                <w:t xml:space="preserve"> home</w:t>
              </w:r>
            </w:hyperlink>
            <w:r w:rsidR="00D2402E" w:rsidRPr="009B0BCE">
              <w:rPr>
                <w:rFonts w:cs="Arial"/>
                <w:b/>
                <w:bCs/>
                <w:iCs/>
                <w:color w:val="0070C0"/>
                <w:sz w:val="20"/>
                <w:szCs w:val="15"/>
                <w:lang w:val="en-US"/>
              </w:rPr>
              <w:t xml:space="preserve"> | </w:t>
            </w:r>
            <w:hyperlink r:id="rId12" w:history="1">
              <w:r w:rsidR="00D2402E" w:rsidRPr="009B0BCE">
                <w:rPr>
                  <w:rStyle w:val="Hyperlink"/>
                  <w:rFonts w:ascii="Arial" w:hAnsi="Arial" w:cs="Arial"/>
                  <w:b/>
                  <w:bCs/>
                  <w:iCs/>
                  <w:color w:val="0070C0"/>
                  <w:sz w:val="20"/>
                  <w:szCs w:val="15"/>
                  <w:lang w:val="en-US"/>
                </w:rPr>
                <w:t>Contact</w:t>
              </w:r>
            </w:hyperlink>
          </w:p>
        </w:tc>
      </w:tr>
    </w:tbl>
    <w:p w14:paraId="05919C88" w14:textId="77777777" w:rsidR="00B85859" w:rsidRDefault="00B85859" w:rsidP="00727945">
      <w:pPr>
        <w:rPr>
          <w:rFonts w:ascii="Latha" w:hAnsi="Latha" w:cs="Latha"/>
          <w:sz w:val="8"/>
          <w:szCs w:val="8"/>
        </w:rPr>
      </w:pPr>
    </w:p>
    <w:tbl>
      <w:tblPr>
        <w:tblW w:w="5170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3193"/>
        <w:gridCol w:w="7358"/>
      </w:tblGrid>
      <w:tr w:rsidR="0020101A" w:rsidRPr="00862949" w14:paraId="218DDC94" w14:textId="77777777" w:rsidTr="002772ED">
        <w:tc>
          <w:tcPr>
            <w:tcW w:w="5000" w:type="pct"/>
            <w:gridSpan w:val="2"/>
            <w:shd w:val="clear" w:color="auto" w:fill="0070C0"/>
            <w:tcMar>
              <w:top w:w="85" w:type="dxa"/>
              <w:bottom w:w="85" w:type="dxa"/>
            </w:tcMar>
            <w:vAlign w:val="bottom"/>
          </w:tcPr>
          <w:p w14:paraId="3E2EB977" w14:textId="77777777" w:rsidR="0020101A" w:rsidRPr="00862949" w:rsidRDefault="0020101A" w:rsidP="00720F9E">
            <w:pPr>
              <w:rPr>
                <w:rFonts w:cs="Arial"/>
                <w:color w:val="FFFFFF"/>
                <w:sz w:val="15"/>
                <w:szCs w:val="15"/>
              </w:rPr>
            </w:pPr>
            <w:r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>New product information</w:t>
            </w: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ab/>
            </w:r>
          </w:p>
        </w:tc>
      </w:tr>
      <w:tr w:rsidR="0020101A" w:rsidRPr="00862949" w14:paraId="5F8A8BF0" w14:textId="77777777" w:rsidTr="002772ED">
        <w:tc>
          <w:tcPr>
            <w:tcW w:w="5000" w:type="pct"/>
            <w:gridSpan w:val="2"/>
            <w:shd w:val="clear" w:color="auto" w:fill="DAEEF3"/>
            <w:tcMar>
              <w:top w:w="0" w:type="dxa"/>
              <w:bottom w:w="0" w:type="dxa"/>
            </w:tcMar>
          </w:tcPr>
          <w:p w14:paraId="5A53E524" w14:textId="77777777" w:rsidR="0020101A" w:rsidRPr="00862949" w:rsidRDefault="0020101A" w:rsidP="00720F9E">
            <w:pPr>
              <w:rPr>
                <w:rFonts w:cs="Arial"/>
                <w:b/>
                <w:bCs/>
                <w:i/>
                <w:iCs/>
                <w:color w:val="000000"/>
                <w:sz w:val="8"/>
                <w:szCs w:val="8"/>
                <w:lang w:val="en-US"/>
              </w:rPr>
            </w:pPr>
          </w:p>
        </w:tc>
      </w:tr>
      <w:tr w:rsidR="0020101A" w:rsidRPr="00862949" w14:paraId="405A9E7E" w14:textId="77777777" w:rsidTr="00562CE4">
        <w:tc>
          <w:tcPr>
            <w:tcW w:w="5000" w:type="pct"/>
            <w:gridSpan w:val="2"/>
            <w:shd w:val="clear" w:color="auto" w:fill="008232"/>
            <w:tcMar>
              <w:top w:w="57" w:type="dxa"/>
              <w:bottom w:w="57" w:type="dxa"/>
            </w:tcMar>
          </w:tcPr>
          <w:p w14:paraId="61276BAC" w14:textId="77777777" w:rsidR="0020101A" w:rsidRPr="00433D3E" w:rsidRDefault="0020101A" w:rsidP="00720F9E">
            <w:pPr>
              <w:rPr>
                <w:rFonts w:cs="Arial"/>
                <w:color w:val="FFFFFF"/>
                <w:sz w:val="20"/>
                <w:szCs w:val="20"/>
              </w:rPr>
            </w:pP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Launched in the UK (or licence change for existing products)</w:t>
            </w:r>
          </w:p>
        </w:tc>
      </w:tr>
      <w:tr w:rsidR="00675336" w:rsidRPr="00131D4C" w14:paraId="7CD5E4A5" w14:textId="77777777" w:rsidTr="003D2915">
        <w:tc>
          <w:tcPr>
            <w:tcW w:w="1513" w:type="pct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405BFA57" w14:textId="77777777" w:rsidR="00675336" w:rsidRDefault="00675336" w:rsidP="00675336">
            <w:r w:rsidRPr="00BB0F69">
              <w:t>Acalabrutinib (</w:t>
            </w:r>
            <w:proofErr w:type="spellStart"/>
            <w:r w:rsidRPr="004C6638">
              <w:rPr>
                <w:i/>
                <w:iCs/>
              </w:rPr>
              <w:t>Calquence</w:t>
            </w:r>
            <w:proofErr w:type="spellEnd"/>
            <w:r w:rsidRPr="00BB0F69">
              <w:t>)</w:t>
            </w:r>
          </w:p>
          <w:p w14:paraId="6F7F2F06" w14:textId="239FACE8" w:rsidR="00675336" w:rsidRPr="0011452F" w:rsidRDefault="00675336" w:rsidP="00675336">
            <w:pPr>
              <w:rPr>
                <w:rFonts w:cs="Arial"/>
                <w:szCs w:val="19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836B5D">
              <w:rPr>
                <w:rFonts w:cs="Arial"/>
                <w:sz w:val="16"/>
                <w:szCs w:val="16"/>
              </w:rPr>
              <w:t>00mg tablet</w:t>
            </w:r>
          </w:p>
        </w:tc>
        <w:tc>
          <w:tcPr>
            <w:tcW w:w="3487" w:type="pct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D3BDE8E" w14:textId="35E205D9" w:rsidR="00675336" w:rsidRPr="009C4947" w:rsidRDefault="00675336" w:rsidP="00675336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082ABB">
              <w:rPr>
                <w:rFonts w:cs="Arial"/>
                <w:szCs w:val="19"/>
              </w:rPr>
              <w:t xml:space="preserve">Use as monotherapy </w:t>
            </w:r>
            <w:r>
              <w:rPr>
                <w:rFonts w:cs="Arial"/>
                <w:szCs w:val="19"/>
              </w:rPr>
              <w:t>for the t</w:t>
            </w:r>
            <w:r w:rsidRPr="00BB0F69">
              <w:t>reatment of adults with relapsed or refractory mantle cell lymphoma not previously treated with a BTK inhibitor</w:t>
            </w:r>
            <w:r w:rsidRPr="004C6638">
              <w:rPr>
                <w:sz w:val="16"/>
                <w:szCs w:val="16"/>
              </w:rPr>
              <w:t xml:space="preserve"> [new indication]</w:t>
            </w:r>
          </w:p>
        </w:tc>
      </w:tr>
      <w:tr w:rsidR="00675336" w:rsidRPr="00131D4C" w14:paraId="3989C192" w14:textId="77777777" w:rsidTr="003D2915">
        <w:tc>
          <w:tcPr>
            <w:tcW w:w="1513" w:type="pct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B5866B5" w14:textId="77777777" w:rsidR="00675336" w:rsidRDefault="00675336" w:rsidP="00675336">
            <w:pPr>
              <w:rPr>
                <w:rFonts w:cs="Arial"/>
                <w:szCs w:val="19"/>
                <w:lang w:val="en-US"/>
              </w:rPr>
            </w:pPr>
            <w:proofErr w:type="spellStart"/>
            <w:r>
              <w:rPr>
                <w:rFonts w:cs="Arial"/>
                <w:szCs w:val="19"/>
                <w:lang w:val="en-US"/>
              </w:rPr>
              <w:t>P</w:t>
            </w:r>
            <w:r w:rsidRPr="00CA56BC">
              <w:rPr>
                <w:rFonts w:cs="Arial"/>
                <w:szCs w:val="19"/>
                <w:lang w:val="en-US"/>
              </w:rPr>
              <w:t>itolisant</w:t>
            </w:r>
            <w:proofErr w:type="spellEnd"/>
            <w:r w:rsidRPr="00CA56BC">
              <w:rPr>
                <w:rFonts w:cs="Arial"/>
                <w:szCs w:val="19"/>
                <w:lang w:val="en-US"/>
              </w:rPr>
              <w:t xml:space="preserve"> (</w:t>
            </w:r>
            <w:proofErr w:type="spellStart"/>
            <w:r w:rsidRPr="00CA56BC">
              <w:rPr>
                <w:rFonts w:cs="Arial"/>
                <w:i/>
                <w:iCs/>
                <w:szCs w:val="19"/>
                <w:lang w:val="en-US"/>
              </w:rPr>
              <w:t>Wakix</w:t>
            </w:r>
            <w:proofErr w:type="spellEnd"/>
            <w:r w:rsidRPr="00CA56BC">
              <w:rPr>
                <w:rFonts w:cs="Arial"/>
                <w:szCs w:val="19"/>
                <w:lang w:val="en-US"/>
              </w:rPr>
              <w:t>)</w:t>
            </w:r>
          </w:p>
          <w:p w14:paraId="34B17FE9" w14:textId="2968DC36" w:rsidR="00675336" w:rsidRPr="00CB7CB1" w:rsidRDefault="00675336" w:rsidP="00675336">
            <w:pPr>
              <w:rPr>
                <w:rFonts w:cs="Arial"/>
                <w:szCs w:val="19"/>
              </w:rPr>
            </w:pPr>
            <w:r w:rsidRPr="00CA603C">
              <w:rPr>
                <w:rFonts w:cs="Arial"/>
                <w:sz w:val="16"/>
                <w:szCs w:val="16"/>
              </w:rPr>
              <w:t>4.5mg and 18mg tablets</w:t>
            </w:r>
          </w:p>
        </w:tc>
        <w:tc>
          <w:tcPr>
            <w:tcW w:w="3487" w:type="pct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884CBC3" w14:textId="36D4CEC5" w:rsidR="00675336" w:rsidRDefault="00675336" w:rsidP="00675336">
            <w:pPr>
              <w:tabs>
                <w:tab w:val="center" w:pos="3152"/>
              </w:tabs>
              <w:rPr>
                <w:rFonts w:cs="Arial"/>
                <w:bCs/>
                <w:szCs w:val="19"/>
              </w:rPr>
            </w:pPr>
            <w:r>
              <w:rPr>
                <w:rFonts w:cs="Arial"/>
                <w:szCs w:val="19"/>
                <w:lang w:val="en-US"/>
              </w:rPr>
              <w:t>Treatment of n</w:t>
            </w:r>
            <w:r w:rsidRPr="00CA56BC">
              <w:rPr>
                <w:rFonts w:cs="Arial"/>
                <w:szCs w:val="19"/>
                <w:lang w:val="en-US"/>
              </w:rPr>
              <w:t xml:space="preserve">arcolepsy </w:t>
            </w:r>
            <w:r w:rsidRPr="00CA56BC">
              <w:rPr>
                <w:rFonts w:cs="Arial"/>
                <w:szCs w:val="19"/>
                <w:lang w:val="en-US"/>
              </w:rPr>
              <w:tab/>
              <w:t>with or without cataplexy, in children and adolescents aged 6 to 17 years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400D">
              <w:rPr>
                <w:rFonts w:cs="Arial"/>
                <w:sz w:val="16"/>
                <w:szCs w:val="16"/>
              </w:rPr>
              <w:t>[licence change from use only in adults]</w:t>
            </w:r>
          </w:p>
        </w:tc>
      </w:tr>
      <w:tr w:rsidR="00675336" w:rsidRPr="00131D4C" w14:paraId="5700E88D" w14:textId="77777777" w:rsidTr="003D2915">
        <w:tc>
          <w:tcPr>
            <w:tcW w:w="1513" w:type="pct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D0D3C87" w14:textId="77777777" w:rsidR="00675336" w:rsidRDefault="00675336" w:rsidP="00675336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V</w:t>
            </w:r>
            <w:r w:rsidRPr="009C4132">
              <w:rPr>
                <w:rFonts w:cs="Arial"/>
                <w:szCs w:val="19"/>
              </w:rPr>
              <w:t>onicog</w:t>
            </w:r>
            <w:proofErr w:type="spellEnd"/>
            <w:r w:rsidRPr="009C4132">
              <w:rPr>
                <w:rFonts w:cs="Arial"/>
                <w:szCs w:val="19"/>
              </w:rPr>
              <w:t xml:space="preserve"> alfa (</w:t>
            </w:r>
            <w:proofErr w:type="spellStart"/>
            <w:r w:rsidRPr="009C4132">
              <w:rPr>
                <w:rFonts w:cs="Arial"/>
                <w:i/>
                <w:iCs/>
                <w:szCs w:val="19"/>
              </w:rPr>
              <w:t>Veyvondi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  <w:p w14:paraId="74D3CDAF" w14:textId="1FD7BC2B" w:rsidR="00675336" w:rsidRPr="009B4F9E" w:rsidRDefault="00675336" w:rsidP="00675336">
            <w:pPr>
              <w:rPr>
                <w:rFonts w:cs="Arial"/>
                <w:szCs w:val="19"/>
              </w:rPr>
            </w:pPr>
            <w:r w:rsidRPr="005663C5">
              <w:rPr>
                <w:rFonts w:cs="Arial"/>
                <w:sz w:val="16"/>
                <w:szCs w:val="16"/>
              </w:rPr>
              <w:t>650IU and 1,300IU vials</w:t>
            </w:r>
          </w:p>
        </w:tc>
        <w:tc>
          <w:tcPr>
            <w:tcW w:w="3487" w:type="pct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C86B5FF" w14:textId="583D9092" w:rsidR="00675336" w:rsidRPr="00675336" w:rsidRDefault="00675336" w:rsidP="00675336">
            <w:pPr>
              <w:tabs>
                <w:tab w:val="center" w:pos="315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CE591F">
              <w:rPr>
                <w:rFonts w:cs="Arial"/>
                <w:szCs w:val="19"/>
                <w:lang w:val="en-US"/>
              </w:rPr>
              <w:t xml:space="preserve">reatment of </w:t>
            </w:r>
            <w:proofErr w:type="spellStart"/>
            <w:r w:rsidRPr="00CE591F">
              <w:rPr>
                <w:rFonts w:cs="Arial"/>
                <w:szCs w:val="19"/>
                <w:lang w:val="en-US"/>
              </w:rPr>
              <w:t>haemorrhage</w:t>
            </w:r>
            <w:proofErr w:type="spellEnd"/>
            <w:r w:rsidRPr="00CE591F">
              <w:rPr>
                <w:rFonts w:cs="Arial"/>
                <w:szCs w:val="19"/>
                <w:lang w:val="en-US"/>
              </w:rPr>
              <w:t xml:space="preserve"> in children (aged less than 18 years) with von Willebrand disease, when desmopressin treatment alone is ineffective or contraindicated </w:t>
            </w:r>
            <w:r w:rsidRPr="0026400D">
              <w:rPr>
                <w:rFonts w:cs="Arial"/>
                <w:sz w:val="16"/>
                <w:szCs w:val="16"/>
              </w:rPr>
              <w:t>[licence change from use only in adults]</w:t>
            </w:r>
          </w:p>
        </w:tc>
      </w:tr>
      <w:tr w:rsidR="00675336" w:rsidRPr="00862949" w14:paraId="38106AF9" w14:textId="77777777" w:rsidTr="002772ED"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14:paraId="17CD3FAC" w14:textId="77777777" w:rsidR="00675336" w:rsidRPr="00862949" w:rsidRDefault="00675336" w:rsidP="00675336">
            <w:pPr>
              <w:rPr>
                <w:rFonts w:cs="Arial"/>
                <w:b/>
                <w:noProof/>
                <w:sz w:val="8"/>
                <w:szCs w:val="8"/>
              </w:rPr>
            </w:pPr>
          </w:p>
        </w:tc>
      </w:tr>
      <w:tr w:rsidR="00675336" w:rsidRPr="00862949" w14:paraId="26488194" w14:textId="77777777" w:rsidTr="002772ED">
        <w:tc>
          <w:tcPr>
            <w:tcW w:w="5000" w:type="pct"/>
            <w:gridSpan w:val="2"/>
            <w:shd w:val="clear" w:color="auto" w:fill="DAEEF3"/>
            <w:tcMar>
              <w:top w:w="0" w:type="dxa"/>
              <w:bottom w:w="0" w:type="dxa"/>
            </w:tcMar>
          </w:tcPr>
          <w:p w14:paraId="68E4A2DA" w14:textId="77777777" w:rsidR="00675336" w:rsidRPr="00862949" w:rsidRDefault="00675336" w:rsidP="00675336">
            <w:pPr>
              <w:rPr>
                <w:rFonts w:cs="Arial"/>
                <w:b/>
                <w:i/>
                <w:noProof/>
                <w:sz w:val="8"/>
                <w:szCs w:val="8"/>
              </w:rPr>
            </w:pPr>
          </w:p>
        </w:tc>
      </w:tr>
    </w:tbl>
    <w:p w14:paraId="469FD252" w14:textId="77777777" w:rsidR="00797F59" w:rsidRDefault="00797F59" w:rsidP="00727945">
      <w:pPr>
        <w:rPr>
          <w:rFonts w:ascii="Latha" w:hAnsi="Latha" w:cs="Latha"/>
          <w:sz w:val="8"/>
          <w:szCs w:val="8"/>
        </w:rPr>
      </w:pPr>
    </w:p>
    <w:p w14:paraId="7C547F88" w14:textId="77777777" w:rsidR="0022269C" w:rsidRDefault="0022269C" w:rsidP="00727945">
      <w:pPr>
        <w:rPr>
          <w:rFonts w:ascii="Latha" w:hAnsi="Latha" w:cs="Latha"/>
          <w:sz w:val="8"/>
          <w:szCs w:val="8"/>
        </w:rPr>
      </w:pPr>
    </w:p>
    <w:p w14:paraId="2CEA593B" w14:textId="77777777" w:rsidR="0022269C" w:rsidRDefault="0022269C" w:rsidP="00727945">
      <w:pPr>
        <w:rPr>
          <w:rFonts w:ascii="Latha" w:hAnsi="Latha" w:cs="Latha"/>
          <w:sz w:val="8"/>
          <w:szCs w:val="8"/>
        </w:rPr>
      </w:pPr>
    </w:p>
    <w:tbl>
      <w:tblPr>
        <w:tblW w:w="5170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2430"/>
        <w:gridCol w:w="623"/>
        <w:gridCol w:w="7498"/>
      </w:tblGrid>
      <w:tr w:rsidR="005F0932" w:rsidRPr="00862949" w14:paraId="1763A331" w14:textId="77777777" w:rsidTr="00DF4A04">
        <w:tc>
          <w:tcPr>
            <w:tcW w:w="5000" w:type="pct"/>
            <w:gridSpan w:val="3"/>
            <w:shd w:val="clear" w:color="auto" w:fill="0070C0"/>
            <w:tcMar>
              <w:top w:w="85" w:type="dxa"/>
              <w:bottom w:w="85" w:type="dxa"/>
            </w:tcMar>
            <w:vAlign w:val="bottom"/>
          </w:tcPr>
          <w:p w14:paraId="629C0B20" w14:textId="77777777" w:rsidR="005F0932" w:rsidRPr="00862949" w:rsidRDefault="005F0932" w:rsidP="00DF4A04">
            <w:pPr>
              <w:rPr>
                <w:rFonts w:cs="Arial"/>
                <w:color w:val="FFFFFF"/>
                <w:sz w:val="15"/>
                <w:szCs w:val="15"/>
              </w:rPr>
            </w:pP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 xml:space="preserve">Regulatory changes in the </w:t>
            </w:r>
            <w:r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 xml:space="preserve">UK or </w:t>
            </w: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>EU</w:t>
            </w: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ab/>
            </w:r>
          </w:p>
        </w:tc>
      </w:tr>
      <w:tr w:rsidR="005F0932" w:rsidRPr="00862949" w14:paraId="7898812A" w14:textId="77777777" w:rsidTr="00DF4A04">
        <w:tc>
          <w:tcPr>
            <w:tcW w:w="5000" w:type="pct"/>
            <w:gridSpan w:val="3"/>
            <w:shd w:val="clear" w:color="auto" w:fill="DAEEF3"/>
            <w:tcMar>
              <w:top w:w="0" w:type="dxa"/>
              <w:bottom w:w="0" w:type="dxa"/>
            </w:tcMar>
          </w:tcPr>
          <w:p w14:paraId="64785D19" w14:textId="77777777" w:rsidR="005F0932" w:rsidRPr="00862949" w:rsidRDefault="005F0932" w:rsidP="00DF4A04">
            <w:pPr>
              <w:rPr>
                <w:rFonts w:cs="Arial"/>
                <w:b/>
                <w:bCs/>
                <w:i/>
                <w:iCs/>
                <w:color w:val="000000"/>
                <w:sz w:val="8"/>
                <w:szCs w:val="8"/>
                <w:lang w:val="en-US"/>
              </w:rPr>
            </w:pPr>
          </w:p>
        </w:tc>
      </w:tr>
      <w:tr w:rsidR="005F0932" w:rsidRPr="00862949" w14:paraId="518B27A7" w14:textId="77777777" w:rsidTr="00DF4A04">
        <w:tc>
          <w:tcPr>
            <w:tcW w:w="5000" w:type="pct"/>
            <w:gridSpan w:val="3"/>
            <w:shd w:val="clear" w:color="auto" w:fill="008232"/>
            <w:tcMar>
              <w:top w:w="57" w:type="dxa"/>
              <w:bottom w:w="57" w:type="dxa"/>
            </w:tcMar>
          </w:tcPr>
          <w:p w14:paraId="0DA0167B" w14:textId="77777777" w:rsidR="005F0932" w:rsidRPr="00433D3E" w:rsidRDefault="005F0932" w:rsidP="00DF4A04">
            <w:pPr>
              <w:rPr>
                <w:rFonts w:cs="Arial"/>
                <w:color w:val="FFFFFF"/>
                <w:sz w:val="20"/>
                <w:szCs w:val="20"/>
              </w:rPr>
            </w:pP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Approved in the </w:t>
            </w: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UK</w:t>
            </w:r>
          </w:p>
        </w:tc>
      </w:tr>
      <w:tr w:rsidR="005F0932" w14:paraId="569F38AD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20BD3C2" w14:textId="77777777" w:rsidR="005F0932" w:rsidRDefault="005F0932" w:rsidP="005F0932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B</w:t>
            </w:r>
            <w:r w:rsidRPr="00275853">
              <w:rPr>
                <w:rFonts w:cs="Arial"/>
                <w:szCs w:val="19"/>
              </w:rPr>
              <w:t xml:space="preserve">evacizumab </w:t>
            </w:r>
            <w:proofErr w:type="gramStart"/>
            <w:r w:rsidRPr="00275853">
              <w:rPr>
                <w:rFonts w:cs="Arial"/>
                <w:szCs w:val="19"/>
              </w:rPr>
              <w:t>biosimilar  (</w:t>
            </w:r>
            <w:proofErr w:type="spellStart"/>
            <w:proofErr w:type="gramEnd"/>
            <w:r w:rsidRPr="00275853">
              <w:rPr>
                <w:rFonts w:cs="Arial"/>
                <w:i/>
                <w:iCs/>
                <w:szCs w:val="19"/>
              </w:rPr>
              <w:t>Ankevda</w:t>
            </w:r>
            <w:proofErr w:type="spellEnd"/>
            <w:r w:rsidRPr="00275853">
              <w:rPr>
                <w:rFonts w:cs="Arial"/>
                <w:szCs w:val="19"/>
              </w:rPr>
              <w:t>)</w:t>
            </w:r>
          </w:p>
          <w:p w14:paraId="627D09A2" w14:textId="4AC79E08" w:rsidR="005F0932" w:rsidRPr="00247547" w:rsidRDefault="005F0932" w:rsidP="005F0932">
            <w:pPr>
              <w:rPr>
                <w:rFonts w:cs="Arial"/>
                <w:szCs w:val="19"/>
              </w:rPr>
            </w:pPr>
            <w:r w:rsidRPr="00C84D24">
              <w:rPr>
                <w:rFonts w:cs="Arial"/>
                <w:sz w:val="16"/>
                <w:szCs w:val="16"/>
              </w:rPr>
              <w:t>100mg</w:t>
            </w:r>
            <w:r>
              <w:rPr>
                <w:rFonts w:cs="Arial"/>
                <w:sz w:val="16"/>
                <w:szCs w:val="16"/>
              </w:rPr>
              <w:t xml:space="preserve"> in </w:t>
            </w:r>
            <w:r w:rsidRPr="00C84D24">
              <w:rPr>
                <w:rFonts w:cs="Arial"/>
                <w:sz w:val="16"/>
                <w:szCs w:val="16"/>
              </w:rPr>
              <w:t>4ml and 400mg</w:t>
            </w:r>
            <w:r>
              <w:rPr>
                <w:rFonts w:cs="Arial"/>
                <w:sz w:val="16"/>
                <w:szCs w:val="16"/>
              </w:rPr>
              <w:t xml:space="preserve"> in </w:t>
            </w:r>
            <w:r w:rsidRPr="00C84D24">
              <w:rPr>
                <w:rFonts w:cs="Arial"/>
                <w:sz w:val="16"/>
                <w:szCs w:val="16"/>
              </w:rPr>
              <w:t>16ml</w:t>
            </w:r>
            <w:r>
              <w:rPr>
                <w:rFonts w:cs="Arial"/>
                <w:sz w:val="16"/>
                <w:szCs w:val="16"/>
              </w:rPr>
              <w:t xml:space="preserve"> vials</w:t>
            </w:r>
          </w:p>
        </w:tc>
        <w:tc>
          <w:tcPr>
            <w:tcW w:w="3553" w:type="pct"/>
            <w:tcMar>
              <w:top w:w="57" w:type="dxa"/>
              <w:bottom w:w="57" w:type="dxa"/>
            </w:tcMar>
          </w:tcPr>
          <w:p w14:paraId="71E76F21" w14:textId="670669C0" w:rsidR="005F0932" w:rsidRPr="002B10C1" w:rsidRDefault="005F0932" w:rsidP="005F0932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</w:t>
            </w:r>
            <w:r w:rsidRPr="00A24270">
              <w:rPr>
                <w:rFonts w:cs="Arial"/>
                <w:sz w:val="18"/>
                <w:szCs w:val="18"/>
                <w:lang w:val="en-US"/>
              </w:rPr>
              <w:t>reat</w:t>
            </w:r>
            <w:r>
              <w:rPr>
                <w:rFonts w:cs="Arial"/>
                <w:sz w:val="18"/>
                <w:szCs w:val="18"/>
                <w:lang w:val="en-US"/>
              </w:rPr>
              <w:t>ment of</w:t>
            </w:r>
            <w:r w:rsidRPr="00A24270">
              <w:rPr>
                <w:rFonts w:cs="Arial"/>
                <w:sz w:val="18"/>
                <w:szCs w:val="18"/>
                <w:lang w:val="en-US"/>
              </w:rPr>
              <w:t xml:space="preserve"> adults with metastatic carcinoma of the colon or rectum, metastatic breast cancer, unresectable advanced, metastatic or recurrent non-small cell lung cancer, advanced and/or metastatic renal cell cancer, epithelial ovarian, fallopian tube, or primary peritoneal cancer, and persistent, recurrent, or metastatic carcinoma of the cervix</w:t>
            </w:r>
          </w:p>
        </w:tc>
      </w:tr>
      <w:tr w:rsidR="005F0932" w14:paraId="21F28BB3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C13EA93" w14:textId="77777777" w:rsidR="005F0932" w:rsidRDefault="005F0932" w:rsidP="005F0932">
            <w:pPr>
              <w:rPr>
                <w:rFonts w:cs="Arial"/>
                <w:szCs w:val="19"/>
              </w:rPr>
            </w:pPr>
            <w:proofErr w:type="spellStart"/>
            <w:r w:rsidRPr="00046330">
              <w:rPr>
                <w:rFonts w:cs="Arial"/>
                <w:szCs w:val="19"/>
              </w:rPr>
              <w:t>Deuruxolitinib</w:t>
            </w:r>
            <w:proofErr w:type="spellEnd"/>
            <w:r w:rsidRPr="00046330">
              <w:rPr>
                <w:rFonts w:cs="Arial"/>
                <w:szCs w:val="19"/>
              </w:rPr>
              <w:t xml:space="preserve"> (</w:t>
            </w:r>
            <w:proofErr w:type="spellStart"/>
            <w:r w:rsidRPr="00046330">
              <w:rPr>
                <w:rFonts w:cs="Arial"/>
                <w:i/>
                <w:iCs/>
                <w:szCs w:val="19"/>
              </w:rPr>
              <w:t>Leqselvi</w:t>
            </w:r>
            <w:proofErr w:type="spellEnd"/>
            <w:r w:rsidRPr="00046330">
              <w:rPr>
                <w:rFonts w:cs="Arial"/>
                <w:szCs w:val="19"/>
              </w:rPr>
              <w:t>)</w:t>
            </w:r>
          </w:p>
          <w:p w14:paraId="354E3012" w14:textId="231B04F6" w:rsidR="005F0932" w:rsidRPr="002B10C1" w:rsidRDefault="005F0932" w:rsidP="005F0932">
            <w:pPr>
              <w:rPr>
                <w:rFonts w:cs="Arial"/>
                <w:szCs w:val="19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836B5D">
              <w:rPr>
                <w:rFonts w:cs="Arial"/>
                <w:sz w:val="16"/>
                <w:szCs w:val="16"/>
              </w:rPr>
              <w:t>mg tablet</w:t>
            </w:r>
          </w:p>
        </w:tc>
        <w:tc>
          <w:tcPr>
            <w:tcW w:w="3553" w:type="pct"/>
            <w:tcMar>
              <w:top w:w="57" w:type="dxa"/>
              <w:bottom w:w="57" w:type="dxa"/>
            </w:tcMar>
          </w:tcPr>
          <w:p w14:paraId="1396F99C" w14:textId="5E9A1912" w:rsidR="005F0932" w:rsidRDefault="005F0932" w:rsidP="005F0932">
            <w:pPr>
              <w:tabs>
                <w:tab w:val="center" w:pos="3152"/>
              </w:tabs>
              <w:rPr>
                <w:rFonts w:cs="Arial"/>
                <w:sz w:val="18"/>
                <w:szCs w:val="18"/>
                <w:lang w:val="en-US"/>
              </w:rPr>
            </w:pPr>
            <w:r w:rsidRPr="00520E0B">
              <w:rPr>
                <w:rFonts w:cs="Arial"/>
                <w:sz w:val="18"/>
                <w:szCs w:val="18"/>
                <w:lang w:val="en-US"/>
              </w:rPr>
              <w:t>Treatment of adults with severe alopecia areata</w:t>
            </w:r>
          </w:p>
        </w:tc>
      </w:tr>
      <w:tr w:rsidR="005F0932" w14:paraId="3D844050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8C0C139" w14:textId="77777777" w:rsidR="005F0932" w:rsidRDefault="005F0932" w:rsidP="005F0932">
            <w:pPr>
              <w:rPr>
                <w:rFonts w:cs="Arial"/>
                <w:szCs w:val="19"/>
              </w:rPr>
            </w:pPr>
            <w:proofErr w:type="spellStart"/>
            <w:r w:rsidRPr="009F636A">
              <w:rPr>
                <w:rFonts w:cs="Arial"/>
                <w:szCs w:val="19"/>
              </w:rPr>
              <w:t>Estradiol</w:t>
            </w:r>
            <w:proofErr w:type="spellEnd"/>
            <w:r w:rsidRPr="009F636A">
              <w:rPr>
                <w:rFonts w:cs="Arial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>(</w:t>
            </w:r>
            <w:proofErr w:type="spellStart"/>
            <w:r w:rsidRPr="009F636A">
              <w:rPr>
                <w:rFonts w:cs="Arial"/>
                <w:i/>
                <w:iCs/>
                <w:szCs w:val="19"/>
              </w:rPr>
              <w:t>Estradiol</w:t>
            </w:r>
            <w:proofErr w:type="spellEnd"/>
            <w:r w:rsidRPr="009F636A">
              <w:rPr>
                <w:rFonts w:cs="Arial"/>
                <w:i/>
                <w:iCs/>
                <w:szCs w:val="19"/>
              </w:rPr>
              <w:t xml:space="preserve"> </w:t>
            </w:r>
            <w:proofErr w:type="spellStart"/>
            <w:r w:rsidRPr="009F636A">
              <w:rPr>
                <w:rFonts w:cs="Arial"/>
                <w:i/>
                <w:iCs/>
                <w:szCs w:val="19"/>
              </w:rPr>
              <w:t>Besins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  <w:p w14:paraId="70E60414" w14:textId="75C180F2" w:rsidR="005F0932" w:rsidRPr="002F73AD" w:rsidRDefault="005F0932" w:rsidP="005F0932">
            <w:pPr>
              <w:rPr>
                <w:rFonts w:cs="Arial"/>
                <w:szCs w:val="19"/>
              </w:rPr>
            </w:pPr>
            <w:r w:rsidRPr="00D36F2B">
              <w:rPr>
                <w:rFonts w:cs="Arial"/>
                <w:sz w:val="16"/>
                <w:szCs w:val="16"/>
              </w:rPr>
              <w:t>0.75mg</w:t>
            </w:r>
            <w:r>
              <w:rPr>
                <w:rFonts w:cs="Arial"/>
                <w:sz w:val="16"/>
                <w:szCs w:val="16"/>
              </w:rPr>
              <w:t>/1.25g gel</w:t>
            </w:r>
          </w:p>
        </w:tc>
        <w:tc>
          <w:tcPr>
            <w:tcW w:w="3553" w:type="pct"/>
            <w:tcMar>
              <w:top w:w="57" w:type="dxa"/>
              <w:bottom w:w="57" w:type="dxa"/>
            </w:tcMar>
          </w:tcPr>
          <w:p w14:paraId="1B7CAA92" w14:textId="77777777" w:rsidR="005F0932" w:rsidRPr="00354856" w:rsidRDefault="005F0932" w:rsidP="005F0932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354856">
              <w:rPr>
                <w:rFonts w:cs="Arial"/>
                <w:szCs w:val="19"/>
                <w:lang w:val="en-US"/>
              </w:rPr>
              <w:t xml:space="preserve">Hormone replacement therapy for </w:t>
            </w:r>
            <w:proofErr w:type="spellStart"/>
            <w:r w:rsidRPr="00354856">
              <w:rPr>
                <w:rFonts w:cs="Arial"/>
                <w:szCs w:val="19"/>
                <w:lang w:val="en-US"/>
              </w:rPr>
              <w:t>oestrogen</w:t>
            </w:r>
            <w:proofErr w:type="spellEnd"/>
            <w:r w:rsidRPr="00354856">
              <w:rPr>
                <w:rFonts w:cs="Arial"/>
                <w:szCs w:val="19"/>
                <w:lang w:val="en-US"/>
              </w:rPr>
              <w:t xml:space="preserve"> deficiency symptoms in</w:t>
            </w:r>
          </w:p>
          <w:p w14:paraId="59323CC4" w14:textId="77777777" w:rsidR="005F0932" w:rsidRDefault="005F0932" w:rsidP="005F0932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354856">
              <w:rPr>
                <w:rFonts w:cs="Arial"/>
                <w:szCs w:val="19"/>
                <w:lang w:val="en-US"/>
              </w:rPr>
              <w:t>postmenopausal women</w:t>
            </w:r>
            <w:r>
              <w:rPr>
                <w:rFonts w:cs="Arial"/>
                <w:szCs w:val="19"/>
                <w:lang w:val="en-US"/>
              </w:rPr>
              <w:t xml:space="preserve"> and p</w:t>
            </w:r>
            <w:r w:rsidRPr="00354856">
              <w:rPr>
                <w:rFonts w:cs="Arial"/>
                <w:szCs w:val="19"/>
                <w:lang w:val="en-US"/>
              </w:rPr>
              <w:t>revention of osteoporosis in postmenopausal women at high risk of future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354856">
              <w:rPr>
                <w:rFonts w:cs="Arial"/>
                <w:szCs w:val="19"/>
                <w:lang w:val="en-US"/>
              </w:rPr>
              <w:t>fractures who are intolerant of, or contraindicated for, other medicinal products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354856">
              <w:rPr>
                <w:rFonts w:cs="Arial"/>
                <w:szCs w:val="19"/>
                <w:lang w:val="en-US"/>
              </w:rPr>
              <w:t>approved for the prevention of osteoporosis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</w:p>
          <w:p w14:paraId="433759FE" w14:textId="0C316175" w:rsidR="005F0932" w:rsidRPr="00A075A3" w:rsidRDefault="005F0932" w:rsidP="005F0932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</w:p>
        </w:tc>
      </w:tr>
      <w:tr w:rsidR="005F0932" w:rsidRPr="00862949" w14:paraId="353CEA9F" w14:textId="77777777" w:rsidTr="00DF4A04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14:paraId="43BC98C1" w14:textId="77777777" w:rsidR="005F0932" w:rsidRPr="00862949" w:rsidRDefault="005F0932" w:rsidP="005F0932">
            <w:pPr>
              <w:jc w:val="center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5F0932" w:rsidRPr="000F19E1" w14:paraId="73F7FD20" w14:textId="77777777" w:rsidTr="00DF4A04">
        <w:tc>
          <w:tcPr>
            <w:tcW w:w="1152" w:type="pct"/>
            <w:shd w:val="clear" w:color="auto" w:fill="DAEEF3"/>
            <w:tcMar>
              <w:top w:w="0" w:type="dxa"/>
              <w:bottom w:w="0" w:type="dxa"/>
            </w:tcMar>
          </w:tcPr>
          <w:p w14:paraId="7D01ACAD" w14:textId="77777777" w:rsidR="005F0932" w:rsidRPr="000F19E1" w:rsidRDefault="005F0932" w:rsidP="005F0932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848" w:type="pct"/>
            <w:gridSpan w:val="2"/>
            <w:shd w:val="clear" w:color="auto" w:fill="DAEEF3"/>
            <w:tcMar>
              <w:top w:w="0" w:type="dxa"/>
              <w:bottom w:w="0" w:type="dxa"/>
            </w:tcMar>
          </w:tcPr>
          <w:p w14:paraId="444A5DA9" w14:textId="77777777" w:rsidR="005F0932" w:rsidRPr="000F19E1" w:rsidRDefault="005F0932" w:rsidP="005F0932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5F0932" w:rsidRPr="00831779" w14:paraId="78613C12" w14:textId="77777777" w:rsidTr="00DF4A04">
        <w:tc>
          <w:tcPr>
            <w:tcW w:w="5000" w:type="pct"/>
            <w:gridSpan w:val="3"/>
            <w:shd w:val="clear" w:color="auto" w:fill="008232"/>
            <w:tcMar>
              <w:top w:w="57" w:type="dxa"/>
              <w:bottom w:w="57" w:type="dxa"/>
            </w:tcMar>
          </w:tcPr>
          <w:p w14:paraId="0BB6A193" w14:textId="77777777" w:rsidR="005F0932" w:rsidRPr="00831779" w:rsidRDefault="005F0932" w:rsidP="005F0932">
            <w:pPr>
              <w:rPr>
                <w:rFonts w:cs="Arial"/>
                <w:noProof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Recommended for approval in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the </w:t>
            </w: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UK or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EU</w:t>
            </w:r>
          </w:p>
        </w:tc>
      </w:tr>
      <w:tr w:rsidR="005F0932" w:rsidRPr="00A075A3" w14:paraId="76E56617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454A7D2B" w14:textId="48A1FFE0" w:rsidR="005F0932" w:rsidRPr="00813950" w:rsidRDefault="005F0932" w:rsidP="005F0932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</w:t>
            </w:r>
            <w:r w:rsidRPr="007A5C73">
              <w:rPr>
                <w:rFonts w:cs="Arial"/>
                <w:szCs w:val="19"/>
              </w:rPr>
              <w:t>abrafenib (</w:t>
            </w:r>
            <w:proofErr w:type="spellStart"/>
            <w:r w:rsidRPr="007A5C73">
              <w:rPr>
                <w:rFonts w:cs="Arial"/>
                <w:i/>
                <w:iCs/>
                <w:szCs w:val="19"/>
              </w:rPr>
              <w:t>Tafinlar</w:t>
            </w:r>
            <w:proofErr w:type="spellEnd"/>
            <w:r w:rsidRPr="007A5C73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tcMar>
              <w:top w:w="57" w:type="dxa"/>
              <w:bottom w:w="57" w:type="dxa"/>
            </w:tcMar>
          </w:tcPr>
          <w:p w14:paraId="55B0B38F" w14:textId="09E213B0" w:rsidR="005F0932" w:rsidRPr="00A075A3" w:rsidRDefault="005F0932" w:rsidP="005F0932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A57D3A">
              <w:rPr>
                <w:rFonts w:cs="Arial"/>
                <w:szCs w:val="19"/>
                <w:lang w:val="en-US"/>
              </w:rPr>
              <w:t xml:space="preserve">as monotherapy or in combination with trametinib </w:t>
            </w:r>
            <w:r w:rsidRPr="00F64242">
              <w:rPr>
                <w:rFonts w:cs="Arial"/>
                <w:szCs w:val="19"/>
                <w:lang w:val="en-US"/>
              </w:rPr>
              <w:t>for the adjuvant treatment of adults and adolescents aged 12 years and older with Stage III melanoma with a BRAF V600 mutation, following complete resection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:rsidRPr="00A075A3" w14:paraId="386BE47A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98A64D5" w14:textId="4119FC36" w:rsidR="005F0932" w:rsidRPr="00AF0080" w:rsidRDefault="005F0932" w:rsidP="005F0932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</w:t>
            </w:r>
            <w:r w:rsidRPr="007A5C73">
              <w:rPr>
                <w:rFonts w:cs="Arial"/>
                <w:szCs w:val="19"/>
              </w:rPr>
              <w:t>abrafenib (</w:t>
            </w:r>
            <w:proofErr w:type="spellStart"/>
            <w:r w:rsidRPr="007A5C73">
              <w:rPr>
                <w:rFonts w:cs="Arial"/>
                <w:i/>
                <w:iCs/>
                <w:szCs w:val="19"/>
              </w:rPr>
              <w:t>Tafinlar</w:t>
            </w:r>
            <w:proofErr w:type="spellEnd"/>
            <w:r w:rsidRPr="007A5C73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tcMar>
              <w:top w:w="57" w:type="dxa"/>
              <w:bottom w:w="57" w:type="dxa"/>
            </w:tcMar>
          </w:tcPr>
          <w:p w14:paraId="2D4B2F8C" w14:textId="1CED8314" w:rsidR="005F0932" w:rsidRPr="00A075A3" w:rsidRDefault="005F0932" w:rsidP="005F0932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A57D3A">
              <w:rPr>
                <w:rFonts w:cs="Arial"/>
                <w:szCs w:val="19"/>
                <w:lang w:val="en-US"/>
              </w:rPr>
              <w:t>as monotherapy or in combination with trametinib for the treatment of adults and adolescents aged 12 years and older with unresectable or metastatic melanoma with a BRAF V600 mutation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14:paraId="0C042161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1E28F543" w14:textId="5ECA597A" w:rsidR="005F0932" w:rsidRPr="00272180" w:rsidRDefault="005F0932" w:rsidP="005F0932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</w:t>
            </w:r>
            <w:r w:rsidRPr="007A5C73">
              <w:rPr>
                <w:rFonts w:cs="Arial"/>
                <w:szCs w:val="19"/>
              </w:rPr>
              <w:t>abrafenib (</w:t>
            </w:r>
            <w:proofErr w:type="spellStart"/>
            <w:r w:rsidRPr="007A5C73">
              <w:rPr>
                <w:rFonts w:cs="Arial"/>
                <w:i/>
                <w:iCs/>
                <w:szCs w:val="19"/>
              </w:rPr>
              <w:t>Tafinlar</w:t>
            </w:r>
            <w:proofErr w:type="spellEnd"/>
            <w:r w:rsidRPr="007A5C73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tcMar>
              <w:top w:w="57" w:type="dxa"/>
              <w:bottom w:w="57" w:type="dxa"/>
            </w:tcMar>
          </w:tcPr>
          <w:p w14:paraId="2455D61F" w14:textId="124917A8" w:rsidR="00031620" w:rsidRPr="00031620" w:rsidRDefault="005F0932" w:rsidP="005F0932">
            <w:pPr>
              <w:tabs>
                <w:tab w:val="center" w:pos="3152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E41178">
              <w:rPr>
                <w:rFonts w:cs="Arial"/>
                <w:szCs w:val="19"/>
                <w:lang w:val="en-US"/>
              </w:rPr>
              <w:t xml:space="preserve">in combination with </w:t>
            </w:r>
            <w:r w:rsidRPr="00A57D3A">
              <w:rPr>
                <w:rFonts w:cs="Arial"/>
                <w:szCs w:val="19"/>
                <w:lang w:val="en-US"/>
              </w:rPr>
              <w:t xml:space="preserve">trametinib </w:t>
            </w:r>
            <w:r>
              <w:rPr>
                <w:rFonts w:cs="Arial"/>
                <w:szCs w:val="19"/>
                <w:lang w:val="en-US"/>
              </w:rPr>
              <w:t xml:space="preserve">for </w:t>
            </w:r>
            <w:r w:rsidRPr="00225372">
              <w:rPr>
                <w:rFonts w:cs="Arial"/>
                <w:szCs w:val="19"/>
                <w:lang w:val="en-US"/>
              </w:rPr>
              <w:t>the treatment of adults with locally advanced or metastatic differentiated thyroid cancer with a BRAF V600E mutation, refractory to or not eligible for radioactive iodine who have progressed during or after prior systemic therapy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75149A">
              <w:rPr>
                <w:rFonts w:cs="Arial"/>
                <w:sz w:val="16"/>
                <w:szCs w:val="16"/>
                <w:lang w:val="en-US"/>
              </w:rPr>
              <w:t>[new indication]</w:t>
            </w:r>
          </w:p>
        </w:tc>
      </w:tr>
      <w:tr w:rsidR="00031620" w14:paraId="1438E4FE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64616EF1" w14:textId="77777777" w:rsidR="00031620" w:rsidRPr="006276AF" w:rsidRDefault="00031620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D</w:t>
            </w:r>
            <w:r w:rsidRPr="005750B8">
              <w:rPr>
                <w:rFonts w:cs="Arial"/>
                <w:szCs w:val="19"/>
              </w:rPr>
              <w:t>eucravacitinib</w:t>
            </w:r>
            <w:proofErr w:type="spellEnd"/>
            <w:r w:rsidRPr="005750B8">
              <w:rPr>
                <w:rFonts w:cs="Arial"/>
                <w:szCs w:val="19"/>
              </w:rPr>
              <w:t xml:space="preserve"> (</w:t>
            </w:r>
            <w:proofErr w:type="spellStart"/>
            <w:r w:rsidRPr="008145F3">
              <w:rPr>
                <w:rFonts w:cs="Arial"/>
                <w:i/>
                <w:iCs/>
                <w:szCs w:val="19"/>
              </w:rPr>
              <w:t>Sotyktu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tcMar>
              <w:top w:w="57" w:type="dxa"/>
              <w:bottom w:w="57" w:type="dxa"/>
            </w:tcMar>
          </w:tcPr>
          <w:p w14:paraId="08EA011A" w14:textId="77777777" w:rsidR="00031620" w:rsidRDefault="00031620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6962E1">
              <w:rPr>
                <w:rFonts w:cs="Arial"/>
                <w:szCs w:val="19"/>
                <w:lang w:val="en-US"/>
              </w:rPr>
              <w:t>alone or in combination with methotrexate, for the treatment of active psoriatic arthritis in adults who have had an inadequate response or who have been intolerant to a prior disease-modifying antirheumatic therapy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75149A">
              <w:rPr>
                <w:rFonts w:cs="Arial"/>
                <w:sz w:val="16"/>
                <w:szCs w:val="16"/>
                <w:lang w:val="en-US"/>
              </w:rPr>
              <w:t>[new indication]</w:t>
            </w:r>
          </w:p>
        </w:tc>
      </w:tr>
      <w:tr w:rsidR="005F0932" w:rsidRPr="000F19E1" w14:paraId="5B126425" w14:textId="77777777" w:rsidTr="00DF4A04">
        <w:tc>
          <w:tcPr>
            <w:tcW w:w="1447" w:type="pct"/>
            <w:gridSpan w:val="2"/>
            <w:tcMar>
              <w:top w:w="0" w:type="dxa"/>
              <w:bottom w:w="0" w:type="dxa"/>
            </w:tcMar>
          </w:tcPr>
          <w:p w14:paraId="629247A2" w14:textId="77777777" w:rsidR="005F0932" w:rsidRPr="000F19E1" w:rsidRDefault="005F0932" w:rsidP="005F0932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553" w:type="pct"/>
            <w:tcMar>
              <w:top w:w="0" w:type="dxa"/>
              <w:bottom w:w="0" w:type="dxa"/>
            </w:tcMar>
          </w:tcPr>
          <w:p w14:paraId="20D30924" w14:textId="77777777" w:rsidR="005F0932" w:rsidRPr="000F19E1" w:rsidRDefault="005F0932" w:rsidP="005F0932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5F0932" w:rsidRPr="000F19E1" w14:paraId="5CE5914A" w14:textId="77777777" w:rsidTr="00DF4A04">
        <w:tc>
          <w:tcPr>
            <w:tcW w:w="1152" w:type="pct"/>
            <w:shd w:val="clear" w:color="auto" w:fill="DAEEF3"/>
            <w:tcMar>
              <w:top w:w="0" w:type="dxa"/>
              <w:bottom w:w="0" w:type="dxa"/>
            </w:tcMar>
          </w:tcPr>
          <w:p w14:paraId="6B98D6E0" w14:textId="77777777" w:rsidR="005F0932" w:rsidRPr="000F19E1" w:rsidRDefault="005F0932" w:rsidP="005F0932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848" w:type="pct"/>
            <w:gridSpan w:val="2"/>
            <w:shd w:val="clear" w:color="auto" w:fill="DAEEF3"/>
            <w:tcMar>
              <w:top w:w="0" w:type="dxa"/>
              <w:bottom w:w="0" w:type="dxa"/>
            </w:tcMar>
          </w:tcPr>
          <w:p w14:paraId="61783DBE" w14:textId="77777777" w:rsidR="005F0932" w:rsidRPr="000F19E1" w:rsidRDefault="005F0932" w:rsidP="005F0932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</w:tbl>
    <w:p w14:paraId="356DE814" w14:textId="77777777" w:rsidR="001A42CE" w:rsidRPr="00727945" w:rsidRDefault="001A42CE" w:rsidP="00727945">
      <w:pPr>
        <w:rPr>
          <w:rFonts w:ascii="Latha" w:hAnsi="Latha" w:cs="Latha"/>
          <w:sz w:val="8"/>
          <w:szCs w:val="8"/>
        </w:rPr>
        <w:sectPr w:rsidR="001A42CE" w:rsidRPr="00727945" w:rsidSect="002772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680" w:right="851" w:bottom="680" w:left="851" w:header="567" w:footer="227" w:gutter="0"/>
          <w:cols w:space="708"/>
          <w:docGrid w:linePitch="360"/>
        </w:sectPr>
      </w:pPr>
    </w:p>
    <w:p w14:paraId="546D1138" w14:textId="77777777" w:rsidR="006825BB" w:rsidRDefault="006825BB">
      <w:pPr>
        <w:rPr>
          <w:sz w:val="8"/>
          <w:szCs w:val="16"/>
        </w:rPr>
      </w:pPr>
    </w:p>
    <w:p w14:paraId="773A75E5" w14:textId="77777777" w:rsidR="00C10FEB" w:rsidRDefault="00C10FEB">
      <w:pPr>
        <w:rPr>
          <w:sz w:val="8"/>
          <w:szCs w:val="16"/>
        </w:rPr>
      </w:pPr>
    </w:p>
    <w:tbl>
      <w:tblPr>
        <w:tblW w:w="5170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2430"/>
        <w:gridCol w:w="623"/>
        <w:gridCol w:w="5067"/>
        <w:gridCol w:w="2431"/>
      </w:tblGrid>
      <w:tr w:rsidR="0021490D" w:rsidRPr="00862949" w14:paraId="1C426D77" w14:textId="77777777" w:rsidTr="00D6452A">
        <w:tc>
          <w:tcPr>
            <w:tcW w:w="5000" w:type="pct"/>
            <w:gridSpan w:val="4"/>
            <w:shd w:val="clear" w:color="auto" w:fill="0070C0"/>
            <w:tcMar>
              <w:top w:w="85" w:type="dxa"/>
              <w:bottom w:w="85" w:type="dxa"/>
            </w:tcMar>
            <w:vAlign w:val="bottom"/>
          </w:tcPr>
          <w:p w14:paraId="18414D62" w14:textId="2C767F85" w:rsidR="0021490D" w:rsidRPr="00862949" w:rsidRDefault="0021490D" w:rsidP="00D6452A">
            <w:pPr>
              <w:rPr>
                <w:rFonts w:cs="Arial"/>
                <w:color w:val="FFFFFF"/>
                <w:sz w:val="15"/>
                <w:szCs w:val="15"/>
              </w:rPr>
            </w:pP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 xml:space="preserve">Regulatory changes in the </w:t>
            </w:r>
            <w:r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 xml:space="preserve">UK or </w:t>
            </w: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>EU</w:t>
            </w: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ab/>
            </w:r>
          </w:p>
        </w:tc>
      </w:tr>
      <w:tr w:rsidR="001C3A55" w:rsidRPr="000F19E1" w14:paraId="0D0D5709" w14:textId="77777777" w:rsidTr="00155BD9">
        <w:tc>
          <w:tcPr>
            <w:tcW w:w="1152" w:type="pct"/>
            <w:shd w:val="clear" w:color="auto" w:fill="DAEEF3"/>
            <w:tcMar>
              <w:top w:w="0" w:type="dxa"/>
              <w:bottom w:w="0" w:type="dxa"/>
            </w:tcMar>
          </w:tcPr>
          <w:p w14:paraId="3B6E1EEF" w14:textId="77777777" w:rsidR="001C3A55" w:rsidRPr="000F19E1" w:rsidRDefault="001C3A55" w:rsidP="00510003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848" w:type="pct"/>
            <w:gridSpan w:val="3"/>
            <w:shd w:val="clear" w:color="auto" w:fill="DAEEF3"/>
            <w:tcMar>
              <w:top w:w="0" w:type="dxa"/>
              <w:bottom w:w="0" w:type="dxa"/>
            </w:tcMar>
          </w:tcPr>
          <w:p w14:paraId="0AA59337" w14:textId="77777777" w:rsidR="001C3A55" w:rsidRPr="000F19E1" w:rsidRDefault="001C3A55" w:rsidP="00510003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1C3A55" w:rsidRPr="00433D3E" w14:paraId="08AE85D1" w14:textId="77777777" w:rsidTr="00562CE4">
        <w:tc>
          <w:tcPr>
            <w:tcW w:w="5000" w:type="pct"/>
            <w:gridSpan w:val="4"/>
            <w:shd w:val="clear" w:color="auto" w:fill="008232"/>
            <w:tcMar>
              <w:top w:w="57" w:type="dxa"/>
              <w:bottom w:w="57" w:type="dxa"/>
            </w:tcMar>
          </w:tcPr>
          <w:p w14:paraId="53D0B4A2" w14:textId="77777777" w:rsidR="001C3A55" w:rsidRPr="0021490D" w:rsidRDefault="001C3A55" w:rsidP="00B94311">
            <w:pPr>
              <w:rPr>
                <w:rFonts w:cs="Arial"/>
                <w:noProof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Recommended for approval in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the </w:t>
            </w:r>
            <w:r w:rsidR="0048777D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UK</w:t>
            </w:r>
            <w:r w:rsidR="00B94311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 or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EU</w:t>
            </w:r>
            <w:r w:rsidR="0021490D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 </w:t>
            </w:r>
            <w:r w:rsidR="0021490D" w:rsidRPr="0021490D">
              <w:rPr>
                <w:rFonts w:cs="Arial"/>
                <w:b/>
                <w:bCs/>
                <w:color w:val="FFFFFF"/>
                <w:sz w:val="16"/>
                <w:szCs w:val="14"/>
                <w:lang w:val="en-US"/>
              </w:rPr>
              <w:t>(continued)</w:t>
            </w:r>
          </w:p>
        </w:tc>
      </w:tr>
      <w:tr w:rsidR="005F0932" w14:paraId="3CD0757C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6CDF796" w14:textId="77777777" w:rsidR="005F0932" w:rsidRPr="00785862" w:rsidRDefault="005F0932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F</w:t>
            </w:r>
            <w:r w:rsidRPr="00580430">
              <w:rPr>
                <w:rFonts w:cs="Arial"/>
                <w:szCs w:val="19"/>
              </w:rPr>
              <w:t>erric maltol (</w:t>
            </w:r>
            <w:proofErr w:type="spellStart"/>
            <w:r w:rsidRPr="00580430">
              <w:rPr>
                <w:rFonts w:cs="Arial"/>
                <w:i/>
                <w:iCs/>
                <w:szCs w:val="19"/>
              </w:rPr>
              <w:t>Feraccru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56A0359E" w14:textId="77777777" w:rsidR="005F0932" w:rsidRDefault="005F0932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333308">
              <w:rPr>
                <w:rFonts w:cs="Arial"/>
                <w:szCs w:val="19"/>
                <w:lang w:val="en-US"/>
              </w:rPr>
              <w:t>reatment of iron deficiency in adults and adolescents aged 12 years and older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</w:p>
          <w:p w14:paraId="5B35DF9D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14:paraId="2CF3CEA0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2437DBA8" w14:textId="77777777" w:rsidR="005F0932" w:rsidRPr="00E411E8" w:rsidRDefault="005F0932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I</w:t>
            </w:r>
            <w:r w:rsidRPr="00581607">
              <w:rPr>
                <w:rFonts w:cs="Arial"/>
                <w:szCs w:val="19"/>
              </w:rPr>
              <w:t>notuzumab</w:t>
            </w:r>
            <w:proofErr w:type="spellEnd"/>
            <w:r w:rsidRPr="00581607">
              <w:rPr>
                <w:rFonts w:cs="Arial"/>
                <w:szCs w:val="19"/>
              </w:rPr>
              <w:t xml:space="preserve"> </w:t>
            </w:r>
            <w:proofErr w:type="spellStart"/>
            <w:r w:rsidRPr="00581607">
              <w:rPr>
                <w:rFonts w:cs="Arial"/>
                <w:szCs w:val="19"/>
              </w:rPr>
              <w:t>ozogamicin</w:t>
            </w:r>
            <w:proofErr w:type="spellEnd"/>
            <w:r>
              <w:rPr>
                <w:rFonts w:cs="Arial"/>
                <w:szCs w:val="19"/>
              </w:rPr>
              <w:t xml:space="preserve"> (</w:t>
            </w:r>
            <w:proofErr w:type="spellStart"/>
            <w:r w:rsidRPr="00581607">
              <w:rPr>
                <w:rFonts w:cs="Arial"/>
                <w:i/>
                <w:iCs/>
                <w:szCs w:val="19"/>
              </w:rPr>
              <w:t>Besponsa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0DF28C0F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U</w:t>
            </w:r>
            <w:r w:rsidRPr="00953B38">
              <w:rPr>
                <w:rFonts w:cs="Arial"/>
                <w:szCs w:val="19"/>
                <w:lang w:val="en-US"/>
              </w:rPr>
              <w:t xml:space="preserve">se as monotherapy for treatment of </w:t>
            </w:r>
            <w:proofErr w:type="spellStart"/>
            <w:r w:rsidRPr="00953B38">
              <w:rPr>
                <w:rFonts w:cs="Arial"/>
                <w:szCs w:val="19"/>
                <w:lang w:val="en-US"/>
              </w:rPr>
              <w:t>paediatric</w:t>
            </w:r>
            <w:proofErr w:type="spellEnd"/>
            <w:r w:rsidRPr="00953B38">
              <w:rPr>
                <w:rFonts w:cs="Arial"/>
                <w:szCs w:val="19"/>
                <w:lang w:val="en-US"/>
              </w:rPr>
              <w:t xml:space="preserve"> patients 1 year and older with CD22-positive B cell precursor ALL: in first relapse after </w:t>
            </w:r>
            <w:proofErr w:type="spellStart"/>
            <w:r w:rsidRPr="00953B38">
              <w:rPr>
                <w:rFonts w:cs="Arial"/>
                <w:szCs w:val="19"/>
                <w:lang w:val="en-US"/>
              </w:rPr>
              <w:t>allo-haematopoietic</w:t>
            </w:r>
            <w:proofErr w:type="spellEnd"/>
            <w:r w:rsidRPr="00953B38">
              <w:rPr>
                <w:rFonts w:cs="Arial"/>
                <w:szCs w:val="19"/>
                <w:lang w:val="en-US"/>
              </w:rPr>
              <w:t xml:space="preserve"> stem cell transplant; after any first relapse in patients with </w:t>
            </w:r>
            <w:r>
              <w:rPr>
                <w:rFonts w:cs="Arial"/>
                <w:szCs w:val="19"/>
                <w:lang w:val="en-US"/>
              </w:rPr>
              <w:t>v</w:t>
            </w:r>
            <w:r w:rsidRPr="00953B38">
              <w:rPr>
                <w:rFonts w:cs="Arial"/>
                <w:szCs w:val="19"/>
                <w:lang w:val="en-US"/>
              </w:rPr>
              <w:t xml:space="preserve">ery </w:t>
            </w:r>
            <w:proofErr w:type="gramStart"/>
            <w:r>
              <w:rPr>
                <w:rFonts w:cs="Arial"/>
                <w:szCs w:val="19"/>
                <w:lang w:val="en-US"/>
              </w:rPr>
              <w:t>h</w:t>
            </w:r>
            <w:r w:rsidRPr="00953B38">
              <w:rPr>
                <w:rFonts w:cs="Arial"/>
                <w:szCs w:val="19"/>
                <w:lang w:val="en-US"/>
              </w:rPr>
              <w:t xml:space="preserve">igh </w:t>
            </w:r>
            <w:r>
              <w:rPr>
                <w:rFonts w:cs="Arial"/>
                <w:szCs w:val="19"/>
                <w:lang w:val="en-US"/>
              </w:rPr>
              <w:t>r</w:t>
            </w:r>
            <w:r w:rsidRPr="00953B38">
              <w:rPr>
                <w:rFonts w:cs="Arial"/>
                <w:szCs w:val="19"/>
                <w:lang w:val="en-US"/>
              </w:rPr>
              <w:t>isk</w:t>
            </w:r>
            <w:proofErr w:type="gramEnd"/>
            <w:r w:rsidRPr="00953B38">
              <w:rPr>
                <w:rFonts w:cs="Arial"/>
                <w:szCs w:val="19"/>
                <w:lang w:val="en-US"/>
              </w:rPr>
              <w:t xml:space="preserve"> disease; after a second or greater relapse; and in those with refractory disease. Patients with Philadelphia chromosome positive disease should have exhausted relevant BCL-ABL targeting treatment options</w:t>
            </w:r>
            <w:r>
              <w:rPr>
                <w:rFonts w:cs="Arial"/>
                <w:szCs w:val="19"/>
                <w:lang w:val="en-US"/>
              </w:rPr>
              <w:t>.</w:t>
            </w:r>
            <w:r w:rsidRPr="00953B38"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14:paraId="4CBF2D6B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204AAC4A" w14:textId="77777777" w:rsidR="005F0932" w:rsidRPr="002618A3" w:rsidRDefault="005F0932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L</w:t>
            </w:r>
            <w:r w:rsidRPr="003371B7">
              <w:rPr>
                <w:rFonts w:cs="Arial"/>
                <w:szCs w:val="19"/>
              </w:rPr>
              <w:t>eniolisib</w:t>
            </w:r>
            <w:proofErr w:type="spellEnd"/>
            <w:r w:rsidRPr="003371B7">
              <w:rPr>
                <w:rFonts w:cs="Arial"/>
                <w:szCs w:val="19"/>
              </w:rPr>
              <w:t xml:space="preserve"> (</w:t>
            </w:r>
            <w:proofErr w:type="spellStart"/>
            <w:r w:rsidRPr="003371B7">
              <w:rPr>
                <w:rFonts w:cs="Arial"/>
                <w:i/>
                <w:iCs/>
                <w:szCs w:val="19"/>
              </w:rPr>
              <w:t>Joenja</w:t>
            </w:r>
            <w:proofErr w:type="spellEnd"/>
            <w:r w:rsidRPr="003371B7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BC05664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8A56B0">
              <w:rPr>
                <w:rFonts w:cs="Arial"/>
                <w:szCs w:val="19"/>
                <w:lang w:val="en-US"/>
              </w:rPr>
              <w:t>reatment of activated phosphoinositide 3-kinase delta syndrome in adults and adolescents 12 years of age and older and weighing 45 kg or more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5F0932" w14:paraId="060C9629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D3E3BB5" w14:textId="77777777" w:rsidR="005F0932" w:rsidRDefault="005F0932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L</w:t>
            </w:r>
            <w:r w:rsidRPr="0023241B">
              <w:rPr>
                <w:rFonts w:cs="Arial"/>
                <w:szCs w:val="19"/>
              </w:rPr>
              <w:t>omitapide</w:t>
            </w:r>
            <w:proofErr w:type="spellEnd"/>
            <w:r w:rsidRPr="0023241B">
              <w:rPr>
                <w:rFonts w:cs="Arial"/>
                <w:szCs w:val="19"/>
              </w:rPr>
              <w:t xml:space="preserve"> (</w:t>
            </w:r>
            <w:proofErr w:type="spellStart"/>
            <w:r w:rsidRPr="0023241B">
              <w:rPr>
                <w:rFonts w:cs="Arial"/>
                <w:i/>
                <w:iCs/>
                <w:szCs w:val="19"/>
              </w:rPr>
              <w:t>Lojuxta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378586CA" w14:textId="77777777" w:rsidR="005F0932" w:rsidRDefault="005F0932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A02424">
              <w:rPr>
                <w:rFonts w:cs="Arial"/>
                <w:szCs w:val="19"/>
                <w:lang w:val="en-US"/>
              </w:rPr>
              <w:t>as an adjunct to a low</w:t>
            </w:r>
            <w:r w:rsidRPr="00A02424">
              <w:rPr>
                <w:rFonts w:ascii="Cambria Math" w:hAnsi="Cambria Math" w:cs="Cambria Math"/>
                <w:szCs w:val="19"/>
                <w:lang w:val="en-US"/>
              </w:rPr>
              <w:t>‑</w:t>
            </w:r>
            <w:r w:rsidRPr="00A02424">
              <w:rPr>
                <w:rFonts w:cs="Arial"/>
                <w:szCs w:val="19"/>
                <w:lang w:val="en-US"/>
              </w:rPr>
              <w:t>fat diet and other lipid</w:t>
            </w:r>
            <w:r w:rsidRPr="00A02424">
              <w:rPr>
                <w:rFonts w:ascii="Cambria Math" w:hAnsi="Cambria Math" w:cs="Cambria Math"/>
                <w:szCs w:val="19"/>
                <w:lang w:val="en-US"/>
              </w:rPr>
              <w:t>‑</w:t>
            </w:r>
            <w:r w:rsidRPr="00A02424">
              <w:rPr>
                <w:rFonts w:cs="Arial"/>
                <w:szCs w:val="19"/>
                <w:lang w:val="en-US"/>
              </w:rPr>
              <w:t xml:space="preserve">lowering medicinal products with or without low density lipoprotein apheresis for the treatment of adult and </w:t>
            </w:r>
            <w:proofErr w:type="spellStart"/>
            <w:r w:rsidRPr="00A02424">
              <w:rPr>
                <w:rFonts w:cs="Arial"/>
                <w:szCs w:val="19"/>
                <w:lang w:val="en-US"/>
              </w:rPr>
              <w:t>paediatric</w:t>
            </w:r>
            <w:proofErr w:type="spellEnd"/>
            <w:r>
              <w:rPr>
                <w:rFonts w:cs="Arial"/>
                <w:szCs w:val="19"/>
                <w:lang w:val="en-US"/>
              </w:rPr>
              <w:t xml:space="preserve"> patients</w:t>
            </w:r>
            <w:r w:rsidRPr="00A02424">
              <w:rPr>
                <w:rFonts w:cs="Arial"/>
                <w:szCs w:val="19"/>
                <w:lang w:val="en-US"/>
              </w:rPr>
              <w:t xml:space="preserve"> aged 5 years and older with homozygous familial </w:t>
            </w:r>
            <w:proofErr w:type="spellStart"/>
            <w:r w:rsidRPr="00A02424">
              <w:rPr>
                <w:rFonts w:cs="Arial"/>
                <w:szCs w:val="19"/>
                <w:lang w:val="en-US"/>
              </w:rPr>
              <w:t>hypercholesterolaemia</w:t>
            </w:r>
            <w:proofErr w:type="spellEnd"/>
            <w:r w:rsidRPr="00A02424">
              <w:rPr>
                <w:rFonts w:cs="Arial"/>
                <w:szCs w:val="19"/>
                <w:lang w:val="en-US"/>
              </w:rPr>
              <w:t xml:space="preserve"> </w:t>
            </w:r>
          </w:p>
          <w:p w14:paraId="1890CCC6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14:paraId="64F8BD04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2BE94849" w14:textId="77777777" w:rsidR="005F0932" w:rsidRDefault="005F0932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L</w:t>
            </w:r>
            <w:r w:rsidRPr="00852587">
              <w:rPr>
                <w:rFonts w:cs="Arial"/>
                <w:szCs w:val="19"/>
              </w:rPr>
              <w:t>urbinectedin (</w:t>
            </w:r>
            <w:proofErr w:type="spellStart"/>
            <w:r w:rsidRPr="00852587">
              <w:rPr>
                <w:rFonts w:cs="Arial"/>
                <w:i/>
                <w:iCs/>
                <w:szCs w:val="19"/>
              </w:rPr>
              <w:t>Zepzelca</w:t>
            </w:r>
            <w:proofErr w:type="spellEnd"/>
            <w:r w:rsidRPr="00852587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F86E480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U</w:t>
            </w:r>
            <w:r w:rsidRPr="00274E0A">
              <w:rPr>
                <w:rFonts w:cs="Arial"/>
                <w:szCs w:val="19"/>
                <w:lang w:val="en-US"/>
              </w:rPr>
              <w:t>se in combination with atezolizumab, for the maintenance treatment of adults with extensive-stage small cell lung cancer whose disease has not progressed after first-line induction therapy with atezolizumab, carboplatin and etoposide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5F0932" w14:paraId="08478C8C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5783D56" w14:textId="77777777" w:rsidR="005F0932" w:rsidRDefault="005F0932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M</w:t>
            </w:r>
            <w:r w:rsidRPr="00683C66">
              <w:rPr>
                <w:rFonts w:cs="Arial"/>
                <w:szCs w:val="19"/>
              </w:rPr>
              <w:t>exiletine (</w:t>
            </w:r>
            <w:proofErr w:type="spellStart"/>
            <w:r w:rsidRPr="00683C66">
              <w:rPr>
                <w:rFonts w:cs="Arial"/>
                <w:i/>
                <w:iCs/>
                <w:szCs w:val="19"/>
              </w:rPr>
              <w:t>Namuscla</w:t>
            </w:r>
            <w:proofErr w:type="spellEnd"/>
            <w:r w:rsidRPr="00683C66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0D5E1E2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S</w:t>
            </w:r>
            <w:r w:rsidRPr="00823DEF">
              <w:rPr>
                <w:rFonts w:cs="Arial"/>
                <w:szCs w:val="19"/>
                <w:lang w:val="en-US"/>
              </w:rPr>
              <w:t>ymptomatic treatment of myotonia in adults with non-dystrophic myotonic disorders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[new 62mg and 83mg </w:t>
            </w:r>
            <w:r>
              <w:rPr>
                <w:rFonts w:cs="Arial"/>
                <w:sz w:val="16"/>
                <w:szCs w:val="16"/>
              </w:rPr>
              <w:t>strength capsule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formulations]</w:t>
            </w:r>
          </w:p>
        </w:tc>
      </w:tr>
      <w:tr w:rsidR="005F0932" w14:paraId="10787C2F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BE78A7C" w14:textId="77777777" w:rsidR="005F0932" w:rsidRDefault="005F0932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M</w:t>
            </w:r>
            <w:r w:rsidRPr="00683C66">
              <w:rPr>
                <w:rFonts w:cs="Arial"/>
                <w:szCs w:val="19"/>
              </w:rPr>
              <w:t>exiletine (</w:t>
            </w:r>
            <w:proofErr w:type="spellStart"/>
            <w:r w:rsidRPr="00683C66">
              <w:rPr>
                <w:rFonts w:cs="Arial"/>
                <w:i/>
                <w:iCs/>
                <w:szCs w:val="19"/>
              </w:rPr>
              <w:t>Namuscla</w:t>
            </w:r>
            <w:proofErr w:type="spellEnd"/>
            <w:r w:rsidRPr="00683C66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3CB896A8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S</w:t>
            </w:r>
            <w:r w:rsidRPr="00823DEF">
              <w:rPr>
                <w:rFonts w:cs="Arial"/>
                <w:szCs w:val="19"/>
                <w:lang w:val="en-US"/>
              </w:rPr>
              <w:t xml:space="preserve">ymptomatic treatment of myotonia in </w:t>
            </w:r>
            <w:r w:rsidRPr="00EA7A97">
              <w:rPr>
                <w:rFonts w:cs="Arial"/>
                <w:szCs w:val="19"/>
                <w:lang w:val="en-US"/>
              </w:rPr>
              <w:t>children aged 6 to 11 years weighing at least 20 kg, adolescents aged 12 to 17 years and adults with non-dystrophic myotonic disorders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[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14:paraId="498EB482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940BFAF" w14:textId="77777777" w:rsidR="005F0932" w:rsidRDefault="005F0932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N</w:t>
            </w:r>
            <w:r w:rsidRPr="000F27E8">
              <w:rPr>
                <w:rFonts w:cs="Arial"/>
                <w:szCs w:val="19"/>
              </w:rPr>
              <w:t>adofaragene</w:t>
            </w:r>
            <w:proofErr w:type="spellEnd"/>
            <w:r w:rsidRPr="000F27E8">
              <w:rPr>
                <w:rFonts w:cs="Arial"/>
                <w:szCs w:val="19"/>
              </w:rPr>
              <w:t xml:space="preserve"> </w:t>
            </w:r>
            <w:proofErr w:type="spellStart"/>
            <w:r w:rsidRPr="000F27E8">
              <w:rPr>
                <w:rFonts w:cs="Arial"/>
                <w:szCs w:val="19"/>
              </w:rPr>
              <w:t>firadenovec</w:t>
            </w:r>
            <w:proofErr w:type="spellEnd"/>
            <w:r w:rsidRPr="000F27E8">
              <w:rPr>
                <w:rFonts w:cs="Arial"/>
                <w:szCs w:val="19"/>
              </w:rPr>
              <w:t xml:space="preserve"> (</w:t>
            </w:r>
            <w:proofErr w:type="spellStart"/>
            <w:r w:rsidRPr="000F27E8">
              <w:rPr>
                <w:rFonts w:cs="Arial"/>
                <w:i/>
                <w:iCs/>
                <w:szCs w:val="19"/>
              </w:rPr>
              <w:t>Adstiladrin</w:t>
            </w:r>
            <w:proofErr w:type="spellEnd"/>
            <w:r w:rsidRPr="000F27E8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40687A6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as </w:t>
            </w:r>
            <w:r w:rsidRPr="00D30E49">
              <w:rPr>
                <w:rFonts w:cs="Arial"/>
                <w:szCs w:val="19"/>
                <w:lang w:val="en-US"/>
              </w:rPr>
              <w:t xml:space="preserve">monotherapy for the treatment of adult patients with Bacillus Calmette-Guérin -unresponsive non-muscle invasive bladder cancer with carcinoma in situ with or without papillary </w:t>
            </w:r>
            <w:proofErr w:type="spellStart"/>
            <w:r w:rsidRPr="00D30E49">
              <w:rPr>
                <w:rFonts w:cs="Arial"/>
                <w:szCs w:val="19"/>
                <w:lang w:val="en-US"/>
              </w:rPr>
              <w:t>tumours</w:t>
            </w:r>
            <w:proofErr w:type="spellEnd"/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5F0932" w14:paraId="2D4D7050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02AFCAD4" w14:textId="77777777" w:rsidR="005F0932" w:rsidRDefault="005F0932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</w:t>
            </w:r>
            <w:r w:rsidRPr="00CD79DD">
              <w:rPr>
                <w:rFonts w:cs="Arial"/>
                <w:szCs w:val="19"/>
              </w:rPr>
              <w:t>neumococcal polysaccharide conjugate vaccine (</w:t>
            </w:r>
            <w:proofErr w:type="spellStart"/>
            <w:r w:rsidRPr="00CD79DD">
              <w:rPr>
                <w:rFonts w:cs="Arial"/>
                <w:i/>
                <w:iCs/>
                <w:szCs w:val="19"/>
              </w:rPr>
              <w:t>Capvaxive</w:t>
            </w:r>
            <w:proofErr w:type="spellEnd"/>
            <w:r w:rsidRPr="00CD79DD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D04D433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A</w:t>
            </w:r>
            <w:r w:rsidRPr="004F3209">
              <w:rPr>
                <w:rFonts w:cs="Arial"/>
                <w:szCs w:val="19"/>
                <w:lang w:val="en-US"/>
              </w:rPr>
              <w:t xml:space="preserve">ctive immunisation for the prevention of invasive disease and pneumonia caused by Streptococcus pneumoniae in children and adolescents 2 to less than 18 years of age who previously completed a primary </w:t>
            </w:r>
            <w:proofErr w:type="spellStart"/>
            <w:r w:rsidRPr="004F3209">
              <w:rPr>
                <w:rFonts w:cs="Arial"/>
                <w:szCs w:val="19"/>
                <w:lang w:val="en-US"/>
              </w:rPr>
              <w:t>paediatric</w:t>
            </w:r>
            <w:proofErr w:type="spellEnd"/>
            <w:r w:rsidRPr="004F3209">
              <w:rPr>
                <w:rFonts w:cs="Arial"/>
                <w:szCs w:val="19"/>
                <w:lang w:val="en-US"/>
              </w:rPr>
              <w:t xml:space="preserve"> pneumococcal vaccination regimen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14:paraId="4DE8FDE9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0EDA77FE" w14:textId="77777777" w:rsidR="005F0932" w:rsidRDefault="005F0932" w:rsidP="00DF4A04">
            <w:pPr>
              <w:rPr>
                <w:rFonts w:cs="Arial"/>
                <w:szCs w:val="19"/>
              </w:rPr>
            </w:pPr>
            <w:r>
              <w:t>R</w:t>
            </w:r>
            <w:r w:rsidRPr="00BB7623">
              <w:t>espiratory syncytial virus vaccine (</w:t>
            </w:r>
            <w:proofErr w:type="spellStart"/>
            <w:r w:rsidRPr="00302CFD">
              <w:rPr>
                <w:i/>
                <w:iCs/>
              </w:rPr>
              <w:t>mResvia</w:t>
            </w:r>
            <w:proofErr w:type="spellEnd"/>
            <w: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E3A1753" w14:textId="77777777" w:rsidR="005F0932" w:rsidRDefault="005F0932" w:rsidP="00DF4A04">
            <w:pPr>
              <w:tabs>
                <w:tab w:val="num" w:pos="720"/>
                <w:tab w:val="center" w:pos="3152"/>
              </w:tabs>
            </w:pPr>
            <w:r>
              <w:t>A</w:t>
            </w:r>
            <w:r w:rsidRPr="00791421">
              <w:t xml:space="preserve">ctive immunisation for the prevention of lower respiratory tract disease </w:t>
            </w:r>
            <w:r>
              <w:t xml:space="preserve">(LRTD) </w:t>
            </w:r>
            <w:r w:rsidRPr="00791421">
              <w:t xml:space="preserve">caused by </w:t>
            </w:r>
            <w:r>
              <w:t>r</w:t>
            </w:r>
            <w:r w:rsidRPr="00791421">
              <w:t xml:space="preserve">espiratory </w:t>
            </w:r>
            <w:r>
              <w:t>s</w:t>
            </w:r>
            <w:r w:rsidRPr="00791421">
              <w:t xml:space="preserve">yncytial </w:t>
            </w:r>
            <w:r>
              <w:t>v</w:t>
            </w:r>
            <w:r w:rsidRPr="00791421">
              <w:t xml:space="preserve">irus </w:t>
            </w:r>
            <w:r>
              <w:t xml:space="preserve">(RSV) </w:t>
            </w:r>
            <w:r w:rsidRPr="00791421">
              <w:t>in adults 18 years of age and older</w:t>
            </w:r>
            <w:r>
              <w:t xml:space="preserve"> </w:t>
            </w:r>
          </w:p>
          <w:p w14:paraId="459DB301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from age 60 years or age </w:t>
            </w:r>
            <w:r w:rsidRPr="00C320C7">
              <w:rPr>
                <w:rFonts w:cs="Arial"/>
                <w:sz w:val="16"/>
                <w:szCs w:val="16"/>
              </w:rPr>
              <w:t>18 t</w:t>
            </w:r>
            <w:r>
              <w:rPr>
                <w:rFonts w:cs="Arial"/>
                <w:sz w:val="16"/>
                <w:szCs w:val="16"/>
              </w:rPr>
              <w:t>o</w:t>
            </w:r>
            <w:r w:rsidRPr="00C320C7">
              <w:rPr>
                <w:rFonts w:cs="Arial"/>
                <w:sz w:val="16"/>
                <w:szCs w:val="16"/>
              </w:rPr>
              <w:t xml:space="preserve"> 59 years who are at increased risk for LRTD caused by RSV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5F0932" w14:paraId="2813AA45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E61B798" w14:textId="77777777" w:rsidR="005F0932" w:rsidRDefault="005F0932" w:rsidP="00DF4A04">
            <w:pPr>
              <w:rPr>
                <w:rFonts w:cs="Arial"/>
                <w:szCs w:val="19"/>
              </w:rPr>
            </w:pPr>
            <w:proofErr w:type="spellStart"/>
            <w:r>
              <w:t>S</w:t>
            </w:r>
            <w:r w:rsidRPr="00995010">
              <w:t>elpercatinib</w:t>
            </w:r>
            <w:proofErr w:type="spellEnd"/>
            <w:r w:rsidRPr="00995010">
              <w:t xml:space="preserve"> (</w:t>
            </w:r>
            <w:proofErr w:type="spellStart"/>
            <w:r w:rsidRPr="00995010">
              <w:rPr>
                <w:i/>
                <w:iCs/>
              </w:rPr>
              <w:t>Retsevmo</w:t>
            </w:r>
            <w:proofErr w:type="spellEnd"/>
            <w: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05CD4E43" w14:textId="77777777" w:rsidR="005F0932" w:rsidRDefault="005F0932" w:rsidP="00DF4A04">
            <w:pPr>
              <w:tabs>
                <w:tab w:val="num" w:pos="720"/>
                <w:tab w:val="center" w:pos="3152"/>
              </w:tabs>
            </w:pPr>
            <w:r>
              <w:t xml:space="preserve">Use </w:t>
            </w:r>
            <w:r w:rsidRPr="008E0CD6">
              <w:t>as monotherapy for the treatment of adults and paediatric patients 2 years of age and older with advanced RET fusion-positive solid tumours, when treatment options not targeting RET provide limited clinical benefit, or have been exhausted</w:t>
            </w:r>
            <w:r>
              <w:t xml:space="preserve"> </w:t>
            </w:r>
          </w:p>
          <w:p w14:paraId="3040268D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from age 12 years]</w:t>
            </w:r>
          </w:p>
        </w:tc>
      </w:tr>
      <w:tr w:rsidR="005F0932" w14:paraId="7C076E44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1577D1A4" w14:textId="77777777" w:rsidR="005F0932" w:rsidRDefault="005F0932" w:rsidP="00DF4A04">
            <w:pPr>
              <w:rPr>
                <w:rFonts w:cs="Arial"/>
                <w:szCs w:val="19"/>
              </w:rPr>
            </w:pPr>
            <w:proofErr w:type="spellStart"/>
            <w:r>
              <w:t>S</w:t>
            </w:r>
            <w:r w:rsidRPr="00995010">
              <w:t>elpercatinib</w:t>
            </w:r>
            <w:proofErr w:type="spellEnd"/>
            <w:r w:rsidRPr="00995010">
              <w:t xml:space="preserve"> (</w:t>
            </w:r>
            <w:proofErr w:type="spellStart"/>
            <w:r w:rsidRPr="00995010">
              <w:rPr>
                <w:i/>
                <w:iCs/>
              </w:rPr>
              <w:t>Retsevmo</w:t>
            </w:r>
            <w:proofErr w:type="spellEnd"/>
            <w: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30B23960" w14:textId="77777777" w:rsidR="005F0932" w:rsidRDefault="005F0932" w:rsidP="00DF4A04">
            <w:pPr>
              <w:tabs>
                <w:tab w:val="num" w:pos="720"/>
                <w:tab w:val="center" w:pos="3152"/>
              </w:tabs>
            </w:pPr>
            <w:r>
              <w:t xml:space="preserve">Use </w:t>
            </w:r>
            <w:r w:rsidRPr="008E0CD6">
              <w:t xml:space="preserve">as monotherapy for the treatment of adults and paediatric patients 2 years of age and older with </w:t>
            </w:r>
            <w:r w:rsidRPr="001275F5">
              <w:t>advanced RET fusion-positive thyroid cancer who are radioactive iodine-refractory (if radioactive iodine is appropriate)</w:t>
            </w:r>
          </w:p>
          <w:p w14:paraId="5427201A" w14:textId="6AD4DDF3" w:rsidR="005F0932" w:rsidRP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 w:val="16"/>
                <w:szCs w:val="16"/>
                <w:lang w:val="en-US"/>
              </w:rPr>
            </w:pP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from age 12 years]</w:t>
            </w:r>
          </w:p>
        </w:tc>
      </w:tr>
      <w:tr w:rsidR="005F0932" w14:paraId="4BA8B4F0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0EF13DB8" w14:textId="77777777" w:rsidR="005F0932" w:rsidRPr="008203CE" w:rsidRDefault="005F0932" w:rsidP="00DF4A04">
            <w:pPr>
              <w:rPr>
                <w:rFonts w:cs="Arial"/>
                <w:szCs w:val="19"/>
              </w:rPr>
            </w:pPr>
            <w:proofErr w:type="spellStart"/>
            <w:r w:rsidRPr="008203CE">
              <w:t>Selpercatinib</w:t>
            </w:r>
            <w:proofErr w:type="spellEnd"/>
            <w:r w:rsidRPr="008203CE">
              <w:t xml:space="preserve"> (</w:t>
            </w:r>
            <w:proofErr w:type="spellStart"/>
            <w:r w:rsidRPr="008203CE">
              <w:rPr>
                <w:i/>
                <w:iCs/>
              </w:rPr>
              <w:t>Retsevmo</w:t>
            </w:r>
            <w:proofErr w:type="spellEnd"/>
            <w:r w:rsidRPr="008203CE"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57D96833" w14:textId="77777777" w:rsidR="005F0932" w:rsidRPr="008203CE" w:rsidRDefault="005F0932" w:rsidP="00DF4A04">
            <w:pPr>
              <w:tabs>
                <w:tab w:val="num" w:pos="720"/>
                <w:tab w:val="center" w:pos="3152"/>
              </w:tabs>
            </w:pPr>
            <w:r w:rsidRPr="008203CE">
              <w:t>Use as monotherapy for the treatment of adults and paediatric patients 2 years of age and older with advanced RET-mutant medullary thyroid cancer</w:t>
            </w:r>
          </w:p>
          <w:p w14:paraId="4A7F5ABF" w14:textId="77777777" w:rsidR="005F0932" w:rsidRPr="008203CE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 w:val="16"/>
                <w:szCs w:val="16"/>
                <w:lang w:val="en-US"/>
              </w:rPr>
            </w:pPr>
            <w:r w:rsidRPr="008203CE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203CE">
              <w:rPr>
                <w:rFonts w:cs="Arial"/>
                <w:szCs w:val="19"/>
                <w:lang w:val="en-US"/>
              </w:rPr>
              <w:t xml:space="preserve"> </w:t>
            </w:r>
            <w:r w:rsidRPr="008203CE">
              <w:rPr>
                <w:rFonts w:cs="Arial"/>
                <w:sz w:val="16"/>
                <w:szCs w:val="16"/>
                <w:lang w:val="en-US"/>
              </w:rPr>
              <w:t>[licence change from use only from age 12 years]</w:t>
            </w:r>
          </w:p>
          <w:p w14:paraId="12C932A6" w14:textId="77777777" w:rsidR="005F0932" w:rsidRPr="008203CE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</w:p>
        </w:tc>
      </w:tr>
      <w:tr w:rsidR="005F0932" w14:paraId="6B683894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22324297" w14:textId="77777777" w:rsidR="005F0932" w:rsidRDefault="005F0932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S</w:t>
            </w:r>
            <w:r w:rsidRPr="00096258">
              <w:rPr>
                <w:rFonts w:cs="Arial"/>
                <w:szCs w:val="19"/>
              </w:rPr>
              <w:t>etmelanotide</w:t>
            </w:r>
            <w:proofErr w:type="spellEnd"/>
            <w:r w:rsidRPr="00096258">
              <w:rPr>
                <w:rFonts w:cs="Arial"/>
                <w:szCs w:val="19"/>
              </w:rPr>
              <w:t xml:space="preserve"> (</w:t>
            </w:r>
            <w:proofErr w:type="spellStart"/>
            <w:r w:rsidRPr="00096258">
              <w:rPr>
                <w:rFonts w:cs="Arial"/>
                <w:i/>
                <w:iCs/>
                <w:szCs w:val="19"/>
              </w:rPr>
              <w:t>Imcivree</w:t>
            </w:r>
            <w:proofErr w:type="spellEnd"/>
            <w:r w:rsidRPr="00096258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7D3167CE" w14:textId="77777777" w:rsidR="005F0932" w:rsidRDefault="005F0932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334131">
              <w:rPr>
                <w:rFonts w:cs="Arial"/>
                <w:szCs w:val="19"/>
                <w:lang w:val="en-US"/>
              </w:rPr>
              <w:t>reatment of obesity and the control of hunger in adults and children 4 years of age and above with acquired hypothalamic obesity due to hypothalamic injury or impairment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75149A">
              <w:rPr>
                <w:rFonts w:cs="Arial"/>
                <w:sz w:val="16"/>
                <w:szCs w:val="16"/>
                <w:lang w:val="en-US"/>
              </w:rPr>
              <w:t>[new indication]</w:t>
            </w:r>
          </w:p>
        </w:tc>
      </w:tr>
      <w:tr w:rsidR="00031620" w14:paraId="5D6645F7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5158397" w14:textId="77777777" w:rsidR="00031620" w:rsidRDefault="00031620" w:rsidP="00DF4A04">
            <w:pPr>
              <w:rPr>
                <w:rFonts w:cs="Arial"/>
                <w:szCs w:val="19"/>
              </w:rPr>
            </w:pPr>
          </w:p>
          <w:p w14:paraId="4BEC1B81" w14:textId="77777777" w:rsidR="00D2326F" w:rsidRDefault="00D2326F" w:rsidP="00DF4A04">
            <w:pPr>
              <w:rPr>
                <w:rFonts w:cs="Arial"/>
                <w:szCs w:val="19"/>
              </w:rPr>
            </w:pPr>
          </w:p>
          <w:p w14:paraId="50D9B315" w14:textId="77777777" w:rsidR="00D2326F" w:rsidRDefault="00D2326F" w:rsidP="00DF4A04">
            <w:pPr>
              <w:rPr>
                <w:rFonts w:cs="Arial"/>
                <w:szCs w:val="19"/>
              </w:rPr>
            </w:pPr>
          </w:p>
          <w:p w14:paraId="1449B3D3" w14:textId="77777777" w:rsidR="00D2326F" w:rsidRDefault="00D2326F" w:rsidP="00DF4A04">
            <w:pPr>
              <w:rPr>
                <w:rFonts w:cs="Arial"/>
                <w:szCs w:val="19"/>
              </w:rPr>
            </w:pPr>
          </w:p>
          <w:p w14:paraId="75AD5F21" w14:textId="77777777" w:rsidR="00D2326F" w:rsidRPr="00D2326F" w:rsidRDefault="00D2326F" w:rsidP="00D2326F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1727654F" w14:textId="77777777" w:rsidR="00031620" w:rsidRDefault="00031620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</w:p>
        </w:tc>
      </w:tr>
      <w:tr w:rsidR="00031620" w:rsidRPr="00862949" w14:paraId="5A0E5BCC" w14:textId="77777777" w:rsidTr="00DF4A04">
        <w:tc>
          <w:tcPr>
            <w:tcW w:w="5000" w:type="pct"/>
            <w:gridSpan w:val="4"/>
            <w:shd w:val="clear" w:color="auto" w:fill="0070C0"/>
            <w:tcMar>
              <w:top w:w="85" w:type="dxa"/>
              <w:bottom w:w="85" w:type="dxa"/>
            </w:tcMar>
            <w:vAlign w:val="bottom"/>
          </w:tcPr>
          <w:p w14:paraId="22F2DCD3" w14:textId="5906CA7C" w:rsidR="00031620" w:rsidRPr="00862949" w:rsidRDefault="00031620" w:rsidP="00DF4A04">
            <w:pPr>
              <w:rPr>
                <w:rFonts w:cs="Arial"/>
                <w:color w:val="FFFFFF"/>
                <w:sz w:val="15"/>
                <w:szCs w:val="15"/>
              </w:rPr>
            </w:pP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 xml:space="preserve">Regulatory changes in the </w:t>
            </w:r>
            <w:r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 xml:space="preserve">UK or </w:t>
            </w: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>EU</w:t>
            </w:r>
            <w:r w:rsidRPr="00862949">
              <w:rPr>
                <w:rFonts w:cs="Arial"/>
                <w:b/>
                <w:bCs/>
                <w:iCs/>
                <w:color w:val="FFFFFF"/>
                <w:sz w:val="28"/>
                <w:szCs w:val="28"/>
                <w:lang w:val="en-US"/>
              </w:rPr>
              <w:tab/>
            </w:r>
          </w:p>
        </w:tc>
      </w:tr>
      <w:tr w:rsidR="00031620" w:rsidRPr="000F19E1" w14:paraId="236C7E7D" w14:textId="77777777" w:rsidTr="00DF4A04">
        <w:trPr>
          <w:gridAfter w:val="1"/>
          <w:wAfter w:w="1152" w:type="pct"/>
        </w:trPr>
        <w:tc>
          <w:tcPr>
            <w:tcW w:w="3848" w:type="pct"/>
            <w:gridSpan w:val="3"/>
            <w:shd w:val="clear" w:color="auto" w:fill="DAEEF3"/>
            <w:tcMar>
              <w:top w:w="0" w:type="dxa"/>
              <w:bottom w:w="0" w:type="dxa"/>
            </w:tcMar>
          </w:tcPr>
          <w:p w14:paraId="73E49672" w14:textId="77777777" w:rsidR="00031620" w:rsidRPr="000F19E1" w:rsidRDefault="00031620" w:rsidP="00DF4A04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031620" w:rsidRPr="00433D3E" w14:paraId="511760E0" w14:textId="77777777" w:rsidTr="00562CE4">
        <w:tc>
          <w:tcPr>
            <w:tcW w:w="5000" w:type="pct"/>
            <w:gridSpan w:val="4"/>
            <w:shd w:val="clear" w:color="auto" w:fill="008232"/>
            <w:tcMar>
              <w:top w:w="57" w:type="dxa"/>
              <w:bottom w:w="57" w:type="dxa"/>
            </w:tcMar>
          </w:tcPr>
          <w:p w14:paraId="53391CEC" w14:textId="79A0B161" w:rsidR="00031620" w:rsidRPr="00433D3E" w:rsidRDefault="00031620" w:rsidP="00031620">
            <w:pPr>
              <w:rPr>
                <w:rFonts w:cs="Arial"/>
                <w:noProof/>
                <w:color w:val="FFFFFF"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Recommended for</w:t>
            </w:r>
            <w:proofErr w:type="gramEnd"/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 approval in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the </w:t>
            </w: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UK or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EU</w:t>
            </w: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 </w:t>
            </w:r>
            <w:r w:rsidRPr="0021490D">
              <w:rPr>
                <w:rFonts w:cs="Arial"/>
                <w:b/>
                <w:bCs/>
                <w:color w:val="FFFFFF"/>
                <w:sz w:val="16"/>
                <w:szCs w:val="14"/>
                <w:lang w:val="en-US"/>
              </w:rPr>
              <w:t>(continued)</w:t>
            </w:r>
          </w:p>
        </w:tc>
      </w:tr>
      <w:tr w:rsidR="00031620" w14:paraId="63F07627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159DDFB9" w14:textId="77777777" w:rsidR="00031620" w:rsidRDefault="00031620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S</w:t>
            </w:r>
            <w:r w:rsidRPr="009B0BB2">
              <w:rPr>
                <w:rFonts w:cs="Arial"/>
                <w:szCs w:val="19"/>
              </w:rPr>
              <w:t>erplulimab</w:t>
            </w:r>
            <w:proofErr w:type="spellEnd"/>
            <w:r w:rsidRPr="009B0BB2">
              <w:rPr>
                <w:rFonts w:cs="Arial"/>
                <w:szCs w:val="19"/>
              </w:rPr>
              <w:t xml:space="preserve"> (</w:t>
            </w:r>
            <w:proofErr w:type="spellStart"/>
            <w:r w:rsidRPr="009B0BB2">
              <w:rPr>
                <w:rFonts w:cs="Arial"/>
                <w:i/>
                <w:iCs/>
                <w:szCs w:val="19"/>
              </w:rPr>
              <w:t>Hetronifly</w:t>
            </w:r>
            <w:proofErr w:type="spellEnd"/>
            <w:r w:rsidRPr="009B0BB2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49C86E9" w14:textId="77777777" w:rsidR="00031620" w:rsidRDefault="00031620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911AF1">
              <w:rPr>
                <w:rFonts w:cs="Arial"/>
                <w:szCs w:val="19"/>
                <w:lang w:val="en-US"/>
              </w:rPr>
              <w:t xml:space="preserve">in combination with fluoropyrimidine- and platinum-based chemotherapy for the first-line treatment of adults with unresectable, locally advanced, recurrent or metastatic </w:t>
            </w:r>
            <w:proofErr w:type="spellStart"/>
            <w:r w:rsidRPr="00911AF1">
              <w:rPr>
                <w:rFonts w:cs="Arial"/>
                <w:szCs w:val="19"/>
                <w:lang w:val="en-US"/>
              </w:rPr>
              <w:t>oesophageal</w:t>
            </w:r>
            <w:proofErr w:type="spellEnd"/>
            <w:r w:rsidRPr="00911AF1">
              <w:rPr>
                <w:rFonts w:cs="Arial"/>
                <w:szCs w:val="19"/>
                <w:lang w:val="en-US"/>
              </w:rPr>
              <w:t xml:space="preserve"> squamous cell carcinoma whose </w:t>
            </w:r>
            <w:proofErr w:type="spellStart"/>
            <w:r w:rsidRPr="00911AF1">
              <w:rPr>
                <w:rFonts w:cs="Arial"/>
                <w:szCs w:val="19"/>
                <w:lang w:val="en-US"/>
              </w:rPr>
              <w:t>tumours</w:t>
            </w:r>
            <w:proofErr w:type="spellEnd"/>
            <w:r w:rsidRPr="00911AF1">
              <w:rPr>
                <w:rFonts w:cs="Arial"/>
                <w:szCs w:val="19"/>
                <w:lang w:val="en-US"/>
              </w:rPr>
              <w:t xml:space="preserve"> express PD-L1 with a CPS ≥5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75149A">
              <w:rPr>
                <w:rFonts w:cs="Arial"/>
                <w:sz w:val="16"/>
                <w:szCs w:val="16"/>
                <w:lang w:val="en-US"/>
              </w:rPr>
              <w:t>[new indication]</w:t>
            </w:r>
          </w:p>
        </w:tc>
      </w:tr>
      <w:tr w:rsidR="00031620" w14:paraId="711FB1F4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1AF1AA62" w14:textId="77777777" w:rsidR="00031620" w:rsidRDefault="00031620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S</w:t>
            </w:r>
            <w:r w:rsidRPr="009B0BB2">
              <w:rPr>
                <w:rFonts w:cs="Arial"/>
                <w:szCs w:val="19"/>
              </w:rPr>
              <w:t>erplulimab</w:t>
            </w:r>
            <w:proofErr w:type="spellEnd"/>
            <w:r w:rsidRPr="009B0BB2">
              <w:rPr>
                <w:rFonts w:cs="Arial"/>
                <w:szCs w:val="19"/>
              </w:rPr>
              <w:t xml:space="preserve"> (</w:t>
            </w:r>
            <w:proofErr w:type="spellStart"/>
            <w:r w:rsidRPr="009B0BB2">
              <w:rPr>
                <w:rFonts w:cs="Arial"/>
                <w:i/>
                <w:iCs/>
                <w:szCs w:val="19"/>
              </w:rPr>
              <w:t>Hetronifly</w:t>
            </w:r>
            <w:proofErr w:type="spellEnd"/>
            <w:r w:rsidRPr="009B0BB2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42240E0" w14:textId="77777777" w:rsidR="00031620" w:rsidRDefault="00031620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292684">
              <w:rPr>
                <w:rFonts w:cs="Arial"/>
                <w:szCs w:val="19"/>
                <w:lang w:val="en-US"/>
              </w:rPr>
              <w:t>in combination with carboplatin and pemetrexed for the first-line treatment of adult</w:t>
            </w:r>
            <w:r>
              <w:rPr>
                <w:rFonts w:cs="Arial"/>
                <w:szCs w:val="19"/>
                <w:lang w:val="en-US"/>
              </w:rPr>
              <w:t xml:space="preserve">s with </w:t>
            </w:r>
            <w:r w:rsidRPr="00292684">
              <w:rPr>
                <w:rFonts w:cs="Arial"/>
                <w:szCs w:val="19"/>
                <w:lang w:val="en-US"/>
              </w:rPr>
              <w:t xml:space="preserve">non-squamous </w:t>
            </w:r>
            <w:r>
              <w:rPr>
                <w:rFonts w:cs="Arial"/>
                <w:szCs w:val="19"/>
                <w:lang w:val="en-US"/>
              </w:rPr>
              <w:t>n</w:t>
            </w:r>
            <w:r w:rsidRPr="001D4574">
              <w:rPr>
                <w:rFonts w:cs="Arial"/>
                <w:szCs w:val="19"/>
              </w:rPr>
              <w:t>on-small cell lung cancer (NSCLC) </w:t>
            </w:r>
            <w:r>
              <w:rPr>
                <w:rFonts w:cs="Arial"/>
                <w:szCs w:val="19"/>
                <w:lang w:val="en-US"/>
              </w:rPr>
              <w:t xml:space="preserve">with </w:t>
            </w:r>
            <w:r w:rsidRPr="00292684">
              <w:rPr>
                <w:rFonts w:cs="Arial"/>
                <w:szCs w:val="19"/>
                <w:lang w:val="en-US"/>
              </w:rPr>
              <w:t xml:space="preserve">no EGFR, ALK or ROS1 positive mutations and who have locally advanced NSCLC who are not candidates for surgery or radiotherapy, or metastatic NSCLC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75149A">
              <w:rPr>
                <w:rFonts w:cs="Arial"/>
                <w:sz w:val="16"/>
                <w:szCs w:val="16"/>
                <w:lang w:val="en-US"/>
              </w:rPr>
              <w:t>[new indication]</w:t>
            </w:r>
          </w:p>
        </w:tc>
      </w:tr>
      <w:tr w:rsidR="00031620" w14:paraId="24B7BDED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67FAE303" w14:textId="77777777" w:rsidR="00031620" w:rsidRDefault="00031620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T</w:t>
            </w:r>
            <w:r w:rsidRPr="0002212D">
              <w:rPr>
                <w:rFonts w:cs="Arial"/>
                <w:szCs w:val="19"/>
              </w:rPr>
              <w:t>arlatamab</w:t>
            </w:r>
            <w:proofErr w:type="spellEnd"/>
            <w:r w:rsidRPr="0002212D">
              <w:rPr>
                <w:rFonts w:cs="Arial"/>
                <w:szCs w:val="19"/>
              </w:rPr>
              <w:t xml:space="preserve"> (</w:t>
            </w:r>
            <w:proofErr w:type="spellStart"/>
            <w:r w:rsidRPr="0002212D">
              <w:rPr>
                <w:rFonts w:cs="Arial"/>
                <w:i/>
                <w:iCs/>
                <w:szCs w:val="19"/>
              </w:rPr>
              <w:t>Imdylltra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1EE3D038" w14:textId="77777777" w:rsidR="00031620" w:rsidRDefault="00031620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as </w:t>
            </w:r>
            <w:r w:rsidRPr="00EA22F2">
              <w:rPr>
                <w:rFonts w:cs="Arial"/>
                <w:szCs w:val="19"/>
                <w:lang w:val="en-US"/>
              </w:rPr>
              <w:t xml:space="preserve">monotherapy to treat adults with extensive-stage small cell lung cancer </w:t>
            </w:r>
            <w:r w:rsidRPr="00431035">
              <w:rPr>
                <w:rFonts w:cs="Arial"/>
                <w:szCs w:val="19"/>
              </w:rPr>
              <w:t>who require systemic therapy following disease progression on or after first-line treatment with platinum-based chemotherapy</w:t>
            </w:r>
            <w:r w:rsidRPr="00431035"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031620" w14:paraId="7FE5FE84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7FDEED0" w14:textId="77777777" w:rsidR="00031620" w:rsidRDefault="00031620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T</w:t>
            </w:r>
            <w:r w:rsidRPr="00E8055A">
              <w:rPr>
                <w:rFonts w:cs="Arial"/>
                <w:szCs w:val="19"/>
              </w:rPr>
              <w:t>rametinib (</w:t>
            </w:r>
            <w:proofErr w:type="spellStart"/>
            <w:r w:rsidRPr="00E41178">
              <w:rPr>
                <w:rFonts w:cs="Arial"/>
                <w:i/>
                <w:iCs/>
                <w:szCs w:val="19"/>
              </w:rPr>
              <w:t>Mekinist</w:t>
            </w:r>
            <w:proofErr w:type="spellEnd"/>
            <w:r w:rsidRPr="00E8055A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3BF6081" w14:textId="77777777" w:rsidR="00031620" w:rsidRDefault="00031620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F64242">
              <w:rPr>
                <w:rFonts w:cs="Arial"/>
                <w:szCs w:val="19"/>
                <w:lang w:val="en-US"/>
              </w:rPr>
              <w:t xml:space="preserve">in combination with dabrafenib is indicated for the adjuvant treatment of adults and adolescents aged 12 years and older with Stage III melanoma with a BRAF V600 mutation, following complete resection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031620" w14:paraId="5726390F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561FCFF" w14:textId="77777777" w:rsidR="00031620" w:rsidRDefault="00031620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T</w:t>
            </w:r>
            <w:r w:rsidRPr="00E8055A">
              <w:rPr>
                <w:rFonts w:cs="Arial"/>
                <w:szCs w:val="19"/>
              </w:rPr>
              <w:t>rametinib (</w:t>
            </w:r>
            <w:proofErr w:type="spellStart"/>
            <w:r w:rsidRPr="00E41178">
              <w:rPr>
                <w:rFonts w:cs="Arial"/>
                <w:i/>
                <w:iCs/>
                <w:szCs w:val="19"/>
              </w:rPr>
              <w:t>Mekinist</w:t>
            </w:r>
            <w:proofErr w:type="spellEnd"/>
            <w:r w:rsidRPr="00E8055A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0B33A3F9" w14:textId="77777777" w:rsidR="00031620" w:rsidRDefault="00031620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E41178">
              <w:rPr>
                <w:rFonts w:cs="Arial"/>
                <w:szCs w:val="19"/>
                <w:lang w:val="en-US"/>
              </w:rPr>
              <w:t>as monotherapy or in combination with dabrafenib for the treatment of adults and adolescents aged 12 years and older with unresectable or metastatic melanoma with a BRAF V600 mutation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CD6799">
              <w:rPr>
                <w:rFonts w:cs="Arial"/>
                <w:sz w:val="16"/>
                <w:szCs w:val="16"/>
                <w:lang w:val="en-US"/>
              </w:rPr>
              <w:t>[licence change from use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031620" w14:paraId="5C804533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067D7BA" w14:textId="77777777" w:rsidR="00031620" w:rsidRDefault="00031620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T</w:t>
            </w:r>
            <w:r w:rsidRPr="00E8055A">
              <w:rPr>
                <w:rFonts w:cs="Arial"/>
                <w:szCs w:val="19"/>
              </w:rPr>
              <w:t>rametinib (</w:t>
            </w:r>
            <w:proofErr w:type="spellStart"/>
            <w:r w:rsidRPr="00E41178">
              <w:rPr>
                <w:rFonts w:cs="Arial"/>
                <w:i/>
                <w:iCs/>
                <w:szCs w:val="19"/>
              </w:rPr>
              <w:t>Mekinist</w:t>
            </w:r>
            <w:proofErr w:type="spellEnd"/>
            <w:r w:rsidRPr="00E8055A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5ACBEE42" w14:textId="77777777" w:rsidR="00031620" w:rsidRDefault="00031620" w:rsidP="00DF4A04">
            <w:pPr>
              <w:tabs>
                <w:tab w:val="num" w:pos="720"/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E41178">
              <w:rPr>
                <w:rFonts w:cs="Arial"/>
                <w:szCs w:val="19"/>
                <w:lang w:val="en-US"/>
              </w:rPr>
              <w:t xml:space="preserve">in combination with </w:t>
            </w:r>
            <w:r w:rsidRPr="00225372">
              <w:rPr>
                <w:rFonts w:cs="Arial"/>
                <w:szCs w:val="19"/>
                <w:lang w:val="en-US"/>
              </w:rPr>
              <w:t>dabrafenib for the treatment of adults with locally advanced or metastatic differentiated thyroid cancer with a BRAF V600E mutation, refractory to or not eligible for radioactive iodine who have progressed during or after prior systemic therapy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30EAA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8F7BA5">
              <w:rPr>
                <w:rFonts w:cs="Arial"/>
                <w:szCs w:val="19"/>
                <w:lang w:val="en-US"/>
              </w:rPr>
              <w:t xml:space="preserve"> </w:t>
            </w:r>
            <w:r w:rsidRPr="0075149A">
              <w:rPr>
                <w:rFonts w:cs="Arial"/>
                <w:sz w:val="16"/>
                <w:szCs w:val="16"/>
                <w:lang w:val="en-US"/>
              </w:rPr>
              <w:t>[new indication]</w:t>
            </w:r>
          </w:p>
        </w:tc>
      </w:tr>
      <w:tr w:rsidR="00031620" w:rsidRPr="000F19E1" w14:paraId="154CFDF5" w14:textId="77777777" w:rsidTr="00EA4E49">
        <w:tc>
          <w:tcPr>
            <w:tcW w:w="1447" w:type="pct"/>
            <w:gridSpan w:val="2"/>
            <w:tcMar>
              <w:top w:w="0" w:type="dxa"/>
              <w:bottom w:w="0" w:type="dxa"/>
            </w:tcMar>
          </w:tcPr>
          <w:p w14:paraId="4E1716F4" w14:textId="77777777" w:rsidR="00031620" w:rsidRPr="000F19E1" w:rsidRDefault="00031620" w:rsidP="00031620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553" w:type="pct"/>
            <w:gridSpan w:val="2"/>
            <w:tcMar>
              <w:top w:w="0" w:type="dxa"/>
              <w:bottom w:w="0" w:type="dxa"/>
            </w:tcMar>
          </w:tcPr>
          <w:p w14:paraId="66D85BF7" w14:textId="77777777" w:rsidR="00031620" w:rsidRPr="000F19E1" w:rsidRDefault="00031620" w:rsidP="00031620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031620" w:rsidRPr="000F19E1" w14:paraId="2AFE997F" w14:textId="77777777" w:rsidTr="00155BD9">
        <w:tc>
          <w:tcPr>
            <w:tcW w:w="1152" w:type="pct"/>
            <w:shd w:val="clear" w:color="auto" w:fill="DAEEF3"/>
            <w:tcMar>
              <w:top w:w="0" w:type="dxa"/>
              <w:bottom w:w="0" w:type="dxa"/>
            </w:tcMar>
          </w:tcPr>
          <w:p w14:paraId="45B750B5" w14:textId="77777777" w:rsidR="00031620" w:rsidRPr="000F19E1" w:rsidRDefault="00031620" w:rsidP="00031620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848" w:type="pct"/>
            <w:gridSpan w:val="3"/>
            <w:shd w:val="clear" w:color="auto" w:fill="DAEEF3"/>
            <w:tcMar>
              <w:top w:w="0" w:type="dxa"/>
              <w:bottom w:w="0" w:type="dxa"/>
            </w:tcMar>
          </w:tcPr>
          <w:p w14:paraId="24A00C24" w14:textId="77777777" w:rsidR="00031620" w:rsidRPr="000F19E1" w:rsidRDefault="00031620" w:rsidP="00031620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031620" w:rsidRPr="00126CCD" w14:paraId="0D36D277" w14:textId="77777777" w:rsidTr="00562CE4">
        <w:tc>
          <w:tcPr>
            <w:tcW w:w="5000" w:type="pct"/>
            <w:gridSpan w:val="4"/>
            <w:shd w:val="clear" w:color="auto" w:fill="008232"/>
            <w:tcMar>
              <w:top w:w="57" w:type="dxa"/>
              <w:bottom w:w="57" w:type="dxa"/>
            </w:tcMar>
          </w:tcPr>
          <w:p w14:paraId="04535D81" w14:textId="2CE984F8" w:rsidR="00031620" w:rsidRPr="004642B4" w:rsidRDefault="00D2326F" w:rsidP="00031620">
            <w:pPr>
              <w:rPr>
                <w:rFonts w:cs="Arial"/>
                <w:noProof/>
                <w:color w:val="FFFFFF"/>
                <w:sz w:val="16"/>
                <w:szCs w:val="16"/>
              </w:rPr>
            </w:pP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Filed for approval in the </w:t>
            </w: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UK or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EU</w:t>
            </w:r>
          </w:p>
        </w:tc>
      </w:tr>
      <w:tr w:rsidR="00D2326F" w14:paraId="2DD0FE88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670BBF37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B</w:t>
            </w:r>
            <w:r w:rsidRPr="00980ACD">
              <w:rPr>
                <w:rFonts w:cs="Arial"/>
                <w:szCs w:val="19"/>
              </w:rPr>
              <w:t>axdrostat</w:t>
            </w:r>
            <w:proofErr w:type="spellEnd"/>
            <w:r w:rsidRPr="00980ACD">
              <w:rPr>
                <w:rFonts w:cs="Arial"/>
                <w:szCs w:val="19"/>
              </w:rPr>
              <w:t> 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8B39E69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A02F83">
              <w:rPr>
                <w:rFonts w:cs="Arial"/>
                <w:szCs w:val="19"/>
                <w:lang w:val="en-US"/>
              </w:rPr>
              <w:t>reatment of hypertension in adults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70F5AE6A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45C17FD2" w14:textId="77777777" w:rsidR="00D2326F" w:rsidRDefault="00D2326F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C</w:t>
            </w:r>
            <w:r w:rsidRPr="00916229">
              <w:rPr>
                <w:rFonts w:cs="Arial"/>
                <w:szCs w:val="19"/>
              </w:rPr>
              <w:t xml:space="preserve">efepime + </w:t>
            </w:r>
            <w:proofErr w:type="spellStart"/>
            <w:r w:rsidRPr="00916229">
              <w:rPr>
                <w:rFonts w:cs="Arial"/>
                <w:szCs w:val="19"/>
              </w:rPr>
              <w:t>zidebactam</w:t>
            </w:r>
            <w:proofErr w:type="spellEnd"/>
            <w:r w:rsidRPr="00916229">
              <w:rPr>
                <w:rFonts w:cs="Arial"/>
                <w:szCs w:val="19"/>
              </w:rPr>
              <w:t xml:space="preserve"> (</w:t>
            </w:r>
            <w:proofErr w:type="spellStart"/>
            <w:r w:rsidRPr="008A2A95">
              <w:rPr>
                <w:rFonts w:cs="Arial"/>
                <w:i/>
                <w:iCs/>
                <w:szCs w:val="19"/>
              </w:rPr>
              <w:t>Zaynich</w:t>
            </w:r>
            <w:proofErr w:type="spellEnd"/>
            <w:r w:rsidRPr="00916229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B518204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A46478">
              <w:rPr>
                <w:rFonts w:cs="Arial"/>
                <w:szCs w:val="19"/>
                <w:lang w:val="en-US"/>
              </w:rPr>
              <w:t xml:space="preserve">reatment of </w:t>
            </w:r>
            <w:proofErr w:type="gramStart"/>
            <w:r w:rsidRPr="00A46478">
              <w:rPr>
                <w:rFonts w:cs="Arial"/>
                <w:szCs w:val="19"/>
                <w:lang w:val="en-US"/>
              </w:rPr>
              <w:t>a number of</w:t>
            </w:r>
            <w:proofErr w:type="gramEnd"/>
            <w:r w:rsidRPr="00A46478">
              <w:rPr>
                <w:rFonts w:cs="Arial"/>
                <w:szCs w:val="19"/>
                <w:lang w:val="en-US"/>
              </w:rPr>
              <w:t xml:space="preserve"> infections in adults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04A8C8FB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1C3105FB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C</w:t>
            </w:r>
            <w:r w:rsidRPr="00B22802">
              <w:rPr>
                <w:rFonts w:cs="Arial"/>
                <w:szCs w:val="19"/>
              </w:rPr>
              <w:t>eftolozane</w:t>
            </w:r>
            <w:proofErr w:type="spellEnd"/>
            <w:r w:rsidRPr="00B22802">
              <w:rPr>
                <w:rFonts w:cs="Arial"/>
                <w:szCs w:val="19"/>
              </w:rPr>
              <w:t xml:space="preserve"> + tazobactam </w:t>
            </w:r>
            <w:r w:rsidRPr="00046424">
              <w:rPr>
                <w:rFonts w:cs="Arial"/>
                <w:szCs w:val="19"/>
              </w:rPr>
              <w:t>(</w:t>
            </w:r>
            <w:proofErr w:type="spellStart"/>
            <w:r w:rsidRPr="00046424">
              <w:rPr>
                <w:rFonts w:cs="Arial"/>
                <w:i/>
                <w:iCs/>
                <w:szCs w:val="19"/>
              </w:rPr>
              <w:t>Zerbaxa</w:t>
            </w:r>
            <w:proofErr w:type="spellEnd"/>
            <w:r w:rsidRPr="00046424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1FBF3033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3D727E">
              <w:rPr>
                <w:rFonts w:cs="Arial"/>
                <w:szCs w:val="19"/>
                <w:lang w:val="en-US"/>
              </w:rPr>
              <w:t xml:space="preserve">reatment of hospital-acquired pneumonia, including ventilator-associated pneumonia, in </w:t>
            </w:r>
            <w:proofErr w:type="spellStart"/>
            <w:r w:rsidRPr="003D727E">
              <w:rPr>
                <w:rFonts w:cs="Arial"/>
                <w:szCs w:val="19"/>
                <w:lang w:val="en-US"/>
              </w:rPr>
              <w:t>paediatric</w:t>
            </w:r>
            <w:proofErr w:type="spellEnd"/>
            <w:r w:rsidRPr="003D727E">
              <w:rPr>
                <w:rFonts w:cs="Arial"/>
                <w:szCs w:val="19"/>
                <w:lang w:val="en-US"/>
              </w:rPr>
              <w:t xml:space="preserve"> patients from birth to </w:t>
            </w:r>
            <w:r>
              <w:rPr>
                <w:rFonts w:cs="Arial"/>
                <w:szCs w:val="19"/>
                <w:lang w:val="en-US"/>
              </w:rPr>
              <w:t>17</w:t>
            </w:r>
            <w:r w:rsidRPr="003D727E">
              <w:rPr>
                <w:rFonts w:cs="Arial"/>
                <w:szCs w:val="19"/>
                <w:lang w:val="en-US"/>
              </w:rPr>
              <w:t xml:space="preserve"> years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 xml:space="preserve"> [new indication]</w:t>
            </w:r>
          </w:p>
        </w:tc>
      </w:tr>
      <w:tr w:rsidR="00D2326F" w14:paraId="4562EE63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A32FE5A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D</w:t>
            </w:r>
            <w:r w:rsidRPr="00635C7C">
              <w:rPr>
                <w:rFonts w:cs="Arial"/>
                <w:szCs w:val="19"/>
              </w:rPr>
              <w:t>elgocitinib</w:t>
            </w:r>
            <w:proofErr w:type="spellEnd"/>
            <w:r w:rsidRPr="00635C7C">
              <w:rPr>
                <w:rFonts w:cs="Arial"/>
                <w:szCs w:val="19"/>
              </w:rPr>
              <w:t xml:space="preserve"> (</w:t>
            </w:r>
            <w:proofErr w:type="spellStart"/>
            <w:r w:rsidRPr="00635C7C">
              <w:rPr>
                <w:rFonts w:cs="Arial"/>
                <w:i/>
                <w:iCs/>
                <w:szCs w:val="19"/>
              </w:rPr>
              <w:t>Anzupgo</w:t>
            </w:r>
            <w:proofErr w:type="spellEnd"/>
            <w:r w:rsidRPr="00635C7C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7154B33C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656132">
              <w:rPr>
                <w:rFonts w:cs="Arial"/>
                <w:szCs w:val="19"/>
                <w:lang w:val="en-US"/>
              </w:rPr>
              <w:t>reatment of adolescents 12 years and older with moderate to severe chronic hand eczema for whom topical corticosteroids are inadequate or inappropriate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</w:p>
          <w:p w14:paraId="596CFE41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47869">
              <w:rPr>
                <w:rFonts w:cs="Arial"/>
                <w:color w:val="000000"/>
                <w:sz w:val="16"/>
                <w:szCs w:val="16"/>
              </w:rPr>
              <w:t xml:space="preserve">[licence change from use only </w:t>
            </w:r>
            <w:r>
              <w:rPr>
                <w:rFonts w:cs="Arial"/>
                <w:color w:val="000000"/>
                <w:sz w:val="16"/>
                <w:szCs w:val="16"/>
              </w:rPr>
              <w:t>in adults</w:t>
            </w:r>
            <w:r w:rsidRPr="00B47869">
              <w:rPr>
                <w:rFonts w:cs="Arial"/>
                <w:color w:val="000000"/>
                <w:sz w:val="16"/>
                <w:szCs w:val="16"/>
              </w:rPr>
              <w:t>]</w:t>
            </w:r>
          </w:p>
        </w:tc>
      </w:tr>
      <w:tr w:rsidR="00D2326F" w14:paraId="4E18FCC4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F601F95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D</w:t>
            </w:r>
            <w:r w:rsidRPr="00A46381">
              <w:rPr>
                <w:rFonts w:cs="Arial"/>
                <w:szCs w:val="19"/>
              </w:rPr>
              <w:t>euruxolitinib</w:t>
            </w:r>
            <w:proofErr w:type="spellEnd"/>
            <w:r w:rsidRPr="00A46381">
              <w:rPr>
                <w:rFonts w:cs="Arial"/>
                <w:szCs w:val="19"/>
              </w:rPr>
              <w:t> </w:t>
            </w:r>
            <w:r w:rsidRPr="006E1EA1">
              <w:rPr>
                <w:rFonts w:cs="Arial"/>
                <w:szCs w:val="19"/>
              </w:rPr>
              <w:t>(</w:t>
            </w:r>
            <w:proofErr w:type="spellStart"/>
            <w:r w:rsidRPr="006E1EA1">
              <w:rPr>
                <w:rFonts w:cs="Arial"/>
                <w:i/>
                <w:iCs/>
                <w:szCs w:val="19"/>
              </w:rPr>
              <w:t>Leqselvi</w:t>
            </w:r>
            <w:proofErr w:type="spellEnd"/>
            <w:r w:rsidRPr="006E1EA1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5A88C3E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C671BE">
              <w:rPr>
                <w:rFonts w:cs="Arial"/>
                <w:szCs w:val="19"/>
                <w:lang w:val="en-US"/>
              </w:rPr>
              <w:t>reatment of alopecia areata in adults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25DAA3EA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2FA5C7AA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E</w:t>
            </w:r>
            <w:r w:rsidRPr="00175C1D">
              <w:rPr>
                <w:rFonts w:cs="Arial"/>
                <w:szCs w:val="19"/>
              </w:rPr>
              <w:t>volocumab</w:t>
            </w:r>
            <w:proofErr w:type="spellEnd"/>
            <w:r w:rsidRPr="00175C1D">
              <w:rPr>
                <w:rFonts w:cs="Arial"/>
                <w:szCs w:val="19"/>
              </w:rPr>
              <w:t xml:space="preserve"> </w:t>
            </w:r>
            <w:r>
              <w:rPr>
                <w:rFonts w:cs="Arial"/>
                <w:szCs w:val="19"/>
              </w:rPr>
              <w:t>(</w:t>
            </w:r>
            <w:r w:rsidRPr="00175C1D">
              <w:rPr>
                <w:rFonts w:cs="Arial"/>
                <w:i/>
                <w:iCs/>
                <w:szCs w:val="19"/>
              </w:rPr>
              <w:t xml:space="preserve">Repatha </w:t>
            </w:r>
            <w:proofErr w:type="spellStart"/>
            <w:r w:rsidRPr="00175C1D">
              <w:rPr>
                <w:rFonts w:cs="Arial"/>
                <w:i/>
                <w:iCs/>
                <w:szCs w:val="19"/>
              </w:rPr>
              <w:t>SureClick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05E9A425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 xml:space="preserve">Use </w:t>
            </w:r>
            <w:r w:rsidRPr="00F5611C">
              <w:rPr>
                <w:rFonts w:cs="Arial"/>
                <w:szCs w:val="19"/>
                <w:lang w:val="en-US"/>
              </w:rPr>
              <w:t xml:space="preserve">in adults </w:t>
            </w:r>
            <w:r w:rsidRPr="00A3138B">
              <w:rPr>
                <w:rFonts w:cs="Arial"/>
                <w:szCs w:val="19"/>
                <w:lang w:val="en-US"/>
              </w:rPr>
              <w:t xml:space="preserve">at high risk for a first cardiovascular event </w:t>
            </w:r>
          </w:p>
          <w:p w14:paraId="6F4ADBAE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 xml:space="preserve"> [</w:t>
            </w:r>
            <w:r w:rsidRPr="00B47869">
              <w:rPr>
                <w:rFonts w:cs="Arial"/>
                <w:color w:val="000000"/>
                <w:sz w:val="16"/>
                <w:szCs w:val="16"/>
              </w:rPr>
              <w:t xml:space="preserve">licence change from use only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in those </w:t>
            </w:r>
            <w:r w:rsidRPr="00DA4C9E">
              <w:rPr>
                <w:rFonts w:cs="Arial"/>
                <w:color w:val="000000"/>
                <w:sz w:val="16"/>
                <w:szCs w:val="16"/>
              </w:rPr>
              <w:t>diagnosed with cardiovascular diseas</w:t>
            </w:r>
            <w:r>
              <w:rPr>
                <w:rFonts w:cs="Arial"/>
                <w:color w:val="000000"/>
                <w:sz w:val="16"/>
                <w:szCs w:val="16"/>
              </w:rPr>
              <w:t>e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D2326F" w:rsidRPr="00A075A3" w14:paraId="67EFE59D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4FCF0BAB" w14:textId="77777777" w:rsidR="00D2326F" w:rsidRPr="00C466BC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G</w:t>
            </w:r>
            <w:r w:rsidRPr="00A36267">
              <w:rPr>
                <w:rFonts w:cs="Arial"/>
                <w:szCs w:val="19"/>
              </w:rPr>
              <w:t>aretosmab</w:t>
            </w:r>
            <w:proofErr w:type="spellEnd"/>
            <w:r w:rsidRPr="00A36267">
              <w:rPr>
                <w:rFonts w:cs="Arial"/>
                <w:szCs w:val="19"/>
              </w:rPr>
              <w:t> </w:t>
            </w:r>
            <w:r w:rsidRPr="00353D79">
              <w:rPr>
                <w:rFonts w:cs="Arial"/>
                <w:szCs w:val="19"/>
              </w:rPr>
              <w:t>(</w:t>
            </w:r>
            <w:r w:rsidRPr="00353D79">
              <w:rPr>
                <w:rFonts w:cs="Arial"/>
                <w:i/>
                <w:iCs/>
                <w:szCs w:val="19"/>
              </w:rPr>
              <w:t>Activin A</w:t>
            </w:r>
            <w:r w:rsidRPr="00353D79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54FF79C9" w14:textId="77777777" w:rsidR="00D2326F" w:rsidRPr="00A075A3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C16ADE">
              <w:rPr>
                <w:rFonts w:cs="Arial"/>
                <w:szCs w:val="19"/>
                <w:lang w:val="en-US"/>
              </w:rPr>
              <w:t>reatment of adults with fibrodysplasia ossificans progressiva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413A4AAB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948B0D1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G</w:t>
            </w:r>
            <w:r w:rsidRPr="001541CF">
              <w:rPr>
                <w:rFonts w:cs="Arial"/>
                <w:szCs w:val="19"/>
              </w:rPr>
              <w:t>lecaprevir</w:t>
            </w:r>
            <w:proofErr w:type="spellEnd"/>
            <w:r w:rsidRPr="001541CF">
              <w:rPr>
                <w:rFonts w:cs="Arial"/>
                <w:szCs w:val="19"/>
              </w:rPr>
              <w:t xml:space="preserve"> + </w:t>
            </w:r>
            <w:proofErr w:type="spellStart"/>
            <w:r w:rsidRPr="001541CF">
              <w:rPr>
                <w:rFonts w:cs="Arial"/>
                <w:szCs w:val="19"/>
              </w:rPr>
              <w:t>pibrentasvir</w:t>
            </w:r>
            <w:proofErr w:type="spellEnd"/>
            <w:r w:rsidRPr="001541CF">
              <w:rPr>
                <w:rFonts w:cs="Arial"/>
                <w:szCs w:val="19"/>
              </w:rPr>
              <w:t xml:space="preserve"> (</w:t>
            </w:r>
            <w:proofErr w:type="spellStart"/>
            <w:r w:rsidRPr="001541CF">
              <w:rPr>
                <w:rFonts w:cs="Arial"/>
                <w:i/>
                <w:iCs/>
                <w:szCs w:val="19"/>
              </w:rPr>
              <w:t>Maviret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74B43AA2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Treatment of acute h</w:t>
            </w:r>
            <w:r w:rsidRPr="005049E1">
              <w:rPr>
                <w:rFonts w:cs="Arial"/>
                <w:szCs w:val="19"/>
                <w:lang w:val="en-US"/>
              </w:rPr>
              <w:t>epatitis C infection, in adults and adolescents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 xml:space="preserve"> [</w:t>
            </w:r>
            <w:r w:rsidRPr="00B47869">
              <w:rPr>
                <w:rFonts w:cs="Arial"/>
                <w:color w:val="000000"/>
                <w:sz w:val="16"/>
                <w:szCs w:val="16"/>
              </w:rPr>
              <w:t xml:space="preserve">licence change from use only </w:t>
            </w:r>
            <w:r>
              <w:rPr>
                <w:rFonts w:cs="Arial"/>
                <w:color w:val="000000"/>
                <w:sz w:val="16"/>
                <w:szCs w:val="16"/>
              </w:rPr>
              <w:t>in chronic disease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D2326F" w14:paraId="35782BFC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744F58A9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t>H</w:t>
            </w:r>
            <w:r w:rsidRPr="0056396C">
              <w:t>examinolevulinate</w:t>
            </w:r>
            <w:proofErr w:type="spellEnd"/>
            <w:r w:rsidRPr="0056396C">
              <w:t xml:space="preserve"> hydrochloride </w:t>
            </w:r>
            <w:r w:rsidRPr="00887A10">
              <w:t>(</w:t>
            </w:r>
            <w:proofErr w:type="spellStart"/>
            <w:r w:rsidRPr="00887A10">
              <w:rPr>
                <w:i/>
                <w:iCs/>
              </w:rPr>
              <w:t>Cevira</w:t>
            </w:r>
            <w:proofErr w:type="spellEnd"/>
            <w:r w:rsidRPr="00887A10"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30943BB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0551BB">
              <w:rPr>
                <w:rFonts w:cs="Arial"/>
                <w:szCs w:val="19"/>
                <w:lang w:val="en-US"/>
              </w:rPr>
              <w:t xml:space="preserve">reatment of adults with histologically confirmed cervical high-grade squamous intraepithelial lesions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5E95E044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E3C2E39" w14:textId="77777777" w:rsidR="00D2326F" w:rsidRDefault="00D2326F" w:rsidP="00DF4A04">
            <w:proofErr w:type="spellStart"/>
            <w:r>
              <w:t>I</w:t>
            </w:r>
            <w:r w:rsidRPr="00A87390">
              <w:t>analumab</w:t>
            </w:r>
            <w:proofErr w:type="spellEnd"/>
            <w:r w:rsidRPr="00A87390">
              <w:t> 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5C62C14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Tr</w:t>
            </w:r>
            <w:r w:rsidRPr="006157F8">
              <w:rPr>
                <w:rFonts w:cs="Arial"/>
                <w:szCs w:val="19"/>
                <w:lang w:val="en-US"/>
              </w:rPr>
              <w:t>eatment of Sjögren’s disease in adults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12432B58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6C98B36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Linerixibat</w:t>
            </w:r>
            <w:proofErr w:type="spellEnd"/>
            <w:r>
              <w:rPr>
                <w:rFonts w:cs="Arial"/>
                <w:szCs w:val="19"/>
              </w:rPr>
              <w:t xml:space="preserve"> (</w:t>
            </w:r>
            <w:proofErr w:type="spellStart"/>
            <w:r w:rsidRPr="00E30632">
              <w:rPr>
                <w:rFonts w:cs="Arial"/>
                <w:i/>
                <w:iCs/>
                <w:szCs w:val="19"/>
              </w:rPr>
              <w:t>Lynavoy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CEE6FC8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925A8C">
              <w:rPr>
                <w:rFonts w:cs="Arial"/>
                <w:szCs w:val="19"/>
                <w:lang w:val="en-US"/>
              </w:rPr>
              <w:t xml:space="preserve">Treatment of cholestatic pruritus in </w:t>
            </w:r>
            <w:r>
              <w:rPr>
                <w:rFonts w:cs="Arial"/>
                <w:szCs w:val="19"/>
                <w:lang w:val="en-US"/>
              </w:rPr>
              <w:t xml:space="preserve">adults with primary biliary </w:t>
            </w:r>
            <w:r w:rsidRPr="006B65AB">
              <w:rPr>
                <w:rFonts w:cs="Arial"/>
                <w:szCs w:val="19"/>
              </w:rPr>
              <w:t>cholangitis</w:t>
            </w:r>
            <w:r>
              <w:rPr>
                <w:rFonts w:cs="Arial"/>
                <w:szCs w:val="19"/>
              </w:rPr>
              <w:t xml:space="preserve"> </w:t>
            </w:r>
            <w:r w:rsidRPr="006B65AB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EU and </w:t>
            </w:r>
            <w:r w:rsidRPr="006B65AB">
              <w:rPr>
                <w:rFonts w:cs="Arial"/>
                <w:sz w:val="16"/>
                <w:szCs w:val="16"/>
              </w:rPr>
              <w:t>U</w:t>
            </w:r>
            <w:r>
              <w:rPr>
                <w:rFonts w:cs="Arial"/>
                <w:sz w:val="16"/>
                <w:szCs w:val="16"/>
              </w:rPr>
              <w:t>K</w:t>
            </w:r>
            <w:r w:rsidRPr="006B65AB">
              <w:rPr>
                <w:rFonts w:cs="Arial"/>
                <w:sz w:val="16"/>
                <w:szCs w:val="16"/>
              </w:rPr>
              <w:t>]</w:t>
            </w:r>
          </w:p>
        </w:tc>
      </w:tr>
      <w:tr w:rsidR="00D2326F" w:rsidRPr="00925A8C" w14:paraId="71FC08C9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5E280CC" w14:textId="77777777" w:rsidR="00D2326F" w:rsidRDefault="00D2326F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M</w:t>
            </w:r>
            <w:r w:rsidRPr="00D87FC7">
              <w:rPr>
                <w:rFonts w:cs="Arial"/>
                <w:szCs w:val="19"/>
              </w:rPr>
              <w:t>ethylphenidate (</w:t>
            </w:r>
            <w:proofErr w:type="spellStart"/>
            <w:r w:rsidRPr="00D87FC7">
              <w:rPr>
                <w:rFonts w:cs="Arial"/>
                <w:i/>
                <w:iCs/>
                <w:szCs w:val="19"/>
              </w:rPr>
              <w:t>Tuzulby</w:t>
            </w:r>
            <w:proofErr w:type="spellEnd"/>
            <w:r w:rsidRPr="00D87FC7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D73E3EE" w14:textId="77777777" w:rsidR="00D2326F" w:rsidRPr="00925A8C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9A0D37">
              <w:rPr>
                <w:rFonts w:cs="Arial"/>
                <w:szCs w:val="19"/>
                <w:lang w:val="en-US"/>
              </w:rPr>
              <w:t xml:space="preserve">Attention-deficit hyperactivity disorder in children aged 6 years of age and over when remedial measures alone prove insufficient </w:t>
            </w:r>
            <w:r w:rsidRPr="00F92355">
              <w:rPr>
                <w:rFonts w:cs="Arial"/>
                <w:sz w:val="16"/>
                <w:szCs w:val="16"/>
                <w:lang w:val="en-US"/>
              </w:rPr>
              <w:t xml:space="preserve">[EU] [new </w:t>
            </w:r>
            <w:r w:rsidRPr="00042E00">
              <w:rPr>
                <w:rFonts w:cs="Arial"/>
                <w:sz w:val="16"/>
                <w:szCs w:val="16"/>
                <w:lang w:val="en-US"/>
              </w:rPr>
              <w:t xml:space="preserve">5 mg/ml powder for prolonged-release </w:t>
            </w:r>
            <w:r w:rsidRPr="00CD1DE2">
              <w:rPr>
                <w:rFonts w:cs="Arial"/>
                <w:sz w:val="16"/>
                <w:szCs w:val="16"/>
                <w:lang w:val="en-US"/>
              </w:rPr>
              <w:t>oral suspension</w:t>
            </w:r>
            <w:r w:rsidRPr="00F92355">
              <w:rPr>
                <w:rFonts w:cs="Arial"/>
                <w:sz w:val="16"/>
                <w:szCs w:val="16"/>
                <w:lang w:val="en-US"/>
              </w:rPr>
              <w:t xml:space="preserve"> formulation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D2326F" w:rsidRPr="00925A8C" w14:paraId="7A92706A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6CE9F35D" w14:textId="77777777" w:rsidR="00D2326F" w:rsidRDefault="00D2326F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</w:t>
            </w:r>
            <w:r w:rsidRPr="00134B5E">
              <w:rPr>
                <w:rFonts w:cs="Arial"/>
                <w:szCs w:val="19"/>
              </w:rPr>
              <w:t>malizumab biosimilar (</w:t>
            </w:r>
            <w:r w:rsidRPr="00A75601">
              <w:rPr>
                <w:rFonts w:cs="Arial"/>
                <w:i/>
                <w:iCs/>
                <w:szCs w:val="19"/>
              </w:rPr>
              <w:t>TEV-45779</w:t>
            </w:r>
            <w:r w:rsidRPr="00134B5E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62A29CC" w14:textId="77777777" w:rsidR="00D2326F" w:rsidRPr="00925A8C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6E5BDB">
              <w:rPr>
                <w:rFonts w:cs="Arial"/>
                <w:szCs w:val="19"/>
                <w:lang w:val="en-US"/>
              </w:rPr>
              <w:t>reatment of asthma in adults and children from 6 years of age, and treatment of chronic rhinosinusitis with nasal polyps in adults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0FC8FD41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EEF95A1" w14:textId="77777777" w:rsidR="00D2326F" w:rsidRDefault="00D2326F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  <w:lang w:val="en-US"/>
              </w:rPr>
              <w:t>P</w:t>
            </w:r>
            <w:r w:rsidRPr="00465C51">
              <w:rPr>
                <w:rFonts w:cs="Arial"/>
                <w:szCs w:val="19"/>
                <w:lang w:val="en-US"/>
              </w:rPr>
              <w:t>embrolizumab (</w:t>
            </w:r>
            <w:r w:rsidRPr="00465C51">
              <w:rPr>
                <w:rFonts w:cs="Arial"/>
                <w:i/>
                <w:iCs/>
                <w:szCs w:val="19"/>
                <w:lang w:val="en-US"/>
              </w:rPr>
              <w:t>Keytruda</w:t>
            </w:r>
            <w:r>
              <w:rPr>
                <w:rFonts w:cs="Arial"/>
                <w:i/>
                <w:iCs/>
                <w:szCs w:val="19"/>
                <w:lang w:val="en-US"/>
              </w:rPr>
              <w:t xml:space="preserve"> SC</w:t>
            </w:r>
            <w:r w:rsidRPr="00465C51">
              <w:rPr>
                <w:rFonts w:cs="Arial"/>
                <w:szCs w:val="19"/>
                <w:lang w:val="en-US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84C3CE6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 w:rsidRPr="00465C51">
              <w:rPr>
                <w:rFonts w:cs="Arial"/>
                <w:szCs w:val="19"/>
                <w:lang w:val="en-US"/>
              </w:rPr>
              <w:t xml:space="preserve">Melanoma </w:t>
            </w:r>
            <w:r w:rsidRPr="00465C51">
              <w:rPr>
                <w:rFonts w:cs="Arial"/>
                <w:szCs w:val="19"/>
                <w:lang w:val="en-US"/>
              </w:rPr>
              <w:tab/>
              <w:t>and classical Hodgkin lymphoma, in adolescents aged 12 years and older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F92355">
              <w:rPr>
                <w:rFonts w:cs="Arial"/>
                <w:sz w:val="16"/>
                <w:szCs w:val="16"/>
                <w:lang w:val="en-US"/>
              </w:rPr>
              <w:t>[EU] [</w:t>
            </w:r>
            <w:r w:rsidRPr="00B47869">
              <w:rPr>
                <w:rFonts w:cs="Arial"/>
                <w:color w:val="000000"/>
                <w:sz w:val="16"/>
                <w:szCs w:val="16"/>
              </w:rPr>
              <w:t>licence change from use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only in adults</w:t>
            </w:r>
            <w:r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031620" w:rsidRPr="000F19E1" w14:paraId="685FE08F" w14:textId="77777777" w:rsidTr="00DF4A04">
        <w:tc>
          <w:tcPr>
            <w:tcW w:w="1447" w:type="pct"/>
            <w:gridSpan w:val="2"/>
            <w:tcMar>
              <w:top w:w="0" w:type="dxa"/>
              <w:bottom w:w="0" w:type="dxa"/>
            </w:tcMar>
          </w:tcPr>
          <w:p w14:paraId="7EFD2C31" w14:textId="77777777" w:rsidR="00031620" w:rsidRPr="000F19E1" w:rsidRDefault="00031620" w:rsidP="00D2326F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553" w:type="pct"/>
            <w:gridSpan w:val="2"/>
            <w:tcMar>
              <w:top w:w="0" w:type="dxa"/>
              <w:bottom w:w="0" w:type="dxa"/>
            </w:tcMar>
          </w:tcPr>
          <w:p w14:paraId="51955161" w14:textId="77777777" w:rsidR="00031620" w:rsidRPr="000F19E1" w:rsidRDefault="00031620" w:rsidP="00DF4A04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031620" w:rsidRPr="000F19E1" w14:paraId="00ACD89B" w14:textId="77777777" w:rsidTr="00DF4A04">
        <w:tc>
          <w:tcPr>
            <w:tcW w:w="1152" w:type="pct"/>
            <w:shd w:val="clear" w:color="auto" w:fill="DAEEF3"/>
            <w:tcMar>
              <w:top w:w="0" w:type="dxa"/>
              <w:bottom w:w="0" w:type="dxa"/>
            </w:tcMar>
          </w:tcPr>
          <w:p w14:paraId="4136C47C" w14:textId="77777777" w:rsidR="00031620" w:rsidRPr="000F19E1" w:rsidRDefault="00031620" w:rsidP="00DF4A04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848" w:type="pct"/>
            <w:gridSpan w:val="3"/>
            <w:shd w:val="clear" w:color="auto" w:fill="DAEEF3"/>
            <w:tcMar>
              <w:top w:w="0" w:type="dxa"/>
              <w:bottom w:w="0" w:type="dxa"/>
            </w:tcMar>
          </w:tcPr>
          <w:p w14:paraId="6D1CB085" w14:textId="77777777" w:rsidR="00031620" w:rsidRPr="000F19E1" w:rsidRDefault="00031620" w:rsidP="00DF4A04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031620" w:rsidRPr="00433D3E" w14:paraId="1457C6F1" w14:textId="77777777" w:rsidTr="00DF4A04">
        <w:tc>
          <w:tcPr>
            <w:tcW w:w="5000" w:type="pct"/>
            <w:gridSpan w:val="4"/>
            <w:shd w:val="clear" w:color="auto" w:fill="008232"/>
            <w:tcMar>
              <w:top w:w="57" w:type="dxa"/>
              <w:bottom w:w="57" w:type="dxa"/>
            </w:tcMar>
          </w:tcPr>
          <w:p w14:paraId="01FE5036" w14:textId="37883F16" w:rsidR="00031620" w:rsidRPr="00433D3E" w:rsidRDefault="00031620" w:rsidP="00DF4A04">
            <w:pPr>
              <w:rPr>
                <w:rFonts w:cs="Arial"/>
                <w:noProof/>
                <w:color w:val="FFFFFF"/>
                <w:sz w:val="16"/>
                <w:szCs w:val="16"/>
              </w:rPr>
            </w:pP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Filed for approval in the </w:t>
            </w: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UK or </w:t>
            </w:r>
            <w:r w:rsidRPr="00433D3E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EU</w:t>
            </w:r>
            <w:r w:rsidR="00D2326F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 </w:t>
            </w:r>
            <w:r w:rsidR="00D2326F" w:rsidRPr="0021490D">
              <w:rPr>
                <w:rFonts w:cs="Arial"/>
                <w:b/>
                <w:bCs/>
                <w:color w:val="FFFFFF"/>
                <w:sz w:val="16"/>
                <w:szCs w:val="14"/>
                <w:lang w:val="en-US"/>
              </w:rPr>
              <w:t>(continued)</w:t>
            </w:r>
          </w:p>
        </w:tc>
      </w:tr>
      <w:tr w:rsidR="00D2326F" w14:paraId="1DC12980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21DE0B72" w14:textId="77777777" w:rsidR="00D2326F" w:rsidRDefault="00D2326F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Sa</w:t>
            </w:r>
            <w:r w:rsidRPr="00CE097A">
              <w:rPr>
                <w:rFonts w:cs="Arial"/>
                <w:szCs w:val="19"/>
              </w:rPr>
              <w:t xml:space="preserve">cituzumab </w:t>
            </w:r>
            <w:proofErr w:type="spellStart"/>
            <w:r w:rsidRPr="00CE097A">
              <w:rPr>
                <w:rFonts w:cs="Arial"/>
                <w:szCs w:val="19"/>
              </w:rPr>
              <w:t>g</w:t>
            </w:r>
            <w:r>
              <w:rPr>
                <w:rFonts w:cs="Arial"/>
                <w:szCs w:val="19"/>
              </w:rPr>
              <w:t>ovitecan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r w:rsidRPr="000A63D8">
              <w:rPr>
                <w:rFonts w:cs="Arial"/>
                <w:szCs w:val="19"/>
              </w:rPr>
              <w:t>(</w:t>
            </w:r>
            <w:proofErr w:type="spellStart"/>
            <w:r w:rsidRPr="000A63D8">
              <w:rPr>
                <w:rFonts w:cs="Arial"/>
                <w:i/>
                <w:iCs/>
                <w:szCs w:val="19"/>
              </w:rPr>
              <w:t>Trodelvy</w:t>
            </w:r>
            <w:proofErr w:type="spellEnd"/>
            <w:r w:rsidRPr="000A63D8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5E69D946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Tr</w:t>
            </w:r>
            <w:r w:rsidRPr="00EB783D">
              <w:rPr>
                <w:rFonts w:cs="Arial"/>
                <w:szCs w:val="19"/>
                <w:lang w:val="en-US"/>
              </w:rPr>
              <w:t xml:space="preserve">eatment of adults with unresectable locally advanced or metastatic </w:t>
            </w:r>
            <w:r>
              <w:rPr>
                <w:rFonts w:cs="Arial"/>
                <w:szCs w:val="19"/>
                <w:lang w:val="en-US"/>
              </w:rPr>
              <w:t xml:space="preserve">triple negative breast cancer </w:t>
            </w:r>
            <w:r w:rsidRPr="00EB783D">
              <w:rPr>
                <w:rFonts w:cs="Arial"/>
                <w:szCs w:val="19"/>
                <w:lang w:val="en-US"/>
              </w:rPr>
              <w:t xml:space="preserve">who have not received prior systemic therapy for metastatic disease and whose </w:t>
            </w:r>
            <w:proofErr w:type="spellStart"/>
            <w:r w:rsidRPr="00EB783D">
              <w:rPr>
                <w:rFonts w:cs="Arial"/>
                <w:szCs w:val="19"/>
                <w:lang w:val="en-US"/>
              </w:rPr>
              <w:t>tumours</w:t>
            </w:r>
            <w:proofErr w:type="spellEnd"/>
            <w:r w:rsidRPr="00EB783D">
              <w:rPr>
                <w:rFonts w:cs="Arial"/>
                <w:szCs w:val="19"/>
                <w:lang w:val="en-US"/>
              </w:rPr>
              <w:t xml:space="preserve"> express PD-L1 with a combined positive score ≥10</w:t>
            </w:r>
            <w:r>
              <w:rPr>
                <w:rFonts w:cs="Arial"/>
                <w:szCs w:val="19"/>
                <w:lang w:val="en-US"/>
              </w:rPr>
              <w:t xml:space="preserve">, in combination with pembrolizumab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 xml:space="preserve"> [new indication]</w:t>
            </w:r>
          </w:p>
        </w:tc>
      </w:tr>
      <w:tr w:rsidR="00D2326F" w:rsidRPr="00A075A3" w14:paraId="14606973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1661C987" w14:textId="77777777" w:rsidR="00D2326F" w:rsidRPr="00896AE9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S</w:t>
            </w:r>
            <w:r w:rsidRPr="00F173D9">
              <w:rPr>
                <w:rFonts w:cs="Arial"/>
                <w:szCs w:val="19"/>
              </w:rPr>
              <w:t>onrotoclax</w:t>
            </w:r>
            <w:proofErr w:type="spellEnd"/>
            <w:r w:rsidRPr="00F173D9">
              <w:rPr>
                <w:rFonts w:cs="Arial"/>
                <w:szCs w:val="19"/>
              </w:rPr>
              <w:t> 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07CF218" w14:textId="77777777" w:rsidR="00D2326F" w:rsidRPr="00A075A3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F173D9">
              <w:rPr>
                <w:rFonts w:cs="Arial"/>
                <w:szCs w:val="19"/>
                <w:lang w:val="en-US"/>
              </w:rPr>
              <w:t>reatment of adults with relapsed or refractory mantle cell lymphoma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3981A545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1BA1560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T</w:t>
            </w:r>
            <w:r w:rsidRPr="008F599A">
              <w:rPr>
                <w:rFonts w:cs="Arial"/>
                <w:szCs w:val="19"/>
              </w:rPr>
              <w:t>aletrectinib</w:t>
            </w:r>
            <w:proofErr w:type="spellEnd"/>
            <w:r w:rsidRPr="008F599A">
              <w:rPr>
                <w:rFonts w:cs="Arial"/>
                <w:szCs w:val="19"/>
              </w:rPr>
              <w:t xml:space="preserve"> (</w:t>
            </w:r>
            <w:proofErr w:type="spellStart"/>
            <w:r w:rsidRPr="008F599A">
              <w:rPr>
                <w:rFonts w:cs="Arial"/>
                <w:i/>
                <w:iCs/>
                <w:szCs w:val="19"/>
              </w:rPr>
              <w:t>Ibtrozi</w:t>
            </w:r>
            <w:proofErr w:type="spellEnd"/>
            <w:r w:rsidRPr="008F599A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AD2F158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BA4C6C">
              <w:rPr>
                <w:rFonts w:cs="Arial"/>
                <w:szCs w:val="19"/>
                <w:lang w:val="en-US"/>
              </w:rPr>
              <w:t>reatment of advanced ROS1-positive non-small cell lung cancer</w:t>
            </w:r>
            <w:r>
              <w:rPr>
                <w:rFonts w:cs="Arial"/>
                <w:szCs w:val="19"/>
                <w:lang w:val="en-US"/>
              </w:rPr>
              <w:t xml:space="preserve"> in adults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:rsidRPr="00A075A3" w14:paraId="30AC5CC7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DAE1BE9" w14:textId="77777777" w:rsidR="00D2326F" w:rsidRPr="00896AE9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T</w:t>
            </w:r>
            <w:r w:rsidRPr="00AC002A">
              <w:rPr>
                <w:rFonts w:cs="Arial"/>
                <w:szCs w:val="19"/>
              </w:rPr>
              <w:t>anruprubart</w:t>
            </w:r>
            <w:proofErr w:type="spellEnd"/>
            <w:r w:rsidRPr="00AC002A">
              <w:rPr>
                <w:rFonts w:cs="Arial"/>
                <w:szCs w:val="19"/>
              </w:rPr>
              <w:t> 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5B719D4C" w14:textId="77777777" w:rsidR="00D2326F" w:rsidRPr="00A075A3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D415C0">
              <w:rPr>
                <w:rFonts w:cs="Arial"/>
                <w:szCs w:val="19"/>
                <w:lang w:val="en-US"/>
              </w:rPr>
              <w:t>reatment of Guillain-Barré syndrome in adults and children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14:paraId="2C32D046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5F7014E9" w14:textId="77777777" w:rsidR="00D2326F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T</w:t>
            </w:r>
            <w:r w:rsidRPr="00F16D26">
              <w:rPr>
                <w:rFonts w:cs="Arial"/>
                <w:szCs w:val="19"/>
              </w:rPr>
              <w:t>eclistamab</w:t>
            </w:r>
            <w:proofErr w:type="spellEnd"/>
            <w:r w:rsidRPr="00F16D26">
              <w:rPr>
                <w:rFonts w:cs="Arial"/>
                <w:szCs w:val="19"/>
              </w:rPr>
              <w:t> </w:t>
            </w:r>
            <w:r w:rsidRPr="008111D2">
              <w:rPr>
                <w:rFonts w:cs="Arial"/>
                <w:szCs w:val="19"/>
              </w:rPr>
              <w:t>(</w:t>
            </w:r>
            <w:proofErr w:type="spellStart"/>
            <w:r w:rsidRPr="008111D2">
              <w:rPr>
                <w:rFonts w:cs="Arial"/>
                <w:i/>
                <w:iCs/>
                <w:szCs w:val="19"/>
              </w:rPr>
              <w:t>Tecvayli</w:t>
            </w:r>
            <w:proofErr w:type="spellEnd"/>
            <w:r w:rsidRPr="008111D2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9DF0795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AF2A44">
              <w:rPr>
                <w:rFonts w:cs="Arial"/>
                <w:szCs w:val="19"/>
                <w:lang w:val="en-US"/>
              </w:rPr>
              <w:t>reatment of adults with relapsed or refractory multiple myeloma who have received at least one prior therapy</w:t>
            </w:r>
            <w:r>
              <w:rPr>
                <w:rFonts w:cs="Arial"/>
                <w:szCs w:val="19"/>
                <w:lang w:val="en-US"/>
              </w:rPr>
              <w:t xml:space="preserve">, </w:t>
            </w:r>
            <w:r w:rsidRPr="00AF2A44">
              <w:rPr>
                <w:rFonts w:cs="Arial"/>
                <w:szCs w:val="19"/>
                <w:lang w:val="en-US"/>
              </w:rPr>
              <w:t xml:space="preserve">in combination with daratumumab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 xml:space="preserve"> [</w:t>
            </w:r>
            <w:r w:rsidRPr="00B47869">
              <w:rPr>
                <w:rFonts w:cs="Arial"/>
                <w:color w:val="000000"/>
                <w:sz w:val="16"/>
                <w:szCs w:val="16"/>
              </w:rPr>
              <w:t xml:space="preserve">licence change from use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after </w:t>
            </w:r>
            <w:r w:rsidRPr="00CB713A">
              <w:rPr>
                <w:rFonts w:cs="Arial"/>
                <w:color w:val="000000"/>
                <w:sz w:val="16"/>
                <w:szCs w:val="16"/>
              </w:rPr>
              <w:t>at least three prior therapies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D2326F" w:rsidRPr="00460B68" w14:paraId="69CA0781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346CCB8C" w14:textId="77777777" w:rsidR="00D2326F" w:rsidRPr="004910AC" w:rsidRDefault="00D2326F" w:rsidP="00DF4A04">
            <w:pPr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Cs w:val="19"/>
              </w:rPr>
              <w:t>V</w:t>
            </w:r>
            <w:r w:rsidRPr="00CB48F5">
              <w:rPr>
                <w:rFonts w:cs="Arial"/>
                <w:szCs w:val="19"/>
              </w:rPr>
              <w:t>eligrotug</w:t>
            </w:r>
            <w:proofErr w:type="spellEnd"/>
            <w:r w:rsidRPr="00CB48F5">
              <w:rPr>
                <w:rFonts w:cs="Arial"/>
                <w:szCs w:val="19"/>
              </w:rPr>
              <w:t> 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CC98397" w14:textId="77777777" w:rsidR="00D2326F" w:rsidRPr="00460B68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</w:t>
            </w:r>
            <w:r w:rsidRPr="00CB48F5">
              <w:rPr>
                <w:rFonts w:cs="Arial"/>
                <w:szCs w:val="19"/>
                <w:lang w:val="en-US"/>
              </w:rPr>
              <w:t>reatment of moderate to severe thyroid eye disease in adults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</w:p>
        </w:tc>
      </w:tr>
      <w:tr w:rsidR="00D2326F" w:rsidRPr="00460B68" w14:paraId="721E087F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068EBCEE" w14:textId="77777777" w:rsidR="00D2326F" w:rsidRDefault="00D2326F" w:rsidP="00DF4A0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</w:t>
            </w:r>
            <w:r w:rsidRPr="00C850EA">
              <w:rPr>
                <w:rFonts w:cs="Arial"/>
                <w:szCs w:val="19"/>
              </w:rPr>
              <w:t>enetoclax </w:t>
            </w:r>
            <w:r w:rsidRPr="004F3CFF">
              <w:rPr>
                <w:rFonts w:cs="Arial"/>
                <w:szCs w:val="19"/>
              </w:rPr>
              <w:t>(</w:t>
            </w:r>
            <w:proofErr w:type="spellStart"/>
            <w:r w:rsidRPr="004F3CFF">
              <w:rPr>
                <w:rFonts w:cs="Arial"/>
                <w:i/>
                <w:iCs/>
                <w:szCs w:val="19"/>
              </w:rPr>
              <w:t>Venclyxto</w:t>
            </w:r>
            <w:proofErr w:type="spellEnd"/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2CF29A81" w14:textId="77777777" w:rsidR="00D2326F" w:rsidRPr="00460B68" w:rsidRDefault="00D2326F" w:rsidP="00DF4A04">
            <w:pPr>
              <w:tabs>
                <w:tab w:val="center" w:pos="3152"/>
              </w:tabs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Tr</w:t>
            </w:r>
            <w:r w:rsidRPr="00610FB7">
              <w:rPr>
                <w:rFonts w:cs="Arial"/>
                <w:szCs w:val="19"/>
                <w:lang w:val="en-US"/>
              </w:rPr>
              <w:t>eatment of adults with previously untreated chronic lymphocytic leukaemia</w:t>
            </w:r>
            <w:r>
              <w:rPr>
                <w:rFonts w:cs="Arial"/>
                <w:szCs w:val="19"/>
                <w:lang w:val="en-US"/>
              </w:rPr>
              <w:t>,</w:t>
            </w:r>
            <w:r w:rsidRPr="00610FB7">
              <w:rPr>
                <w:rFonts w:cs="Arial"/>
                <w:szCs w:val="19"/>
                <w:lang w:val="en-US"/>
              </w:rPr>
              <w:t xml:space="preserve"> in combination with ibrutinib</w:t>
            </w:r>
            <w:r>
              <w:rPr>
                <w:rFonts w:cs="Arial"/>
                <w:szCs w:val="19"/>
                <w:lang w:val="en-US"/>
              </w:rPr>
              <w:t xml:space="preserve"> </w:t>
            </w:r>
            <w:r w:rsidRPr="00267483">
              <w:rPr>
                <w:rFonts w:cs="Arial"/>
                <w:sz w:val="16"/>
                <w:szCs w:val="16"/>
                <w:lang w:val="en-US"/>
              </w:rPr>
              <w:t>[EU]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 xml:space="preserve"> [</w:t>
            </w:r>
            <w:r w:rsidRPr="00B47869">
              <w:rPr>
                <w:rFonts w:cs="Arial"/>
                <w:color w:val="000000"/>
                <w:sz w:val="16"/>
                <w:szCs w:val="16"/>
              </w:rPr>
              <w:t xml:space="preserve">licence change from </w:t>
            </w:r>
            <w:r>
              <w:rPr>
                <w:rFonts w:cs="Arial"/>
                <w:color w:val="000000"/>
                <w:sz w:val="16"/>
                <w:szCs w:val="16"/>
              </w:rPr>
              <w:t>use</w:t>
            </w:r>
            <w:r w:rsidRPr="006073EE">
              <w:rPr>
                <w:rFonts w:cs="Arial"/>
                <w:color w:val="000000"/>
                <w:sz w:val="16"/>
                <w:szCs w:val="16"/>
              </w:rPr>
              <w:t xml:space="preserve"> only with obinutuzumab</w:t>
            </w:r>
            <w:r w:rsidRPr="00B47869">
              <w:rPr>
                <w:rFonts w:cs="Arial"/>
                <w:sz w:val="16"/>
                <w:szCs w:val="16"/>
              </w:rPr>
              <w:t xml:space="preserve"> – note: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D322A">
              <w:rPr>
                <w:rFonts w:cs="Arial"/>
                <w:sz w:val="16"/>
                <w:szCs w:val="16"/>
              </w:rPr>
              <w:t xml:space="preserve">the </w:t>
            </w:r>
            <w:proofErr w:type="spellStart"/>
            <w:r w:rsidRPr="00AD322A">
              <w:rPr>
                <w:rFonts w:cs="Arial"/>
                <w:sz w:val="16"/>
                <w:szCs w:val="16"/>
              </w:rPr>
              <w:t>SmPCs</w:t>
            </w:r>
            <w:proofErr w:type="spellEnd"/>
            <w:r w:rsidRPr="00AD322A">
              <w:rPr>
                <w:rFonts w:cs="Arial"/>
                <w:sz w:val="16"/>
                <w:szCs w:val="16"/>
              </w:rPr>
              <w:t xml:space="preserve"> for ibrutinib (Imbruvica capsules, all strengths, 140mg, 280mg, 420mg and 560mg) were updated with this change (to allow use in combination with venetoclax in previously untreated CLL) in </w:t>
            </w:r>
            <w:r>
              <w:rPr>
                <w:rFonts w:cs="Arial"/>
                <w:sz w:val="16"/>
                <w:szCs w:val="16"/>
              </w:rPr>
              <w:t>Aug</w:t>
            </w:r>
            <w:r w:rsidRPr="00AD322A">
              <w:rPr>
                <w:rFonts w:cs="Arial"/>
                <w:sz w:val="16"/>
                <w:szCs w:val="16"/>
              </w:rPr>
              <w:t xml:space="preserve"> 22</w:t>
            </w:r>
            <w:r w:rsidRPr="00587DF3">
              <w:rPr>
                <w:rFonts w:cs="Arial"/>
                <w:sz w:val="16"/>
                <w:szCs w:val="16"/>
                <w:lang w:val="en-US"/>
              </w:rPr>
              <w:t>]</w:t>
            </w:r>
          </w:p>
        </w:tc>
      </w:tr>
      <w:tr w:rsidR="00031620" w:rsidRPr="000F19E1" w14:paraId="7DEA3479" w14:textId="77777777" w:rsidTr="00DF4A04">
        <w:tc>
          <w:tcPr>
            <w:tcW w:w="1447" w:type="pct"/>
            <w:gridSpan w:val="2"/>
            <w:tcMar>
              <w:top w:w="0" w:type="dxa"/>
              <w:bottom w:w="0" w:type="dxa"/>
            </w:tcMar>
          </w:tcPr>
          <w:p w14:paraId="6EB71311" w14:textId="77777777" w:rsidR="00031620" w:rsidRPr="000F19E1" w:rsidRDefault="00031620" w:rsidP="00DF4A04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553" w:type="pct"/>
            <w:gridSpan w:val="2"/>
            <w:tcMar>
              <w:top w:w="0" w:type="dxa"/>
              <w:bottom w:w="0" w:type="dxa"/>
            </w:tcMar>
          </w:tcPr>
          <w:p w14:paraId="00635616" w14:textId="77777777" w:rsidR="00031620" w:rsidRPr="000F19E1" w:rsidRDefault="00031620" w:rsidP="00DF4A04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031620" w:rsidRPr="000F19E1" w14:paraId="0C107DC9" w14:textId="77777777" w:rsidTr="00DF4A04">
        <w:tc>
          <w:tcPr>
            <w:tcW w:w="1152" w:type="pct"/>
            <w:shd w:val="clear" w:color="auto" w:fill="DAEEF3"/>
            <w:tcMar>
              <w:top w:w="0" w:type="dxa"/>
              <w:bottom w:w="0" w:type="dxa"/>
            </w:tcMar>
          </w:tcPr>
          <w:p w14:paraId="1CEC05CA" w14:textId="77777777" w:rsidR="00031620" w:rsidRPr="000F19E1" w:rsidRDefault="00031620" w:rsidP="00DF4A04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3848" w:type="pct"/>
            <w:gridSpan w:val="3"/>
            <w:shd w:val="clear" w:color="auto" w:fill="DAEEF3"/>
            <w:tcMar>
              <w:top w:w="0" w:type="dxa"/>
              <w:bottom w:w="0" w:type="dxa"/>
            </w:tcMar>
          </w:tcPr>
          <w:p w14:paraId="25A6D39A" w14:textId="77777777" w:rsidR="00031620" w:rsidRPr="000F19E1" w:rsidRDefault="00031620" w:rsidP="00DF4A04">
            <w:pPr>
              <w:tabs>
                <w:tab w:val="center" w:pos="3152"/>
              </w:tabs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031620" w:rsidRPr="004642B4" w14:paraId="3D37C742" w14:textId="77777777" w:rsidTr="00DF4A04">
        <w:tc>
          <w:tcPr>
            <w:tcW w:w="5000" w:type="pct"/>
            <w:gridSpan w:val="4"/>
            <w:shd w:val="clear" w:color="auto" w:fill="008232"/>
            <w:tcMar>
              <w:top w:w="57" w:type="dxa"/>
              <w:bottom w:w="57" w:type="dxa"/>
            </w:tcMar>
          </w:tcPr>
          <w:p w14:paraId="6FB63C64" w14:textId="77777777" w:rsidR="00031620" w:rsidRPr="004642B4" w:rsidRDefault="00031620" w:rsidP="00DF4A04">
            <w:pPr>
              <w:rPr>
                <w:rFonts w:cs="Arial"/>
                <w:noProof/>
                <w:color w:val="FFFFFF"/>
                <w:sz w:val="16"/>
                <w:szCs w:val="16"/>
              </w:rPr>
            </w:pPr>
            <w:r w:rsidRPr="004642B4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 xml:space="preserve">Other </w:t>
            </w:r>
            <w:r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UK/</w:t>
            </w:r>
            <w:r w:rsidRPr="004642B4">
              <w:rPr>
                <w:rFonts w:cs="Arial"/>
                <w:b/>
                <w:bCs/>
                <w:i/>
                <w:iCs/>
                <w:color w:val="FFFFFF"/>
                <w:sz w:val="22"/>
                <w:szCs w:val="20"/>
                <w:lang w:val="en-US"/>
              </w:rPr>
              <w:t>EU developments</w:t>
            </w:r>
          </w:p>
        </w:tc>
      </w:tr>
      <w:tr w:rsidR="00D2326F" w:rsidRPr="00296825" w14:paraId="454375F7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043FA95A" w14:textId="77777777" w:rsidR="00D2326F" w:rsidRPr="00296825" w:rsidRDefault="00D2326F" w:rsidP="00DF4A04">
            <w:pPr>
              <w:rPr>
                <w:rFonts w:cs="Arial"/>
                <w:color w:val="FF0000"/>
                <w:szCs w:val="19"/>
              </w:rPr>
            </w:pPr>
            <w:r w:rsidRPr="000452A8">
              <w:rPr>
                <w:rFonts w:cs="Arial"/>
                <w:color w:val="000000" w:themeColor="text1"/>
                <w:szCs w:val="19"/>
              </w:rPr>
              <w:t>Atezolizumab (</w:t>
            </w:r>
            <w:proofErr w:type="spellStart"/>
            <w:r w:rsidRPr="000452A8">
              <w:rPr>
                <w:rFonts w:cs="Arial"/>
                <w:i/>
                <w:iCs/>
                <w:color w:val="000000" w:themeColor="text1"/>
                <w:szCs w:val="19"/>
              </w:rPr>
              <w:t>Tecentriq</w:t>
            </w:r>
            <w:proofErr w:type="spellEnd"/>
            <w:r w:rsidRPr="000452A8">
              <w:rPr>
                <w:rFonts w:cs="Arial"/>
                <w:color w:val="000000" w:themeColor="text1"/>
                <w:szCs w:val="19"/>
              </w:rPr>
              <w:t>) 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1950A12A" w14:textId="77777777" w:rsidR="00D2326F" w:rsidRPr="00296825" w:rsidRDefault="00D2326F" w:rsidP="00DF4A04">
            <w:pPr>
              <w:tabs>
                <w:tab w:val="center" w:pos="3152"/>
              </w:tabs>
              <w:rPr>
                <w:rFonts w:cs="Arial"/>
                <w:color w:val="FF0000"/>
                <w:szCs w:val="19"/>
                <w:lang w:val="en-US"/>
              </w:rPr>
            </w:pPr>
            <w:r w:rsidRPr="00DD245D">
              <w:rPr>
                <w:rFonts w:cs="Arial"/>
                <w:color w:val="000000" w:themeColor="text1"/>
                <w:szCs w:val="19"/>
                <w:lang w:val="en-US"/>
              </w:rPr>
              <w:t xml:space="preserve">Stage II, IIIA or select IIIB non-small cell lung cancer in adults, neoadjuvant treatment with platinum-based chemotherapy and adjuvant monotherapy </w:t>
            </w:r>
            <w:r w:rsidRPr="00DD245D">
              <w:rPr>
                <w:rFonts w:cs="Arial"/>
                <w:color w:val="000000" w:themeColor="text1"/>
                <w:szCs w:val="19"/>
              </w:rPr>
              <w:t>– development discontinued (lack of efficacy)</w:t>
            </w:r>
          </w:p>
        </w:tc>
      </w:tr>
      <w:tr w:rsidR="00D2326F" w:rsidRPr="00DD245D" w14:paraId="372966A9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481156ED" w14:textId="77777777" w:rsidR="00D2326F" w:rsidRPr="000452A8" w:rsidRDefault="00D2326F" w:rsidP="00DF4A04">
            <w:pPr>
              <w:rPr>
                <w:rFonts w:cs="Arial"/>
                <w:color w:val="000000" w:themeColor="text1"/>
                <w:szCs w:val="19"/>
              </w:rPr>
            </w:pPr>
            <w:proofErr w:type="spellStart"/>
            <w:r w:rsidRPr="003D2E9B">
              <w:rPr>
                <w:rFonts w:cs="Arial"/>
                <w:color w:val="000000" w:themeColor="text1"/>
                <w:szCs w:val="19"/>
              </w:rPr>
              <w:t>Blarcamesine</w:t>
            </w:r>
            <w:proofErr w:type="spellEnd"/>
            <w:r w:rsidRPr="003D2E9B">
              <w:rPr>
                <w:rFonts w:cs="Arial"/>
                <w:color w:val="000000" w:themeColor="text1"/>
                <w:szCs w:val="19"/>
              </w:rPr>
              <w:t xml:space="preserve"> (</w:t>
            </w:r>
            <w:proofErr w:type="spellStart"/>
            <w:r w:rsidRPr="003D2E9B">
              <w:rPr>
                <w:rFonts w:cs="Arial"/>
                <w:i/>
                <w:iCs/>
                <w:color w:val="000000" w:themeColor="text1"/>
                <w:szCs w:val="19"/>
              </w:rPr>
              <w:t>Blarcamesine</w:t>
            </w:r>
            <w:proofErr w:type="spellEnd"/>
            <w:r w:rsidRPr="003D2E9B">
              <w:rPr>
                <w:rFonts w:cs="Arial"/>
                <w:i/>
                <w:iCs/>
                <w:color w:val="000000" w:themeColor="text1"/>
                <w:szCs w:val="19"/>
              </w:rPr>
              <w:t xml:space="preserve"> </w:t>
            </w:r>
            <w:proofErr w:type="spellStart"/>
            <w:r w:rsidRPr="003D2E9B">
              <w:rPr>
                <w:rFonts w:cs="Arial"/>
                <w:i/>
                <w:iCs/>
                <w:color w:val="000000" w:themeColor="text1"/>
                <w:szCs w:val="19"/>
              </w:rPr>
              <w:t>Anavex</w:t>
            </w:r>
            <w:proofErr w:type="spellEnd"/>
            <w:r w:rsidRPr="003D2E9B">
              <w:rPr>
                <w:rFonts w:cs="Arial"/>
                <w:color w:val="000000" w:themeColor="text1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5C40A5E7" w14:textId="77777777" w:rsidR="00D2326F" w:rsidRPr="00DD245D" w:rsidRDefault="00D2326F" w:rsidP="00DF4A04">
            <w:pPr>
              <w:tabs>
                <w:tab w:val="center" w:pos="3152"/>
              </w:tabs>
              <w:rPr>
                <w:rFonts w:cs="Arial"/>
                <w:color w:val="000000" w:themeColor="text1"/>
                <w:szCs w:val="19"/>
                <w:lang w:val="en-US"/>
              </w:rPr>
            </w:pPr>
            <w:r>
              <w:rPr>
                <w:rFonts w:cs="Arial"/>
                <w:color w:val="000000" w:themeColor="text1"/>
                <w:szCs w:val="19"/>
                <w:lang w:val="en-US"/>
              </w:rPr>
              <w:t>Tr</w:t>
            </w:r>
            <w:r w:rsidRPr="00145408">
              <w:rPr>
                <w:rFonts w:cs="Arial"/>
                <w:color w:val="000000" w:themeColor="text1"/>
                <w:szCs w:val="19"/>
                <w:lang w:val="en-US"/>
              </w:rPr>
              <w:t xml:space="preserve">eatment </w:t>
            </w:r>
            <w:r>
              <w:rPr>
                <w:rFonts w:cs="Arial"/>
                <w:color w:val="000000" w:themeColor="text1"/>
                <w:szCs w:val="19"/>
                <w:lang w:val="en-US"/>
              </w:rPr>
              <w:t xml:space="preserve">of early </w:t>
            </w:r>
            <w:r w:rsidRPr="00145408">
              <w:rPr>
                <w:rFonts w:cs="Arial"/>
                <w:color w:val="000000" w:themeColor="text1"/>
                <w:szCs w:val="19"/>
                <w:lang w:val="en-US"/>
              </w:rPr>
              <w:t>Alzheimer's disease (mild cognitive impairment and mild dementia), in adults</w:t>
            </w:r>
            <w:r>
              <w:rPr>
                <w:rFonts w:cs="Arial"/>
                <w:color w:val="000000" w:themeColor="text1"/>
                <w:szCs w:val="19"/>
                <w:lang w:val="en-US"/>
              </w:rPr>
              <w:t xml:space="preserve"> </w:t>
            </w:r>
            <w:r>
              <w:rPr>
                <w:rFonts w:cs="Arial"/>
                <w:szCs w:val="19"/>
                <w:lang w:val="en-US"/>
              </w:rPr>
              <w:t>– EU filing withdrawn</w:t>
            </w:r>
          </w:p>
        </w:tc>
      </w:tr>
      <w:tr w:rsidR="00D2326F" w14:paraId="576111B6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4A542FC5" w14:textId="77777777" w:rsidR="00D2326F" w:rsidRPr="003D2E9B" w:rsidRDefault="00D2326F" w:rsidP="00DF4A04">
            <w:pPr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szCs w:val="19"/>
              </w:rPr>
              <w:t>Semaglutide (</w:t>
            </w:r>
            <w:r w:rsidRPr="005735C0">
              <w:rPr>
                <w:rFonts w:cs="Arial"/>
                <w:i/>
                <w:iCs/>
                <w:szCs w:val="19"/>
              </w:rPr>
              <w:t>Ozempic</w:t>
            </w:r>
            <w:r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1AB97242" w14:textId="77777777" w:rsidR="00D2326F" w:rsidRDefault="00D2326F" w:rsidP="00DF4A04">
            <w:pPr>
              <w:tabs>
                <w:tab w:val="center" w:pos="3152"/>
              </w:tabs>
              <w:rPr>
                <w:rFonts w:cs="Arial"/>
                <w:color w:val="000000" w:themeColor="text1"/>
                <w:szCs w:val="19"/>
                <w:lang w:val="en-US"/>
              </w:rPr>
            </w:pPr>
            <w:r w:rsidRPr="00790CB1">
              <w:rPr>
                <w:rFonts w:cs="Arial"/>
                <w:szCs w:val="19"/>
                <w:lang w:val="en-US"/>
              </w:rPr>
              <w:tab/>
            </w:r>
            <w:r>
              <w:rPr>
                <w:rFonts w:cs="Arial"/>
                <w:szCs w:val="19"/>
                <w:lang w:val="en-US"/>
              </w:rPr>
              <w:t>S</w:t>
            </w:r>
            <w:r w:rsidRPr="00E51058">
              <w:rPr>
                <w:rFonts w:cs="Arial"/>
                <w:szCs w:val="19"/>
                <w:lang w:val="en-US"/>
              </w:rPr>
              <w:t xml:space="preserve">ymptomatic </w:t>
            </w:r>
            <w:r>
              <w:rPr>
                <w:rFonts w:cs="Arial"/>
                <w:szCs w:val="19"/>
                <w:lang w:val="en-US"/>
              </w:rPr>
              <w:t>pe</w:t>
            </w:r>
            <w:proofErr w:type="spellStart"/>
            <w:r w:rsidRPr="00E51058">
              <w:rPr>
                <w:rFonts w:cs="Arial"/>
                <w:szCs w:val="19"/>
              </w:rPr>
              <w:t>ripheral</w:t>
            </w:r>
            <w:proofErr w:type="spellEnd"/>
            <w:r w:rsidRPr="00E51058">
              <w:rPr>
                <w:rFonts w:cs="Arial"/>
                <w:szCs w:val="19"/>
              </w:rPr>
              <w:t xml:space="preserve"> arterial disease</w:t>
            </w:r>
            <w:r>
              <w:rPr>
                <w:rFonts w:cs="Arial"/>
                <w:szCs w:val="19"/>
              </w:rPr>
              <w:t xml:space="preserve"> (PAD) </w:t>
            </w:r>
            <w:r w:rsidRPr="00E51058">
              <w:rPr>
                <w:rFonts w:cs="Arial"/>
                <w:szCs w:val="19"/>
                <w:lang w:val="en-US"/>
              </w:rPr>
              <w:t xml:space="preserve">with intermittent claudication, in adults with type 2 diabetes </w:t>
            </w:r>
            <w:r>
              <w:rPr>
                <w:rFonts w:cs="Arial"/>
                <w:szCs w:val="19"/>
                <w:lang w:val="en-US"/>
              </w:rPr>
              <w:t xml:space="preserve">– MHRA updates SmPC with </w:t>
            </w:r>
            <w:r w:rsidRPr="00187444">
              <w:rPr>
                <w:rFonts w:cs="Arial"/>
                <w:szCs w:val="19"/>
                <w:lang w:val="en-US"/>
              </w:rPr>
              <w:t xml:space="preserve">data from the </w:t>
            </w:r>
            <w:r w:rsidRPr="00BF0E96">
              <w:rPr>
                <w:rFonts w:cs="Arial"/>
                <w:szCs w:val="19"/>
              </w:rPr>
              <w:t xml:space="preserve">STRIDE PAD functional outcomes </w:t>
            </w:r>
            <w:r w:rsidRPr="00187444">
              <w:rPr>
                <w:rFonts w:cs="Arial"/>
                <w:szCs w:val="19"/>
                <w:lang w:val="en-US"/>
              </w:rPr>
              <w:t>study but no change made to the licensed indication</w:t>
            </w:r>
          </w:p>
        </w:tc>
      </w:tr>
      <w:tr w:rsidR="00D2326F" w:rsidRPr="009F7994" w14:paraId="4280DEDE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41F154C0" w14:textId="77777777" w:rsidR="00D2326F" w:rsidRPr="009F7994" w:rsidRDefault="00D2326F" w:rsidP="00DF4A04">
            <w:pPr>
              <w:rPr>
                <w:rFonts w:cs="Arial"/>
                <w:color w:val="FF0000"/>
                <w:szCs w:val="19"/>
              </w:rPr>
            </w:pPr>
            <w:proofErr w:type="spellStart"/>
            <w:r w:rsidRPr="00787D67">
              <w:rPr>
                <w:rFonts w:cs="Arial"/>
                <w:szCs w:val="19"/>
              </w:rPr>
              <w:t>Tazemetostat</w:t>
            </w:r>
            <w:proofErr w:type="spellEnd"/>
            <w:r w:rsidRPr="00787D67">
              <w:rPr>
                <w:rFonts w:cs="Arial"/>
                <w:szCs w:val="19"/>
              </w:rPr>
              <w:t xml:space="preserve"> (</w:t>
            </w:r>
            <w:proofErr w:type="spellStart"/>
            <w:r w:rsidRPr="00787D67">
              <w:rPr>
                <w:rFonts w:cs="Arial"/>
                <w:i/>
                <w:iCs/>
                <w:szCs w:val="19"/>
              </w:rPr>
              <w:t>Tazverik</w:t>
            </w:r>
            <w:proofErr w:type="spellEnd"/>
            <w:r w:rsidRPr="00787D67">
              <w:rPr>
                <w:rFonts w:cs="Arial"/>
                <w:szCs w:val="19"/>
              </w:rPr>
              <w:t>)</w:t>
            </w:r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624D1739" w14:textId="77777777" w:rsidR="00D2326F" w:rsidRPr="009F7994" w:rsidRDefault="00D2326F" w:rsidP="00DF4A04">
            <w:pPr>
              <w:tabs>
                <w:tab w:val="center" w:pos="3152"/>
              </w:tabs>
              <w:rPr>
                <w:rFonts w:cs="Arial"/>
                <w:color w:val="FF0000"/>
                <w:szCs w:val="19"/>
                <w:lang w:val="en-US"/>
              </w:rPr>
            </w:pPr>
            <w:r w:rsidRPr="009C0B03">
              <w:rPr>
                <w:rFonts w:cs="Arial"/>
                <w:szCs w:val="19"/>
              </w:rPr>
              <w:t xml:space="preserve">Follicular lymphoma, </w:t>
            </w:r>
            <w:r w:rsidRPr="009C0B03">
              <w:rPr>
                <w:rFonts w:cs="Arial"/>
                <w:szCs w:val="19"/>
              </w:rPr>
              <w:tab/>
              <w:t>relapsed or refractory, EZH2-positive, in adults</w:t>
            </w:r>
            <w:r>
              <w:rPr>
                <w:rFonts w:cs="Arial"/>
                <w:szCs w:val="19"/>
              </w:rPr>
              <w:t xml:space="preserve">, </w:t>
            </w:r>
            <w:r w:rsidRPr="009C0B03">
              <w:rPr>
                <w:rFonts w:cs="Arial"/>
                <w:szCs w:val="19"/>
              </w:rPr>
              <w:t xml:space="preserve">second-line or later with lenalidomide and rituximab </w:t>
            </w:r>
            <w:r w:rsidRPr="00DD245D">
              <w:rPr>
                <w:rFonts w:cs="Arial"/>
                <w:color w:val="000000" w:themeColor="text1"/>
                <w:szCs w:val="19"/>
              </w:rPr>
              <w:t>– development discontinued</w:t>
            </w:r>
            <w:r w:rsidRPr="009C0B03">
              <w:rPr>
                <w:rFonts w:cs="Arial"/>
                <w:szCs w:val="19"/>
              </w:rPr>
              <w:t xml:space="preserve"> (safety concern)</w:t>
            </w:r>
          </w:p>
        </w:tc>
      </w:tr>
      <w:tr w:rsidR="00D2326F" w:rsidRPr="009F7994" w14:paraId="0B554E18" w14:textId="77777777" w:rsidTr="00DF4A04">
        <w:tc>
          <w:tcPr>
            <w:tcW w:w="1447" w:type="pct"/>
            <w:gridSpan w:val="2"/>
            <w:tcMar>
              <w:top w:w="57" w:type="dxa"/>
              <w:bottom w:w="57" w:type="dxa"/>
            </w:tcMar>
          </w:tcPr>
          <w:p w14:paraId="64F2B979" w14:textId="77777777" w:rsidR="00D2326F" w:rsidRPr="009F7994" w:rsidRDefault="00D2326F" w:rsidP="00DF4A04">
            <w:pPr>
              <w:rPr>
                <w:rFonts w:cs="Arial"/>
                <w:color w:val="FF0000"/>
                <w:szCs w:val="19"/>
              </w:rPr>
            </w:pPr>
            <w:proofErr w:type="spellStart"/>
            <w:r w:rsidRPr="00DB40CC">
              <w:rPr>
                <w:rFonts w:cs="Arial"/>
                <w:szCs w:val="19"/>
              </w:rPr>
              <w:t>Emugrobart</w:t>
            </w:r>
            <w:proofErr w:type="spellEnd"/>
          </w:p>
        </w:tc>
        <w:tc>
          <w:tcPr>
            <w:tcW w:w="3553" w:type="pct"/>
            <w:gridSpan w:val="2"/>
            <w:tcMar>
              <w:top w:w="57" w:type="dxa"/>
              <w:bottom w:w="57" w:type="dxa"/>
            </w:tcMar>
          </w:tcPr>
          <w:p w14:paraId="4EC23418" w14:textId="77777777" w:rsidR="00D2326F" w:rsidRPr="009F7994" w:rsidRDefault="00D2326F" w:rsidP="00DF4A04">
            <w:pPr>
              <w:tabs>
                <w:tab w:val="center" w:pos="3152"/>
              </w:tabs>
              <w:rPr>
                <w:rFonts w:cs="Arial"/>
                <w:color w:val="FF0000"/>
                <w:szCs w:val="19"/>
                <w:lang w:val="en-US"/>
              </w:rPr>
            </w:pPr>
            <w:r w:rsidRPr="00EA1A17">
              <w:rPr>
                <w:rFonts w:cs="Arial"/>
                <w:szCs w:val="19"/>
                <w:lang w:val="en-US"/>
              </w:rPr>
              <w:t xml:space="preserve">Spinal muscular atrophy (SMA) </w:t>
            </w:r>
            <w:r w:rsidRPr="00EA1A17">
              <w:rPr>
                <w:rFonts w:cs="Arial"/>
                <w:szCs w:val="19"/>
                <w:lang w:val="en-US"/>
              </w:rPr>
              <w:tab/>
              <w:t xml:space="preserve">5q, in adults and children aged 2 years and older, with </w:t>
            </w:r>
            <w:proofErr w:type="spellStart"/>
            <w:r w:rsidRPr="00EA1A17">
              <w:rPr>
                <w:rFonts w:cs="Arial"/>
                <w:szCs w:val="19"/>
                <w:lang w:val="en-US"/>
              </w:rPr>
              <w:t>risdiplam</w:t>
            </w:r>
            <w:proofErr w:type="spellEnd"/>
            <w:r w:rsidRPr="00EA1A17">
              <w:rPr>
                <w:rFonts w:cs="Arial"/>
                <w:szCs w:val="19"/>
                <w:lang w:val="en-US"/>
              </w:rPr>
              <w:t xml:space="preserve"> </w:t>
            </w:r>
            <w:r w:rsidRPr="00EA1A17">
              <w:rPr>
                <w:rFonts w:cs="Arial"/>
                <w:szCs w:val="19"/>
              </w:rPr>
              <w:t>– development discontinued (lack of efficacy)</w:t>
            </w:r>
          </w:p>
        </w:tc>
      </w:tr>
    </w:tbl>
    <w:p w14:paraId="02FD9996" w14:textId="77777777" w:rsidR="00D2326F" w:rsidRDefault="00D2326F" w:rsidP="003D16EF">
      <w:pPr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W w:w="5170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2859"/>
        <w:gridCol w:w="194"/>
        <w:gridCol w:w="7498"/>
      </w:tblGrid>
      <w:tr w:rsidR="00D2326F" w:rsidRPr="00D2326F" w14:paraId="07CC82C3" w14:textId="77777777" w:rsidTr="00DF4A04">
        <w:tc>
          <w:tcPr>
            <w:tcW w:w="1447" w:type="pct"/>
            <w:gridSpan w:val="2"/>
            <w:tcMar>
              <w:top w:w="0" w:type="dxa"/>
              <w:bottom w:w="0" w:type="dxa"/>
            </w:tcMar>
          </w:tcPr>
          <w:p w14:paraId="62619C9B" w14:textId="77777777" w:rsidR="00D2326F" w:rsidRPr="00D2326F" w:rsidRDefault="00D2326F" w:rsidP="00D2326F">
            <w:pPr>
              <w:rPr>
                <w:bCs/>
                <w:sz w:val="8"/>
                <w:szCs w:val="8"/>
              </w:rPr>
            </w:pPr>
          </w:p>
        </w:tc>
        <w:tc>
          <w:tcPr>
            <w:tcW w:w="3553" w:type="pct"/>
            <w:tcMar>
              <w:top w:w="0" w:type="dxa"/>
              <w:bottom w:w="0" w:type="dxa"/>
            </w:tcMar>
          </w:tcPr>
          <w:p w14:paraId="55C1D31A" w14:textId="77777777" w:rsidR="00D2326F" w:rsidRPr="00D2326F" w:rsidRDefault="00D2326F" w:rsidP="00D2326F">
            <w:pPr>
              <w:rPr>
                <w:sz w:val="8"/>
                <w:szCs w:val="8"/>
                <w:lang w:val="en-US"/>
              </w:rPr>
            </w:pPr>
          </w:p>
        </w:tc>
      </w:tr>
      <w:tr w:rsidR="00D2326F" w:rsidRPr="00D2326F" w14:paraId="4C865014" w14:textId="77777777" w:rsidTr="00DF4A04">
        <w:tc>
          <w:tcPr>
            <w:tcW w:w="1355" w:type="pct"/>
            <w:shd w:val="clear" w:color="auto" w:fill="DAEEF3"/>
            <w:tcMar>
              <w:top w:w="0" w:type="dxa"/>
              <w:bottom w:w="0" w:type="dxa"/>
            </w:tcMar>
          </w:tcPr>
          <w:p w14:paraId="4BC11F0C" w14:textId="77777777" w:rsidR="00D2326F" w:rsidRPr="00D2326F" w:rsidRDefault="00D2326F" w:rsidP="00D2326F">
            <w:pPr>
              <w:rPr>
                <w:bCs/>
                <w:sz w:val="8"/>
                <w:szCs w:val="8"/>
              </w:rPr>
            </w:pPr>
          </w:p>
        </w:tc>
        <w:tc>
          <w:tcPr>
            <w:tcW w:w="3645" w:type="pct"/>
            <w:gridSpan w:val="2"/>
            <w:shd w:val="clear" w:color="auto" w:fill="DAEEF3"/>
            <w:tcMar>
              <w:top w:w="0" w:type="dxa"/>
              <w:bottom w:w="0" w:type="dxa"/>
            </w:tcMar>
          </w:tcPr>
          <w:p w14:paraId="4AD0EFA4" w14:textId="77777777" w:rsidR="00D2326F" w:rsidRPr="00D2326F" w:rsidRDefault="00D2326F" w:rsidP="00D2326F">
            <w:pPr>
              <w:rPr>
                <w:sz w:val="8"/>
                <w:szCs w:val="8"/>
                <w:lang w:val="en-US"/>
              </w:rPr>
            </w:pPr>
          </w:p>
        </w:tc>
      </w:tr>
    </w:tbl>
    <w:p w14:paraId="57BADF83" w14:textId="77777777" w:rsidR="00D2326F" w:rsidRPr="00D2326F" w:rsidRDefault="00D2326F" w:rsidP="00D2326F">
      <w:pPr>
        <w:rPr>
          <w:sz w:val="8"/>
          <w:szCs w:val="8"/>
        </w:rPr>
      </w:pPr>
    </w:p>
    <w:p w14:paraId="371D9309" w14:textId="77777777" w:rsidR="00D2326F" w:rsidRPr="00D2326F" w:rsidRDefault="00D2326F" w:rsidP="00D2326F">
      <w:pPr>
        <w:rPr>
          <w:sz w:val="8"/>
          <w:szCs w:val="8"/>
        </w:rPr>
      </w:pPr>
    </w:p>
    <w:p w14:paraId="049E9012" w14:textId="77777777" w:rsidR="00D2326F" w:rsidRPr="00D2326F" w:rsidRDefault="00D2326F" w:rsidP="00D2326F">
      <w:pPr>
        <w:rPr>
          <w:sz w:val="8"/>
          <w:szCs w:val="8"/>
        </w:rPr>
      </w:pPr>
    </w:p>
    <w:p w14:paraId="5209C72C" w14:textId="77777777" w:rsidR="00D2326F" w:rsidRPr="00D2326F" w:rsidRDefault="00D2326F" w:rsidP="00D2326F">
      <w:pPr>
        <w:rPr>
          <w:sz w:val="8"/>
          <w:szCs w:val="8"/>
        </w:rPr>
      </w:pPr>
    </w:p>
    <w:p w14:paraId="58D733C0" w14:textId="56E0A3ED" w:rsidR="006825BB" w:rsidRPr="008949EF" w:rsidRDefault="00D2326F" w:rsidP="003D16EF">
      <w:pPr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sectPr w:rsidR="006825BB" w:rsidRPr="008949EF" w:rsidSect="00F566AB">
      <w:headerReference w:type="even" r:id="rId18"/>
      <w:headerReference w:type="default" r:id="rId19"/>
      <w:footerReference w:type="default" r:id="rId20"/>
      <w:headerReference w:type="first" r:id="rId21"/>
      <w:type w:val="evenPage"/>
      <w:pgSz w:w="11906" w:h="16838" w:code="9"/>
      <w:pgMar w:top="1021" w:right="851" w:bottom="102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BA81" w14:textId="77777777" w:rsidR="00D85915" w:rsidRDefault="00D85915">
      <w:r>
        <w:separator/>
      </w:r>
    </w:p>
  </w:endnote>
  <w:endnote w:type="continuationSeparator" w:id="0">
    <w:p w14:paraId="3F5AE457" w14:textId="77777777" w:rsidR="00D85915" w:rsidRDefault="00D8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0" w:type="dxa"/>
      <w:tblInd w:w="-3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10980"/>
    </w:tblGrid>
    <w:tr w:rsidR="000D44DB" w:rsidRPr="00710A1C" w14:paraId="003F0C08" w14:textId="77777777">
      <w:tc>
        <w:tcPr>
          <w:tcW w:w="10980" w:type="dxa"/>
          <w:shd w:val="clear" w:color="auto" w:fill="3366FF"/>
          <w:tcMar>
            <w:top w:w="28" w:type="dxa"/>
            <w:left w:w="57" w:type="dxa"/>
            <w:bottom w:w="28" w:type="dxa"/>
            <w:right w:w="57" w:type="dxa"/>
          </w:tcMar>
        </w:tcPr>
        <w:p w14:paraId="46D8A502" w14:textId="77777777" w:rsidR="000D44DB" w:rsidRPr="00710A1C" w:rsidRDefault="000D44DB" w:rsidP="00710A1C">
          <w:pPr>
            <w:spacing w:before="60" w:after="60"/>
            <w:ind w:right="57"/>
            <w:rPr>
              <w:rFonts w:ascii="Verdana" w:hAnsi="Verdana" w:cs="Arial"/>
              <w:b/>
              <w:bCs/>
              <w:color w:val="000080"/>
              <w:sz w:val="15"/>
              <w:szCs w:val="15"/>
              <w:lang w:val="en-US"/>
            </w:rPr>
          </w:pPr>
          <w:r w:rsidRPr="00710A1C">
            <w:rPr>
              <w:rFonts w:ascii="Verdana" w:hAnsi="Verdana" w:cs="Arial"/>
              <w:b/>
              <w:bCs/>
              <w:color w:val="FFFFFF"/>
              <w:sz w:val="15"/>
              <w:szCs w:val="15"/>
              <w:lang w:val="en-US"/>
            </w:rPr>
            <w:t xml:space="preserve">If you do not wish to continue receiving NDO </w:t>
          </w:r>
          <w:r w:rsidRPr="00710A1C">
            <w:rPr>
              <w:rFonts w:ascii="Verdana" w:hAnsi="Verdana" w:cs="Arial"/>
              <w:b/>
              <w:bCs/>
              <w:i/>
              <w:color w:val="FFFFFF"/>
              <w:sz w:val="15"/>
              <w:szCs w:val="15"/>
              <w:lang w:val="en-US"/>
            </w:rPr>
            <w:t>Newsletter</w:t>
          </w:r>
          <w:r w:rsidRPr="00710A1C">
            <w:rPr>
              <w:rFonts w:ascii="Verdana" w:hAnsi="Verdana" w:cs="Arial"/>
              <w:b/>
              <w:bCs/>
              <w:color w:val="FFFFFF"/>
              <w:sz w:val="15"/>
              <w:szCs w:val="15"/>
              <w:lang w:val="en-US"/>
            </w:rPr>
            <w:t xml:space="preserve"> log in and update your profile at </w:t>
          </w:r>
          <w:hyperlink r:id="rId1" w:history="1">
            <w:r w:rsidRPr="00710A1C">
              <w:rPr>
                <w:rStyle w:val="Hyperlink"/>
                <w:rFonts w:cs="Arial"/>
                <w:b/>
                <w:bCs/>
                <w:color w:val="FFFFFF"/>
                <w:sz w:val="15"/>
                <w:szCs w:val="15"/>
                <w:lang w:val="en-US"/>
              </w:rPr>
              <w:t>www.ukmi.nhs.uk/ndo</w:t>
            </w:r>
          </w:hyperlink>
        </w:p>
      </w:tc>
    </w:tr>
    <w:tr w:rsidR="000D44DB" w14:paraId="2F976790" w14:textId="77777777">
      <w:tc>
        <w:tcPr>
          <w:tcW w:w="10980" w:type="dxa"/>
          <w:tcMar>
            <w:left w:w="28" w:type="dxa"/>
            <w:right w:w="28" w:type="dxa"/>
          </w:tcMar>
        </w:tcPr>
        <w:p w14:paraId="0DBD3B44" w14:textId="77777777" w:rsidR="000D44DB" w:rsidRPr="00710A1C" w:rsidRDefault="000D44DB" w:rsidP="00710A1C">
          <w:pPr>
            <w:spacing w:before="120" w:after="60"/>
            <w:ind w:left="57" w:right="57"/>
            <w:rPr>
              <w:sz w:val="15"/>
              <w:szCs w:val="15"/>
            </w:rPr>
          </w:pPr>
          <w:r w:rsidRPr="00710A1C">
            <w:rPr>
              <w:rFonts w:ascii="Verdana" w:hAnsi="Verdana" w:cs="Arial"/>
              <w:b/>
              <w:bCs/>
              <w:color w:val="333399"/>
              <w:sz w:val="15"/>
              <w:szCs w:val="15"/>
              <w:lang w:val="en-US"/>
            </w:rPr>
            <w:t>In September 2011</w:t>
          </w:r>
          <w:r w:rsidRPr="00710A1C">
            <w:rPr>
              <w:rFonts w:ascii="Verdana" w:hAnsi="Verdana" w:cs="Arial"/>
              <w:bCs/>
              <w:color w:val="000000"/>
              <w:sz w:val="15"/>
              <w:szCs w:val="15"/>
              <w:lang w:val="en-US"/>
            </w:rPr>
            <w:t xml:space="preserve"> </w:t>
          </w:r>
          <w:r w:rsidRPr="00710A1C">
            <w:rPr>
              <w:rFonts w:ascii="Verdana" w:hAnsi="Verdana" w:cs="Arial"/>
              <w:b/>
              <w:bCs/>
              <w:color w:val="000000"/>
              <w:sz w:val="15"/>
              <w:szCs w:val="15"/>
              <w:lang w:val="en-US"/>
            </w:rPr>
            <w:t>| 229 monographs updated | 14 evidence-based evaluations added | 2,200 registered NDO users</w:t>
          </w:r>
        </w:p>
      </w:tc>
    </w:tr>
  </w:tbl>
  <w:p w14:paraId="5E6CC892" w14:textId="77777777" w:rsidR="000D44DB" w:rsidRDefault="000D4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227" w:type="dxa"/>
      <w:tblLook w:val="01E0" w:firstRow="1" w:lastRow="1" w:firstColumn="1" w:lastColumn="1" w:noHBand="0" w:noVBand="0"/>
    </w:tblPr>
    <w:tblGrid>
      <w:gridCol w:w="10774"/>
    </w:tblGrid>
    <w:tr w:rsidR="001F4283" w:rsidRPr="00862949" w14:paraId="28F63AF9" w14:textId="77777777" w:rsidTr="001734BF">
      <w:trPr>
        <w:trHeight w:val="262"/>
      </w:trPr>
      <w:tc>
        <w:tcPr>
          <w:tcW w:w="10774" w:type="dxa"/>
          <w:shd w:val="clear" w:color="auto" w:fill="0070C0"/>
          <w:tcMar>
            <w:top w:w="28" w:type="dxa"/>
            <w:left w:w="57" w:type="dxa"/>
            <w:bottom w:w="28" w:type="dxa"/>
            <w:right w:w="57" w:type="dxa"/>
          </w:tcMar>
        </w:tcPr>
        <w:p w14:paraId="4E5B8B27" w14:textId="77777777" w:rsidR="001F4283" w:rsidRPr="00114EBA" w:rsidRDefault="001F4283" w:rsidP="001F4283">
          <w:pPr>
            <w:spacing w:before="60" w:after="60"/>
            <w:ind w:right="57"/>
            <w:jc w:val="center"/>
            <w:rPr>
              <w:rFonts w:cs="Arial"/>
              <w:bCs/>
              <w:color w:val="F2F2F2"/>
              <w:sz w:val="17"/>
              <w:szCs w:val="17"/>
              <w:lang w:val="en-US"/>
            </w:rPr>
          </w:pPr>
          <w:r w:rsidRPr="00114EBA">
            <w:rPr>
              <w:rFonts w:cs="Arial"/>
              <w:b/>
              <w:bCs/>
              <w:color w:val="FFFFFF"/>
              <w:sz w:val="17"/>
              <w:szCs w:val="17"/>
              <w:lang w:val="en-US"/>
            </w:rPr>
            <w:t xml:space="preserve">This is </w:t>
          </w:r>
          <w:proofErr w:type="gramStart"/>
          <w:r w:rsidRPr="00114EBA">
            <w:rPr>
              <w:rFonts w:cs="Arial"/>
              <w:b/>
              <w:bCs/>
              <w:color w:val="FFFFFF"/>
              <w:sz w:val="17"/>
              <w:szCs w:val="17"/>
              <w:lang w:val="en-US"/>
            </w:rPr>
            <w:t>a</w:t>
          </w:r>
          <w:proofErr w:type="gramEnd"/>
          <w:r w:rsidRPr="00114EBA">
            <w:rPr>
              <w:rFonts w:cs="Arial"/>
              <w:b/>
              <w:bCs/>
              <w:color w:val="FFFFFF"/>
              <w:sz w:val="17"/>
              <w:szCs w:val="17"/>
              <w:lang w:val="en-US"/>
            </w:rPr>
            <w:t xml:space="preserve"> NHS document not to be used for commercial purposes</w:t>
          </w:r>
        </w:p>
      </w:tc>
    </w:tr>
    <w:tr w:rsidR="001F4283" w:rsidRPr="00862949" w14:paraId="2C916B9C" w14:textId="77777777" w:rsidTr="001734BF">
      <w:trPr>
        <w:trHeight w:val="331"/>
      </w:trPr>
      <w:tc>
        <w:tcPr>
          <w:tcW w:w="10774" w:type="dxa"/>
          <w:shd w:val="clear" w:color="auto" w:fill="DAEEF3"/>
          <w:tcMar>
            <w:left w:w="28" w:type="dxa"/>
            <w:right w:w="28" w:type="dxa"/>
          </w:tcMar>
        </w:tcPr>
        <w:p w14:paraId="09413A34" w14:textId="77777777" w:rsidR="001F4283" w:rsidRDefault="001F4283" w:rsidP="001F4283">
          <w:pPr>
            <w:spacing w:before="60" w:after="60"/>
            <w:ind w:right="57"/>
            <w:rPr>
              <w:rFonts w:cs="Arial"/>
              <w:bCs/>
              <w:color w:val="000000"/>
              <w:sz w:val="17"/>
              <w:szCs w:val="17"/>
              <w:lang w:val="en-US"/>
            </w:rPr>
          </w:pPr>
          <w:r w:rsidRPr="00562CE4">
            <w:rPr>
              <w:rFonts w:cs="Arial"/>
              <w:bCs/>
              <w:color w:val="008232"/>
              <w:sz w:val="17"/>
              <w:szCs w:val="17"/>
              <w:lang w:val="en-US"/>
            </w:rPr>
            <w:t xml:space="preserve">New Medicines </w:t>
          </w:r>
          <w:r w:rsidRPr="00114EBA">
            <w:rPr>
              <w:rStyle w:val="Hyperlink"/>
              <w:rFonts w:ascii="Arial" w:hAnsi="Arial"/>
              <w:i/>
              <w:color w:val="0070C0"/>
              <w:sz w:val="17"/>
              <w:szCs w:val="17"/>
              <w:u w:val="none"/>
            </w:rPr>
            <w:t>News</w:t>
          </w:r>
          <w:r w:rsidRPr="00114EBA">
            <w:rPr>
              <w:rFonts w:cs="Arial"/>
              <w:bCs/>
              <w:color w:val="F2F2F2"/>
              <w:sz w:val="17"/>
              <w:szCs w:val="17"/>
              <w:lang w:val="en-US"/>
            </w:rPr>
            <w:t xml:space="preserve"> 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is one of several horizon scanning resources produced by </w:t>
          </w:r>
          <w:r>
            <w:rPr>
              <w:rFonts w:cs="Arial"/>
              <w:bCs/>
              <w:color w:val="000000"/>
              <w:sz w:val="17"/>
              <w:szCs w:val="17"/>
              <w:lang w:val="en-US"/>
            </w:rPr>
            <w:t>the Specialist Pharmacy Service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to support managed introduction of new medicines into the NHS,</w:t>
          </w:r>
          <w:r w:rsidRPr="00114EBA">
            <w:rPr>
              <w:color w:val="000000"/>
              <w:sz w:val="17"/>
              <w:szCs w:val="17"/>
            </w:rPr>
            <w:t xml:space="preserve"> 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to help </w:t>
          </w:r>
          <w:proofErr w:type="spellStart"/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organisations</w:t>
          </w:r>
          <w:proofErr w:type="spellEnd"/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develop medicines management policies and to inform prescribing decisions when a product has been launched. </w:t>
          </w:r>
        </w:p>
        <w:p w14:paraId="266284E7" w14:textId="77777777" w:rsidR="001F4283" w:rsidRPr="00114EBA" w:rsidRDefault="001F4283" w:rsidP="001F4283">
          <w:pPr>
            <w:spacing w:before="60" w:after="60"/>
            <w:ind w:right="57"/>
            <w:jc w:val="right"/>
            <w:rPr>
              <w:rFonts w:cs="Arial"/>
              <w:bCs/>
              <w:color w:val="000000"/>
              <w:sz w:val="17"/>
              <w:szCs w:val="17"/>
              <w:lang w:val="en-US"/>
            </w:rPr>
          </w:pP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For more information</w:t>
          </w:r>
          <w:r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or 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if you have a question about this newsletter, contact</w:t>
          </w:r>
          <w:r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</w:t>
          </w:r>
          <w:hyperlink r:id="rId1" w:history="1">
            <w:r w:rsidRPr="00114EBA">
              <w:rPr>
                <w:rStyle w:val="Hyperlink"/>
                <w:rFonts w:ascii="Arial" w:hAnsi="Arial" w:cs="Arial"/>
                <w:bCs/>
                <w:sz w:val="17"/>
                <w:szCs w:val="17"/>
                <w:lang w:val="en-US"/>
              </w:rPr>
              <w:t>nwmedinfo@nhs.net</w:t>
            </w:r>
          </w:hyperlink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.</w:t>
          </w:r>
        </w:p>
      </w:tc>
    </w:tr>
  </w:tbl>
  <w:p w14:paraId="61DA0368" w14:textId="77777777" w:rsidR="000D44DB" w:rsidRDefault="000D4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227" w:type="dxa"/>
      <w:tblLook w:val="01E0" w:firstRow="1" w:lastRow="1" w:firstColumn="1" w:lastColumn="1" w:noHBand="0" w:noVBand="0"/>
    </w:tblPr>
    <w:tblGrid>
      <w:gridCol w:w="10774"/>
    </w:tblGrid>
    <w:tr w:rsidR="001F4283" w:rsidRPr="00862949" w14:paraId="5174FE44" w14:textId="77777777" w:rsidTr="001734BF">
      <w:trPr>
        <w:trHeight w:val="262"/>
      </w:trPr>
      <w:tc>
        <w:tcPr>
          <w:tcW w:w="10774" w:type="dxa"/>
          <w:shd w:val="clear" w:color="auto" w:fill="0070C0"/>
          <w:tcMar>
            <w:top w:w="28" w:type="dxa"/>
            <w:left w:w="57" w:type="dxa"/>
            <w:bottom w:w="28" w:type="dxa"/>
            <w:right w:w="57" w:type="dxa"/>
          </w:tcMar>
        </w:tcPr>
        <w:p w14:paraId="1A0F2116" w14:textId="77777777" w:rsidR="001F4283" w:rsidRPr="00114EBA" w:rsidRDefault="001F4283" w:rsidP="001F4283">
          <w:pPr>
            <w:spacing w:before="60" w:after="60"/>
            <w:ind w:right="57"/>
            <w:jc w:val="center"/>
            <w:rPr>
              <w:rFonts w:cs="Arial"/>
              <w:bCs/>
              <w:color w:val="F2F2F2"/>
              <w:sz w:val="17"/>
              <w:szCs w:val="17"/>
              <w:lang w:val="en-US"/>
            </w:rPr>
          </w:pPr>
          <w:r w:rsidRPr="00114EBA">
            <w:rPr>
              <w:rFonts w:cs="Arial"/>
              <w:b/>
              <w:bCs/>
              <w:color w:val="FFFFFF"/>
              <w:sz w:val="17"/>
              <w:szCs w:val="17"/>
              <w:lang w:val="en-US"/>
            </w:rPr>
            <w:t xml:space="preserve">This is </w:t>
          </w:r>
          <w:proofErr w:type="gramStart"/>
          <w:r w:rsidRPr="00114EBA">
            <w:rPr>
              <w:rFonts w:cs="Arial"/>
              <w:b/>
              <w:bCs/>
              <w:color w:val="FFFFFF"/>
              <w:sz w:val="17"/>
              <w:szCs w:val="17"/>
              <w:lang w:val="en-US"/>
            </w:rPr>
            <w:t>a</w:t>
          </w:r>
          <w:proofErr w:type="gramEnd"/>
          <w:r w:rsidRPr="00114EBA">
            <w:rPr>
              <w:rFonts w:cs="Arial"/>
              <w:b/>
              <w:bCs/>
              <w:color w:val="FFFFFF"/>
              <w:sz w:val="17"/>
              <w:szCs w:val="17"/>
              <w:lang w:val="en-US"/>
            </w:rPr>
            <w:t xml:space="preserve"> NHS document not to be used for commercial purposes</w:t>
          </w:r>
        </w:p>
      </w:tc>
    </w:tr>
    <w:tr w:rsidR="001F4283" w:rsidRPr="00862949" w14:paraId="77FA7D17" w14:textId="77777777" w:rsidTr="001734BF">
      <w:trPr>
        <w:trHeight w:val="331"/>
      </w:trPr>
      <w:tc>
        <w:tcPr>
          <w:tcW w:w="10774" w:type="dxa"/>
          <w:shd w:val="clear" w:color="auto" w:fill="DAEEF3"/>
          <w:tcMar>
            <w:left w:w="28" w:type="dxa"/>
            <w:right w:w="28" w:type="dxa"/>
          </w:tcMar>
        </w:tcPr>
        <w:p w14:paraId="104B61AB" w14:textId="77777777" w:rsidR="001F4283" w:rsidRDefault="001F4283" w:rsidP="001F4283">
          <w:pPr>
            <w:spacing w:before="60" w:after="60"/>
            <w:ind w:right="57"/>
            <w:rPr>
              <w:rFonts w:cs="Arial"/>
              <w:bCs/>
              <w:color w:val="000000"/>
              <w:sz w:val="17"/>
              <w:szCs w:val="17"/>
              <w:lang w:val="en-US"/>
            </w:rPr>
          </w:pPr>
          <w:r w:rsidRPr="00562CE4">
            <w:rPr>
              <w:rFonts w:cs="Arial"/>
              <w:bCs/>
              <w:color w:val="008232"/>
              <w:sz w:val="17"/>
              <w:szCs w:val="17"/>
              <w:lang w:val="en-US"/>
            </w:rPr>
            <w:t xml:space="preserve">New Medicines </w:t>
          </w:r>
          <w:r w:rsidRPr="00114EBA">
            <w:rPr>
              <w:rStyle w:val="Hyperlink"/>
              <w:rFonts w:ascii="Arial" w:hAnsi="Arial"/>
              <w:i/>
              <w:color w:val="0070C0"/>
              <w:sz w:val="17"/>
              <w:szCs w:val="17"/>
              <w:u w:val="none"/>
            </w:rPr>
            <w:t>News</w:t>
          </w:r>
          <w:r w:rsidRPr="00114EBA">
            <w:rPr>
              <w:rFonts w:cs="Arial"/>
              <w:bCs/>
              <w:color w:val="F2F2F2"/>
              <w:sz w:val="17"/>
              <w:szCs w:val="17"/>
              <w:lang w:val="en-US"/>
            </w:rPr>
            <w:t xml:space="preserve"> 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is one of several horizon scanning resources produced by </w:t>
          </w:r>
          <w:r>
            <w:rPr>
              <w:rFonts w:cs="Arial"/>
              <w:bCs/>
              <w:color w:val="000000"/>
              <w:sz w:val="17"/>
              <w:szCs w:val="17"/>
              <w:lang w:val="en-US"/>
            </w:rPr>
            <w:t>the Specialist Pharmacy Service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to support managed introduction of new medicines into the NHS,</w:t>
          </w:r>
          <w:r w:rsidRPr="00114EBA">
            <w:rPr>
              <w:color w:val="000000"/>
              <w:sz w:val="17"/>
              <w:szCs w:val="17"/>
            </w:rPr>
            <w:t xml:space="preserve"> 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to help </w:t>
          </w:r>
          <w:proofErr w:type="spellStart"/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organisations</w:t>
          </w:r>
          <w:proofErr w:type="spellEnd"/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develop medicines management policies and to inform prescribing decisions when a product has been launched. </w:t>
          </w:r>
        </w:p>
        <w:p w14:paraId="36EE8895" w14:textId="77777777" w:rsidR="001F4283" w:rsidRPr="00114EBA" w:rsidRDefault="001F4283" w:rsidP="001F4283">
          <w:pPr>
            <w:spacing w:before="60" w:after="60"/>
            <w:ind w:right="57"/>
            <w:jc w:val="right"/>
            <w:rPr>
              <w:rFonts w:cs="Arial"/>
              <w:bCs/>
              <w:color w:val="000000"/>
              <w:sz w:val="17"/>
              <w:szCs w:val="17"/>
              <w:lang w:val="en-US"/>
            </w:rPr>
          </w:pP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For more information</w:t>
          </w:r>
          <w:r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or </w:t>
          </w:r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if you have a question about this newsletter, contact</w:t>
          </w:r>
          <w:r>
            <w:rPr>
              <w:rFonts w:cs="Arial"/>
              <w:bCs/>
              <w:color w:val="000000"/>
              <w:sz w:val="17"/>
              <w:szCs w:val="17"/>
              <w:lang w:val="en-US"/>
            </w:rPr>
            <w:t xml:space="preserve"> </w:t>
          </w:r>
          <w:hyperlink r:id="rId1" w:history="1">
            <w:r w:rsidRPr="00114EBA">
              <w:rPr>
                <w:rStyle w:val="Hyperlink"/>
                <w:rFonts w:ascii="Arial" w:hAnsi="Arial" w:cs="Arial"/>
                <w:bCs/>
                <w:sz w:val="17"/>
                <w:szCs w:val="17"/>
                <w:lang w:val="en-US"/>
              </w:rPr>
              <w:t>nwmedinfo@nhs.net</w:t>
            </w:r>
          </w:hyperlink>
          <w:r w:rsidRPr="00114EBA">
            <w:rPr>
              <w:rFonts w:cs="Arial"/>
              <w:bCs/>
              <w:color w:val="000000"/>
              <w:sz w:val="17"/>
              <w:szCs w:val="17"/>
              <w:lang w:val="en-US"/>
            </w:rPr>
            <w:t>.</w:t>
          </w:r>
        </w:p>
      </w:tc>
    </w:tr>
  </w:tbl>
  <w:p w14:paraId="5F9DC7B3" w14:textId="77777777" w:rsidR="000D44DB" w:rsidRPr="00862949" w:rsidRDefault="000D44DB" w:rsidP="00F95449">
    <w:pPr>
      <w:spacing w:before="60" w:after="60"/>
      <w:ind w:left="57" w:right="57"/>
      <w:jc w:val="center"/>
      <w:rPr>
        <w:rFonts w:cs="Arial"/>
        <w:bCs/>
        <w:color w:val="333399"/>
        <w:sz w:val="8"/>
        <w:szCs w:val="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F32E" w14:textId="77777777" w:rsidR="00D85915" w:rsidRDefault="00D85915">
      <w:r>
        <w:separator/>
      </w:r>
    </w:p>
  </w:footnote>
  <w:footnote w:type="continuationSeparator" w:id="0">
    <w:p w14:paraId="7284DCC7" w14:textId="77777777" w:rsidR="00D85915" w:rsidRDefault="00D8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EAB8" w14:textId="77777777" w:rsidR="000D44DB" w:rsidRPr="00CD021E" w:rsidRDefault="008203CE" w:rsidP="009A09B7">
    <w:pPr>
      <w:pStyle w:val="Header"/>
      <w:rPr>
        <w:rFonts w:ascii="Verdana" w:hAnsi="Verdana" w:cs="Arial"/>
        <w:b/>
        <w:bCs/>
        <w:i/>
        <w:color w:val="33CCCC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pict w14:anchorId="0CE61F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14595" o:spid="_x0000_s1026" type="#_x0000_t136" style="position:absolute;margin-left:0;margin-top:0;width:513.8pt;height:205.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CD021E">
      <w:rPr>
        <w:noProof/>
      </w:rPr>
      <w:drawing>
        <wp:anchor distT="0" distB="0" distL="114300" distR="114300" simplePos="0" relativeHeight="251658242" behindDoc="1" locked="0" layoutInCell="1" allowOverlap="1" wp14:anchorId="73463AB0" wp14:editId="68466720">
          <wp:simplePos x="0" y="0"/>
          <wp:positionH relativeFrom="column">
            <wp:posOffset>5715000</wp:posOffset>
          </wp:positionH>
          <wp:positionV relativeFrom="paragraph">
            <wp:posOffset>10795</wp:posOffset>
          </wp:positionV>
          <wp:extent cx="816610" cy="463550"/>
          <wp:effectExtent l="0" t="0" r="2540" b="0"/>
          <wp:wrapTight wrapText="bothSides">
            <wp:wrapPolygon edited="0">
              <wp:start x="0" y="0"/>
              <wp:lineTo x="0" y="20416"/>
              <wp:lineTo x="21163" y="20416"/>
              <wp:lineTo x="21163" y="0"/>
              <wp:lineTo x="0" y="0"/>
            </wp:wrapPolygon>
          </wp:wrapTight>
          <wp:docPr id="1372052531" name="Picture 1372052531" descr="UKMi logo 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KMi logo 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21E">
      <w:rPr>
        <w:noProof/>
      </w:rPr>
      <w:drawing>
        <wp:anchor distT="0" distB="0" distL="114300" distR="114300" simplePos="0" relativeHeight="251658241" behindDoc="1" locked="0" layoutInCell="1" allowOverlap="1" wp14:anchorId="6FEF13C2" wp14:editId="41D5F136">
          <wp:simplePos x="0" y="0"/>
          <wp:positionH relativeFrom="column">
            <wp:posOffset>5193665</wp:posOffset>
          </wp:positionH>
          <wp:positionV relativeFrom="paragraph">
            <wp:posOffset>116205</wp:posOffset>
          </wp:positionV>
          <wp:extent cx="533400" cy="219075"/>
          <wp:effectExtent l="0" t="0" r="0" b="9525"/>
          <wp:wrapTight wrapText="bothSides">
            <wp:wrapPolygon edited="0">
              <wp:start x="0" y="0"/>
              <wp:lineTo x="0" y="20661"/>
              <wp:lineTo x="20829" y="20661"/>
              <wp:lineTo x="20829" y="0"/>
              <wp:lineTo x="0" y="0"/>
            </wp:wrapPolygon>
          </wp:wrapTight>
          <wp:docPr id="2119660951" name="Picture 2119660951" descr="NHS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 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21E">
      <w:rPr>
        <w:noProof/>
      </w:rPr>
      <w:drawing>
        <wp:inline distT="0" distB="0" distL="0" distR="0" wp14:anchorId="479388A5" wp14:editId="01EE0E97">
          <wp:extent cx="1075055" cy="467995"/>
          <wp:effectExtent l="0" t="0" r="0" b="8255"/>
          <wp:docPr id="198913519" name="Picture 198913519" descr="N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DO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44DB" w:rsidRPr="00CD021E">
      <w:rPr>
        <w:rFonts w:ascii="Verdana" w:hAnsi="Verdana" w:cs="Arial"/>
        <w:b/>
        <w:bCs/>
        <w:i/>
        <w:color w:val="33CCCC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Newsletter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9147" w14:textId="77777777" w:rsidR="000D44DB" w:rsidRPr="00CD021E" w:rsidRDefault="00A75BCB" w:rsidP="00BA65A9">
    <w:pPr>
      <w:pStyle w:val="Header"/>
      <w:ind w:left="-142"/>
      <w:rPr>
        <w:rFonts w:cs="Arial"/>
        <w:b/>
        <w:bCs/>
        <w:color w:val="244061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color w:val="00B050"/>
        <w:sz w:val="32"/>
        <w:szCs w:val="32"/>
      </w:rPr>
      <w:drawing>
        <wp:anchor distT="0" distB="0" distL="114300" distR="114300" simplePos="0" relativeHeight="251658240" behindDoc="0" locked="0" layoutInCell="1" allowOverlap="1" wp14:anchorId="24B278DF" wp14:editId="6DD3B776">
          <wp:simplePos x="0" y="0"/>
          <wp:positionH relativeFrom="column">
            <wp:posOffset>6073775</wp:posOffset>
          </wp:positionH>
          <wp:positionV relativeFrom="paragraph">
            <wp:posOffset>-21590</wp:posOffset>
          </wp:positionV>
          <wp:extent cx="521335" cy="213995"/>
          <wp:effectExtent l="0" t="0" r="0" b="0"/>
          <wp:wrapNone/>
          <wp:docPr id="382675172" name="Picture 382675172" descr="NHS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HS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3CE">
      <w:rPr>
        <w:noProof/>
      </w:rPr>
      <w:pict w14:anchorId="6E3220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14596" o:spid="_x0000_s1027" type="#_x0000_t136" style="position:absolute;left:0;text-align:left;margin-left:0;margin-top:0;width:513.8pt;height:205.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4A375CD5" w14:textId="77777777" w:rsidR="000D44DB" w:rsidRPr="00CD021E" w:rsidRDefault="00CB5BC1" w:rsidP="00CB5BC1">
    <w:pPr>
      <w:pStyle w:val="Header"/>
      <w:tabs>
        <w:tab w:val="left" w:pos="7830"/>
      </w:tabs>
      <w:rPr>
        <w:rFonts w:cs="Arial"/>
        <w:b/>
        <w:bCs/>
        <w:i/>
        <w:color w:val="244061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62CE4">
      <w:rPr>
        <w:rFonts w:cs="Arial"/>
        <w:b/>
        <w:bCs/>
        <w:noProof/>
        <w:color w:val="008232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50" behindDoc="0" locked="0" layoutInCell="1" allowOverlap="1" wp14:anchorId="1411F70C" wp14:editId="103F42EE">
          <wp:simplePos x="0" y="0"/>
          <wp:positionH relativeFrom="column">
            <wp:posOffset>-146685</wp:posOffset>
          </wp:positionH>
          <wp:positionV relativeFrom="paragraph">
            <wp:posOffset>115570</wp:posOffset>
          </wp:positionV>
          <wp:extent cx="1079500" cy="344170"/>
          <wp:effectExtent l="0" t="0" r="6350" b="0"/>
          <wp:wrapSquare wrapText="bothSides"/>
          <wp:docPr id="7410078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4DB" w:rsidRPr="00562CE4">
      <w:rPr>
        <w:rFonts w:cs="Arial"/>
        <w:b/>
        <w:bCs/>
        <w:color w:val="008232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New Medicines</w:t>
    </w:r>
    <w:r w:rsidR="000D44DB" w:rsidRPr="00CB5BC1">
      <w:rPr>
        <w:rFonts w:cs="Arial"/>
        <w:b/>
        <w:bCs/>
        <w:i/>
        <w:color w:val="00A249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0D44DB" w:rsidRPr="00CD021E">
      <w:rPr>
        <w:rFonts w:cs="Arial"/>
        <w:b/>
        <w:bCs/>
        <w:i/>
        <w:color w:val="0070C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News</w:t>
    </w:r>
  </w:p>
  <w:tbl>
    <w:tblPr>
      <w:tblW w:w="1077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74"/>
    </w:tblGrid>
    <w:tr w:rsidR="000D44DB" w:rsidRPr="00CD021E" w14:paraId="6AC8A2AF" w14:textId="77777777" w:rsidTr="002772ED">
      <w:tc>
        <w:tcPr>
          <w:tcW w:w="10774" w:type="dxa"/>
          <w:tcBorders>
            <w:top w:val="nil"/>
            <w:left w:val="nil"/>
            <w:bottom w:val="nil"/>
            <w:right w:val="nil"/>
          </w:tcBorders>
          <w:shd w:val="clear" w:color="auto" w:fill="DAEEF3"/>
        </w:tcPr>
        <w:p w14:paraId="48F143F3" w14:textId="3A63474C" w:rsidR="000D44DB" w:rsidRPr="00CD021E" w:rsidRDefault="00CD021E" w:rsidP="00EB3E6F">
          <w:pPr>
            <w:pStyle w:val="Header"/>
            <w:spacing w:before="60" w:after="60"/>
            <w:rPr>
              <w:rFonts w:cs="Arial"/>
              <w:b/>
              <w:bCs/>
              <w:color w:val="00000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D021E">
            <w:rPr>
              <w:rFonts w:cs="Arial"/>
              <w:b/>
              <w:bCs/>
              <w:color w:val="0070C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</w:t>
          </w:r>
          <w:r w:rsidR="00675336">
            <w:rPr>
              <w:rFonts w:cs="Arial"/>
              <w:b/>
              <w:bCs/>
              <w:color w:val="0070C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arch</w:t>
          </w:r>
          <w:r w:rsidR="00A75BCB">
            <w:rPr>
              <w:rFonts w:cs="Arial"/>
              <w:b/>
              <w:bCs/>
              <w:color w:val="0070C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202</w:t>
          </w:r>
          <w:r w:rsidR="00981344">
            <w:rPr>
              <w:rFonts w:cs="Arial"/>
              <w:b/>
              <w:bCs/>
              <w:color w:val="0070C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6</w:t>
          </w:r>
        </w:p>
      </w:tc>
    </w:tr>
    <w:tr w:rsidR="000D44DB" w:rsidRPr="00CD021E" w14:paraId="1B054477" w14:textId="77777777" w:rsidTr="002772ED">
      <w:tc>
        <w:tcPr>
          <w:tcW w:w="10774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14:paraId="2E15F283" w14:textId="77777777" w:rsidR="000D44DB" w:rsidRPr="00CD021E" w:rsidRDefault="000D44DB" w:rsidP="00395D20">
          <w:pPr>
            <w:pStyle w:val="Header"/>
            <w:tabs>
              <w:tab w:val="clear" w:pos="4153"/>
              <w:tab w:val="clear" w:pos="8306"/>
              <w:tab w:val="left" w:pos="2197"/>
            </w:tabs>
            <w:rPr>
              <w:rFonts w:cs="Arial"/>
              <w:b/>
              <w:bCs/>
              <w:color w:val="0070C0"/>
              <w:sz w:val="8"/>
              <w:szCs w:val="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D021E">
            <w:rPr>
              <w:rFonts w:cs="Arial"/>
              <w:b/>
              <w:bCs/>
              <w:color w:val="0070C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ab/>
          </w:r>
        </w:p>
      </w:tc>
    </w:tr>
    <w:tr w:rsidR="000D44DB" w:rsidRPr="00CD021E" w14:paraId="52FF6659" w14:textId="77777777" w:rsidTr="002772ED">
      <w:tc>
        <w:tcPr>
          <w:tcW w:w="10774" w:type="dxa"/>
          <w:tcBorders>
            <w:top w:val="nil"/>
            <w:left w:val="nil"/>
            <w:bottom w:val="nil"/>
            <w:right w:val="nil"/>
          </w:tcBorders>
          <w:shd w:val="clear" w:color="auto" w:fill="DAEEF3"/>
        </w:tcPr>
        <w:p w14:paraId="3420378A" w14:textId="77777777" w:rsidR="000D44DB" w:rsidRPr="00C315D6" w:rsidRDefault="00885CAE" w:rsidP="00CB6344">
          <w:pPr>
            <w:pStyle w:val="Header"/>
            <w:tabs>
              <w:tab w:val="clear" w:pos="4153"/>
              <w:tab w:val="clear" w:pos="8306"/>
              <w:tab w:val="left" w:pos="2197"/>
            </w:tabs>
            <w:spacing w:before="120" w:after="120"/>
            <w:rPr>
              <w:rFonts w:cs="Arial"/>
              <w:b/>
              <w:bCs/>
              <w:color w:val="0070C0"/>
              <w:sz w:val="18"/>
              <w:szCs w:val="18"/>
            </w:rPr>
          </w:pPr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 xml:space="preserve">This newsletter is produced by </w:t>
          </w:r>
          <w:hyperlink r:id="rId3" w:history="1">
            <w:r w:rsidRPr="00551321">
              <w:rPr>
                <w:rStyle w:val="Hyperlink"/>
                <w:rFonts w:ascii="Arial" w:hAnsi="Arial" w:cs="Arial"/>
                <w:b/>
                <w:bCs/>
              </w:rPr>
              <w:t xml:space="preserve">SPS </w:t>
            </w:r>
            <w:r w:rsidR="003C4624">
              <w:rPr>
                <w:rStyle w:val="Hyperlink"/>
                <w:rFonts w:ascii="Arial" w:hAnsi="Arial" w:cs="Arial"/>
                <w:b/>
                <w:bCs/>
              </w:rPr>
              <w:t>H</w:t>
            </w:r>
            <w:r w:rsidRPr="00551321">
              <w:rPr>
                <w:rStyle w:val="Hyperlink"/>
                <w:rFonts w:ascii="Arial" w:hAnsi="Arial" w:cs="Arial"/>
                <w:b/>
                <w:bCs/>
              </w:rPr>
              <w:t xml:space="preserve">orizon </w:t>
            </w:r>
            <w:r w:rsidR="003C4624">
              <w:rPr>
                <w:rStyle w:val="Hyperlink"/>
                <w:rFonts w:ascii="Arial" w:hAnsi="Arial" w:cs="Arial"/>
                <w:b/>
                <w:bCs/>
              </w:rPr>
              <w:t>S</w:t>
            </w:r>
            <w:r w:rsidRPr="00551321">
              <w:rPr>
                <w:rStyle w:val="Hyperlink"/>
                <w:rFonts w:ascii="Arial" w:hAnsi="Arial" w:cs="Arial"/>
                <w:b/>
                <w:bCs/>
              </w:rPr>
              <w:t>canning</w:t>
            </w:r>
          </w:hyperlink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 xml:space="preserve"> and highlights recent</w:t>
          </w:r>
          <w:r>
            <w:rPr>
              <w:rFonts w:cs="Arial"/>
              <w:b/>
              <w:bCs/>
              <w:color w:val="0070C0"/>
              <w:sz w:val="18"/>
              <w:szCs w:val="18"/>
            </w:rPr>
            <w:t xml:space="preserve"> new product launches and </w:t>
          </w:r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 xml:space="preserve">medicines regulatory changes. More detailed information on medicines </w:t>
          </w:r>
          <w:r>
            <w:rPr>
              <w:rFonts w:cs="Arial"/>
              <w:b/>
              <w:bCs/>
              <w:color w:val="0070C0"/>
              <w:sz w:val="18"/>
              <w:szCs w:val="18"/>
            </w:rPr>
            <w:t>estimated</w:t>
          </w:r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 xml:space="preserve"> to </w:t>
          </w:r>
          <w:r>
            <w:rPr>
              <w:rFonts w:cs="Arial"/>
              <w:b/>
              <w:bCs/>
              <w:color w:val="0070C0"/>
              <w:sz w:val="18"/>
              <w:szCs w:val="18"/>
            </w:rPr>
            <w:t>become available for use</w:t>
          </w:r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 xml:space="preserve"> in the next 2</w:t>
          </w:r>
          <w:r>
            <w:rPr>
              <w:rFonts w:cs="Arial"/>
              <w:b/>
              <w:bCs/>
              <w:color w:val="0070C0"/>
              <w:sz w:val="18"/>
              <w:szCs w:val="18"/>
            </w:rPr>
            <w:t xml:space="preserve"> financial years</w:t>
          </w:r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 xml:space="preserve"> and on marketed medicines expected to have major new indications approved</w:t>
          </w:r>
          <w:r>
            <w:rPr>
              <w:rFonts w:cs="Arial"/>
              <w:b/>
              <w:bCs/>
              <w:color w:val="0070C0"/>
              <w:sz w:val="18"/>
              <w:szCs w:val="18"/>
            </w:rPr>
            <w:t xml:space="preserve"> is</w:t>
          </w:r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 xml:space="preserve"> in </w:t>
          </w:r>
          <w:hyperlink r:id="rId4" w:history="1">
            <w:r w:rsidRPr="009B0BCE">
              <w:rPr>
                <w:rStyle w:val="Hyperlink"/>
                <w:rFonts w:ascii="Arial" w:hAnsi="Arial" w:cs="Arial"/>
                <w:b/>
                <w:bCs/>
              </w:rPr>
              <w:t>Prescribing Outlook</w:t>
            </w:r>
          </w:hyperlink>
          <w:r w:rsidRPr="009B0BCE">
            <w:rPr>
              <w:rFonts w:cs="Arial"/>
              <w:b/>
              <w:bCs/>
              <w:color w:val="0070C0"/>
              <w:sz w:val="18"/>
              <w:szCs w:val="18"/>
            </w:rPr>
            <w:t>.</w:t>
          </w:r>
        </w:p>
      </w:tc>
    </w:tr>
  </w:tbl>
  <w:p w14:paraId="2B064D88" w14:textId="77777777" w:rsidR="000D44DB" w:rsidRPr="00CD021E" w:rsidRDefault="000D44DB" w:rsidP="00A56726">
    <w:pPr>
      <w:pStyle w:val="Header"/>
      <w:rPr>
        <w:rFonts w:cs="Arial"/>
        <w:b/>
        <w:bCs/>
        <w:color w:val="244061"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45FC" w14:textId="77777777" w:rsidR="0090527B" w:rsidRDefault="008203CE">
    <w:pPr>
      <w:pStyle w:val="Header"/>
    </w:pPr>
    <w:r>
      <w:rPr>
        <w:noProof/>
      </w:rPr>
      <w:pict w14:anchorId="65F76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14594" o:spid="_x0000_s1025" type="#_x0000_t136" style="position:absolute;margin-left:0;margin-top:0;width:513.8pt;height:205.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93F0" w14:textId="77777777" w:rsidR="0090527B" w:rsidRDefault="008203CE">
    <w:pPr>
      <w:pStyle w:val="Header"/>
    </w:pPr>
    <w:r>
      <w:rPr>
        <w:noProof/>
      </w:rPr>
      <w:pict w14:anchorId="5F4869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14598" o:spid="_x0000_s1029" type="#_x0000_t136" style="position:absolute;margin-left:0;margin-top:0;width:513.8pt;height:205.5pt;rotation:315;z-index:-2516582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D2BA" w14:textId="77777777" w:rsidR="000D44DB" w:rsidRPr="00CD021E" w:rsidRDefault="00CB5BC1" w:rsidP="00AC0996">
    <w:pPr>
      <w:pStyle w:val="Header"/>
      <w:tabs>
        <w:tab w:val="clear" w:pos="8306"/>
        <w:tab w:val="left" w:pos="7830"/>
      </w:tabs>
      <w:spacing w:before="120"/>
      <w:ind w:left="-170"/>
      <w:rPr>
        <w:rFonts w:cs="Arial"/>
        <w:b/>
        <w:bCs/>
        <w:i/>
        <w:color w:val="31849B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B5BC1">
      <w:rPr>
        <w:rFonts w:cs="Arial"/>
        <w:b/>
        <w:bCs/>
        <w:noProof/>
        <w:color w:val="008A3E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51" behindDoc="0" locked="0" layoutInCell="1" allowOverlap="1" wp14:anchorId="77F467AD" wp14:editId="763A4D42">
          <wp:simplePos x="0" y="0"/>
          <wp:positionH relativeFrom="column">
            <wp:posOffset>-89535</wp:posOffset>
          </wp:positionH>
          <wp:positionV relativeFrom="paragraph">
            <wp:posOffset>120650</wp:posOffset>
          </wp:positionV>
          <wp:extent cx="999490" cy="318770"/>
          <wp:effectExtent l="0" t="0" r="0" b="5080"/>
          <wp:wrapSquare wrapText="bothSides"/>
          <wp:docPr id="19184912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5BCB" w:rsidRPr="00CB5BC1">
      <w:rPr>
        <w:rFonts w:cs="Arial"/>
        <w:noProof/>
        <w:color w:val="008A3E"/>
        <w:sz w:val="40"/>
        <w:szCs w:val="40"/>
      </w:rPr>
      <w:drawing>
        <wp:anchor distT="0" distB="0" distL="114300" distR="114300" simplePos="0" relativeHeight="251658243" behindDoc="0" locked="0" layoutInCell="1" allowOverlap="1" wp14:anchorId="35B2CF18" wp14:editId="27BF97C6">
          <wp:simplePos x="0" y="0"/>
          <wp:positionH relativeFrom="column">
            <wp:posOffset>6182360</wp:posOffset>
          </wp:positionH>
          <wp:positionV relativeFrom="paragraph">
            <wp:posOffset>93345</wp:posOffset>
          </wp:positionV>
          <wp:extent cx="469265" cy="192405"/>
          <wp:effectExtent l="0" t="0" r="6985" b="0"/>
          <wp:wrapNone/>
          <wp:docPr id="8" name="Picture 8" descr="NHS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HS 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3CE">
      <w:rPr>
        <w:noProof/>
        <w:color w:val="008A3E"/>
      </w:rPr>
      <w:pict w14:anchorId="7C2E48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14599" o:spid="_x0000_s1030" type="#_x0000_t136" style="position:absolute;left:0;text-align:left;margin-left:0;margin-top:0;width:513.8pt;height:205.5pt;rotation:315;z-index:-25165823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0D44DB" w:rsidRPr="00CB5BC1">
      <w:rPr>
        <w:rFonts w:cs="Arial"/>
        <w:b/>
        <w:bCs/>
        <w:color w:val="008A3E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New Medicines</w:t>
    </w:r>
    <w:r w:rsidR="000D44DB" w:rsidRPr="00CD021E">
      <w:rPr>
        <w:rFonts w:cs="Arial"/>
        <w:b/>
        <w:bCs/>
        <w:i/>
        <w:color w:val="244061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0D44DB" w:rsidRPr="00CD021E">
      <w:rPr>
        <w:rFonts w:cs="Arial"/>
        <w:b/>
        <w:bCs/>
        <w:i/>
        <w:color w:val="0070C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News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A5DD" w14:textId="77777777" w:rsidR="0090527B" w:rsidRDefault="008203CE">
    <w:pPr>
      <w:pStyle w:val="Header"/>
    </w:pPr>
    <w:r>
      <w:rPr>
        <w:noProof/>
      </w:rPr>
      <w:pict w14:anchorId="169D0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14597" o:spid="_x0000_s1028" type="#_x0000_t136" style="position:absolute;margin-left:0;margin-top:0;width:513.8pt;height:205.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66pt;height:500.25pt;visibility:visible;mso-wrap-style:square" o:bullet="t">
        <v:imagedata r:id="rId1" o:title=""/>
      </v:shape>
    </w:pict>
  </w:numPicBullet>
  <w:abstractNum w:abstractNumId="0" w15:restartNumberingAfterBreak="0">
    <w:nsid w:val="429E6EF9"/>
    <w:multiLevelType w:val="multilevel"/>
    <w:tmpl w:val="29F4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55FA1"/>
    <w:multiLevelType w:val="hybridMultilevel"/>
    <w:tmpl w:val="BCF48EAE"/>
    <w:lvl w:ilvl="0" w:tplc="1AB04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04711">
    <w:abstractNumId w:val="1"/>
  </w:num>
  <w:num w:numId="2" w16cid:durableId="42692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A4"/>
    <w:rsid w:val="0000035C"/>
    <w:rsid w:val="000005B6"/>
    <w:rsid w:val="000005EF"/>
    <w:rsid w:val="00000A0A"/>
    <w:rsid w:val="00000BE4"/>
    <w:rsid w:val="00000F87"/>
    <w:rsid w:val="0000199C"/>
    <w:rsid w:val="00001F19"/>
    <w:rsid w:val="0000290B"/>
    <w:rsid w:val="00002A08"/>
    <w:rsid w:val="00003329"/>
    <w:rsid w:val="00003421"/>
    <w:rsid w:val="000034B3"/>
    <w:rsid w:val="00003C95"/>
    <w:rsid w:val="00003D95"/>
    <w:rsid w:val="000042E9"/>
    <w:rsid w:val="00005014"/>
    <w:rsid w:val="00005119"/>
    <w:rsid w:val="00005271"/>
    <w:rsid w:val="000052F0"/>
    <w:rsid w:val="00005673"/>
    <w:rsid w:val="00005703"/>
    <w:rsid w:val="000057D2"/>
    <w:rsid w:val="00005CE9"/>
    <w:rsid w:val="00006527"/>
    <w:rsid w:val="000065F4"/>
    <w:rsid w:val="000072EC"/>
    <w:rsid w:val="0000751E"/>
    <w:rsid w:val="000075ED"/>
    <w:rsid w:val="0000769C"/>
    <w:rsid w:val="000102A1"/>
    <w:rsid w:val="000102E8"/>
    <w:rsid w:val="00010447"/>
    <w:rsid w:val="0001067C"/>
    <w:rsid w:val="00010B1D"/>
    <w:rsid w:val="00011176"/>
    <w:rsid w:val="000111C5"/>
    <w:rsid w:val="000114B1"/>
    <w:rsid w:val="00011D4B"/>
    <w:rsid w:val="00011E5B"/>
    <w:rsid w:val="00012B74"/>
    <w:rsid w:val="00012BA7"/>
    <w:rsid w:val="00012DCA"/>
    <w:rsid w:val="00012E19"/>
    <w:rsid w:val="00012E28"/>
    <w:rsid w:val="000132A0"/>
    <w:rsid w:val="00013575"/>
    <w:rsid w:val="000135BF"/>
    <w:rsid w:val="00013853"/>
    <w:rsid w:val="00013B16"/>
    <w:rsid w:val="00013CD9"/>
    <w:rsid w:val="00013E21"/>
    <w:rsid w:val="00014028"/>
    <w:rsid w:val="00014115"/>
    <w:rsid w:val="00014240"/>
    <w:rsid w:val="0001441B"/>
    <w:rsid w:val="00014631"/>
    <w:rsid w:val="00014657"/>
    <w:rsid w:val="000148ED"/>
    <w:rsid w:val="00014AFE"/>
    <w:rsid w:val="00015455"/>
    <w:rsid w:val="000158C2"/>
    <w:rsid w:val="00015915"/>
    <w:rsid w:val="000159C6"/>
    <w:rsid w:val="00015A48"/>
    <w:rsid w:val="00015B43"/>
    <w:rsid w:val="000165BE"/>
    <w:rsid w:val="000166D7"/>
    <w:rsid w:val="0001694F"/>
    <w:rsid w:val="00016C87"/>
    <w:rsid w:val="00016CDC"/>
    <w:rsid w:val="00016E17"/>
    <w:rsid w:val="000171BC"/>
    <w:rsid w:val="000173BA"/>
    <w:rsid w:val="0001791D"/>
    <w:rsid w:val="00017CA2"/>
    <w:rsid w:val="00017D66"/>
    <w:rsid w:val="00020261"/>
    <w:rsid w:val="000202B3"/>
    <w:rsid w:val="000202FE"/>
    <w:rsid w:val="000203F6"/>
    <w:rsid w:val="000207FB"/>
    <w:rsid w:val="00020D00"/>
    <w:rsid w:val="0002143C"/>
    <w:rsid w:val="0002181A"/>
    <w:rsid w:val="000225BB"/>
    <w:rsid w:val="000225EE"/>
    <w:rsid w:val="0002265E"/>
    <w:rsid w:val="0002269F"/>
    <w:rsid w:val="00022775"/>
    <w:rsid w:val="0002291B"/>
    <w:rsid w:val="000229C8"/>
    <w:rsid w:val="00022CCE"/>
    <w:rsid w:val="00022FB9"/>
    <w:rsid w:val="0002372C"/>
    <w:rsid w:val="00023B87"/>
    <w:rsid w:val="00023E2E"/>
    <w:rsid w:val="00023FBB"/>
    <w:rsid w:val="00025142"/>
    <w:rsid w:val="00025A1E"/>
    <w:rsid w:val="00025AD9"/>
    <w:rsid w:val="00025B8F"/>
    <w:rsid w:val="00026E35"/>
    <w:rsid w:val="00026FAE"/>
    <w:rsid w:val="0002715B"/>
    <w:rsid w:val="00027AC3"/>
    <w:rsid w:val="00027B21"/>
    <w:rsid w:val="00027C1C"/>
    <w:rsid w:val="00027D1D"/>
    <w:rsid w:val="00027E7C"/>
    <w:rsid w:val="00030002"/>
    <w:rsid w:val="0003000F"/>
    <w:rsid w:val="000305BA"/>
    <w:rsid w:val="00030663"/>
    <w:rsid w:val="0003082E"/>
    <w:rsid w:val="0003092A"/>
    <w:rsid w:val="00030ADE"/>
    <w:rsid w:val="00030B98"/>
    <w:rsid w:val="00030E87"/>
    <w:rsid w:val="00031218"/>
    <w:rsid w:val="00031336"/>
    <w:rsid w:val="00031620"/>
    <w:rsid w:val="00031909"/>
    <w:rsid w:val="00031E46"/>
    <w:rsid w:val="000320DC"/>
    <w:rsid w:val="000322AB"/>
    <w:rsid w:val="000327BA"/>
    <w:rsid w:val="00032BD9"/>
    <w:rsid w:val="0003313C"/>
    <w:rsid w:val="00033349"/>
    <w:rsid w:val="0003344C"/>
    <w:rsid w:val="000341CF"/>
    <w:rsid w:val="0003447E"/>
    <w:rsid w:val="0003499B"/>
    <w:rsid w:val="00034BCE"/>
    <w:rsid w:val="00034E8C"/>
    <w:rsid w:val="00035436"/>
    <w:rsid w:val="0003552B"/>
    <w:rsid w:val="00035B23"/>
    <w:rsid w:val="00035CA7"/>
    <w:rsid w:val="00035D82"/>
    <w:rsid w:val="00035DBD"/>
    <w:rsid w:val="00036A16"/>
    <w:rsid w:val="000373F3"/>
    <w:rsid w:val="0003742D"/>
    <w:rsid w:val="000374FF"/>
    <w:rsid w:val="000375C8"/>
    <w:rsid w:val="000378F6"/>
    <w:rsid w:val="000379EB"/>
    <w:rsid w:val="00037AE9"/>
    <w:rsid w:val="00037BAB"/>
    <w:rsid w:val="00037BE4"/>
    <w:rsid w:val="00040013"/>
    <w:rsid w:val="0004019A"/>
    <w:rsid w:val="000401A1"/>
    <w:rsid w:val="00040734"/>
    <w:rsid w:val="00040B83"/>
    <w:rsid w:val="00040CA3"/>
    <w:rsid w:val="000416FC"/>
    <w:rsid w:val="00041AC8"/>
    <w:rsid w:val="00041BDC"/>
    <w:rsid w:val="0004243E"/>
    <w:rsid w:val="000427D5"/>
    <w:rsid w:val="00042CCD"/>
    <w:rsid w:val="00043342"/>
    <w:rsid w:val="000435DE"/>
    <w:rsid w:val="00043A2D"/>
    <w:rsid w:val="00043ED2"/>
    <w:rsid w:val="00044148"/>
    <w:rsid w:val="00044204"/>
    <w:rsid w:val="00044475"/>
    <w:rsid w:val="00044C33"/>
    <w:rsid w:val="000452E2"/>
    <w:rsid w:val="00045745"/>
    <w:rsid w:val="0004575D"/>
    <w:rsid w:val="000457B4"/>
    <w:rsid w:val="00045D5B"/>
    <w:rsid w:val="00045DDF"/>
    <w:rsid w:val="0004601F"/>
    <w:rsid w:val="00046375"/>
    <w:rsid w:val="00046777"/>
    <w:rsid w:val="00046C42"/>
    <w:rsid w:val="00046CCE"/>
    <w:rsid w:val="0004702B"/>
    <w:rsid w:val="0004733A"/>
    <w:rsid w:val="00047608"/>
    <w:rsid w:val="00050249"/>
    <w:rsid w:val="000507C3"/>
    <w:rsid w:val="00050920"/>
    <w:rsid w:val="0005105D"/>
    <w:rsid w:val="000515F0"/>
    <w:rsid w:val="00051791"/>
    <w:rsid w:val="000518A6"/>
    <w:rsid w:val="000519EA"/>
    <w:rsid w:val="00051B61"/>
    <w:rsid w:val="00051F32"/>
    <w:rsid w:val="000523FE"/>
    <w:rsid w:val="00052436"/>
    <w:rsid w:val="000529B6"/>
    <w:rsid w:val="00052AD4"/>
    <w:rsid w:val="00052BA6"/>
    <w:rsid w:val="00053F21"/>
    <w:rsid w:val="00054462"/>
    <w:rsid w:val="0005460C"/>
    <w:rsid w:val="00056696"/>
    <w:rsid w:val="000566A1"/>
    <w:rsid w:val="00056809"/>
    <w:rsid w:val="00056DB0"/>
    <w:rsid w:val="000570FC"/>
    <w:rsid w:val="0005783A"/>
    <w:rsid w:val="00057C03"/>
    <w:rsid w:val="00057FA2"/>
    <w:rsid w:val="0006026C"/>
    <w:rsid w:val="0006036B"/>
    <w:rsid w:val="00060AC6"/>
    <w:rsid w:val="00060BB0"/>
    <w:rsid w:val="0006109A"/>
    <w:rsid w:val="0006141D"/>
    <w:rsid w:val="00061A5F"/>
    <w:rsid w:val="00061B9D"/>
    <w:rsid w:val="00061FEF"/>
    <w:rsid w:val="00062740"/>
    <w:rsid w:val="00062834"/>
    <w:rsid w:val="00062B47"/>
    <w:rsid w:val="00062F98"/>
    <w:rsid w:val="0006320B"/>
    <w:rsid w:val="00063C19"/>
    <w:rsid w:val="000646B3"/>
    <w:rsid w:val="00064C77"/>
    <w:rsid w:val="00064E8C"/>
    <w:rsid w:val="00064EB7"/>
    <w:rsid w:val="00064EF7"/>
    <w:rsid w:val="0006514E"/>
    <w:rsid w:val="000652C1"/>
    <w:rsid w:val="00065458"/>
    <w:rsid w:val="00066145"/>
    <w:rsid w:val="0006622F"/>
    <w:rsid w:val="00066787"/>
    <w:rsid w:val="00066A42"/>
    <w:rsid w:val="00066B48"/>
    <w:rsid w:val="00067279"/>
    <w:rsid w:val="000672F8"/>
    <w:rsid w:val="0006730B"/>
    <w:rsid w:val="00067942"/>
    <w:rsid w:val="00067D4E"/>
    <w:rsid w:val="00067D5B"/>
    <w:rsid w:val="000702DB"/>
    <w:rsid w:val="00070948"/>
    <w:rsid w:val="00070A7A"/>
    <w:rsid w:val="00071178"/>
    <w:rsid w:val="0007155B"/>
    <w:rsid w:val="000719B7"/>
    <w:rsid w:val="00071A86"/>
    <w:rsid w:val="00071BD9"/>
    <w:rsid w:val="00071DB1"/>
    <w:rsid w:val="0007203F"/>
    <w:rsid w:val="0007204B"/>
    <w:rsid w:val="00072F47"/>
    <w:rsid w:val="00073808"/>
    <w:rsid w:val="00074396"/>
    <w:rsid w:val="0007446E"/>
    <w:rsid w:val="00074745"/>
    <w:rsid w:val="00074951"/>
    <w:rsid w:val="00074F67"/>
    <w:rsid w:val="0007521F"/>
    <w:rsid w:val="000752E8"/>
    <w:rsid w:val="000755B8"/>
    <w:rsid w:val="00075D05"/>
    <w:rsid w:val="00075D4B"/>
    <w:rsid w:val="0007679E"/>
    <w:rsid w:val="00077371"/>
    <w:rsid w:val="00077C0C"/>
    <w:rsid w:val="00080116"/>
    <w:rsid w:val="000808F9"/>
    <w:rsid w:val="00080A6B"/>
    <w:rsid w:val="00080EE8"/>
    <w:rsid w:val="0008125C"/>
    <w:rsid w:val="00081277"/>
    <w:rsid w:val="000813E4"/>
    <w:rsid w:val="00081417"/>
    <w:rsid w:val="0008159C"/>
    <w:rsid w:val="0008195B"/>
    <w:rsid w:val="00081CFF"/>
    <w:rsid w:val="0008258A"/>
    <w:rsid w:val="00082DF6"/>
    <w:rsid w:val="00082E64"/>
    <w:rsid w:val="0008303B"/>
    <w:rsid w:val="00083231"/>
    <w:rsid w:val="000834AE"/>
    <w:rsid w:val="00083FAC"/>
    <w:rsid w:val="0008405B"/>
    <w:rsid w:val="00084760"/>
    <w:rsid w:val="00085268"/>
    <w:rsid w:val="00085475"/>
    <w:rsid w:val="0008576B"/>
    <w:rsid w:val="000858D1"/>
    <w:rsid w:val="000859AA"/>
    <w:rsid w:val="00085A04"/>
    <w:rsid w:val="00085C5D"/>
    <w:rsid w:val="00085CCC"/>
    <w:rsid w:val="00085DA5"/>
    <w:rsid w:val="000863E2"/>
    <w:rsid w:val="000864A2"/>
    <w:rsid w:val="0008668D"/>
    <w:rsid w:val="00086F97"/>
    <w:rsid w:val="00087308"/>
    <w:rsid w:val="00087474"/>
    <w:rsid w:val="0008785C"/>
    <w:rsid w:val="00087A3E"/>
    <w:rsid w:val="00090233"/>
    <w:rsid w:val="000906FB"/>
    <w:rsid w:val="000907E5"/>
    <w:rsid w:val="00091245"/>
    <w:rsid w:val="00091EAA"/>
    <w:rsid w:val="00092238"/>
    <w:rsid w:val="0009266A"/>
    <w:rsid w:val="00092AEC"/>
    <w:rsid w:val="000933A6"/>
    <w:rsid w:val="00093CB7"/>
    <w:rsid w:val="0009414D"/>
    <w:rsid w:val="00094388"/>
    <w:rsid w:val="00094B31"/>
    <w:rsid w:val="00094FC6"/>
    <w:rsid w:val="0009514E"/>
    <w:rsid w:val="0009515F"/>
    <w:rsid w:val="000951E1"/>
    <w:rsid w:val="000954DD"/>
    <w:rsid w:val="000955AC"/>
    <w:rsid w:val="00095653"/>
    <w:rsid w:val="000957EA"/>
    <w:rsid w:val="00095818"/>
    <w:rsid w:val="00095974"/>
    <w:rsid w:val="00095B4D"/>
    <w:rsid w:val="00095EE7"/>
    <w:rsid w:val="000966BB"/>
    <w:rsid w:val="00096800"/>
    <w:rsid w:val="00096BBF"/>
    <w:rsid w:val="00096C4B"/>
    <w:rsid w:val="0009792A"/>
    <w:rsid w:val="00097B79"/>
    <w:rsid w:val="00097E17"/>
    <w:rsid w:val="000A0040"/>
    <w:rsid w:val="000A02AD"/>
    <w:rsid w:val="000A0B38"/>
    <w:rsid w:val="000A1199"/>
    <w:rsid w:val="000A22E9"/>
    <w:rsid w:val="000A241E"/>
    <w:rsid w:val="000A2810"/>
    <w:rsid w:val="000A289B"/>
    <w:rsid w:val="000A2C52"/>
    <w:rsid w:val="000A2E37"/>
    <w:rsid w:val="000A36D0"/>
    <w:rsid w:val="000A3B1E"/>
    <w:rsid w:val="000A41D4"/>
    <w:rsid w:val="000A421F"/>
    <w:rsid w:val="000A4BCB"/>
    <w:rsid w:val="000A4BE4"/>
    <w:rsid w:val="000A5077"/>
    <w:rsid w:val="000A50F2"/>
    <w:rsid w:val="000A534D"/>
    <w:rsid w:val="000A5ABE"/>
    <w:rsid w:val="000A5B0D"/>
    <w:rsid w:val="000A60E1"/>
    <w:rsid w:val="000A60F4"/>
    <w:rsid w:val="000A61FB"/>
    <w:rsid w:val="000A7A40"/>
    <w:rsid w:val="000A7AD6"/>
    <w:rsid w:val="000A7C5A"/>
    <w:rsid w:val="000B001D"/>
    <w:rsid w:val="000B015F"/>
    <w:rsid w:val="000B0274"/>
    <w:rsid w:val="000B038E"/>
    <w:rsid w:val="000B08CB"/>
    <w:rsid w:val="000B08D1"/>
    <w:rsid w:val="000B0A95"/>
    <w:rsid w:val="000B0ADF"/>
    <w:rsid w:val="000B0C23"/>
    <w:rsid w:val="000B18C2"/>
    <w:rsid w:val="000B1AAB"/>
    <w:rsid w:val="000B1C18"/>
    <w:rsid w:val="000B1C59"/>
    <w:rsid w:val="000B2C16"/>
    <w:rsid w:val="000B2FC7"/>
    <w:rsid w:val="000B310F"/>
    <w:rsid w:val="000B38C0"/>
    <w:rsid w:val="000B3DAA"/>
    <w:rsid w:val="000B3EEB"/>
    <w:rsid w:val="000B466E"/>
    <w:rsid w:val="000B4681"/>
    <w:rsid w:val="000B4763"/>
    <w:rsid w:val="000B4E20"/>
    <w:rsid w:val="000B4EDC"/>
    <w:rsid w:val="000B5120"/>
    <w:rsid w:val="000B515F"/>
    <w:rsid w:val="000B5605"/>
    <w:rsid w:val="000B57AA"/>
    <w:rsid w:val="000B5AF8"/>
    <w:rsid w:val="000B5F2C"/>
    <w:rsid w:val="000B6184"/>
    <w:rsid w:val="000B6843"/>
    <w:rsid w:val="000B6EB2"/>
    <w:rsid w:val="000B706F"/>
    <w:rsid w:val="000B77F8"/>
    <w:rsid w:val="000B78CC"/>
    <w:rsid w:val="000B7AE2"/>
    <w:rsid w:val="000C0203"/>
    <w:rsid w:val="000C041C"/>
    <w:rsid w:val="000C091B"/>
    <w:rsid w:val="000C0F48"/>
    <w:rsid w:val="000C0F5C"/>
    <w:rsid w:val="000C1356"/>
    <w:rsid w:val="000C18D0"/>
    <w:rsid w:val="000C1FB5"/>
    <w:rsid w:val="000C200D"/>
    <w:rsid w:val="000C20E9"/>
    <w:rsid w:val="000C2555"/>
    <w:rsid w:val="000C25C3"/>
    <w:rsid w:val="000C2DF1"/>
    <w:rsid w:val="000C35ED"/>
    <w:rsid w:val="000C3692"/>
    <w:rsid w:val="000C37AC"/>
    <w:rsid w:val="000C3B1F"/>
    <w:rsid w:val="000C43D9"/>
    <w:rsid w:val="000C44B7"/>
    <w:rsid w:val="000C458C"/>
    <w:rsid w:val="000C4D1E"/>
    <w:rsid w:val="000C5329"/>
    <w:rsid w:val="000C5D43"/>
    <w:rsid w:val="000C5F42"/>
    <w:rsid w:val="000C60E6"/>
    <w:rsid w:val="000C6548"/>
    <w:rsid w:val="000C6591"/>
    <w:rsid w:val="000C6D2E"/>
    <w:rsid w:val="000C709F"/>
    <w:rsid w:val="000C72CA"/>
    <w:rsid w:val="000C7872"/>
    <w:rsid w:val="000C7AFF"/>
    <w:rsid w:val="000C7BA9"/>
    <w:rsid w:val="000C7C7C"/>
    <w:rsid w:val="000C7CAA"/>
    <w:rsid w:val="000D0476"/>
    <w:rsid w:val="000D04C1"/>
    <w:rsid w:val="000D0624"/>
    <w:rsid w:val="000D0DF7"/>
    <w:rsid w:val="000D0E50"/>
    <w:rsid w:val="000D1171"/>
    <w:rsid w:val="000D13A6"/>
    <w:rsid w:val="000D2113"/>
    <w:rsid w:val="000D2266"/>
    <w:rsid w:val="000D2736"/>
    <w:rsid w:val="000D2C27"/>
    <w:rsid w:val="000D30E7"/>
    <w:rsid w:val="000D35F7"/>
    <w:rsid w:val="000D3646"/>
    <w:rsid w:val="000D3760"/>
    <w:rsid w:val="000D3BCC"/>
    <w:rsid w:val="000D43AC"/>
    <w:rsid w:val="000D44DB"/>
    <w:rsid w:val="000D4645"/>
    <w:rsid w:val="000D467B"/>
    <w:rsid w:val="000D58C9"/>
    <w:rsid w:val="000D5DA8"/>
    <w:rsid w:val="000D5F42"/>
    <w:rsid w:val="000D62F3"/>
    <w:rsid w:val="000D6630"/>
    <w:rsid w:val="000D682D"/>
    <w:rsid w:val="000D7E24"/>
    <w:rsid w:val="000D7EAD"/>
    <w:rsid w:val="000E06CA"/>
    <w:rsid w:val="000E07FC"/>
    <w:rsid w:val="000E0B79"/>
    <w:rsid w:val="000E0C92"/>
    <w:rsid w:val="000E0D69"/>
    <w:rsid w:val="000E0ECF"/>
    <w:rsid w:val="000E0F57"/>
    <w:rsid w:val="000E12A8"/>
    <w:rsid w:val="000E184E"/>
    <w:rsid w:val="000E1A44"/>
    <w:rsid w:val="000E1DE0"/>
    <w:rsid w:val="000E21D3"/>
    <w:rsid w:val="000E247B"/>
    <w:rsid w:val="000E247C"/>
    <w:rsid w:val="000E27E9"/>
    <w:rsid w:val="000E2A6C"/>
    <w:rsid w:val="000E2DC9"/>
    <w:rsid w:val="000E2E4B"/>
    <w:rsid w:val="000E2FF1"/>
    <w:rsid w:val="000E3DFD"/>
    <w:rsid w:val="000E4477"/>
    <w:rsid w:val="000E45E9"/>
    <w:rsid w:val="000E4A24"/>
    <w:rsid w:val="000E5217"/>
    <w:rsid w:val="000E5C17"/>
    <w:rsid w:val="000E6471"/>
    <w:rsid w:val="000E69A5"/>
    <w:rsid w:val="000E721B"/>
    <w:rsid w:val="000E74D2"/>
    <w:rsid w:val="000E789D"/>
    <w:rsid w:val="000F0055"/>
    <w:rsid w:val="000F0481"/>
    <w:rsid w:val="000F04BF"/>
    <w:rsid w:val="000F0699"/>
    <w:rsid w:val="000F078E"/>
    <w:rsid w:val="000F0BA2"/>
    <w:rsid w:val="000F0F98"/>
    <w:rsid w:val="000F1485"/>
    <w:rsid w:val="000F19E1"/>
    <w:rsid w:val="000F1B61"/>
    <w:rsid w:val="000F2032"/>
    <w:rsid w:val="000F22ED"/>
    <w:rsid w:val="000F2362"/>
    <w:rsid w:val="000F35A9"/>
    <w:rsid w:val="000F377A"/>
    <w:rsid w:val="000F3964"/>
    <w:rsid w:val="000F3BFE"/>
    <w:rsid w:val="000F3C1E"/>
    <w:rsid w:val="000F3DE4"/>
    <w:rsid w:val="000F3EC1"/>
    <w:rsid w:val="000F40FF"/>
    <w:rsid w:val="000F4C32"/>
    <w:rsid w:val="000F4C9B"/>
    <w:rsid w:val="000F52A7"/>
    <w:rsid w:val="000F58A1"/>
    <w:rsid w:val="000F5AA4"/>
    <w:rsid w:val="000F5AC6"/>
    <w:rsid w:val="000F5C5A"/>
    <w:rsid w:val="000F5D25"/>
    <w:rsid w:val="000F613C"/>
    <w:rsid w:val="000F6985"/>
    <w:rsid w:val="000F715A"/>
    <w:rsid w:val="000F72CB"/>
    <w:rsid w:val="000F7AE5"/>
    <w:rsid w:val="000F7B5F"/>
    <w:rsid w:val="001007E8"/>
    <w:rsid w:val="0010093F"/>
    <w:rsid w:val="00100AA8"/>
    <w:rsid w:val="00100B3E"/>
    <w:rsid w:val="0010109D"/>
    <w:rsid w:val="00101327"/>
    <w:rsid w:val="001017B0"/>
    <w:rsid w:val="0010229B"/>
    <w:rsid w:val="00102869"/>
    <w:rsid w:val="00102BB5"/>
    <w:rsid w:val="001036A5"/>
    <w:rsid w:val="001044CC"/>
    <w:rsid w:val="00104591"/>
    <w:rsid w:val="00104765"/>
    <w:rsid w:val="00104B62"/>
    <w:rsid w:val="00104CAF"/>
    <w:rsid w:val="00104F3E"/>
    <w:rsid w:val="00105230"/>
    <w:rsid w:val="001054D4"/>
    <w:rsid w:val="00105520"/>
    <w:rsid w:val="0010589B"/>
    <w:rsid w:val="00105BB1"/>
    <w:rsid w:val="00105C0B"/>
    <w:rsid w:val="00105CAF"/>
    <w:rsid w:val="0010629A"/>
    <w:rsid w:val="00106609"/>
    <w:rsid w:val="00106691"/>
    <w:rsid w:val="00107637"/>
    <w:rsid w:val="001079F5"/>
    <w:rsid w:val="00107BCE"/>
    <w:rsid w:val="00107E98"/>
    <w:rsid w:val="00110139"/>
    <w:rsid w:val="00110B0E"/>
    <w:rsid w:val="00110D86"/>
    <w:rsid w:val="00110E83"/>
    <w:rsid w:val="00110F6A"/>
    <w:rsid w:val="00111092"/>
    <w:rsid w:val="00111226"/>
    <w:rsid w:val="00111231"/>
    <w:rsid w:val="00111769"/>
    <w:rsid w:val="00111903"/>
    <w:rsid w:val="001119E0"/>
    <w:rsid w:val="001122A8"/>
    <w:rsid w:val="00112340"/>
    <w:rsid w:val="00112FE4"/>
    <w:rsid w:val="0011301C"/>
    <w:rsid w:val="0011309C"/>
    <w:rsid w:val="00113644"/>
    <w:rsid w:val="00113D17"/>
    <w:rsid w:val="00113E55"/>
    <w:rsid w:val="00113F26"/>
    <w:rsid w:val="0011452F"/>
    <w:rsid w:val="001146D7"/>
    <w:rsid w:val="00114791"/>
    <w:rsid w:val="001149FA"/>
    <w:rsid w:val="00114A1E"/>
    <w:rsid w:val="00114AB9"/>
    <w:rsid w:val="00114DA9"/>
    <w:rsid w:val="00114EBA"/>
    <w:rsid w:val="00114F6B"/>
    <w:rsid w:val="0011546D"/>
    <w:rsid w:val="001155CF"/>
    <w:rsid w:val="00115872"/>
    <w:rsid w:val="00116043"/>
    <w:rsid w:val="001160C4"/>
    <w:rsid w:val="00116463"/>
    <w:rsid w:val="00116637"/>
    <w:rsid w:val="001168CC"/>
    <w:rsid w:val="001169DD"/>
    <w:rsid w:val="0011771E"/>
    <w:rsid w:val="001200DD"/>
    <w:rsid w:val="0012045D"/>
    <w:rsid w:val="001209AC"/>
    <w:rsid w:val="00120B32"/>
    <w:rsid w:val="0012143F"/>
    <w:rsid w:val="00122124"/>
    <w:rsid w:val="001221E3"/>
    <w:rsid w:val="0012226D"/>
    <w:rsid w:val="0012281C"/>
    <w:rsid w:val="00122966"/>
    <w:rsid w:val="00122EC3"/>
    <w:rsid w:val="00123512"/>
    <w:rsid w:val="00123811"/>
    <w:rsid w:val="00123C6D"/>
    <w:rsid w:val="00123FBB"/>
    <w:rsid w:val="001241B1"/>
    <w:rsid w:val="00124603"/>
    <w:rsid w:val="0012477A"/>
    <w:rsid w:val="00124CBF"/>
    <w:rsid w:val="00124FE3"/>
    <w:rsid w:val="0012683D"/>
    <w:rsid w:val="00126CCD"/>
    <w:rsid w:val="00126E8C"/>
    <w:rsid w:val="00127081"/>
    <w:rsid w:val="001271F3"/>
    <w:rsid w:val="0012736E"/>
    <w:rsid w:val="00127A3E"/>
    <w:rsid w:val="00130301"/>
    <w:rsid w:val="001304D0"/>
    <w:rsid w:val="00130543"/>
    <w:rsid w:val="00130B6B"/>
    <w:rsid w:val="00130D1C"/>
    <w:rsid w:val="001314D3"/>
    <w:rsid w:val="001314E0"/>
    <w:rsid w:val="0013190B"/>
    <w:rsid w:val="00131942"/>
    <w:rsid w:val="00131B41"/>
    <w:rsid w:val="00131B76"/>
    <w:rsid w:val="00131CFA"/>
    <w:rsid w:val="00131D4C"/>
    <w:rsid w:val="001325E6"/>
    <w:rsid w:val="0013261A"/>
    <w:rsid w:val="00132D15"/>
    <w:rsid w:val="001338F8"/>
    <w:rsid w:val="00134027"/>
    <w:rsid w:val="0013460E"/>
    <w:rsid w:val="00134DB3"/>
    <w:rsid w:val="00134DB5"/>
    <w:rsid w:val="00135434"/>
    <w:rsid w:val="00135B8B"/>
    <w:rsid w:val="00135D8F"/>
    <w:rsid w:val="00136298"/>
    <w:rsid w:val="00136887"/>
    <w:rsid w:val="00136EE3"/>
    <w:rsid w:val="00136FC4"/>
    <w:rsid w:val="001370F3"/>
    <w:rsid w:val="001373C5"/>
    <w:rsid w:val="001375C8"/>
    <w:rsid w:val="00137605"/>
    <w:rsid w:val="00137C23"/>
    <w:rsid w:val="00137EA2"/>
    <w:rsid w:val="00140395"/>
    <w:rsid w:val="00140724"/>
    <w:rsid w:val="0014076F"/>
    <w:rsid w:val="00140EF1"/>
    <w:rsid w:val="0014109C"/>
    <w:rsid w:val="001410D6"/>
    <w:rsid w:val="00141635"/>
    <w:rsid w:val="00141796"/>
    <w:rsid w:val="001429B9"/>
    <w:rsid w:val="00142EAA"/>
    <w:rsid w:val="00144258"/>
    <w:rsid w:val="00144425"/>
    <w:rsid w:val="0014519F"/>
    <w:rsid w:val="00145426"/>
    <w:rsid w:val="001455B3"/>
    <w:rsid w:val="00145984"/>
    <w:rsid w:val="001459AF"/>
    <w:rsid w:val="00145A91"/>
    <w:rsid w:val="00145B63"/>
    <w:rsid w:val="00145CFD"/>
    <w:rsid w:val="00145DFA"/>
    <w:rsid w:val="00146059"/>
    <w:rsid w:val="001460E1"/>
    <w:rsid w:val="00146C32"/>
    <w:rsid w:val="00147177"/>
    <w:rsid w:val="001473E8"/>
    <w:rsid w:val="001474FC"/>
    <w:rsid w:val="00147874"/>
    <w:rsid w:val="00147DEE"/>
    <w:rsid w:val="00147E5F"/>
    <w:rsid w:val="00150038"/>
    <w:rsid w:val="00150095"/>
    <w:rsid w:val="00150374"/>
    <w:rsid w:val="00150648"/>
    <w:rsid w:val="001507BD"/>
    <w:rsid w:val="001508D4"/>
    <w:rsid w:val="001509A6"/>
    <w:rsid w:val="00150AB6"/>
    <w:rsid w:val="0015194F"/>
    <w:rsid w:val="0015213C"/>
    <w:rsid w:val="001521A6"/>
    <w:rsid w:val="00153126"/>
    <w:rsid w:val="00153942"/>
    <w:rsid w:val="00153ECC"/>
    <w:rsid w:val="00154281"/>
    <w:rsid w:val="0015493E"/>
    <w:rsid w:val="0015496C"/>
    <w:rsid w:val="00154F9D"/>
    <w:rsid w:val="00155081"/>
    <w:rsid w:val="001552E6"/>
    <w:rsid w:val="0015546F"/>
    <w:rsid w:val="00155BD9"/>
    <w:rsid w:val="00155D5A"/>
    <w:rsid w:val="00156078"/>
    <w:rsid w:val="00156870"/>
    <w:rsid w:val="00156AAF"/>
    <w:rsid w:val="00156CE9"/>
    <w:rsid w:val="00157445"/>
    <w:rsid w:val="001575AB"/>
    <w:rsid w:val="00157760"/>
    <w:rsid w:val="00157B8C"/>
    <w:rsid w:val="00157C96"/>
    <w:rsid w:val="00160A03"/>
    <w:rsid w:val="00160C3F"/>
    <w:rsid w:val="00160C4D"/>
    <w:rsid w:val="00160CE3"/>
    <w:rsid w:val="00161702"/>
    <w:rsid w:val="00161AC5"/>
    <w:rsid w:val="00162022"/>
    <w:rsid w:val="0016202E"/>
    <w:rsid w:val="001620E8"/>
    <w:rsid w:val="00162453"/>
    <w:rsid w:val="00162626"/>
    <w:rsid w:val="00162C56"/>
    <w:rsid w:val="0016413C"/>
    <w:rsid w:val="001642D5"/>
    <w:rsid w:val="00164CA0"/>
    <w:rsid w:val="00164FB6"/>
    <w:rsid w:val="001650FE"/>
    <w:rsid w:val="001655B0"/>
    <w:rsid w:val="001655B4"/>
    <w:rsid w:val="001655F0"/>
    <w:rsid w:val="00165695"/>
    <w:rsid w:val="0016571D"/>
    <w:rsid w:val="00165736"/>
    <w:rsid w:val="001659BD"/>
    <w:rsid w:val="001659E9"/>
    <w:rsid w:val="0016613D"/>
    <w:rsid w:val="00166961"/>
    <w:rsid w:val="00166A99"/>
    <w:rsid w:val="00166B54"/>
    <w:rsid w:val="00166B7F"/>
    <w:rsid w:val="00166E75"/>
    <w:rsid w:val="00166FC3"/>
    <w:rsid w:val="00167172"/>
    <w:rsid w:val="00167697"/>
    <w:rsid w:val="0016788F"/>
    <w:rsid w:val="001678DC"/>
    <w:rsid w:val="00167A77"/>
    <w:rsid w:val="00167B77"/>
    <w:rsid w:val="00167C18"/>
    <w:rsid w:val="001705BD"/>
    <w:rsid w:val="00170609"/>
    <w:rsid w:val="00170759"/>
    <w:rsid w:val="001709F6"/>
    <w:rsid w:val="00170A84"/>
    <w:rsid w:val="00170FE8"/>
    <w:rsid w:val="0017100D"/>
    <w:rsid w:val="001714C4"/>
    <w:rsid w:val="00171709"/>
    <w:rsid w:val="00171736"/>
    <w:rsid w:val="001719DC"/>
    <w:rsid w:val="00171B78"/>
    <w:rsid w:val="00171F52"/>
    <w:rsid w:val="0017278A"/>
    <w:rsid w:val="001731F8"/>
    <w:rsid w:val="00173504"/>
    <w:rsid w:val="001736EE"/>
    <w:rsid w:val="001738EB"/>
    <w:rsid w:val="00173AE7"/>
    <w:rsid w:val="00173BE6"/>
    <w:rsid w:val="00173F9E"/>
    <w:rsid w:val="00174031"/>
    <w:rsid w:val="00174144"/>
    <w:rsid w:val="001745D3"/>
    <w:rsid w:val="00174929"/>
    <w:rsid w:val="0017531D"/>
    <w:rsid w:val="00175832"/>
    <w:rsid w:val="00175908"/>
    <w:rsid w:val="00175B07"/>
    <w:rsid w:val="001760AF"/>
    <w:rsid w:val="0017623C"/>
    <w:rsid w:val="00176569"/>
    <w:rsid w:val="001765B1"/>
    <w:rsid w:val="001766A3"/>
    <w:rsid w:val="00176A18"/>
    <w:rsid w:val="00176C78"/>
    <w:rsid w:val="00176D60"/>
    <w:rsid w:val="00176FAB"/>
    <w:rsid w:val="00177544"/>
    <w:rsid w:val="0017769E"/>
    <w:rsid w:val="0017782F"/>
    <w:rsid w:val="00177EF9"/>
    <w:rsid w:val="0018042E"/>
    <w:rsid w:val="001804CD"/>
    <w:rsid w:val="00180B42"/>
    <w:rsid w:val="00180D2E"/>
    <w:rsid w:val="00180F31"/>
    <w:rsid w:val="00181004"/>
    <w:rsid w:val="001812E2"/>
    <w:rsid w:val="001817C8"/>
    <w:rsid w:val="00181854"/>
    <w:rsid w:val="001819C5"/>
    <w:rsid w:val="00181FA9"/>
    <w:rsid w:val="00182666"/>
    <w:rsid w:val="00182900"/>
    <w:rsid w:val="00183709"/>
    <w:rsid w:val="00183750"/>
    <w:rsid w:val="001844DA"/>
    <w:rsid w:val="00184F1D"/>
    <w:rsid w:val="00185114"/>
    <w:rsid w:val="0018553B"/>
    <w:rsid w:val="00185C20"/>
    <w:rsid w:val="00185D40"/>
    <w:rsid w:val="0018631D"/>
    <w:rsid w:val="00186487"/>
    <w:rsid w:val="0018699B"/>
    <w:rsid w:val="00186F8A"/>
    <w:rsid w:val="001873D4"/>
    <w:rsid w:val="001877D8"/>
    <w:rsid w:val="0018793A"/>
    <w:rsid w:val="00187A70"/>
    <w:rsid w:val="00187BB1"/>
    <w:rsid w:val="00187C58"/>
    <w:rsid w:val="00187CDB"/>
    <w:rsid w:val="00190171"/>
    <w:rsid w:val="001905A1"/>
    <w:rsid w:val="00190606"/>
    <w:rsid w:val="00190876"/>
    <w:rsid w:val="00190C73"/>
    <w:rsid w:val="00190CC6"/>
    <w:rsid w:val="00190DD4"/>
    <w:rsid w:val="00191B7B"/>
    <w:rsid w:val="00191C5D"/>
    <w:rsid w:val="00192083"/>
    <w:rsid w:val="00192383"/>
    <w:rsid w:val="00192F26"/>
    <w:rsid w:val="00193B7B"/>
    <w:rsid w:val="00193CF3"/>
    <w:rsid w:val="00193F5C"/>
    <w:rsid w:val="00194127"/>
    <w:rsid w:val="00194410"/>
    <w:rsid w:val="00194557"/>
    <w:rsid w:val="001948CB"/>
    <w:rsid w:val="00194D95"/>
    <w:rsid w:val="00194D9C"/>
    <w:rsid w:val="00194F99"/>
    <w:rsid w:val="00195377"/>
    <w:rsid w:val="00195A3C"/>
    <w:rsid w:val="00195D18"/>
    <w:rsid w:val="00195E3A"/>
    <w:rsid w:val="0019676F"/>
    <w:rsid w:val="0019683F"/>
    <w:rsid w:val="00196A61"/>
    <w:rsid w:val="00196A8B"/>
    <w:rsid w:val="0019715F"/>
    <w:rsid w:val="001972B1"/>
    <w:rsid w:val="001974D4"/>
    <w:rsid w:val="001975FB"/>
    <w:rsid w:val="001977EC"/>
    <w:rsid w:val="001978AE"/>
    <w:rsid w:val="00197BE4"/>
    <w:rsid w:val="001A0763"/>
    <w:rsid w:val="001A1339"/>
    <w:rsid w:val="001A1527"/>
    <w:rsid w:val="001A1555"/>
    <w:rsid w:val="001A1661"/>
    <w:rsid w:val="001A175F"/>
    <w:rsid w:val="001A19B4"/>
    <w:rsid w:val="001A1B68"/>
    <w:rsid w:val="001A1BB2"/>
    <w:rsid w:val="001A27B9"/>
    <w:rsid w:val="001A2A37"/>
    <w:rsid w:val="001A2B11"/>
    <w:rsid w:val="001A2F36"/>
    <w:rsid w:val="001A2FFF"/>
    <w:rsid w:val="001A31FA"/>
    <w:rsid w:val="001A3496"/>
    <w:rsid w:val="001A381D"/>
    <w:rsid w:val="001A3DFA"/>
    <w:rsid w:val="001A3EF1"/>
    <w:rsid w:val="001A4093"/>
    <w:rsid w:val="001A42CE"/>
    <w:rsid w:val="001A43F6"/>
    <w:rsid w:val="001A453A"/>
    <w:rsid w:val="001A46DA"/>
    <w:rsid w:val="001A4757"/>
    <w:rsid w:val="001A4D97"/>
    <w:rsid w:val="001A4FB3"/>
    <w:rsid w:val="001A501A"/>
    <w:rsid w:val="001A52CF"/>
    <w:rsid w:val="001A5914"/>
    <w:rsid w:val="001A5BFF"/>
    <w:rsid w:val="001A5E41"/>
    <w:rsid w:val="001A6195"/>
    <w:rsid w:val="001A62CD"/>
    <w:rsid w:val="001A639A"/>
    <w:rsid w:val="001A6519"/>
    <w:rsid w:val="001A6715"/>
    <w:rsid w:val="001A6A70"/>
    <w:rsid w:val="001A6F06"/>
    <w:rsid w:val="001A719C"/>
    <w:rsid w:val="001A7C03"/>
    <w:rsid w:val="001A7CE0"/>
    <w:rsid w:val="001A7D50"/>
    <w:rsid w:val="001A7E97"/>
    <w:rsid w:val="001B0F05"/>
    <w:rsid w:val="001B10C5"/>
    <w:rsid w:val="001B12D9"/>
    <w:rsid w:val="001B12FB"/>
    <w:rsid w:val="001B16C8"/>
    <w:rsid w:val="001B1A60"/>
    <w:rsid w:val="001B1CF8"/>
    <w:rsid w:val="001B20B3"/>
    <w:rsid w:val="001B20EC"/>
    <w:rsid w:val="001B3187"/>
    <w:rsid w:val="001B322B"/>
    <w:rsid w:val="001B3587"/>
    <w:rsid w:val="001B364C"/>
    <w:rsid w:val="001B38ED"/>
    <w:rsid w:val="001B3B03"/>
    <w:rsid w:val="001B3C11"/>
    <w:rsid w:val="001B3C27"/>
    <w:rsid w:val="001B3C2A"/>
    <w:rsid w:val="001B4020"/>
    <w:rsid w:val="001B406D"/>
    <w:rsid w:val="001B40C8"/>
    <w:rsid w:val="001B42D3"/>
    <w:rsid w:val="001B5580"/>
    <w:rsid w:val="001B5808"/>
    <w:rsid w:val="001B5AEE"/>
    <w:rsid w:val="001B5E4E"/>
    <w:rsid w:val="001B5EBE"/>
    <w:rsid w:val="001B608F"/>
    <w:rsid w:val="001B6210"/>
    <w:rsid w:val="001B630E"/>
    <w:rsid w:val="001B6498"/>
    <w:rsid w:val="001B6EB6"/>
    <w:rsid w:val="001B700A"/>
    <w:rsid w:val="001B7294"/>
    <w:rsid w:val="001B7AC1"/>
    <w:rsid w:val="001B7C4F"/>
    <w:rsid w:val="001B7CFF"/>
    <w:rsid w:val="001C0985"/>
    <w:rsid w:val="001C0BB4"/>
    <w:rsid w:val="001C0CFC"/>
    <w:rsid w:val="001C0F6D"/>
    <w:rsid w:val="001C12DF"/>
    <w:rsid w:val="001C162D"/>
    <w:rsid w:val="001C19C1"/>
    <w:rsid w:val="001C21C3"/>
    <w:rsid w:val="001C2379"/>
    <w:rsid w:val="001C24D1"/>
    <w:rsid w:val="001C26D4"/>
    <w:rsid w:val="001C29D1"/>
    <w:rsid w:val="001C304B"/>
    <w:rsid w:val="001C3113"/>
    <w:rsid w:val="001C3616"/>
    <w:rsid w:val="001C372A"/>
    <w:rsid w:val="001C38E9"/>
    <w:rsid w:val="001C3A55"/>
    <w:rsid w:val="001C3A64"/>
    <w:rsid w:val="001C3A6B"/>
    <w:rsid w:val="001C42F0"/>
    <w:rsid w:val="001C44CF"/>
    <w:rsid w:val="001C4891"/>
    <w:rsid w:val="001C491E"/>
    <w:rsid w:val="001C51D6"/>
    <w:rsid w:val="001C52EB"/>
    <w:rsid w:val="001C53CD"/>
    <w:rsid w:val="001C5587"/>
    <w:rsid w:val="001C5C58"/>
    <w:rsid w:val="001C5F2F"/>
    <w:rsid w:val="001C6350"/>
    <w:rsid w:val="001C6762"/>
    <w:rsid w:val="001C6A94"/>
    <w:rsid w:val="001C6F75"/>
    <w:rsid w:val="001C7BB7"/>
    <w:rsid w:val="001C7F0D"/>
    <w:rsid w:val="001D00BE"/>
    <w:rsid w:val="001D059B"/>
    <w:rsid w:val="001D0BAA"/>
    <w:rsid w:val="001D194C"/>
    <w:rsid w:val="001D19F8"/>
    <w:rsid w:val="001D1AC6"/>
    <w:rsid w:val="001D1BE1"/>
    <w:rsid w:val="001D1C22"/>
    <w:rsid w:val="001D1CB8"/>
    <w:rsid w:val="001D1EE8"/>
    <w:rsid w:val="001D25F7"/>
    <w:rsid w:val="001D2869"/>
    <w:rsid w:val="001D3504"/>
    <w:rsid w:val="001D3E33"/>
    <w:rsid w:val="001D44A9"/>
    <w:rsid w:val="001D477C"/>
    <w:rsid w:val="001D48C2"/>
    <w:rsid w:val="001D4F72"/>
    <w:rsid w:val="001D5156"/>
    <w:rsid w:val="001D51EE"/>
    <w:rsid w:val="001D553A"/>
    <w:rsid w:val="001D56D8"/>
    <w:rsid w:val="001D5D63"/>
    <w:rsid w:val="001D5E32"/>
    <w:rsid w:val="001D662A"/>
    <w:rsid w:val="001D6674"/>
    <w:rsid w:val="001D68A9"/>
    <w:rsid w:val="001D69F6"/>
    <w:rsid w:val="001D6ED1"/>
    <w:rsid w:val="001D73E9"/>
    <w:rsid w:val="001D7529"/>
    <w:rsid w:val="001D7622"/>
    <w:rsid w:val="001D7849"/>
    <w:rsid w:val="001E0988"/>
    <w:rsid w:val="001E0B4B"/>
    <w:rsid w:val="001E1104"/>
    <w:rsid w:val="001E17EE"/>
    <w:rsid w:val="001E2057"/>
    <w:rsid w:val="001E3126"/>
    <w:rsid w:val="001E342F"/>
    <w:rsid w:val="001E3641"/>
    <w:rsid w:val="001E3BB7"/>
    <w:rsid w:val="001E4075"/>
    <w:rsid w:val="001E4458"/>
    <w:rsid w:val="001E4A4E"/>
    <w:rsid w:val="001E4EC8"/>
    <w:rsid w:val="001E5296"/>
    <w:rsid w:val="001E52D0"/>
    <w:rsid w:val="001E5898"/>
    <w:rsid w:val="001E679C"/>
    <w:rsid w:val="001E6E9B"/>
    <w:rsid w:val="001E74A2"/>
    <w:rsid w:val="001E7571"/>
    <w:rsid w:val="001E79EC"/>
    <w:rsid w:val="001E7C9C"/>
    <w:rsid w:val="001E7D80"/>
    <w:rsid w:val="001F0064"/>
    <w:rsid w:val="001F019D"/>
    <w:rsid w:val="001F02C9"/>
    <w:rsid w:val="001F04C1"/>
    <w:rsid w:val="001F066B"/>
    <w:rsid w:val="001F06CB"/>
    <w:rsid w:val="001F0917"/>
    <w:rsid w:val="001F0E07"/>
    <w:rsid w:val="001F10BF"/>
    <w:rsid w:val="001F1264"/>
    <w:rsid w:val="001F265E"/>
    <w:rsid w:val="001F27EF"/>
    <w:rsid w:val="001F2A08"/>
    <w:rsid w:val="001F2AF4"/>
    <w:rsid w:val="001F2BDD"/>
    <w:rsid w:val="001F2EC3"/>
    <w:rsid w:val="001F3A14"/>
    <w:rsid w:val="001F3F6B"/>
    <w:rsid w:val="001F4031"/>
    <w:rsid w:val="001F4041"/>
    <w:rsid w:val="001F4283"/>
    <w:rsid w:val="001F4BC4"/>
    <w:rsid w:val="001F4FE5"/>
    <w:rsid w:val="001F51FB"/>
    <w:rsid w:val="001F526D"/>
    <w:rsid w:val="001F6640"/>
    <w:rsid w:val="001F668A"/>
    <w:rsid w:val="001F692A"/>
    <w:rsid w:val="001F6A76"/>
    <w:rsid w:val="001F6B79"/>
    <w:rsid w:val="001F70B0"/>
    <w:rsid w:val="001F7219"/>
    <w:rsid w:val="001F7299"/>
    <w:rsid w:val="001F739B"/>
    <w:rsid w:val="001F74EC"/>
    <w:rsid w:val="001F7675"/>
    <w:rsid w:val="001F78C4"/>
    <w:rsid w:val="001F7A57"/>
    <w:rsid w:val="001F7BE1"/>
    <w:rsid w:val="001F7FE3"/>
    <w:rsid w:val="0020001D"/>
    <w:rsid w:val="00200066"/>
    <w:rsid w:val="0020021E"/>
    <w:rsid w:val="00200846"/>
    <w:rsid w:val="002008F6"/>
    <w:rsid w:val="00200ACA"/>
    <w:rsid w:val="00200FAF"/>
    <w:rsid w:val="0020101A"/>
    <w:rsid w:val="002012D2"/>
    <w:rsid w:val="002014B8"/>
    <w:rsid w:val="002014D6"/>
    <w:rsid w:val="00201CE7"/>
    <w:rsid w:val="0020209C"/>
    <w:rsid w:val="00202205"/>
    <w:rsid w:val="002025B5"/>
    <w:rsid w:val="00202618"/>
    <w:rsid w:val="0020266D"/>
    <w:rsid w:val="00202F0E"/>
    <w:rsid w:val="002032D7"/>
    <w:rsid w:val="002035D3"/>
    <w:rsid w:val="00203771"/>
    <w:rsid w:val="00203EAB"/>
    <w:rsid w:val="00203EED"/>
    <w:rsid w:val="0020407D"/>
    <w:rsid w:val="002048E5"/>
    <w:rsid w:val="00205930"/>
    <w:rsid w:val="00206439"/>
    <w:rsid w:val="00206457"/>
    <w:rsid w:val="00206A85"/>
    <w:rsid w:val="00206B8C"/>
    <w:rsid w:val="00206B91"/>
    <w:rsid w:val="00206F96"/>
    <w:rsid w:val="00207716"/>
    <w:rsid w:val="00210012"/>
    <w:rsid w:val="002103DD"/>
    <w:rsid w:val="00210665"/>
    <w:rsid w:val="00210E29"/>
    <w:rsid w:val="002116E1"/>
    <w:rsid w:val="00211AEA"/>
    <w:rsid w:val="00211DBE"/>
    <w:rsid w:val="00211E03"/>
    <w:rsid w:val="00211E9E"/>
    <w:rsid w:val="002122ED"/>
    <w:rsid w:val="002129BF"/>
    <w:rsid w:val="00212C2D"/>
    <w:rsid w:val="002136A6"/>
    <w:rsid w:val="00213AAA"/>
    <w:rsid w:val="0021490D"/>
    <w:rsid w:val="00214A82"/>
    <w:rsid w:val="00214C79"/>
    <w:rsid w:val="00214D19"/>
    <w:rsid w:val="00214DE3"/>
    <w:rsid w:val="00215003"/>
    <w:rsid w:val="002152D9"/>
    <w:rsid w:val="00215812"/>
    <w:rsid w:val="00215CD2"/>
    <w:rsid w:val="00215D95"/>
    <w:rsid w:val="002164C7"/>
    <w:rsid w:val="0021683B"/>
    <w:rsid w:val="00216A24"/>
    <w:rsid w:val="00216A67"/>
    <w:rsid w:val="00216AC5"/>
    <w:rsid w:val="002170B5"/>
    <w:rsid w:val="00217308"/>
    <w:rsid w:val="002173B6"/>
    <w:rsid w:val="00217568"/>
    <w:rsid w:val="00217608"/>
    <w:rsid w:val="002176E7"/>
    <w:rsid w:val="00217885"/>
    <w:rsid w:val="002178E0"/>
    <w:rsid w:val="00217AF0"/>
    <w:rsid w:val="00217B22"/>
    <w:rsid w:val="00217C37"/>
    <w:rsid w:val="00217D57"/>
    <w:rsid w:val="00217E5F"/>
    <w:rsid w:val="00220199"/>
    <w:rsid w:val="00221008"/>
    <w:rsid w:val="00221168"/>
    <w:rsid w:val="00221460"/>
    <w:rsid w:val="00221936"/>
    <w:rsid w:val="002222EC"/>
    <w:rsid w:val="00222562"/>
    <w:rsid w:val="00222611"/>
    <w:rsid w:val="0022269C"/>
    <w:rsid w:val="00223048"/>
    <w:rsid w:val="002230B3"/>
    <w:rsid w:val="00223499"/>
    <w:rsid w:val="00223525"/>
    <w:rsid w:val="00223BD2"/>
    <w:rsid w:val="002243B2"/>
    <w:rsid w:val="00224558"/>
    <w:rsid w:val="002250B5"/>
    <w:rsid w:val="00225968"/>
    <w:rsid w:val="00226AC8"/>
    <w:rsid w:val="00226B8B"/>
    <w:rsid w:val="00227007"/>
    <w:rsid w:val="00227831"/>
    <w:rsid w:val="00227D77"/>
    <w:rsid w:val="00227D9A"/>
    <w:rsid w:val="00227EE4"/>
    <w:rsid w:val="0023026E"/>
    <w:rsid w:val="002306DA"/>
    <w:rsid w:val="002308E6"/>
    <w:rsid w:val="00230AC9"/>
    <w:rsid w:val="00230ADF"/>
    <w:rsid w:val="00230D85"/>
    <w:rsid w:val="00230ED9"/>
    <w:rsid w:val="002313E1"/>
    <w:rsid w:val="0023181D"/>
    <w:rsid w:val="0023182B"/>
    <w:rsid w:val="00231D41"/>
    <w:rsid w:val="00232009"/>
    <w:rsid w:val="00232690"/>
    <w:rsid w:val="00232775"/>
    <w:rsid w:val="002328B4"/>
    <w:rsid w:val="00232CE9"/>
    <w:rsid w:val="00233281"/>
    <w:rsid w:val="00233467"/>
    <w:rsid w:val="002337E3"/>
    <w:rsid w:val="00233F46"/>
    <w:rsid w:val="002344C2"/>
    <w:rsid w:val="00234984"/>
    <w:rsid w:val="00234F01"/>
    <w:rsid w:val="002351A0"/>
    <w:rsid w:val="00235925"/>
    <w:rsid w:val="00235CCC"/>
    <w:rsid w:val="00236081"/>
    <w:rsid w:val="00236831"/>
    <w:rsid w:val="00236B8C"/>
    <w:rsid w:val="00236D6E"/>
    <w:rsid w:val="00236DF8"/>
    <w:rsid w:val="00236F7D"/>
    <w:rsid w:val="00237301"/>
    <w:rsid w:val="00237491"/>
    <w:rsid w:val="002375C3"/>
    <w:rsid w:val="00237742"/>
    <w:rsid w:val="002377CA"/>
    <w:rsid w:val="00237E30"/>
    <w:rsid w:val="002401AA"/>
    <w:rsid w:val="002403AB"/>
    <w:rsid w:val="00240540"/>
    <w:rsid w:val="002406C1"/>
    <w:rsid w:val="00240970"/>
    <w:rsid w:val="002413F9"/>
    <w:rsid w:val="002418C5"/>
    <w:rsid w:val="00241952"/>
    <w:rsid w:val="00241CE5"/>
    <w:rsid w:val="00242508"/>
    <w:rsid w:val="002428CD"/>
    <w:rsid w:val="00242E99"/>
    <w:rsid w:val="0024358F"/>
    <w:rsid w:val="002436C3"/>
    <w:rsid w:val="0024378C"/>
    <w:rsid w:val="00243B48"/>
    <w:rsid w:val="002442D2"/>
    <w:rsid w:val="002446F5"/>
    <w:rsid w:val="002452CD"/>
    <w:rsid w:val="00245778"/>
    <w:rsid w:val="002459A7"/>
    <w:rsid w:val="00245CD4"/>
    <w:rsid w:val="002461A0"/>
    <w:rsid w:val="00246381"/>
    <w:rsid w:val="0024647E"/>
    <w:rsid w:val="00246488"/>
    <w:rsid w:val="002464D6"/>
    <w:rsid w:val="00246D42"/>
    <w:rsid w:val="002474BB"/>
    <w:rsid w:val="00247547"/>
    <w:rsid w:val="0024757C"/>
    <w:rsid w:val="0024791E"/>
    <w:rsid w:val="00247DA9"/>
    <w:rsid w:val="00247EEF"/>
    <w:rsid w:val="00250008"/>
    <w:rsid w:val="00250197"/>
    <w:rsid w:val="00250199"/>
    <w:rsid w:val="00250BBC"/>
    <w:rsid w:val="0025166D"/>
    <w:rsid w:val="002517D6"/>
    <w:rsid w:val="00251857"/>
    <w:rsid w:val="00251CAD"/>
    <w:rsid w:val="00251CDB"/>
    <w:rsid w:val="00251F27"/>
    <w:rsid w:val="0025288D"/>
    <w:rsid w:val="0025295F"/>
    <w:rsid w:val="00252CAC"/>
    <w:rsid w:val="00252F03"/>
    <w:rsid w:val="00254068"/>
    <w:rsid w:val="00254132"/>
    <w:rsid w:val="0025437F"/>
    <w:rsid w:val="002543B7"/>
    <w:rsid w:val="002543E4"/>
    <w:rsid w:val="0025491D"/>
    <w:rsid w:val="00254C66"/>
    <w:rsid w:val="00254F01"/>
    <w:rsid w:val="00255EE8"/>
    <w:rsid w:val="00255FCE"/>
    <w:rsid w:val="00256194"/>
    <w:rsid w:val="002561EB"/>
    <w:rsid w:val="002562FC"/>
    <w:rsid w:val="0025655B"/>
    <w:rsid w:val="00256DF7"/>
    <w:rsid w:val="0025779A"/>
    <w:rsid w:val="0025779D"/>
    <w:rsid w:val="0026029A"/>
    <w:rsid w:val="00260D15"/>
    <w:rsid w:val="00260E67"/>
    <w:rsid w:val="00260F20"/>
    <w:rsid w:val="00261176"/>
    <w:rsid w:val="00261393"/>
    <w:rsid w:val="002613DB"/>
    <w:rsid w:val="002618A3"/>
    <w:rsid w:val="00262123"/>
    <w:rsid w:val="00262646"/>
    <w:rsid w:val="00262D2B"/>
    <w:rsid w:val="002636FF"/>
    <w:rsid w:val="002645DA"/>
    <w:rsid w:val="00264E7D"/>
    <w:rsid w:val="002657DE"/>
    <w:rsid w:val="002664C8"/>
    <w:rsid w:val="00266664"/>
    <w:rsid w:val="00266C14"/>
    <w:rsid w:val="00266FD1"/>
    <w:rsid w:val="00267219"/>
    <w:rsid w:val="002676F0"/>
    <w:rsid w:val="002678EF"/>
    <w:rsid w:val="00270446"/>
    <w:rsid w:val="002709C0"/>
    <w:rsid w:val="00270D16"/>
    <w:rsid w:val="00270ED1"/>
    <w:rsid w:val="0027103B"/>
    <w:rsid w:val="0027108A"/>
    <w:rsid w:val="0027121E"/>
    <w:rsid w:val="00271908"/>
    <w:rsid w:val="002719B4"/>
    <w:rsid w:val="00271DA3"/>
    <w:rsid w:val="00272180"/>
    <w:rsid w:val="00272224"/>
    <w:rsid w:val="0027239D"/>
    <w:rsid w:val="00272821"/>
    <w:rsid w:val="00272AB6"/>
    <w:rsid w:val="00272F4D"/>
    <w:rsid w:val="0027343A"/>
    <w:rsid w:val="0027364E"/>
    <w:rsid w:val="00273CD5"/>
    <w:rsid w:val="00274631"/>
    <w:rsid w:val="00274945"/>
    <w:rsid w:val="00274BBF"/>
    <w:rsid w:val="0027520A"/>
    <w:rsid w:val="00275496"/>
    <w:rsid w:val="0027561D"/>
    <w:rsid w:val="0027585D"/>
    <w:rsid w:val="00275FB4"/>
    <w:rsid w:val="00276615"/>
    <w:rsid w:val="00276E24"/>
    <w:rsid w:val="002772ED"/>
    <w:rsid w:val="00277358"/>
    <w:rsid w:val="00277383"/>
    <w:rsid w:val="0027787A"/>
    <w:rsid w:val="00277E59"/>
    <w:rsid w:val="00277F37"/>
    <w:rsid w:val="00277FA6"/>
    <w:rsid w:val="002803B0"/>
    <w:rsid w:val="0028083E"/>
    <w:rsid w:val="002808C0"/>
    <w:rsid w:val="00280A17"/>
    <w:rsid w:val="002810C1"/>
    <w:rsid w:val="0028153E"/>
    <w:rsid w:val="00281667"/>
    <w:rsid w:val="00281697"/>
    <w:rsid w:val="00281FAA"/>
    <w:rsid w:val="00281FDB"/>
    <w:rsid w:val="0028231C"/>
    <w:rsid w:val="002823E7"/>
    <w:rsid w:val="002824CF"/>
    <w:rsid w:val="002832D4"/>
    <w:rsid w:val="00283478"/>
    <w:rsid w:val="00283911"/>
    <w:rsid w:val="00283CB0"/>
    <w:rsid w:val="00283F18"/>
    <w:rsid w:val="00283F7A"/>
    <w:rsid w:val="00283F89"/>
    <w:rsid w:val="00284054"/>
    <w:rsid w:val="00284309"/>
    <w:rsid w:val="0028484C"/>
    <w:rsid w:val="00284A2D"/>
    <w:rsid w:val="00284AC3"/>
    <w:rsid w:val="00284BAB"/>
    <w:rsid w:val="00284BEB"/>
    <w:rsid w:val="00285217"/>
    <w:rsid w:val="00285391"/>
    <w:rsid w:val="00285468"/>
    <w:rsid w:val="00285C95"/>
    <w:rsid w:val="00285DB7"/>
    <w:rsid w:val="0028600C"/>
    <w:rsid w:val="00286614"/>
    <w:rsid w:val="0028663B"/>
    <w:rsid w:val="002872FD"/>
    <w:rsid w:val="002873A1"/>
    <w:rsid w:val="00287719"/>
    <w:rsid w:val="00287779"/>
    <w:rsid w:val="002879F7"/>
    <w:rsid w:val="00287E8A"/>
    <w:rsid w:val="00290279"/>
    <w:rsid w:val="00290C6C"/>
    <w:rsid w:val="002910D9"/>
    <w:rsid w:val="00291C64"/>
    <w:rsid w:val="00291ECE"/>
    <w:rsid w:val="00292281"/>
    <w:rsid w:val="002922FD"/>
    <w:rsid w:val="002928CE"/>
    <w:rsid w:val="00292D97"/>
    <w:rsid w:val="00293126"/>
    <w:rsid w:val="002931D4"/>
    <w:rsid w:val="00293C95"/>
    <w:rsid w:val="00293CD8"/>
    <w:rsid w:val="002941AC"/>
    <w:rsid w:val="00294DEF"/>
    <w:rsid w:val="00295028"/>
    <w:rsid w:val="00295262"/>
    <w:rsid w:val="002955A7"/>
    <w:rsid w:val="002958D3"/>
    <w:rsid w:val="00295902"/>
    <w:rsid w:val="00295BB7"/>
    <w:rsid w:val="00295F1E"/>
    <w:rsid w:val="00295FEA"/>
    <w:rsid w:val="00296333"/>
    <w:rsid w:val="00296462"/>
    <w:rsid w:val="0029646F"/>
    <w:rsid w:val="00296630"/>
    <w:rsid w:val="00296802"/>
    <w:rsid w:val="002968A9"/>
    <w:rsid w:val="00296B5F"/>
    <w:rsid w:val="00296BAF"/>
    <w:rsid w:val="00296FDD"/>
    <w:rsid w:val="0029703E"/>
    <w:rsid w:val="002970D6"/>
    <w:rsid w:val="002970ED"/>
    <w:rsid w:val="00297669"/>
    <w:rsid w:val="00297711"/>
    <w:rsid w:val="00297BDD"/>
    <w:rsid w:val="00297D57"/>
    <w:rsid w:val="002A005D"/>
    <w:rsid w:val="002A0275"/>
    <w:rsid w:val="002A0C6D"/>
    <w:rsid w:val="002A0DC3"/>
    <w:rsid w:val="002A113E"/>
    <w:rsid w:val="002A13AA"/>
    <w:rsid w:val="002A1658"/>
    <w:rsid w:val="002A1691"/>
    <w:rsid w:val="002A1C66"/>
    <w:rsid w:val="002A1C73"/>
    <w:rsid w:val="002A2277"/>
    <w:rsid w:val="002A27A0"/>
    <w:rsid w:val="002A3751"/>
    <w:rsid w:val="002A38A0"/>
    <w:rsid w:val="002A3F2C"/>
    <w:rsid w:val="002A4093"/>
    <w:rsid w:val="002A4128"/>
    <w:rsid w:val="002A4668"/>
    <w:rsid w:val="002A48F7"/>
    <w:rsid w:val="002A4A88"/>
    <w:rsid w:val="002A5138"/>
    <w:rsid w:val="002A5147"/>
    <w:rsid w:val="002A552B"/>
    <w:rsid w:val="002A55E2"/>
    <w:rsid w:val="002A56EA"/>
    <w:rsid w:val="002A57FC"/>
    <w:rsid w:val="002A5875"/>
    <w:rsid w:val="002A59D9"/>
    <w:rsid w:val="002A6072"/>
    <w:rsid w:val="002A64C7"/>
    <w:rsid w:val="002A6761"/>
    <w:rsid w:val="002A6BD3"/>
    <w:rsid w:val="002A6DA7"/>
    <w:rsid w:val="002A72AF"/>
    <w:rsid w:val="002A72DE"/>
    <w:rsid w:val="002A75FA"/>
    <w:rsid w:val="002A7722"/>
    <w:rsid w:val="002A7C62"/>
    <w:rsid w:val="002A7FD3"/>
    <w:rsid w:val="002B0125"/>
    <w:rsid w:val="002B0601"/>
    <w:rsid w:val="002B0C0C"/>
    <w:rsid w:val="002B0D66"/>
    <w:rsid w:val="002B10C1"/>
    <w:rsid w:val="002B10D7"/>
    <w:rsid w:val="002B1B71"/>
    <w:rsid w:val="002B1C28"/>
    <w:rsid w:val="002B1D1D"/>
    <w:rsid w:val="002B2009"/>
    <w:rsid w:val="002B20ED"/>
    <w:rsid w:val="002B23C6"/>
    <w:rsid w:val="002B2526"/>
    <w:rsid w:val="002B28AE"/>
    <w:rsid w:val="002B2EDF"/>
    <w:rsid w:val="002B2FC0"/>
    <w:rsid w:val="002B2FD5"/>
    <w:rsid w:val="002B30EB"/>
    <w:rsid w:val="002B31A3"/>
    <w:rsid w:val="002B336E"/>
    <w:rsid w:val="002B34B2"/>
    <w:rsid w:val="002B38F1"/>
    <w:rsid w:val="002B3C01"/>
    <w:rsid w:val="002B3D58"/>
    <w:rsid w:val="002B435F"/>
    <w:rsid w:val="002B43A2"/>
    <w:rsid w:val="002B43C9"/>
    <w:rsid w:val="002B5110"/>
    <w:rsid w:val="002B51FD"/>
    <w:rsid w:val="002B5479"/>
    <w:rsid w:val="002B5C09"/>
    <w:rsid w:val="002B602B"/>
    <w:rsid w:val="002B64DB"/>
    <w:rsid w:val="002B6B56"/>
    <w:rsid w:val="002B6C12"/>
    <w:rsid w:val="002B72BD"/>
    <w:rsid w:val="002B7E68"/>
    <w:rsid w:val="002B7FAB"/>
    <w:rsid w:val="002C002D"/>
    <w:rsid w:val="002C029E"/>
    <w:rsid w:val="002C02C7"/>
    <w:rsid w:val="002C0380"/>
    <w:rsid w:val="002C077D"/>
    <w:rsid w:val="002C0931"/>
    <w:rsid w:val="002C10CE"/>
    <w:rsid w:val="002C1246"/>
    <w:rsid w:val="002C1393"/>
    <w:rsid w:val="002C179E"/>
    <w:rsid w:val="002C1B55"/>
    <w:rsid w:val="002C1C98"/>
    <w:rsid w:val="002C1ED9"/>
    <w:rsid w:val="002C2AC0"/>
    <w:rsid w:val="002C362D"/>
    <w:rsid w:val="002C3BCC"/>
    <w:rsid w:val="002C420F"/>
    <w:rsid w:val="002C426A"/>
    <w:rsid w:val="002C47BE"/>
    <w:rsid w:val="002C48CD"/>
    <w:rsid w:val="002C4ACD"/>
    <w:rsid w:val="002C51FF"/>
    <w:rsid w:val="002C5267"/>
    <w:rsid w:val="002C5815"/>
    <w:rsid w:val="002C5863"/>
    <w:rsid w:val="002C5BCB"/>
    <w:rsid w:val="002C5C27"/>
    <w:rsid w:val="002C5EC5"/>
    <w:rsid w:val="002C6327"/>
    <w:rsid w:val="002C656E"/>
    <w:rsid w:val="002C686F"/>
    <w:rsid w:val="002C6B91"/>
    <w:rsid w:val="002C6BA2"/>
    <w:rsid w:val="002C6CA2"/>
    <w:rsid w:val="002C6F2A"/>
    <w:rsid w:val="002C70B9"/>
    <w:rsid w:val="002C716C"/>
    <w:rsid w:val="002C78F7"/>
    <w:rsid w:val="002C7C1C"/>
    <w:rsid w:val="002D02AE"/>
    <w:rsid w:val="002D06D3"/>
    <w:rsid w:val="002D074A"/>
    <w:rsid w:val="002D0A34"/>
    <w:rsid w:val="002D13A2"/>
    <w:rsid w:val="002D1513"/>
    <w:rsid w:val="002D1592"/>
    <w:rsid w:val="002D1932"/>
    <w:rsid w:val="002D194C"/>
    <w:rsid w:val="002D1A4A"/>
    <w:rsid w:val="002D202D"/>
    <w:rsid w:val="002D219F"/>
    <w:rsid w:val="002D2442"/>
    <w:rsid w:val="002D26ED"/>
    <w:rsid w:val="002D2901"/>
    <w:rsid w:val="002D2BDD"/>
    <w:rsid w:val="002D2D26"/>
    <w:rsid w:val="002D2F9B"/>
    <w:rsid w:val="002D3267"/>
    <w:rsid w:val="002D33E0"/>
    <w:rsid w:val="002D3400"/>
    <w:rsid w:val="002D3674"/>
    <w:rsid w:val="002D4119"/>
    <w:rsid w:val="002D424E"/>
    <w:rsid w:val="002D432D"/>
    <w:rsid w:val="002D4FCA"/>
    <w:rsid w:val="002D53FA"/>
    <w:rsid w:val="002D5439"/>
    <w:rsid w:val="002D5710"/>
    <w:rsid w:val="002D57DD"/>
    <w:rsid w:val="002D582F"/>
    <w:rsid w:val="002D5B8B"/>
    <w:rsid w:val="002D5BE6"/>
    <w:rsid w:val="002D655C"/>
    <w:rsid w:val="002D69C3"/>
    <w:rsid w:val="002D6EB1"/>
    <w:rsid w:val="002D7226"/>
    <w:rsid w:val="002D779F"/>
    <w:rsid w:val="002D77A7"/>
    <w:rsid w:val="002D7C5E"/>
    <w:rsid w:val="002E070D"/>
    <w:rsid w:val="002E073E"/>
    <w:rsid w:val="002E0DCF"/>
    <w:rsid w:val="002E1352"/>
    <w:rsid w:val="002E1417"/>
    <w:rsid w:val="002E1873"/>
    <w:rsid w:val="002E2774"/>
    <w:rsid w:val="002E27E7"/>
    <w:rsid w:val="002E29CE"/>
    <w:rsid w:val="002E2B15"/>
    <w:rsid w:val="002E30EE"/>
    <w:rsid w:val="002E3651"/>
    <w:rsid w:val="002E367B"/>
    <w:rsid w:val="002E43EB"/>
    <w:rsid w:val="002E44A8"/>
    <w:rsid w:val="002E4627"/>
    <w:rsid w:val="002E4B6E"/>
    <w:rsid w:val="002E4E4E"/>
    <w:rsid w:val="002E5146"/>
    <w:rsid w:val="002E5748"/>
    <w:rsid w:val="002E57CF"/>
    <w:rsid w:val="002E595A"/>
    <w:rsid w:val="002E5991"/>
    <w:rsid w:val="002E5CE7"/>
    <w:rsid w:val="002E64B4"/>
    <w:rsid w:val="002E64FC"/>
    <w:rsid w:val="002E701E"/>
    <w:rsid w:val="002E7020"/>
    <w:rsid w:val="002E73C6"/>
    <w:rsid w:val="002E7CC8"/>
    <w:rsid w:val="002F0135"/>
    <w:rsid w:val="002F0446"/>
    <w:rsid w:val="002F0A87"/>
    <w:rsid w:val="002F0EA1"/>
    <w:rsid w:val="002F2242"/>
    <w:rsid w:val="002F244C"/>
    <w:rsid w:val="002F24CE"/>
    <w:rsid w:val="002F24D8"/>
    <w:rsid w:val="002F27FC"/>
    <w:rsid w:val="002F299B"/>
    <w:rsid w:val="002F2A3F"/>
    <w:rsid w:val="002F2C51"/>
    <w:rsid w:val="002F3890"/>
    <w:rsid w:val="002F3B20"/>
    <w:rsid w:val="002F4ABE"/>
    <w:rsid w:val="002F4AE9"/>
    <w:rsid w:val="002F51E1"/>
    <w:rsid w:val="002F561B"/>
    <w:rsid w:val="002F5B3D"/>
    <w:rsid w:val="002F697E"/>
    <w:rsid w:val="002F6A2E"/>
    <w:rsid w:val="002F6B4E"/>
    <w:rsid w:val="002F73AB"/>
    <w:rsid w:val="002F73AD"/>
    <w:rsid w:val="00300059"/>
    <w:rsid w:val="00300393"/>
    <w:rsid w:val="00300520"/>
    <w:rsid w:val="00300AE4"/>
    <w:rsid w:val="00300C62"/>
    <w:rsid w:val="00301756"/>
    <w:rsid w:val="0030185F"/>
    <w:rsid w:val="00302229"/>
    <w:rsid w:val="00302636"/>
    <w:rsid w:val="0030267A"/>
    <w:rsid w:val="00302715"/>
    <w:rsid w:val="00302957"/>
    <w:rsid w:val="00302C9E"/>
    <w:rsid w:val="003034DA"/>
    <w:rsid w:val="0030355A"/>
    <w:rsid w:val="00303866"/>
    <w:rsid w:val="00303CC6"/>
    <w:rsid w:val="00303CF1"/>
    <w:rsid w:val="0030453B"/>
    <w:rsid w:val="00304577"/>
    <w:rsid w:val="00304656"/>
    <w:rsid w:val="003048BD"/>
    <w:rsid w:val="00304ABA"/>
    <w:rsid w:val="00304D42"/>
    <w:rsid w:val="0030564B"/>
    <w:rsid w:val="00305A04"/>
    <w:rsid w:val="00305AD9"/>
    <w:rsid w:val="00305F70"/>
    <w:rsid w:val="00306641"/>
    <w:rsid w:val="003069A8"/>
    <w:rsid w:val="0030711A"/>
    <w:rsid w:val="003073A2"/>
    <w:rsid w:val="003078C4"/>
    <w:rsid w:val="00307E91"/>
    <w:rsid w:val="003102EC"/>
    <w:rsid w:val="00310786"/>
    <w:rsid w:val="003111E6"/>
    <w:rsid w:val="00311634"/>
    <w:rsid w:val="003117DF"/>
    <w:rsid w:val="00311D65"/>
    <w:rsid w:val="0031223E"/>
    <w:rsid w:val="00312ECF"/>
    <w:rsid w:val="00313BDB"/>
    <w:rsid w:val="00314148"/>
    <w:rsid w:val="00314648"/>
    <w:rsid w:val="0031470E"/>
    <w:rsid w:val="00314B94"/>
    <w:rsid w:val="0031590F"/>
    <w:rsid w:val="00315B98"/>
    <w:rsid w:val="00315BBF"/>
    <w:rsid w:val="00316376"/>
    <w:rsid w:val="003163DD"/>
    <w:rsid w:val="00316455"/>
    <w:rsid w:val="003168F4"/>
    <w:rsid w:val="00316FBB"/>
    <w:rsid w:val="00317A0A"/>
    <w:rsid w:val="00317AE6"/>
    <w:rsid w:val="00317CEC"/>
    <w:rsid w:val="0032048A"/>
    <w:rsid w:val="003206E0"/>
    <w:rsid w:val="003209CB"/>
    <w:rsid w:val="00320BAD"/>
    <w:rsid w:val="00320D0B"/>
    <w:rsid w:val="00320FE8"/>
    <w:rsid w:val="0032121F"/>
    <w:rsid w:val="00321788"/>
    <w:rsid w:val="00321BE4"/>
    <w:rsid w:val="00322892"/>
    <w:rsid w:val="0032292D"/>
    <w:rsid w:val="0032298C"/>
    <w:rsid w:val="003237A6"/>
    <w:rsid w:val="0032395B"/>
    <w:rsid w:val="00323C16"/>
    <w:rsid w:val="00323C42"/>
    <w:rsid w:val="00323E89"/>
    <w:rsid w:val="00324107"/>
    <w:rsid w:val="00324521"/>
    <w:rsid w:val="003247C9"/>
    <w:rsid w:val="00324E8B"/>
    <w:rsid w:val="00325027"/>
    <w:rsid w:val="0032527A"/>
    <w:rsid w:val="00325376"/>
    <w:rsid w:val="003253C8"/>
    <w:rsid w:val="00325C4E"/>
    <w:rsid w:val="00325D50"/>
    <w:rsid w:val="00325E0B"/>
    <w:rsid w:val="00325E3B"/>
    <w:rsid w:val="00326A49"/>
    <w:rsid w:val="00326D45"/>
    <w:rsid w:val="0032718E"/>
    <w:rsid w:val="003271F0"/>
    <w:rsid w:val="00327D5E"/>
    <w:rsid w:val="003304C7"/>
    <w:rsid w:val="00330516"/>
    <w:rsid w:val="00330519"/>
    <w:rsid w:val="003309C5"/>
    <w:rsid w:val="00330CB0"/>
    <w:rsid w:val="003316AF"/>
    <w:rsid w:val="00331E19"/>
    <w:rsid w:val="00332332"/>
    <w:rsid w:val="0033241E"/>
    <w:rsid w:val="003324DE"/>
    <w:rsid w:val="003326CC"/>
    <w:rsid w:val="003327C5"/>
    <w:rsid w:val="003328E3"/>
    <w:rsid w:val="00332D03"/>
    <w:rsid w:val="0033305D"/>
    <w:rsid w:val="003339B9"/>
    <w:rsid w:val="00333F11"/>
    <w:rsid w:val="0033402E"/>
    <w:rsid w:val="0033461F"/>
    <w:rsid w:val="003349B3"/>
    <w:rsid w:val="00334CFD"/>
    <w:rsid w:val="00334E1E"/>
    <w:rsid w:val="00335004"/>
    <w:rsid w:val="0033521F"/>
    <w:rsid w:val="00335FB8"/>
    <w:rsid w:val="00336166"/>
    <w:rsid w:val="003361B1"/>
    <w:rsid w:val="00336E33"/>
    <w:rsid w:val="00336EBB"/>
    <w:rsid w:val="0033762D"/>
    <w:rsid w:val="003379BA"/>
    <w:rsid w:val="00340303"/>
    <w:rsid w:val="0034038D"/>
    <w:rsid w:val="0034089C"/>
    <w:rsid w:val="00340BEA"/>
    <w:rsid w:val="00340F89"/>
    <w:rsid w:val="00341B3D"/>
    <w:rsid w:val="00341B8F"/>
    <w:rsid w:val="00341CA3"/>
    <w:rsid w:val="00341E5D"/>
    <w:rsid w:val="003420C4"/>
    <w:rsid w:val="00342233"/>
    <w:rsid w:val="00342728"/>
    <w:rsid w:val="00342C76"/>
    <w:rsid w:val="00342D6B"/>
    <w:rsid w:val="00343340"/>
    <w:rsid w:val="00343361"/>
    <w:rsid w:val="00343912"/>
    <w:rsid w:val="00343C82"/>
    <w:rsid w:val="0034409F"/>
    <w:rsid w:val="00344407"/>
    <w:rsid w:val="00344B74"/>
    <w:rsid w:val="00344C48"/>
    <w:rsid w:val="00344F44"/>
    <w:rsid w:val="00344FE7"/>
    <w:rsid w:val="00345955"/>
    <w:rsid w:val="00345C33"/>
    <w:rsid w:val="00345FAA"/>
    <w:rsid w:val="00346459"/>
    <w:rsid w:val="0034649F"/>
    <w:rsid w:val="003468F1"/>
    <w:rsid w:val="00346C32"/>
    <w:rsid w:val="00347072"/>
    <w:rsid w:val="00347414"/>
    <w:rsid w:val="003475C1"/>
    <w:rsid w:val="00347782"/>
    <w:rsid w:val="003479AF"/>
    <w:rsid w:val="00350390"/>
    <w:rsid w:val="003508FF"/>
    <w:rsid w:val="00350B83"/>
    <w:rsid w:val="00350E61"/>
    <w:rsid w:val="003512E5"/>
    <w:rsid w:val="0035147C"/>
    <w:rsid w:val="00351B63"/>
    <w:rsid w:val="00352144"/>
    <w:rsid w:val="003523AB"/>
    <w:rsid w:val="00352581"/>
    <w:rsid w:val="00352EA7"/>
    <w:rsid w:val="00353DAF"/>
    <w:rsid w:val="0035474A"/>
    <w:rsid w:val="00354CC4"/>
    <w:rsid w:val="00354D0C"/>
    <w:rsid w:val="00354DAE"/>
    <w:rsid w:val="00355241"/>
    <w:rsid w:val="0035528E"/>
    <w:rsid w:val="0035578E"/>
    <w:rsid w:val="00355825"/>
    <w:rsid w:val="00355A16"/>
    <w:rsid w:val="00355B51"/>
    <w:rsid w:val="003565CA"/>
    <w:rsid w:val="00356626"/>
    <w:rsid w:val="00357023"/>
    <w:rsid w:val="003574E3"/>
    <w:rsid w:val="003575E6"/>
    <w:rsid w:val="00357E81"/>
    <w:rsid w:val="0036014A"/>
    <w:rsid w:val="00360153"/>
    <w:rsid w:val="00360316"/>
    <w:rsid w:val="00360AE9"/>
    <w:rsid w:val="00360F70"/>
    <w:rsid w:val="003610ED"/>
    <w:rsid w:val="00361DC0"/>
    <w:rsid w:val="00361F12"/>
    <w:rsid w:val="00362096"/>
    <w:rsid w:val="003620D8"/>
    <w:rsid w:val="00362421"/>
    <w:rsid w:val="00362C25"/>
    <w:rsid w:val="003630CC"/>
    <w:rsid w:val="0036312D"/>
    <w:rsid w:val="003634C1"/>
    <w:rsid w:val="00363BA7"/>
    <w:rsid w:val="0036427D"/>
    <w:rsid w:val="00364875"/>
    <w:rsid w:val="00364C1A"/>
    <w:rsid w:val="00365813"/>
    <w:rsid w:val="00365B22"/>
    <w:rsid w:val="00365B95"/>
    <w:rsid w:val="003661C5"/>
    <w:rsid w:val="003662E5"/>
    <w:rsid w:val="003666DC"/>
    <w:rsid w:val="00366B6A"/>
    <w:rsid w:val="00366D64"/>
    <w:rsid w:val="00367233"/>
    <w:rsid w:val="0036771C"/>
    <w:rsid w:val="0036792E"/>
    <w:rsid w:val="00367A5E"/>
    <w:rsid w:val="00367B65"/>
    <w:rsid w:val="00367BB1"/>
    <w:rsid w:val="00367D24"/>
    <w:rsid w:val="0037050D"/>
    <w:rsid w:val="003709D5"/>
    <w:rsid w:val="00370AA8"/>
    <w:rsid w:val="00370AE9"/>
    <w:rsid w:val="00370C38"/>
    <w:rsid w:val="00371254"/>
    <w:rsid w:val="003713AE"/>
    <w:rsid w:val="0037198B"/>
    <w:rsid w:val="003719D1"/>
    <w:rsid w:val="0037277E"/>
    <w:rsid w:val="0037294B"/>
    <w:rsid w:val="003729AD"/>
    <w:rsid w:val="00372E11"/>
    <w:rsid w:val="00372FAB"/>
    <w:rsid w:val="0037308D"/>
    <w:rsid w:val="003730B9"/>
    <w:rsid w:val="00373885"/>
    <w:rsid w:val="00373EB0"/>
    <w:rsid w:val="00374017"/>
    <w:rsid w:val="003745F4"/>
    <w:rsid w:val="00374661"/>
    <w:rsid w:val="00374992"/>
    <w:rsid w:val="00374E6B"/>
    <w:rsid w:val="00375D55"/>
    <w:rsid w:val="00375FF5"/>
    <w:rsid w:val="0037627E"/>
    <w:rsid w:val="003762D9"/>
    <w:rsid w:val="003765F0"/>
    <w:rsid w:val="00376A21"/>
    <w:rsid w:val="00376DA8"/>
    <w:rsid w:val="003770B5"/>
    <w:rsid w:val="003771CB"/>
    <w:rsid w:val="0037766D"/>
    <w:rsid w:val="00377B1E"/>
    <w:rsid w:val="00377BFB"/>
    <w:rsid w:val="00377DA9"/>
    <w:rsid w:val="0038016B"/>
    <w:rsid w:val="0038022C"/>
    <w:rsid w:val="00380683"/>
    <w:rsid w:val="003809C8"/>
    <w:rsid w:val="00380F9F"/>
    <w:rsid w:val="00381607"/>
    <w:rsid w:val="00381643"/>
    <w:rsid w:val="003818C6"/>
    <w:rsid w:val="0038195D"/>
    <w:rsid w:val="00382698"/>
    <w:rsid w:val="003826DB"/>
    <w:rsid w:val="00382762"/>
    <w:rsid w:val="00382D32"/>
    <w:rsid w:val="00382E6A"/>
    <w:rsid w:val="00382F7E"/>
    <w:rsid w:val="00383059"/>
    <w:rsid w:val="003834DF"/>
    <w:rsid w:val="00383A8F"/>
    <w:rsid w:val="00383C0F"/>
    <w:rsid w:val="00383CAB"/>
    <w:rsid w:val="00383D55"/>
    <w:rsid w:val="00383E25"/>
    <w:rsid w:val="00384120"/>
    <w:rsid w:val="0038419E"/>
    <w:rsid w:val="00384865"/>
    <w:rsid w:val="00384C56"/>
    <w:rsid w:val="00384CE5"/>
    <w:rsid w:val="003857F4"/>
    <w:rsid w:val="00385BC6"/>
    <w:rsid w:val="00385EF9"/>
    <w:rsid w:val="00386415"/>
    <w:rsid w:val="003865C8"/>
    <w:rsid w:val="00386C60"/>
    <w:rsid w:val="00386D01"/>
    <w:rsid w:val="00387529"/>
    <w:rsid w:val="0039035E"/>
    <w:rsid w:val="003903F6"/>
    <w:rsid w:val="00390620"/>
    <w:rsid w:val="0039065B"/>
    <w:rsid w:val="00390732"/>
    <w:rsid w:val="00390AEA"/>
    <w:rsid w:val="0039104A"/>
    <w:rsid w:val="0039143C"/>
    <w:rsid w:val="0039174F"/>
    <w:rsid w:val="0039199B"/>
    <w:rsid w:val="003921FB"/>
    <w:rsid w:val="00392300"/>
    <w:rsid w:val="0039255E"/>
    <w:rsid w:val="00392796"/>
    <w:rsid w:val="00392C21"/>
    <w:rsid w:val="00393210"/>
    <w:rsid w:val="0039331E"/>
    <w:rsid w:val="00393882"/>
    <w:rsid w:val="003946D6"/>
    <w:rsid w:val="0039479A"/>
    <w:rsid w:val="00394B90"/>
    <w:rsid w:val="0039578A"/>
    <w:rsid w:val="00395D20"/>
    <w:rsid w:val="00395D28"/>
    <w:rsid w:val="003962B1"/>
    <w:rsid w:val="003962EA"/>
    <w:rsid w:val="00396F81"/>
    <w:rsid w:val="003972DA"/>
    <w:rsid w:val="0039753D"/>
    <w:rsid w:val="003976A2"/>
    <w:rsid w:val="003978EB"/>
    <w:rsid w:val="00397951"/>
    <w:rsid w:val="00397BEA"/>
    <w:rsid w:val="003A073D"/>
    <w:rsid w:val="003A0CDC"/>
    <w:rsid w:val="003A0D57"/>
    <w:rsid w:val="003A0E08"/>
    <w:rsid w:val="003A1183"/>
    <w:rsid w:val="003A120F"/>
    <w:rsid w:val="003A1A56"/>
    <w:rsid w:val="003A1ED5"/>
    <w:rsid w:val="003A25AD"/>
    <w:rsid w:val="003A26E3"/>
    <w:rsid w:val="003A2CE5"/>
    <w:rsid w:val="003A2F62"/>
    <w:rsid w:val="003A2F68"/>
    <w:rsid w:val="003A33D8"/>
    <w:rsid w:val="003A3782"/>
    <w:rsid w:val="003A37C9"/>
    <w:rsid w:val="003A39AA"/>
    <w:rsid w:val="003A3C8A"/>
    <w:rsid w:val="003A3F32"/>
    <w:rsid w:val="003A40BC"/>
    <w:rsid w:val="003A4BD5"/>
    <w:rsid w:val="003A4BE5"/>
    <w:rsid w:val="003A4F03"/>
    <w:rsid w:val="003A4FAF"/>
    <w:rsid w:val="003A4FDF"/>
    <w:rsid w:val="003A5141"/>
    <w:rsid w:val="003A5689"/>
    <w:rsid w:val="003A56A2"/>
    <w:rsid w:val="003A6049"/>
    <w:rsid w:val="003A6B12"/>
    <w:rsid w:val="003A6D26"/>
    <w:rsid w:val="003A6E2C"/>
    <w:rsid w:val="003A715A"/>
    <w:rsid w:val="003A7594"/>
    <w:rsid w:val="003A7659"/>
    <w:rsid w:val="003A7B3A"/>
    <w:rsid w:val="003A7D64"/>
    <w:rsid w:val="003B0061"/>
    <w:rsid w:val="003B014D"/>
    <w:rsid w:val="003B0537"/>
    <w:rsid w:val="003B0D57"/>
    <w:rsid w:val="003B0E1F"/>
    <w:rsid w:val="003B169B"/>
    <w:rsid w:val="003B1A50"/>
    <w:rsid w:val="003B23DC"/>
    <w:rsid w:val="003B2A0B"/>
    <w:rsid w:val="003B2C6B"/>
    <w:rsid w:val="003B2E04"/>
    <w:rsid w:val="003B2FCA"/>
    <w:rsid w:val="003B36CB"/>
    <w:rsid w:val="003B37EE"/>
    <w:rsid w:val="003B3A4F"/>
    <w:rsid w:val="003B3C7C"/>
    <w:rsid w:val="003B3DE4"/>
    <w:rsid w:val="003B3F00"/>
    <w:rsid w:val="003B442D"/>
    <w:rsid w:val="003B45F2"/>
    <w:rsid w:val="003B4BAE"/>
    <w:rsid w:val="003B4DE1"/>
    <w:rsid w:val="003B4F0F"/>
    <w:rsid w:val="003B4F75"/>
    <w:rsid w:val="003B5210"/>
    <w:rsid w:val="003B5364"/>
    <w:rsid w:val="003B5410"/>
    <w:rsid w:val="003B55B3"/>
    <w:rsid w:val="003B56ED"/>
    <w:rsid w:val="003B5A9C"/>
    <w:rsid w:val="003B5BC4"/>
    <w:rsid w:val="003B5E5E"/>
    <w:rsid w:val="003B5F5B"/>
    <w:rsid w:val="003B60A5"/>
    <w:rsid w:val="003B61F9"/>
    <w:rsid w:val="003B6275"/>
    <w:rsid w:val="003B6519"/>
    <w:rsid w:val="003B6568"/>
    <w:rsid w:val="003B6AC6"/>
    <w:rsid w:val="003B755C"/>
    <w:rsid w:val="003B7E25"/>
    <w:rsid w:val="003B7ECB"/>
    <w:rsid w:val="003C010A"/>
    <w:rsid w:val="003C0C11"/>
    <w:rsid w:val="003C12D1"/>
    <w:rsid w:val="003C12E3"/>
    <w:rsid w:val="003C1324"/>
    <w:rsid w:val="003C2148"/>
    <w:rsid w:val="003C2320"/>
    <w:rsid w:val="003C236F"/>
    <w:rsid w:val="003C27A5"/>
    <w:rsid w:val="003C2BDF"/>
    <w:rsid w:val="003C2DC1"/>
    <w:rsid w:val="003C2E43"/>
    <w:rsid w:val="003C2F9E"/>
    <w:rsid w:val="003C32C5"/>
    <w:rsid w:val="003C3604"/>
    <w:rsid w:val="003C3631"/>
    <w:rsid w:val="003C39C7"/>
    <w:rsid w:val="003C3AAC"/>
    <w:rsid w:val="003C404C"/>
    <w:rsid w:val="003C41CE"/>
    <w:rsid w:val="003C44AD"/>
    <w:rsid w:val="003C4624"/>
    <w:rsid w:val="003C49A2"/>
    <w:rsid w:val="003C4C7E"/>
    <w:rsid w:val="003C4FFE"/>
    <w:rsid w:val="003C5049"/>
    <w:rsid w:val="003C558A"/>
    <w:rsid w:val="003C55C6"/>
    <w:rsid w:val="003C55E3"/>
    <w:rsid w:val="003C5C3F"/>
    <w:rsid w:val="003C5E38"/>
    <w:rsid w:val="003C6397"/>
    <w:rsid w:val="003C6399"/>
    <w:rsid w:val="003C63C2"/>
    <w:rsid w:val="003C652A"/>
    <w:rsid w:val="003C665E"/>
    <w:rsid w:val="003C69FB"/>
    <w:rsid w:val="003C71DE"/>
    <w:rsid w:val="003C7209"/>
    <w:rsid w:val="003C730A"/>
    <w:rsid w:val="003C7384"/>
    <w:rsid w:val="003C767E"/>
    <w:rsid w:val="003C78AA"/>
    <w:rsid w:val="003C79C7"/>
    <w:rsid w:val="003C7B15"/>
    <w:rsid w:val="003C7DAE"/>
    <w:rsid w:val="003C7F87"/>
    <w:rsid w:val="003C7FC2"/>
    <w:rsid w:val="003D000D"/>
    <w:rsid w:val="003D006D"/>
    <w:rsid w:val="003D033A"/>
    <w:rsid w:val="003D051B"/>
    <w:rsid w:val="003D0A61"/>
    <w:rsid w:val="003D0FB8"/>
    <w:rsid w:val="003D1616"/>
    <w:rsid w:val="003D16EF"/>
    <w:rsid w:val="003D2023"/>
    <w:rsid w:val="003D21E7"/>
    <w:rsid w:val="003D23FD"/>
    <w:rsid w:val="003D2477"/>
    <w:rsid w:val="003D2826"/>
    <w:rsid w:val="003D2915"/>
    <w:rsid w:val="003D298E"/>
    <w:rsid w:val="003D2E40"/>
    <w:rsid w:val="003D2ECA"/>
    <w:rsid w:val="003D3467"/>
    <w:rsid w:val="003D3668"/>
    <w:rsid w:val="003D3A89"/>
    <w:rsid w:val="003D3AF3"/>
    <w:rsid w:val="003D42F1"/>
    <w:rsid w:val="003D4486"/>
    <w:rsid w:val="003D4D1D"/>
    <w:rsid w:val="003D4EDC"/>
    <w:rsid w:val="003D4FF9"/>
    <w:rsid w:val="003D507F"/>
    <w:rsid w:val="003D5530"/>
    <w:rsid w:val="003D560C"/>
    <w:rsid w:val="003D5961"/>
    <w:rsid w:val="003D5A56"/>
    <w:rsid w:val="003D5CE8"/>
    <w:rsid w:val="003D5E09"/>
    <w:rsid w:val="003D64A6"/>
    <w:rsid w:val="003D6C63"/>
    <w:rsid w:val="003D6D36"/>
    <w:rsid w:val="003D6ED6"/>
    <w:rsid w:val="003D751B"/>
    <w:rsid w:val="003D76E5"/>
    <w:rsid w:val="003D781E"/>
    <w:rsid w:val="003D7A02"/>
    <w:rsid w:val="003D7C32"/>
    <w:rsid w:val="003D7C90"/>
    <w:rsid w:val="003E06F6"/>
    <w:rsid w:val="003E079F"/>
    <w:rsid w:val="003E097D"/>
    <w:rsid w:val="003E0FBF"/>
    <w:rsid w:val="003E10D0"/>
    <w:rsid w:val="003E1131"/>
    <w:rsid w:val="003E137F"/>
    <w:rsid w:val="003E14C9"/>
    <w:rsid w:val="003E18C3"/>
    <w:rsid w:val="003E26ED"/>
    <w:rsid w:val="003E2A10"/>
    <w:rsid w:val="003E2D28"/>
    <w:rsid w:val="003E2FF0"/>
    <w:rsid w:val="003E337B"/>
    <w:rsid w:val="003E3AB7"/>
    <w:rsid w:val="003E4923"/>
    <w:rsid w:val="003E4D74"/>
    <w:rsid w:val="003E51A4"/>
    <w:rsid w:val="003E5319"/>
    <w:rsid w:val="003E58C2"/>
    <w:rsid w:val="003E5916"/>
    <w:rsid w:val="003E5A76"/>
    <w:rsid w:val="003E6376"/>
    <w:rsid w:val="003E6687"/>
    <w:rsid w:val="003E6B27"/>
    <w:rsid w:val="003E6B9D"/>
    <w:rsid w:val="003E72B1"/>
    <w:rsid w:val="003E764F"/>
    <w:rsid w:val="003E7A12"/>
    <w:rsid w:val="003E7AC5"/>
    <w:rsid w:val="003E7DC6"/>
    <w:rsid w:val="003F00DF"/>
    <w:rsid w:val="003F02CB"/>
    <w:rsid w:val="003F0522"/>
    <w:rsid w:val="003F0FD9"/>
    <w:rsid w:val="003F12EC"/>
    <w:rsid w:val="003F14FD"/>
    <w:rsid w:val="003F172A"/>
    <w:rsid w:val="003F1C3D"/>
    <w:rsid w:val="003F1FDA"/>
    <w:rsid w:val="003F23D3"/>
    <w:rsid w:val="003F25E9"/>
    <w:rsid w:val="003F2602"/>
    <w:rsid w:val="003F2678"/>
    <w:rsid w:val="003F2797"/>
    <w:rsid w:val="003F2FAE"/>
    <w:rsid w:val="003F33C3"/>
    <w:rsid w:val="003F37AB"/>
    <w:rsid w:val="003F387F"/>
    <w:rsid w:val="003F3ABA"/>
    <w:rsid w:val="003F3E96"/>
    <w:rsid w:val="003F452D"/>
    <w:rsid w:val="003F45D6"/>
    <w:rsid w:val="003F4BFE"/>
    <w:rsid w:val="003F4F25"/>
    <w:rsid w:val="003F5BE6"/>
    <w:rsid w:val="003F60FD"/>
    <w:rsid w:val="003F6D16"/>
    <w:rsid w:val="003F6D25"/>
    <w:rsid w:val="003F6F5A"/>
    <w:rsid w:val="003F7603"/>
    <w:rsid w:val="003F788F"/>
    <w:rsid w:val="003F797D"/>
    <w:rsid w:val="003F7A45"/>
    <w:rsid w:val="0040000C"/>
    <w:rsid w:val="004001E8"/>
    <w:rsid w:val="00400302"/>
    <w:rsid w:val="004009D9"/>
    <w:rsid w:val="00400F52"/>
    <w:rsid w:val="00401764"/>
    <w:rsid w:val="0040189C"/>
    <w:rsid w:val="00401C21"/>
    <w:rsid w:val="00402A89"/>
    <w:rsid w:val="00403293"/>
    <w:rsid w:val="0040338B"/>
    <w:rsid w:val="004035DD"/>
    <w:rsid w:val="004038B3"/>
    <w:rsid w:val="0040398A"/>
    <w:rsid w:val="00403CA0"/>
    <w:rsid w:val="00403E2F"/>
    <w:rsid w:val="00404BDC"/>
    <w:rsid w:val="00404D7B"/>
    <w:rsid w:val="00404E4D"/>
    <w:rsid w:val="00405871"/>
    <w:rsid w:val="00405CD9"/>
    <w:rsid w:val="0040653F"/>
    <w:rsid w:val="00406651"/>
    <w:rsid w:val="00406703"/>
    <w:rsid w:val="00406B25"/>
    <w:rsid w:val="00406BCD"/>
    <w:rsid w:val="0040736D"/>
    <w:rsid w:val="00407382"/>
    <w:rsid w:val="0040745B"/>
    <w:rsid w:val="0040758D"/>
    <w:rsid w:val="00407E97"/>
    <w:rsid w:val="00410065"/>
    <w:rsid w:val="00411FC4"/>
    <w:rsid w:val="0041234E"/>
    <w:rsid w:val="0041253D"/>
    <w:rsid w:val="00412813"/>
    <w:rsid w:val="004129C0"/>
    <w:rsid w:val="00412EE0"/>
    <w:rsid w:val="0041338E"/>
    <w:rsid w:val="004133C3"/>
    <w:rsid w:val="00413660"/>
    <w:rsid w:val="004137F1"/>
    <w:rsid w:val="0041384B"/>
    <w:rsid w:val="004138A4"/>
    <w:rsid w:val="00414055"/>
    <w:rsid w:val="004143E8"/>
    <w:rsid w:val="004144CF"/>
    <w:rsid w:val="0041463A"/>
    <w:rsid w:val="0041476E"/>
    <w:rsid w:val="00414823"/>
    <w:rsid w:val="004152CD"/>
    <w:rsid w:val="0041555C"/>
    <w:rsid w:val="00415A63"/>
    <w:rsid w:val="00415AC4"/>
    <w:rsid w:val="00415ED1"/>
    <w:rsid w:val="0041620C"/>
    <w:rsid w:val="00416BBD"/>
    <w:rsid w:val="00416C06"/>
    <w:rsid w:val="00416C36"/>
    <w:rsid w:val="004172A8"/>
    <w:rsid w:val="0041733C"/>
    <w:rsid w:val="0041772B"/>
    <w:rsid w:val="004179DB"/>
    <w:rsid w:val="004179EA"/>
    <w:rsid w:val="00417D4E"/>
    <w:rsid w:val="004200C3"/>
    <w:rsid w:val="00420212"/>
    <w:rsid w:val="00420865"/>
    <w:rsid w:val="00420A55"/>
    <w:rsid w:val="00420A5C"/>
    <w:rsid w:val="00420E60"/>
    <w:rsid w:val="0042178F"/>
    <w:rsid w:val="0042190C"/>
    <w:rsid w:val="004219A7"/>
    <w:rsid w:val="00422049"/>
    <w:rsid w:val="00422232"/>
    <w:rsid w:val="0042226E"/>
    <w:rsid w:val="004222F3"/>
    <w:rsid w:val="00423192"/>
    <w:rsid w:val="00423816"/>
    <w:rsid w:val="00423B70"/>
    <w:rsid w:val="00423BE9"/>
    <w:rsid w:val="00423D75"/>
    <w:rsid w:val="0042453A"/>
    <w:rsid w:val="0042465E"/>
    <w:rsid w:val="00424683"/>
    <w:rsid w:val="004246C9"/>
    <w:rsid w:val="00424B98"/>
    <w:rsid w:val="00424B9C"/>
    <w:rsid w:val="00425006"/>
    <w:rsid w:val="004255E5"/>
    <w:rsid w:val="00425DEC"/>
    <w:rsid w:val="004263BC"/>
    <w:rsid w:val="004270FE"/>
    <w:rsid w:val="0042793F"/>
    <w:rsid w:val="00427D7C"/>
    <w:rsid w:val="00430378"/>
    <w:rsid w:val="00430858"/>
    <w:rsid w:val="00430BD9"/>
    <w:rsid w:val="0043106B"/>
    <w:rsid w:val="0043119A"/>
    <w:rsid w:val="004312B6"/>
    <w:rsid w:val="0043178A"/>
    <w:rsid w:val="004317C7"/>
    <w:rsid w:val="00431A22"/>
    <w:rsid w:val="0043230A"/>
    <w:rsid w:val="0043233C"/>
    <w:rsid w:val="00432422"/>
    <w:rsid w:val="004324FB"/>
    <w:rsid w:val="00432B97"/>
    <w:rsid w:val="004336E6"/>
    <w:rsid w:val="004337C6"/>
    <w:rsid w:val="0043393D"/>
    <w:rsid w:val="00433D25"/>
    <w:rsid w:val="00433D3E"/>
    <w:rsid w:val="00433F16"/>
    <w:rsid w:val="00434140"/>
    <w:rsid w:val="00434275"/>
    <w:rsid w:val="004346A9"/>
    <w:rsid w:val="00434904"/>
    <w:rsid w:val="00434B5B"/>
    <w:rsid w:val="00434B6E"/>
    <w:rsid w:val="00434EAB"/>
    <w:rsid w:val="00435761"/>
    <w:rsid w:val="00435AD6"/>
    <w:rsid w:val="004362B0"/>
    <w:rsid w:val="00436464"/>
    <w:rsid w:val="0043651B"/>
    <w:rsid w:val="004367C1"/>
    <w:rsid w:val="00436EBA"/>
    <w:rsid w:val="00436F1D"/>
    <w:rsid w:val="00436F32"/>
    <w:rsid w:val="00436F50"/>
    <w:rsid w:val="004373A2"/>
    <w:rsid w:val="0043769C"/>
    <w:rsid w:val="004376DB"/>
    <w:rsid w:val="004376EE"/>
    <w:rsid w:val="00437764"/>
    <w:rsid w:val="00437925"/>
    <w:rsid w:val="00437AA7"/>
    <w:rsid w:val="00437ABF"/>
    <w:rsid w:val="00437E05"/>
    <w:rsid w:val="00440608"/>
    <w:rsid w:val="004406EE"/>
    <w:rsid w:val="00440855"/>
    <w:rsid w:val="00440F2E"/>
    <w:rsid w:val="00441251"/>
    <w:rsid w:val="00441324"/>
    <w:rsid w:val="004413AD"/>
    <w:rsid w:val="004414B8"/>
    <w:rsid w:val="0044178A"/>
    <w:rsid w:val="004418A6"/>
    <w:rsid w:val="00441A2F"/>
    <w:rsid w:val="00441F70"/>
    <w:rsid w:val="004426B8"/>
    <w:rsid w:val="004428CE"/>
    <w:rsid w:val="00442EC7"/>
    <w:rsid w:val="00442F62"/>
    <w:rsid w:val="00443120"/>
    <w:rsid w:val="00443D7E"/>
    <w:rsid w:val="00443E53"/>
    <w:rsid w:val="00443E6D"/>
    <w:rsid w:val="0044411D"/>
    <w:rsid w:val="004442B5"/>
    <w:rsid w:val="00444A3B"/>
    <w:rsid w:val="00444C15"/>
    <w:rsid w:val="00444DE6"/>
    <w:rsid w:val="00444FE2"/>
    <w:rsid w:val="00445828"/>
    <w:rsid w:val="00445954"/>
    <w:rsid w:val="00445DC2"/>
    <w:rsid w:val="00445F43"/>
    <w:rsid w:val="004467D3"/>
    <w:rsid w:val="00446B0F"/>
    <w:rsid w:val="00446DC5"/>
    <w:rsid w:val="00446E09"/>
    <w:rsid w:val="00446EBD"/>
    <w:rsid w:val="00447030"/>
    <w:rsid w:val="00447884"/>
    <w:rsid w:val="00447B74"/>
    <w:rsid w:val="00447E6B"/>
    <w:rsid w:val="00447EB2"/>
    <w:rsid w:val="00447F8E"/>
    <w:rsid w:val="00450AEA"/>
    <w:rsid w:val="00450FDD"/>
    <w:rsid w:val="0045175C"/>
    <w:rsid w:val="00451C3D"/>
    <w:rsid w:val="00451F72"/>
    <w:rsid w:val="00452298"/>
    <w:rsid w:val="004526DA"/>
    <w:rsid w:val="00452C33"/>
    <w:rsid w:val="00452C7B"/>
    <w:rsid w:val="00452CD6"/>
    <w:rsid w:val="0045334B"/>
    <w:rsid w:val="0045456C"/>
    <w:rsid w:val="004545B7"/>
    <w:rsid w:val="00454FF5"/>
    <w:rsid w:val="004551A9"/>
    <w:rsid w:val="0045595B"/>
    <w:rsid w:val="004559AE"/>
    <w:rsid w:val="00455D79"/>
    <w:rsid w:val="00455F0E"/>
    <w:rsid w:val="00456453"/>
    <w:rsid w:val="00456B6B"/>
    <w:rsid w:val="00456BE5"/>
    <w:rsid w:val="00456DFE"/>
    <w:rsid w:val="004573E5"/>
    <w:rsid w:val="00457544"/>
    <w:rsid w:val="00457999"/>
    <w:rsid w:val="00457A73"/>
    <w:rsid w:val="00457E4A"/>
    <w:rsid w:val="00457F43"/>
    <w:rsid w:val="00460642"/>
    <w:rsid w:val="00460A31"/>
    <w:rsid w:val="00460B3B"/>
    <w:rsid w:val="00460B68"/>
    <w:rsid w:val="00461CC8"/>
    <w:rsid w:val="00462038"/>
    <w:rsid w:val="0046286D"/>
    <w:rsid w:val="004629AB"/>
    <w:rsid w:val="00463171"/>
    <w:rsid w:val="004633E0"/>
    <w:rsid w:val="0046387D"/>
    <w:rsid w:val="004638DB"/>
    <w:rsid w:val="004642B4"/>
    <w:rsid w:val="0046486E"/>
    <w:rsid w:val="00464A42"/>
    <w:rsid w:val="00464CAE"/>
    <w:rsid w:val="00464E42"/>
    <w:rsid w:val="0046502C"/>
    <w:rsid w:val="004650E4"/>
    <w:rsid w:val="004655C6"/>
    <w:rsid w:val="00465634"/>
    <w:rsid w:val="004656BF"/>
    <w:rsid w:val="00465D17"/>
    <w:rsid w:val="004664DB"/>
    <w:rsid w:val="0046658D"/>
    <w:rsid w:val="00466FB5"/>
    <w:rsid w:val="004703E1"/>
    <w:rsid w:val="004709B2"/>
    <w:rsid w:val="00470BAF"/>
    <w:rsid w:val="00470C96"/>
    <w:rsid w:val="00470D00"/>
    <w:rsid w:val="00471B00"/>
    <w:rsid w:val="00472AE1"/>
    <w:rsid w:val="00472EA9"/>
    <w:rsid w:val="00473157"/>
    <w:rsid w:val="00473176"/>
    <w:rsid w:val="004734B6"/>
    <w:rsid w:val="004734C5"/>
    <w:rsid w:val="0047364B"/>
    <w:rsid w:val="0047374E"/>
    <w:rsid w:val="00473B3D"/>
    <w:rsid w:val="00473E7E"/>
    <w:rsid w:val="00473E90"/>
    <w:rsid w:val="00473EBB"/>
    <w:rsid w:val="004741F7"/>
    <w:rsid w:val="004742BB"/>
    <w:rsid w:val="004744DB"/>
    <w:rsid w:val="0047477B"/>
    <w:rsid w:val="0047497B"/>
    <w:rsid w:val="00474C6B"/>
    <w:rsid w:val="00475321"/>
    <w:rsid w:val="0047565B"/>
    <w:rsid w:val="0047634F"/>
    <w:rsid w:val="00476358"/>
    <w:rsid w:val="00476B07"/>
    <w:rsid w:val="00476C35"/>
    <w:rsid w:val="00476FD3"/>
    <w:rsid w:val="00477808"/>
    <w:rsid w:val="004779D0"/>
    <w:rsid w:val="00477C19"/>
    <w:rsid w:val="00477DBB"/>
    <w:rsid w:val="004801E0"/>
    <w:rsid w:val="00480BB7"/>
    <w:rsid w:val="00480EE3"/>
    <w:rsid w:val="004812FB"/>
    <w:rsid w:val="004816CA"/>
    <w:rsid w:val="004817BE"/>
    <w:rsid w:val="00481E5F"/>
    <w:rsid w:val="00481E92"/>
    <w:rsid w:val="004826AF"/>
    <w:rsid w:val="0048272F"/>
    <w:rsid w:val="00482D54"/>
    <w:rsid w:val="00483271"/>
    <w:rsid w:val="004835C2"/>
    <w:rsid w:val="00483859"/>
    <w:rsid w:val="00483B46"/>
    <w:rsid w:val="00483D3B"/>
    <w:rsid w:val="004845F1"/>
    <w:rsid w:val="004850B3"/>
    <w:rsid w:val="004857E7"/>
    <w:rsid w:val="00486130"/>
    <w:rsid w:val="004865A8"/>
    <w:rsid w:val="00486ADC"/>
    <w:rsid w:val="00486B96"/>
    <w:rsid w:val="00486C58"/>
    <w:rsid w:val="0048777D"/>
    <w:rsid w:val="004879AF"/>
    <w:rsid w:val="00487D18"/>
    <w:rsid w:val="00490038"/>
    <w:rsid w:val="00490059"/>
    <w:rsid w:val="00490162"/>
    <w:rsid w:val="004904F7"/>
    <w:rsid w:val="00490A5D"/>
    <w:rsid w:val="00491030"/>
    <w:rsid w:val="004910AC"/>
    <w:rsid w:val="004914D8"/>
    <w:rsid w:val="004919E8"/>
    <w:rsid w:val="00491E18"/>
    <w:rsid w:val="00491F91"/>
    <w:rsid w:val="00491FF6"/>
    <w:rsid w:val="00492145"/>
    <w:rsid w:val="004928CE"/>
    <w:rsid w:val="00492A2F"/>
    <w:rsid w:val="00492BA1"/>
    <w:rsid w:val="00492D7E"/>
    <w:rsid w:val="00493540"/>
    <w:rsid w:val="00493607"/>
    <w:rsid w:val="004939E4"/>
    <w:rsid w:val="00493D36"/>
    <w:rsid w:val="00493E35"/>
    <w:rsid w:val="00494AD6"/>
    <w:rsid w:val="00495120"/>
    <w:rsid w:val="00495E67"/>
    <w:rsid w:val="004963F9"/>
    <w:rsid w:val="0049698A"/>
    <w:rsid w:val="00496B4E"/>
    <w:rsid w:val="00496DE2"/>
    <w:rsid w:val="00497448"/>
    <w:rsid w:val="004975AA"/>
    <w:rsid w:val="00497935"/>
    <w:rsid w:val="004A034A"/>
    <w:rsid w:val="004A0476"/>
    <w:rsid w:val="004A07D7"/>
    <w:rsid w:val="004A0A69"/>
    <w:rsid w:val="004A0F9E"/>
    <w:rsid w:val="004A10D4"/>
    <w:rsid w:val="004A1130"/>
    <w:rsid w:val="004A1219"/>
    <w:rsid w:val="004A1A77"/>
    <w:rsid w:val="004A1DAA"/>
    <w:rsid w:val="004A23D2"/>
    <w:rsid w:val="004A25A0"/>
    <w:rsid w:val="004A285D"/>
    <w:rsid w:val="004A2D1D"/>
    <w:rsid w:val="004A302B"/>
    <w:rsid w:val="004A3242"/>
    <w:rsid w:val="004A3838"/>
    <w:rsid w:val="004A4467"/>
    <w:rsid w:val="004A4957"/>
    <w:rsid w:val="004A5258"/>
    <w:rsid w:val="004A5467"/>
    <w:rsid w:val="004A5AE2"/>
    <w:rsid w:val="004A5BB1"/>
    <w:rsid w:val="004A5CB1"/>
    <w:rsid w:val="004A5E3E"/>
    <w:rsid w:val="004A5EAA"/>
    <w:rsid w:val="004A638D"/>
    <w:rsid w:val="004A64EC"/>
    <w:rsid w:val="004A695F"/>
    <w:rsid w:val="004A697B"/>
    <w:rsid w:val="004A6A35"/>
    <w:rsid w:val="004A6EA6"/>
    <w:rsid w:val="004A7550"/>
    <w:rsid w:val="004A7966"/>
    <w:rsid w:val="004A7A54"/>
    <w:rsid w:val="004B0239"/>
    <w:rsid w:val="004B0379"/>
    <w:rsid w:val="004B0A69"/>
    <w:rsid w:val="004B0D1E"/>
    <w:rsid w:val="004B0E2E"/>
    <w:rsid w:val="004B1604"/>
    <w:rsid w:val="004B1701"/>
    <w:rsid w:val="004B1804"/>
    <w:rsid w:val="004B18CC"/>
    <w:rsid w:val="004B2609"/>
    <w:rsid w:val="004B2722"/>
    <w:rsid w:val="004B2F3D"/>
    <w:rsid w:val="004B32A0"/>
    <w:rsid w:val="004B36C1"/>
    <w:rsid w:val="004B3A60"/>
    <w:rsid w:val="004B3FCD"/>
    <w:rsid w:val="004B4C62"/>
    <w:rsid w:val="004B4D15"/>
    <w:rsid w:val="004B5064"/>
    <w:rsid w:val="004B5078"/>
    <w:rsid w:val="004B5096"/>
    <w:rsid w:val="004B51DA"/>
    <w:rsid w:val="004B54EF"/>
    <w:rsid w:val="004B592E"/>
    <w:rsid w:val="004B5CE2"/>
    <w:rsid w:val="004B5DAC"/>
    <w:rsid w:val="004B6147"/>
    <w:rsid w:val="004B6184"/>
    <w:rsid w:val="004B6634"/>
    <w:rsid w:val="004B67BB"/>
    <w:rsid w:val="004B67F1"/>
    <w:rsid w:val="004B6812"/>
    <w:rsid w:val="004B7293"/>
    <w:rsid w:val="004B7DD1"/>
    <w:rsid w:val="004C0096"/>
    <w:rsid w:val="004C00A3"/>
    <w:rsid w:val="004C00F4"/>
    <w:rsid w:val="004C037B"/>
    <w:rsid w:val="004C082A"/>
    <w:rsid w:val="004C0830"/>
    <w:rsid w:val="004C085B"/>
    <w:rsid w:val="004C0BDA"/>
    <w:rsid w:val="004C1472"/>
    <w:rsid w:val="004C165E"/>
    <w:rsid w:val="004C1BF9"/>
    <w:rsid w:val="004C1C3E"/>
    <w:rsid w:val="004C23BD"/>
    <w:rsid w:val="004C2498"/>
    <w:rsid w:val="004C331E"/>
    <w:rsid w:val="004C333F"/>
    <w:rsid w:val="004C33BC"/>
    <w:rsid w:val="004C3D19"/>
    <w:rsid w:val="004C3FC0"/>
    <w:rsid w:val="004C42C9"/>
    <w:rsid w:val="004C4D54"/>
    <w:rsid w:val="004C5B42"/>
    <w:rsid w:val="004C5ECB"/>
    <w:rsid w:val="004C6672"/>
    <w:rsid w:val="004C68B6"/>
    <w:rsid w:val="004C74F1"/>
    <w:rsid w:val="004D039F"/>
    <w:rsid w:val="004D04F6"/>
    <w:rsid w:val="004D0ED5"/>
    <w:rsid w:val="004D12A8"/>
    <w:rsid w:val="004D1906"/>
    <w:rsid w:val="004D1C16"/>
    <w:rsid w:val="004D203B"/>
    <w:rsid w:val="004D240F"/>
    <w:rsid w:val="004D2434"/>
    <w:rsid w:val="004D2710"/>
    <w:rsid w:val="004D29CC"/>
    <w:rsid w:val="004D2AB8"/>
    <w:rsid w:val="004D2D7A"/>
    <w:rsid w:val="004D37B3"/>
    <w:rsid w:val="004D391B"/>
    <w:rsid w:val="004D3E11"/>
    <w:rsid w:val="004D4043"/>
    <w:rsid w:val="004D4304"/>
    <w:rsid w:val="004D470B"/>
    <w:rsid w:val="004D4CD1"/>
    <w:rsid w:val="004D4E73"/>
    <w:rsid w:val="004D503B"/>
    <w:rsid w:val="004D50AB"/>
    <w:rsid w:val="004D514C"/>
    <w:rsid w:val="004D524E"/>
    <w:rsid w:val="004D5266"/>
    <w:rsid w:val="004D54B7"/>
    <w:rsid w:val="004D60DF"/>
    <w:rsid w:val="004D6786"/>
    <w:rsid w:val="004D69E1"/>
    <w:rsid w:val="004D7869"/>
    <w:rsid w:val="004D7EE4"/>
    <w:rsid w:val="004E0137"/>
    <w:rsid w:val="004E11CF"/>
    <w:rsid w:val="004E121B"/>
    <w:rsid w:val="004E18E7"/>
    <w:rsid w:val="004E1E29"/>
    <w:rsid w:val="004E1ECE"/>
    <w:rsid w:val="004E1EF5"/>
    <w:rsid w:val="004E23F7"/>
    <w:rsid w:val="004E24D1"/>
    <w:rsid w:val="004E2A73"/>
    <w:rsid w:val="004E2B5D"/>
    <w:rsid w:val="004E3268"/>
    <w:rsid w:val="004E33F8"/>
    <w:rsid w:val="004E368A"/>
    <w:rsid w:val="004E3801"/>
    <w:rsid w:val="004E39C9"/>
    <w:rsid w:val="004E417F"/>
    <w:rsid w:val="004E41A1"/>
    <w:rsid w:val="004E4391"/>
    <w:rsid w:val="004E46F5"/>
    <w:rsid w:val="004E4CA8"/>
    <w:rsid w:val="004E4D78"/>
    <w:rsid w:val="004E4E20"/>
    <w:rsid w:val="004E500B"/>
    <w:rsid w:val="004E5153"/>
    <w:rsid w:val="004E5C65"/>
    <w:rsid w:val="004E687B"/>
    <w:rsid w:val="004E70F3"/>
    <w:rsid w:val="004E713A"/>
    <w:rsid w:val="004E7649"/>
    <w:rsid w:val="004E79EC"/>
    <w:rsid w:val="004E7AD7"/>
    <w:rsid w:val="004E7B2E"/>
    <w:rsid w:val="004E7BDD"/>
    <w:rsid w:val="004F01D5"/>
    <w:rsid w:val="004F0439"/>
    <w:rsid w:val="004F0738"/>
    <w:rsid w:val="004F0A17"/>
    <w:rsid w:val="004F115C"/>
    <w:rsid w:val="004F13A0"/>
    <w:rsid w:val="004F17D0"/>
    <w:rsid w:val="004F1BB6"/>
    <w:rsid w:val="004F2044"/>
    <w:rsid w:val="004F20DC"/>
    <w:rsid w:val="004F23BA"/>
    <w:rsid w:val="004F33A6"/>
    <w:rsid w:val="004F35B2"/>
    <w:rsid w:val="004F35D6"/>
    <w:rsid w:val="004F3982"/>
    <w:rsid w:val="004F3A47"/>
    <w:rsid w:val="004F3AE1"/>
    <w:rsid w:val="004F3C71"/>
    <w:rsid w:val="004F3CDC"/>
    <w:rsid w:val="004F4537"/>
    <w:rsid w:val="004F4797"/>
    <w:rsid w:val="004F5068"/>
    <w:rsid w:val="004F51E9"/>
    <w:rsid w:val="004F54F5"/>
    <w:rsid w:val="004F551A"/>
    <w:rsid w:val="004F5C06"/>
    <w:rsid w:val="004F5FCC"/>
    <w:rsid w:val="004F63CD"/>
    <w:rsid w:val="004F63D5"/>
    <w:rsid w:val="004F64E4"/>
    <w:rsid w:val="004F662E"/>
    <w:rsid w:val="004F6A3A"/>
    <w:rsid w:val="004F6D13"/>
    <w:rsid w:val="004F6D20"/>
    <w:rsid w:val="004F6E61"/>
    <w:rsid w:val="004F71AC"/>
    <w:rsid w:val="004F75B7"/>
    <w:rsid w:val="004F783D"/>
    <w:rsid w:val="004F798E"/>
    <w:rsid w:val="005004E2"/>
    <w:rsid w:val="005009D1"/>
    <w:rsid w:val="005012E6"/>
    <w:rsid w:val="00501B88"/>
    <w:rsid w:val="0050246A"/>
    <w:rsid w:val="005025AD"/>
    <w:rsid w:val="005029B4"/>
    <w:rsid w:val="005033B1"/>
    <w:rsid w:val="0050348C"/>
    <w:rsid w:val="005039C8"/>
    <w:rsid w:val="00503A7E"/>
    <w:rsid w:val="00503ADE"/>
    <w:rsid w:val="00503BA8"/>
    <w:rsid w:val="00504660"/>
    <w:rsid w:val="00504D6A"/>
    <w:rsid w:val="00505BCC"/>
    <w:rsid w:val="00505CD4"/>
    <w:rsid w:val="00506869"/>
    <w:rsid w:val="00506974"/>
    <w:rsid w:val="00506E52"/>
    <w:rsid w:val="005072C5"/>
    <w:rsid w:val="005078D1"/>
    <w:rsid w:val="00510003"/>
    <w:rsid w:val="00510174"/>
    <w:rsid w:val="005104D5"/>
    <w:rsid w:val="0051091F"/>
    <w:rsid w:val="00510AC0"/>
    <w:rsid w:val="00511028"/>
    <w:rsid w:val="0051115B"/>
    <w:rsid w:val="00511482"/>
    <w:rsid w:val="00511611"/>
    <w:rsid w:val="005117FB"/>
    <w:rsid w:val="00511A63"/>
    <w:rsid w:val="00511A77"/>
    <w:rsid w:val="00511AC5"/>
    <w:rsid w:val="00512305"/>
    <w:rsid w:val="00512844"/>
    <w:rsid w:val="00512B6C"/>
    <w:rsid w:val="00512C52"/>
    <w:rsid w:val="00512FFF"/>
    <w:rsid w:val="00513075"/>
    <w:rsid w:val="0051350B"/>
    <w:rsid w:val="00513592"/>
    <w:rsid w:val="00513851"/>
    <w:rsid w:val="00513D9B"/>
    <w:rsid w:val="00514152"/>
    <w:rsid w:val="0051436F"/>
    <w:rsid w:val="0051498D"/>
    <w:rsid w:val="00514D56"/>
    <w:rsid w:val="00514F71"/>
    <w:rsid w:val="005158B6"/>
    <w:rsid w:val="005158C0"/>
    <w:rsid w:val="005159D9"/>
    <w:rsid w:val="00515A24"/>
    <w:rsid w:val="00515DD3"/>
    <w:rsid w:val="00515E0B"/>
    <w:rsid w:val="00515ED5"/>
    <w:rsid w:val="00516523"/>
    <w:rsid w:val="005166CD"/>
    <w:rsid w:val="00516705"/>
    <w:rsid w:val="005169BC"/>
    <w:rsid w:val="00516B0E"/>
    <w:rsid w:val="00517A06"/>
    <w:rsid w:val="00517BD2"/>
    <w:rsid w:val="00517CD1"/>
    <w:rsid w:val="00517FA7"/>
    <w:rsid w:val="0052026F"/>
    <w:rsid w:val="005203C5"/>
    <w:rsid w:val="0052042A"/>
    <w:rsid w:val="00520AA1"/>
    <w:rsid w:val="005213EA"/>
    <w:rsid w:val="00521578"/>
    <w:rsid w:val="00521BA2"/>
    <w:rsid w:val="0052217F"/>
    <w:rsid w:val="00522204"/>
    <w:rsid w:val="0052237E"/>
    <w:rsid w:val="0052269D"/>
    <w:rsid w:val="00522E94"/>
    <w:rsid w:val="00522EEE"/>
    <w:rsid w:val="005231EC"/>
    <w:rsid w:val="005233DC"/>
    <w:rsid w:val="00523E4B"/>
    <w:rsid w:val="005241BC"/>
    <w:rsid w:val="00524468"/>
    <w:rsid w:val="00524EDE"/>
    <w:rsid w:val="0052534A"/>
    <w:rsid w:val="005255A6"/>
    <w:rsid w:val="005255B4"/>
    <w:rsid w:val="00526648"/>
    <w:rsid w:val="005266F3"/>
    <w:rsid w:val="0052770D"/>
    <w:rsid w:val="00527EBA"/>
    <w:rsid w:val="00527FDA"/>
    <w:rsid w:val="00530135"/>
    <w:rsid w:val="005302FC"/>
    <w:rsid w:val="00530B8F"/>
    <w:rsid w:val="005315C8"/>
    <w:rsid w:val="005315E4"/>
    <w:rsid w:val="005316DB"/>
    <w:rsid w:val="00531966"/>
    <w:rsid w:val="00532066"/>
    <w:rsid w:val="005321A2"/>
    <w:rsid w:val="0053222A"/>
    <w:rsid w:val="00532396"/>
    <w:rsid w:val="00532402"/>
    <w:rsid w:val="00532417"/>
    <w:rsid w:val="00532418"/>
    <w:rsid w:val="0053254C"/>
    <w:rsid w:val="00532933"/>
    <w:rsid w:val="00532A29"/>
    <w:rsid w:val="00532BC4"/>
    <w:rsid w:val="00533380"/>
    <w:rsid w:val="005337F7"/>
    <w:rsid w:val="00533A0B"/>
    <w:rsid w:val="00533C23"/>
    <w:rsid w:val="00533C90"/>
    <w:rsid w:val="00534950"/>
    <w:rsid w:val="00534A0C"/>
    <w:rsid w:val="00534B75"/>
    <w:rsid w:val="00534E2E"/>
    <w:rsid w:val="005350B6"/>
    <w:rsid w:val="005351E4"/>
    <w:rsid w:val="00535465"/>
    <w:rsid w:val="005355A6"/>
    <w:rsid w:val="0053561B"/>
    <w:rsid w:val="00535AC6"/>
    <w:rsid w:val="00535BD2"/>
    <w:rsid w:val="00535FD3"/>
    <w:rsid w:val="005360FC"/>
    <w:rsid w:val="005363F4"/>
    <w:rsid w:val="00536F72"/>
    <w:rsid w:val="00537690"/>
    <w:rsid w:val="00537A6F"/>
    <w:rsid w:val="00537B0E"/>
    <w:rsid w:val="00537EFF"/>
    <w:rsid w:val="00540565"/>
    <w:rsid w:val="00540AA0"/>
    <w:rsid w:val="0054113C"/>
    <w:rsid w:val="0054195C"/>
    <w:rsid w:val="00541BCD"/>
    <w:rsid w:val="00541CAA"/>
    <w:rsid w:val="00542522"/>
    <w:rsid w:val="00542AA2"/>
    <w:rsid w:val="00542B06"/>
    <w:rsid w:val="00542B7D"/>
    <w:rsid w:val="00542BCC"/>
    <w:rsid w:val="00542E14"/>
    <w:rsid w:val="00542FA8"/>
    <w:rsid w:val="00543058"/>
    <w:rsid w:val="00543BA1"/>
    <w:rsid w:val="00543FFA"/>
    <w:rsid w:val="00544148"/>
    <w:rsid w:val="00544398"/>
    <w:rsid w:val="0054463A"/>
    <w:rsid w:val="00544845"/>
    <w:rsid w:val="005448C9"/>
    <w:rsid w:val="00544B14"/>
    <w:rsid w:val="0054518F"/>
    <w:rsid w:val="00545300"/>
    <w:rsid w:val="0054571A"/>
    <w:rsid w:val="005457D4"/>
    <w:rsid w:val="0054591C"/>
    <w:rsid w:val="00545B9B"/>
    <w:rsid w:val="00545CBC"/>
    <w:rsid w:val="00545DF4"/>
    <w:rsid w:val="00545FB6"/>
    <w:rsid w:val="005463A2"/>
    <w:rsid w:val="0054677C"/>
    <w:rsid w:val="005469A6"/>
    <w:rsid w:val="00546B77"/>
    <w:rsid w:val="00547AA9"/>
    <w:rsid w:val="00550112"/>
    <w:rsid w:val="0055100A"/>
    <w:rsid w:val="005516B3"/>
    <w:rsid w:val="00551800"/>
    <w:rsid w:val="00551AE2"/>
    <w:rsid w:val="00551B81"/>
    <w:rsid w:val="00551C21"/>
    <w:rsid w:val="0055250F"/>
    <w:rsid w:val="00552BF6"/>
    <w:rsid w:val="005534FA"/>
    <w:rsid w:val="00553CA4"/>
    <w:rsid w:val="00554897"/>
    <w:rsid w:val="005550CA"/>
    <w:rsid w:val="0055522B"/>
    <w:rsid w:val="00555785"/>
    <w:rsid w:val="00555BDF"/>
    <w:rsid w:val="00555D4A"/>
    <w:rsid w:val="00555FBA"/>
    <w:rsid w:val="00556368"/>
    <w:rsid w:val="0055742C"/>
    <w:rsid w:val="00557471"/>
    <w:rsid w:val="005578D0"/>
    <w:rsid w:val="00557AA6"/>
    <w:rsid w:val="00560BA8"/>
    <w:rsid w:val="005610E1"/>
    <w:rsid w:val="005618E0"/>
    <w:rsid w:val="005619AA"/>
    <w:rsid w:val="00561B6E"/>
    <w:rsid w:val="00562394"/>
    <w:rsid w:val="00562BE1"/>
    <w:rsid w:val="00562CE4"/>
    <w:rsid w:val="00563106"/>
    <w:rsid w:val="00563255"/>
    <w:rsid w:val="00563563"/>
    <w:rsid w:val="005635AA"/>
    <w:rsid w:val="00563762"/>
    <w:rsid w:val="00563C9E"/>
    <w:rsid w:val="005640B5"/>
    <w:rsid w:val="005644F1"/>
    <w:rsid w:val="0056462D"/>
    <w:rsid w:val="00564A38"/>
    <w:rsid w:val="00564B47"/>
    <w:rsid w:val="00564B73"/>
    <w:rsid w:val="00564E65"/>
    <w:rsid w:val="00564E90"/>
    <w:rsid w:val="00564F88"/>
    <w:rsid w:val="00565212"/>
    <w:rsid w:val="005652AF"/>
    <w:rsid w:val="005652C6"/>
    <w:rsid w:val="00565929"/>
    <w:rsid w:val="00565AF7"/>
    <w:rsid w:val="00565E5B"/>
    <w:rsid w:val="00565E87"/>
    <w:rsid w:val="00566273"/>
    <w:rsid w:val="005662BC"/>
    <w:rsid w:val="005665DB"/>
    <w:rsid w:val="00566A09"/>
    <w:rsid w:val="00566A47"/>
    <w:rsid w:val="00566ACF"/>
    <w:rsid w:val="00566AE8"/>
    <w:rsid w:val="00566DA7"/>
    <w:rsid w:val="0057069F"/>
    <w:rsid w:val="00570776"/>
    <w:rsid w:val="00570FAD"/>
    <w:rsid w:val="00570FE4"/>
    <w:rsid w:val="00571B29"/>
    <w:rsid w:val="00571E28"/>
    <w:rsid w:val="0057277D"/>
    <w:rsid w:val="00572ACB"/>
    <w:rsid w:val="00572CEF"/>
    <w:rsid w:val="00572E2C"/>
    <w:rsid w:val="00573117"/>
    <w:rsid w:val="0057350C"/>
    <w:rsid w:val="00573BD3"/>
    <w:rsid w:val="00573D00"/>
    <w:rsid w:val="00573E67"/>
    <w:rsid w:val="00573F30"/>
    <w:rsid w:val="00574AA0"/>
    <w:rsid w:val="00574FCC"/>
    <w:rsid w:val="00575587"/>
    <w:rsid w:val="00575AAB"/>
    <w:rsid w:val="005769B5"/>
    <w:rsid w:val="00576CC9"/>
    <w:rsid w:val="00577116"/>
    <w:rsid w:val="00577515"/>
    <w:rsid w:val="005775E2"/>
    <w:rsid w:val="00577816"/>
    <w:rsid w:val="00577A1C"/>
    <w:rsid w:val="00577B64"/>
    <w:rsid w:val="005800B7"/>
    <w:rsid w:val="005802D0"/>
    <w:rsid w:val="005804DF"/>
    <w:rsid w:val="005807D8"/>
    <w:rsid w:val="00580CE8"/>
    <w:rsid w:val="00580D6B"/>
    <w:rsid w:val="00581383"/>
    <w:rsid w:val="00581737"/>
    <w:rsid w:val="00581C48"/>
    <w:rsid w:val="00581FC5"/>
    <w:rsid w:val="005820A6"/>
    <w:rsid w:val="0058212D"/>
    <w:rsid w:val="00582229"/>
    <w:rsid w:val="005822C5"/>
    <w:rsid w:val="00582516"/>
    <w:rsid w:val="00582C63"/>
    <w:rsid w:val="0058361C"/>
    <w:rsid w:val="00583778"/>
    <w:rsid w:val="0058383C"/>
    <w:rsid w:val="005838B8"/>
    <w:rsid w:val="0058391D"/>
    <w:rsid w:val="0058398E"/>
    <w:rsid w:val="00583C90"/>
    <w:rsid w:val="00584505"/>
    <w:rsid w:val="00584604"/>
    <w:rsid w:val="005846A8"/>
    <w:rsid w:val="005847E6"/>
    <w:rsid w:val="00584806"/>
    <w:rsid w:val="00584831"/>
    <w:rsid w:val="00584A09"/>
    <w:rsid w:val="00584A21"/>
    <w:rsid w:val="00584AB8"/>
    <w:rsid w:val="00584D83"/>
    <w:rsid w:val="005852EB"/>
    <w:rsid w:val="00585768"/>
    <w:rsid w:val="00585A42"/>
    <w:rsid w:val="00585F27"/>
    <w:rsid w:val="00586120"/>
    <w:rsid w:val="00586531"/>
    <w:rsid w:val="00586A0A"/>
    <w:rsid w:val="00586E21"/>
    <w:rsid w:val="00586EA5"/>
    <w:rsid w:val="00586F35"/>
    <w:rsid w:val="0058704D"/>
    <w:rsid w:val="00587430"/>
    <w:rsid w:val="0058746A"/>
    <w:rsid w:val="005874A3"/>
    <w:rsid w:val="00587C9D"/>
    <w:rsid w:val="00587D7C"/>
    <w:rsid w:val="00587DC2"/>
    <w:rsid w:val="00590176"/>
    <w:rsid w:val="00590567"/>
    <w:rsid w:val="00590750"/>
    <w:rsid w:val="00590BDF"/>
    <w:rsid w:val="00590F26"/>
    <w:rsid w:val="005913B3"/>
    <w:rsid w:val="00591656"/>
    <w:rsid w:val="00592157"/>
    <w:rsid w:val="005929EA"/>
    <w:rsid w:val="005929EC"/>
    <w:rsid w:val="00592CF7"/>
    <w:rsid w:val="00592EB2"/>
    <w:rsid w:val="00592F94"/>
    <w:rsid w:val="005934AC"/>
    <w:rsid w:val="0059365F"/>
    <w:rsid w:val="00593788"/>
    <w:rsid w:val="0059391A"/>
    <w:rsid w:val="00593A5A"/>
    <w:rsid w:val="00593C45"/>
    <w:rsid w:val="0059453A"/>
    <w:rsid w:val="00594AE8"/>
    <w:rsid w:val="00594B4B"/>
    <w:rsid w:val="00594BDC"/>
    <w:rsid w:val="005953E3"/>
    <w:rsid w:val="0059564B"/>
    <w:rsid w:val="005956AF"/>
    <w:rsid w:val="00595C9E"/>
    <w:rsid w:val="005960EF"/>
    <w:rsid w:val="005961D5"/>
    <w:rsid w:val="005962B7"/>
    <w:rsid w:val="00596420"/>
    <w:rsid w:val="005969C4"/>
    <w:rsid w:val="005969EC"/>
    <w:rsid w:val="005972A7"/>
    <w:rsid w:val="00597639"/>
    <w:rsid w:val="0059772F"/>
    <w:rsid w:val="00597DBA"/>
    <w:rsid w:val="005A02B1"/>
    <w:rsid w:val="005A057F"/>
    <w:rsid w:val="005A059E"/>
    <w:rsid w:val="005A05B4"/>
    <w:rsid w:val="005A06B0"/>
    <w:rsid w:val="005A0A58"/>
    <w:rsid w:val="005A0C38"/>
    <w:rsid w:val="005A0F4F"/>
    <w:rsid w:val="005A0FCF"/>
    <w:rsid w:val="005A183D"/>
    <w:rsid w:val="005A1A1F"/>
    <w:rsid w:val="005A1AF5"/>
    <w:rsid w:val="005A1D6F"/>
    <w:rsid w:val="005A242A"/>
    <w:rsid w:val="005A26CC"/>
    <w:rsid w:val="005A2B28"/>
    <w:rsid w:val="005A31F6"/>
    <w:rsid w:val="005A39B7"/>
    <w:rsid w:val="005A3AAC"/>
    <w:rsid w:val="005A4ACE"/>
    <w:rsid w:val="005A4E51"/>
    <w:rsid w:val="005A4FD2"/>
    <w:rsid w:val="005A5104"/>
    <w:rsid w:val="005A52C4"/>
    <w:rsid w:val="005A5975"/>
    <w:rsid w:val="005A59E3"/>
    <w:rsid w:val="005A663A"/>
    <w:rsid w:val="005A69B8"/>
    <w:rsid w:val="005A6B60"/>
    <w:rsid w:val="005A6DB1"/>
    <w:rsid w:val="005A729F"/>
    <w:rsid w:val="005A7396"/>
    <w:rsid w:val="005A73F3"/>
    <w:rsid w:val="005A7824"/>
    <w:rsid w:val="005A7E09"/>
    <w:rsid w:val="005A7F44"/>
    <w:rsid w:val="005B08FF"/>
    <w:rsid w:val="005B0F65"/>
    <w:rsid w:val="005B1334"/>
    <w:rsid w:val="005B19CD"/>
    <w:rsid w:val="005B2C14"/>
    <w:rsid w:val="005B2C54"/>
    <w:rsid w:val="005B3B48"/>
    <w:rsid w:val="005B4580"/>
    <w:rsid w:val="005B489D"/>
    <w:rsid w:val="005B4A6E"/>
    <w:rsid w:val="005B4C2D"/>
    <w:rsid w:val="005B5739"/>
    <w:rsid w:val="005B5791"/>
    <w:rsid w:val="005B6005"/>
    <w:rsid w:val="005B6213"/>
    <w:rsid w:val="005B62F3"/>
    <w:rsid w:val="005B7047"/>
    <w:rsid w:val="005B711D"/>
    <w:rsid w:val="005B7276"/>
    <w:rsid w:val="005B785B"/>
    <w:rsid w:val="005B7BD0"/>
    <w:rsid w:val="005B7BEE"/>
    <w:rsid w:val="005B7D6D"/>
    <w:rsid w:val="005C0072"/>
    <w:rsid w:val="005C009B"/>
    <w:rsid w:val="005C01D9"/>
    <w:rsid w:val="005C0ACF"/>
    <w:rsid w:val="005C0C7B"/>
    <w:rsid w:val="005C0D5D"/>
    <w:rsid w:val="005C118D"/>
    <w:rsid w:val="005C126B"/>
    <w:rsid w:val="005C18B8"/>
    <w:rsid w:val="005C1B14"/>
    <w:rsid w:val="005C1F09"/>
    <w:rsid w:val="005C216F"/>
    <w:rsid w:val="005C244F"/>
    <w:rsid w:val="005C2625"/>
    <w:rsid w:val="005C26BE"/>
    <w:rsid w:val="005C29F5"/>
    <w:rsid w:val="005C2E8B"/>
    <w:rsid w:val="005C3959"/>
    <w:rsid w:val="005C3ADC"/>
    <w:rsid w:val="005C4A8B"/>
    <w:rsid w:val="005C4D91"/>
    <w:rsid w:val="005C6369"/>
    <w:rsid w:val="005C7170"/>
    <w:rsid w:val="005C743D"/>
    <w:rsid w:val="005D05B7"/>
    <w:rsid w:val="005D17FB"/>
    <w:rsid w:val="005D1956"/>
    <w:rsid w:val="005D1973"/>
    <w:rsid w:val="005D1E51"/>
    <w:rsid w:val="005D24BC"/>
    <w:rsid w:val="005D26BD"/>
    <w:rsid w:val="005D28C6"/>
    <w:rsid w:val="005D2D22"/>
    <w:rsid w:val="005D34C9"/>
    <w:rsid w:val="005D34D5"/>
    <w:rsid w:val="005D37C7"/>
    <w:rsid w:val="005D41AA"/>
    <w:rsid w:val="005D4771"/>
    <w:rsid w:val="005D47AD"/>
    <w:rsid w:val="005D47E4"/>
    <w:rsid w:val="005D485D"/>
    <w:rsid w:val="005D4955"/>
    <w:rsid w:val="005D4DAC"/>
    <w:rsid w:val="005D51CD"/>
    <w:rsid w:val="005D5337"/>
    <w:rsid w:val="005D53B1"/>
    <w:rsid w:val="005D53BB"/>
    <w:rsid w:val="005D562A"/>
    <w:rsid w:val="005D5685"/>
    <w:rsid w:val="005D5831"/>
    <w:rsid w:val="005D589A"/>
    <w:rsid w:val="005D5ADE"/>
    <w:rsid w:val="005D5DC7"/>
    <w:rsid w:val="005D60F5"/>
    <w:rsid w:val="005D6411"/>
    <w:rsid w:val="005D6595"/>
    <w:rsid w:val="005D68E0"/>
    <w:rsid w:val="005D6C85"/>
    <w:rsid w:val="005D6D4E"/>
    <w:rsid w:val="005D707A"/>
    <w:rsid w:val="005D7268"/>
    <w:rsid w:val="005D7480"/>
    <w:rsid w:val="005D7556"/>
    <w:rsid w:val="005D78D0"/>
    <w:rsid w:val="005D7CCD"/>
    <w:rsid w:val="005D7D5E"/>
    <w:rsid w:val="005E0545"/>
    <w:rsid w:val="005E0829"/>
    <w:rsid w:val="005E08C6"/>
    <w:rsid w:val="005E08F5"/>
    <w:rsid w:val="005E0CA4"/>
    <w:rsid w:val="005E10A1"/>
    <w:rsid w:val="005E1164"/>
    <w:rsid w:val="005E11A1"/>
    <w:rsid w:val="005E12A3"/>
    <w:rsid w:val="005E1625"/>
    <w:rsid w:val="005E18E3"/>
    <w:rsid w:val="005E20EE"/>
    <w:rsid w:val="005E29DC"/>
    <w:rsid w:val="005E2C13"/>
    <w:rsid w:val="005E2DA3"/>
    <w:rsid w:val="005E3316"/>
    <w:rsid w:val="005E33FF"/>
    <w:rsid w:val="005E3455"/>
    <w:rsid w:val="005E365F"/>
    <w:rsid w:val="005E3A8B"/>
    <w:rsid w:val="005E3D47"/>
    <w:rsid w:val="005E3D69"/>
    <w:rsid w:val="005E413B"/>
    <w:rsid w:val="005E4150"/>
    <w:rsid w:val="005E4453"/>
    <w:rsid w:val="005E473D"/>
    <w:rsid w:val="005E4916"/>
    <w:rsid w:val="005E50A7"/>
    <w:rsid w:val="005E50F0"/>
    <w:rsid w:val="005E653B"/>
    <w:rsid w:val="005E6D07"/>
    <w:rsid w:val="005E6F38"/>
    <w:rsid w:val="005E6F3B"/>
    <w:rsid w:val="005E7606"/>
    <w:rsid w:val="005E7E61"/>
    <w:rsid w:val="005E7F69"/>
    <w:rsid w:val="005F00AF"/>
    <w:rsid w:val="005F00B0"/>
    <w:rsid w:val="005F0932"/>
    <w:rsid w:val="005F0960"/>
    <w:rsid w:val="005F0CB7"/>
    <w:rsid w:val="005F0EF2"/>
    <w:rsid w:val="005F1083"/>
    <w:rsid w:val="005F1784"/>
    <w:rsid w:val="005F17B1"/>
    <w:rsid w:val="005F2955"/>
    <w:rsid w:val="005F3115"/>
    <w:rsid w:val="005F31C7"/>
    <w:rsid w:val="005F3411"/>
    <w:rsid w:val="005F3517"/>
    <w:rsid w:val="005F3752"/>
    <w:rsid w:val="005F380F"/>
    <w:rsid w:val="005F40C3"/>
    <w:rsid w:val="005F4128"/>
    <w:rsid w:val="005F42F9"/>
    <w:rsid w:val="005F4347"/>
    <w:rsid w:val="005F435C"/>
    <w:rsid w:val="005F49A9"/>
    <w:rsid w:val="005F4ABE"/>
    <w:rsid w:val="005F4C78"/>
    <w:rsid w:val="005F4F1D"/>
    <w:rsid w:val="005F5735"/>
    <w:rsid w:val="005F5A1F"/>
    <w:rsid w:val="005F65BC"/>
    <w:rsid w:val="005F6645"/>
    <w:rsid w:val="005F67A3"/>
    <w:rsid w:val="005F6C8C"/>
    <w:rsid w:val="005F6CE5"/>
    <w:rsid w:val="005F6D92"/>
    <w:rsid w:val="005F7012"/>
    <w:rsid w:val="005F7017"/>
    <w:rsid w:val="005F7A87"/>
    <w:rsid w:val="005F7AD7"/>
    <w:rsid w:val="005F7DD2"/>
    <w:rsid w:val="006004F3"/>
    <w:rsid w:val="00600653"/>
    <w:rsid w:val="00600996"/>
    <w:rsid w:val="0060184C"/>
    <w:rsid w:val="00601E0D"/>
    <w:rsid w:val="006020F1"/>
    <w:rsid w:val="006022C7"/>
    <w:rsid w:val="00602778"/>
    <w:rsid w:val="00602D87"/>
    <w:rsid w:val="00602F91"/>
    <w:rsid w:val="00603232"/>
    <w:rsid w:val="006036B2"/>
    <w:rsid w:val="00603754"/>
    <w:rsid w:val="00603E5C"/>
    <w:rsid w:val="00603F06"/>
    <w:rsid w:val="0060439D"/>
    <w:rsid w:val="006043A8"/>
    <w:rsid w:val="00604BBE"/>
    <w:rsid w:val="0060605D"/>
    <w:rsid w:val="00606236"/>
    <w:rsid w:val="00606886"/>
    <w:rsid w:val="00606B99"/>
    <w:rsid w:val="00606CB7"/>
    <w:rsid w:val="00607705"/>
    <w:rsid w:val="00607B52"/>
    <w:rsid w:val="00607F14"/>
    <w:rsid w:val="006109BB"/>
    <w:rsid w:val="0061106D"/>
    <w:rsid w:val="0061109B"/>
    <w:rsid w:val="0061134E"/>
    <w:rsid w:val="006113BD"/>
    <w:rsid w:val="006113CC"/>
    <w:rsid w:val="006117B4"/>
    <w:rsid w:val="00611953"/>
    <w:rsid w:val="00611C90"/>
    <w:rsid w:val="00611F6C"/>
    <w:rsid w:val="00612578"/>
    <w:rsid w:val="0061258B"/>
    <w:rsid w:val="006127BF"/>
    <w:rsid w:val="006128F8"/>
    <w:rsid w:val="00612A80"/>
    <w:rsid w:val="00612F0B"/>
    <w:rsid w:val="006130A6"/>
    <w:rsid w:val="0061356B"/>
    <w:rsid w:val="006137F8"/>
    <w:rsid w:val="006137FE"/>
    <w:rsid w:val="0061394D"/>
    <w:rsid w:val="00613C48"/>
    <w:rsid w:val="00613E3B"/>
    <w:rsid w:val="00613F1E"/>
    <w:rsid w:val="00614695"/>
    <w:rsid w:val="00614A56"/>
    <w:rsid w:val="00614CC2"/>
    <w:rsid w:val="00615085"/>
    <w:rsid w:val="0061540E"/>
    <w:rsid w:val="00615C24"/>
    <w:rsid w:val="00615D1F"/>
    <w:rsid w:val="00616442"/>
    <w:rsid w:val="006164D9"/>
    <w:rsid w:val="006164F3"/>
    <w:rsid w:val="00616661"/>
    <w:rsid w:val="00616747"/>
    <w:rsid w:val="00616BDB"/>
    <w:rsid w:val="00616C25"/>
    <w:rsid w:val="00616CE0"/>
    <w:rsid w:val="00616D73"/>
    <w:rsid w:val="00617728"/>
    <w:rsid w:val="006177F6"/>
    <w:rsid w:val="00617B24"/>
    <w:rsid w:val="00617D7E"/>
    <w:rsid w:val="00617F8D"/>
    <w:rsid w:val="0062124C"/>
    <w:rsid w:val="0062157E"/>
    <w:rsid w:val="006218CE"/>
    <w:rsid w:val="006219C5"/>
    <w:rsid w:val="00621AEC"/>
    <w:rsid w:val="00622144"/>
    <w:rsid w:val="006231ED"/>
    <w:rsid w:val="0062388A"/>
    <w:rsid w:val="006238CC"/>
    <w:rsid w:val="006243E7"/>
    <w:rsid w:val="006245CA"/>
    <w:rsid w:val="00624EEE"/>
    <w:rsid w:val="00624F7C"/>
    <w:rsid w:val="00625077"/>
    <w:rsid w:val="00625DC4"/>
    <w:rsid w:val="00626112"/>
    <w:rsid w:val="006262C6"/>
    <w:rsid w:val="0062643E"/>
    <w:rsid w:val="00626D56"/>
    <w:rsid w:val="00627100"/>
    <w:rsid w:val="00627384"/>
    <w:rsid w:val="006276AF"/>
    <w:rsid w:val="00627745"/>
    <w:rsid w:val="0062791F"/>
    <w:rsid w:val="00627B83"/>
    <w:rsid w:val="00627E57"/>
    <w:rsid w:val="00631C65"/>
    <w:rsid w:val="00631E20"/>
    <w:rsid w:val="00632A22"/>
    <w:rsid w:val="00632C95"/>
    <w:rsid w:val="006332A7"/>
    <w:rsid w:val="006336AF"/>
    <w:rsid w:val="00633874"/>
    <w:rsid w:val="00633889"/>
    <w:rsid w:val="006339D0"/>
    <w:rsid w:val="00633EAA"/>
    <w:rsid w:val="006340C6"/>
    <w:rsid w:val="006341ED"/>
    <w:rsid w:val="00634454"/>
    <w:rsid w:val="0063447D"/>
    <w:rsid w:val="00634937"/>
    <w:rsid w:val="00634D37"/>
    <w:rsid w:val="00635016"/>
    <w:rsid w:val="0063506E"/>
    <w:rsid w:val="006354C2"/>
    <w:rsid w:val="0063573E"/>
    <w:rsid w:val="00636005"/>
    <w:rsid w:val="006360B8"/>
    <w:rsid w:val="006360F9"/>
    <w:rsid w:val="00636168"/>
    <w:rsid w:val="00636241"/>
    <w:rsid w:val="006362D3"/>
    <w:rsid w:val="00636812"/>
    <w:rsid w:val="00636BBD"/>
    <w:rsid w:val="0063767F"/>
    <w:rsid w:val="00637827"/>
    <w:rsid w:val="00637D54"/>
    <w:rsid w:val="00640005"/>
    <w:rsid w:val="00640498"/>
    <w:rsid w:val="006405D7"/>
    <w:rsid w:val="00640834"/>
    <w:rsid w:val="006416F0"/>
    <w:rsid w:val="00641707"/>
    <w:rsid w:val="00641B8D"/>
    <w:rsid w:val="00641BA2"/>
    <w:rsid w:val="00642092"/>
    <w:rsid w:val="006421AD"/>
    <w:rsid w:val="0064283F"/>
    <w:rsid w:val="00642A9B"/>
    <w:rsid w:val="00642D02"/>
    <w:rsid w:val="00642EB6"/>
    <w:rsid w:val="0064301A"/>
    <w:rsid w:val="006435FD"/>
    <w:rsid w:val="00643AA2"/>
    <w:rsid w:val="00643BDB"/>
    <w:rsid w:val="00643DE7"/>
    <w:rsid w:val="00644900"/>
    <w:rsid w:val="006449E0"/>
    <w:rsid w:val="00644DFE"/>
    <w:rsid w:val="00644ED1"/>
    <w:rsid w:val="00645360"/>
    <w:rsid w:val="006455AE"/>
    <w:rsid w:val="006457D8"/>
    <w:rsid w:val="00645B7E"/>
    <w:rsid w:val="00645D75"/>
    <w:rsid w:val="00645DBA"/>
    <w:rsid w:val="006461EB"/>
    <w:rsid w:val="006467A3"/>
    <w:rsid w:val="00646CCB"/>
    <w:rsid w:val="006471E1"/>
    <w:rsid w:val="0064734F"/>
    <w:rsid w:val="006475B9"/>
    <w:rsid w:val="00647C50"/>
    <w:rsid w:val="00647D2A"/>
    <w:rsid w:val="00647D74"/>
    <w:rsid w:val="006500A7"/>
    <w:rsid w:val="00650265"/>
    <w:rsid w:val="006503F5"/>
    <w:rsid w:val="006504E2"/>
    <w:rsid w:val="00650FEF"/>
    <w:rsid w:val="006511C7"/>
    <w:rsid w:val="006512F6"/>
    <w:rsid w:val="0065169A"/>
    <w:rsid w:val="006517D6"/>
    <w:rsid w:val="0065193C"/>
    <w:rsid w:val="00652167"/>
    <w:rsid w:val="00652396"/>
    <w:rsid w:val="00652DEF"/>
    <w:rsid w:val="00653332"/>
    <w:rsid w:val="00653422"/>
    <w:rsid w:val="00653476"/>
    <w:rsid w:val="006534CF"/>
    <w:rsid w:val="0065370B"/>
    <w:rsid w:val="00653EA6"/>
    <w:rsid w:val="0065404E"/>
    <w:rsid w:val="006540D0"/>
    <w:rsid w:val="006540FC"/>
    <w:rsid w:val="006544F2"/>
    <w:rsid w:val="00654D04"/>
    <w:rsid w:val="00655518"/>
    <w:rsid w:val="00655BCB"/>
    <w:rsid w:val="00655F5B"/>
    <w:rsid w:val="0065646A"/>
    <w:rsid w:val="006565CD"/>
    <w:rsid w:val="00656770"/>
    <w:rsid w:val="00656B4A"/>
    <w:rsid w:val="00656B78"/>
    <w:rsid w:val="00657024"/>
    <w:rsid w:val="006575CD"/>
    <w:rsid w:val="006578EA"/>
    <w:rsid w:val="00657AA5"/>
    <w:rsid w:val="00657B78"/>
    <w:rsid w:val="00657C90"/>
    <w:rsid w:val="0066003A"/>
    <w:rsid w:val="00660633"/>
    <w:rsid w:val="0066082F"/>
    <w:rsid w:val="006609D4"/>
    <w:rsid w:val="00660B05"/>
    <w:rsid w:val="00660E90"/>
    <w:rsid w:val="006611BE"/>
    <w:rsid w:val="00661248"/>
    <w:rsid w:val="00661277"/>
    <w:rsid w:val="00661D96"/>
    <w:rsid w:val="00661E48"/>
    <w:rsid w:val="00662122"/>
    <w:rsid w:val="006621A9"/>
    <w:rsid w:val="006628A0"/>
    <w:rsid w:val="00662E06"/>
    <w:rsid w:val="0066382F"/>
    <w:rsid w:val="006638A6"/>
    <w:rsid w:val="00663988"/>
    <w:rsid w:val="0066433A"/>
    <w:rsid w:val="00664451"/>
    <w:rsid w:val="006645CA"/>
    <w:rsid w:val="00664AEE"/>
    <w:rsid w:val="00664B59"/>
    <w:rsid w:val="00664BEE"/>
    <w:rsid w:val="00664CBC"/>
    <w:rsid w:val="00664D95"/>
    <w:rsid w:val="0066517F"/>
    <w:rsid w:val="00665353"/>
    <w:rsid w:val="00666221"/>
    <w:rsid w:val="006665C4"/>
    <w:rsid w:val="006666CE"/>
    <w:rsid w:val="006669DB"/>
    <w:rsid w:val="00666DA4"/>
    <w:rsid w:val="006671C9"/>
    <w:rsid w:val="0066761D"/>
    <w:rsid w:val="0066762D"/>
    <w:rsid w:val="00667634"/>
    <w:rsid w:val="00667C8A"/>
    <w:rsid w:val="00667ED5"/>
    <w:rsid w:val="00670501"/>
    <w:rsid w:val="00670855"/>
    <w:rsid w:val="00670B9E"/>
    <w:rsid w:val="00670BBD"/>
    <w:rsid w:val="00670BEE"/>
    <w:rsid w:val="00670D0F"/>
    <w:rsid w:val="00670DCE"/>
    <w:rsid w:val="00670F29"/>
    <w:rsid w:val="00670F9D"/>
    <w:rsid w:val="006716EC"/>
    <w:rsid w:val="00672825"/>
    <w:rsid w:val="0067295B"/>
    <w:rsid w:val="00672A42"/>
    <w:rsid w:val="00672B92"/>
    <w:rsid w:val="00672DD7"/>
    <w:rsid w:val="00673092"/>
    <w:rsid w:val="0067398F"/>
    <w:rsid w:val="00673C4F"/>
    <w:rsid w:val="0067423D"/>
    <w:rsid w:val="00674B54"/>
    <w:rsid w:val="006751ED"/>
    <w:rsid w:val="006751F0"/>
    <w:rsid w:val="00675336"/>
    <w:rsid w:val="00675A29"/>
    <w:rsid w:val="00675E7A"/>
    <w:rsid w:val="00675EF9"/>
    <w:rsid w:val="00676167"/>
    <w:rsid w:val="006762C1"/>
    <w:rsid w:val="006768A0"/>
    <w:rsid w:val="00676D1E"/>
    <w:rsid w:val="00676F7A"/>
    <w:rsid w:val="0067702C"/>
    <w:rsid w:val="00677172"/>
    <w:rsid w:val="00677637"/>
    <w:rsid w:val="00677F91"/>
    <w:rsid w:val="0068009E"/>
    <w:rsid w:val="0068014B"/>
    <w:rsid w:val="006807EC"/>
    <w:rsid w:val="00680991"/>
    <w:rsid w:val="00680E0A"/>
    <w:rsid w:val="00681108"/>
    <w:rsid w:val="00681688"/>
    <w:rsid w:val="00681D9D"/>
    <w:rsid w:val="0068227D"/>
    <w:rsid w:val="006822C1"/>
    <w:rsid w:val="00682346"/>
    <w:rsid w:val="006825BB"/>
    <w:rsid w:val="00682A3E"/>
    <w:rsid w:val="00682F54"/>
    <w:rsid w:val="00683084"/>
    <w:rsid w:val="0068336A"/>
    <w:rsid w:val="00683988"/>
    <w:rsid w:val="006839C4"/>
    <w:rsid w:val="0068426D"/>
    <w:rsid w:val="0068481E"/>
    <w:rsid w:val="00684AA5"/>
    <w:rsid w:val="00684DA6"/>
    <w:rsid w:val="00684FBB"/>
    <w:rsid w:val="00685310"/>
    <w:rsid w:val="0068569E"/>
    <w:rsid w:val="00685B0A"/>
    <w:rsid w:val="00686A94"/>
    <w:rsid w:val="00686F3B"/>
    <w:rsid w:val="00687341"/>
    <w:rsid w:val="00687611"/>
    <w:rsid w:val="00687FB5"/>
    <w:rsid w:val="006902BA"/>
    <w:rsid w:val="006902EB"/>
    <w:rsid w:val="0069037C"/>
    <w:rsid w:val="00690EB0"/>
    <w:rsid w:val="006910C3"/>
    <w:rsid w:val="00691133"/>
    <w:rsid w:val="00691AD0"/>
    <w:rsid w:val="00691BCD"/>
    <w:rsid w:val="00691D8B"/>
    <w:rsid w:val="0069207C"/>
    <w:rsid w:val="00692305"/>
    <w:rsid w:val="006928BA"/>
    <w:rsid w:val="006929A8"/>
    <w:rsid w:val="00692C58"/>
    <w:rsid w:val="0069313E"/>
    <w:rsid w:val="00693C16"/>
    <w:rsid w:val="006941C5"/>
    <w:rsid w:val="006943A3"/>
    <w:rsid w:val="0069492A"/>
    <w:rsid w:val="0069495B"/>
    <w:rsid w:val="00694A7C"/>
    <w:rsid w:val="00694A90"/>
    <w:rsid w:val="00694C07"/>
    <w:rsid w:val="00694CA9"/>
    <w:rsid w:val="006951A5"/>
    <w:rsid w:val="006954B0"/>
    <w:rsid w:val="0069567D"/>
    <w:rsid w:val="00695E0E"/>
    <w:rsid w:val="00696680"/>
    <w:rsid w:val="006967E0"/>
    <w:rsid w:val="00696C25"/>
    <w:rsid w:val="00696FCD"/>
    <w:rsid w:val="0069764B"/>
    <w:rsid w:val="00697D72"/>
    <w:rsid w:val="00697DDD"/>
    <w:rsid w:val="00697F54"/>
    <w:rsid w:val="006A06A3"/>
    <w:rsid w:val="006A0A11"/>
    <w:rsid w:val="006A0C5B"/>
    <w:rsid w:val="006A0EEF"/>
    <w:rsid w:val="006A11A6"/>
    <w:rsid w:val="006A11E4"/>
    <w:rsid w:val="006A121F"/>
    <w:rsid w:val="006A1BC4"/>
    <w:rsid w:val="006A21E5"/>
    <w:rsid w:val="006A21F4"/>
    <w:rsid w:val="006A22C1"/>
    <w:rsid w:val="006A28B6"/>
    <w:rsid w:val="006A2D65"/>
    <w:rsid w:val="006A300A"/>
    <w:rsid w:val="006A359D"/>
    <w:rsid w:val="006A36AE"/>
    <w:rsid w:val="006A38CF"/>
    <w:rsid w:val="006A3B7B"/>
    <w:rsid w:val="006A3DD4"/>
    <w:rsid w:val="006A4A8C"/>
    <w:rsid w:val="006A4F9B"/>
    <w:rsid w:val="006A5031"/>
    <w:rsid w:val="006A5658"/>
    <w:rsid w:val="006A579F"/>
    <w:rsid w:val="006A57FB"/>
    <w:rsid w:val="006A61AA"/>
    <w:rsid w:val="006A6377"/>
    <w:rsid w:val="006A6C5B"/>
    <w:rsid w:val="006A7950"/>
    <w:rsid w:val="006A7D15"/>
    <w:rsid w:val="006B03DF"/>
    <w:rsid w:val="006B0587"/>
    <w:rsid w:val="006B061A"/>
    <w:rsid w:val="006B0F57"/>
    <w:rsid w:val="006B1017"/>
    <w:rsid w:val="006B12A7"/>
    <w:rsid w:val="006B1390"/>
    <w:rsid w:val="006B1499"/>
    <w:rsid w:val="006B157C"/>
    <w:rsid w:val="006B162E"/>
    <w:rsid w:val="006B17AD"/>
    <w:rsid w:val="006B1847"/>
    <w:rsid w:val="006B19C4"/>
    <w:rsid w:val="006B1C99"/>
    <w:rsid w:val="006B1CAE"/>
    <w:rsid w:val="006B204A"/>
    <w:rsid w:val="006B2954"/>
    <w:rsid w:val="006B2A89"/>
    <w:rsid w:val="006B3C78"/>
    <w:rsid w:val="006B40F4"/>
    <w:rsid w:val="006B4337"/>
    <w:rsid w:val="006B4774"/>
    <w:rsid w:val="006B47BE"/>
    <w:rsid w:val="006B4829"/>
    <w:rsid w:val="006B53A4"/>
    <w:rsid w:val="006B5481"/>
    <w:rsid w:val="006B59E3"/>
    <w:rsid w:val="006B5D8F"/>
    <w:rsid w:val="006B61D0"/>
    <w:rsid w:val="006B62D9"/>
    <w:rsid w:val="006B6E64"/>
    <w:rsid w:val="006B7096"/>
    <w:rsid w:val="006B767C"/>
    <w:rsid w:val="006B79CB"/>
    <w:rsid w:val="006B7F05"/>
    <w:rsid w:val="006C04E7"/>
    <w:rsid w:val="006C069F"/>
    <w:rsid w:val="006C0907"/>
    <w:rsid w:val="006C10E5"/>
    <w:rsid w:val="006C1FD2"/>
    <w:rsid w:val="006C20D0"/>
    <w:rsid w:val="006C28F0"/>
    <w:rsid w:val="006C2E24"/>
    <w:rsid w:val="006C32D8"/>
    <w:rsid w:val="006C35BE"/>
    <w:rsid w:val="006C39D5"/>
    <w:rsid w:val="006C3B47"/>
    <w:rsid w:val="006C3BDD"/>
    <w:rsid w:val="006C3E21"/>
    <w:rsid w:val="006C44F0"/>
    <w:rsid w:val="006C4525"/>
    <w:rsid w:val="006C4717"/>
    <w:rsid w:val="006C5726"/>
    <w:rsid w:val="006C58DA"/>
    <w:rsid w:val="006C5DC5"/>
    <w:rsid w:val="006C607C"/>
    <w:rsid w:val="006C6147"/>
    <w:rsid w:val="006C6364"/>
    <w:rsid w:val="006C642F"/>
    <w:rsid w:val="006C647D"/>
    <w:rsid w:val="006C668E"/>
    <w:rsid w:val="006C67C5"/>
    <w:rsid w:val="006C67CF"/>
    <w:rsid w:val="006C69B2"/>
    <w:rsid w:val="006C6A64"/>
    <w:rsid w:val="006C730B"/>
    <w:rsid w:val="006C7548"/>
    <w:rsid w:val="006C7B7A"/>
    <w:rsid w:val="006C7FC1"/>
    <w:rsid w:val="006D06D3"/>
    <w:rsid w:val="006D1003"/>
    <w:rsid w:val="006D11D6"/>
    <w:rsid w:val="006D163F"/>
    <w:rsid w:val="006D17AB"/>
    <w:rsid w:val="006D17B1"/>
    <w:rsid w:val="006D209B"/>
    <w:rsid w:val="006D2420"/>
    <w:rsid w:val="006D2602"/>
    <w:rsid w:val="006D2944"/>
    <w:rsid w:val="006D2BB9"/>
    <w:rsid w:val="006D3175"/>
    <w:rsid w:val="006D3280"/>
    <w:rsid w:val="006D3472"/>
    <w:rsid w:val="006D3550"/>
    <w:rsid w:val="006D35A6"/>
    <w:rsid w:val="006D36F5"/>
    <w:rsid w:val="006D374C"/>
    <w:rsid w:val="006D3AC0"/>
    <w:rsid w:val="006D3D8F"/>
    <w:rsid w:val="006D3E5D"/>
    <w:rsid w:val="006D466B"/>
    <w:rsid w:val="006D4759"/>
    <w:rsid w:val="006D48BE"/>
    <w:rsid w:val="006D4B29"/>
    <w:rsid w:val="006D4F5A"/>
    <w:rsid w:val="006D52DC"/>
    <w:rsid w:val="006D5332"/>
    <w:rsid w:val="006D5460"/>
    <w:rsid w:val="006D54F5"/>
    <w:rsid w:val="006D5BAB"/>
    <w:rsid w:val="006D6DD3"/>
    <w:rsid w:val="006D7828"/>
    <w:rsid w:val="006D7FA2"/>
    <w:rsid w:val="006E0038"/>
    <w:rsid w:val="006E0125"/>
    <w:rsid w:val="006E0197"/>
    <w:rsid w:val="006E04C4"/>
    <w:rsid w:val="006E0CFD"/>
    <w:rsid w:val="006E1253"/>
    <w:rsid w:val="006E1338"/>
    <w:rsid w:val="006E1592"/>
    <w:rsid w:val="006E15C8"/>
    <w:rsid w:val="006E1614"/>
    <w:rsid w:val="006E1622"/>
    <w:rsid w:val="006E1BEA"/>
    <w:rsid w:val="006E1E35"/>
    <w:rsid w:val="006E2007"/>
    <w:rsid w:val="006E245B"/>
    <w:rsid w:val="006E249C"/>
    <w:rsid w:val="006E2680"/>
    <w:rsid w:val="006E2822"/>
    <w:rsid w:val="006E2A83"/>
    <w:rsid w:val="006E2E7D"/>
    <w:rsid w:val="006E3CAC"/>
    <w:rsid w:val="006E44EC"/>
    <w:rsid w:val="006E4C29"/>
    <w:rsid w:val="006E4DBD"/>
    <w:rsid w:val="006E4EA2"/>
    <w:rsid w:val="006E5545"/>
    <w:rsid w:val="006E5D4C"/>
    <w:rsid w:val="006E6041"/>
    <w:rsid w:val="006E6049"/>
    <w:rsid w:val="006E6419"/>
    <w:rsid w:val="006E695F"/>
    <w:rsid w:val="006E6ED9"/>
    <w:rsid w:val="006E719C"/>
    <w:rsid w:val="006E7271"/>
    <w:rsid w:val="006E76A3"/>
    <w:rsid w:val="006E7B09"/>
    <w:rsid w:val="006E7ED0"/>
    <w:rsid w:val="006E7FD1"/>
    <w:rsid w:val="006F0138"/>
    <w:rsid w:val="006F0480"/>
    <w:rsid w:val="006F0553"/>
    <w:rsid w:val="006F0583"/>
    <w:rsid w:val="006F0889"/>
    <w:rsid w:val="006F0DD8"/>
    <w:rsid w:val="006F10BB"/>
    <w:rsid w:val="006F127E"/>
    <w:rsid w:val="006F15F0"/>
    <w:rsid w:val="006F179F"/>
    <w:rsid w:val="006F1A7B"/>
    <w:rsid w:val="006F2133"/>
    <w:rsid w:val="006F22B9"/>
    <w:rsid w:val="006F2609"/>
    <w:rsid w:val="006F2B36"/>
    <w:rsid w:val="006F3123"/>
    <w:rsid w:val="006F32E8"/>
    <w:rsid w:val="006F446C"/>
    <w:rsid w:val="006F4BAD"/>
    <w:rsid w:val="006F4C36"/>
    <w:rsid w:val="006F51D6"/>
    <w:rsid w:val="006F5232"/>
    <w:rsid w:val="006F59AB"/>
    <w:rsid w:val="006F5B61"/>
    <w:rsid w:val="006F61CA"/>
    <w:rsid w:val="006F658F"/>
    <w:rsid w:val="006F6A40"/>
    <w:rsid w:val="006F6B5E"/>
    <w:rsid w:val="006F6BF0"/>
    <w:rsid w:val="006F6F3F"/>
    <w:rsid w:val="006F70E1"/>
    <w:rsid w:val="006F7301"/>
    <w:rsid w:val="006F7AA6"/>
    <w:rsid w:val="006F7B37"/>
    <w:rsid w:val="006F7BB6"/>
    <w:rsid w:val="00700038"/>
    <w:rsid w:val="0070050E"/>
    <w:rsid w:val="00700D7D"/>
    <w:rsid w:val="00701C61"/>
    <w:rsid w:val="00702087"/>
    <w:rsid w:val="007024B9"/>
    <w:rsid w:val="007028BD"/>
    <w:rsid w:val="00702929"/>
    <w:rsid w:val="00702C18"/>
    <w:rsid w:val="00702DC4"/>
    <w:rsid w:val="0070330F"/>
    <w:rsid w:val="00703351"/>
    <w:rsid w:val="00703D71"/>
    <w:rsid w:val="00703DCE"/>
    <w:rsid w:val="00704754"/>
    <w:rsid w:val="00704AA2"/>
    <w:rsid w:val="00704C4A"/>
    <w:rsid w:val="00704EFC"/>
    <w:rsid w:val="0070507B"/>
    <w:rsid w:val="0070543F"/>
    <w:rsid w:val="0070555E"/>
    <w:rsid w:val="00705E66"/>
    <w:rsid w:val="00706047"/>
    <w:rsid w:val="0070633E"/>
    <w:rsid w:val="007073F3"/>
    <w:rsid w:val="00707ABF"/>
    <w:rsid w:val="00707F9A"/>
    <w:rsid w:val="0071061B"/>
    <w:rsid w:val="00710A1C"/>
    <w:rsid w:val="00710AC1"/>
    <w:rsid w:val="00710E84"/>
    <w:rsid w:val="007111FD"/>
    <w:rsid w:val="00711290"/>
    <w:rsid w:val="00711489"/>
    <w:rsid w:val="007114B5"/>
    <w:rsid w:val="0071190A"/>
    <w:rsid w:val="00711B79"/>
    <w:rsid w:val="00711C32"/>
    <w:rsid w:val="00712386"/>
    <w:rsid w:val="0071239A"/>
    <w:rsid w:val="00712607"/>
    <w:rsid w:val="007126C3"/>
    <w:rsid w:val="007129FF"/>
    <w:rsid w:val="0071309D"/>
    <w:rsid w:val="0071314E"/>
    <w:rsid w:val="0071326B"/>
    <w:rsid w:val="00713717"/>
    <w:rsid w:val="00713CEF"/>
    <w:rsid w:val="00714233"/>
    <w:rsid w:val="007143A4"/>
    <w:rsid w:val="007147E9"/>
    <w:rsid w:val="007149EF"/>
    <w:rsid w:val="00715192"/>
    <w:rsid w:val="007152F9"/>
    <w:rsid w:val="007162D2"/>
    <w:rsid w:val="00716310"/>
    <w:rsid w:val="007165ED"/>
    <w:rsid w:val="00716F0E"/>
    <w:rsid w:val="00716F5A"/>
    <w:rsid w:val="00717404"/>
    <w:rsid w:val="00717F5C"/>
    <w:rsid w:val="007200F4"/>
    <w:rsid w:val="00720508"/>
    <w:rsid w:val="00720CFB"/>
    <w:rsid w:val="00720DBC"/>
    <w:rsid w:val="00720F9E"/>
    <w:rsid w:val="007216AD"/>
    <w:rsid w:val="00721979"/>
    <w:rsid w:val="00721C39"/>
    <w:rsid w:val="00721E0E"/>
    <w:rsid w:val="00721E59"/>
    <w:rsid w:val="00721F48"/>
    <w:rsid w:val="00721FE3"/>
    <w:rsid w:val="007222C0"/>
    <w:rsid w:val="00722492"/>
    <w:rsid w:val="00723718"/>
    <w:rsid w:val="00723804"/>
    <w:rsid w:val="007239DF"/>
    <w:rsid w:val="007239F0"/>
    <w:rsid w:val="00723A5B"/>
    <w:rsid w:val="007240B5"/>
    <w:rsid w:val="00724C16"/>
    <w:rsid w:val="00724DB0"/>
    <w:rsid w:val="00724FFA"/>
    <w:rsid w:val="0072515F"/>
    <w:rsid w:val="00725667"/>
    <w:rsid w:val="00725D10"/>
    <w:rsid w:val="007266AB"/>
    <w:rsid w:val="007266C9"/>
    <w:rsid w:val="00726F37"/>
    <w:rsid w:val="00727412"/>
    <w:rsid w:val="00727574"/>
    <w:rsid w:val="007276AA"/>
    <w:rsid w:val="00727945"/>
    <w:rsid w:val="00727D6A"/>
    <w:rsid w:val="007300AE"/>
    <w:rsid w:val="007307F0"/>
    <w:rsid w:val="007308A7"/>
    <w:rsid w:val="00730A2B"/>
    <w:rsid w:val="007313DB"/>
    <w:rsid w:val="007314D9"/>
    <w:rsid w:val="007318B3"/>
    <w:rsid w:val="00731F81"/>
    <w:rsid w:val="0073224D"/>
    <w:rsid w:val="00732821"/>
    <w:rsid w:val="00732B14"/>
    <w:rsid w:val="00732BF8"/>
    <w:rsid w:val="00732CB5"/>
    <w:rsid w:val="00732FFC"/>
    <w:rsid w:val="0073324D"/>
    <w:rsid w:val="00733251"/>
    <w:rsid w:val="00733268"/>
    <w:rsid w:val="007335E3"/>
    <w:rsid w:val="007344D8"/>
    <w:rsid w:val="007349B7"/>
    <w:rsid w:val="00734BA5"/>
    <w:rsid w:val="007352A1"/>
    <w:rsid w:val="007355BF"/>
    <w:rsid w:val="0073564E"/>
    <w:rsid w:val="00735AD3"/>
    <w:rsid w:val="00735D01"/>
    <w:rsid w:val="00736681"/>
    <w:rsid w:val="0073687D"/>
    <w:rsid w:val="00736F50"/>
    <w:rsid w:val="00737B4A"/>
    <w:rsid w:val="00737DEF"/>
    <w:rsid w:val="00740010"/>
    <w:rsid w:val="00740792"/>
    <w:rsid w:val="00740FC8"/>
    <w:rsid w:val="0074116E"/>
    <w:rsid w:val="00741435"/>
    <w:rsid w:val="00741ED9"/>
    <w:rsid w:val="007420DA"/>
    <w:rsid w:val="007428FB"/>
    <w:rsid w:val="00742B09"/>
    <w:rsid w:val="00742EEF"/>
    <w:rsid w:val="0074320A"/>
    <w:rsid w:val="0074324C"/>
    <w:rsid w:val="00743672"/>
    <w:rsid w:val="00743D92"/>
    <w:rsid w:val="0074432D"/>
    <w:rsid w:val="00744734"/>
    <w:rsid w:val="00744952"/>
    <w:rsid w:val="007452E4"/>
    <w:rsid w:val="007456E9"/>
    <w:rsid w:val="007459DD"/>
    <w:rsid w:val="00745A08"/>
    <w:rsid w:val="00745CDE"/>
    <w:rsid w:val="00745D6A"/>
    <w:rsid w:val="00745E43"/>
    <w:rsid w:val="00745EE1"/>
    <w:rsid w:val="00745F11"/>
    <w:rsid w:val="0074665A"/>
    <w:rsid w:val="00746E70"/>
    <w:rsid w:val="00747176"/>
    <w:rsid w:val="0074747A"/>
    <w:rsid w:val="00747490"/>
    <w:rsid w:val="00750192"/>
    <w:rsid w:val="007504A5"/>
    <w:rsid w:val="007505C2"/>
    <w:rsid w:val="00751158"/>
    <w:rsid w:val="007513C1"/>
    <w:rsid w:val="00751892"/>
    <w:rsid w:val="00751C2D"/>
    <w:rsid w:val="00752816"/>
    <w:rsid w:val="00752D52"/>
    <w:rsid w:val="0075322A"/>
    <w:rsid w:val="0075377E"/>
    <w:rsid w:val="00753CB8"/>
    <w:rsid w:val="007542D4"/>
    <w:rsid w:val="00754CFD"/>
    <w:rsid w:val="00754F18"/>
    <w:rsid w:val="007552AF"/>
    <w:rsid w:val="00755374"/>
    <w:rsid w:val="00755481"/>
    <w:rsid w:val="00755516"/>
    <w:rsid w:val="00755553"/>
    <w:rsid w:val="00755678"/>
    <w:rsid w:val="00755DFE"/>
    <w:rsid w:val="0075625C"/>
    <w:rsid w:val="007575DC"/>
    <w:rsid w:val="007575E8"/>
    <w:rsid w:val="007602A0"/>
    <w:rsid w:val="007604E1"/>
    <w:rsid w:val="00760725"/>
    <w:rsid w:val="00761385"/>
    <w:rsid w:val="00761730"/>
    <w:rsid w:val="0076181A"/>
    <w:rsid w:val="007619C2"/>
    <w:rsid w:val="007619DE"/>
    <w:rsid w:val="00761B35"/>
    <w:rsid w:val="00761B5A"/>
    <w:rsid w:val="0076201F"/>
    <w:rsid w:val="00762372"/>
    <w:rsid w:val="00762837"/>
    <w:rsid w:val="00762AA6"/>
    <w:rsid w:val="00762D57"/>
    <w:rsid w:val="0076318A"/>
    <w:rsid w:val="007637C1"/>
    <w:rsid w:val="0076397D"/>
    <w:rsid w:val="00763A76"/>
    <w:rsid w:val="0076416B"/>
    <w:rsid w:val="00764E4B"/>
    <w:rsid w:val="007653D8"/>
    <w:rsid w:val="00765643"/>
    <w:rsid w:val="00765708"/>
    <w:rsid w:val="00765917"/>
    <w:rsid w:val="007659BA"/>
    <w:rsid w:val="007659EB"/>
    <w:rsid w:val="00765E87"/>
    <w:rsid w:val="007660E3"/>
    <w:rsid w:val="00766384"/>
    <w:rsid w:val="007664FC"/>
    <w:rsid w:val="00766931"/>
    <w:rsid w:val="007669E5"/>
    <w:rsid w:val="00766EC6"/>
    <w:rsid w:val="00767779"/>
    <w:rsid w:val="007678A0"/>
    <w:rsid w:val="00767A1F"/>
    <w:rsid w:val="00767AE4"/>
    <w:rsid w:val="00767BBB"/>
    <w:rsid w:val="00770172"/>
    <w:rsid w:val="00770D87"/>
    <w:rsid w:val="0077105B"/>
    <w:rsid w:val="00771C67"/>
    <w:rsid w:val="00771FEF"/>
    <w:rsid w:val="0077261B"/>
    <w:rsid w:val="00772C12"/>
    <w:rsid w:val="0077321D"/>
    <w:rsid w:val="007735F8"/>
    <w:rsid w:val="00773854"/>
    <w:rsid w:val="00773DB6"/>
    <w:rsid w:val="007740A5"/>
    <w:rsid w:val="007740F7"/>
    <w:rsid w:val="0077410C"/>
    <w:rsid w:val="0077443C"/>
    <w:rsid w:val="00774746"/>
    <w:rsid w:val="00774C25"/>
    <w:rsid w:val="00774FDB"/>
    <w:rsid w:val="0077559D"/>
    <w:rsid w:val="00775AA8"/>
    <w:rsid w:val="00775B75"/>
    <w:rsid w:val="00775E64"/>
    <w:rsid w:val="00776D2B"/>
    <w:rsid w:val="00776E2C"/>
    <w:rsid w:val="007772EF"/>
    <w:rsid w:val="00777432"/>
    <w:rsid w:val="00777986"/>
    <w:rsid w:val="00777BFE"/>
    <w:rsid w:val="00780897"/>
    <w:rsid w:val="007815ED"/>
    <w:rsid w:val="0078192A"/>
    <w:rsid w:val="00781C68"/>
    <w:rsid w:val="00781E69"/>
    <w:rsid w:val="007821C1"/>
    <w:rsid w:val="00782D62"/>
    <w:rsid w:val="007838FF"/>
    <w:rsid w:val="00783EBB"/>
    <w:rsid w:val="0078438B"/>
    <w:rsid w:val="0078451D"/>
    <w:rsid w:val="00784A2B"/>
    <w:rsid w:val="00784CAD"/>
    <w:rsid w:val="00784D68"/>
    <w:rsid w:val="007851A8"/>
    <w:rsid w:val="0078531C"/>
    <w:rsid w:val="0078544D"/>
    <w:rsid w:val="00785788"/>
    <w:rsid w:val="00785862"/>
    <w:rsid w:val="0078649D"/>
    <w:rsid w:val="007864C1"/>
    <w:rsid w:val="007865A6"/>
    <w:rsid w:val="00786A09"/>
    <w:rsid w:val="00786EAA"/>
    <w:rsid w:val="007871CA"/>
    <w:rsid w:val="007874F6"/>
    <w:rsid w:val="00787A69"/>
    <w:rsid w:val="00787EEF"/>
    <w:rsid w:val="0079034C"/>
    <w:rsid w:val="0079040F"/>
    <w:rsid w:val="0079062A"/>
    <w:rsid w:val="00790899"/>
    <w:rsid w:val="00791007"/>
    <w:rsid w:val="007912F9"/>
    <w:rsid w:val="00791DD8"/>
    <w:rsid w:val="00792041"/>
    <w:rsid w:val="00792444"/>
    <w:rsid w:val="007924E3"/>
    <w:rsid w:val="0079273F"/>
    <w:rsid w:val="00792899"/>
    <w:rsid w:val="00792BAF"/>
    <w:rsid w:val="00792D5D"/>
    <w:rsid w:val="007930B2"/>
    <w:rsid w:val="007930F4"/>
    <w:rsid w:val="00793975"/>
    <w:rsid w:val="007943EE"/>
    <w:rsid w:val="00794469"/>
    <w:rsid w:val="00795383"/>
    <w:rsid w:val="0079692E"/>
    <w:rsid w:val="00796942"/>
    <w:rsid w:val="00796A34"/>
    <w:rsid w:val="00797011"/>
    <w:rsid w:val="007974B5"/>
    <w:rsid w:val="00797AB1"/>
    <w:rsid w:val="00797BC8"/>
    <w:rsid w:val="00797F59"/>
    <w:rsid w:val="007A0036"/>
    <w:rsid w:val="007A0284"/>
    <w:rsid w:val="007A02BC"/>
    <w:rsid w:val="007A05D5"/>
    <w:rsid w:val="007A069F"/>
    <w:rsid w:val="007A08D1"/>
    <w:rsid w:val="007A0C74"/>
    <w:rsid w:val="007A0E8E"/>
    <w:rsid w:val="007A128E"/>
    <w:rsid w:val="007A14A3"/>
    <w:rsid w:val="007A1DCB"/>
    <w:rsid w:val="007A20B9"/>
    <w:rsid w:val="007A235A"/>
    <w:rsid w:val="007A28AB"/>
    <w:rsid w:val="007A28EC"/>
    <w:rsid w:val="007A2A3A"/>
    <w:rsid w:val="007A2D8C"/>
    <w:rsid w:val="007A34AE"/>
    <w:rsid w:val="007A35CD"/>
    <w:rsid w:val="007A3A9B"/>
    <w:rsid w:val="007A3AD9"/>
    <w:rsid w:val="007A3B98"/>
    <w:rsid w:val="007A3E1C"/>
    <w:rsid w:val="007A43DE"/>
    <w:rsid w:val="007A4682"/>
    <w:rsid w:val="007A47C1"/>
    <w:rsid w:val="007A48A3"/>
    <w:rsid w:val="007A4CC8"/>
    <w:rsid w:val="007A4DFF"/>
    <w:rsid w:val="007A54C5"/>
    <w:rsid w:val="007A5B1C"/>
    <w:rsid w:val="007A5D40"/>
    <w:rsid w:val="007A62BB"/>
    <w:rsid w:val="007A63C1"/>
    <w:rsid w:val="007A6501"/>
    <w:rsid w:val="007A65BD"/>
    <w:rsid w:val="007A67B3"/>
    <w:rsid w:val="007A6FCF"/>
    <w:rsid w:val="007A736E"/>
    <w:rsid w:val="007A77E8"/>
    <w:rsid w:val="007A7857"/>
    <w:rsid w:val="007B01E9"/>
    <w:rsid w:val="007B0265"/>
    <w:rsid w:val="007B0DAA"/>
    <w:rsid w:val="007B0EF2"/>
    <w:rsid w:val="007B10A8"/>
    <w:rsid w:val="007B1429"/>
    <w:rsid w:val="007B1811"/>
    <w:rsid w:val="007B21C2"/>
    <w:rsid w:val="007B225A"/>
    <w:rsid w:val="007B2492"/>
    <w:rsid w:val="007B2504"/>
    <w:rsid w:val="007B2F5E"/>
    <w:rsid w:val="007B32BA"/>
    <w:rsid w:val="007B3B23"/>
    <w:rsid w:val="007B4164"/>
    <w:rsid w:val="007B42CE"/>
    <w:rsid w:val="007B556F"/>
    <w:rsid w:val="007B55D6"/>
    <w:rsid w:val="007B55E8"/>
    <w:rsid w:val="007B59C2"/>
    <w:rsid w:val="007B5B27"/>
    <w:rsid w:val="007B5D6B"/>
    <w:rsid w:val="007B5F5F"/>
    <w:rsid w:val="007B63FA"/>
    <w:rsid w:val="007B6524"/>
    <w:rsid w:val="007B7166"/>
    <w:rsid w:val="007B7278"/>
    <w:rsid w:val="007B73AA"/>
    <w:rsid w:val="007B7420"/>
    <w:rsid w:val="007B79E7"/>
    <w:rsid w:val="007B79F1"/>
    <w:rsid w:val="007B7B93"/>
    <w:rsid w:val="007B7F30"/>
    <w:rsid w:val="007C04A5"/>
    <w:rsid w:val="007C07F7"/>
    <w:rsid w:val="007C0FAA"/>
    <w:rsid w:val="007C16B2"/>
    <w:rsid w:val="007C1AA6"/>
    <w:rsid w:val="007C2536"/>
    <w:rsid w:val="007C2C3F"/>
    <w:rsid w:val="007C2CAF"/>
    <w:rsid w:val="007C35C9"/>
    <w:rsid w:val="007C3A5D"/>
    <w:rsid w:val="007C3CF5"/>
    <w:rsid w:val="007C4012"/>
    <w:rsid w:val="007C4633"/>
    <w:rsid w:val="007C4CA0"/>
    <w:rsid w:val="007C4DF0"/>
    <w:rsid w:val="007C5F2F"/>
    <w:rsid w:val="007C5F78"/>
    <w:rsid w:val="007C6163"/>
    <w:rsid w:val="007C6177"/>
    <w:rsid w:val="007C65F9"/>
    <w:rsid w:val="007C7529"/>
    <w:rsid w:val="007C762F"/>
    <w:rsid w:val="007C7A1B"/>
    <w:rsid w:val="007C7C71"/>
    <w:rsid w:val="007C7CA6"/>
    <w:rsid w:val="007C7D00"/>
    <w:rsid w:val="007C7E05"/>
    <w:rsid w:val="007D01FD"/>
    <w:rsid w:val="007D0289"/>
    <w:rsid w:val="007D0382"/>
    <w:rsid w:val="007D06B1"/>
    <w:rsid w:val="007D120C"/>
    <w:rsid w:val="007D14CF"/>
    <w:rsid w:val="007D16FA"/>
    <w:rsid w:val="007D1855"/>
    <w:rsid w:val="007D193D"/>
    <w:rsid w:val="007D1EA4"/>
    <w:rsid w:val="007D2332"/>
    <w:rsid w:val="007D24BA"/>
    <w:rsid w:val="007D2579"/>
    <w:rsid w:val="007D2656"/>
    <w:rsid w:val="007D2940"/>
    <w:rsid w:val="007D2D22"/>
    <w:rsid w:val="007D3125"/>
    <w:rsid w:val="007D3B5C"/>
    <w:rsid w:val="007D3D59"/>
    <w:rsid w:val="007D4266"/>
    <w:rsid w:val="007D43EC"/>
    <w:rsid w:val="007D4529"/>
    <w:rsid w:val="007D45C3"/>
    <w:rsid w:val="007D46BA"/>
    <w:rsid w:val="007D46FC"/>
    <w:rsid w:val="007D4886"/>
    <w:rsid w:val="007D4971"/>
    <w:rsid w:val="007D4ABA"/>
    <w:rsid w:val="007D4F32"/>
    <w:rsid w:val="007D5037"/>
    <w:rsid w:val="007D54B3"/>
    <w:rsid w:val="007D57E8"/>
    <w:rsid w:val="007D5C6F"/>
    <w:rsid w:val="007D5F20"/>
    <w:rsid w:val="007D6142"/>
    <w:rsid w:val="007D61F3"/>
    <w:rsid w:val="007D6740"/>
    <w:rsid w:val="007D6ACF"/>
    <w:rsid w:val="007D6BCD"/>
    <w:rsid w:val="007D702F"/>
    <w:rsid w:val="007D73D7"/>
    <w:rsid w:val="007D7D67"/>
    <w:rsid w:val="007E01ED"/>
    <w:rsid w:val="007E0D0E"/>
    <w:rsid w:val="007E1314"/>
    <w:rsid w:val="007E13FF"/>
    <w:rsid w:val="007E2120"/>
    <w:rsid w:val="007E2130"/>
    <w:rsid w:val="007E237C"/>
    <w:rsid w:val="007E260F"/>
    <w:rsid w:val="007E2FCF"/>
    <w:rsid w:val="007E3C41"/>
    <w:rsid w:val="007E3C8C"/>
    <w:rsid w:val="007E3F39"/>
    <w:rsid w:val="007E418F"/>
    <w:rsid w:val="007E44B7"/>
    <w:rsid w:val="007E47F6"/>
    <w:rsid w:val="007E5EAC"/>
    <w:rsid w:val="007E5EC6"/>
    <w:rsid w:val="007E613A"/>
    <w:rsid w:val="007E6291"/>
    <w:rsid w:val="007E7408"/>
    <w:rsid w:val="007E7AE8"/>
    <w:rsid w:val="007E7C36"/>
    <w:rsid w:val="007F05D4"/>
    <w:rsid w:val="007F0E97"/>
    <w:rsid w:val="007F109F"/>
    <w:rsid w:val="007F1200"/>
    <w:rsid w:val="007F167E"/>
    <w:rsid w:val="007F16D4"/>
    <w:rsid w:val="007F1A02"/>
    <w:rsid w:val="007F2273"/>
    <w:rsid w:val="007F2285"/>
    <w:rsid w:val="007F261E"/>
    <w:rsid w:val="007F262C"/>
    <w:rsid w:val="007F2B77"/>
    <w:rsid w:val="007F3B8F"/>
    <w:rsid w:val="007F45FE"/>
    <w:rsid w:val="007F4AC8"/>
    <w:rsid w:val="007F4C18"/>
    <w:rsid w:val="007F4E4C"/>
    <w:rsid w:val="007F6156"/>
    <w:rsid w:val="007F6379"/>
    <w:rsid w:val="007F648B"/>
    <w:rsid w:val="007F6657"/>
    <w:rsid w:val="007F6805"/>
    <w:rsid w:val="007F6B57"/>
    <w:rsid w:val="007F6C13"/>
    <w:rsid w:val="007F7043"/>
    <w:rsid w:val="007F7190"/>
    <w:rsid w:val="007F72C9"/>
    <w:rsid w:val="007F744F"/>
    <w:rsid w:val="007F7A92"/>
    <w:rsid w:val="00800A3E"/>
    <w:rsid w:val="00800C44"/>
    <w:rsid w:val="00800CDA"/>
    <w:rsid w:val="00800D86"/>
    <w:rsid w:val="00800EA0"/>
    <w:rsid w:val="0080117E"/>
    <w:rsid w:val="008013C4"/>
    <w:rsid w:val="008014E9"/>
    <w:rsid w:val="0080160E"/>
    <w:rsid w:val="00801802"/>
    <w:rsid w:val="00801C6C"/>
    <w:rsid w:val="00801D40"/>
    <w:rsid w:val="00801E11"/>
    <w:rsid w:val="00801EAB"/>
    <w:rsid w:val="00802064"/>
    <w:rsid w:val="008024AA"/>
    <w:rsid w:val="00802FC4"/>
    <w:rsid w:val="00803ADC"/>
    <w:rsid w:val="00803E8D"/>
    <w:rsid w:val="0080410C"/>
    <w:rsid w:val="0080446C"/>
    <w:rsid w:val="008044AA"/>
    <w:rsid w:val="008058D7"/>
    <w:rsid w:val="00805D04"/>
    <w:rsid w:val="00805E7F"/>
    <w:rsid w:val="00806081"/>
    <w:rsid w:val="0080637B"/>
    <w:rsid w:val="00806819"/>
    <w:rsid w:val="00807036"/>
    <w:rsid w:val="0080755F"/>
    <w:rsid w:val="0080760E"/>
    <w:rsid w:val="0080764B"/>
    <w:rsid w:val="008077E2"/>
    <w:rsid w:val="00807C7C"/>
    <w:rsid w:val="00810386"/>
    <w:rsid w:val="008115DE"/>
    <w:rsid w:val="008118BE"/>
    <w:rsid w:val="00811CCA"/>
    <w:rsid w:val="00811EE5"/>
    <w:rsid w:val="00811EF9"/>
    <w:rsid w:val="008120EE"/>
    <w:rsid w:val="00812296"/>
    <w:rsid w:val="0081272F"/>
    <w:rsid w:val="00812A22"/>
    <w:rsid w:val="00813256"/>
    <w:rsid w:val="00813950"/>
    <w:rsid w:val="008140BB"/>
    <w:rsid w:val="00814138"/>
    <w:rsid w:val="0081419D"/>
    <w:rsid w:val="00815261"/>
    <w:rsid w:val="00815348"/>
    <w:rsid w:val="0081564B"/>
    <w:rsid w:val="0081572D"/>
    <w:rsid w:val="00815B1A"/>
    <w:rsid w:val="00815BDA"/>
    <w:rsid w:val="008162D4"/>
    <w:rsid w:val="00816332"/>
    <w:rsid w:val="008167D6"/>
    <w:rsid w:val="00816CA6"/>
    <w:rsid w:val="00816DCD"/>
    <w:rsid w:val="00816F39"/>
    <w:rsid w:val="00816FD8"/>
    <w:rsid w:val="00816FFA"/>
    <w:rsid w:val="0081722D"/>
    <w:rsid w:val="00817513"/>
    <w:rsid w:val="00817E9A"/>
    <w:rsid w:val="00817EA6"/>
    <w:rsid w:val="00817EF0"/>
    <w:rsid w:val="008200F3"/>
    <w:rsid w:val="008203CE"/>
    <w:rsid w:val="008203CF"/>
    <w:rsid w:val="008205DB"/>
    <w:rsid w:val="0082114F"/>
    <w:rsid w:val="008219AF"/>
    <w:rsid w:val="00821CF6"/>
    <w:rsid w:val="008222E0"/>
    <w:rsid w:val="00822D87"/>
    <w:rsid w:val="008231F9"/>
    <w:rsid w:val="0082356F"/>
    <w:rsid w:val="0082358D"/>
    <w:rsid w:val="008236D2"/>
    <w:rsid w:val="0082374B"/>
    <w:rsid w:val="00823CDA"/>
    <w:rsid w:val="00824072"/>
    <w:rsid w:val="0082413A"/>
    <w:rsid w:val="00824508"/>
    <w:rsid w:val="0082454E"/>
    <w:rsid w:val="0082518B"/>
    <w:rsid w:val="00826469"/>
    <w:rsid w:val="008264C2"/>
    <w:rsid w:val="00826C10"/>
    <w:rsid w:val="00826C96"/>
    <w:rsid w:val="00826DF0"/>
    <w:rsid w:val="008275D0"/>
    <w:rsid w:val="0082772E"/>
    <w:rsid w:val="00830052"/>
    <w:rsid w:val="00830080"/>
    <w:rsid w:val="008302CC"/>
    <w:rsid w:val="00830A0D"/>
    <w:rsid w:val="00830C70"/>
    <w:rsid w:val="008311BD"/>
    <w:rsid w:val="008315B7"/>
    <w:rsid w:val="00831779"/>
    <w:rsid w:val="00831923"/>
    <w:rsid w:val="00831A40"/>
    <w:rsid w:val="00831B61"/>
    <w:rsid w:val="00831CE6"/>
    <w:rsid w:val="00831F58"/>
    <w:rsid w:val="00832044"/>
    <w:rsid w:val="008325B8"/>
    <w:rsid w:val="008326F6"/>
    <w:rsid w:val="0083296B"/>
    <w:rsid w:val="008329A9"/>
    <w:rsid w:val="00833A9F"/>
    <w:rsid w:val="00833D24"/>
    <w:rsid w:val="00833E52"/>
    <w:rsid w:val="00833ED5"/>
    <w:rsid w:val="00834730"/>
    <w:rsid w:val="0083475D"/>
    <w:rsid w:val="008348F3"/>
    <w:rsid w:val="00834C6B"/>
    <w:rsid w:val="008351BD"/>
    <w:rsid w:val="00835CA0"/>
    <w:rsid w:val="00835D55"/>
    <w:rsid w:val="00835DE8"/>
    <w:rsid w:val="0083720E"/>
    <w:rsid w:val="008376DB"/>
    <w:rsid w:val="0083774D"/>
    <w:rsid w:val="00837B3C"/>
    <w:rsid w:val="00837E2F"/>
    <w:rsid w:val="008402F2"/>
    <w:rsid w:val="0084050F"/>
    <w:rsid w:val="00840C10"/>
    <w:rsid w:val="00840CF5"/>
    <w:rsid w:val="00840E91"/>
    <w:rsid w:val="00840F0C"/>
    <w:rsid w:val="008410BE"/>
    <w:rsid w:val="00841211"/>
    <w:rsid w:val="008413CD"/>
    <w:rsid w:val="008416DD"/>
    <w:rsid w:val="008419EA"/>
    <w:rsid w:val="00841A8D"/>
    <w:rsid w:val="008422A9"/>
    <w:rsid w:val="00842CC4"/>
    <w:rsid w:val="00842F2F"/>
    <w:rsid w:val="008438AF"/>
    <w:rsid w:val="00843B03"/>
    <w:rsid w:val="00843C94"/>
    <w:rsid w:val="00844BBD"/>
    <w:rsid w:val="00844C51"/>
    <w:rsid w:val="00845809"/>
    <w:rsid w:val="00845D05"/>
    <w:rsid w:val="008465C4"/>
    <w:rsid w:val="00846694"/>
    <w:rsid w:val="008471EB"/>
    <w:rsid w:val="00847300"/>
    <w:rsid w:val="00847436"/>
    <w:rsid w:val="00847590"/>
    <w:rsid w:val="008475A0"/>
    <w:rsid w:val="008475B5"/>
    <w:rsid w:val="0084769B"/>
    <w:rsid w:val="00847B76"/>
    <w:rsid w:val="00847E48"/>
    <w:rsid w:val="00847FA9"/>
    <w:rsid w:val="00850CA7"/>
    <w:rsid w:val="00850EF5"/>
    <w:rsid w:val="008517B6"/>
    <w:rsid w:val="00851F99"/>
    <w:rsid w:val="00852428"/>
    <w:rsid w:val="00852858"/>
    <w:rsid w:val="00852B24"/>
    <w:rsid w:val="00852CAE"/>
    <w:rsid w:val="00852D6D"/>
    <w:rsid w:val="00852EDF"/>
    <w:rsid w:val="00853444"/>
    <w:rsid w:val="008534E6"/>
    <w:rsid w:val="008536B8"/>
    <w:rsid w:val="008537D9"/>
    <w:rsid w:val="0085389A"/>
    <w:rsid w:val="00854075"/>
    <w:rsid w:val="008540A4"/>
    <w:rsid w:val="008549A6"/>
    <w:rsid w:val="008549DE"/>
    <w:rsid w:val="00855A18"/>
    <w:rsid w:val="00855DD9"/>
    <w:rsid w:val="008565A6"/>
    <w:rsid w:val="00856A2D"/>
    <w:rsid w:val="00856AF6"/>
    <w:rsid w:val="00856DC4"/>
    <w:rsid w:val="0085707D"/>
    <w:rsid w:val="008572A0"/>
    <w:rsid w:val="0085730B"/>
    <w:rsid w:val="00857596"/>
    <w:rsid w:val="00857A80"/>
    <w:rsid w:val="00857A96"/>
    <w:rsid w:val="00857B28"/>
    <w:rsid w:val="00860317"/>
    <w:rsid w:val="008603FA"/>
    <w:rsid w:val="00860B89"/>
    <w:rsid w:val="0086166B"/>
    <w:rsid w:val="00861A2B"/>
    <w:rsid w:val="00861B19"/>
    <w:rsid w:val="008628EA"/>
    <w:rsid w:val="00862949"/>
    <w:rsid w:val="00862DA5"/>
    <w:rsid w:val="008639F3"/>
    <w:rsid w:val="00863DF2"/>
    <w:rsid w:val="00863FB2"/>
    <w:rsid w:val="008641C5"/>
    <w:rsid w:val="00864E63"/>
    <w:rsid w:val="00864EFD"/>
    <w:rsid w:val="0086523C"/>
    <w:rsid w:val="0086535C"/>
    <w:rsid w:val="00865C9B"/>
    <w:rsid w:val="0086624C"/>
    <w:rsid w:val="008664B3"/>
    <w:rsid w:val="0086687C"/>
    <w:rsid w:val="00866CC6"/>
    <w:rsid w:val="00866EC0"/>
    <w:rsid w:val="00867047"/>
    <w:rsid w:val="0086711E"/>
    <w:rsid w:val="0086791E"/>
    <w:rsid w:val="008679CB"/>
    <w:rsid w:val="00867EB0"/>
    <w:rsid w:val="008706AE"/>
    <w:rsid w:val="0087171C"/>
    <w:rsid w:val="008718F2"/>
    <w:rsid w:val="00871AD3"/>
    <w:rsid w:val="00872220"/>
    <w:rsid w:val="0087223E"/>
    <w:rsid w:val="008725F3"/>
    <w:rsid w:val="008726B8"/>
    <w:rsid w:val="008733E0"/>
    <w:rsid w:val="00873539"/>
    <w:rsid w:val="008737DA"/>
    <w:rsid w:val="00873827"/>
    <w:rsid w:val="0087419B"/>
    <w:rsid w:val="008743BB"/>
    <w:rsid w:val="00874644"/>
    <w:rsid w:val="00874730"/>
    <w:rsid w:val="00875C0D"/>
    <w:rsid w:val="00875EF1"/>
    <w:rsid w:val="00875FCC"/>
    <w:rsid w:val="00876025"/>
    <w:rsid w:val="008760F3"/>
    <w:rsid w:val="00876482"/>
    <w:rsid w:val="0087675C"/>
    <w:rsid w:val="00877191"/>
    <w:rsid w:val="008773F4"/>
    <w:rsid w:val="00877421"/>
    <w:rsid w:val="00877433"/>
    <w:rsid w:val="008774A9"/>
    <w:rsid w:val="008774CB"/>
    <w:rsid w:val="008779FF"/>
    <w:rsid w:val="0088039B"/>
    <w:rsid w:val="008803E8"/>
    <w:rsid w:val="00880B6F"/>
    <w:rsid w:val="0088142E"/>
    <w:rsid w:val="00881AFF"/>
    <w:rsid w:val="00881B49"/>
    <w:rsid w:val="00882366"/>
    <w:rsid w:val="0088251A"/>
    <w:rsid w:val="00882692"/>
    <w:rsid w:val="008828FA"/>
    <w:rsid w:val="00882A68"/>
    <w:rsid w:val="00882C58"/>
    <w:rsid w:val="00882FDE"/>
    <w:rsid w:val="00883035"/>
    <w:rsid w:val="008831BD"/>
    <w:rsid w:val="00883214"/>
    <w:rsid w:val="0088328C"/>
    <w:rsid w:val="008834FB"/>
    <w:rsid w:val="008835A8"/>
    <w:rsid w:val="0088374E"/>
    <w:rsid w:val="00884080"/>
    <w:rsid w:val="00884218"/>
    <w:rsid w:val="0088422E"/>
    <w:rsid w:val="0088425A"/>
    <w:rsid w:val="00884BEA"/>
    <w:rsid w:val="00884C0E"/>
    <w:rsid w:val="00884CB4"/>
    <w:rsid w:val="00884E51"/>
    <w:rsid w:val="00885CAE"/>
    <w:rsid w:val="00885E17"/>
    <w:rsid w:val="00885FC2"/>
    <w:rsid w:val="008860CC"/>
    <w:rsid w:val="00886CB7"/>
    <w:rsid w:val="008870B3"/>
    <w:rsid w:val="0088780F"/>
    <w:rsid w:val="00887A91"/>
    <w:rsid w:val="00887CEB"/>
    <w:rsid w:val="0089017C"/>
    <w:rsid w:val="008903FB"/>
    <w:rsid w:val="00890BEB"/>
    <w:rsid w:val="00891346"/>
    <w:rsid w:val="00891CDA"/>
    <w:rsid w:val="00891D6F"/>
    <w:rsid w:val="00892841"/>
    <w:rsid w:val="00892898"/>
    <w:rsid w:val="008928C6"/>
    <w:rsid w:val="008929C9"/>
    <w:rsid w:val="00892B50"/>
    <w:rsid w:val="008930A4"/>
    <w:rsid w:val="00893101"/>
    <w:rsid w:val="00893225"/>
    <w:rsid w:val="00893A94"/>
    <w:rsid w:val="00893B13"/>
    <w:rsid w:val="00893C8C"/>
    <w:rsid w:val="00894417"/>
    <w:rsid w:val="0089449E"/>
    <w:rsid w:val="0089456A"/>
    <w:rsid w:val="0089468A"/>
    <w:rsid w:val="008949EF"/>
    <w:rsid w:val="008952F3"/>
    <w:rsid w:val="0089548F"/>
    <w:rsid w:val="00895527"/>
    <w:rsid w:val="008955A8"/>
    <w:rsid w:val="00895AC7"/>
    <w:rsid w:val="00895E29"/>
    <w:rsid w:val="0089647F"/>
    <w:rsid w:val="00896AE9"/>
    <w:rsid w:val="00896D1E"/>
    <w:rsid w:val="00896FAD"/>
    <w:rsid w:val="0089786D"/>
    <w:rsid w:val="00897936"/>
    <w:rsid w:val="008A00D2"/>
    <w:rsid w:val="008A0357"/>
    <w:rsid w:val="008A03E2"/>
    <w:rsid w:val="008A08FD"/>
    <w:rsid w:val="008A1526"/>
    <w:rsid w:val="008A15DB"/>
    <w:rsid w:val="008A17A1"/>
    <w:rsid w:val="008A1977"/>
    <w:rsid w:val="008A1CA2"/>
    <w:rsid w:val="008A1D4D"/>
    <w:rsid w:val="008A1DD4"/>
    <w:rsid w:val="008A1DD5"/>
    <w:rsid w:val="008A1FDD"/>
    <w:rsid w:val="008A201A"/>
    <w:rsid w:val="008A2465"/>
    <w:rsid w:val="008A256C"/>
    <w:rsid w:val="008A2852"/>
    <w:rsid w:val="008A2AF4"/>
    <w:rsid w:val="008A2C28"/>
    <w:rsid w:val="008A2DD7"/>
    <w:rsid w:val="008A351C"/>
    <w:rsid w:val="008A3B35"/>
    <w:rsid w:val="008A40A1"/>
    <w:rsid w:val="008A4139"/>
    <w:rsid w:val="008A4323"/>
    <w:rsid w:val="008A45C1"/>
    <w:rsid w:val="008A46D1"/>
    <w:rsid w:val="008A4964"/>
    <w:rsid w:val="008A4C3C"/>
    <w:rsid w:val="008A4DF9"/>
    <w:rsid w:val="008A4E5C"/>
    <w:rsid w:val="008A517C"/>
    <w:rsid w:val="008A51D1"/>
    <w:rsid w:val="008A52C8"/>
    <w:rsid w:val="008A5AEF"/>
    <w:rsid w:val="008A5E56"/>
    <w:rsid w:val="008A63B9"/>
    <w:rsid w:val="008A70F4"/>
    <w:rsid w:val="008A7697"/>
    <w:rsid w:val="008A7745"/>
    <w:rsid w:val="008A7B18"/>
    <w:rsid w:val="008A7E9E"/>
    <w:rsid w:val="008A7EB5"/>
    <w:rsid w:val="008B0487"/>
    <w:rsid w:val="008B0646"/>
    <w:rsid w:val="008B0CB1"/>
    <w:rsid w:val="008B0EC4"/>
    <w:rsid w:val="008B18D4"/>
    <w:rsid w:val="008B1940"/>
    <w:rsid w:val="008B1E65"/>
    <w:rsid w:val="008B1FEE"/>
    <w:rsid w:val="008B23DC"/>
    <w:rsid w:val="008B2817"/>
    <w:rsid w:val="008B2867"/>
    <w:rsid w:val="008B2B54"/>
    <w:rsid w:val="008B2CA0"/>
    <w:rsid w:val="008B2CB4"/>
    <w:rsid w:val="008B2DC6"/>
    <w:rsid w:val="008B307A"/>
    <w:rsid w:val="008B36AD"/>
    <w:rsid w:val="008B4358"/>
    <w:rsid w:val="008B44C4"/>
    <w:rsid w:val="008B468E"/>
    <w:rsid w:val="008B4972"/>
    <w:rsid w:val="008B512F"/>
    <w:rsid w:val="008B517D"/>
    <w:rsid w:val="008B55BE"/>
    <w:rsid w:val="008B57AA"/>
    <w:rsid w:val="008B57E8"/>
    <w:rsid w:val="008B58AF"/>
    <w:rsid w:val="008B597B"/>
    <w:rsid w:val="008B5F6C"/>
    <w:rsid w:val="008B62C9"/>
    <w:rsid w:val="008B6862"/>
    <w:rsid w:val="008B6F06"/>
    <w:rsid w:val="008B70BC"/>
    <w:rsid w:val="008B7E06"/>
    <w:rsid w:val="008B7EF2"/>
    <w:rsid w:val="008C0444"/>
    <w:rsid w:val="008C0588"/>
    <w:rsid w:val="008C0F1A"/>
    <w:rsid w:val="008C102A"/>
    <w:rsid w:val="008C103B"/>
    <w:rsid w:val="008C137C"/>
    <w:rsid w:val="008C157A"/>
    <w:rsid w:val="008C179F"/>
    <w:rsid w:val="008C1B8A"/>
    <w:rsid w:val="008C1D02"/>
    <w:rsid w:val="008C1FD7"/>
    <w:rsid w:val="008C20A0"/>
    <w:rsid w:val="008C21B7"/>
    <w:rsid w:val="008C22F1"/>
    <w:rsid w:val="008C2379"/>
    <w:rsid w:val="008C2575"/>
    <w:rsid w:val="008C2661"/>
    <w:rsid w:val="008C2734"/>
    <w:rsid w:val="008C28F3"/>
    <w:rsid w:val="008C33C8"/>
    <w:rsid w:val="008C3519"/>
    <w:rsid w:val="008C377C"/>
    <w:rsid w:val="008C38C0"/>
    <w:rsid w:val="008C41AD"/>
    <w:rsid w:val="008C4550"/>
    <w:rsid w:val="008C456F"/>
    <w:rsid w:val="008C4E2E"/>
    <w:rsid w:val="008C5555"/>
    <w:rsid w:val="008C5B89"/>
    <w:rsid w:val="008C5E3C"/>
    <w:rsid w:val="008C6B23"/>
    <w:rsid w:val="008C6CE9"/>
    <w:rsid w:val="008C7013"/>
    <w:rsid w:val="008C7394"/>
    <w:rsid w:val="008C73EC"/>
    <w:rsid w:val="008C75A7"/>
    <w:rsid w:val="008C792A"/>
    <w:rsid w:val="008C7B89"/>
    <w:rsid w:val="008C7F97"/>
    <w:rsid w:val="008D01B9"/>
    <w:rsid w:val="008D03FB"/>
    <w:rsid w:val="008D0D3F"/>
    <w:rsid w:val="008D0E74"/>
    <w:rsid w:val="008D146A"/>
    <w:rsid w:val="008D1809"/>
    <w:rsid w:val="008D18B0"/>
    <w:rsid w:val="008D1D76"/>
    <w:rsid w:val="008D2747"/>
    <w:rsid w:val="008D390E"/>
    <w:rsid w:val="008D3EF1"/>
    <w:rsid w:val="008D3F17"/>
    <w:rsid w:val="008D426D"/>
    <w:rsid w:val="008D4460"/>
    <w:rsid w:val="008D49CA"/>
    <w:rsid w:val="008D4D53"/>
    <w:rsid w:val="008D530E"/>
    <w:rsid w:val="008D5EF0"/>
    <w:rsid w:val="008D60EF"/>
    <w:rsid w:val="008D62ED"/>
    <w:rsid w:val="008D63BE"/>
    <w:rsid w:val="008D66EC"/>
    <w:rsid w:val="008D6A94"/>
    <w:rsid w:val="008D6B34"/>
    <w:rsid w:val="008D6DCA"/>
    <w:rsid w:val="008D6DE3"/>
    <w:rsid w:val="008D6F39"/>
    <w:rsid w:val="008D78DE"/>
    <w:rsid w:val="008E015C"/>
    <w:rsid w:val="008E01E0"/>
    <w:rsid w:val="008E02E1"/>
    <w:rsid w:val="008E0610"/>
    <w:rsid w:val="008E0717"/>
    <w:rsid w:val="008E0B8B"/>
    <w:rsid w:val="008E0C83"/>
    <w:rsid w:val="008E0CC2"/>
    <w:rsid w:val="008E0EB6"/>
    <w:rsid w:val="008E10FC"/>
    <w:rsid w:val="008E1D6F"/>
    <w:rsid w:val="008E220F"/>
    <w:rsid w:val="008E267F"/>
    <w:rsid w:val="008E27DE"/>
    <w:rsid w:val="008E299C"/>
    <w:rsid w:val="008E2BCC"/>
    <w:rsid w:val="008E3077"/>
    <w:rsid w:val="008E30CF"/>
    <w:rsid w:val="008E369E"/>
    <w:rsid w:val="008E3771"/>
    <w:rsid w:val="008E383B"/>
    <w:rsid w:val="008E3E2C"/>
    <w:rsid w:val="008E4133"/>
    <w:rsid w:val="008E433C"/>
    <w:rsid w:val="008E481B"/>
    <w:rsid w:val="008E4CCB"/>
    <w:rsid w:val="008E4FFA"/>
    <w:rsid w:val="008E577C"/>
    <w:rsid w:val="008E5887"/>
    <w:rsid w:val="008E63E0"/>
    <w:rsid w:val="008E641A"/>
    <w:rsid w:val="008E70F6"/>
    <w:rsid w:val="008E7649"/>
    <w:rsid w:val="008E77F2"/>
    <w:rsid w:val="008E7D20"/>
    <w:rsid w:val="008F0E28"/>
    <w:rsid w:val="008F0F3C"/>
    <w:rsid w:val="008F10F8"/>
    <w:rsid w:val="008F1231"/>
    <w:rsid w:val="008F1300"/>
    <w:rsid w:val="008F1563"/>
    <w:rsid w:val="008F18CA"/>
    <w:rsid w:val="008F1AB0"/>
    <w:rsid w:val="008F1EA4"/>
    <w:rsid w:val="008F2666"/>
    <w:rsid w:val="008F286E"/>
    <w:rsid w:val="008F2B09"/>
    <w:rsid w:val="008F35B5"/>
    <w:rsid w:val="008F3778"/>
    <w:rsid w:val="008F3817"/>
    <w:rsid w:val="008F4146"/>
    <w:rsid w:val="008F45BE"/>
    <w:rsid w:val="008F4B49"/>
    <w:rsid w:val="008F4BE6"/>
    <w:rsid w:val="008F5026"/>
    <w:rsid w:val="008F5345"/>
    <w:rsid w:val="008F5464"/>
    <w:rsid w:val="008F54C1"/>
    <w:rsid w:val="008F54F0"/>
    <w:rsid w:val="008F5A6E"/>
    <w:rsid w:val="008F5CE6"/>
    <w:rsid w:val="008F60D5"/>
    <w:rsid w:val="008F6214"/>
    <w:rsid w:val="008F62A1"/>
    <w:rsid w:val="008F67C4"/>
    <w:rsid w:val="008F67CF"/>
    <w:rsid w:val="008F6DBC"/>
    <w:rsid w:val="008F6EE6"/>
    <w:rsid w:val="008F71BD"/>
    <w:rsid w:val="008F7378"/>
    <w:rsid w:val="008F773C"/>
    <w:rsid w:val="008F78D6"/>
    <w:rsid w:val="008F79A0"/>
    <w:rsid w:val="0090006C"/>
    <w:rsid w:val="00900B03"/>
    <w:rsid w:val="00901145"/>
    <w:rsid w:val="00901D4A"/>
    <w:rsid w:val="0090234B"/>
    <w:rsid w:val="009023F9"/>
    <w:rsid w:val="0090266F"/>
    <w:rsid w:val="00903515"/>
    <w:rsid w:val="009035B4"/>
    <w:rsid w:val="00903BCA"/>
    <w:rsid w:val="00904598"/>
    <w:rsid w:val="0090527B"/>
    <w:rsid w:val="00905620"/>
    <w:rsid w:val="00905743"/>
    <w:rsid w:val="00905ECE"/>
    <w:rsid w:val="00906333"/>
    <w:rsid w:val="00906371"/>
    <w:rsid w:val="009067C5"/>
    <w:rsid w:val="009067ED"/>
    <w:rsid w:val="00906BCE"/>
    <w:rsid w:val="0090760B"/>
    <w:rsid w:val="00907659"/>
    <w:rsid w:val="0090785F"/>
    <w:rsid w:val="00907923"/>
    <w:rsid w:val="00907EBE"/>
    <w:rsid w:val="009101B1"/>
    <w:rsid w:val="0091063B"/>
    <w:rsid w:val="00911075"/>
    <w:rsid w:val="009113E6"/>
    <w:rsid w:val="0091177F"/>
    <w:rsid w:val="00911945"/>
    <w:rsid w:val="00911DAF"/>
    <w:rsid w:val="00912637"/>
    <w:rsid w:val="00912804"/>
    <w:rsid w:val="00912A27"/>
    <w:rsid w:val="00912A5B"/>
    <w:rsid w:val="00912A6C"/>
    <w:rsid w:val="00912DA6"/>
    <w:rsid w:val="00912DC5"/>
    <w:rsid w:val="009138B1"/>
    <w:rsid w:val="009139C5"/>
    <w:rsid w:val="00913CD1"/>
    <w:rsid w:val="00913D57"/>
    <w:rsid w:val="00913DE6"/>
    <w:rsid w:val="009144AF"/>
    <w:rsid w:val="009148D3"/>
    <w:rsid w:val="00914B4C"/>
    <w:rsid w:val="00915595"/>
    <w:rsid w:val="00915752"/>
    <w:rsid w:val="00915B47"/>
    <w:rsid w:val="00915D5A"/>
    <w:rsid w:val="00915E0D"/>
    <w:rsid w:val="00916472"/>
    <w:rsid w:val="0091685C"/>
    <w:rsid w:val="00916D7B"/>
    <w:rsid w:val="00916DF0"/>
    <w:rsid w:val="00916E29"/>
    <w:rsid w:val="0091705E"/>
    <w:rsid w:val="00917223"/>
    <w:rsid w:val="0092034C"/>
    <w:rsid w:val="009207E8"/>
    <w:rsid w:val="00920943"/>
    <w:rsid w:val="0092105F"/>
    <w:rsid w:val="009214A4"/>
    <w:rsid w:val="0092153C"/>
    <w:rsid w:val="009215E6"/>
    <w:rsid w:val="00921E3B"/>
    <w:rsid w:val="009221D3"/>
    <w:rsid w:val="009225DB"/>
    <w:rsid w:val="0092328E"/>
    <w:rsid w:val="0092330C"/>
    <w:rsid w:val="00923568"/>
    <w:rsid w:val="009237C2"/>
    <w:rsid w:val="0092380A"/>
    <w:rsid w:val="00923902"/>
    <w:rsid w:val="009239E8"/>
    <w:rsid w:val="00923F5A"/>
    <w:rsid w:val="00924235"/>
    <w:rsid w:val="0092476E"/>
    <w:rsid w:val="00925205"/>
    <w:rsid w:val="009253D8"/>
    <w:rsid w:val="009257EF"/>
    <w:rsid w:val="00926664"/>
    <w:rsid w:val="009267EF"/>
    <w:rsid w:val="009268FC"/>
    <w:rsid w:val="00926A7D"/>
    <w:rsid w:val="00926F3B"/>
    <w:rsid w:val="009272DD"/>
    <w:rsid w:val="009278CF"/>
    <w:rsid w:val="00927921"/>
    <w:rsid w:val="009279CD"/>
    <w:rsid w:val="00927A35"/>
    <w:rsid w:val="00927C3C"/>
    <w:rsid w:val="00927E1F"/>
    <w:rsid w:val="00930096"/>
    <w:rsid w:val="00930D87"/>
    <w:rsid w:val="00931089"/>
    <w:rsid w:val="0093111B"/>
    <w:rsid w:val="0093178B"/>
    <w:rsid w:val="0093218B"/>
    <w:rsid w:val="00932612"/>
    <w:rsid w:val="0093266A"/>
    <w:rsid w:val="0093278B"/>
    <w:rsid w:val="00932822"/>
    <w:rsid w:val="00932828"/>
    <w:rsid w:val="009332E8"/>
    <w:rsid w:val="00933575"/>
    <w:rsid w:val="009338F8"/>
    <w:rsid w:val="00933DEB"/>
    <w:rsid w:val="00933EF0"/>
    <w:rsid w:val="009346B6"/>
    <w:rsid w:val="009348D9"/>
    <w:rsid w:val="00934C4D"/>
    <w:rsid w:val="00934C4F"/>
    <w:rsid w:val="009350C6"/>
    <w:rsid w:val="00935349"/>
    <w:rsid w:val="009353FA"/>
    <w:rsid w:val="009354D9"/>
    <w:rsid w:val="00935FEA"/>
    <w:rsid w:val="009365A5"/>
    <w:rsid w:val="00936F59"/>
    <w:rsid w:val="009370CE"/>
    <w:rsid w:val="00937272"/>
    <w:rsid w:val="00937317"/>
    <w:rsid w:val="009377C0"/>
    <w:rsid w:val="00937A99"/>
    <w:rsid w:val="009400BF"/>
    <w:rsid w:val="009409B6"/>
    <w:rsid w:val="00940B15"/>
    <w:rsid w:val="00940ED8"/>
    <w:rsid w:val="00941464"/>
    <w:rsid w:val="009414D7"/>
    <w:rsid w:val="009419CD"/>
    <w:rsid w:val="00941CB7"/>
    <w:rsid w:val="00942428"/>
    <w:rsid w:val="009429C4"/>
    <w:rsid w:val="00942C22"/>
    <w:rsid w:val="00942D96"/>
    <w:rsid w:val="00943159"/>
    <w:rsid w:val="009434B9"/>
    <w:rsid w:val="009434CE"/>
    <w:rsid w:val="009435BC"/>
    <w:rsid w:val="00943BC3"/>
    <w:rsid w:val="009444C2"/>
    <w:rsid w:val="00944673"/>
    <w:rsid w:val="00944751"/>
    <w:rsid w:val="009447E3"/>
    <w:rsid w:val="00944A91"/>
    <w:rsid w:val="0094500A"/>
    <w:rsid w:val="0094597B"/>
    <w:rsid w:val="00945F66"/>
    <w:rsid w:val="009462F5"/>
    <w:rsid w:val="0094635A"/>
    <w:rsid w:val="00946462"/>
    <w:rsid w:val="00946606"/>
    <w:rsid w:val="0094682C"/>
    <w:rsid w:val="009470DE"/>
    <w:rsid w:val="00947464"/>
    <w:rsid w:val="00947777"/>
    <w:rsid w:val="00947907"/>
    <w:rsid w:val="00947A68"/>
    <w:rsid w:val="00947D22"/>
    <w:rsid w:val="00950670"/>
    <w:rsid w:val="00952349"/>
    <w:rsid w:val="009529A0"/>
    <w:rsid w:val="00952E84"/>
    <w:rsid w:val="009530AE"/>
    <w:rsid w:val="00953574"/>
    <w:rsid w:val="0095371E"/>
    <w:rsid w:val="00953A30"/>
    <w:rsid w:val="0095418D"/>
    <w:rsid w:val="009543FF"/>
    <w:rsid w:val="00954A20"/>
    <w:rsid w:val="009551A2"/>
    <w:rsid w:val="009554F2"/>
    <w:rsid w:val="0095563D"/>
    <w:rsid w:val="0095568E"/>
    <w:rsid w:val="00955C65"/>
    <w:rsid w:val="00955E81"/>
    <w:rsid w:val="009564D1"/>
    <w:rsid w:val="00957622"/>
    <w:rsid w:val="00957CF8"/>
    <w:rsid w:val="00957EC2"/>
    <w:rsid w:val="0096028C"/>
    <w:rsid w:val="00960563"/>
    <w:rsid w:val="00960791"/>
    <w:rsid w:val="00960A3D"/>
    <w:rsid w:val="00960EA8"/>
    <w:rsid w:val="00960FA5"/>
    <w:rsid w:val="00961218"/>
    <w:rsid w:val="009613C1"/>
    <w:rsid w:val="009614F1"/>
    <w:rsid w:val="0096165E"/>
    <w:rsid w:val="009616E2"/>
    <w:rsid w:val="00961B9C"/>
    <w:rsid w:val="009622F3"/>
    <w:rsid w:val="00962304"/>
    <w:rsid w:val="00962B6C"/>
    <w:rsid w:val="0096301A"/>
    <w:rsid w:val="0096313F"/>
    <w:rsid w:val="00963479"/>
    <w:rsid w:val="00964337"/>
    <w:rsid w:val="00964389"/>
    <w:rsid w:val="00964467"/>
    <w:rsid w:val="009650EF"/>
    <w:rsid w:val="00965331"/>
    <w:rsid w:val="00966052"/>
    <w:rsid w:val="009661D0"/>
    <w:rsid w:val="00966C36"/>
    <w:rsid w:val="00967139"/>
    <w:rsid w:val="0096727A"/>
    <w:rsid w:val="00967773"/>
    <w:rsid w:val="0096781B"/>
    <w:rsid w:val="00967D09"/>
    <w:rsid w:val="00970377"/>
    <w:rsid w:val="00970392"/>
    <w:rsid w:val="00970FC6"/>
    <w:rsid w:val="0097157E"/>
    <w:rsid w:val="00971A21"/>
    <w:rsid w:val="00972054"/>
    <w:rsid w:val="00972C44"/>
    <w:rsid w:val="009733AE"/>
    <w:rsid w:val="00973545"/>
    <w:rsid w:val="00973CBA"/>
    <w:rsid w:val="00973F8E"/>
    <w:rsid w:val="0097465C"/>
    <w:rsid w:val="009746F4"/>
    <w:rsid w:val="00975A9A"/>
    <w:rsid w:val="0097673A"/>
    <w:rsid w:val="00976F7F"/>
    <w:rsid w:val="009770CC"/>
    <w:rsid w:val="00977ABA"/>
    <w:rsid w:val="00980128"/>
    <w:rsid w:val="009801FC"/>
    <w:rsid w:val="0098098C"/>
    <w:rsid w:val="00980EBD"/>
    <w:rsid w:val="00981344"/>
    <w:rsid w:val="009826D9"/>
    <w:rsid w:val="00983533"/>
    <w:rsid w:val="0098373B"/>
    <w:rsid w:val="0098393E"/>
    <w:rsid w:val="00983943"/>
    <w:rsid w:val="00983BF4"/>
    <w:rsid w:val="00983EBA"/>
    <w:rsid w:val="00983F8E"/>
    <w:rsid w:val="00984696"/>
    <w:rsid w:val="009846F6"/>
    <w:rsid w:val="00984892"/>
    <w:rsid w:val="00984D31"/>
    <w:rsid w:val="00984D7A"/>
    <w:rsid w:val="00984EE1"/>
    <w:rsid w:val="00984F46"/>
    <w:rsid w:val="009850B8"/>
    <w:rsid w:val="00985C15"/>
    <w:rsid w:val="00985F89"/>
    <w:rsid w:val="00986457"/>
    <w:rsid w:val="00986530"/>
    <w:rsid w:val="00986A78"/>
    <w:rsid w:val="00987332"/>
    <w:rsid w:val="0098777E"/>
    <w:rsid w:val="00987B7F"/>
    <w:rsid w:val="00987C13"/>
    <w:rsid w:val="0099008A"/>
    <w:rsid w:val="00990411"/>
    <w:rsid w:val="00990413"/>
    <w:rsid w:val="009906A4"/>
    <w:rsid w:val="00990EE0"/>
    <w:rsid w:val="00990FC4"/>
    <w:rsid w:val="009911FD"/>
    <w:rsid w:val="0099178E"/>
    <w:rsid w:val="00991CCA"/>
    <w:rsid w:val="00992C96"/>
    <w:rsid w:val="00993226"/>
    <w:rsid w:val="0099322F"/>
    <w:rsid w:val="00993A68"/>
    <w:rsid w:val="00993DE6"/>
    <w:rsid w:val="009945B3"/>
    <w:rsid w:val="00994831"/>
    <w:rsid w:val="00994CC6"/>
    <w:rsid w:val="00995180"/>
    <w:rsid w:val="00995427"/>
    <w:rsid w:val="0099549A"/>
    <w:rsid w:val="00995CEA"/>
    <w:rsid w:val="00995D5B"/>
    <w:rsid w:val="00995F52"/>
    <w:rsid w:val="009964BA"/>
    <w:rsid w:val="0099653D"/>
    <w:rsid w:val="009967CC"/>
    <w:rsid w:val="00996DE6"/>
    <w:rsid w:val="00997235"/>
    <w:rsid w:val="00997540"/>
    <w:rsid w:val="009976BD"/>
    <w:rsid w:val="00997F4F"/>
    <w:rsid w:val="009A09B7"/>
    <w:rsid w:val="009A0ECF"/>
    <w:rsid w:val="009A1119"/>
    <w:rsid w:val="009A1369"/>
    <w:rsid w:val="009A1547"/>
    <w:rsid w:val="009A177E"/>
    <w:rsid w:val="009A1A84"/>
    <w:rsid w:val="009A28BA"/>
    <w:rsid w:val="009A2FDC"/>
    <w:rsid w:val="009A35B0"/>
    <w:rsid w:val="009A35CA"/>
    <w:rsid w:val="009A4096"/>
    <w:rsid w:val="009A4B84"/>
    <w:rsid w:val="009A4E1D"/>
    <w:rsid w:val="009A5151"/>
    <w:rsid w:val="009A58B0"/>
    <w:rsid w:val="009A5D7A"/>
    <w:rsid w:val="009A5F87"/>
    <w:rsid w:val="009A5F8E"/>
    <w:rsid w:val="009A62F4"/>
    <w:rsid w:val="009A6C43"/>
    <w:rsid w:val="009A6F6B"/>
    <w:rsid w:val="009A6FFE"/>
    <w:rsid w:val="009A774C"/>
    <w:rsid w:val="009A7C0B"/>
    <w:rsid w:val="009A7CE0"/>
    <w:rsid w:val="009A7CFC"/>
    <w:rsid w:val="009B008F"/>
    <w:rsid w:val="009B0233"/>
    <w:rsid w:val="009B043E"/>
    <w:rsid w:val="009B06CF"/>
    <w:rsid w:val="009B0B9C"/>
    <w:rsid w:val="009B0BCE"/>
    <w:rsid w:val="009B0BD8"/>
    <w:rsid w:val="009B0BF5"/>
    <w:rsid w:val="009B1134"/>
    <w:rsid w:val="009B1990"/>
    <w:rsid w:val="009B377B"/>
    <w:rsid w:val="009B3A98"/>
    <w:rsid w:val="009B3D5F"/>
    <w:rsid w:val="009B446F"/>
    <w:rsid w:val="009B4F17"/>
    <w:rsid w:val="009B4F9E"/>
    <w:rsid w:val="009B4FE5"/>
    <w:rsid w:val="009B5A8F"/>
    <w:rsid w:val="009B5D53"/>
    <w:rsid w:val="009B6113"/>
    <w:rsid w:val="009B6501"/>
    <w:rsid w:val="009B6C22"/>
    <w:rsid w:val="009B6EFC"/>
    <w:rsid w:val="009B73AE"/>
    <w:rsid w:val="009B7771"/>
    <w:rsid w:val="009B78A4"/>
    <w:rsid w:val="009B7E53"/>
    <w:rsid w:val="009B7F61"/>
    <w:rsid w:val="009C015B"/>
    <w:rsid w:val="009C01BD"/>
    <w:rsid w:val="009C01DD"/>
    <w:rsid w:val="009C06CE"/>
    <w:rsid w:val="009C1390"/>
    <w:rsid w:val="009C15E8"/>
    <w:rsid w:val="009C16CD"/>
    <w:rsid w:val="009C17E5"/>
    <w:rsid w:val="009C1A1A"/>
    <w:rsid w:val="009C22D6"/>
    <w:rsid w:val="009C2581"/>
    <w:rsid w:val="009C28A4"/>
    <w:rsid w:val="009C2B38"/>
    <w:rsid w:val="009C30CF"/>
    <w:rsid w:val="009C3444"/>
    <w:rsid w:val="009C385C"/>
    <w:rsid w:val="009C3C1A"/>
    <w:rsid w:val="009C4096"/>
    <w:rsid w:val="009C4947"/>
    <w:rsid w:val="009C4C59"/>
    <w:rsid w:val="009C5383"/>
    <w:rsid w:val="009C539A"/>
    <w:rsid w:val="009C53D5"/>
    <w:rsid w:val="009C5643"/>
    <w:rsid w:val="009C5B64"/>
    <w:rsid w:val="009C5E7B"/>
    <w:rsid w:val="009C6040"/>
    <w:rsid w:val="009C6BF6"/>
    <w:rsid w:val="009C6C0E"/>
    <w:rsid w:val="009C6C69"/>
    <w:rsid w:val="009C6D9F"/>
    <w:rsid w:val="009C7264"/>
    <w:rsid w:val="009C72FB"/>
    <w:rsid w:val="009C7783"/>
    <w:rsid w:val="009C7897"/>
    <w:rsid w:val="009C7BC8"/>
    <w:rsid w:val="009D032A"/>
    <w:rsid w:val="009D04C7"/>
    <w:rsid w:val="009D05F9"/>
    <w:rsid w:val="009D08B1"/>
    <w:rsid w:val="009D0ADE"/>
    <w:rsid w:val="009D0B13"/>
    <w:rsid w:val="009D20E0"/>
    <w:rsid w:val="009D315F"/>
    <w:rsid w:val="009D33C3"/>
    <w:rsid w:val="009D3A1D"/>
    <w:rsid w:val="009D3FF3"/>
    <w:rsid w:val="009D424A"/>
    <w:rsid w:val="009D471A"/>
    <w:rsid w:val="009D4D91"/>
    <w:rsid w:val="009D4EFF"/>
    <w:rsid w:val="009D5361"/>
    <w:rsid w:val="009D564A"/>
    <w:rsid w:val="009D641B"/>
    <w:rsid w:val="009D67EF"/>
    <w:rsid w:val="009D6D1E"/>
    <w:rsid w:val="009D6E84"/>
    <w:rsid w:val="009D73F2"/>
    <w:rsid w:val="009D7B22"/>
    <w:rsid w:val="009D7E09"/>
    <w:rsid w:val="009E00C8"/>
    <w:rsid w:val="009E04D4"/>
    <w:rsid w:val="009E0708"/>
    <w:rsid w:val="009E095D"/>
    <w:rsid w:val="009E100C"/>
    <w:rsid w:val="009E1296"/>
    <w:rsid w:val="009E1888"/>
    <w:rsid w:val="009E19E0"/>
    <w:rsid w:val="009E1E01"/>
    <w:rsid w:val="009E22FD"/>
    <w:rsid w:val="009E2416"/>
    <w:rsid w:val="009E2AC9"/>
    <w:rsid w:val="009E2B1B"/>
    <w:rsid w:val="009E2FF5"/>
    <w:rsid w:val="009E3D4A"/>
    <w:rsid w:val="009E4841"/>
    <w:rsid w:val="009E4D8C"/>
    <w:rsid w:val="009E4FC9"/>
    <w:rsid w:val="009E561F"/>
    <w:rsid w:val="009E6502"/>
    <w:rsid w:val="009E655A"/>
    <w:rsid w:val="009E6EA2"/>
    <w:rsid w:val="009E79A0"/>
    <w:rsid w:val="009E7ABF"/>
    <w:rsid w:val="009F000F"/>
    <w:rsid w:val="009F0146"/>
    <w:rsid w:val="009F1934"/>
    <w:rsid w:val="009F1B0D"/>
    <w:rsid w:val="009F1F30"/>
    <w:rsid w:val="009F224F"/>
    <w:rsid w:val="009F2467"/>
    <w:rsid w:val="009F2A02"/>
    <w:rsid w:val="009F2A77"/>
    <w:rsid w:val="009F3414"/>
    <w:rsid w:val="009F368A"/>
    <w:rsid w:val="009F3D2F"/>
    <w:rsid w:val="009F3FBC"/>
    <w:rsid w:val="009F446F"/>
    <w:rsid w:val="009F4515"/>
    <w:rsid w:val="009F4BB8"/>
    <w:rsid w:val="009F5231"/>
    <w:rsid w:val="009F587F"/>
    <w:rsid w:val="009F59B1"/>
    <w:rsid w:val="009F5CDC"/>
    <w:rsid w:val="009F5D43"/>
    <w:rsid w:val="009F6020"/>
    <w:rsid w:val="009F6877"/>
    <w:rsid w:val="009F6893"/>
    <w:rsid w:val="009F6DAD"/>
    <w:rsid w:val="009F6FCB"/>
    <w:rsid w:val="009F70F9"/>
    <w:rsid w:val="009F7710"/>
    <w:rsid w:val="009F7CAC"/>
    <w:rsid w:val="00A002FD"/>
    <w:rsid w:val="00A0046D"/>
    <w:rsid w:val="00A01161"/>
    <w:rsid w:val="00A012BB"/>
    <w:rsid w:val="00A014C3"/>
    <w:rsid w:val="00A0171C"/>
    <w:rsid w:val="00A01A51"/>
    <w:rsid w:val="00A01A6F"/>
    <w:rsid w:val="00A0260A"/>
    <w:rsid w:val="00A0268A"/>
    <w:rsid w:val="00A02AE2"/>
    <w:rsid w:val="00A02FE1"/>
    <w:rsid w:val="00A032D3"/>
    <w:rsid w:val="00A038CC"/>
    <w:rsid w:val="00A044A1"/>
    <w:rsid w:val="00A05136"/>
    <w:rsid w:val="00A05F06"/>
    <w:rsid w:val="00A06219"/>
    <w:rsid w:val="00A0757A"/>
    <w:rsid w:val="00A075A3"/>
    <w:rsid w:val="00A0763F"/>
    <w:rsid w:val="00A07AB9"/>
    <w:rsid w:val="00A07AE9"/>
    <w:rsid w:val="00A07B29"/>
    <w:rsid w:val="00A1024C"/>
    <w:rsid w:val="00A102B1"/>
    <w:rsid w:val="00A1096A"/>
    <w:rsid w:val="00A109A0"/>
    <w:rsid w:val="00A10E5C"/>
    <w:rsid w:val="00A11547"/>
    <w:rsid w:val="00A115E1"/>
    <w:rsid w:val="00A11911"/>
    <w:rsid w:val="00A11A8E"/>
    <w:rsid w:val="00A11DBB"/>
    <w:rsid w:val="00A12169"/>
    <w:rsid w:val="00A122B0"/>
    <w:rsid w:val="00A122BF"/>
    <w:rsid w:val="00A12FAC"/>
    <w:rsid w:val="00A1321B"/>
    <w:rsid w:val="00A133FF"/>
    <w:rsid w:val="00A1393D"/>
    <w:rsid w:val="00A13CA8"/>
    <w:rsid w:val="00A13E0A"/>
    <w:rsid w:val="00A13FEF"/>
    <w:rsid w:val="00A14012"/>
    <w:rsid w:val="00A147EB"/>
    <w:rsid w:val="00A14992"/>
    <w:rsid w:val="00A14D22"/>
    <w:rsid w:val="00A14D61"/>
    <w:rsid w:val="00A14DF6"/>
    <w:rsid w:val="00A1576A"/>
    <w:rsid w:val="00A157AC"/>
    <w:rsid w:val="00A158D2"/>
    <w:rsid w:val="00A1660B"/>
    <w:rsid w:val="00A16640"/>
    <w:rsid w:val="00A16855"/>
    <w:rsid w:val="00A168F1"/>
    <w:rsid w:val="00A169B3"/>
    <w:rsid w:val="00A17464"/>
    <w:rsid w:val="00A1783D"/>
    <w:rsid w:val="00A178DB"/>
    <w:rsid w:val="00A2001F"/>
    <w:rsid w:val="00A20098"/>
    <w:rsid w:val="00A200FD"/>
    <w:rsid w:val="00A206A9"/>
    <w:rsid w:val="00A20828"/>
    <w:rsid w:val="00A20D6C"/>
    <w:rsid w:val="00A21058"/>
    <w:rsid w:val="00A21148"/>
    <w:rsid w:val="00A21583"/>
    <w:rsid w:val="00A219FD"/>
    <w:rsid w:val="00A21D83"/>
    <w:rsid w:val="00A2205A"/>
    <w:rsid w:val="00A2239A"/>
    <w:rsid w:val="00A22F58"/>
    <w:rsid w:val="00A23263"/>
    <w:rsid w:val="00A23358"/>
    <w:rsid w:val="00A2369F"/>
    <w:rsid w:val="00A23A9F"/>
    <w:rsid w:val="00A24335"/>
    <w:rsid w:val="00A24529"/>
    <w:rsid w:val="00A247C5"/>
    <w:rsid w:val="00A24BBA"/>
    <w:rsid w:val="00A24CB8"/>
    <w:rsid w:val="00A24E81"/>
    <w:rsid w:val="00A24F45"/>
    <w:rsid w:val="00A252AE"/>
    <w:rsid w:val="00A253AC"/>
    <w:rsid w:val="00A257D1"/>
    <w:rsid w:val="00A25DEF"/>
    <w:rsid w:val="00A26093"/>
    <w:rsid w:val="00A26170"/>
    <w:rsid w:val="00A26177"/>
    <w:rsid w:val="00A26323"/>
    <w:rsid w:val="00A263EB"/>
    <w:rsid w:val="00A26A18"/>
    <w:rsid w:val="00A26A4C"/>
    <w:rsid w:val="00A2709E"/>
    <w:rsid w:val="00A27142"/>
    <w:rsid w:val="00A2752C"/>
    <w:rsid w:val="00A27792"/>
    <w:rsid w:val="00A27896"/>
    <w:rsid w:val="00A30290"/>
    <w:rsid w:val="00A3053B"/>
    <w:rsid w:val="00A30613"/>
    <w:rsid w:val="00A30AA2"/>
    <w:rsid w:val="00A31DBF"/>
    <w:rsid w:val="00A31E63"/>
    <w:rsid w:val="00A32465"/>
    <w:rsid w:val="00A32625"/>
    <w:rsid w:val="00A331C8"/>
    <w:rsid w:val="00A3330A"/>
    <w:rsid w:val="00A3374E"/>
    <w:rsid w:val="00A337C0"/>
    <w:rsid w:val="00A33B0C"/>
    <w:rsid w:val="00A33BD1"/>
    <w:rsid w:val="00A33FED"/>
    <w:rsid w:val="00A3414F"/>
    <w:rsid w:val="00A348A3"/>
    <w:rsid w:val="00A3499F"/>
    <w:rsid w:val="00A3558D"/>
    <w:rsid w:val="00A35BDE"/>
    <w:rsid w:val="00A35E05"/>
    <w:rsid w:val="00A35E90"/>
    <w:rsid w:val="00A35F5A"/>
    <w:rsid w:val="00A35FE9"/>
    <w:rsid w:val="00A369EF"/>
    <w:rsid w:val="00A37007"/>
    <w:rsid w:val="00A37866"/>
    <w:rsid w:val="00A37999"/>
    <w:rsid w:val="00A379C7"/>
    <w:rsid w:val="00A37C7C"/>
    <w:rsid w:val="00A408C8"/>
    <w:rsid w:val="00A40BAA"/>
    <w:rsid w:val="00A40F85"/>
    <w:rsid w:val="00A40F94"/>
    <w:rsid w:val="00A41924"/>
    <w:rsid w:val="00A41A3C"/>
    <w:rsid w:val="00A423B0"/>
    <w:rsid w:val="00A42667"/>
    <w:rsid w:val="00A42F5B"/>
    <w:rsid w:val="00A431BA"/>
    <w:rsid w:val="00A43499"/>
    <w:rsid w:val="00A43EC7"/>
    <w:rsid w:val="00A44216"/>
    <w:rsid w:val="00A44409"/>
    <w:rsid w:val="00A4457E"/>
    <w:rsid w:val="00A44871"/>
    <w:rsid w:val="00A44E6D"/>
    <w:rsid w:val="00A45015"/>
    <w:rsid w:val="00A4505B"/>
    <w:rsid w:val="00A4537B"/>
    <w:rsid w:val="00A453B0"/>
    <w:rsid w:val="00A454FC"/>
    <w:rsid w:val="00A4565F"/>
    <w:rsid w:val="00A45846"/>
    <w:rsid w:val="00A45EF0"/>
    <w:rsid w:val="00A45F6E"/>
    <w:rsid w:val="00A46195"/>
    <w:rsid w:val="00A46A4C"/>
    <w:rsid w:val="00A46E0B"/>
    <w:rsid w:val="00A4766A"/>
    <w:rsid w:val="00A502BA"/>
    <w:rsid w:val="00A50371"/>
    <w:rsid w:val="00A505C0"/>
    <w:rsid w:val="00A5060F"/>
    <w:rsid w:val="00A50660"/>
    <w:rsid w:val="00A50681"/>
    <w:rsid w:val="00A5082F"/>
    <w:rsid w:val="00A508DC"/>
    <w:rsid w:val="00A510DE"/>
    <w:rsid w:val="00A51B2A"/>
    <w:rsid w:val="00A51B53"/>
    <w:rsid w:val="00A521C1"/>
    <w:rsid w:val="00A522B0"/>
    <w:rsid w:val="00A5235B"/>
    <w:rsid w:val="00A52966"/>
    <w:rsid w:val="00A52B98"/>
    <w:rsid w:val="00A5372B"/>
    <w:rsid w:val="00A545BF"/>
    <w:rsid w:val="00A54B50"/>
    <w:rsid w:val="00A54D6B"/>
    <w:rsid w:val="00A550B8"/>
    <w:rsid w:val="00A55A10"/>
    <w:rsid w:val="00A55DC8"/>
    <w:rsid w:val="00A55ED3"/>
    <w:rsid w:val="00A5632B"/>
    <w:rsid w:val="00A563D3"/>
    <w:rsid w:val="00A56579"/>
    <w:rsid w:val="00A56726"/>
    <w:rsid w:val="00A56765"/>
    <w:rsid w:val="00A56AC5"/>
    <w:rsid w:val="00A574F0"/>
    <w:rsid w:val="00A57755"/>
    <w:rsid w:val="00A57B63"/>
    <w:rsid w:val="00A57BA9"/>
    <w:rsid w:val="00A60132"/>
    <w:rsid w:val="00A60939"/>
    <w:rsid w:val="00A60A0F"/>
    <w:rsid w:val="00A60A69"/>
    <w:rsid w:val="00A617E7"/>
    <w:rsid w:val="00A619F3"/>
    <w:rsid w:val="00A61DC9"/>
    <w:rsid w:val="00A61F1E"/>
    <w:rsid w:val="00A61F43"/>
    <w:rsid w:val="00A62ED1"/>
    <w:rsid w:val="00A633E0"/>
    <w:rsid w:val="00A63601"/>
    <w:rsid w:val="00A63B2D"/>
    <w:rsid w:val="00A63D29"/>
    <w:rsid w:val="00A6404F"/>
    <w:rsid w:val="00A640B5"/>
    <w:rsid w:val="00A64426"/>
    <w:rsid w:val="00A64468"/>
    <w:rsid w:val="00A64728"/>
    <w:rsid w:val="00A64904"/>
    <w:rsid w:val="00A64C1C"/>
    <w:rsid w:val="00A64CBA"/>
    <w:rsid w:val="00A64E4E"/>
    <w:rsid w:val="00A659D8"/>
    <w:rsid w:val="00A65AFA"/>
    <w:rsid w:val="00A65B38"/>
    <w:rsid w:val="00A65E89"/>
    <w:rsid w:val="00A66603"/>
    <w:rsid w:val="00A66D4C"/>
    <w:rsid w:val="00A67379"/>
    <w:rsid w:val="00A67676"/>
    <w:rsid w:val="00A67BCA"/>
    <w:rsid w:val="00A67CCE"/>
    <w:rsid w:val="00A70EBC"/>
    <w:rsid w:val="00A70FE3"/>
    <w:rsid w:val="00A710D0"/>
    <w:rsid w:val="00A7118D"/>
    <w:rsid w:val="00A71339"/>
    <w:rsid w:val="00A7135B"/>
    <w:rsid w:val="00A71759"/>
    <w:rsid w:val="00A71A83"/>
    <w:rsid w:val="00A72091"/>
    <w:rsid w:val="00A723BF"/>
    <w:rsid w:val="00A72469"/>
    <w:rsid w:val="00A72829"/>
    <w:rsid w:val="00A72BFA"/>
    <w:rsid w:val="00A72CAF"/>
    <w:rsid w:val="00A730EA"/>
    <w:rsid w:val="00A73139"/>
    <w:rsid w:val="00A7374F"/>
    <w:rsid w:val="00A73894"/>
    <w:rsid w:val="00A73993"/>
    <w:rsid w:val="00A73BB9"/>
    <w:rsid w:val="00A73F82"/>
    <w:rsid w:val="00A742B1"/>
    <w:rsid w:val="00A74CDF"/>
    <w:rsid w:val="00A75408"/>
    <w:rsid w:val="00A75598"/>
    <w:rsid w:val="00A756D0"/>
    <w:rsid w:val="00A75BCB"/>
    <w:rsid w:val="00A75CC3"/>
    <w:rsid w:val="00A75F1D"/>
    <w:rsid w:val="00A75F8C"/>
    <w:rsid w:val="00A761CF"/>
    <w:rsid w:val="00A7631D"/>
    <w:rsid w:val="00A7667E"/>
    <w:rsid w:val="00A76D19"/>
    <w:rsid w:val="00A775E6"/>
    <w:rsid w:val="00A7768F"/>
    <w:rsid w:val="00A7771D"/>
    <w:rsid w:val="00A80BF6"/>
    <w:rsid w:val="00A80E98"/>
    <w:rsid w:val="00A81694"/>
    <w:rsid w:val="00A817CD"/>
    <w:rsid w:val="00A818A0"/>
    <w:rsid w:val="00A81935"/>
    <w:rsid w:val="00A82113"/>
    <w:rsid w:val="00A825A5"/>
    <w:rsid w:val="00A82899"/>
    <w:rsid w:val="00A82D87"/>
    <w:rsid w:val="00A83251"/>
    <w:rsid w:val="00A83ACB"/>
    <w:rsid w:val="00A844C2"/>
    <w:rsid w:val="00A84BBC"/>
    <w:rsid w:val="00A85698"/>
    <w:rsid w:val="00A859E4"/>
    <w:rsid w:val="00A85BDC"/>
    <w:rsid w:val="00A85C83"/>
    <w:rsid w:val="00A85CBA"/>
    <w:rsid w:val="00A861BB"/>
    <w:rsid w:val="00A8620B"/>
    <w:rsid w:val="00A866EE"/>
    <w:rsid w:val="00A8686B"/>
    <w:rsid w:val="00A875BA"/>
    <w:rsid w:val="00A875BE"/>
    <w:rsid w:val="00A87D9B"/>
    <w:rsid w:val="00A87DB4"/>
    <w:rsid w:val="00A901A1"/>
    <w:rsid w:val="00A9043C"/>
    <w:rsid w:val="00A90BEF"/>
    <w:rsid w:val="00A90D4F"/>
    <w:rsid w:val="00A90DF4"/>
    <w:rsid w:val="00A9166F"/>
    <w:rsid w:val="00A91DEE"/>
    <w:rsid w:val="00A92531"/>
    <w:rsid w:val="00A92A1A"/>
    <w:rsid w:val="00A937D2"/>
    <w:rsid w:val="00A94191"/>
    <w:rsid w:val="00A9428C"/>
    <w:rsid w:val="00A94A38"/>
    <w:rsid w:val="00A94E56"/>
    <w:rsid w:val="00A956DD"/>
    <w:rsid w:val="00A95A68"/>
    <w:rsid w:val="00A95ACC"/>
    <w:rsid w:val="00A95F24"/>
    <w:rsid w:val="00A96451"/>
    <w:rsid w:val="00A96524"/>
    <w:rsid w:val="00A9665E"/>
    <w:rsid w:val="00A96673"/>
    <w:rsid w:val="00A96DEB"/>
    <w:rsid w:val="00A96E97"/>
    <w:rsid w:val="00A96F5F"/>
    <w:rsid w:val="00A97168"/>
    <w:rsid w:val="00A9755C"/>
    <w:rsid w:val="00A978CC"/>
    <w:rsid w:val="00A97A15"/>
    <w:rsid w:val="00A97A3F"/>
    <w:rsid w:val="00A97BF0"/>
    <w:rsid w:val="00AA00E4"/>
    <w:rsid w:val="00AA0275"/>
    <w:rsid w:val="00AA04F7"/>
    <w:rsid w:val="00AA06BA"/>
    <w:rsid w:val="00AA0CBC"/>
    <w:rsid w:val="00AA0E60"/>
    <w:rsid w:val="00AA0EF1"/>
    <w:rsid w:val="00AA15D3"/>
    <w:rsid w:val="00AA1639"/>
    <w:rsid w:val="00AA165D"/>
    <w:rsid w:val="00AA1F49"/>
    <w:rsid w:val="00AA21D3"/>
    <w:rsid w:val="00AA2482"/>
    <w:rsid w:val="00AA25C1"/>
    <w:rsid w:val="00AA2EEE"/>
    <w:rsid w:val="00AA31A5"/>
    <w:rsid w:val="00AA3BB3"/>
    <w:rsid w:val="00AA42BD"/>
    <w:rsid w:val="00AA4F20"/>
    <w:rsid w:val="00AA617C"/>
    <w:rsid w:val="00AA626C"/>
    <w:rsid w:val="00AA65C9"/>
    <w:rsid w:val="00AA6BD8"/>
    <w:rsid w:val="00AA7B21"/>
    <w:rsid w:val="00AA7ED7"/>
    <w:rsid w:val="00AA7EE4"/>
    <w:rsid w:val="00AB0537"/>
    <w:rsid w:val="00AB06EC"/>
    <w:rsid w:val="00AB0845"/>
    <w:rsid w:val="00AB08D7"/>
    <w:rsid w:val="00AB0984"/>
    <w:rsid w:val="00AB0DC4"/>
    <w:rsid w:val="00AB0EFB"/>
    <w:rsid w:val="00AB28F6"/>
    <w:rsid w:val="00AB2949"/>
    <w:rsid w:val="00AB2B40"/>
    <w:rsid w:val="00AB2B51"/>
    <w:rsid w:val="00AB2C97"/>
    <w:rsid w:val="00AB304A"/>
    <w:rsid w:val="00AB331C"/>
    <w:rsid w:val="00AB34E3"/>
    <w:rsid w:val="00AB3533"/>
    <w:rsid w:val="00AB354B"/>
    <w:rsid w:val="00AB3B1C"/>
    <w:rsid w:val="00AB3B95"/>
    <w:rsid w:val="00AB45BE"/>
    <w:rsid w:val="00AB4670"/>
    <w:rsid w:val="00AB4835"/>
    <w:rsid w:val="00AB4A4E"/>
    <w:rsid w:val="00AB4CB4"/>
    <w:rsid w:val="00AB4DB7"/>
    <w:rsid w:val="00AB4EBF"/>
    <w:rsid w:val="00AB5709"/>
    <w:rsid w:val="00AB57DC"/>
    <w:rsid w:val="00AB592A"/>
    <w:rsid w:val="00AB5C1D"/>
    <w:rsid w:val="00AB5C38"/>
    <w:rsid w:val="00AB751C"/>
    <w:rsid w:val="00AB7625"/>
    <w:rsid w:val="00AB7910"/>
    <w:rsid w:val="00AB7C8E"/>
    <w:rsid w:val="00AC0214"/>
    <w:rsid w:val="00AC0251"/>
    <w:rsid w:val="00AC0646"/>
    <w:rsid w:val="00AC06D6"/>
    <w:rsid w:val="00AC0996"/>
    <w:rsid w:val="00AC0BA3"/>
    <w:rsid w:val="00AC0E98"/>
    <w:rsid w:val="00AC1341"/>
    <w:rsid w:val="00AC146B"/>
    <w:rsid w:val="00AC1919"/>
    <w:rsid w:val="00AC19A1"/>
    <w:rsid w:val="00AC1FB2"/>
    <w:rsid w:val="00AC24B4"/>
    <w:rsid w:val="00AC2A78"/>
    <w:rsid w:val="00AC2C4C"/>
    <w:rsid w:val="00AC2C5B"/>
    <w:rsid w:val="00AC2D57"/>
    <w:rsid w:val="00AC2DCB"/>
    <w:rsid w:val="00AC3531"/>
    <w:rsid w:val="00AC3665"/>
    <w:rsid w:val="00AC38A9"/>
    <w:rsid w:val="00AC3BC2"/>
    <w:rsid w:val="00AC40CC"/>
    <w:rsid w:val="00AC4122"/>
    <w:rsid w:val="00AC4C3A"/>
    <w:rsid w:val="00AC4DEF"/>
    <w:rsid w:val="00AC4F21"/>
    <w:rsid w:val="00AC4FD5"/>
    <w:rsid w:val="00AC4FF5"/>
    <w:rsid w:val="00AC547E"/>
    <w:rsid w:val="00AC54F6"/>
    <w:rsid w:val="00AC5642"/>
    <w:rsid w:val="00AC61B7"/>
    <w:rsid w:val="00AC6345"/>
    <w:rsid w:val="00AC656B"/>
    <w:rsid w:val="00AC67DD"/>
    <w:rsid w:val="00AC7039"/>
    <w:rsid w:val="00AC7174"/>
    <w:rsid w:val="00AC7595"/>
    <w:rsid w:val="00AC7801"/>
    <w:rsid w:val="00AC79F8"/>
    <w:rsid w:val="00AC7F37"/>
    <w:rsid w:val="00AD004B"/>
    <w:rsid w:val="00AD049F"/>
    <w:rsid w:val="00AD0C1E"/>
    <w:rsid w:val="00AD0E10"/>
    <w:rsid w:val="00AD12B8"/>
    <w:rsid w:val="00AD2D23"/>
    <w:rsid w:val="00AD2DBB"/>
    <w:rsid w:val="00AD2EFE"/>
    <w:rsid w:val="00AD317F"/>
    <w:rsid w:val="00AD4106"/>
    <w:rsid w:val="00AD4620"/>
    <w:rsid w:val="00AD4C1D"/>
    <w:rsid w:val="00AD5BF8"/>
    <w:rsid w:val="00AD5E5E"/>
    <w:rsid w:val="00AD602C"/>
    <w:rsid w:val="00AD6141"/>
    <w:rsid w:val="00AD62A3"/>
    <w:rsid w:val="00AD657D"/>
    <w:rsid w:val="00AD660E"/>
    <w:rsid w:val="00AD6D8B"/>
    <w:rsid w:val="00AD6FA9"/>
    <w:rsid w:val="00AD6FC8"/>
    <w:rsid w:val="00AD739E"/>
    <w:rsid w:val="00AD7C60"/>
    <w:rsid w:val="00AE013C"/>
    <w:rsid w:val="00AE0375"/>
    <w:rsid w:val="00AE044B"/>
    <w:rsid w:val="00AE061D"/>
    <w:rsid w:val="00AE06C9"/>
    <w:rsid w:val="00AE0777"/>
    <w:rsid w:val="00AE0879"/>
    <w:rsid w:val="00AE0B80"/>
    <w:rsid w:val="00AE137C"/>
    <w:rsid w:val="00AE13AD"/>
    <w:rsid w:val="00AE1601"/>
    <w:rsid w:val="00AE18EF"/>
    <w:rsid w:val="00AE20B3"/>
    <w:rsid w:val="00AE228C"/>
    <w:rsid w:val="00AE2757"/>
    <w:rsid w:val="00AE2DB2"/>
    <w:rsid w:val="00AE31F9"/>
    <w:rsid w:val="00AE3435"/>
    <w:rsid w:val="00AE34E1"/>
    <w:rsid w:val="00AE3C76"/>
    <w:rsid w:val="00AE3D7A"/>
    <w:rsid w:val="00AE4060"/>
    <w:rsid w:val="00AE4B0F"/>
    <w:rsid w:val="00AE4F52"/>
    <w:rsid w:val="00AE5F79"/>
    <w:rsid w:val="00AE6AA2"/>
    <w:rsid w:val="00AE6CA7"/>
    <w:rsid w:val="00AE7293"/>
    <w:rsid w:val="00AE761B"/>
    <w:rsid w:val="00AF0080"/>
    <w:rsid w:val="00AF020A"/>
    <w:rsid w:val="00AF0365"/>
    <w:rsid w:val="00AF0760"/>
    <w:rsid w:val="00AF0B54"/>
    <w:rsid w:val="00AF0D06"/>
    <w:rsid w:val="00AF0F01"/>
    <w:rsid w:val="00AF1227"/>
    <w:rsid w:val="00AF1AF2"/>
    <w:rsid w:val="00AF1E4E"/>
    <w:rsid w:val="00AF22DA"/>
    <w:rsid w:val="00AF306E"/>
    <w:rsid w:val="00AF3538"/>
    <w:rsid w:val="00AF387E"/>
    <w:rsid w:val="00AF39AD"/>
    <w:rsid w:val="00AF3B0A"/>
    <w:rsid w:val="00AF4055"/>
    <w:rsid w:val="00AF40DB"/>
    <w:rsid w:val="00AF4110"/>
    <w:rsid w:val="00AF45F2"/>
    <w:rsid w:val="00AF4672"/>
    <w:rsid w:val="00AF4A64"/>
    <w:rsid w:val="00AF550D"/>
    <w:rsid w:val="00AF5F2C"/>
    <w:rsid w:val="00AF6052"/>
    <w:rsid w:val="00AF614E"/>
    <w:rsid w:val="00AF638E"/>
    <w:rsid w:val="00AF63CB"/>
    <w:rsid w:val="00AF6717"/>
    <w:rsid w:val="00AF715D"/>
    <w:rsid w:val="00AF7FE0"/>
    <w:rsid w:val="00B001A4"/>
    <w:rsid w:val="00B00499"/>
    <w:rsid w:val="00B006BD"/>
    <w:rsid w:val="00B0084A"/>
    <w:rsid w:val="00B01065"/>
    <w:rsid w:val="00B01112"/>
    <w:rsid w:val="00B024DF"/>
    <w:rsid w:val="00B0257E"/>
    <w:rsid w:val="00B02B74"/>
    <w:rsid w:val="00B035BC"/>
    <w:rsid w:val="00B03661"/>
    <w:rsid w:val="00B03856"/>
    <w:rsid w:val="00B042C2"/>
    <w:rsid w:val="00B04665"/>
    <w:rsid w:val="00B04C1F"/>
    <w:rsid w:val="00B04C3B"/>
    <w:rsid w:val="00B04F8B"/>
    <w:rsid w:val="00B057B8"/>
    <w:rsid w:val="00B059B9"/>
    <w:rsid w:val="00B0678A"/>
    <w:rsid w:val="00B06859"/>
    <w:rsid w:val="00B06C77"/>
    <w:rsid w:val="00B0744B"/>
    <w:rsid w:val="00B07605"/>
    <w:rsid w:val="00B07B64"/>
    <w:rsid w:val="00B07BB2"/>
    <w:rsid w:val="00B101F3"/>
    <w:rsid w:val="00B10408"/>
    <w:rsid w:val="00B106E2"/>
    <w:rsid w:val="00B1097C"/>
    <w:rsid w:val="00B10DBF"/>
    <w:rsid w:val="00B10E4A"/>
    <w:rsid w:val="00B10FAB"/>
    <w:rsid w:val="00B110B4"/>
    <w:rsid w:val="00B114BF"/>
    <w:rsid w:val="00B116EF"/>
    <w:rsid w:val="00B11861"/>
    <w:rsid w:val="00B126D6"/>
    <w:rsid w:val="00B128F9"/>
    <w:rsid w:val="00B129C4"/>
    <w:rsid w:val="00B12C78"/>
    <w:rsid w:val="00B12EE3"/>
    <w:rsid w:val="00B13500"/>
    <w:rsid w:val="00B1373F"/>
    <w:rsid w:val="00B13C92"/>
    <w:rsid w:val="00B13D65"/>
    <w:rsid w:val="00B14227"/>
    <w:rsid w:val="00B14651"/>
    <w:rsid w:val="00B14738"/>
    <w:rsid w:val="00B14AF7"/>
    <w:rsid w:val="00B14F4E"/>
    <w:rsid w:val="00B15478"/>
    <w:rsid w:val="00B15797"/>
    <w:rsid w:val="00B15A5B"/>
    <w:rsid w:val="00B15B47"/>
    <w:rsid w:val="00B15FC9"/>
    <w:rsid w:val="00B166EB"/>
    <w:rsid w:val="00B168D1"/>
    <w:rsid w:val="00B16D40"/>
    <w:rsid w:val="00B16DA1"/>
    <w:rsid w:val="00B173D9"/>
    <w:rsid w:val="00B1741E"/>
    <w:rsid w:val="00B17F04"/>
    <w:rsid w:val="00B2013D"/>
    <w:rsid w:val="00B20236"/>
    <w:rsid w:val="00B202A7"/>
    <w:rsid w:val="00B20535"/>
    <w:rsid w:val="00B21592"/>
    <w:rsid w:val="00B21CDE"/>
    <w:rsid w:val="00B22497"/>
    <w:rsid w:val="00B22786"/>
    <w:rsid w:val="00B228A5"/>
    <w:rsid w:val="00B238C1"/>
    <w:rsid w:val="00B23E9D"/>
    <w:rsid w:val="00B24054"/>
    <w:rsid w:val="00B240CB"/>
    <w:rsid w:val="00B24453"/>
    <w:rsid w:val="00B244B9"/>
    <w:rsid w:val="00B24B62"/>
    <w:rsid w:val="00B24BE1"/>
    <w:rsid w:val="00B2536C"/>
    <w:rsid w:val="00B25A88"/>
    <w:rsid w:val="00B25D3C"/>
    <w:rsid w:val="00B2602A"/>
    <w:rsid w:val="00B260A5"/>
    <w:rsid w:val="00B2621D"/>
    <w:rsid w:val="00B26A85"/>
    <w:rsid w:val="00B2708A"/>
    <w:rsid w:val="00B27DD2"/>
    <w:rsid w:val="00B317D1"/>
    <w:rsid w:val="00B31CAC"/>
    <w:rsid w:val="00B31E02"/>
    <w:rsid w:val="00B3330F"/>
    <w:rsid w:val="00B334A7"/>
    <w:rsid w:val="00B3359A"/>
    <w:rsid w:val="00B3372F"/>
    <w:rsid w:val="00B337F4"/>
    <w:rsid w:val="00B33B4C"/>
    <w:rsid w:val="00B34F9E"/>
    <w:rsid w:val="00B35048"/>
    <w:rsid w:val="00B35250"/>
    <w:rsid w:val="00B3582D"/>
    <w:rsid w:val="00B35926"/>
    <w:rsid w:val="00B359DB"/>
    <w:rsid w:val="00B35ABB"/>
    <w:rsid w:val="00B35BA6"/>
    <w:rsid w:val="00B361E0"/>
    <w:rsid w:val="00B3675A"/>
    <w:rsid w:val="00B36927"/>
    <w:rsid w:val="00B373FA"/>
    <w:rsid w:val="00B37963"/>
    <w:rsid w:val="00B37C4D"/>
    <w:rsid w:val="00B37D48"/>
    <w:rsid w:val="00B37E43"/>
    <w:rsid w:val="00B40734"/>
    <w:rsid w:val="00B40D66"/>
    <w:rsid w:val="00B410BA"/>
    <w:rsid w:val="00B41511"/>
    <w:rsid w:val="00B41998"/>
    <w:rsid w:val="00B41F4B"/>
    <w:rsid w:val="00B42035"/>
    <w:rsid w:val="00B4240B"/>
    <w:rsid w:val="00B42525"/>
    <w:rsid w:val="00B42526"/>
    <w:rsid w:val="00B42CB3"/>
    <w:rsid w:val="00B42D7C"/>
    <w:rsid w:val="00B42FED"/>
    <w:rsid w:val="00B4322C"/>
    <w:rsid w:val="00B4324C"/>
    <w:rsid w:val="00B43E18"/>
    <w:rsid w:val="00B43E91"/>
    <w:rsid w:val="00B444A9"/>
    <w:rsid w:val="00B44AE5"/>
    <w:rsid w:val="00B44D61"/>
    <w:rsid w:val="00B454F3"/>
    <w:rsid w:val="00B45A17"/>
    <w:rsid w:val="00B45E84"/>
    <w:rsid w:val="00B4650D"/>
    <w:rsid w:val="00B46571"/>
    <w:rsid w:val="00B4657C"/>
    <w:rsid w:val="00B4667D"/>
    <w:rsid w:val="00B466D1"/>
    <w:rsid w:val="00B4683D"/>
    <w:rsid w:val="00B46907"/>
    <w:rsid w:val="00B46B38"/>
    <w:rsid w:val="00B46C0D"/>
    <w:rsid w:val="00B46CC8"/>
    <w:rsid w:val="00B46D06"/>
    <w:rsid w:val="00B47381"/>
    <w:rsid w:val="00B47724"/>
    <w:rsid w:val="00B47839"/>
    <w:rsid w:val="00B47991"/>
    <w:rsid w:val="00B47E30"/>
    <w:rsid w:val="00B506D1"/>
    <w:rsid w:val="00B5074D"/>
    <w:rsid w:val="00B50CE6"/>
    <w:rsid w:val="00B510EC"/>
    <w:rsid w:val="00B5160D"/>
    <w:rsid w:val="00B51656"/>
    <w:rsid w:val="00B51745"/>
    <w:rsid w:val="00B51A4C"/>
    <w:rsid w:val="00B51B65"/>
    <w:rsid w:val="00B51E74"/>
    <w:rsid w:val="00B522E0"/>
    <w:rsid w:val="00B52359"/>
    <w:rsid w:val="00B5250D"/>
    <w:rsid w:val="00B5279D"/>
    <w:rsid w:val="00B52894"/>
    <w:rsid w:val="00B53506"/>
    <w:rsid w:val="00B5350C"/>
    <w:rsid w:val="00B536C4"/>
    <w:rsid w:val="00B53715"/>
    <w:rsid w:val="00B53D25"/>
    <w:rsid w:val="00B53DA1"/>
    <w:rsid w:val="00B53F14"/>
    <w:rsid w:val="00B551C4"/>
    <w:rsid w:val="00B553E8"/>
    <w:rsid w:val="00B554A0"/>
    <w:rsid w:val="00B55A94"/>
    <w:rsid w:val="00B55CD5"/>
    <w:rsid w:val="00B561B3"/>
    <w:rsid w:val="00B57550"/>
    <w:rsid w:val="00B57908"/>
    <w:rsid w:val="00B57CBD"/>
    <w:rsid w:val="00B57DC8"/>
    <w:rsid w:val="00B60447"/>
    <w:rsid w:val="00B60819"/>
    <w:rsid w:val="00B60887"/>
    <w:rsid w:val="00B609E0"/>
    <w:rsid w:val="00B61427"/>
    <w:rsid w:val="00B629E7"/>
    <w:rsid w:val="00B62ABF"/>
    <w:rsid w:val="00B62D32"/>
    <w:rsid w:val="00B63594"/>
    <w:rsid w:val="00B6383A"/>
    <w:rsid w:val="00B638C5"/>
    <w:rsid w:val="00B63E7F"/>
    <w:rsid w:val="00B640A0"/>
    <w:rsid w:val="00B6489E"/>
    <w:rsid w:val="00B6494F"/>
    <w:rsid w:val="00B64A1C"/>
    <w:rsid w:val="00B64E53"/>
    <w:rsid w:val="00B64EF0"/>
    <w:rsid w:val="00B658E6"/>
    <w:rsid w:val="00B6599C"/>
    <w:rsid w:val="00B665EE"/>
    <w:rsid w:val="00B666AB"/>
    <w:rsid w:val="00B66B42"/>
    <w:rsid w:val="00B66E89"/>
    <w:rsid w:val="00B6715C"/>
    <w:rsid w:val="00B677F3"/>
    <w:rsid w:val="00B67C95"/>
    <w:rsid w:val="00B7040F"/>
    <w:rsid w:val="00B709AD"/>
    <w:rsid w:val="00B70ED5"/>
    <w:rsid w:val="00B712A1"/>
    <w:rsid w:val="00B7139C"/>
    <w:rsid w:val="00B7171E"/>
    <w:rsid w:val="00B719F8"/>
    <w:rsid w:val="00B720D1"/>
    <w:rsid w:val="00B7220E"/>
    <w:rsid w:val="00B72C03"/>
    <w:rsid w:val="00B72C33"/>
    <w:rsid w:val="00B72EA2"/>
    <w:rsid w:val="00B72EE3"/>
    <w:rsid w:val="00B72FCB"/>
    <w:rsid w:val="00B73A04"/>
    <w:rsid w:val="00B73C01"/>
    <w:rsid w:val="00B73C54"/>
    <w:rsid w:val="00B74070"/>
    <w:rsid w:val="00B74B48"/>
    <w:rsid w:val="00B74C67"/>
    <w:rsid w:val="00B74C8F"/>
    <w:rsid w:val="00B74DBE"/>
    <w:rsid w:val="00B754A2"/>
    <w:rsid w:val="00B7598D"/>
    <w:rsid w:val="00B75DB6"/>
    <w:rsid w:val="00B75E41"/>
    <w:rsid w:val="00B7631F"/>
    <w:rsid w:val="00B766D8"/>
    <w:rsid w:val="00B76A9D"/>
    <w:rsid w:val="00B77544"/>
    <w:rsid w:val="00B7772A"/>
    <w:rsid w:val="00B77C61"/>
    <w:rsid w:val="00B77DC4"/>
    <w:rsid w:val="00B77F5B"/>
    <w:rsid w:val="00B801B0"/>
    <w:rsid w:val="00B807D8"/>
    <w:rsid w:val="00B8092F"/>
    <w:rsid w:val="00B80F88"/>
    <w:rsid w:val="00B81261"/>
    <w:rsid w:val="00B81987"/>
    <w:rsid w:val="00B81BE4"/>
    <w:rsid w:val="00B81E3B"/>
    <w:rsid w:val="00B81FD8"/>
    <w:rsid w:val="00B8235A"/>
    <w:rsid w:val="00B826F5"/>
    <w:rsid w:val="00B8291A"/>
    <w:rsid w:val="00B82DCD"/>
    <w:rsid w:val="00B83136"/>
    <w:rsid w:val="00B8325C"/>
    <w:rsid w:val="00B83CA3"/>
    <w:rsid w:val="00B83F54"/>
    <w:rsid w:val="00B840C8"/>
    <w:rsid w:val="00B8442C"/>
    <w:rsid w:val="00B855D9"/>
    <w:rsid w:val="00B856BA"/>
    <w:rsid w:val="00B85859"/>
    <w:rsid w:val="00B8600A"/>
    <w:rsid w:val="00B86261"/>
    <w:rsid w:val="00B8639B"/>
    <w:rsid w:val="00B86764"/>
    <w:rsid w:val="00B87561"/>
    <w:rsid w:val="00B87596"/>
    <w:rsid w:val="00B87721"/>
    <w:rsid w:val="00B8772F"/>
    <w:rsid w:val="00B87BA2"/>
    <w:rsid w:val="00B90433"/>
    <w:rsid w:val="00B9061C"/>
    <w:rsid w:val="00B908AA"/>
    <w:rsid w:val="00B90EAE"/>
    <w:rsid w:val="00B90F57"/>
    <w:rsid w:val="00B91894"/>
    <w:rsid w:val="00B91C4A"/>
    <w:rsid w:val="00B91F3B"/>
    <w:rsid w:val="00B9237D"/>
    <w:rsid w:val="00B92E95"/>
    <w:rsid w:val="00B937B5"/>
    <w:rsid w:val="00B938A0"/>
    <w:rsid w:val="00B938BA"/>
    <w:rsid w:val="00B94311"/>
    <w:rsid w:val="00B944CC"/>
    <w:rsid w:val="00B94553"/>
    <w:rsid w:val="00B94B2D"/>
    <w:rsid w:val="00B94D07"/>
    <w:rsid w:val="00B94DDD"/>
    <w:rsid w:val="00B94F7C"/>
    <w:rsid w:val="00B95063"/>
    <w:rsid w:val="00B955DE"/>
    <w:rsid w:val="00B957B1"/>
    <w:rsid w:val="00B95942"/>
    <w:rsid w:val="00B95C5E"/>
    <w:rsid w:val="00B96463"/>
    <w:rsid w:val="00B96A98"/>
    <w:rsid w:val="00B96E45"/>
    <w:rsid w:val="00B96F11"/>
    <w:rsid w:val="00BA09EA"/>
    <w:rsid w:val="00BA0A64"/>
    <w:rsid w:val="00BA0AA5"/>
    <w:rsid w:val="00BA0AE1"/>
    <w:rsid w:val="00BA0DBB"/>
    <w:rsid w:val="00BA1359"/>
    <w:rsid w:val="00BA1B39"/>
    <w:rsid w:val="00BA1DD6"/>
    <w:rsid w:val="00BA2416"/>
    <w:rsid w:val="00BA30C4"/>
    <w:rsid w:val="00BA326A"/>
    <w:rsid w:val="00BA32CB"/>
    <w:rsid w:val="00BA3D4F"/>
    <w:rsid w:val="00BA3E27"/>
    <w:rsid w:val="00BA3FD8"/>
    <w:rsid w:val="00BA41DC"/>
    <w:rsid w:val="00BA4402"/>
    <w:rsid w:val="00BA44A8"/>
    <w:rsid w:val="00BA4DB5"/>
    <w:rsid w:val="00BA56C3"/>
    <w:rsid w:val="00BA65A9"/>
    <w:rsid w:val="00BA6967"/>
    <w:rsid w:val="00BA6983"/>
    <w:rsid w:val="00BA6B44"/>
    <w:rsid w:val="00BA7251"/>
    <w:rsid w:val="00BA7320"/>
    <w:rsid w:val="00BA7712"/>
    <w:rsid w:val="00BA7C0C"/>
    <w:rsid w:val="00BB0503"/>
    <w:rsid w:val="00BB1143"/>
    <w:rsid w:val="00BB115A"/>
    <w:rsid w:val="00BB1A5C"/>
    <w:rsid w:val="00BB1CCC"/>
    <w:rsid w:val="00BB21AA"/>
    <w:rsid w:val="00BB24DB"/>
    <w:rsid w:val="00BB24FE"/>
    <w:rsid w:val="00BB2777"/>
    <w:rsid w:val="00BB2A1B"/>
    <w:rsid w:val="00BB2D69"/>
    <w:rsid w:val="00BB3F8B"/>
    <w:rsid w:val="00BB429F"/>
    <w:rsid w:val="00BB45B7"/>
    <w:rsid w:val="00BB51AE"/>
    <w:rsid w:val="00BB5BE7"/>
    <w:rsid w:val="00BB6025"/>
    <w:rsid w:val="00BB624A"/>
    <w:rsid w:val="00BB63B6"/>
    <w:rsid w:val="00BB64E2"/>
    <w:rsid w:val="00BB653D"/>
    <w:rsid w:val="00BB6A29"/>
    <w:rsid w:val="00BB6E1A"/>
    <w:rsid w:val="00BB731C"/>
    <w:rsid w:val="00BC0016"/>
    <w:rsid w:val="00BC0399"/>
    <w:rsid w:val="00BC0D47"/>
    <w:rsid w:val="00BC1223"/>
    <w:rsid w:val="00BC1278"/>
    <w:rsid w:val="00BC153B"/>
    <w:rsid w:val="00BC1791"/>
    <w:rsid w:val="00BC1DCC"/>
    <w:rsid w:val="00BC2582"/>
    <w:rsid w:val="00BC28E9"/>
    <w:rsid w:val="00BC2C71"/>
    <w:rsid w:val="00BC348F"/>
    <w:rsid w:val="00BC36CF"/>
    <w:rsid w:val="00BC39F8"/>
    <w:rsid w:val="00BC3BA2"/>
    <w:rsid w:val="00BC3CC1"/>
    <w:rsid w:val="00BC47F7"/>
    <w:rsid w:val="00BC4808"/>
    <w:rsid w:val="00BC490A"/>
    <w:rsid w:val="00BC4A08"/>
    <w:rsid w:val="00BC4CE5"/>
    <w:rsid w:val="00BC4CF2"/>
    <w:rsid w:val="00BC4D7B"/>
    <w:rsid w:val="00BC607E"/>
    <w:rsid w:val="00BC637E"/>
    <w:rsid w:val="00BC6401"/>
    <w:rsid w:val="00BC651F"/>
    <w:rsid w:val="00BC6901"/>
    <w:rsid w:val="00BC6A9D"/>
    <w:rsid w:val="00BC6F0A"/>
    <w:rsid w:val="00BC6FD6"/>
    <w:rsid w:val="00BC71B8"/>
    <w:rsid w:val="00BC76B8"/>
    <w:rsid w:val="00BD0A4C"/>
    <w:rsid w:val="00BD0D7D"/>
    <w:rsid w:val="00BD0D96"/>
    <w:rsid w:val="00BD12C4"/>
    <w:rsid w:val="00BD1929"/>
    <w:rsid w:val="00BD2465"/>
    <w:rsid w:val="00BD27E4"/>
    <w:rsid w:val="00BD2DF0"/>
    <w:rsid w:val="00BD31F3"/>
    <w:rsid w:val="00BD3ABB"/>
    <w:rsid w:val="00BD3EAE"/>
    <w:rsid w:val="00BD44C2"/>
    <w:rsid w:val="00BD490F"/>
    <w:rsid w:val="00BD4AA1"/>
    <w:rsid w:val="00BD55C2"/>
    <w:rsid w:val="00BD5716"/>
    <w:rsid w:val="00BD59A6"/>
    <w:rsid w:val="00BD59AA"/>
    <w:rsid w:val="00BD5C11"/>
    <w:rsid w:val="00BD5C90"/>
    <w:rsid w:val="00BD5CD1"/>
    <w:rsid w:val="00BD60F0"/>
    <w:rsid w:val="00BD677F"/>
    <w:rsid w:val="00BD6DA7"/>
    <w:rsid w:val="00BD6EF0"/>
    <w:rsid w:val="00BD6F0B"/>
    <w:rsid w:val="00BD7081"/>
    <w:rsid w:val="00BD718A"/>
    <w:rsid w:val="00BD728B"/>
    <w:rsid w:val="00BD761F"/>
    <w:rsid w:val="00BD76EA"/>
    <w:rsid w:val="00BD78A0"/>
    <w:rsid w:val="00BE06B6"/>
    <w:rsid w:val="00BE06E8"/>
    <w:rsid w:val="00BE0BE3"/>
    <w:rsid w:val="00BE12F5"/>
    <w:rsid w:val="00BE14F6"/>
    <w:rsid w:val="00BE15A9"/>
    <w:rsid w:val="00BE1669"/>
    <w:rsid w:val="00BE18D4"/>
    <w:rsid w:val="00BE1BA1"/>
    <w:rsid w:val="00BE27F2"/>
    <w:rsid w:val="00BE290C"/>
    <w:rsid w:val="00BE2963"/>
    <w:rsid w:val="00BE319B"/>
    <w:rsid w:val="00BE3619"/>
    <w:rsid w:val="00BE3B0F"/>
    <w:rsid w:val="00BE4068"/>
    <w:rsid w:val="00BE4A38"/>
    <w:rsid w:val="00BE4C8B"/>
    <w:rsid w:val="00BE5A1D"/>
    <w:rsid w:val="00BE5D38"/>
    <w:rsid w:val="00BE5DDA"/>
    <w:rsid w:val="00BE621A"/>
    <w:rsid w:val="00BE670A"/>
    <w:rsid w:val="00BE6B8C"/>
    <w:rsid w:val="00BE6BCE"/>
    <w:rsid w:val="00BE6D6C"/>
    <w:rsid w:val="00BE6DC1"/>
    <w:rsid w:val="00BE72D2"/>
    <w:rsid w:val="00BE72D4"/>
    <w:rsid w:val="00BE7433"/>
    <w:rsid w:val="00BE7618"/>
    <w:rsid w:val="00BE79AB"/>
    <w:rsid w:val="00BE7AFB"/>
    <w:rsid w:val="00BF06B6"/>
    <w:rsid w:val="00BF0A8D"/>
    <w:rsid w:val="00BF0C1D"/>
    <w:rsid w:val="00BF0E00"/>
    <w:rsid w:val="00BF133B"/>
    <w:rsid w:val="00BF1937"/>
    <w:rsid w:val="00BF1A02"/>
    <w:rsid w:val="00BF1A9C"/>
    <w:rsid w:val="00BF1AB6"/>
    <w:rsid w:val="00BF1C3C"/>
    <w:rsid w:val="00BF1FA4"/>
    <w:rsid w:val="00BF2309"/>
    <w:rsid w:val="00BF2597"/>
    <w:rsid w:val="00BF337F"/>
    <w:rsid w:val="00BF380D"/>
    <w:rsid w:val="00BF3867"/>
    <w:rsid w:val="00BF4122"/>
    <w:rsid w:val="00BF41E2"/>
    <w:rsid w:val="00BF4910"/>
    <w:rsid w:val="00BF4E4A"/>
    <w:rsid w:val="00BF5399"/>
    <w:rsid w:val="00BF57D7"/>
    <w:rsid w:val="00BF5E79"/>
    <w:rsid w:val="00BF648C"/>
    <w:rsid w:val="00BF77F2"/>
    <w:rsid w:val="00BF7B16"/>
    <w:rsid w:val="00BF7BBC"/>
    <w:rsid w:val="00BF7C02"/>
    <w:rsid w:val="00BF7C26"/>
    <w:rsid w:val="00C00877"/>
    <w:rsid w:val="00C00BF6"/>
    <w:rsid w:val="00C011A5"/>
    <w:rsid w:val="00C011B1"/>
    <w:rsid w:val="00C011E4"/>
    <w:rsid w:val="00C011EC"/>
    <w:rsid w:val="00C01C82"/>
    <w:rsid w:val="00C01CC5"/>
    <w:rsid w:val="00C01CF9"/>
    <w:rsid w:val="00C01DEF"/>
    <w:rsid w:val="00C01E8D"/>
    <w:rsid w:val="00C020AC"/>
    <w:rsid w:val="00C02954"/>
    <w:rsid w:val="00C02AEA"/>
    <w:rsid w:val="00C03037"/>
    <w:rsid w:val="00C031A5"/>
    <w:rsid w:val="00C03262"/>
    <w:rsid w:val="00C034BB"/>
    <w:rsid w:val="00C034F9"/>
    <w:rsid w:val="00C0368E"/>
    <w:rsid w:val="00C03788"/>
    <w:rsid w:val="00C03AC7"/>
    <w:rsid w:val="00C03D25"/>
    <w:rsid w:val="00C040CF"/>
    <w:rsid w:val="00C0422F"/>
    <w:rsid w:val="00C04588"/>
    <w:rsid w:val="00C046E0"/>
    <w:rsid w:val="00C046EE"/>
    <w:rsid w:val="00C0475C"/>
    <w:rsid w:val="00C04D2A"/>
    <w:rsid w:val="00C0514C"/>
    <w:rsid w:val="00C05298"/>
    <w:rsid w:val="00C054D6"/>
    <w:rsid w:val="00C055A5"/>
    <w:rsid w:val="00C05695"/>
    <w:rsid w:val="00C05D41"/>
    <w:rsid w:val="00C05FAF"/>
    <w:rsid w:val="00C061A5"/>
    <w:rsid w:val="00C064D4"/>
    <w:rsid w:val="00C07572"/>
    <w:rsid w:val="00C0786D"/>
    <w:rsid w:val="00C07FC7"/>
    <w:rsid w:val="00C10FEB"/>
    <w:rsid w:val="00C11239"/>
    <w:rsid w:val="00C1176E"/>
    <w:rsid w:val="00C119CC"/>
    <w:rsid w:val="00C11CE5"/>
    <w:rsid w:val="00C11E5F"/>
    <w:rsid w:val="00C127B2"/>
    <w:rsid w:val="00C12E50"/>
    <w:rsid w:val="00C133B1"/>
    <w:rsid w:val="00C133C1"/>
    <w:rsid w:val="00C1381E"/>
    <w:rsid w:val="00C13858"/>
    <w:rsid w:val="00C1394A"/>
    <w:rsid w:val="00C13DB9"/>
    <w:rsid w:val="00C13F70"/>
    <w:rsid w:val="00C14423"/>
    <w:rsid w:val="00C14E00"/>
    <w:rsid w:val="00C15627"/>
    <w:rsid w:val="00C15696"/>
    <w:rsid w:val="00C1588C"/>
    <w:rsid w:val="00C15932"/>
    <w:rsid w:val="00C15A5A"/>
    <w:rsid w:val="00C15F19"/>
    <w:rsid w:val="00C1624A"/>
    <w:rsid w:val="00C16A8B"/>
    <w:rsid w:val="00C17519"/>
    <w:rsid w:val="00C1790D"/>
    <w:rsid w:val="00C17919"/>
    <w:rsid w:val="00C17C6C"/>
    <w:rsid w:val="00C17F4D"/>
    <w:rsid w:val="00C20121"/>
    <w:rsid w:val="00C202FA"/>
    <w:rsid w:val="00C208FE"/>
    <w:rsid w:val="00C20BFC"/>
    <w:rsid w:val="00C20FA0"/>
    <w:rsid w:val="00C2260B"/>
    <w:rsid w:val="00C22F97"/>
    <w:rsid w:val="00C22FA7"/>
    <w:rsid w:val="00C23113"/>
    <w:rsid w:val="00C23158"/>
    <w:rsid w:val="00C23666"/>
    <w:rsid w:val="00C24067"/>
    <w:rsid w:val="00C2406D"/>
    <w:rsid w:val="00C241B3"/>
    <w:rsid w:val="00C24E68"/>
    <w:rsid w:val="00C255D8"/>
    <w:rsid w:val="00C256D8"/>
    <w:rsid w:val="00C2572B"/>
    <w:rsid w:val="00C259B2"/>
    <w:rsid w:val="00C25AC1"/>
    <w:rsid w:val="00C2616C"/>
    <w:rsid w:val="00C2656D"/>
    <w:rsid w:val="00C26E51"/>
    <w:rsid w:val="00C272A8"/>
    <w:rsid w:val="00C273F9"/>
    <w:rsid w:val="00C27DB6"/>
    <w:rsid w:val="00C30029"/>
    <w:rsid w:val="00C3042A"/>
    <w:rsid w:val="00C3065B"/>
    <w:rsid w:val="00C30662"/>
    <w:rsid w:val="00C306EF"/>
    <w:rsid w:val="00C30DA4"/>
    <w:rsid w:val="00C3123C"/>
    <w:rsid w:val="00C314C5"/>
    <w:rsid w:val="00C315D6"/>
    <w:rsid w:val="00C316B1"/>
    <w:rsid w:val="00C31F2E"/>
    <w:rsid w:val="00C31FCB"/>
    <w:rsid w:val="00C3217F"/>
    <w:rsid w:val="00C3234E"/>
    <w:rsid w:val="00C32473"/>
    <w:rsid w:val="00C32771"/>
    <w:rsid w:val="00C32981"/>
    <w:rsid w:val="00C32D0D"/>
    <w:rsid w:val="00C32E2F"/>
    <w:rsid w:val="00C32E35"/>
    <w:rsid w:val="00C336A0"/>
    <w:rsid w:val="00C337F5"/>
    <w:rsid w:val="00C33A95"/>
    <w:rsid w:val="00C33F24"/>
    <w:rsid w:val="00C33FD7"/>
    <w:rsid w:val="00C33FF1"/>
    <w:rsid w:val="00C34B4F"/>
    <w:rsid w:val="00C34DA4"/>
    <w:rsid w:val="00C34DBA"/>
    <w:rsid w:val="00C34F52"/>
    <w:rsid w:val="00C3515C"/>
    <w:rsid w:val="00C353C6"/>
    <w:rsid w:val="00C35B4B"/>
    <w:rsid w:val="00C35C36"/>
    <w:rsid w:val="00C35F16"/>
    <w:rsid w:val="00C36277"/>
    <w:rsid w:val="00C36907"/>
    <w:rsid w:val="00C37450"/>
    <w:rsid w:val="00C374B9"/>
    <w:rsid w:val="00C37827"/>
    <w:rsid w:val="00C37894"/>
    <w:rsid w:val="00C41021"/>
    <w:rsid w:val="00C41315"/>
    <w:rsid w:val="00C4144B"/>
    <w:rsid w:val="00C4144E"/>
    <w:rsid w:val="00C415D1"/>
    <w:rsid w:val="00C41937"/>
    <w:rsid w:val="00C41DC4"/>
    <w:rsid w:val="00C41F79"/>
    <w:rsid w:val="00C420D9"/>
    <w:rsid w:val="00C42249"/>
    <w:rsid w:val="00C42525"/>
    <w:rsid w:val="00C430F1"/>
    <w:rsid w:val="00C43331"/>
    <w:rsid w:val="00C4391C"/>
    <w:rsid w:val="00C43B8C"/>
    <w:rsid w:val="00C4407C"/>
    <w:rsid w:val="00C4439D"/>
    <w:rsid w:val="00C443CA"/>
    <w:rsid w:val="00C44643"/>
    <w:rsid w:val="00C44B84"/>
    <w:rsid w:val="00C44BBE"/>
    <w:rsid w:val="00C44C55"/>
    <w:rsid w:val="00C450D9"/>
    <w:rsid w:val="00C45917"/>
    <w:rsid w:val="00C45C22"/>
    <w:rsid w:val="00C45D1F"/>
    <w:rsid w:val="00C46448"/>
    <w:rsid w:val="00C4652B"/>
    <w:rsid w:val="00C46605"/>
    <w:rsid w:val="00C46662"/>
    <w:rsid w:val="00C466BC"/>
    <w:rsid w:val="00C467ED"/>
    <w:rsid w:val="00C46866"/>
    <w:rsid w:val="00C469F0"/>
    <w:rsid w:val="00C46E53"/>
    <w:rsid w:val="00C46F20"/>
    <w:rsid w:val="00C4705F"/>
    <w:rsid w:val="00C47207"/>
    <w:rsid w:val="00C473F7"/>
    <w:rsid w:val="00C476CC"/>
    <w:rsid w:val="00C47864"/>
    <w:rsid w:val="00C50190"/>
    <w:rsid w:val="00C501B3"/>
    <w:rsid w:val="00C502F9"/>
    <w:rsid w:val="00C50307"/>
    <w:rsid w:val="00C5044E"/>
    <w:rsid w:val="00C50646"/>
    <w:rsid w:val="00C508ED"/>
    <w:rsid w:val="00C50ACB"/>
    <w:rsid w:val="00C50C36"/>
    <w:rsid w:val="00C50C44"/>
    <w:rsid w:val="00C511E1"/>
    <w:rsid w:val="00C5176A"/>
    <w:rsid w:val="00C5188E"/>
    <w:rsid w:val="00C5191D"/>
    <w:rsid w:val="00C51F95"/>
    <w:rsid w:val="00C5208F"/>
    <w:rsid w:val="00C5247E"/>
    <w:rsid w:val="00C52F7E"/>
    <w:rsid w:val="00C537A0"/>
    <w:rsid w:val="00C53913"/>
    <w:rsid w:val="00C53BB9"/>
    <w:rsid w:val="00C53EA4"/>
    <w:rsid w:val="00C547C3"/>
    <w:rsid w:val="00C550F7"/>
    <w:rsid w:val="00C553D5"/>
    <w:rsid w:val="00C55BC6"/>
    <w:rsid w:val="00C55FCD"/>
    <w:rsid w:val="00C5625F"/>
    <w:rsid w:val="00C5636F"/>
    <w:rsid w:val="00C568D5"/>
    <w:rsid w:val="00C57248"/>
    <w:rsid w:val="00C57595"/>
    <w:rsid w:val="00C57852"/>
    <w:rsid w:val="00C6021D"/>
    <w:rsid w:val="00C603C5"/>
    <w:rsid w:val="00C60B1F"/>
    <w:rsid w:val="00C60D71"/>
    <w:rsid w:val="00C60D8F"/>
    <w:rsid w:val="00C60E2A"/>
    <w:rsid w:val="00C60E31"/>
    <w:rsid w:val="00C610AB"/>
    <w:rsid w:val="00C6145A"/>
    <w:rsid w:val="00C61CDA"/>
    <w:rsid w:val="00C621D4"/>
    <w:rsid w:val="00C621F6"/>
    <w:rsid w:val="00C623C1"/>
    <w:rsid w:val="00C6279E"/>
    <w:rsid w:val="00C6294E"/>
    <w:rsid w:val="00C62EA3"/>
    <w:rsid w:val="00C635E0"/>
    <w:rsid w:val="00C63701"/>
    <w:rsid w:val="00C63A69"/>
    <w:rsid w:val="00C63A94"/>
    <w:rsid w:val="00C63B07"/>
    <w:rsid w:val="00C647C5"/>
    <w:rsid w:val="00C64989"/>
    <w:rsid w:val="00C659F9"/>
    <w:rsid w:val="00C65D21"/>
    <w:rsid w:val="00C65FDD"/>
    <w:rsid w:val="00C662DB"/>
    <w:rsid w:val="00C66666"/>
    <w:rsid w:val="00C66669"/>
    <w:rsid w:val="00C66DE2"/>
    <w:rsid w:val="00C66E87"/>
    <w:rsid w:val="00C6730B"/>
    <w:rsid w:val="00C67DE5"/>
    <w:rsid w:val="00C70743"/>
    <w:rsid w:val="00C70884"/>
    <w:rsid w:val="00C708E3"/>
    <w:rsid w:val="00C709B9"/>
    <w:rsid w:val="00C70DF7"/>
    <w:rsid w:val="00C70EF3"/>
    <w:rsid w:val="00C711AB"/>
    <w:rsid w:val="00C71469"/>
    <w:rsid w:val="00C717E7"/>
    <w:rsid w:val="00C71CA4"/>
    <w:rsid w:val="00C725D8"/>
    <w:rsid w:val="00C72A4D"/>
    <w:rsid w:val="00C7306C"/>
    <w:rsid w:val="00C733ED"/>
    <w:rsid w:val="00C735CC"/>
    <w:rsid w:val="00C7390B"/>
    <w:rsid w:val="00C739A6"/>
    <w:rsid w:val="00C739FC"/>
    <w:rsid w:val="00C739FF"/>
    <w:rsid w:val="00C73AF8"/>
    <w:rsid w:val="00C74A34"/>
    <w:rsid w:val="00C7537A"/>
    <w:rsid w:val="00C75665"/>
    <w:rsid w:val="00C75D9C"/>
    <w:rsid w:val="00C75E90"/>
    <w:rsid w:val="00C761BD"/>
    <w:rsid w:val="00C761BE"/>
    <w:rsid w:val="00C762F4"/>
    <w:rsid w:val="00C763E3"/>
    <w:rsid w:val="00C7657E"/>
    <w:rsid w:val="00C766EE"/>
    <w:rsid w:val="00C769DC"/>
    <w:rsid w:val="00C76FF2"/>
    <w:rsid w:val="00C7702F"/>
    <w:rsid w:val="00C77054"/>
    <w:rsid w:val="00C77222"/>
    <w:rsid w:val="00C77EF6"/>
    <w:rsid w:val="00C80278"/>
    <w:rsid w:val="00C808EC"/>
    <w:rsid w:val="00C80A5B"/>
    <w:rsid w:val="00C80A9E"/>
    <w:rsid w:val="00C80D20"/>
    <w:rsid w:val="00C8151C"/>
    <w:rsid w:val="00C8155D"/>
    <w:rsid w:val="00C817C3"/>
    <w:rsid w:val="00C81848"/>
    <w:rsid w:val="00C81E75"/>
    <w:rsid w:val="00C81EB1"/>
    <w:rsid w:val="00C82012"/>
    <w:rsid w:val="00C82387"/>
    <w:rsid w:val="00C82548"/>
    <w:rsid w:val="00C828BA"/>
    <w:rsid w:val="00C82990"/>
    <w:rsid w:val="00C82D95"/>
    <w:rsid w:val="00C835CD"/>
    <w:rsid w:val="00C83787"/>
    <w:rsid w:val="00C8394C"/>
    <w:rsid w:val="00C83C6D"/>
    <w:rsid w:val="00C84400"/>
    <w:rsid w:val="00C8443D"/>
    <w:rsid w:val="00C845E7"/>
    <w:rsid w:val="00C84CDA"/>
    <w:rsid w:val="00C85352"/>
    <w:rsid w:val="00C85938"/>
    <w:rsid w:val="00C860B6"/>
    <w:rsid w:val="00C86B6D"/>
    <w:rsid w:val="00C86EC5"/>
    <w:rsid w:val="00C87072"/>
    <w:rsid w:val="00C870C0"/>
    <w:rsid w:val="00C87E79"/>
    <w:rsid w:val="00C87FCB"/>
    <w:rsid w:val="00C90123"/>
    <w:rsid w:val="00C9022E"/>
    <w:rsid w:val="00C90244"/>
    <w:rsid w:val="00C902C5"/>
    <w:rsid w:val="00C902E5"/>
    <w:rsid w:val="00C903EE"/>
    <w:rsid w:val="00C905F6"/>
    <w:rsid w:val="00C9097A"/>
    <w:rsid w:val="00C9104E"/>
    <w:rsid w:val="00C91554"/>
    <w:rsid w:val="00C91770"/>
    <w:rsid w:val="00C91884"/>
    <w:rsid w:val="00C91F7F"/>
    <w:rsid w:val="00C9218E"/>
    <w:rsid w:val="00C922BB"/>
    <w:rsid w:val="00C927F3"/>
    <w:rsid w:val="00C9308C"/>
    <w:rsid w:val="00C93FDC"/>
    <w:rsid w:val="00C946AC"/>
    <w:rsid w:val="00C95099"/>
    <w:rsid w:val="00C951CA"/>
    <w:rsid w:val="00C95518"/>
    <w:rsid w:val="00C955D2"/>
    <w:rsid w:val="00C95866"/>
    <w:rsid w:val="00C96D33"/>
    <w:rsid w:val="00C96DA8"/>
    <w:rsid w:val="00C96FB2"/>
    <w:rsid w:val="00C97137"/>
    <w:rsid w:val="00C972E0"/>
    <w:rsid w:val="00C972FE"/>
    <w:rsid w:val="00C976C5"/>
    <w:rsid w:val="00C97A1B"/>
    <w:rsid w:val="00CA02CE"/>
    <w:rsid w:val="00CA02CF"/>
    <w:rsid w:val="00CA03EC"/>
    <w:rsid w:val="00CA0984"/>
    <w:rsid w:val="00CA0AC9"/>
    <w:rsid w:val="00CA128F"/>
    <w:rsid w:val="00CA1C89"/>
    <w:rsid w:val="00CA1E33"/>
    <w:rsid w:val="00CA1ED3"/>
    <w:rsid w:val="00CA2AFD"/>
    <w:rsid w:val="00CA2C66"/>
    <w:rsid w:val="00CA2E00"/>
    <w:rsid w:val="00CA3558"/>
    <w:rsid w:val="00CA3950"/>
    <w:rsid w:val="00CA3A6C"/>
    <w:rsid w:val="00CA3B6B"/>
    <w:rsid w:val="00CA3CB8"/>
    <w:rsid w:val="00CA42E1"/>
    <w:rsid w:val="00CA4BB7"/>
    <w:rsid w:val="00CA4D0F"/>
    <w:rsid w:val="00CA5EBA"/>
    <w:rsid w:val="00CA5F70"/>
    <w:rsid w:val="00CA6488"/>
    <w:rsid w:val="00CA64CB"/>
    <w:rsid w:val="00CA6799"/>
    <w:rsid w:val="00CA69C5"/>
    <w:rsid w:val="00CA6A66"/>
    <w:rsid w:val="00CA6B8F"/>
    <w:rsid w:val="00CA6BD2"/>
    <w:rsid w:val="00CA6C49"/>
    <w:rsid w:val="00CA6CC0"/>
    <w:rsid w:val="00CA7CB0"/>
    <w:rsid w:val="00CA7E94"/>
    <w:rsid w:val="00CA7EAF"/>
    <w:rsid w:val="00CB01D3"/>
    <w:rsid w:val="00CB0465"/>
    <w:rsid w:val="00CB04F1"/>
    <w:rsid w:val="00CB0918"/>
    <w:rsid w:val="00CB0E4C"/>
    <w:rsid w:val="00CB1154"/>
    <w:rsid w:val="00CB18E2"/>
    <w:rsid w:val="00CB2789"/>
    <w:rsid w:val="00CB2827"/>
    <w:rsid w:val="00CB2A8C"/>
    <w:rsid w:val="00CB2C72"/>
    <w:rsid w:val="00CB2EA9"/>
    <w:rsid w:val="00CB2FD6"/>
    <w:rsid w:val="00CB3124"/>
    <w:rsid w:val="00CB3DB0"/>
    <w:rsid w:val="00CB3F6E"/>
    <w:rsid w:val="00CB4950"/>
    <w:rsid w:val="00CB4A0E"/>
    <w:rsid w:val="00CB4C8C"/>
    <w:rsid w:val="00CB4FA4"/>
    <w:rsid w:val="00CB55D5"/>
    <w:rsid w:val="00CB5BC1"/>
    <w:rsid w:val="00CB5DEA"/>
    <w:rsid w:val="00CB6269"/>
    <w:rsid w:val="00CB62F1"/>
    <w:rsid w:val="00CB6344"/>
    <w:rsid w:val="00CB66DE"/>
    <w:rsid w:val="00CB67C5"/>
    <w:rsid w:val="00CB6DA0"/>
    <w:rsid w:val="00CB6FC5"/>
    <w:rsid w:val="00CB7B12"/>
    <w:rsid w:val="00CB7C0A"/>
    <w:rsid w:val="00CB7CB1"/>
    <w:rsid w:val="00CC0827"/>
    <w:rsid w:val="00CC0AB9"/>
    <w:rsid w:val="00CC0CA3"/>
    <w:rsid w:val="00CC112F"/>
    <w:rsid w:val="00CC1466"/>
    <w:rsid w:val="00CC15E9"/>
    <w:rsid w:val="00CC19B8"/>
    <w:rsid w:val="00CC1B9B"/>
    <w:rsid w:val="00CC22BF"/>
    <w:rsid w:val="00CC2BB1"/>
    <w:rsid w:val="00CC2DE3"/>
    <w:rsid w:val="00CC34BB"/>
    <w:rsid w:val="00CC3E5D"/>
    <w:rsid w:val="00CC4261"/>
    <w:rsid w:val="00CC44A5"/>
    <w:rsid w:val="00CC50DB"/>
    <w:rsid w:val="00CC53D9"/>
    <w:rsid w:val="00CC74F6"/>
    <w:rsid w:val="00CD003F"/>
    <w:rsid w:val="00CD021E"/>
    <w:rsid w:val="00CD03EC"/>
    <w:rsid w:val="00CD072C"/>
    <w:rsid w:val="00CD087F"/>
    <w:rsid w:val="00CD0892"/>
    <w:rsid w:val="00CD0DE6"/>
    <w:rsid w:val="00CD1C33"/>
    <w:rsid w:val="00CD27BA"/>
    <w:rsid w:val="00CD2944"/>
    <w:rsid w:val="00CD2B5B"/>
    <w:rsid w:val="00CD2DA6"/>
    <w:rsid w:val="00CD2FF2"/>
    <w:rsid w:val="00CD311C"/>
    <w:rsid w:val="00CD32F4"/>
    <w:rsid w:val="00CD3362"/>
    <w:rsid w:val="00CD33AD"/>
    <w:rsid w:val="00CD3806"/>
    <w:rsid w:val="00CD408D"/>
    <w:rsid w:val="00CD4120"/>
    <w:rsid w:val="00CD412E"/>
    <w:rsid w:val="00CD442C"/>
    <w:rsid w:val="00CD48EC"/>
    <w:rsid w:val="00CD4AA5"/>
    <w:rsid w:val="00CD5201"/>
    <w:rsid w:val="00CD5537"/>
    <w:rsid w:val="00CD5682"/>
    <w:rsid w:val="00CD66B3"/>
    <w:rsid w:val="00CD6825"/>
    <w:rsid w:val="00CD6DFF"/>
    <w:rsid w:val="00CD6FAE"/>
    <w:rsid w:val="00CE0076"/>
    <w:rsid w:val="00CE00B5"/>
    <w:rsid w:val="00CE00B7"/>
    <w:rsid w:val="00CE01A8"/>
    <w:rsid w:val="00CE024F"/>
    <w:rsid w:val="00CE06C4"/>
    <w:rsid w:val="00CE0752"/>
    <w:rsid w:val="00CE0962"/>
    <w:rsid w:val="00CE0CA4"/>
    <w:rsid w:val="00CE16BE"/>
    <w:rsid w:val="00CE1774"/>
    <w:rsid w:val="00CE1957"/>
    <w:rsid w:val="00CE1977"/>
    <w:rsid w:val="00CE202D"/>
    <w:rsid w:val="00CE230F"/>
    <w:rsid w:val="00CE2C1E"/>
    <w:rsid w:val="00CE3531"/>
    <w:rsid w:val="00CE3F0B"/>
    <w:rsid w:val="00CE4C99"/>
    <w:rsid w:val="00CE4DCA"/>
    <w:rsid w:val="00CE4DEC"/>
    <w:rsid w:val="00CE5093"/>
    <w:rsid w:val="00CE55D9"/>
    <w:rsid w:val="00CE57A1"/>
    <w:rsid w:val="00CE6002"/>
    <w:rsid w:val="00CE60CA"/>
    <w:rsid w:val="00CE613A"/>
    <w:rsid w:val="00CE6CB6"/>
    <w:rsid w:val="00CE6FBA"/>
    <w:rsid w:val="00CE7321"/>
    <w:rsid w:val="00CE741B"/>
    <w:rsid w:val="00CE7733"/>
    <w:rsid w:val="00CE78C1"/>
    <w:rsid w:val="00CE78D7"/>
    <w:rsid w:val="00CE7CF2"/>
    <w:rsid w:val="00CF0112"/>
    <w:rsid w:val="00CF02FE"/>
    <w:rsid w:val="00CF0788"/>
    <w:rsid w:val="00CF0A9D"/>
    <w:rsid w:val="00CF0D15"/>
    <w:rsid w:val="00CF0D7F"/>
    <w:rsid w:val="00CF0EA2"/>
    <w:rsid w:val="00CF0ED8"/>
    <w:rsid w:val="00CF0F4D"/>
    <w:rsid w:val="00CF11B0"/>
    <w:rsid w:val="00CF134F"/>
    <w:rsid w:val="00CF13CC"/>
    <w:rsid w:val="00CF1788"/>
    <w:rsid w:val="00CF17A6"/>
    <w:rsid w:val="00CF18BA"/>
    <w:rsid w:val="00CF1E64"/>
    <w:rsid w:val="00CF224B"/>
    <w:rsid w:val="00CF2503"/>
    <w:rsid w:val="00CF2889"/>
    <w:rsid w:val="00CF2A7D"/>
    <w:rsid w:val="00CF2C08"/>
    <w:rsid w:val="00CF2C65"/>
    <w:rsid w:val="00CF2CA9"/>
    <w:rsid w:val="00CF2E0D"/>
    <w:rsid w:val="00CF324E"/>
    <w:rsid w:val="00CF3934"/>
    <w:rsid w:val="00CF3986"/>
    <w:rsid w:val="00CF39E8"/>
    <w:rsid w:val="00CF3A14"/>
    <w:rsid w:val="00CF42AF"/>
    <w:rsid w:val="00CF43BA"/>
    <w:rsid w:val="00CF44F4"/>
    <w:rsid w:val="00CF450C"/>
    <w:rsid w:val="00CF472B"/>
    <w:rsid w:val="00CF51DE"/>
    <w:rsid w:val="00CF56B7"/>
    <w:rsid w:val="00CF56D5"/>
    <w:rsid w:val="00CF581C"/>
    <w:rsid w:val="00CF5F3A"/>
    <w:rsid w:val="00CF6318"/>
    <w:rsid w:val="00CF6E1B"/>
    <w:rsid w:val="00CF6FF1"/>
    <w:rsid w:val="00CF702F"/>
    <w:rsid w:val="00CF7075"/>
    <w:rsid w:val="00CF724E"/>
    <w:rsid w:val="00CF75A4"/>
    <w:rsid w:val="00CF773E"/>
    <w:rsid w:val="00CF7757"/>
    <w:rsid w:val="00CF7C54"/>
    <w:rsid w:val="00CF7D1F"/>
    <w:rsid w:val="00D000F1"/>
    <w:rsid w:val="00D00297"/>
    <w:rsid w:val="00D0081E"/>
    <w:rsid w:val="00D00C46"/>
    <w:rsid w:val="00D010A1"/>
    <w:rsid w:val="00D013D0"/>
    <w:rsid w:val="00D0148E"/>
    <w:rsid w:val="00D01491"/>
    <w:rsid w:val="00D014BC"/>
    <w:rsid w:val="00D0181A"/>
    <w:rsid w:val="00D01FC6"/>
    <w:rsid w:val="00D02280"/>
    <w:rsid w:val="00D0248A"/>
    <w:rsid w:val="00D025B4"/>
    <w:rsid w:val="00D02B3C"/>
    <w:rsid w:val="00D038AC"/>
    <w:rsid w:val="00D03A90"/>
    <w:rsid w:val="00D03E66"/>
    <w:rsid w:val="00D0403D"/>
    <w:rsid w:val="00D04E3E"/>
    <w:rsid w:val="00D05196"/>
    <w:rsid w:val="00D052D5"/>
    <w:rsid w:val="00D05E6C"/>
    <w:rsid w:val="00D062D0"/>
    <w:rsid w:val="00D06335"/>
    <w:rsid w:val="00D06A58"/>
    <w:rsid w:val="00D07354"/>
    <w:rsid w:val="00D076B1"/>
    <w:rsid w:val="00D078CA"/>
    <w:rsid w:val="00D07B7A"/>
    <w:rsid w:val="00D07DF8"/>
    <w:rsid w:val="00D07EE1"/>
    <w:rsid w:val="00D10645"/>
    <w:rsid w:val="00D10E41"/>
    <w:rsid w:val="00D111FB"/>
    <w:rsid w:val="00D11B16"/>
    <w:rsid w:val="00D12872"/>
    <w:rsid w:val="00D12FF9"/>
    <w:rsid w:val="00D132B2"/>
    <w:rsid w:val="00D136E5"/>
    <w:rsid w:val="00D13A0B"/>
    <w:rsid w:val="00D13D58"/>
    <w:rsid w:val="00D14922"/>
    <w:rsid w:val="00D14D14"/>
    <w:rsid w:val="00D14EB4"/>
    <w:rsid w:val="00D150AE"/>
    <w:rsid w:val="00D1540B"/>
    <w:rsid w:val="00D156F3"/>
    <w:rsid w:val="00D15796"/>
    <w:rsid w:val="00D159CF"/>
    <w:rsid w:val="00D15C52"/>
    <w:rsid w:val="00D16648"/>
    <w:rsid w:val="00D16B48"/>
    <w:rsid w:val="00D16BB4"/>
    <w:rsid w:val="00D16CE7"/>
    <w:rsid w:val="00D170D2"/>
    <w:rsid w:val="00D17228"/>
    <w:rsid w:val="00D1733C"/>
    <w:rsid w:val="00D1753D"/>
    <w:rsid w:val="00D17E7C"/>
    <w:rsid w:val="00D203D0"/>
    <w:rsid w:val="00D20966"/>
    <w:rsid w:val="00D20CDE"/>
    <w:rsid w:val="00D20DB8"/>
    <w:rsid w:val="00D21302"/>
    <w:rsid w:val="00D2167E"/>
    <w:rsid w:val="00D21C13"/>
    <w:rsid w:val="00D229CF"/>
    <w:rsid w:val="00D22BE6"/>
    <w:rsid w:val="00D22D56"/>
    <w:rsid w:val="00D2326F"/>
    <w:rsid w:val="00D23356"/>
    <w:rsid w:val="00D234C6"/>
    <w:rsid w:val="00D236FD"/>
    <w:rsid w:val="00D23AF3"/>
    <w:rsid w:val="00D23C83"/>
    <w:rsid w:val="00D23E16"/>
    <w:rsid w:val="00D23E40"/>
    <w:rsid w:val="00D2402E"/>
    <w:rsid w:val="00D242D2"/>
    <w:rsid w:val="00D24C6C"/>
    <w:rsid w:val="00D24D8E"/>
    <w:rsid w:val="00D24FD9"/>
    <w:rsid w:val="00D25395"/>
    <w:rsid w:val="00D25B96"/>
    <w:rsid w:val="00D260F4"/>
    <w:rsid w:val="00D27694"/>
    <w:rsid w:val="00D27F3B"/>
    <w:rsid w:val="00D30031"/>
    <w:rsid w:val="00D30799"/>
    <w:rsid w:val="00D3124C"/>
    <w:rsid w:val="00D31967"/>
    <w:rsid w:val="00D31DE7"/>
    <w:rsid w:val="00D32557"/>
    <w:rsid w:val="00D32F47"/>
    <w:rsid w:val="00D330A5"/>
    <w:rsid w:val="00D33121"/>
    <w:rsid w:val="00D33576"/>
    <w:rsid w:val="00D337C4"/>
    <w:rsid w:val="00D33A99"/>
    <w:rsid w:val="00D33BCB"/>
    <w:rsid w:val="00D33CE4"/>
    <w:rsid w:val="00D3479A"/>
    <w:rsid w:val="00D34A0E"/>
    <w:rsid w:val="00D34BBF"/>
    <w:rsid w:val="00D34E03"/>
    <w:rsid w:val="00D34E47"/>
    <w:rsid w:val="00D358F0"/>
    <w:rsid w:val="00D35CBE"/>
    <w:rsid w:val="00D368DE"/>
    <w:rsid w:val="00D36CFF"/>
    <w:rsid w:val="00D375EB"/>
    <w:rsid w:val="00D377B1"/>
    <w:rsid w:val="00D400A1"/>
    <w:rsid w:val="00D400C3"/>
    <w:rsid w:val="00D4051E"/>
    <w:rsid w:val="00D40ABC"/>
    <w:rsid w:val="00D40AF0"/>
    <w:rsid w:val="00D410F2"/>
    <w:rsid w:val="00D4169C"/>
    <w:rsid w:val="00D416EB"/>
    <w:rsid w:val="00D425AC"/>
    <w:rsid w:val="00D42871"/>
    <w:rsid w:val="00D42880"/>
    <w:rsid w:val="00D42F41"/>
    <w:rsid w:val="00D4302F"/>
    <w:rsid w:val="00D430C5"/>
    <w:rsid w:val="00D43176"/>
    <w:rsid w:val="00D43ABD"/>
    <w:rsid w:val="00D43D09"/>
    <w:rsid w:val="00D448EA"/>
    <w:rsid w:val="00D44CFD"/>
    <w:rsid w:val="00D44EC1"/>
    <w:rsid w:val="00D45D49"/>
    <w:rsid w:val="00D45EF7"/>
    <w:rsid w:val="00D45FB6"/>
    <w:rsid w:val="00D46304"/>
    <w:rsid w:val="00D4652B"/>
    <w:rsid w:val="00D46D2E"/>
    <w:rsid w:val="00D46FDC"/>
    <w:rsid w:val="00D47044"/>
    <w:rsid w:val="00D47EE2"/>
    <w:rsid w:val="00D50110"/>
    <w:rsid w:val="00D5046F"/>
    <w:rsid w:val="00D5078E"/>
    <w:rsid w:val="00D50CCB"/>
    <w:rsid w:val="00D511E6"/>
    <w:rsid w:val="00D513BC"/>
    <w:rsid w:val="00D5160C"/>
    <w:rsid w:val="00D516B9"/>
    <w:rsid w:val="00D521C5"/>
    <w:rsid w:val="00D522A3"/>
    <w:rsid w:val="00D5264F"/>
    <w:rsid w:val="00D526CA"/>
    <w:rsid w:val="00D528B8"/>
    <w:rsid w:val="00D52BCB"/>
    <w:rsid w:val="00D535C5"/>
    <w:rsid w:val="00D535F7"/>
    <w:rsid w:val="00D536C0"/>
    <w:rsid w:val="00D5400D"/>
    <w:rsid w:val="00D549A2"/>
    <w:rsid w:val="00D55016"/>
    <w:rsid w:val="00D55737"/>
    <w:rsid w:val="00D558B1"/>
    <w:rsid w:val="00D55A1B"/>
    <w:rsid w:val="00D55F0A"/>
    <w:rsid w:val="00D56055"/>
    <w:rsid w:val="00D56177"/>
    <w:rsid w:val="00D563D5"/>
    <w:rsid w:val="00D5673E"/>
    <w:rsid w:val="00D56B32"/>
    <w:rsid w:val="00D5745C"/>
    <w:rsid w:val="00D57466"/>
    <w:rsid w:val="00D576FB"/>
    <w:rsid w:val="00D578EC"/>
    <w:rsid w:val="00D60052"/>
    <w:rsid w:val="00D60261"/>
    <w:rsid w:val="00D6038E"/>
    <w:rsid w:val="00D605D4"/>
    <w:rsid w:val="00D60DA1"/>
    <w:rsid w:val="00D610C1"/>
    <w:rsid w:val="00D6149D"/>
    <w:rsid w:val="00D61D28"/>
    <w:rsid w:val="00D620C4"/>
    <w:rsid w:val="00D622BD"/>
    <w:rsid w:val="00D625E7"/>
    <w:rsid w:val="00D627F7"/>
    <w:rsid w:val="00D62B05"/>
    <w:rsid w:val="00D62FA1"/>
    <w:rsid w:val="00D6304D"/>
    <w:rsid w:val="00D63380"/>
    <w:rsid w:val="00D633AF"/>
    <w:rsid w:val="00D6360C"/>
    <w:rsid w:val="00D638FC"/>
    <w:rsid w:val="00D63978"/>
    <w:rsid w:val="00D63CA0"/>
    <w:rsid w:val="00D63CE4"/>
    <w:rsid w:val="00D63F75"/>
    <w:rsid w:val="00D640E6"/>
    <w:rsid w:val="00D64961"/>
    <w:rsid w:val="00D6510E"/>
    <w:rsid w:val="00D65371"/>
    <w:rsid w:val="00D6586C"/>
    <w:rsid w:val="00D6598B"/>
    <w:rsid w:val="00D659A4"/>
    <w:rsid w:val="00D66145"/>
    <w:rsid w:val="00D66A8A"/>
    <w:rsid w:val="00D66C1C"/>
    <w:rsid w:val="00D66F0E"/>
    <w:rsid w:val="00D67889"/>
    <w:rsid w:val="00D701B9"/>
    <w:rsid w:val="00D70333"/>
    <w:rsid w:val="00D70460"/>
    <w:rsid w:val="00D7104B"/>
    <w:rsid w:val="00D71280"/>
    <w:rsid w:val="00D71617"/>
    <w:rsid w:val="00D71EB0"/>
    <w:rsid w:val="00D722CF"/>
    <w:rsid w:val="00D72B52"/>
    <w:rsid w:val="00D72F11"/>
    <w:rsid w:val="00D7318B"/>
    <w:rsid w:val="00D73210"/>
    <w:rsid w:val="00D732C3"/>
    <w:rsid w:val="00D737DE"/>
    <w:rsid w:val="00D748E9"/>
    <w:rsid w:val="00D74BF2"/>
    <w:rsid w:val="00D75030"/>
    <w:rsid w:val="00D750A5"/>
    <w:rsid w:val="00D7511C"/>
    <w:rsid w:val="00D755E7"/>
    <w:rsid w:val="00D7587E"/>
    <w:rsid w:val="00D75D40"/>
    <w:rsid w:val="00D760C5"/>
    <w:rsid w:val="00D7695A"/>
    <w:rsid w:val="00D77649"/>
    <w:rsid w:val="00D7788C"/>
    <w:rsid w:val="00D779F9"/>
    <w:rsid w:val="00D77AF0"/>
    <w:rsid w:val="00D77DFF"/>
    <w:rsid w:val="00D80053"/>
    <w:rsid w:val="00D80337"/>
    <w:rsid w:val="00D80462"/>
    <w:rsid w:val="00D80670"/>
    <w:rsid w:val="00D807B7"/>
    <w:rsid w:val="00D8080B"/>
    <w:rsid w:val="00D80A4F"/>
    <w:rsid w:val="00D80BB3"/>
    <w:rsid w:val="00D80DD3"/>
    <w:rsid w:val="00D80E33"/>
    <w:rsid w:val="00D81386"/>
    <w:rsid w:val="00D81EC5"/>
    <w:rsid w:val="00D81F1F"/>
    <w:rsid w:val="00D8212C"/>
    <w:rsid w:val="00D824D5"/>
    <w:rsid w:val="00D827E2"/>
    <w:rsid w:val="00D82AB8"/>
    <w:rsid w:val="00D830A0"/>
    <w:rsid w:val="00D83912"/>
    <w:rsid w:val="00D84009"/>
    <w:rsid w:val="00D840BB"/>
    <w:rsid w:val="00D845A3"/>
    <w:rsid w:val="00D847F5"/>
    <w:rsid w:val="00D849DB"/>
    <w:rsid w:val="00D84B46"/>
    <w:rsid w:val="00D85210"/>
    <w:rsid w:val="00D85915"/>
    <w:rsid w:val="00D86791"/>
    <w:rsid w:val="00D86A15"/>
    <w:rsid w:val="00D86B32"/>
    <w:rsid w:val="00D86CDD"/>
    <w:rsid w:val="00D86D62"/>
    <w:rsid w:val="00D86D91"/>
    <w:rsid w:val="00D873CC"/>
    <w:rsid w:val="00D8757F"/>
    <w:rsid w:val="00D876DD"/>
    <w:rsid w:val="00D87AA3"/>
    <w:rsid w:val="00D87ADC"/>
    <w:rsid w:val="00D87BEC"/>
    <w:rsid w:val="00D87E58"/>
    <w:rsid w:val="00D9006C"/>
    <w:rsid w:val="00D9024E"/>
    <w:rsid w:val="00D903F4"/>
    <w:rsid w:val="00D90D80"/>
    <w:rsid w:val="00D910D6"/>
    <w:rsid w:val="00D91386"/>
    <w:rsid w:val="00D922E7"/>
    <w:rsid w:val="00D9255F"/>
    <w:rsid w:val="00D92609"/>
    <w:rsid w:val="00D9266C"/>
    <w:rsid w:val="00D92E4A"/>
    <w:rsid w:val="00D93267"/>
    <w:rsid w:val="00D94257"/>
    <w:rsid w:val="00D94DF7"/>
    <w:rsid w:val="00D9560C"/>
    <w:rsid w:val="00D95A82"/>
    <w:rsid w:val="00D9625F"/>
    <w:rsid w:val="00D963B5"/>
    <w:rsid w:val="00D96488"/>
    <w:rsid w:val="00D967C8"/>
    <w:rsid w:val="00D968CA"/>
    <w:rsid w:val="00D96B03"/>
    <w:rsid w:val="00D96D60"/>
    <w:rsid w:val="00D96DAA"/>
    <w:rsid w:val="00D9756E"/>
    <w:rsid w:val="00D976C2"/>
    <w:rsid w:val="00D97A49"/>
    <w:rsid w:val="00D97CDE"/>
    <w:rsid w:val="00D97DAB"/>
    <w:rsid w:val="00D97ED6"/>
    <w:rsid w:val="00DA0163"/>
    <w:rsid w:val="00DA098A"/>
    <w:rsid w:val="00DA0C94"/>
    <w:rsid w:val="00DA0F0A"/>
    <w:rsid w:val="00DA1332"/>
    <w:rsid w:val="00DA13A0"/>
    <w:rsid w:val="00DA17D0"/>
    <w:rsid w:val="00DA1984"/>
    <w:rsid w:val="00DA1C9F"/>
    <w:rsid w:val="00DA1D64"/>
    <w:rsid w:val="00DA1DFB"/>
    <w:rsid w:val="00DA2028"/>
    <w:rsid w:val="00DA2185"/>
    <w:rsid w:val="00DA2297"/>
    <w:rsid w:val="00DA231C"/>
    <w:rsid w:val="00DA235A"/>
    <w:rsid w:val="00DA2395"/>
    <w:rsid w:val="00DA2920"/>
    <w:rsid w:val="00DA2973"/>
    <w:rsid w:val="00DA30B7"/>
    <w:rsid w:val="00DA37FE"/>
    <w:rsid w:val="00DA395C"/>
    <w:rsid w:val="00DA3A22"/>
    <w:rsid w:val="00DA3AF4"/>
    <w:rsid w:val="00DA422C"/>
    <w:rsid w:val="00DA46B2"/>
    <w:rsid w:val="00DA4706"/>
    <w:rsid w:val="00DA4A0E"/>
    <w:rsid w:val="00DA4DD5"/>
    <w:rsid w:val="00DA5B86"/>
    <w:rsid w:val="00DA5EBB"/>
    <w:rsid w:val="00DA6372"/>
    <w:rsid w:val="00DA65B4"/>
    <w:rsid w:val="00DA6D29"/>
    <w:rsid w:val="00DA7003"/>
    <w:rsid w:val="00DA71CF"/>
    <w:rsid w:val="00DA7390"/>
    <w:rsid w:val="00DA7974"/>
    <w:rsid w:val="00DA79C0"/>
    <w:rsid w:val="00DA7F78"/>
    <w:rsid w:val="00DA7FBB"/>
    <w:rsid w:val="00DA7FEA"/>
    <w:rsid w:val="00DB013B"/>
    <w:rsid w:val="00DB039E"/>
    <w:rsid w:val="00DB03D5"/>
    <w:rsid w:val="00DB0904"/>
    <w:rsid w:val="00DB1851"/>
    <w:rsid w:val="00DB1C06"/>
    <w:rsid w:val="00DB1CD2"/>
    <w:rsid w:val="00DB1D28"/>
    <w:rsid w:val="00DB1FD6"/>
    <w:rsid w:val="00DB2990"/>
    <w:rsid w:val="00DB311E"/>
    <w:rsid w:val="00DB33FD"/>
    <w:rsid w:val="00DB3427"/>
    <w:rsid w:val="00DB36C3"/>
    <w:rsid w:val="00DB3C34"/>
    <w:rsid w:val="00DB3D43"/>
    <w:rsid w:val="00DB3FA3"/>
    <w:rsid w:val="00DB41C2"/>
    <w:rsid w:val="00DB45C2"/>
    <w:rsid w:val="00DB4676"/>
    <w:rsid w:val="00DB4E53"/>
    <w:rsid w:val="00DB5B68"/>
    <w:rsid w:val="00DB5E66"/>
    <w:rsid w:val="00DB5EDB"/>
    <w:rsid w:val="00DB61C3"/>
    <w:rsid w:val="00DB691D"/>
    <w:rsid w:val="00DB6A90"/>
    <w:rsid w:val="00DB6C82"/>
    <w:rsid w:val="00DB6CB7"/>
    <w:rsid w:val="00DB7A41"/>
    <w:rsid w:val="00DB7CC3"/>
    <w:rsid w:val="00DB7D2E"/>
    <w:rsid w:val="00DB7E00"/>
    <w:rsid w:val="00DB7E70"/>
    <w:rsid w:val="00DC0252"/>
    <w:rsid w:val="00DC0913"/>
    <w:rsid w:val="00DC0B96"/>
    <w:rsid w:val="00DC1044"/>
    <w:rsid w:val="00DC146A"/>
    <w:rsid w:val="00DC14BE"/>
    <w:rsid w:val="00DC15D0"/>
    <w:rsid w:val="00DC180D"/>
    <w:rsid w:val="00DC180F"/>
    <w:rsid w:val="00DC1B38"/>
    <w:rsid w:val="00DC1B5C"/>
    <w:rsid w:val="00DC1C83"/>
    <w:rsid w:val="00DC1EDE"/>
    <w:rsid w:val="00DC1FAB"/>
    <w:rsid w:val="00DC1FD0"/>
    <w:rsid w:val="00DC208E"/>
    <w:rsid w:val="00DC2104"/>
    <w:rsid w:val="00DC21E0"/>
    <w:rsid w:val="00DC220E"/>
    <w:rsid w:val="00DC2489"/>
    <w:rsid w:val="00DC268A"/>
    <w:rsid w:val="00DC2889"/>
    <w:rsid w:val="00DC296A"/>
    <w:rsid w:val="00DC29D6"/>
    <w:rsid w:val="00DC2B64"/>
    <w:rsid w:val="00DC2BEA"/>
    <w:rsid w:val="00DC2D77"/>
    <w:rsid w:val="00DC33BF"/>
    <w:rsid w:val="00DC3873"/>
    <w:rsid w:val="00DC38D1"/>
    <w:rsid w:val="00DC393F"/>
    <w:rsid w:val="00DC3969"/>
    <w:rsid w:val="00DC3A76"/>
    <w:rsid w:val="00DC3AEA"/>
    <w:rsid w:val="00DC3B40"/>
    <w:rsid w:val="00DC499D"/>
    <w:rsid w:val="00DC4A9E"/>
    <w:rsid w:val="00DC50B5"/>
    <w:rsid w:val="00DC5135"/>
    <w:rsid w:val="00DC5951"/>
    <w:rsid w:val="00DC5953"/>
    <w:rsid w:val="00DC59C8"/>
    <w:rsid w:val="00DC5DC5"/>
    <w:rsid w:val="00DC5EEA"/>
    <w:rsid w:val="00DD0382"/>
    <w:rsid w:val="00DD0E3B"/>
    <w:rsid w:val="00DD1020"/>
    <w:rsid w:val="00DD1EB5"/>
    <w:rsid w:val="00DD2373"/>
    <w:rsid w:val="00DD24C7"/>
    <w:rsid w:val="00DD2B86"/>
    <w:rsid w:val="00DD2E62"/>
    <w:rsid w:val="00DD2EB6"/>
    <w:rsid w:val="00DD385E"/>
    <w:rsid w:val="00DD3F4A"/>
    <w:rsid w:val="00DD40C1"/>
    <w:rsid w:val="00DD42E4"/>
    <w:rsid w:val="00DD4329"/>
    <w:rsid w:val="00DD4899"/>
    <w:rsid w:val="00DD5552"/>
    <w:rsid w:val="00DD5679"/>
    <w:rsid w:val="00DD5DD3"/>
    <w:rsid w:val="00DD6030"/>
    <w:rsid w:val="00DD6199"/>
    <w:rsid w:val="00DD6234"/>
    <w:rsid w:val="00DD64F3"/>
    <w:rsid w:val="00DD6C04"/>
    <w:rsid w:val="00DD6F77"/>
    <w:rsid w:val="00DD70E9"/>
    <w:rsid w:val="00DD7545"/>
    <w:rsid w:val="00DD75BC"/>
    <w:rsid w:val="00DD770D"/>
    <w:rsid w:val="00DD7936"/>
    <w:rsid w:val="00DD7E11"/>
    <w:rsid w:val="00DE08EE"/>
    <w:rsid w:val="00DE0C6A"/>
    <w:rsid w:val="00DE1855"/>
    <w:rsid w:val="00DE1EAB"/>
    <w:rsid w:val="00DE1F2F"/>
    <w:rsid w:val="00DE2061"/>
    <w:rsid w:val="00DE26EE"/>
    <w:rsid w:val="00DE27FA"/>
    <w:rsid w:val="00DE2A82"/>
    <w:rsid w:val="00DE2B6D"/>
    <w:rsid w:val="00DE2E7D"/>
    <w:rsid w:val="00DE3406"/>
    <w:rsid w:val="00DE37E1"/>
    <w:rsid w:val="00DE3814"/>
    <w:rsid w:val="00DE391D"/>
    <w:rsid w:val="00DE39A1"/>
    <w:rsid w:val="00DE3C60"/>
    <w:rsid w:val="00DE3EED"/>
    <w:rsid w:val="00DE4593"/>
    <w:rsid w:val="00DE4A83"/>
    <w:rsid w:val="00DE4AD5"/>
    <w:rsid w:val="00DE5580"/>
    <w:rsid w:val="00DE5B20"/>
    <w:rsid w:val="00DE5DB5"/>
    <w:rsid w:val="00DE5FF3"/>
    <w:rsid w:val="00DE60E5"/>
    <w:rsid w:val="00DE634F"/>
    <w:rsid w:val="00DE664D"/>
    <w:rsid w:val="00DE6A7B"/>
    <w:rsid w:val="00DE6B0F"/>
    <w:rsid w:val="00DE6C09"/>
    <w:rsid w:val="00DE709A"/>
    <w:rsid w:val="00DE7116"/>
    <w:rsid w:val="00DE75F5"/>
    <w:rsid w:val="00DE76B5"/>
    <w:rsid w:val="00DE7E07"/>
    <w:rsid w:val="00DF004F"/>
    <w:rsid w:val="00DF052F"/>
    <w:rsid w:val="00DF06CB"/>
    <w:rsid w:val="00DF07BA"/>
    <w:rsid w:val="00DF08F2"/>
    <w:rsid w:val="00DF0F35"/>
    <w:rsid w:val="00DF0FF5"/>
    <w:rsid w:val="00DF11FA"/>
    <w:rsid w:val="00DF124D"/>
    <w:rsid w:val="00DF1331"/>
    <w:rsid w:val="00DF13F5"/>
    <w:rsid w:val="00DF194D"/>
    <w:rsid w:val="00DF1B3E"/>
    <w:rsid w:val="00DF1D2E"/>
    <w:rsid w:val="00DF1F77"/>
    <w:rsid w:val="00DF24E3"/>
    <w:rsid w:val="00DF2B33"/>
    <w:rsid w:val="00DF493E"/>
    <w:rsid w:val="00DF49B5"/>
    <w:rsid w:val="00DF49FA"/>
    <w:rsid w:val="00DF4FC6"/>
    <w:rsid w:val="00DF4FCB"/>
    <w:rsid w:val="00DF5619"/>
    <w:rsid w:val="00DF5CAB"/>
    <w:rsid w:val="00DF5EDF"/>
    <w:rsid w:val="00DF615A"/>
    <w:rsid w:val="00DF679C"/>
    <w:rsid w:val="00DF6841"/>
    <w:rsid w:val="00DF7114"/>
    <w:rsid w:val="00DF7492"/>
    <w:rsid w:val="00DF75E6"/>
    <w:rsid w:val="00DF7806"/>
    <w:rsid w:val="00DF7D65"/>
    <w:rsid w:val="00DF7F98"/>
    <w:rsid w:val="00DF7FD1"/>
    <w:rsid w:val="00E0005B"/>
    <w:rsid w:val="00E00672"/>
    <w:rsid w:val="00E0077C"/>
    <w:rsid w:val="00E010D7"/>
    <w:rsid w:val="00E011DC"/>
    <w:rsid w:val="00E013E6"/>
    <w:rsid w:val="00E0165C"/>
    <w:rsid w:val="00E016CB"/>
    <w:rsid w:val="00E01775"/>
    <w:rsid w:val="00E01AC9"/>
    <w:rsid w:val="00E01B79"/>
    <w:rsid w:val="00E02412"/>
    <w:rsid w:val="00E024E6"/>
    <w:rsid w:val="00E0278D"/>
    <w:rsid w:val="00E02A70"/>
    <w:rsid w:val="00E02BC4"/>
    <w:rsid w:val="00E02DC9"/>
    <w:rsid w:val="00E02F19"/>
    <w:rsid w:val="00E032C0"/>
    <w:rsid w:val="00E0380B"/>
    <w:rsid w:val="00E03AF9"/>
    <w:rsid w:val="00E03B96"/>
    <w:rsid w:val="00E045F6"/>
    <w:rsid w:val="00E04A2D"/>
    <w:rsid w:val="00E04B9A"/>
    <w:rsid w:val="00E04FB9"/>
    <w:rsid w:val="00E05408"/>
    <w:rsid w:val="00E055A1"/>
    <w:rsid w:val="00E05EA7"/>
    <w:rsid w:val="00E0691D"/>
    <w:rsid w:val="00E06C3E"/>
    <w:rsid w:val="00E07667"/>
    <w:rsid w:val="00E0773C"/>
    <w:rsid w:val="00E0798C"/>
    <w:rsid w:val="00E07B89"/>
    <w:rsid w:val="00E07FF0"/>
    <w:rsid w:val="00E1021B"/>
    <w:rsid w:val="00E10344"/>
    <w:rsid w:val="00E10ED5"/>
    <w:rsid w:val="00E112B8"/>
    <w:rsid w:val="00E11449"/>
    <w:rsid w:val="00E11642"/>
    <w:rsid w:val="00E11825"/>
    <w:rsid w:val="00E11BF1"/>
    <w:rsid w:val="00E11C50"/>
    <w:rsid w:val="00E11F29"/>
    <w:rsid w:val="00E11F2D"/>
    <w:rsid w:val="00E1210B"/>
    <w:rsid w:val="00E12139"/>
    <w:rsid w:val="00E122D6"/>
    <w:rsid w:val="00E12A55"/>
    <w:rsid w:val="00E12E22"/>
    <w:rsid w:val="00E12E28"/>
    <w:rsid w:val="00E12F0A"/>
    <w:rsid w:val="00E12F43"/>
    <w:rsid w:val="00E13357"/>
    <w:rsid w:val="00E13ED2"/>
    <w:rsid w:val="00E14132"/>
    <w:rsid w:val="00E14A2D"/>
    <w:rsid w:val="00E15278"/>
    <w:rsid w:val="00E15345"/>
    <w:rsid w:val="00E15770"/>
    <w:rsid w:val="00E1581C"/>
    <w:rsid w:val="00E15F47"/>
    <w:rsid w:val="00E16353"/>
    <w:rsid w:val="00E1693D"/>
    <w:rsid w:val="00E16A5A"/>
    <w:rsid w:val="00E16D36"/>
    <w:rsid w:val="00E16FE5"/>
    <w:rsid w:val="00E17D2A"/>
    <w:rsid w:val="00E203B7"/>
    <w:rsid w:val="00E20632"/>
    <w:rsid w:val="00E208BE"/>
    <w:rsid w:val="00E20BE5"/>
    <w:rsid w:val="00E20D5E"/>
    <w:rsid w:val="00E20F4E"/>
    <w:rsid w:val="00E2144F"/>
    <w:rsid w:val="00E2153E"/>
    <w:rsid w:val="00E215F1"/>
    <w:rsid w:val="00E2345B"/>
    <w:rsid w:val="00E2387C"/>
    <w:rsid w:val="00E238D0"/>
    <w:rsid w:val="00E24251"/>
    <w:rsid w:val="00E246E9"/>
    <w:rsid w:val="00E24A0F"/>
    <w:rsid w:val="00E24E9F"/>
    <w:rsid w:val="00E25E5A"/>
    <w:rsid w:val="00E261BF"/>
    <w:rsid w:val="00E2685B"/>
    <w:rsid w:val="00E26987"/>
    <w:rsid w:val="00E26B36"/>
    <w:rsid w:val="00E26DD6"/>
    <w:rsid w:val="00E26E2C"/>
    <w:rsid w:val="00E2707B"/>
    <w:rsid w:val="00E2749F"/>
    <w:rsid w:val="00E27601"/>
    <w:rsid w:val="00E27645"/>
    <w:rsid w:val="00E30031"/>
    <w:rsid w:val="00E304F8"/>
    <w:rsid w:val="00E30702"/>
    <w:rsid w:val="00E3078D"/>
    <w:rsid w:val="00E3173F"/>
    <w:rsid w:val="00E31C45"/>
    <w:rsid w:val="00E31ED9"/>
    <w:rsid w:val="00E322C8"/>
    <w:rsid w:val="00E325E4"/>
    <w:rsid w:val="00E32727"/>
    <w:rsid w:val="00E32E4C"/>
    <w:rsid w:val="00E3307E"/>
    <w:rsid w:val="00E335D0"/>
    <w:rsid w:val="00E33BB0"/>
    <w:rsid w:val="00E33F91"/>
    <w:rsid w:val="00E343B2"/>
    <w:rsid w:val="00E346DF"/>
    <w:rsid w:val="00E35012"/>
    <w:rsid w:val="00E351EA"/>
    <w:rsid w:val="00E35607"/>
    <w:rsid w:val="00E367E4"/>
    <w:rsid w:val="00E36901"/>
    <w:rsid w:val="00E369CC"/>
    <w:rsid w:val="00E36C0B"/>
    <w:rsid w:val="00E36E4A"/>
    <w:rsid w:val="00E37A29"/>
    <w:rsid w:val="00E4018F"/>
    <w:rsid w:val="00E402D6"/>
    <w:rsid w:val="00E4080F"/>
    <w:rsid w:val="00E408BF"/>
    <w:rsid w:val="00E409D7"/>
    <w:rsid w:val="00E40BCB"/>
    <w:rsid w:val="00E40CAD"/>
    <w:rsid w:val="00E40D08"/>
    <w:rsid w:val="00E411E8"/>
    <w:rsid w:val="00E4138F"/>
    <w:rsid w:val="00E41893"/>
    <w:rsid w:val="00E418A4"/>
    <w:rsid w:val="00E41DB1"/>
    <w:rsid w:val="00E42018"/>
    <w:rsid w:val="00E42245"/>
    <w:rsid w:val="00E42CF2"/>
    <w:rsid w:val="00E43329"/>
    <w:rsid w:val="00E43391"/>
    <w:rsid w:val="00E4362C"/>
    <w:rsid w:val="00E438A6"/>
    <w:rsid w:val="00E43EF7"/>
    <w:rsid w:val="00E43FA9"/>
    <w:rsid w:val="00E44075"/>
    <w:rsid w:val="00E4437D"/>
    <w:rsid w:val="00E4446A"/>
    <w:rsid w:val="00E44579"/>
    <w:rsid w:val="00E451D7"/>
    <w:rsid w:val="00E452AC"/>
    <w:rsid w:val="00E4544B"/>
    <w:rsid w:val="00E457EB"/>
    <w:rsid w:val="00E4597D"/>
    <w:rsid w:val="00E45EBE"/>
    <w:rsid w:val="00E463A2"/>
    <w:rsid w:val="00E4650F"/>
    <w:rsid w:val="00E46555"/>
    <w:rsid w:val="00E46EC1"/>
    <w:rsid w:val="00E47325"/>
    <w:rsid w:val="00E4794F"/>
    <w:rsid w:val="00E47D3F"/>
    <w:rsid w:val="00E47DA3"/>
    <w:rsid w:val="00E47FA6"/>
    <w:rsid w:val="00E5062B"/>
    <w:rsid w:val="00E5066E"/>
    <w:rsid w:val="00E50CBB"/>
    <w:rsid w:val="00E50D53"/>
    <w:rsid w:val="00E51A36"/>
    <w:rsid w:val="00E51A61"/>
    <w:rsid w:val="00E51CC1"/>
    <w:rsid w:val="00E520D3"/>
    <w:rsid w:val="00E52385"/>
    <w:rsid w:val="00E529B5"/>
    <w:rsid w:val="00E52FC8"/>
    <w:rsid w:val="00E5378B"/>
    <w:rsid w:val="00E53CD7"/>
    <w:rsid w:val="00E541AD"/>
    <w:rsid w:val="00E54354"/>
    <w:rsid w:val="00E54BED"/>
    <w:rsid w:val="00E5522B"/>
    <w:rsid w:val="00E556F9"/>
    <w:rsid w:val="00E55844"/>
    <w:rsid w:val="00E55FD5"/>
    <w:rsid w:val="00E56330"/>
    <w:rsid w:val="00E563B1"/>
    <w:rsid w:val="00E56DC3"/>
    <w:rsid w:val="00E56EA4"/>
    <w:rsid w:val="00E570B0"/>
    <w:rsid w:val="00E571B1"/>
    <w:rsid w:val="00E5770B"/>
    <w:rsid w:val="00E57D2F"/>
    <w:rsid w:val="00E6023E"/>
    <w:rsid w:val="00E602E5"/>
    <w:rsid w:val="00E6036E"/>
    <w:rsid w:val="00E603AF"/>
    <w:rsid w:val="00E60991"/>
    <w:rsid w:val="00E60C38"/>
    <w:rsid w:val="00E60C4A"/>
    <w:rsid w:val="00E61336"/>
    <w:rsid w:val="00E61727"/>
    <w:rsid w:val="00E61F88"/>
    <w:rsid w:val="00E626B9"/>
    <w:rsid w:val="00E62730"/>
    <w:rsid w:val="00E6284F"/>
    <w:rsid w:val="00E62B8B"/>
    <w:rsid w:val="00E630B8"/>
    <w:rsid w:val="00E63396"/>
    <w:rsid w:val="00E6360A"/>
    <w:rsid w:val="00E636D4"/>
    <w:rsid w:val="00E637AB"/>
    <w:rsid w:val="00E63D29"/>
    <w:rsid w:val="00E64355"/>
    <w:rsid w:val="00E64400"/>
    <w:rsid w:val="00E64567"/>
    <w:rsid w:val="00E645EF"/>
    <w:rsid w:val="00E64615"/>
    <w:rsid w:val="00E6498A"/>
    <w:rsid w:val="00E64A18"/>
    <w:rsid w:val="00E64BB0"/>
    <w:rsid w:val="00E65438"/>
    <w:rsid w:val="00E65979"/>
    <w:rsid w:val="00E65A02"/>
    <w:rsid w:val="00E65B71"/>
    <w:rsid w:val="00E66176"/>
    <w:rsid w:val="00E66452"/>
    <w:rsid w:val="00E66ADA"/>
    <w:rsid w:val="00E674C1"/>
    <w:rsid w:val="00E6750B"/>
    <w:rsid w:val="00E679EF"/>
    <w:rsid w:val="00E7030D"/>
    <w:rsid w:val="00E70748"/>
    <w:rsid w:val="00E707FE"/>
    <w:rsid w:val="00E70E2D"/>
    <w:rsid w:val="00E70FF1"/>
    <w:rsid w:val="00E7125D"/>
    <w:rsid w:val="00E71723"/>
    <w:rsid w:val="00E71926"/>
    <w:rsid w:val="00E71AAB"/>
    <w:rsid w:val="00E71BB4"/>
    <w:rsid w:val="00E7221E"/>
    <w:rsid w:val="00E722BC"/>
    <w:rsid w:val="00E722C6"/>
    <w:rsid w:val="00E72A2C"/>
    <w:rsid w:val="00E72B09"/>
    <w:rsid w:val="00E72BC5"/>
    <w:rsid w:val="00E72DB8"/>
    <w:rsid w:val="00E7309D"/>
    <w:rsid w:val="00E734CB"/>
    <w:rsid w:val="00E735F2"/>
    <w:rsid w:val="00E73615"/>
    <w:rsid w:val="00E73841"/>
    <w:rsid w:val="00E73976"/>
    <w:rsid w:val="00E742CD"/>
    <w:rsid w:val="00E74FB6"/>
    <w:rsid w:val="00E75356"/>
    <w:rsid w:val="00E7537E"/>
    <w:rsid w:val="00E754BB"/>
    <w:rsid w:val="00E75896"/>
    <w:rsid w:val="00E75DAE"/>
    <w:rsid w:val="00E75F59"/>
    <w:rsid w:val="00E760DB"/>
    <w:rsid w:val="00E76429"/>
    <w:rsid w:val="00E766E3"/>
    <w:rsid w:val="00E76A87"/>
    <w:rsid w:val="00E76FCF"/>
    <w:rsid w:val="00E771F5"/>
    <w:rsid w:val="00E7793F"/>
    <w:rsid w:val="00E77E4B"/>
    <w:rsid w:val="00E80394"/>
    <w:rsid w:val="00E803FE"/>
    <w:rsid w:val="00E806C3"/>
    <w:rsid w:val="00E80C95"/>
    <w:rsid w:val="00E80CC0"/>
    <w:rsid w:val="00E81BB1"/>
    <w:rsid w:val="00E81C2E"/>
    <w:rsid w:val="00E81D02"/>
    <w:rsid w:val="00E82145"/>
    <w:rsid w:val="00E8273A"/>
    <w:rsid w:val="00E82A0E"/>
    <w:rsid w:val="00E82DBE"/>
    <w:rsid w:val="00E82EBA"/>
    <w:rsid w:val="00E82FCA"/>
    <w:rsid w:val="00E83232"/>
    <w:rsid w:val="00E833EC"/>
    <w:rsid w:val="00E8356B"/>
    <w:rsid w:val="00E83CF9"/>
    <w:rsid w:val="00E8417B"/>
    <w:rsid w:val="00E846B8"/>
    <w:rsid w:val="00E84D1C"/>
    <w:rsid w:val="00E84F38"/>
    <w:rsid w:val="00E852DD"/>
    <w:rsid w:val="00E8549B"/>
    <w:rsid w:val="00E859AB"/>
    <w:rsid w:val="00E85E42"/>
    <w:rsid w:val="00E8606E"/>
    <w:rsid w:val="00E86381"/>
    <w:rsid w:val="00E863CE"/>
    <w:rsid w:val="00E86515"/>
    <w:rsid w:val="00E87855"/>
    <w:rsid w:val="00E878EC"/>
    <w:rsid w:val="00E87C3E"/>
    <w:rsid w:val="00E87C51"/>
    <w:rsid w:val="00E87D08"/>
    <w:rsid w:val="00E87F1E"/>
    <w:rsid w:val="00E90436"/>
    <w:rsid w:val="00E908CF"/>
    <w:rsid w:val="00E90A69"/>
    <w:rsid w:val="00E91231"/>
    <w:rsid w:val="00E9138E"/>
    <w:rsid w:val="00E9159C"/>
    <w:rsid w:val="00E91649"/>
    <w:rsid w:val="00E91C5B"/>
    <w:rsid w:val="00E92ADF"/>
    <w:rsid w:val="00E933AC"/>
    <w:rsid w:val="00E9497A"/>
    <w:rsid w:val="00E949D3"/>
    <w:rsid w:val="00E94B22"/>
    <w:rsid w:val="00E94D6A"/>
    <w:rsid w:val="00E94DF0"/>
    <w:rsid w:val="00E95199"/>
    <w:rsid w:val="00E953A5"/>
    <w:rsid w:val="00E95466"/>
    <w:rsid w:val="00E957A2"/>
    <w:rsid w:val="00E9584C"/>
    <w:rsid w:val="00E958F1"/>
    <w:rsid w:val="00E959E8"/>
    <w:rsid w:val="00E96455"/>
    <w:rsid w:val="00E965BC"/>
    <w:rsid w:val="00E965ED"/>
    <w:rsid w:val="00E96634"/>
    <w:rsid w:val="00E96855"/>
    <w:rsid w:val="00E975A4"/>
    <w:rsid w:val="00EA0CC4"/>
    <w:rsid w:val="00EA13BF"/>
    <w:rsid w:val="00EA13FD"/>
    <w:rsid w:val="00EA1656"/>
    <w:rsid w:val="00EA1BBB"/>
    <w:rsid w:val="00EA2380"/>
    <w:rsid w:val="00EA2C30"/>
    <w:rsid w:val="00EA2CB7"/>
    <w:rsid w:val="00EA2DD9"/>
    <w:rsid w:val="00EA3435"/>
    <w:rsid w:val="00EA43FC"/>
    <w:rsid w:val="00EA4E49"/>
    <w:rsid w:val="00EA51C2"/>
    <w:rsid w:val="00EA5582"/>
    <w:rsid w:val="00EA5A2A"/>
    <w:rsid w:val="00EA60EC"/>
    <w:rsid w:val="00EA6374"/>
    <w:rsid w:val="00EA669D"/>
    <w:rsid w:val="00EA6C55"/>
    <w:rsid w:val="00EA7446"/>
    <w:rsid w:val="00EB0679"/>
    <w:rsid w:val="00EB06B1"/>
    <w:rsid w:val="00EB06DD"/>
    <w:rsid w:val="00EB0959"/>
    <w:rsid w:val="00EB0B01"/>
    <w:rsid w:val="00EB0CE3"/>
    <w:rsid w:val="00EB15BE"/>
    <w:rsid w:val="00EB15E4"/>
    <w:rsid w:val="00EB1947"/>
    <w:rsid w:val="00EB1964"/>
    <w:rsid w:val="00EB1DD4"/>
    <w:rsid w:val="00EB2719"/>
    <w:rsid w:val="00EB2801"/>
    <w:rsid w:val="00EB312F"/>
    <w:rsid w:val="00EB33B1"/>
    <w:rsid w:val="00EB35D8"/>
    <w:rsid w:val="00EB367F"/>
    <w:rsid w:val="00EB3716"/>
    <w:rsid w:val="00EB378C"/>
    <w:rsid w:val="00EB3B93"/>
    <w:rsid w:val="00EB3C93"/>
    <w:rsid w:val="00EB3E6F"/>
    <w:rsid w:val="00EB3EF4"/>
    <w:rsid w:val="00EB4056"/>
    <w:rsid w:val="00EB43BA"/>
    <w:rsid w:val="00EB4894"/>
    <w:rsid w:val="00EB4FF7"/>
    <w:rsid w:val="00EB503F"/>
    <w:rsid w:val="00EB50FD"/>
    <w:rsid w:val="00EB575F"/>
    <w:rsid w:val="00EB59A8"/>
    <w:rsid w:val="00EB5AA6"/>
    <w:rsid w:val="00EB693F"/>
    <w:rsid w:val="00EB695C"/>
    <w:rsid w:val="00EB6C89"/>
    <w:rsid w:val="00EB6FA6"/>
    <w:rsid w:val="00EB7233"/>
    <w:rsid w:val="00EB7250"/>
    <w:rsid w:val="00EB7436"/>
    <w:rsid w:val="00EB7D3A"/>
    <w:rsid w:val="00EC005A"/>
    <w:rsid w:val="00EC0167"/>
    <w:rsid w:val="00EC0666"/>
    <w:rsid w:val="00EC0B95"/>
    <w:rsid w:val="00EC0CF2"/>
    <w:rsid w:val="00EC12D6"/>
    <w:rsid w:val="00EC20C9"/>
    <w:rsid w:val="00EC2166"/>
    <w:rsid w:val="00EC269F"/>
    <w:rsid w:val="00EC272E"/>
    <w:rsid w:val="00EC273E"/>
    <w:rsid w:val="00EC475D"/>
    <w:rsid w:val="00EC4876"/>
    <w:rsid w:val="00EC4ED4"/>
    <w:rsid w:val="00EC5042"/>
    <w:rsid w:val="00EC50B7"/>
    <w:rsid w:val="00EC5607"/>
    <w:rsid w:val="00EC5899"/>
    <w:rsid w:val="00EC59A2"/>
    <w:rsid w:val="00EC60A2"/>
    <w:rsid w:val="00EC633F"/>
    <w:rsid w:val="00EC6D09"/>
    <w:rsid w:val="00EC70D3"/>
    <w:rsid w:val="00EC739D"/>
    <w:rsid w:val="00EC79AA"/>
    <w:rsid w:val="00EC7DD8"/>
    <w:rsid w:val="00EC7F35"/>
    <w:rsid w:val="00EC7FA3"/>
    <w:rsid w:val="00ED017D"/>
    <w:rsid w:val="00ED02AB"/>
    <w:rsid w:val="00ED02E6"/>
    <w:rsid w:val="00ED0328"/>
    <w:rsid w:val="00ED04FB"/>
    <w:rsid w:val="00ED0516"/>
    <w:rsid w:val="00ED0619"/>
    <w:rsid w:val="00ED163A"/>
    <w:rsid w:val="00ED17E7"/>
    <w:rsid w:val="00ED1893"/>
    <w:rsid w:val="00ED1D71"/>
    <w:rsid w:val="00ED2544"/>
    <w:rsid w:val="00ED2B7E"/>
    <w:rsid w:val="00ED36E6"/>
    <w:rsid w:val="00ED3705"/>
    <w:rsid w:val="00ED3B86"/>
    <w:rsid w:val="00ED417C"/>
    <w:rsid w:val="00ED4351"/>
    <w:rsid w:val="00ED47D4"/>
    <w:rsid w:val="00ED4955"/>
    <w:rsid w:val="00ED4971"/>
    <w:rsid w:val="00ED4AD7"/>
    <w:rsid w:val="00ED4C35"/>
    <w:rsid w:val="00ED5075"/>
    <w:rsid w:val="00ED5115"/>
    <w:rsid w:val="00ED5560"/>
    <w:rsid w:val="00ED56CC"/>
    <w:rsid w:val="00ED585E"/>
    <w:rsid w:val="00ED5E81"/>
    <w:rsid w:val="00ED6083"/>
    <w:rsid w:val="00ED613D"/>
    <w:rsid w:val="00ED6C45"/>
    <w:rsid w:val="00ED6EE6"/>
    <w:rsid w:val="00ED7245"/>
    <w:rsid w:val="00ED726E"/>
    <w:rsid w:val="00ED77DC"/>
    <w:rsid w:val="00ED7BB2"/>
    <w:rsid w:val="00ED7E8C"/>
    <w:rsid w:val="00EE0871"/>
    <w:rsid w:val="00EE0D6E"/>
    <w:rsid w:val="00EE0E5A"/>
    <w:rsid w:val="00EE1058"/>
    <w:rsid w:val="00EE1251"/>
    <w:rsid w:val="00EE130E"/>
    <w:rsid w:val="00EE148B"/>
    <w:rsid w:val="00EE16D8"/>
    <w:rsid w:val="00EE17BB"/>
    <w:rsid w:val="00EE19E7"/>
    <w:rsid w:val="00EE1B54"/>
    <w:rsid w:val="00EE1E16"/>
    <w:rsid w:val="00EE2153"/>
    <w:rsid w:val="00EE23B4"/>
    <w:rsid w:val="00EE2930"/>
    <w:rsid w:val="00EE3150"/>
    <w:rsid w:val="00EE3248"/>
    <w:rsid w:val="00EE3FDA"/>
    <w:rsid w:val="00EE4165"/>
    <w:rsid w:val="00EE44B0"/>
    <w:rsid w:val="00EE4BF8"/>
    <w:rsid w:val="00EE4D62"/>
    <w:rsid w:val="00EE5081"/>
    <w:rsid w:val="00EE5325"/>
    <w:rsid w:val="00EE539B"/>
    <w:rsid w:val="00EE5582"/>
    <w:rsid w:val="00EE564E"/>
    <w:rsid w:val="00EE5771"/>
    <w:rsid w:val="00EE5A01"/>
    <w:rsid w:val="00EE5C21"/>
    <w:rsid w:val="00EE602C"/>
    <w:rsid w:val="00EE60A5"/>
    <w:rsid w:val="00EE62E3"/>
    <w:rsid w:val="00EE6483"/>
    <w:rsid w:val="00EE687D"/>
    <w:rsid w:val="00EE6A95"/>
    <w:rsid w:val="00EE6C36"/>
    <w:rsid w:val="00EE6C44"/>
    <w:rsid w:val="00EE7646"/>
    <w:rsid w:val="00EE7AC0"/>
    <w:rsid w:val="00EE7DF4"/>
    <w:rsid w:val="00EF0218"/>
    <w:rsid w:val="00EF03DA"/>
    <w:rsid w:val="00EF0C96"/>
    <w:rsid w:val="00EF0D7F"/>
    <w:rsid w:val="00EF1AEC"/>
    <w:rsid w:val="00EF1B43"/>
    <w:rsid w:val="00EF1BB0"/>
    <w:rsid w:val="00EF1C74"/>
    <w:rsid w:val="00EF29F1"/>
    <w:rsid w:val="00EF2A1B"/>
    <w:rsid w:val="00EF2B0C"/>
    <w:rsid w:val="00EF2D67"/>
    <w:rsid w:val="00EF307C"/>
    <w:rsid w:val="00EF312E"/>
    <w:rsid w:val="00EF33CE"/>
    <w:rsid w:val="00EF3511"/>
    <w:rsid w:val="00EF35D4"/>
    <w:rsid w:val="00EF36DF"/>
    <w:rsid w:val="00EF38BF"/>
    <w:rsid w:val="00EF39A3"/>
    <w:rsid w:val="00EF3F7B"/>
    <w:rsid w:val="00EF4515"/>
    <w:rsid w:val="00EF4594"/>
    <w:rsid w:val="00EF4690"/>
    <w:rsid w:val="00EF476C"/>
    <w:rsid w:val="00EF4921"/>
    <w:rsid w:val="00EF4A7B"/>
    <w:rsid w:val="00EF4B8D"/>
    <w:rsid w:val="00EF4D37"/>
    <w:rsid w:val="00EF5501"/>
    <w:rsid w:val="00EF56FD"/>
    <w:rsid w:val="00EF5AEE"/>
    <w:rsid w:val="00EF5C07"/>
    <w:rsid w:val="00EF5EC7"/>
    <w:rsid w:val="00EF61DB"/>
    <w:rsid w:val="00EF695C"/>
    <w:rsid w:val="00EF6D9D"/>
    <w:rsid w:val="00EF732C"/>
    <w:rsid w:val="00EF7677"/>
    <w:rsid w:val="00EF7DCB"/>
    <w:rsid w:val="00EF7F83"/>
    <w:rsid w:val="00F0014F"/>
    <w:rsid w:val="00F0016F"/>
    <w:rsid w:val="00F006A7"/>
    <w:rsid w:val="00F006E4"/>
    <w:rsid w:val="00F00776"/>
    <w:rsid w:val="00F00B43"/>
    <w:rsid w:val="00F00C1D"/>
    <w:rsid w:val="00F00D0D"/>
    <w:rsid w:val="00F00EC4"/>
    <w:rsid w:val="00F00F38"/>
    <w:rsid w:val="00F00FBC"/>
    <w:rsid w:val="00F0132F"/>
    <w:rsid w:val="00F01512"/>
    <w:rsid w:val="00F01771"/>
    <w:rsid w:val="00F01A6C"/>
    <w:rsid w:val="00F01CD3"/>
    <w:rsid w:val="00F01EB6"/>
    <w:rsid w:val="00F0232F"/>
    <w:rsid w:val="00F023C6"/>
    <w:rsid w:val="00F02F7E"/>
    <w:rsid w:val="00F0318D"/>
    <w:rsid w:val="00F0321E"/>
    <w:rsid w:val="00F0361C"/>
    <w:rsid w:val="00F03A7B"/>
    <w:rsid w:val="00F03B86"/>
    <w:rsid w:val="00F03C1E"/>
    <w:rsid w:val="00F03D9C"/>
    <w:rsid w:val="00F03DD6"/>
    <w:rsid w:val="00F04214"/>
    <w:rsid w:val="00F043EF"/>
    <w:rsid w:val="00F05678"/>
    <w:rsid w:val="00F0567D"/>
    <w:rsid w:val="00F05BD3"/>
    <w:rsid w:val="00F06022"/>
    <w:rsid w:val="00F06190"/>
    <w:rsid w:val="00F062D7"/>
    <w:rsid w:val="00F06745"/>
    <w:rsid w:val="00F06B3F"/>
    <w:rsid w:val="00F06C4F"/>
    <w:rsid w:val="00F0719A"/>
    <w:rsid w:val="00F072AE"/>
    <w:rsid w:val="00F0730A"/>
    <w:rsid w:val="00F073EA"/>
    <w:rsid w:val="00F07896"/>
    <w:rsid w:val="00F07AC6"/>
    <w:rsid w:val="00F07BA8"/>
    <w:rsid w:val="00F101AC"/>
    <w:rsid w:val="00F1081A"/>
    <w:rsid w:val="00F10C55"/>
    <w:rsid w:val="00F110FA"/>
    <w:rsid w:val="00F11303"/>
    <w:rsid w:val="00F115EC"/>
    <w:rsid w:val="00F12691"/>
    <w:rsid w:val="00F13248"/>
    <w:rsid w:val="00F132A4"/>
    <w:rsid w:val="00F1347B"/>
    <w:rsid w:val="00F13564"/>
    <w:rsid w:val="00F136DD"/>
    <w:rsid w:val="00F13A19"/>
    <w:rsid w:val="00F13BB3"/>
    <w:rsid w:val="00F13D7E"/>
    <w:rsid w:val="00F14047"/>
    <w:rsid w:val="00F1490E"/>
    <w:rsid w:val="00F14AC9"/>
    <w:rsid w:val="00F152D6"/>
    <w:rsid w:val="00F1588B"/>
    <w:rsid w:val="00F159B9"/>
    <w:rsid w:val="00F15C7B"/>
    <w:rsid w:val="00F15EA4"/>
    <w:rsid w:val="00F1620C"/>
    <w:rsid w:val="00F16443"/>
    <w:rsid w:val="00F17111"/>
    <w:rsid w:val="00F1754F"/>
    <w:rsid w:val="00F1755C"/>
    <w:rsid w:val="00F175FD"/>
    <w:rsid w:val="00F17781"/>
    <w:rsid w:val="00F178BE"/>
    <w:rsid w:val="00F17E1D"/>
    <w:rsid w:val="00F17FF9"/>
    <w:rsid w:val="00F20462"/>
    <w:rsid w:val="00F2065D"/>
    <w:rsid w:val="00F21B8C"/>
    <w:rsid w:val="00F21C72"/>
    <w:rsid w:val="00F21D0B"/>
    <w:rsid w:val="00F2210D"/>
    <w:rsid w:val="00F2216F"/>
    <w:rsid w:val="00F22578"/>
    <w:rsid w:val="00F23134"/>
    <w:rsid w:val="00F238D2"/>
    <w:rsid w:val="00F23AAB"/>
    <w:rsid w:val="00F2405E"/>
    <w:rsid w:val="00F2411C"/>
    <w:rsid w:val="00F24281"/>
    <w:rsid w:val="00F2450A"/>
    <w:rsid w:val="00F2465C"/>
    <w:rsid w:val="00F249D2"/>
    <w:rsid w:val="00F24C32"/>
    <w:rsid w:val="00F25109"/>
    <w:rsid w:val="00F25560"/>
    <w:rsid w:val="00F2581F"/>
    <w:rsid w:val="00F263D9"/>
    <w:rsid w:val="00F26475"/>
    <w:rsid w:val="00F26721"/>
    <w:rsid w:val="00F26865"/>
    <w:rsid w:val="00F26967"/>
    <w:rsid w:val="00F26D11"/>
    <w:rsid w:val="00F27156"/>
    <w:rsid w:val="00F2758F"/>
    <w:rsid w:val="00F279B8"/>
    <w:rsid w:val="00F27B13"/>
    <w:rsid w:val="00F3033A"/>
    <w:rsid w:val="00F3074E"/>
    <w:rsid w:val="00F30936"/>
    <w:rsid w:val="00F3115F"/>
    <w:rsid w:val="00F311BF"/>
    <w:rsid w:val="00F3175A"/>
    <w:rsid w:val="00F31CCE"/>
    <w:rsid w:val="00F31CD9"/>
    <w:rsid w:val="00F32149"/>
    <w:rsid w:val="00F3231E"/>
    <w:rsid w:val="00F32D6D"/>
    <w:rsid w:val="00F33681"/>
    <w:rsid w:val="00F3370B"/>
    <w:rsid w:val="00F33BD9"/>
    <w:rsid w:val="00F34707"/>
    <w:rsid w:val="00F34A91"/>
    <w:rsid w:val="00F34DCE"/>
    <w:rsid w:val="00F34F03"/>
    <w:rsid w:val="00F35039"/>
    <w:rsid w:val="00F35101"/>
    <w:rsid w:val="00F351DC"/>
    <w:rsid w:val="00F35BFD"/>
    <w:rsid w:val="00F35EBE"/>
    <w:rsid w:val="00F364A6"/>
    <w:rsid w:val="00F36EE2"/>
    <w:rsid w:val="00F3726A"/>
    <w:rsid w:val="00F37993"/>
    <w:rsid w:val="00F37DFB"/>
    <w:rsid w:val="00F404A2"/>
    <w:rsid w:val="00F40F05"/>
    <w:rsid w:val="00F41BA7"/>
    <w:rsid w:val="00F42613"/>
    <w:rsid w:val="00F427EB"/>
    <w:rsid w:val="00F42A7B"/>
    <w:rsid w:val="00F42B39"/>
    <w:rsid w:val="00F42C9B"/>
    <w:rsid w:val="00F43160"/>
    <w:rsid w:val="00F4323A"/>
    <w:rsid w:val="00F4355A"/>
    <w:rsid w:val="00F43817"/>
    <w:rsid w:val="00F43A48"/>
    <w:rsid w:val="00F43A75"/>
    <w:rsid w:val="00F43C2F"/>
    <w:rsid w:val="00F443C7"/>
    <w:rsid w:val="00F4444E"/>
    <w:rsid w:val="00F44657"/>
    <w:rsid w:val="00F44B7B"/>
    <w:rsid w:val="00F455F3"/>
    <w:rsid w:val="00F45CE7"/>
    <w:rsid w:val="00F45E2C"/>
    <w:rsid w:val="00F465B1"/>
    <w:rsid w:val="00F46756"/>
    <w:rsid w:val="00F46788"/>
    <w:rsid w:val="00F46A12"/>
    <w:rsid w:val="00F46A5E"/>
    <w:rsid w:val="00F46E18"/>
    <w:rsid w:val="00F47145"/>
    <w:rsid w:val="00F474C4"/>
    <w:rsid w:val="00F4755B"/>
    <w:rsid w:val="00F47572"/>
    <w:rsid w:val="00F477DE"/>
    <w:rsid w:val="00F47A07"/>
    <w:rsid w:val="00F47E33"/>
    <w:rsid w:val="00F502B4"/>
    <w:rsid w:val="00F50475"/>
    <w:rsid w:val="00F50A4F"/>
    <w:rsid w:val="00F51096"/>
    <w:rsid w:val="00F51413"/>
    <w:rsid w:val="00F515C9"/>
    <w:rsid w:val="00F51781"/>
    <w:rsid w:val="00F517B7"/>
    <w:rsid w:val="00F517FC"/>
    <w:rsid w:val="00F51994"/>
    <w:rsid w:val="00F51EE6"/>
    <w:rsid w:val="00F5247C"/>
    <w:rsid w:val="00F525CC"/>
    <w:rsid w:val="00F52858"/>
    <w:rsid w:val="00F52EC4"/>
    <w:rsid w:val="00F5331A"/>
    <w:rsid w:val="00F5354A"/>
    <w:rsid w:val="00F53720"/>
    <w:rsid w:val="00F53740"/>
    <w:rsid w:val="00F53817"/>
    <w:rsid w:val="00F538D8"/>
    <w:rsid w:val="00F53E5F"/>
    <w:rsid w:val="00F5406D"/>
    <w:rsid w:val="00F540C7"/>
    <w:rsid w:val="00F54129"/>
    <w:rsid w:val="00F5419A"/>
    <w:rsid w:val="00F545E0"/>
    <w:rsid w:val="00F545EE"/>
    <w:rsid w:val="00F546FD"/>
    <w:rsid w:val="00F54E1E"/>
    <w:rsid w:val="00F5501A"/>
    <w:rsid w:val="00F55251"/>
    <w:rsid w:val="00F553C5"/>
    <w:rsid w:val="00F5549C"/>
    <w:rsid w:val="00F55B06"/>
    <w:rsid w:val="00F55CAB"/>
    <w:rsid w:val="00F55DA0"/>
    <w:rsid w:val="00F55DF1"/>
    <w:rsid w:val="00F56007"/>
    <w:rsid w:val="00F564B1"/>
    <w:rsid w:val="00F56502"/>
    <w:rsid w:val="00F566AB"/>
    <w:rsid w:val="00F568AA"/>
    <w:rsid w:val="00F574D8"/>
    <w:rsid w:val="00F575E8"/>
    <w:rsid w:val="00F57956"/>
    <w:rsid w:val="00F57CEB"/>
    <w:rsid w:val="00F57E29"/>
    <w:rsid w:val="00F60330"/>
    <w:rsid w:val="00F6039C"/>
    <w:rsid w:val="00F609A0"/>
    <w:rsid w:val="00F60E04"/>
    <w:rsid w:val="00F61870"/>
    <w:rsid w:val="00F61893"/>
    <w:rsid w:val="00F61E8B"/>
    <w:rsid w:val="00F6288D"/>
    <w:rsid w:val="00F62E6F"/>
    <w:rsid w:val="00F630AF"/>
    <w:rsid w:val="00F632B5"/>
    <w:rsid w:val="00F633CD"/>
    <w:rsid w:val="00F63680"/>
    <w:rsid w:val="00F63A3C"/>
    <w:rsid w:val="00F63D77"/>
    <w:rsid w:val="00F63F6B"/>
    <w:rsid w:val="00F63FDF"/>
    <w:rsid w:val="00F64096"/>
    <w:rsid w:val="00F64964"/>
    <w:rsid w:val="00F64AEE"/>
    <w:rsid w:val="00F64D2F"/>
    <w:rsid w:val="00F6509A"/>
    <w:rsid w:val="00F6608E"/>
    <w:rsid w:val="00F6620B"/>
    <w:rsid w:val="00F6625F"/>
    <w:rsid w:val="00F66631"/>
    <w:rsid w:val="00F66722"/>
    <w:rsid w:val="00F66B82"/>
    <w:rsid w:val="00F66C8A"/>
    <w:rsid w:val="00F676F9"/>
    <w:rsid w:val="00F6775D"/>
    <w:rsid w:val="00F677EA"/>
    <w:rsid w:val="00F679DE"/>
    <w:rsid w:val="00F67D52"/>
    <w:rsid w:val="00F67DD2"/>
    <w:rsid w:val="00F70308"/>
    <w:rsid w:val="00F703BD"/>
    <w:rsid w:val="00F705EC"/>
    <w:rsid w:val="00F70602"/>
    <w:rsid w:val="00F70669"/>
    <w:rsid w:val="00F70F5B"/>
    <w:rsid w:val="00F7165F"/>
    <w:rsid w:val="00F71A12"/>
    <w:rsid w:val="00F71B1C"/>
    <w:rsid w:val="00F71B30"/>
    <w:rsid w:val="00F721F0"/>
    <w:rsid w:val="00F72482"/>
    <w:rsid w:val="00F72977"/>
    <w:rsid w:val="00F73476"/>
    <w:rsid w:val="00F7348B"/>
    <w:rsid w:val="00F73E97"/>
    <w:rsid w:val="00F73FA8"/>
    <w:rsid w:val="00F740C0"/>
    <w:rsid w:val="00F74539"/>
    <w:rsid w:val="00F74863"/>
    <w:rsid w:val="00F748AA"/>
    <w:rsid w:val="00F74E51"/>
    <w:rsid w:val="00F74F33"/>
    <w:rsid w:val="00F76162"/>
    <w:rsid w:val="00F761D4"/>
    <w:rsid w:val="00F764D0"/>
    <w:rsid w:val="00F764E9"/>
    <w:rsid w:val="00F76590"/>
    <w:rsid w:val="00F7665B"/>
    <w:rsid w:val="00F7688B"/>
    <w:rsid w:val="00F76C10"/>
    <w:rsid w:val="00F77977"/>
    <w:rsid w:val="00F77A4A"/>
    <w:rsid w:val="00F77A59"/>
    <w:rsid w:val="00F77DB5"/>
    <w:rsid w:val="00F80764"/>
    <w:rsid w:val="00F807EB"/>
    <w:rsid w:val="00F808CE"/>
    <w:rsid w:val="00F80A72"/>
    <w:rsid w:val="00F810C3"/>
    <w:rsid w:val="00F81370"/>
    <w:rsid w:val="00F816C4"/>
    <w:rsid w:val="00F81A28"/>
    <w:rsid w:val="00F81E5A"/>
    <w:rsid w:val="00F81FDD"/>
    <w:rsid w:val="00F821E8"/>
    <w:rsid w:val="00F82A66"/>
    <w:rsid w:val="00F82DD4"/>
    <w:rsid w:val="00F838D2"/>
    <w:rsid w:val="00F83BCA"/>
    <w:rsid w:val="00F83BCC"/>
    <w:rsid w:val="00F84160"/>
    <w:rsid w:val="00F844F2"/>
    <w:rsid w:val="00F84799"/>
    <w:rsid w:val="00F84C50"/>
    <w:rsid w:val="00F85925"/>
    <w:rsid w:val="00F85B3C"/>
    <w:rsid w:val="00F85F3E"/>
    <w:rsid w:val="00F865DF"/>
    <w:rsid w:val="00F86F69"/>
    <w:rsid w:val="00F871F7"/>
    <w:rsid w:val="00F8758B"/>
    <w:rsid w:val="00F87700"/>
    <w:rsid w:val="00F87947"/>
    <w:rsid w:val="00F87F06"/>
    <w:rsid w:val="00F900C1"/>
    <w:rsid w:val="00F9096C"/>
    <w:rsid w:val="00F90AC7"/>
    <w:rsid w:val="00F90CEE"/>
    <w:rsid w:val="00F9153D"/>
    <w:rsid w:val="00F91ADB"/>
    <w:rsid w:val="00F92078"/>
    <w:rsid w:val="00F9219F"/>
    <w:rsid w:val="00F924AD"/>
    <w:rsid w:val="00F92F39"/>
    <w:rsid w:val="00F93032"/>
    <w:rsid w:val="00F930BC"/>
    <w:rsid w:val="00F934ED"/>
    <w:rsid w:val="00F93A88"/>
    <w:rsid w:val="00F93D58"/>
    <w:rsid w:val="00F942DB"/>
    <w:rsid w:val="00F94560"/>
    <w:rsid w:val="00F946C9"/>
    <w:rsid w:val="00F94C1F"/>
    <w:rsid w:val="00F94FCA"/>
    <w:rsid w:val="00F9509C"/>
    <w:rsid w:val="00F95449"/>
    <w:rsid w:val="00F9562F"/>
    <w:rsid w:val="00F956D6"/>
    <w:rsid w:val="00F956F9"/>
    <w:rsid w:val="00F957B7"/>
    <w:rsid w:val="00F95A96"/>
    <w:rsid w:val="00F95B1C"/>
    <w:rsid w:val="00F960CD"/>
    <w:rsid w:val="00F96281"/>
    <w:rsid w:val="00F9680A"/>
    <w:rsid w:val="00F96869"/>
    <w:rsid w:val="00F9686B"/>
    <w:rsid w:val="00F96A38"/>
    <w:rsid w:val="00F96B17"/>
    <w:rsid w:val="00F96CBA"/>
    <w:rsid w:val="00F96E18"/>
    <w:rsid w:val="00F9701E"/>
    <w:rsid w:val="00F9751F"/>
    <w:rsid w:val="00F97943"/>
    <w:rsid w:val="00F97E6C"/>
    <w:rsid w:val="00FA0351"/>
    <w:rsid w:val="00FA0F6F"/>
    <w:rsid w:val="00FA1134"/>
    <w:rsid w:val="00FA16B9"/>
    <w:rsid w:val="00FA1726"/>
    <w:rsid w:val="00FA18BC"/>
    <w:rsid w:val="00FA1980"/>
    <w:rsid w:val="00FA1D87"/>
    <w:rsid w:val="00FA284D"/>
    <w:rsid w:val="00FA296B"/>
    <w:rsid w:val="00FA2FFA"/>
    <w:rsid w:val="00FA3470"/>
    <w:rsid w:val="00FA3B3A"/>
    <w:rsid w:val="00FA42D5"/>
    <w:rsid w:val="00FA45E6"/>
    <w:rsid w:val="00FA4688"/>
    <w:rsid w:val="00FA48B7"/>
    <w:rsid w:val="00FA5060"/>
    <w:rsid w:val="00FA50F9"/>
    <w:rsid w:val="00FA5574"/>
    <w:rsid w:val="00FA5580"/>
    <w:rsid w:val="00FA558C"/>
    <w:rsid w:val="00FA5B47"/>
    <w:rsid w:val="00FA5C3E"/>
    <w:rsid w:val="00FA6138"/>
    <w:rsid w:val="00FA6649"/>
    <w:rsid w:val="00FA66B1"/>
    <w:rsid w:val="00FA6982"/>
    <w:rsid w:val="00FA6FDB"/>
    <w:rsid w:val="00FA7140"/>
    <w:rsid w:val="00FA7211"/>
    <w:rsid w:val="00FA72E3"/>
    <w:rsid w:val="00FA7CC5"/>
    <w:rsid w:val="00FA7D6D"/>
    <w:rsid w:val="00FA7E55"/>
    <w:rsid w:val="00FA7F80"/>
    <w:rsid w:val="00FB01A0"/>
    <w:rsid w:val="00FB08FC"/>
    <w:rsid w:val="00FB0D95"/>
    <w:rsid w:val="00FB23A3"/>
    <w:rsid w:val="00FB26F2"/>
    <w:rsid w:val="00FB270D"/>
    <w:rsid w:val="00FB2909"/>
    <w:rsid w:val="00FB2C62"/>
    <w:rsid w:val="00FB2F0D"/>
    <w:rsid w:val="00FB32B9"/>
    <w:rsid w:val="00FB34E1"/>
    <w:rsid w:val="00FB38F2"/>
    <w:rsid w:val="00FB3B9A"/>
    <w:rsid w:val="00FB435C"/>
    <w:rsid w:val="00FB45F6"/>
    <w:rsid w:val="00FB4B19"/>
    <w:rsid w:val="00FB4CDD"/>
    <w:rsid w:val="00FB5287"/>
    <w:rsid w:val="00FB5789"/>
    <w:rsid w:val="00FB5B35"/>
    <w:rsid w:val="00FB62AA"/>
    <w:rsid w:val="00FB6858"/>
    <w:rsid w:val="00FB6928"/>
    <w:rsid w:val="00FB6AB1"/>
    <w:rsid w:val="00FB6EB9"/>
    <w:rsid w:val="00FB6ECD"/>
    <w:rsid w:val="00FB6F2E"/>
    <w:rsid w:val="00FB6F82"/>
    <w:rsid w:val="00FB7190"/>
    <w:rsid w:val="00FB731C"/>
    <w:rsid w:val="00FB76C8"/>
    <w:rsid w:val="00FB76E5"/>
    <w:rsid w:val="00FB7A17"/>
    <w:rsid w:val="00FC030F"/>
    <w:rsid w:val="00FC092D"/>
    <w:rsid w:val="00FC0D64"/>
    <w:rsid w:val="00FC137A"/>
    <w:rsid w:val="00FC158F"/>
    <w:rsid w:val="00FC1D68"/>
    <w:rsid w:val="00FC1E65"/>
    <w:rsid w:val="00FC2119"/>
    <w:rsid w:val="00FC37C5"/>
    <w:rsid w:val="00FC3893"/>
    <w:rsid w:val="00FC3BC2"/>
    <w:rsid w:val="00FC3D1F"/>
    <w:rsid w:val="00FC426A"/>
    <w:rsid w:val="00FC4326"/>
    <w:rsid w:val="00FC4B88"/>
    <w:rsid w:val="00FC4C25"/>
    <w:rsid w:val="00FC4F30"/>
    <w:rsid w:val="00FC5426"/>
    <w:rsid w:val="00FC5AD5"/>
    <w:rsid w:val="00FC5BF2"/>
    <w:rsid w:val="00FC5D55"/>
    <w:rsid w:val="00FC5E15"/>
    <w:rsid w:val="00FC5F7A"/>
    <w:rsid w:val="00FC6103"/>
    <w:rsid w:val="00FC6371"/>
    <w:rsid w:val="00FC657E"/>
    <w:rsid w:val="00FC6872"/>
    <w:rsid w:val="00FC6B31"/>
    <w:rsid w:val="00FC6C2F"/>
    <w:rsid w:val="00FC6C40"/>
    <w:rsid w:val="00FC6D65"/>
    <w:rsid w:val="00FC736F"/>
    <w:rsid w:val="00FC7D05"/>
    <w:rsid w:val="00FC7E74"/>
    <w:rsid w:val="00FD020F"/>
    <w:rsid w:val="00FD04E9"/>
    <w:rsid w:val="00FD09EE"/>
    <w:rsid w:val="00FD0BD2"/>
    <w:rsid w:val="00FD1304"/>
    <w:rsid w:val="00FD13FA"/>
    <w:rsid w:val="00FD1421"/>
    <w:rsid w:val="00FD19EA"/>
    <w:rsid w:val="00FD1FF2"/>
    <w:rsid w:val="00FD24E5"/>
    <w:rsid w:val="00FD2986"/>
    <w:rsid w:val="00FD31E6"/>
    <w:rsid w:val="00FD3590"/>
    <w:rsid w:val="00FD41D8"/>
    <w:rsid w:val="00FD437B"/>
    <w:rsid w:val="00FD446E"/>
    <w:rsid w:val="00FD4626"/>
    <w:rsid w:val="00FD4881"/>
    <w:rsid w:val="00FD5525"/>
    <w:rsid w:val="00FD5553"/>
    <w:rsid w:val="00FD56F5"/>
    <w:rsid w:val="00FD58D9"/>
    <w:rsid w:val="00FD5B0B"/>
    <w:rsid w:val="00FD5C08"/>
    <w:rsid w:val="00FD5CF6"/>
    <w:rsid w:val="00FD60F3"/>
    <w:rsid w:val="00FD6209"/>
    <w:rsid w:val="00FD6996"/>
    <w:rsid w:val="00FD7798"/>
    <w:rsid w:val="00FD7917"/>
    <w:rsid w:val="00FD7B33"/>
    <w:rsid w:val="00FD7CC4"/>
    <w:rsid w:val="00FD7EC9"/>
    <w:rsid w:val="00FE036D"/>
    <w:rsid w:val="00FE0B2E"/>
    <w:rsid w:val="00FE14EC"/>
    <w:rsid w:val="00FE1887"/>
    <w:rsid w:val="00FE1ECC"/>
    <w:rsid w:val="00FE2122"/>
    <w:rsid w:val="00FE23B6"/>
    <w:rsid w:val="00FE29AA"/>
    <w:rsid w:val="00FE2D10"/>
    <w:rsid w:val="00FE3067"/>
    <w:rsid w:val="00FE3957"/>
    <w:rsid w:val="00FE3A5A"/>
    <w:rsid w:val="00FE3EC2"/>
    <w:rsid w:val="00FE3F6B"/>
    <w:rsid w:val="00FE4003"/>
    <w:rsid w:val="00FE4E99"/>
    <w:rsid w:val="00FE519B"/>
    <w:rsid w:val="00FE53A1"/>
    <w:rsid w:val="00FE5673"/>
    <w:rsid w:val="00FE5866"/>
    <w:rsid w:val="00FE60CA"/>
    <w:rsid w:val="00FE60D6"/>
    <w:rsid w:val="00FE692B"/>
    <w:rsid w:val="00FE6AC5"/>
    <w:rsid w:val="00FE6D55"/>
    <w:rsid w:val="00FE6E8C"/>
    <w:rsid w:val="00FE6EA1"/>
    <w:rsid w:val="00FE6F14"/>
    <w:rsid w:val="00FE7437"/>
    <w:rsid w:val="00FE799B"/>
    <w:rsid w:val="00FE7EBD"/>
    <w:rsid w:val="00FF09D0"/>
    <w:rsid w:val="00FF0A58"/>
    <w:rsid w:val="00FF0A75"/>
    <w:rsid w:val="00FF0FBF"/>
    <w:rsid w:val="00FF1241"/>
    <w:rsid w:val="00FF14E7"/>
    <w:rsid w:val="00FF1892"/>
    <w:rsid w:val="00FF1915"/>
    <w:rsid w:val="00FF198C"/>
    <w:rsid w:val="00FF1A9B"/>
    <w:rsid w:val="00FF2C6E"/>
    <w:rsid w:val="00FF2E3D"/>
    <w:rsid w:val="00FF32FB"/>
    <w:rsid w:val="00FF3986"/>
    <w:rsid w:val="00FF3A27"/>
    <w:rsid w:val="00FF3AB2"/>
    <w:rsid w:val="00FF3CB7"/>
    <w:rsid w:val="00FF3F46"/>
    <w:rsid w:val="00FF409C"/>
    <w:rsid w:val="00FF43D5"/>
    <w:rsid w:val="00FF4FEE"/>
    <w:rsid w:val="00FF52F7"/>
    <w:rsid w:val="00FF5417"/>
    <w:rsid w:val="00FF5869"/>
    <w:rsid w:val="00FF5ADC"/>
    <w:rsid w:val="00FF5B3D"/>
    <w:rsid w:val="00FF5C6B"/>
    <w:rsid w:val="00FF5CAC"/>
    <w:rsid w:val="00FF5EEB"/>
    <w:rsid w:val="00FF6186"/>
    <w:rsid w:val="00FF65BC"/>
    <w:rsid w:val="00FF6A62"/>
    <w:rsid w:val="00FF6B1B"/>
    <w:rsid w:val="00FF703D"/>
    <w:rsid w:val="00FF711A"/>
    <w:rsid w:val="00FF7128"/>
    <w:rsid w:val="00FF7144"/>
    <w:rsid w:val="00FF7151"/>
    <w:rsid w:val="00FF71DE"/>
    <w:rsid w:val="00FF7592"/>
    <w:rsid w:val="00FF770B"/>
    <w:rsid w:val="00FF78EA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23E462A"/>
  <w15:docId w15:val="{2702F643-45B5-4CEC-98EA-BE84BD5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21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F96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6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6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6A5A"/>
    <w:pPr>
      <w:tabs>
        <w:tab w:val="center" w:pos="4153"/>
        <w:tab w:val="right" w:pos="8306"/>
      </w:tabs>
    </w:pPr>
  </w:style>
  <w:style w:type="character" w:styleId="Hyperlink">
    <w:name w:val="Hyperlink"/>
    <w:rsid w:val="00C61CDA"/>
    <w:rPr>
      <w:rFonts w:ascii="Verdana" w:hAnsi="Verdana"/>
      <w:color w:val="000080"/>
      <w:sz w:val="18"/>
      <w:szCs w:val="18"/>
      <w:u w:val="single" w:color="000080"/>
    </w:rPr>
  </w:style>
  <w:style w:type="character" w:styleId="FollowedHyperlink">
    <w:name w:val="FollowedHyperlink"/>
    <w:rsid w:val="00C61CDA"/>
    <w:rPr>
      <w:rFonts w:ascii="Verdana" w:hAnsi="Verdana"/>
      <w:color w:val="800080"/>
      <w:sz w:val="18"/>
      <w:szCs w:val="18"/>
      <w:u w:val="single" w:color="800080"/>
    </w:rPr>
  </w:style>
  <w:style w:type="paragraph" w:styleId="BalloonText">
    <w:name w:val="Balloon Text"/>
    <w:basedOn w:val="Normal"/>
    <w:semiHidden/>
    <w:rsid w:val="00B537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39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rsid w:val="00C27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3F9"/>
  </w:style>
  <w:style w:type="paragraph" w:styleId="CommentSubject">
    <w:name w:val="annotation subject"/>
    <w:basedOn w:val="CommentText"/>
    <w:next w:val="CommentText"/>
    <w:link w:val="CommentSubjectChar"/>
    <w:rsid w:val="00C273F9"/>
    <w:rPr>
      <w:b/>
      <w:bCs/>
    </w:rPr>
  </w:style>
  <w:style w:type="character" w:customStyle="1" w:styleId="CommentSubjectChar">
    <w:name w:val="Comment Subject Char"/>
    <w:link w:val="CommentSubject"/>
    <w:rsid w:val="00C273F9"/>
    <w:rPr>
      <w:b/>
      <w:bCs/>
    </w:rPr>
  </w:style>
  <w:style w:type="character" w:customStyle="1" w:styleId="Heading3Char">
    <w:name w:val="Heading 3 Char"/>
    <w:link w:val="Heading3"/>
    <w:semiHidden/>
    <w:rsid w:val="009661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rsid w:val="00F96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Explanatorytext">
    <w:name w:val="Explanatory text"/>
    <w:basedOn w:val="Normal"/>
    <w:link w:val="ExplanatorytextChar"/>
    <w:qFormat/>
    <w:rsid w:val="00CD021E"/>
    <w:pPr>
      <w:tabs>
        <w:tab w:val="center" w:pos="3152"/>
      </w:tabs>
    </w:pPr>
    <w:rPr>
      <w:rFonts w:cs="Arial"/>
      <w:sz w:val="16"/>
      <w:szCs w:val="19"/>
      <w:lang w:val="en-US"/>
    </w:rPr>
  </w:style>
  <w:style w:type="character" w:customStyle="1" w:styleId="ExplanatorytextChar">
    <w:name w:val="Explanatory text Char"/>
    <w:basedOn w:val="DefaultParagraphFont"/>
    <w:link w:val="Explanatorytext"/>
    <w:rsid w:val="00CD021E"/>
    <w:rPr>
      <w:rFonts w:ascii="Arial" w:hAnsi="Arial" w:cs="Arial"/>
      <w:sz w:val="16"/>
      <w:szCs w:val="19"/>
      <w:lang w:val="en-US"/>
    </w:rPr>
  </w:style>
  <w:style w:type="paragraph" w:styleId="NormalWeb">
    <w:name w:val="Normal (Web)"/>
    <w:basedOn w:val="Normal"/>
    <w:semiHidden/>
    <w:unhideWhenUsed/>
    <w:rsid w:val="00CB5B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mailto:nwmedinfo@nhs.net?subject=New%20Medicines%20Newslett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s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mi.nhs.uk/nd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wmedinfo@nhs.net?subject=New%20Medicines%20Newslette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wmedinfo@nhs.net?subject=New%20Medicines%20Newslett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ps.nhs.uk/articles/sps-horizon-scanning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3.jpeg"/><Relationship Id="rId4" Type="http://schemas.openxmlformats.org/officeDocument/2006/relationships/hyperlink" Target="https://www.sps.nhs.uk/home/planning/annual-medicines-planning/" TargetMode="Externa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igitalliverpool.sharepoint.com/sites/MA/Horizon%20Scanning/SPS%20HS%20publications/New%20Medicines%20News%20(incl%20Clinical%20Pharmacist)/Admin/New%20Medicines%20News%202026%20template.dotx?OR=81dd2b71-fb82-4b33-ac71-fed46bf0f87a&amp;CID=009d07a2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c6437e3-65b5-4a7b-a123-cc0b1a712dbe" xsi:nil="true"/>
    <Checker xmlns="bc6437e3-65b5-4a7b-a123-cc0b1a712dbe">
      <UserInfo>
        <DisplayName/>
        <AccountId xsi:nil="true"/>
        <AccountType/>
      </UserInfo>
    </Checker>
    <TaxCatchAll xmlns="9930fb2e-2b64-4524-8d19-1f206af19760" xsi:nil="true"/>
    <lcf76f155ced4ddcb4097134ff3c332f xmlns="bc6437e3-65b5-4a7b-a123-cc0b1a712dbe">
      <Terms xmlns="http://schemas.microsoft.com/office/infopath/2007/PartnerControls"/>
    </lcf76f155ced4ddcb4097134ff3c332f>
    <_Flow_SignoffStatus xmlns="bc6437e3-65b5-4a7b-a123-cc0b1a712dbe" xsi:nil="true"/>
    <_ApprovalAssignedTo xmlns="bc6437e3-65b5-4a7b-a123-cc0b1a712dbe">
      <UserInfo>
        <DisplayName/>
        <AccountId xsi:nil="true"/>
        <AccountType/>
      </UserInfo>
    </_ApprovalAssignedTo>
    <_ApprovalSentBy xmlns="bc6437e3-65b5-4a7b-a123-cc0b1a712dbe">
      <UserInfo>
        <DisplayName/>
        <AccountId xsi:nil="true"/>
        <AccountType/>
      </UserInfo>
    </_ApprovalSentBy>
    <_ApprovalStatus xmlns="bc6437e3-65b5-4a7b-a123-cc0b1a712dbe">0</_ApprovalStatus>
    <_ApprovalRespondedBy xmlns="bc6437e3-65b5-4a7b-a123-cc0b1a712dbe">
      <UserInfo>
        <DisplayName/>
        <AccountId xsi:nil="true"/>
        <AccountType/>
      </UserInfo>
    </_ApprovalRespond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8181707A014BAADECFD0EF2EB9F0" ma:contentTypeVersion="21" ma:contentTypeDescription="Create a new document." ma:contentTypeScope="" ma:versionID="2ebff0c0edebc0de26bda6623d69b83d">
  <xsd:schema xmlns:xsd="http://www.w3.org/2001/XMLSchema" xmlns:xs="http://www.w3.org/2001/XMLSchema" xmlns:p="http://schemas.microsoft.com/office/2006/metadata/properties" xmlns:ns2="bc6437e3-65b5-4a7b-a123-cc0b1a712dbe" xmlns:ns3="9930fb2e-2b64-4524-8d19-1f206af19760" targetNamespace="http://schemas.microsoft.com/office/2006/metadata/properties" ma:root="true" ma:fieldsID="d13f7fff5fae36492226e656fdd04661" ns2:_="" ns3:_="">
    <xsd:import namespace="bc6437e3-65b5-4a7b-a123-cc0b1a712dbe"/>
    <xsd:import namespace="9930fb2e-2b64-4524-8d19-1f206af19760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437e3-65b5-4a7b-a123-cc0b1a712db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Draft complete"/>
          <xsd:enumeration value="Draft screened"/>
          <xsd:enumeration value="Draft ready for check"/>
          <xsd:enumeration value="Draft checked"/>
          <xsd:enumeration value="Draft finalis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r" ma:index="13" nillable="true" ma:displayName="Checker" ma:format="Dropdown" ma:list="UserInfo" ma:SharePointGroup="0" ma:internalName="Check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0fb2e-2b64-4524-8d19-1f206af197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974dfa-c764-4829-9cd5-f0d2f4cc9654}" ma:internalName="TaxCatchAll" ma:showField="CatchAllData" ma:web="9930fb2e-2b64-4524-8d19-1f206af19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91869-6A80-4380-B4C8-BDFECDE46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4F6B2-13C0-4835-BE83-75A0D0B4856D}">
  <ds:schemaRefs>
    <ds:schemaRef ds:uri="bc6437e3-65b5-4a7b-a123-cc0b1a712db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30fb2e-2b64-4524-8d19-1f206af19760"/>
  </ds:schemaRefs>
</ds:datastoreItem>
</file>

<file path=customXml/itemProps3.xml><?xml version="1.0" encoding="utf-8"?>
<ds:datastoreItem xmlns:ds="http://schemas.openxmlformats.org/officeDocument/2006/customXml" ds:itemID="{E9F6E074-DAC3-464B-8E55-384774156C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8AE12-E926-47A8-916F-966A4F572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437e3-65b5-4a7b-a123-cc0b1a712dbe"/>
    <ds:schemaRef ds:uri="9930fb2e-2b64-4524-8d19-1f206af19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New%20Medicines%20News%202026%20template.dotx?OR=81dd2b71-fb82-4b33-ac71-fed46bf0f87a&amp;CID=009d07a2-30</Template>
  <TotalTime>1</TotalTime>
  <Pages>4</Pages>
  <Words>1813</Words>
  <Characters>11259</Characters>
  <Application>Microsoft Office Word</Application>
  <DocSecurity>0</DocSecurity>
  <Lines>296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NDO home | Contact | Register for NDO access</vt:lpstr>
    </vt:vector>
  </TitlesOfParts>
  <Company>NMHIS</Company>
  <LinksUpToDate>false</LinksUpToDate>
  <CharactersWithSpaces>12907</CharactersWithSpaces>
  <SharedDoc>false</SharedDoc>
  <HLinks>
    <vt:vector size="498" baseType="variant">
      <vt:variant>
        <vt:i4>458841</vt:i4>
      </vt:variant>
      <vt:variant>
        <vt:i4>228</vt:i4>
      </vt:variant>
      <vt:variant>
        <vt:i4>0</vt:i4>
      </vt:variant>
      <vt:variant>
        <vt:i4>5</vt:i4>
      </vt:variant>
      <vt:variant>
        <vt:lpwstr>https://www.sps.nhs.uk/medicines/zuranolone/</vt:lpwstr>
      </vt:variant>
      <vt:variant>
        <vt:lpwstr/>
      </vt:variant>
      <vt:variant>
        <vt:i4>7602219</vt:i4>
      </vt:variant>
      <vt:variant>
        <vt:i4>225</vt:i4>
      </vt:variant>
      <vt:variant>
        <vt:i4>0</vt:i4>
      </vt:variant>
      <vt:variant>
        <vt:i4>5</vt:i4>
      </vt:variant>
      <vt:variant>
        <vt:lpwstr>https://www.sps.nhs.uk/medicines/zoliflodacin/</vt:lpwstr>
      </vt:variant>
      <vt:variant>
        <vt:lpwstr/>
      </vt:variant>
      <vt:variant>
        <vt:i4>8323111</vt:i4>
      </vt:variant>
      <vt:variant>
        <vt:i4>222</vt:i4>
      </vt:variant>
      <vt:variant>
        <vt:i4>0</vt:i4>
      </vt:variant>
      <vt:variant>
        <vt:i4>5</vt:i4>
      </vt:variant>
      <vt:variant>
        <vt:lpwstr>https://www.sps.nhs.uk/medicines/upadacitinib/</vt:lpwstr>
      </vt:variant>
      <vt:variant>
        <vt:lpwstr/>
      </vt:variant>
      <vt:variant>
        <vt:i4>5570648</vt:i4>
      </vt:variant>
      <vt:variant>
        <vt:i4>219</vt:i4>
      </vt:variant>
      <vt:variant>
        <vt:i4>0</vt:i4>
      </vt:variant>
      <vt:variant>
        <vt:i4>5</vt:i4>
      </vt:variant>
      <vt:variant>
        <vt:lpwstr>https://www.sps.nhs.uk/medicines/sep-363856/</vt:lpwstr>
      </vt:variant>
      <vt:variant>
        <vt:lpwstr/>
      </vt:variant>
      <vt:variant>
        <vt:i4>131160</vt:i4>
      </vt:variant>
      <vt:variant>
        <vt:i4>216</vt:i4>
      </vt:variant>
      <vt:variant>
        <vt:i4>0</vt:i4>
      </vt:variant>
      <vt:variant>
        <vt:i4>5</vt:i4>
      </vt:variant>
      <vt:variant>
        <vt:lpwstr>https://www.sps.nhs.uk/medicines/padesvonil/</vt:lpwstr>
      </vt:variant>
      <vt:variant>
        <vt:lpwstr/>
      </vt:variant>
      <vt:variant>
        <vt:i4>4456520</vt:i4>
      </vt:variant>
      <vt:variant>
        <vt:i4>213</vt:i4>
      </vt:variant>
      <vt:variant>
        <vt:i4>0</vt:i4>
      </vt:variant>
      <vt:variant>
        <vt:i4>5</vt:i4>
      </vt:variant>
      <vt:variant>
        <vt:lpwstr>https://www.sps.nhs.uk/medicines/opiranserin/</vt:lpwstr>
      </vt:variant>
      <vt:variant>
        <vt:lpwstr/>
      </vt:variant>
      <vt:variant>
        <vt:i4>2555944</vt:i4>
      </vt:variant>
      <vt:variant>
        <vt:i4>210</vt:i4>
      </vt:variant>
      <vt:variant>
        <vt:i4>0</vt:i4>
      </vt:variant>
      <vt:variant>
        <vt:i4>5</vt:i4>
      </vt:variant>
      <vt:variant>
        <vt:lpwstr>https://www.sps.nhs.uk/medicines/mitapivat/</vt:lpwstr>
      </vt:variant>
      <vt:variant>
        <vt:lpwstr/>
      </vt:variant>
      <vt:variant>
        <vt:i4>393288</vt:i4>
      </vt:variant>
      <vt:variant>
        <vt:i4>207</vt:i4>
      </vt:variant>
      <vt:variant>
        <vt:i4>0</vt:i4>
      </vt:variant>
      <vt:variant>
        <vt:i4>5</vt:i4>
      </vt:variant>
      <vt:variant>
        <vt:lpwstr>https://www.sps.nhs.uk/medicines/linzagolix/</vt:lpwstr>
      </vt:variant>
      <vt:variant>
        <vt:lpwstr/>
      </vt:variant>
      <vt:variant>
        <vt:i4>3604520</vt:i4>
      </vt:variant>
      <vt:variant>
        <vt:i4>204</vt:i4>
      </vt:variant>
      <vt:variant>
        <vt:i4>0</vt:i4>
      </vt:variant>
      <vt:variant>
        <vt:i4>5</vt:i4>
      </vt:variant>
      <vt:variant>
        <vt:lpwstr>https://www.sps.nhs.uk/medicines/leriglitazone/</vt:lpwstr>
      </vt:variant>
      <vt:variant>
        <vt:lpwstr/>
      </vt:variant>
      <vt:variant>
        <vt:i4>7929889</vt:i4>
      </vt:variant>
      <vt:variant>
        <vt:i4>201</vt:i4>
      </vt:variant>
      <vt:variant>
        <vt:i4>0</vt:i4>
      </vt:variant>
      <vt:variant>
        <vt:i4>5</vt:i4>
      </vt:variant>
      <vt:variant>
        <vt:lpwstr>https://www.sps.nhs.uk/medicines/lebrikizumab/</vt:lpwstr>
      </vt:variant>
      <vt:variant>
        <vt:lpwstr/>
      </vt:variant>
      <vt:variant>
        <vt:i4>524381</vt:i4>
      </vt:variant>
      <vt:variant>
        <vt:i4>198</vt:i4>
      </vt:variant>
      <vt:variant>
        <vt:i4>0</vt:i4>
      </vt:variant>
      <vt:variant>
        <vt:i4>5</vt:i4>
      </vt:variant>
      <vt:variant>
        <vt:lpwstr>https://www.sps.nhs.uk/medicines/glatiramer/</vt:lpwstr>
      </vt:variant>
      <vt:variant>
        <vt:lpwstr/>
      </vt:variant>
      <vt:variant>
        <vt:i4>5832790</vt:i4>
      </vt:variant>
      <vt:variant>
        <vt:i4>195</vt:i4>
      </vt:variant>
      <vt:variant>
        <vt:i4>0</vt:i4>
      </vt:variant>
      <vt:variant>
        <vt:i4>5</vt:i4>
      </vt:variant>
      <vt:variant>
        <vt:lpwstr>https://www.sps.nhs.uk/medicines/fcr-001/</vt:lpwstr>
      </vt:variant>
      <vt:variant>
        <vt:lpwstr/>
      </vt:variant>
      <vt:variant>
        <vt:i4>3080232</vt:i4>
      </vt:variant>
      <vt:variant>
        <vt:i4>192</vt:i4>
      </vt:variant>
      <vt:variant>
        <vt:i4>0</vt:i4>
      </vt:variant>
      <vt:variant>
        <vt:i4>5</vt:i4>
      </vt:variant>
      <vt:variant>
        <vt:lpwstr>https://www.sps.nhs.uk/medicines/empagliflozin/</vt:lpwstr>
      </vt:variant>
      <vt:variant>
        <vt:lpwstr/>
      </vt:variant>
      <vt:variant>
        <vt:i4>2752551</vt:i4>
      </vt:variant>
      <vt:variant>
        <vt:i4>189</vt:i4>
      </vt:variant>
      <vt:variant>
        <vt:i4>0</vt:i4>
      </vt:variant>
      <vt:variant>
        <vt:i4>5</vt:i4>
      </vt:variant>
      <vt:variant>
        <vt:lpwstr>https://www.sps.nhs.uk/medicines/diazoxide/</vt:lpwstr>
      </vt:variant>
      <vt:variant>
        <vt:lpwstr/>
      </vt:variant>
      <vt:variant>
        <vt:i4>6815782</vt:i4>
      </vt:variant>
      <vt:variant>
        <vt:i4>186</vt:i4>
      </vt:variant>
      <vt:variant>
        <vt:i4>0</vt:i4>
      </vt:variant>
      <vt:variant>
        <vt:i4>5</vt:i4>
      </vt:variant>
      <vt:variant>
        <vt:lpwstr>https://www.sps.nhs.uk/medicines/dasiglucagon/</vt:lpwstr>
      </vt:variant>
      <vt:variant>
        <vt:lpwstr/>
      </vt:variant>
      <vt:variant>
        <vt:i4>4194380</vt:i4>
      </vt:variant>
      <vt:variant>
        <vt:i4>183</vt:i4>
      </vt:variant>
      <vt:variant>
        <vt:i4>0</vt:i4>
      </vt:variant>
      <vt:variant>
        <vt:i4>5</vt:i4>
      </vt:variant>
      <vt:variant>
        <vt:lpwstr>https://www.sps.nhs.uk/medicines/cyclobenzaprine/</vt:lpwstr>
      </vt:variant>
      <vt:variant>
        <vt:lpwstr/>
      </vt:variant>
      <vt:variant>
        <vt:i4>1179733</vt:i4>
      </vt:variant>
      <vt:variant>
        <vt:i4>180</vt:i4>
      </vt:variant>
      <vt:variant>
        <vt:i4>0</vt:i4>
      </vt:variant>
      <vt:variant>
        <vt:i4>5</vt:i4>
      </vt:variant>
      <vt:variant>
        <vt:lpwstr>https://www.sps.nhs.uk/medicines/bumetanide/</vt:lpwstr>
      </vt:variant>
      <vt:variant>
        <vt:lpwstr/>
      </vt:variant>
      <vt:variant>
        <vt:i4>1835099</vt:i4>
      </vt:variant>
      <vt:variant>
        <vt:i4>177</vt:i4>
      </vt:variant>
      <vt:variant>
        <vt:i4>0</vt:i4>
      </vt:variant>
      <vt:variant>
        <vt:i4>5</vt:i4>
      </vt:variant>
      <vt:variant>
        <vt:lpwstr>https://www.sps.nhs.uk/medicines/budesonide/</vt:lpwstr>
      </vt:variant>
      <vt:variant>
        <vt:lpwstr/>
      </vt:variant>
      <vt:variant>
        <vt:i4>1638427</vt:i4>
      </vt:variant>
      <vt:variant>
        <vt:i4>174</vt:i4>
      </vt:variant>
      <vt:variant>
        <vt:i4>0</vt:i4>
      </vt:variant>
      <vt:variant>
        <vt:i4>5</vt:i4>
      </vt:variant>
      <vt:variant>
        <vt:lpwstr>https://www.sps.nhs.uk/medicines/bardoxolone-methyl/</vt:lpwstr>
      </vt:variant>
      <vt:variant>
        <vt:lpwstr/>
      </vt:variant>
      <vt:variant>
        <vt:i4>5767195</vt:i4>
      </vt:variant>
      <vt:variant>
        <vt:i4>171</vt:i4>
      </vt:variant>
      <vt:variant>
        <vt:i4>0</vt:i4>
      </vt:variant>
      <vt:variant>
        <vt:i4>5</vt:i4>
      </vt:variant>
      <vt:variant>
        <vt:lpwstr>https://www.sps.nhs.uk/medicines/autologous-bm-derived-stem-cell-therapy/</vt:lpwstr>
      </vt:variant>
      <vt:variant>
        <vt:lpwstr/>
      </vt:variant>
      <vt:variant>
        <vt:i4>4587591</vt:i4>
      </vt:variant>
      <vt:variant>
        <vt:i4>168</vt:i4>
      </vt:variant>
      <vt:variant>
        <vt:i4>0</vt:i4>
      </vt:variant>
      <vt:variant>
        <vt:i4>5</vt:i4>
      </vt:variant>
      <vt:variant>
        <vt:lpwstr>https://www.sps.nhs.uk/medicines/at-gtx-501/</vt:lpwstr>
      </vt:variant>
      <vt:variant>
        <vt:lpwstr/>
      </vt:variant>
      <vt:variant>
        <vt:i4>7864359</vt:i4>
      </vt:variant>
      <vt:variant>
        <vt:i4>165</vt:i4>
      </vt:variant>
      <vt:variant>
        <vt:i4>0</vt:i4>
      </vt:variant>
      <vt:variant>
        <vt:i4>5</vt:i4>
      </vt:variant>
      <vt:variant>
        <vt:lpwstr>https://www.sps.nhs.uk/medicines/telapristone/</vt:lpwstr>
      </vt:variant>
      <vt:variant>
        <vt:lpwstr/>
      </vt:variant>
      <vt:variant>
        <vt:i4>7864359</vt:i4>
      </vt:variant>
      <vt:variant>
        <vt:i4>162</vt:i4>
      </vt:variant>
      <vt:variant>
        <vt:i4>0</vt:i4>
      </vt:variant>
      <vt:variant>
        <vt:i4>5</vt:i4>
      </vt:variant>
      <vt:variant>
        <vt:lpwstr>https://www.sps.nhs.uk/medicines/telapristone/</vt:lpwstr>
      </vt:variant>
      <vt:variant>
        <vt:lpwstr/>
      </vt:variant>
      <vt:variant>
        <vt:i4>1769490</vt:i4>
      </vt:variant>
      <vt:variant>
        <vt:i4>159</vt:i4>
      </vt:variant>
      <vt:variant>
        <vt:i4>0</vt:i4>
      </vt:variant>
      <vt:variant>
        <vt:i4>5</vt:i4>
      </vt:variant>
      <vt:variant>
        <vt:lpwstr>https://www.sps.nhs.uk/medicines/t-cell-replacement-therapy/</vt:lpwstr>
      </vt:variant>
      <vt:variant>
        <vt:lpwstr/>
      </vt:variant>
      <vt:variant>
        <vt:i4>1245262</vt:i4>
      </vt:variant>
      <vt:variant>
        <vt:i4>156</vt:i4>
      </vt:variant>
      <vt:variant>
        <vt:i4>0</vt:i4>
      </vt:variant>
      <vt:variant>
        <vt:i4>5</vt:i4>
      </vt:variant>
      <vt:variant>
        <vt:lpwstr>https://www.sps.nhs.uk/medicines/salmeterol/</vt:lpwstr>
      </vt:variant>
      <vt:variant>
        <vt:lpwstr/>
      </vt:variant>
      <vt:variant>
        <vt:i4>1966174</vt:i4>
      </vt:variant>
      <vt:variant>
        <vt:i4>153</vt:i4>
      </vt:variant>
      <vt:variant>
        <vt:i4>0</vt:i4>
      </vt:variant>
      <vt:variant>
        <vt:i4>5</vt:i4>
      </vt:variant>
      <vt:variant>
        <vt:lpwstr>https://www.sps.nhs.uk/medicines/rapastinel/</vt:lpwstr>
      </vt:variant>
      <vt:variant>
        <vt:lpwstr/>
      </vt:variant>
      <vt:variant>
        <vt:i4>3276927</vt:i4>
      </vt:variant>
      <vt:variant>
        <vt:i4>150</vt:i4>
      </vt:variant>
      <vt:variant>
        <vt:i4>0</vt:i4>
      </vt:variant>
      <vt:variant>
        <vt:i4>5</vt:i4>
      </vt:variant>
      <vt:variant>
        <vt:lpwstr>https://www.sps.nhs.uk/medicines/pegylated-recombinant-human-hyaluronidase/</vt:lpwstr>
      </vt:variant>
      <vt:variant>
        <vt:lpwstr/>
      </vt:variant>
      <vt:variant>
        <vt:i4>4849741</vt:i4>
      </vt:variant>
      <vt:variant>
        <vt:i4>147</vt:i4>
      </vt:variant>
      <vt:variant>
        <vt:i4>0</vt:i4>
      </vt:variant>
      <vt:variant>
        <vt:i4>5</vt:i4>
      </vt:variant>
      <vt:variant>
        <vt:lpwstr>https://www.sps.nhs.uk/medicines/nilvadipine/</vt:lpwstr>
      </vt:variant>
      <vt:variant>
        <vt:lpwstr/>
      </vt:variant>
      <vt:variant>
        <vt:i4>7798828</vt:i4>
      </vt:variant>
      <vt:variant>
        <vt:i4>144</vt:i4>
      </vt:variant>
      <vt:variant>
        <vt:i4>0</vt:i4>
      </vt:variant>
      <vt:variant>
        <vt:i4>5</vt:i4>
      </vt:variant>
      <vt:variant>
        <vt:lpwstr>https://www.sps.nhs.uk/medicines/naloxone/</vt:lpwstr>
      </vt:variant>
      <vt:variant>
        <vt:lpwstr/>
      </vt:variant>
      <vt:variant>
        <vt:i4>1441887</vt:i4>
      </vt:variant>
      <vt:variant>
        <vt:i4>141</vt:i4>
      </vt:variant>
      <vt:variant>
        <vt:i4>0</vt:i4>
      </vt:variant>
      <vt:variant>
        <vt:i4>5</vt:i4>
      </vt:variant>
      <vt:variant>
        <vt:lpwstr>https://www.sps.nhs.uk/medicines/macitentan/</vt:lpwstr>
      </vt:variant>
      <vt:variant>
        <vt:lpwstr/>
      </vt:variant>
      <vt:variant>
        <vt:i4>6225993</vt:i4>
      </vt:variant>
      <vt:variant>
        <vt:i4>138</vt:i4>
      </vt:variant>
      <vt:variant>
        <vt:i4>0</vt:i4>
      </vt:variant>
      <vt:variant>
        <vt:i4>5</vt:i4>
      </vt:variant>
      <vt:variant>
        <vt:lpwstr>https://www.sps.nhs.uk/medicines/hydroxyprogesterone/</vt:lpwstr>
      </vt:variant>
      <vt:variant>
        <vt:lpwstr/>
      </vt:variant>
      <vt:variant>
        <vt:i4>2687026</vt:i4>
      </vt:variant>
      <vt:variant>
        <vt:i4>135</vt:i4>
      </vt:variant>
      <vt:variant>
        <vt:i4>0</vt:i4>
      </vt:variant>
      <vt:variant>
        <vt:i4>5</vt:i4>
      </vt:variant>
      <vt:variant>
        <vt:lpwstr>https://www.sps.nhs.uk/medicines/ciprofloxacin/</vt:lpwstr>
      </vt:variant>
      <vt:variant>
        <vt:lpwstr/>
      </vt:variant>
      <vt:variant>
        <vt:i4>196702</vt:i4>
      </vt:variant>
      <vt:variant>
        <vt:i4>132</vt:i4>
      </vt:variant>
      <vt:variant>
        <vt:i4>0</vt:i4>
      </vt:variant>
      <vt:variant>
        <vt:i4>5</vt:i4>
      </vt:variant>
      <vt:variant>
        <vt:lpwstr>https://www.sps.nhs.uk/medicines/calcitonin/</vt:lpwstr>
      </vt:variant>
      <vt:variant>
        <vt:lpwstr/>
      </vt:variant>
      <vt:variant>
        <vt:i4>7667749</vt:i4>
      </vt:variant>
      <vt:variant>
        <vt:i4>129</vt:i4>
      </vt:variant>
      <vt:variant>
        <vt:i4>0</vt:i4>
      </vt:variant>
      <vt:variant>
        <vt:i4>5</vt:i4>
      </vt:variant>
      <vt:variant>
        <vt:lpwstr>https://www.sps.nhs.uk/medicines/c1-esterase-inhibitor/</vt:lpwstr>
      </vt:variant>
      <vt:variant>
        <vt:lpwstr/>
      </vt:variant>
      <vt:variant>
        <vt:i4>2490478</vt:i4>
      </vt:variant>
      <vt:variant>
        <vt:i4>126</vt:i4>
      </vt:variant>
      <vt:variant>
        <vt:i4>0</vt:i4>
      </vt:variant>
      <vt:variant>
        <vt:i4>5</vt:i4>
      </vt:variant>
      <vt:variant>
        <vt:lpwstr>https://www.sps.nhs.uk/medicines/buprenorphine-samidorphan/</vt:lpwstr>
      </vt:variant>
      <vt:variant>
        <vt:lpwstr/>
      </vt:variant>
      <vt:variant>
        <vt:i4>2621493</vt:i4>
      </vt:variant>
      <vt:variant>
        <vt:i4>123</vt:i4>
      </vt:variant>
      <vt:variant>
        <vt:i4>0</vt:i4>
      </vt:variant>
      <vt:variant>
        <vt:i4>5</vt:i4>
      </vt:variant>
      <vt:variant>
        <vt:lpwstr>https://www.sps.nhs.uk/medicines/buprenorphine/</vt:lpwstr>
      </vt:variant>
      <vt:variant>
        <vt:lpwstr/>
      </vt:variant>
      <vt:variant>
        <vt:i4>3538984</vt:i4>
      </vt:variant>
      <vt:variant>
        <vt:i4>120</vt:i4>
      </vt:variant>
      <vt:variant>
        <vt:i4>0</vt:i4>
      </vt:variant>
      <vt:variant>
        <vt:i4>5</vt:i4>
      </vt:variant>
      <vt:variant>
        <vt:lpwstr>https://www.sps.nhs.uk/medicines/botulinum-a-toxin/</vt:lpwstr>
      </vt:variant>
      <vt:variant>
        <vt:lpwstr/>
      </vt:variant>
      <vt:variant>
        <vt:i4>458843</vt:i4>
      </vt:variant>
      <vt:variant>
        <vt:i4>117</vt:i4>
      </vt:variant>
      <vt:variant>
        <vt:i4>0</vt:i4>
      </vt:variant>
      <vt:variant>
        <vt:i4>5</vt:i4>
      </vt:variant>
      <vt:variant>
        <vt:lpwstr>https://www.sps.nhs.uk/medicines/biotin/</vt:lpwstr>
      </vt:variant>
      <vt:variant>
        <vt:lpwstr/>
      </vt:variant>
      <vt:variant>
        <vt:i4>3145761</vt:i4>
      </vt:variant>
      <vt:variant>
        <vt:i4>114</vt:i4>
      </vt:variant>
      <vt:variant>
        <vt:i4>0</vt:i4>
      </vt:variant>
      <vt:variant>
        <vt:i4>5</vt:i4>
      </vt:variant>
      <vt:variant>
        <vt:lpwstr>https://www.sps.nhs.uk/medicines/arbaclofen-placarbil/</vt:lpwstr>
      </vt:variant>
      <vt:variant>
        <vt:lpwstr/>
      </vt:variant>
      <vt:variant>
        <vt:i4>1572889</vt:i4>
      </vt:variant>
      <vt:variant>
        <vt:i4>111</vt:i4>
      </vt:variant>
      <vt:variant>
        <vt:i4>0</vt:i4>
      </vt:variant>
      <vt:variant>
        <vt:i4>5</vt:i4>
      </vt:variant>
      <vt:variant>
        <vt:lpwstr>https://www.sps.nhs.uk/medicines/valoctocogene-roxaparvovec/</vt:lpwstr>
      </vt:variant>
      <vt:variant>
        <vt:lpwstr/>
      </vt:variant>
      <vt:variant>
        <vt:i4>2031697</vt:i4>
      </vt:variant>
      <vt:variant>
        <vt:i4>108</vt:i4>
      </vt:variant>
      <vt:variant>
        <vt:i4>0</vt:i4>
      </vt:variant>
      <vt:variant>
        <vt:i4>5</vt:i4>
      </vt:variant>
      <vt:variant>
        <vt:lpwstr>https://www.sps.nhs.uk/medicines/meningococcal-groups-a-c-w135-y-vaccine/</vt:lpwstr>
      </vt:variant>
      <vt:variant>
        <vt:lpwstr/>
      </vt:variant>
      <vt:variant>
        <vt:i4>5374020</vt:i4>
      </vt:variant>
      <vt:variant>
        <vt:i4>105</vt:i4>
      </vt:variant>
      <vt:variant>
        <vt:i4>0</vt:i4>
      </vt:variant>
      <vt:variant>
        <vt:i4>5</vt:i4>
      </vt:variant>
      <vt:variant>
        <vt:lpwstr>https://www.sps.nhs.uk/medicines/encorafenib/</vt:lpwstr>
      </vt:variant>
      <vt:variant>
        <vt:lpwstr/>
      </vt:variant>
      <vt:variant>
        <vt:i4>7209001</vt:i4>
      </vt:variant>
      <vt:variant>
        <vt:i4>102</vt:i4>
      </vt:variant>
      <vt:variant>
        <vt:i4>0</vt:i4>
      </vt:variant>
      <vt:variant>
        <vt:i4>5</vt:i4>
      </vt:variant>
      <vt:variant>
        <vt:lpwstr>https://www.sps.nhs.uk/medicines/elexacaftor-ivacaftor-tezacaftor/</vt:lpwstr>
      </vt:variant>
      <vt:variant>
        <vt:lpwstr/>
      </vt:variant>
      <vt:variant>
        <vt:i4>4849729</vt:i4>
      </vt:variant>
      <vt:variant>
        <vt:i4>99</vt:i4>
      </vt:variant>
      <vt:variant>
        <vt:i4>0</vt:i4>
      </vt:variant>
      <vt:variant>
        <vt:i4>5</vt:i4>
      </vt:variant>
      <vt:variant>
        <vt:lpwstr>https://www.sps.nhs.uk/medicines/bulevirtide/</vt:lpwstr>
      </vt:variant>
      <vt:variant>
        <vt:lpwstr/>
      </vt:variant>
      <vt:variant>
        <vt:i4>5570637</vt:i4>
      </vt:variant>
      <vt:variant>
        <vt:i4>96</vt:i4>
      </vt:variant>
      <vt:variant>
        <vt:i4>0</vt:i4>
      </vt:variant>
      <vt:variant>
        <vt:i4>5</vt:i4>
      </vt:variant>
      <vt:variant>
        <vt:lpwstr>https://www.sps.nhs.uk/medicines/binimetinib/</vt:lpwstr>
      </vt:variant>
      <vt:variant>
        <vt:lpwstr/>
      </vt:variant>
      <vt:variant>
        <vt:i4>4128817</vt:i4>
      </vt:variant>
      <vt:variant>
        <vt:i4>93</vt:i4>
      </vt:variant>
      <vt:variant>
        <vt:i4>0</vt:i4>
      </vt:variant>
      <vt:variant>
        <vt:i4>5</vt:i4>
      </vt:variant>
      <vt:variant>
        <vt:lpwstr>https://www.sps.nhs.uk/medicines/ad26-ebov-vaccine/</vt:lpwstr>
      </vt:variant>
      <vt:variant>
        <vt:lpwstr/>
      </vt:variant>
      <vt:variant>
        <vt:i4>2555952</vt:i4>
      </vt:variant>
      <vt:variant>
        <vt:i4>90</vt:i4>
      </vt:variant>
      <vt:variant>
        <vt:i4>0</vt:i4>
      </vt:variant>
      <vt:variant>
        <vt:i4>5</vt:i4>
      </vt:variant>
      <vt:variant>
        <vt:lpwstr>https://www.sps.nhs.uk/medicines/acalabrutinib/</vt:lpwstr>
      </vt:variant>
      <vt:variant>
        <vt:lpwstr/>
      </vt:variant>
      <vt:variant>
        <vt:i4>2818164</vt:i4>
      </vt:variant>
      <vt:variant>
        <vt:i4>87</vt:i4>
      </vt:variant>
      <vt:variant>
        <vt:i4>0</vt:i4>
      </vt:variant>
      <vt:variant>
        <vt:i4>5</vt:i4>
      </vt:variant>
      <vt:variant>
        <vt:lpwstr>https://www.sps.nhs.uk/medicines/trastuzumab-emtansine/</vt:lpwstr>
      </vt:variant>
      <vt:variant>
        <vt:lpwstr/>
      </vt:variant>
      <vt:variant>
        <vt:i4>7471146</vt:i4>
      </vt:variant>
      <vt:variant>
        <vt:i4>84</vt:i4>
      </vt:variant>
      <vt:variant>
        <vt:i4>0</vt:i4>
      </vt:variant>
      <vt:variant>
        <vt:i4>5</vt:i4>
      </vt:variant>
      <vt:variant>
        <vt:lpwstr>https://www.sps.nhs.uk/medicines/solriamfetol/</vt:lpwstr>
      </vt:variant>
      <vt:variant>
        <vt:lpwstr/>
      </vt:variant>
      <vt:variant>
        <vt:i4>2621480</vt:i4>
      </vt:variant>
      <vt:variant>
        <vt:i4>81</vt:i4>
      </vt:variant>
      <vt:variant>
        <vt:i4>0</vt:i4>
      </vt:variant>
      <vt:variant>
        <vt:i4>5</vt:i4>
      </vt:variant>
      <vt:variant>
        <vt:lpwstr>https://www.sps.nhs.uk/medicines/siponimod/</vt:lpwstr>
      </vt:variant>
      <vt:variant>
        <vt:lpwstr/>
      </vt:variant>
      <vt:variant>
        <vt:i4>5308487</vt:i4>
      </vt:variant>
      <vt:variant>
        <vt:i4>78</vt:i4>
      </vt:variant>
      <vt:variant>
        <vt:i4>0</vt:i4>
      </vt:variant>
      <vt:variant>
        <vt:i4>5</vt:i4>
      </vt:variant>
      <vt:variant>
        <vt:lpwstr>https://www.sps.nhs.uk/medicines/polatuzumab/</vt:lpwstr>
      </vt:variant>
      <vt:variant>
        <vt:lpwstr/>
      </vt:variant>
      <vt:variant>
        <vt:i4>6946876</vt:i4>
      </vt:variant>
      <vt:variant>
        <vt:i4>75</vt:i4>
      </vt:variant>
      <vt:variant>
        <vt:i4>0</vt:i4>
      </vt:variant>
      <vt:variant>
        <vt:i4>5</vt:i4>
      </vt:variant>
      <vt:variant>
        <vt:lpwstr>https://www.sps.nhs.uk/medicines/osilodrostat/</vt:lpwstr>
      </vt:variant>
      <vt:variant>
        <vt:lpwstr/>
      </vt:variant>
      <vt:variant>
        <vt:i4>6291494</vt:i4>
      </vt:variant>
      <vt:variant>
        <vt:i4>72</vt:i4>
      </vt:variant>
      <vt:variant>
        <vt:i4>0</vt:i4>
      </vt:variant>
      <vt:variant>
        <vt:i4>5</vt:i4>
      </vt:variant>
      <vt:variant>
        <vt:lpwstr>https://www.sps.nhs.uk/medicines/lenalidomide/</vt:lpwstr>
      </vt:variant>
      <vt:variant>
        <vt:lpwstr/>
      </vt:variant>
      <vt:variant>
        <vt:i4>7733280</vt:i4>
      </vt:variant>
      <vt:variant>
        <vt:i4>69</vt:i4>
      </vt:variant>
      <vt:variant>
        <vt:i4>0</vt:i4>
      </vt:variant>
      <vt:variant>
        <vt:i4>5</vt:i4>
      </vt:variant>
      <vt:variant>
        <vt:lpwstr>https://www.sps.nhs.uk/medicines/fostamatinib-disodium/</vt:lpwstr>
      </vt:variant>
      <vt:variant>
        <vt:lpwstr/>
      </vt:variant>
      <vt:variant>
        <vt:i4>3342373</vt:i4>
      </vt:variant>
      <vt:variant>
        <vt:i4>66</vt:i4>
      </vt:variant>
      <vt:variant>
        <vt:i4>0</vt:i4>
      </vt:variant>
      <vt:variant>
        <vt:i4>5</vt:i4>
      </vt:variant>
      <vt:variant>
        <vt:lpwstr>https://www.sps.nhs.uk/medicines/trientine/</vt:lpwstr>
      </vt:variant>
      <vt:variant>
        <vt:lpwstr/>
      </vt:variant>
      <vt:variant>
        <vt:i4>1900625</vt:i4>
      </vt:variant>
      <vt:variant>
        <vt:i4>63</vt:i4>
      </vt:variant>
      <vt:variant>
        <vt:i4>0</vt:i4>
      </vt:variant>
      <vt:variant>
        <vt:i4>5</vt:i4>
      </vt:variant>
      <vt:variant>
        <vt:lpwstr>https://www.sps.nhs.uk/medicines/netarsudil-mesilate/</vt:lpwstr>
      </vt:variant>
      <vt:variant>
        <vt:lpwstr/>
      </vt:variant>
      <vt:variant>
        <vt:i4>7143468</vt:i4>
      </vt:variant>
      <vt:variant>
        <vt:i4>60</vt:i4>
      </vt:variant>
      <vt:variant>
        <vt:i4>0</vt:i4>
      </vt:variant>
      <vt:variant>
        <vt:i4>5</vt:i4>
      </vt:variant>
      <vt:variant>
        <vt:lpwstr>https://www.sps.nhs.uk/medicines/levodopa/</vt:lpwstr>
      </vt:variant>
      <vt:variant>
        <vt:lpwstr/>
      </vt:variant>
      <vt:variant>
        <vt:i4>852061</vt:i4>
      </vt:variant>
      <vt:variant>
        <vt:i4>57</vt:i4>
      </vt:variant>
      <vt:variant>
        <vt:i4>0</vt:i4>
      </vt:variant>
      <vt:variant>
        <vt:i4>5</vt:i4>
      </vt:variant>
      <vt:variant>
        <vt:lpwstr>https://www.sps.nhs.uk/medicines/infliximab/</vt:lpwstr>
      </vt:variant>
      <vt:variant>
        <vt:lpwstr/>
      </vt:variant>
      <vt:variant>
        <vt:i4>4063335</vt:i4>
      </vt:variant>
      <vt:variant>
        <vt:i4>54</vt:i4>
      </vt:variant>
      <vt:variant>
        <vt:i4>0</vt:i4>
      </vt:variant>
      <vt:variant>
        <vt:i4>5</vt:i4>
      </vt:variant>
      <vt:variant>
        <vt:lpwstr>https://www.sps.nhs.uk/medicines/ebola-vaccine/</vt:lpwstr>
      </vt:variant>
      <vt:variant>
        <vt:lpwstr/>
      </vt:variant>
      <vt:variant>
        <vt:i4>2621493</vt:i4>
      </vt:variant>
      <vt:variant>
        <vt:i4>51</vt:i4>
      </vt:variant>
      <vt:variant>
        <vt:i4>0</vt:i4>
      </vt:variant>
      <vt:variant>
        <vt:i4>5</vt:i4>
      </vt:variant>
      <vt:variant>
        <vt:lpwstr>https://www.sps.nhs.uk/medicines/buprenorphine/</vt:lpwstr>
      </vt:variant>
      <vt:variant>
        <vt:lpwstr/>
      </vt:variant>
      <vt:variant>
        <vt:i4>1179726</vt:i4>
      </vt:variant>
      <vt:variant>
        <vt:i4>48</vt:i4>
      </vt:variant>
      <vt:variant>
        <vt:i4>0</vt:i4>
      </vt:variant>
      <vt:variant>
        <vt:i4>5</vt:i4>
      </vt:variant>
      <vt:variant>
        <vt:lpwstr>https://www.sps.nhs.uk/medicines/arginine-lysine/</vt:lpwstr>
      </vt:variant>
      <vt:variant>
        <vt:lpwstr/>
      </vt:variant>
      <vt:variant>
        <vt:i4>7798824</vt:i4>
      </vt:variant>
      <vt:variant>
        <vt:i4>45</vt:i4>
      </vt:variant>
      <vt:variant>
        <vt:i4>0</vt:i4>
      </vt:variant>
      <vt:variant>
        <vt:i4>5</vt:i4>
      </vt:variant>
      <vt:variant>
        <vt:lpwstr>https://www.sps.nhs.uk/medicines/teriparatide/</vt:lpwstr>
      </vt:variant>
      <vt:variant>
        <vt:lpwstr/>
      </vt:variant>
      <vt:variant>
        <vt:i4>5767235</vt:i4>
      </vt:variant>
      <vt:variant>
        <vt:i4>42</vt:i4>
      </vt:variant>
      <vt:variant>
        <vt:i4>0</vt:i4>
      </vt:variant>
      <vt:variant>
        <vt:i4>5</vt:i4>
      </vt:variant>
      <vt:variant>
        <vt:lpwstr>https://www.sps.nhs.uk/medicines/paracetamol/</vt:lpwstr>
      </vt:variant>
      <vt:variant>
        <vt:lpwstr/>
      </vt:variant>
      <vt:variant>
        <vt:i4>2162736</vt:i4>
      </vt:variant>
      <vt:variant>
        <vt:i4>39</vt:i4>
      </vt:variant>
      <vt:variant>
        <vt:i4>0</vt:i4>
      </vt:variant>
      <vt:variant>
        <vt:i4>5</vt:i4>
      </vt:variant>
      <vt:variant>
        <vt:lpwstr>https://www.sps.nhs.uk/articles/ukmi-product-safety-assessments-2/</vt:lpwstr>
      </vt:variant>
      <vt:variant>
        <vt:lpwstr/>
      </vt:variant>
      <vt:variant>
        <vt:i4>5767196</vt:i4>
      </vt:variant>
      <vt:variant>
        <vt:i4>36</vt:i4>
      </vt:variant>
      <vt:variant>
        <vt:i4>0</vt:i4>
      </vt:variant>
      <vt:variant>
        <vt:i4>5</vt:i4>
      </vt:variant>
      <vt:variant>
        <vt:lpwstr>https://www.sps.nhs.uk/articles/prioritising-new-products-for-a-ukmi-product-safety-assessment-a-resource-for-ukmi-patient-safety-working-group/</vt:lpwstr>
      </vt:variant>
      <vt:variant>
        <vt:lpwstr/>
      </vt:variant>
      <vt:variant>
        <vt:i4>3211304</vt:i4>
      </vt:variant>
      <vt:variant>
        <vt:i4>33</vt:i4>
      </vt:variant>
      <vt:variant>
        <vt:i4>0</vt:i4>
      </vt:variant>
      <vt:variant>
        <vt:i4>5</vt:i4>
      </vt:variant>
      <vt:variant>
        <vt:lpwstr>https://www.sps.nhs.uk/medicines/zanamivir/</vt:lpwstr>
      </vt:variant>
      <vt:variant>
        <vt:lpwstr/>
      </vt:variant>
      <vt:variant>
        <vt:i4>5111887</vt:i4>
      </vt:variant>
      <vt:variant>
        <vt:i4>30</vt:i4>
      </vt:variant>
      <vt:variant>
        <vt:i4>0</vt:i4>
      </vt:variant>
      <vt:variant>
        <vt:i4>5</vt:i4>
      </vt:variant>
      <vt:variant>
        <vt:lpwstr>https://www.sps.nhs.uk/medicines/talazoparib/</vt:lpwstr>
      </vt:variant>
      <vt:variant>
        <vt:lpwstr/>
      </vt:variant>
      <vt:variant>
        <vt:i4>4653149</vt:i4>
      </vt:variant>
      <vt:variant>
        <vt:i4>27</vt:i4>
      </vt:variant>
      <vt:variant>
        <vt:i4>0</vt:i4>
      </vt:variant>
      <vt:variant>
        <vt:i4>5</vt:i4>
      </vt:variant>
      <vt:variant>
        <vt:lpwstr>https://www.sps.nhs.uk/medicines/ranibizumab/</vt:lpwstr>
      </vt:variant>
      <vt:variant>
        <vt:lpwstr/>
      </vt:variant>
      <vt:variant>
        <vt:i4>3801149</vt:i4>
      </vt:variant>
      <vt:variant>
        <vt:i4>24</vt:i4>
      </vt:variant>
      <vt:variant>
        <vt:i4>0</vt:i4>
      </vt:variant>
      <vt:variant>
        <vt:i4>5</vt:i4>
      </vt:variant>
      <vt:variant>
        <vt:lpwstr>https://www.sps.nhs.uk/medicines/pembrolizumab/</vt:lpwstr>
      </vt:variant>
      <vt:variant>
        <vt:lpwstr/>
      </vt:variant>
      <vt:variant>
        <vt:i4>7602210</vt:i4>
      </vt:variant>
      <vt:variant>
        <vt:i4>21</vt:i4>
      </vt:variant>
      <vt:variant>
        <vt:i4>0</vt:i4>
      </vt:variant>
      <vt:variant>
        <vt:i4>5</vt:i4>
      </vt:variant>
      <vt:variant>
        <vt:lpwstr>https://www.sps.nhs.uk/medicines/nicotine/</vt:lpwstr>
      </vt:variant>
      <vt:variant>
        <vt:lpwstr/>
      </vt:variant>
      <vt:variant>
        <vt:i4>4063329</vt:i4>
      </vt:variant>
      <vt:variant>
        <vt:i4>18</vt:i4>
      </vt:variant>
      <vt:variant>
        <vt:i4>0</vt:i4>
      </vt:variant>
      <vt:variant>
        <vt:i4>5</vt:i4>
      </vt:variant>
      <vt:variant>
        <vt:lpwstr>https://www.sps.nhs.uk/medicines/meropenem-vaborbactam/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https://www.sps.nhs.uk/medicines/liraglutide/</vt:lpwstr>
      </vt:variant>
      <vt:variant>
        <vt:lpwstr/>
      </vt:variant>
      <vt:variant>
        <vt:i4>6553663</vt:i4>
      </vt:variant>
      <vt:variant>
        <vt:i4>12</vt:i4>
      </vt:variant>
      <vt:variant>
        <vt:i4>0</vt:i4>
      </vt:variant>
      <vt:variant>
        <vt:i4>5</vt:i4>
      </vt:variant>
      <vt:variant>
        <vt:lpwstr>https://www.sps.nhs.uk/medicines/gilteritinib/</vt:lpwstr>
      </vt:variant>
      <vt:variant>
        <vt:lpwstr/>
      </vt:variant>
      <vt:variant>
        <vt:i4>4980809</vt:i4>
      </vt:variant>
      <vt:variant>
        <vt:i4>9</vt:i4>
      </vt:variant>
      <vt:variant>
        <vt:i4>0</vt:i4>
      </vt:variant>
      <vt:variant>
        <vt:i4>5</vt:i4>
      </vt:variant>
      <vt:variant>
        <vt:lpwstr>https://www.sps.nhs.uk/medicines/daratumumab/</vt:lpwstr>
      </vt:variant>
      <vt:variant>
        <vt:lpwstr/>
      </vt:variant>
      <vt:variant>
        <vt:i4>2883621</vt:i4>
      </vt:variant>
      <vt:variant>
        <vt:i4>6</vt:i4>
      </vt:variant>
      <vt:variant>
        <vt:i4>0</vt:i4>
      </vt:variant>
      <vt:variant>
        <vt:i4>5</vt:i4>
      </vt:variant>
      <vt:variant>
        <vt:lpwstr>https://www.sps.nhs.uk/medicines/beclometasone/</vt:lpwstr>
      </vt:variant>
      <vt:variant>
        <vt:lpwstr/>
      </vt:variant>
      <vt:variant>
        <vt:i4>589864</vt:i4>
      </vt:variant>
      <vt:variant>
        <vt:i4>3</vt:i4>
      </vt:variant>
      <vt:variant>
        <vt:i4>0</vt:i4>
      </vt:variant>
      <vt:variant>
        <vt:i4>5</vt:i4>
      </vt:variant>
      <vt:variant>
        <vt:lpwstr>mailto:nwmedinfo@nhs.net?subject=New%20Medicines%20Newsletter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http://www.sps.nhs.uk/</vt:lpwstr>
      </vt:variant>
      <vt:variant>
        <vt:lpwstr/>
      </vt:variant>
      <vt:variant>
        <vt:i4>589864</vt:i4>
      </vt:variant>
      <vt:variant>
        <vt:i4>18</vt:i4>
      </vt:variant>
      <vt:variant>
        <vt:i4>0</vt:i4>
      </vt:variant>
      <vt:variant>
        <vt:i4>5</vt:i4>
      </vt:variant>
      <vt:variant>
        <vt:lpwstr>mailto:nwmedinfo@nhs.net?subject=New%20Medicines%20Newsletter</vt:lpwstr>
      </vt:variant>
      <vt:variant>
        <vt:lpwstr/>
      </vt:variant>
      <vt:variant>
        <vt:i4>7929901</vt:i4>
      </vt:variant>
      <vt:variant>
        <vt:i4>15</vt:i4>
      </vt:variant>
      <vt:variant>
        <vt:i4>0</vt:i4>
      </vt:variant>
      <vt:variant>
        <vt:i4>5</vt:i4>
      </vt:variant>
      <vt:variant>
        <vt:lpwstr>https://www.sps.nhs.uk/wp-login.php?action=register</vt:lpwstr>
      </vt:variant>
      <vt:variant>
        <vt:lpwstr/>
      </vt:variant>
      <vt:variant>
        <vt:i4>7077923</vt:i4>
      </vt:variant>
      <vt:variant>
        <vt:i4>12</vt:i4>
      </vt:variant>
      <vt:variant>
        <vt:i4>0</vt:i4>
      </vt:variant>
      <vt:variant>
        <vt:i4>5</vt:i4>
      </vt:variant>
      <vt:variant>
        <vt:lpwstr>http://www.sps.nhs.uk/</vt:lpwstr>
      </vt:variant>
      <vt:variant>
        <vt:lpwstr/>
      </vt:variant>
      <vt:variant>
        <vt:i4>3211377</vt:i4>
      </vt:variant>
      <vt:variant>
        <vt:i4>9</vt:i4>
      </vt:variant>
      <vt:variant>
        <vt:i4>0</vt:i4>
      </vt:variant>
      <vt:variant>
        <vt:i4>5</vt:i4>
      </vt:variant>
      <vt:variant>
        <vt:lpwstr>http://www.ukmi.nhs.uk/ndo</vt:lpwstr>
      </vt:variant>
      <vt:variant>
        <vt:lpwstr/>
      </vt:variant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https://www.sps.nhs.uk/prescribing-outlook-2019/</vt:lpwstr>
      </vt:variant>
      <vt:variant>
        <vt:lpwstr/>
      </vt:variant>
      <vt:variant>
        <vt:i4>7405691</vt:i4>
      </vt:variant>
      <vt:variant>
        <vt:i4>3</vt:i4>
      </vt:variant>
      <vt:variant>
        <vt:i4>0</vt:i4>
      </vt:variant>
      <vt:variant>
        <vt:i4>5</vt:i4>
      </vt:variant>
      <vt:variant>
        <vt:lpwstr>https://www.sps.nhs.uk/category/new-medicines/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NDO home | Contact | Register for NDO access</dc:title>
  <dc:creator>Nicola Bradley</dc:creator>
  <cp:lastModifiedBy>Nicola Bradley</cp:lastModifiedBy>
  <cp:revision>3</cp:revision>
  <cp:lastPrinted>2019-12-09T12:59:00Z</cp:lastPrinted>
  <dcterms:created xsi:type="dcterms:W3CDTF">2026-04-09T13:20:00Z</dcterms:created>
  <dcterms:modified xsi:type="dcterms:W3CDTF">2026-04-09T13:20:00Z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0x010100EF9F8181707A014BAADECFD0EF2EB9F0</vt:lpwstr>
  </property>
  <property fmtid="{D5CDD505-2E9C-101B-9397-08002B2CF9AE}" pid="4" name="MediaServiceImageTags">
    <vt:lpwstr/>
  </property>
</Properties>
</file>