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1" w:type="pct"/>
        <w:tblInd w:w="-176" w:type="dxa"/>
        <w:tblLayout w:type="fixed"/>
        <w:tblLook w:val="01E0" w:firstRow="1" w:lastRow="1" w:firstColumn="1" w:lastColumn="1" w:noHBand="0" w:noVBand="0"/>
      </w:tblPr>
      <w:tblGrid>
        <w:gridCol w:w="10267"/>
      </w:tblGrid>
      <w:tr w:rsidR="00D2402E" w:rsidRPr="00862949" w14:paraId="50CEB9E7" w14:textId="77777777" w:rsidTr="009B0BCE">
        <w:trPr>
          <w:trHeight w:val="192"/>
        </w:trPr>
        <w:tc>
          <w:tcPr>
            <w:tcW w:w="5000" w:type="pct"/>
            <w:shd w:val="clear" w:color="auto" w:fill="auto"/>
            <w:tcMar>
              <w:top w:w="57" w:type="dxa"/>
              <w:bottom w:w="57" w:type="dxa"/>
            </w:tcMar>
          </w:tcPr>
          <w:p w14:paraId="25D0A821" w14:textId="77777777" w:rsidR="00D2402E" w:rsidRPr="00E369CC" w:rsidRDefault="00860B89" w:rsidP="00F81A28">
            <w:pPr>
              <w:jc w:val="right"/>
              <w:rPr>
                <w:rFonts w:cs="Arial"/>
                <w:b/>
                <w:bCs/>
                <w:iCs/>
                <w:color w:val="0070C0"/>
                <w:sz w:val="15"/>
                <w:szCs w:val="15"/>
                <w:lang w:val="en-US"/>
              </w:rPr>
            </w:pPr>
            <w:r>
              <w:rPr>
                <w:rFonts w:cs="Arial"/>
                <w:b/>
                <w:bCs/>
                <w:iCs/>
                <w:color w:val="333399"/>
                <w:sz w:val="15"/>
                <w:szCs w:val="15"/>
                <w:lang w:val="en-US"/>
              </w:rPr>
              <w:t xml:space="preserve">  </w:t>
            </w:r>
            <w:r w:rsidR="00A3053B">
              <w:rPr>
                <w:rFonts w:cs="Arial"/>
                <w:b/>
                <w:bCs/>
                <w:iCs/>
                <w:color w:val="333399"/>
                <w:sz w:val="15"/>
                <w:szCs w:val="15"/>
                <w:lang w:val="en-US"/>
              </w:rPr>
              <w:t xml:space="preserve"> </w:t>
            </w:r>
            <w:r w:rsidR="00AB34E3" w:rsidRPr="00862949">
              <w:rPr>
                <w:rFonts w:cs="Arial"/>
                <w:b/>
                <w:bCs/>
                <w:iCs/>
                <w:color w:val="333399"/>
                <w:sz w:val="15"/>
                <w:szCs w:val="15"/>
                <w:lang w:val="en-US"/>
              </w:rPr>
              <w:t xml:space="preserve"> </w:t>
            </w:r>
            <w:r w:rsidR="009C539A" w:rsidRPr="00862949">
              <w:rPr>
                <w:rFonts w:cs="Arial"/>
                <w:b/>
                <w:bCs/>
                <w:iCs/>
                <w:color w:val="333399"/>
                <w:sz w:val="15"/>
                <w:szCs w:val="15"/>
                <w:lang w:val="en-US"/>
              </w:rPr>
              <w:t xml:space="preserve"> </w:t>
            </w:r>
            <w:hyperlink r:id="rId11" w:tgtFrame="_blank" w:history="1">
              <w:r w:rsidR="00F81A28" w:rsidRPr="009B0BCE">
                <w:rPr>
                  <w:rStyle w:val="Hyperlink"/>
                  <w:rFonts w:ascii="Arial" w:hAnsi="Arial" w:cs="Arial"/>
                  <w:b/>
                  <w:bCs/>
                  <w:iCs/>
                  <w:color w:val="0070C0"/>
                  <w:sz w:val="20"/>
                  <w:szCs w:val="15"/>
                  <w:lang w:val="en-US"/>
                </w:rPr>
                <w:t>SPS</w:t>
              </w:r>
              <w:r w:rsidR="00D2402E" w:rsidRPr="009B0BCE">
                <w:rPr>
                  <w:rStyle w:val="Hyperlink"/>
                  <w:rFonts w:ascii="Arial" w:hAnsi="Arial" w:cs="Arial"/>
                  <w:b/>
                  <w:bCs/>
                  <w:iCs/>
                  <w:color w:val="0070C0"/>
                  <w:sz w:val="20"/>
                  <w:szCs w:val="15"/>
                  <w:lang w:val="en-US"/>
                </w:rPr>
                <w:t xml:space="preserve"> home</w:t>
              </w:r>
            </w:hyperlink>
            <w:r w:rsidR="00D2402E" w:rsidRPr="009B0BCE">
              <w:rPr>
                <w:rFonts w:cs="Arial"/>
                <w:b/>
                <w:bCs/>
                <w:iCs/>
                <w:color w:val="0070C0"/>
                <w:sz w:val="20"/>
                <w:szCs w:val="15"/>
                <w:lang w:val="en-US"/>
              </w:rPr>
              <w:t xml:space="preserve"> | </w:t>
            </w:r>
            <w:hyperlink r:id="rId12" w:history="1">
              <w:r w:rsidR="00D2402E" w:rsidRPr="009B0BCE">
                <w:rPr>
                  <w:rStyle w:val="Hyperlink"/>
                  <w:rFonts w:ascii="Arial" w:hAnsi="Arial" w:cs="Arial"/>
                  <w:b/>
                  <w:bCs/>
                  <w:iCs/>
                  <w:color w:val="0070C0"/>
                  <w:sz w:val="20"/>
                  <w:szCs w:val="15"/>
                  <w:lang w:val="en-US"/>
                </w:rPr>
                <w:t>Contact</w:t>
              </w:r>
            </w:hyperlink>
          </w:p>
        </w:tc>
      </w:tr>
    </w:tbl>
    <w:p w14:paraId="25BEAA70" w14:textId="77777777" w:rsidR="00B85859" w:rsidRDefault="00B85859" w:rsidP="00727945">
      <w:pPr>
        <w:rPr>
          <w:rFonts w:ascii="Latha" w:hAnsi="Latha" w:cs="Latha"/>
          <w:sz w:val="8"/>
          <w:szCs w:val="8"/>
        </w:rPr>
      </w:pPr>
    </w:p>
    <w:tbl>
      <w:tblPr>
        <w:tblW w:w="5170" w:type="pct"/>
        <w:tblInd w:w="-176" w:type="dxa"/>
        <w:tblLayout w:type="fixed"/>
        <w:tblLook w:val="01E0" w:firstRow="1" w:lastRow="1" w:firstColumn="1" w:lastColumn="1" w:noHBand="0" w:noVBand="0"/>
      </w:tblPr>
      <w:tblGrid>
        <w:gridCol w:w="2870"/>
        <w:gridCol w:w="7681"/>
      </w:tblGrid>
      <w:tr w:rsidR="0020101A" w:rsidRPr="00862949" w14:paraId="124C9896" w14:textId="77777777" w:rsidTr="002772ED">
        <w:tc>
          <w:tcPr>
            <w:tcW w:w="5000" w:type="pct"/>
            <w:gridSpan w:val="2"/>
            <w:shd w:val="clear" w:color="auto" w:fill="0070C0"/>
            <w:tcMar>
              <w:top w:w="85" w:type="dxa"/>
              <w:bottom w:w="85" w:type="dxa"/>
            </w:tcMar>
            <w:vAlign w:val="bottom"/>
          </w:tcPr>
          <w:p w14:paraId="1E9D4429" w14:textId="77777777" w:rsidR="0020101A" w:rsidRPr="00862949" w:rsidRDefault="0020101A" w:rsidP="00720F9E">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20101A" w:rsidRPr="00862949" w14:paraId="044752A5" w14:textId="77777777" w:rsidTr="002772ED">
        <w:tc>
          <w:tcPr>
            <w:tcW w:w="5000" w:type="pct"/>
            <w:gridSpan w:val="2"/>
            <w:shd w:val="clear" w:color="auto" w:fill="DAEEF3"/>
            <w:tcMar>
              <w:top w:w="0" w:type="dxa"/>
              <w:bottom w:w="0" w:type="dxa"/>
            </w:tcMar>
          </w:tcPr>
          <w:p w14:paraId="1F86751B" w14:textId="77777777" w:rsidR="0020101A" w:rsidRPr="00862949" w:rsidRDefault="0020101A" w:rsidP="00720F9E">
            <w:pPr>
              <w:rPr>
                <w:rFonts w:cs="Arial"/>
                <w:b/>
                <w:bCs/>
                <w:i/>
                <w:iCs/>
                <w:color w:val="000000"/>
                <w:sz w:val="8"/>
                <w:szCs w:val="8"/>
                <w:lang w:val="en-US"/>
              </w:rPr>
            </w:pPr>
          </w:p>
        </w:tc>
      </w:tr>
      <w:tr w:rsidR="0020101A" w:rsidRPr="00862949" w14:paraId="39164267" w14:textId="77777777" w:rsidTr="00562CE4">
        <w:tc>
          <w:tcPr>
            <w:tcW w:w="5000" w:type="pct"/>
            <w:gridSpan w:val="2"/>
            <w:shd w:val="clear" w:color="auto" w:fill="008232"/>
            <w:tcMar>
              <w:top w:w="57" w:type="dxa"/>
              <w:bottom w:w="57" w:type="dxa"/>
            </w:tcMar>
          </w:tcPr>
          <w:p w14:paraId="3F3A4282" w14:textId="77777777" w:rsidR="0020101A" w:rsidRPr="00433D3E" w:rsidRDefault="0020101A" w:rsidP="00720F9E">
            <w:pPr>
              <w:rPr>
                <w:rFonts w:cs="Arial"/>
                <w:color w:val="FFFFFF"/>
                <w:sz w:val="20"/>
                <w:szCs w:val="20"/>
              </w:rPr>
            </w:pPr>
            <w:r w:rsidRPr="00433D3E">
              <w:rPr>
                <w:rFonts w:cs="Arial"/>
                <w:b/>
                <w:bCs/>
                <w:i/>
                <w:iCs/>
                <w:color w:val="FFFFFF"/>
                <w:sz w:val="22"/>
                <w:szCs w:val="20"/>
                <w:lang w:val="en-US"/>
              </w:rPr>
              <w:t>Launched in the UK (or licence change for existing products)</w:t>
            </w:r>
          </w:p>
        </w:tc>
      </w:tr>
      <w:tr w:rsidR="00BE15A9" w:rsidRPr="00131D4C" w14:paraId="2B041CAB" w14:textId="77777777" w:rsidTr="004D26A3">
        <w:tc>
          <w:tcPr>
            <w:tcW w:w="1360" w:type="pct"/>
            <w:shd w:val="clear" w:color="auto" w:fill="auto"/>
            <w:tcMar>
              <w:top w:w="57" w:type="dxa"/>
              <w:left w:w="170" w:type="dxa"/>
              <w:bottom w:w="57" w:type="dxa"/>
              <w:right w:w="170" w:type="dxa"/>
            </w:tcMar>
          </w:tcPr>
          <w:p w14:paraId="50F2672B" w14:textId="77777777" w:rsidR="00BE15A9" w:rsidRDefault="009523FF" w:rsidP="0070555E">
            <w:pPr>
              <w:rPr>
                <w:rFonts w:cs="Arial"/>
                <w:szCs w:val="19"/>
              </w:rPr>
            </w:pPr>
            <w:r w:rsidRPr="009523FF">
              <w:rPr>
                <w:rFonts w:cs="Arial"/>
                <w:szCs w:val="19"/>
              </w:rPr>
              <w:t>Acalabrutinib</w:t>
            </w:r>
            <w:r>
              <w:rPr>
                <w:rFonts w:cs="Arial"/>
                <w:szCs w:val="19"/>
              </w:rPr>
              <w:t xml:space="preserve"> (</w:t>
            </w:r>
            <w:proofErr w:type="spellStart"/>
            <w:r w:rsidR="000A29BA">
              <w:rPr>
                <w:rFonts w:cs="Arial"/>
                <w:i/>
                <w:iCs/>
                <w:szCs w:val="19"/>
              </w:rPr>
              <w:t>Calquence</w:t>
            </w:r>
            <w:proofErr w:type="spellEnd"/>
            <w:r w:rsidR="000A29BA">
              <w:rPr>
                <w:rFonts w:cs="Arial"/>
                <w:szCs w:val="19"/>
              </w:rPr>
              <w:t>)</w:t>
            </w:r>
          </w:p>
          <w:p w14:paraId="25FE46B5" w14:textId="766787B3" w:rsidR="000A29BA" w:rsidRPr="000A29BA" w:rsidRDefault="000A29BA" w:rsidP="0070555E">
            <w:pPr>
              <w:rPr>
                <w:rFonts w:cs="Arial"/>
                <w:szCs w:val="19"/>
              </w:rPr>
            </w:pPr>
            <w:r w:rsidRPr="000A29BA">
              <w:rPr>
                <w:rFonts w:cs="Arial"/>
                <w:sz w:val="16"/>
                <w:szCs w:val="16"/>
              </w:rPr>
              <w:t>100mg tablet</w:t>
            </w:r>
          </w:p>
        </w:tc>
        <w:tc>
          <w:tcPr>
            <w:tcW w:w="3640" w:type="pct"/>
            <w:shd w:val="clear" w:color="auto" w:fill="auto"/>
            <w:tcMar>
              <w:top w:w="57" w:type="dxa"/>
              <w:left w:w="170" w:type="dxa"/>
              <w:bottom w:w="57" w:type="dxa"/>
              <w:right w:w="170" w:type="dxa"/>
            </w:tcMar>
          </w:tcPr>
          <w:p w14:paraId="26EB46B4" w14:textId="51F3E2CC" w:rsidR="00BE15A9" w:rsidRPr="009C4947" w:rsidRDefault="000A29BA" w:rsidP="0011452F">
            <w:pPr>
              <w:tabs>
                <w:tab w:val="center" w:pos="3152"/>
              </w:tabs>
              <w:rPr>
                <w:rFonts w:cs="Arial"/>
                <w:szCs w:val="19"/>
                <w:lang w:val="en-US"/>
              </w:rPr>
            </w:pPr>
            <w:r w:rsidRPr="000A29BA">
              <w:rPr>
                <w:rFonts w:cs="Arial"/>
                <w:szCs w:val="19"/>
                <w:lang w:val="en-US"/>
              </w:rPr>
              <w:t xml:space="preserve">Use in </w:t>
            </w:r>
            <w:r w:rsidR="00C3074E">
              <w:rPr>
                <w:rFonts w:cs="Arial"/>
                <w:szCs w:val="19"/>
                <w:lang w:val="en-US"/>
              </w:rPr>
              <w:t>combinat</w:t>
            </w:r>
            <w:r w:rsidRPr="000A29BA">
              <w:rPr>
                <w:rFonts w:cs="Arial"/>
                <w:szCs w:val="19"/>
                <w:lang w:val="en-US"/>
              </w:rPr>
              <w:t xml:space="preserve">ion with </w:t>
            </w:r>
            <w:proofErr w:type="spellStart"/>
            <w:r w:rsidRPr="000A29BA">
              <w:rPr>
                <w:rFonts w:cs="Arial"/>
                <w:szCs w:val="19"/>
                <w:lang w:val="en-US"/>
              </w:rPr>
              <w:t>venetoclax</w:t>
            </w:r>
            <w:proofErr w:type="spellEnd"/>
            <w:r w:rsidRPr="000A29BA">
              <w:rPr>
                <w:rFonts w:cs="Arial"/>
                <w:szCs w:val="19"/>
                <w:lang w:val="en-US"/>
              </w:rPr>
              <w:t xml:space="preserve"> with or without </w:t>
            </w:r>
            <w:proofErr w:type="spellStart"/>
            <w:r w:rsidRPr="000A29BA">
              <w:rPr>
                <w:rFonts w:cs="Arial"/>
                <w:szCs w:val="19"/>
                <w:lang w:val="en-US"/>
              </w:rPr>
              <w:t>obinutuzumab</w:t>
            </w:r>
            <w:proofErr w:type="spellEnd"/>
            <w:r w:rsidRPr="000A29BA">
              <w:rPr>
                <w:rFonts w:cs="Arial"/>
                <w:szCs w:val="19"/>
                <w:lang w:val="en-US"/>
              </w:rPr>
              <w:t xml:space="preserve"> for the treatment of adults with previously untreated chronic lymphocytic leukaemia</w:t>
            </w:r>
            <w:r>
              <w:rPr>
                <w:rFonts w:cs="Arial"/>
                <w:szCs w:val="19"/>
                <w:lang w:val="en-US"/>
              </w:rPr>
              <w:t xml:space="preserve"> </w:t>
            </w:r>
            <w:r w:rsidRPr="000A29BA">
              <w:rPr>
                <w:rFonts w:cs="Arial"/>
                <w:sz w:val="16"/>
                <w:szCs w:val="16"/>
                <w:lang w:val="en-US"/>
              </w:rPr>
              <w:t>[new indication]</w:t>
            </w:r>
          </w:p>
        </w:tc>
      </w:tr>
      <w:tr w:rsidR="008D138C" w:rsidRPr="00131D4C" w14:paraId="3E60B6CE" w14:textId="77777777" w:rsidTr="004D26A3">
        <w:tc>
          <w:tcPr>
            <w:tcW w:w="1360" w:type="pct"/>
            <w:shd w:val="clear" w:color="auto" w:fill="auto"/>
            <w:tcMar>
              <w:top w:w="57" w:type="dxa"/>
              <w:left w:w="170" w:type="dxa"/>
              <w:bottom w:w="57" w:type="dxa"/>
              <w:right w:w="170" w:type="dxa"/>
            </w:tcMar>
          </w:tcPr>
          <w:p w14:paraId="0392DAC6" w14:textId="77777777" w:rsidR="008D138C" w:rsidRPr="00C34145" w:rsidRDefault="008D138C" w:rsidP="008D138C">
            <w:pPr>
              <w:rPr>
                <w:rFonts w:cs="Arial"/>
                <w:szCs w:val="19"/>
              </w:rPr>
            </w:pPr>
            <w:proofErr w:type="spellStart"/>
            <w:r w:rsidRPr="00C34145">
              <w:rPr>
                <w:rFonts w:cs="Arial"/>
                <w:szCs w:val="19"/>
              </w:rPr>
              <w:t>Amivantamab</w:t>
            </w:r>
            <w:proofErr w:type="spellEnd"/>
            <w:r w:rsidRPr="00C34145">
              <w:rPr>
                <w:rFonts w:cs="Arial"/>
                <w:szCs w:val="19"/>
              </w:rPr>
              <w:t xml:space="preserve"> (</w:t>
            </w:r>
            <w:proofErr w:type="spellStart"/>
            <w:r w:rsidRPr="00C34145">
              <w:rPr>
                <w:rFonts w:cs="Arial"/>
                <w:i/>
                <w:iCs/>
                <w:szCs w:val="19"/>
              </w:rPr>
              <w:t>Rybrevant</w:t>
            </w:r>
            <w:proofErr w:type="spellEnd"/>
            <w:r w:rsidRPr="00C34145">
              <w:rPr>
                <w:rFonts w:cs="Arial"/>
                <w:szCs w:val="19"/>
              </w:rPr>
              <w:t>)</w:t>
            </w:r>
          </w:p>
          <w:p w14:paraId="57CC8537" w14:textId="33DFA171" w:rsidR="008D138C" w:rsidRPr="00CB7CB1" w:rsidRDefault="008D138C" w:rsidP="008D138C">
            <w:pPr>
              <w:rPr>
                <w:rFonts w:cs="Arial"/>
                <w:szCs w:val="19"/>
              </w:rPr>
            </w:pPr>
            <w:r w:rsidRPr="00C34145">
              <w:rPr>
                <w:rFonts w:cs="Arial"/>
                <w:sz w:val="16"/>
                <w:szCs w:val="16"/>
              </w:rPr>
              <w:t>2,240mg in 14mL and 1,600mg in 10mL vials</w:t>
            </w:r>
          </w:p>
        </w:tc>
        <w:tc>
          <w:tcPr>
            <w:tcW w:w="3640" w:type="pct"/>
            <w:shd w:val="clear" w:color="auto" w:fill="auto"/>
            <w:tcMar>
              <w:top w:w="57" w:type="dxa"/>
              <w:left w:w="170" w:type="dxa"/>
              <w:bottom w:w="57" w:type="dxa"/>
              <w:right w:w="170" w:type="dxa"/>
            </w:tcMar>
          </w:tcPr>
          <w:p w14:paraId="5C1F788E" w14:textId="254138C8" w:rsidR="008D138C" w:rsidRDefault="008D138C" w:rsidP="008D138C">
            <w:pPr>
              <w:tabs>
                <w:tab w:val="center" w:pos="3152"/>
              </w:tabs>
              <w:rPr>
                <w:rFonts w:cs="Arial"/>
                <w:bCs/>
                <w:szCs w:val="19"/>
              </w:rPr>
            </w:pPr>
            <w:r w:rsidRPr="00C34145">
              <w:rPr>
                <w:rFonts w:cs="Arial"/>
                <w:szCs w:val="19"/>
              </w:rPr>
              <w:t xml:space="preserve">Use in combination with </w:t>
            </w:r>
            <w:proofErr w:type="spellStart"/>
            <w:r w:rsidRPr="00C34145">
              <w:rPr>
                <w:rFonts w:cs="Arial"/>
                <w:szCs w:val="19"/>
              </w:rPr>
              <w:t>lazertinib</w:t>
            </w:r>
            <w:proofErr w:type="spellEnd"/>
            <w:r w:rsidRPr="00C34145">
              <w:rPr>
                <w:rFonts w:cs="Arial"/>
                <w:szCs w:val="19"/>
              </w:rPr>
              <w:t xml:space="preserve"> for the first-line treatment of adults with advanced non-small cell lung cancer (NSCLC) with epidermal growth factor receptor (EGFR) Exon 19 deletions or Exon 21 L858R substitution mutations, and as monotherapy for treatment of adults with advanced NSCLC with activating EGFR Exon 20 insertion mutations, after failure of platinum-based therapy </w:t>
            </w:r>
            <w:r w:rsidRPr="00C34145">
              <w:rPr>
                <w:rFonts w:cs="Arial"/>
                <w:sz w:val="16"/>
                <w:szCs w:val="16"/>
              </w:rPr>
              <w:t>[new subcutaneous formulations]</w:t>
            </w:r>
          </w:p>
        </w:tc>
      </w:tr>
      <w:tr w:rsidR="00387D29" w:rsidRPr="00131D4C" w14:paraId="26730C0E" w14:textId="77777777" w:rsidTr="004D26A3">
        <w:tc>
          <w:tcPr>
            <w:tcW w:w="1360" w:type="pct"/>
            <w:shd w:val="clear" w:color="auto" w:fill="auto"/>
            <w:tcMar>
              <w:top w:w="57" w:type="dxa"/>
              <w:left w:w="170" w:type="dxa"/>
              <w:bottom w:w="57" w:type="dxa"/>
              <w:right w:w="170" w:type="dxa"/>
            </w:tcMar>
          </w:tcPr>
          <w:p w14:paraId="3A7BC109" w14:textId="77777777" w:rsidR="00387D29" w:rsidRDefault="00387D29" w:rsidP="00387D29">
            <w:pPr>
              <w:rPr>
                <w:rFonts w:cs="Arial"/>
                <w:szCs w:val="19"/>
              </w:rPr>
            </w:pPr>
            <w:r w:rsidRPr="00AE0618">
              <w:rPr>
                <w:rFonts w:cs="Arial"/>
                <w:szCs w:val="19"/>
              </w:rPr>
              <w:t>Budesonide + formoterol </w:t>
            </w:r>
          </w:p>
          <w:p w14:paraId="4466DE55" w14:textId="77777777" w:rsidR="00387D29" w:rsidRDefault="00387D29" w:rsidP="00387D29">
            <w:pPr>
              <w:rPr>
                <w:rFonts w:cs="Arial"/>
                <w:szCs w:val="19"/>
              </w:rPr>
            </w:pPr>
            <w:r>
              <w:rPr>
                <w:rFonts w:cs="Arial"/>
                <w:szCs w:val="19"/>
              </w:rPr>
              <w:t>(</w:t>
            </w:r>
            <w:r w:rsidRPr="00030B99">
              <w:rPr>
                <w:rFonts w:cs="Arial"/>
                <w:i/>
                <w:iCs/>
                <w:szCs w:val="19"/>
              </w:rPr>
              <w:t xml:space="preserve">Symbicort </w:t>
            </w:r>
            <w:proofErr w:type="spellStart"/>
            <w:r w:rsidRPr="00030B99">
              <w:rPr>
                <w:rFonts w:cs="Arial"/>
                <w:i/>
                <w:iCs/>
                <w:szCs w:val="19"/>
              </w:rPr>
              <w:t>Turbohaler</w:t>
            </w:r>
            <w:proofErr w:type="spellEnd"/>
            <w:r>
              <w:rPr>
                <w:rFonts w:cs="Arial"/>
                <w:szCs w:val="19"/>
              </w:rPr>
              <w:t>)</w:t>
            </w:r>
          </w:p>
          <w:p w14:paraId="4D709779" w14:textId="476BBAA2" w:rsidR="008A6684" w:rsidRDefault="008A6684" w:rsidP="00387D29">
            <w:pPr>
              <w:rPr>
                <w:rFonts w:cs="Arial"/>
                <w:szCs w:val="19"/>
              </w:rPr>
            </w:pPr>
            <w:r w:rsidRPr="008A6684">
              <w:rPr>
                <w:rFonts w:cs="Arial"/>
                <w:sz w:val="16"/>
                <w:szCs w:val="16"/>
              </w:rPr>
              <w:t>100micrograms/6micrograms</w:t>
            </w:r>
            <w:r w:rsidR="005D0277">
              <w:rPr>
                <w:rFonts w:cs="Arial"/>
                <w:sz w:val="16"/>
                <w:szCs w:val="16"/>
              </w:rPr>
              <w:t xml:space="preserve"> per </w:t>
            </w:r>
            <w:r w:rsidRPr="008A6684">
              <w:rPr>
                <w:rFonts w:cs="Arial"/>
                <w:sz w:val="16"/>
                <w:szCs w:val="16"/>
              </w:rPr>
              <w:t>inhalation inhaler</w:t>
            </w:r>
          </w:p>
        </w:tc>
        <w:tc>
          <w:tcPr>
            <w:tcW w:w="3640" w:type="pct"/>
            <w:shd w:val="clear" w:color="auto" w:fill="auto"/>
            <w:tcMar>
              <w:top w:w="57" w:type="dxa"/>
              <w:left w:w="170" w:type="dxa"/>
              <w:bottom w:w="57" w:type="dxa"/>
              <w:right w:w="170" w:type="dxa"/>
            </w:tcMar>
          </w:tcPr>
          <w:p w14:paraId="736FE362" w14:textId="5164E000" w:rsidR="00387D29" w:rsidRPr="00C86D59" w:rsidRDefault="00387D29" w:rsidP="00387D29">
            <w:pPr>
              <w:tabs>
                <w:tab w:val="center" w:pos="3152"/>
              </w:tabs>
              <w:rPr>
                <w:rFonts w:cs="Arial"/>
                <w:szCs w:val="19"/>
                <w:lang w:val="en-US"/>
              </w:rPr>
            </w:pPr>
            <w:r>
              <w:rPr>
                <w:rFonts w:cs="Arial"/>
                <w:szCs w:val="19"/>
                <w:lang w:val="en-US"/>
              </w:rPr>
              <w:t xml:space="preserve">Use </w:t>
            </w:r>
            <w:r w:rsidRPr="00030B99">
              <w:rPr>
                <w:rFonts w:cs="Arial"/>
                <w:szCs w:val="19"/>
                <w:lang w:val="en-US"/>
              </w:rPr>
              <w:t xml:space="preserve">in adults, adolescents, and children aged </w:t>
            </w:r>
            <w:r>
              <w:rPr>
                <w:rFonts w:cs="Arial"/>
                <w:szCs w:val="19"/>
                <w:lang w:val="en-US"/>
              </w:rPr>
              <w:t>≥</w:t>
            </w:r>
            <w:r w:rsidRPr="00030B99">
              <w:rPr>
                <w:rFonts w:cs="Arial"/>
                <w:szCs w:val="19"/>
                <w:lang w:val="en-US"/>
              </w:rPr>
              <w:t>6 years for the regular treatment of asthma where use of a combination (inhaled corticosteroid and long-acting β2 adrenoceptor agonist) is appropriate: patients not adequately controlled with inhaled corticosteroids and “as needed” inhaled short-acting β2 adrenoceptor agonists, or patients already adequately controlled on both inhaled corticosteroids and long-acting β2 adrenoceptor agonists</w:t>
            </w:r>
            <w:r>
              <w:rPr>
                <w:rFonts w:cs="Arial"/>
                <w:szCs w:val="19"/>
                <w:lang w:val="en-US"/>
              </w:rPr>
              <w:t xml:space="preserve"> </w:t>
            </w:r>
            <w:r w:rsidRPr="00387D29">
              <w:rPr>
                <w:rFonts w:cs="Arial"/>
                <w:sz w:val="16"/>
                <w:szCs w:val="16"/>
                <w:lang w:val="en-US"/>
              </w:rPr>
              <w:t>[licence change from use only in people aged ≥12 years]</w:t>
            </w:r>
          </w:p>
        </w:tc>
      </w:tr>
      <w:tr w:rsidR="00174EEB" w:rsidRPr="00131D4C" w14:paraId="0A0C1298" w14:textId="77777777" w:rsidTr="004D26A3">
        <w:tc>
          <w:tcPr>
            <w:tcW w:w="1360" w:type="pct"/>
            <w:shd w:val="clear" w:color="auto" w:fill="auto"/>
            <w:tcMar>
              <w:top w:w="57" w:type="dxa"/>
              <w:left w:w="170" w:type="dxa"/>
              <w:bottom w:w="57" w:type="dxa"/>
              <w:right w:w="170" w:type="dxa"/>
            </w:tcMar>
          </w:tcPr>
          <w:p w14:paraId="5DB462B2" w14:textId="77777777" w:rsidR="000F239E" w:rsidRDefault="00174EEB" w:rsidP="00387D29">
            <w:pPr>
              <w:rPr>
                <w:rFonts w:cs="Arial"/>
                <w:szCs w:val="19"/>
              </w:rPr>
            </w:pPr>
            <w:proofErr w:type="spellStart"/>
            <w:r>
              <w:rPr>
                <w:rFonts w:cs="Arial"/>
                <w:szCs w:val="19"/>
              </w:rPr>
              <w:t>Cabozantinib</w:t>
            </w:r>
            <w:proofErr w:type="spellEnd"/>
            <w:r>
              <w:rPr>
                <w:rFonts w:cs="Arial"/>
                <w:szCs w:val="19"/>
              </w:rPr>
              <w:t xml:space="preserve"> </w:t>
            </w:r>
          </w:p>
          <w:p w14:paraId="68BCA309" w14:textId="6C3C3B1B" w:rsidR="00174EEB" w:rsidRDefault="00174EEB" w:rsidP="00387D29">
            <w:pPr>
              <w:rPr>
                <w:rFonts w:cs="Arial"/>
                <w:szCs w:val="19"/>
              </w:rPr>
            </w:pPr>
            <w:r>
              <w:rPr>
                <w:rFonts w:cs="Arial"/>
                <w:szCs w:val="19"/>
              </w:rPr>
              <w:t>(</w:t>
            </w:r>
            <w:proofErr w:type="spellStart"/>
            <w:r>
              <w:rPr>
                <w:rFonts w:cs="Arial"/>
                <w:i/>
                <w:iCs/>
                <w:szCs w:val="19"/>
              </w:rPr>
              <w:t>Cabo</w:t>
            </w:r>
            <w:r w:rsidR="000F239E">
              <w:rPr>
                <w:rFonts w:cs="Arial"/>
                <w:i/>
                <w:iCs/>
                <w:szCs w:val="19"/>
              </w:rPr>
              <w:t>zantinib</w:t>
            </w:r>
            <w:proofErr w:type="spellEnd"/>
            <w:r w:rsidR="000F239E">
              <w:rPr>
                <w:rFonts w:cs="Arial"/>
                <w:i/>
                <w:iCs/>
                <w:szCs w:val="19"/>
              </w:rPr>
              <w:t xml:space="preserve"> Ipsen</w:t>
            </w:r>
            <w:r>
              <w:rPr>
                <w:rFonts w:cs="Arial"/>
                <w:szCs w:val="19"/>
              </w:rPr>
              <w:t>)</w:t>
            </w:r>
          </w:p>
          <w:p w14:paraId="68443101" w14:textId="1EC0CDF5" w:rsidR="0009145E" w:rsidRPr="0009145E" w:rsidRDefault="0009145E" w:rsidP="00387D29">
            <w:pPr>
              <w:rPr>
                <w:rFonts w:cs="Arial"/>
                <w:sz w:val="16"/>
                <w:szCs w:val="16"/>
              </w:rPr>
            </w:pPr>
            <w:r w:rsidRPr="0009145E">
              <w:rPr>
                <w:rFonts w:cs="Arial"/>
                <w:sz w:val="16"/>
                <w:szCs w:val="16"/>
              </w:rPr>
              <w:t>20mg, 40mg and 60mg tablets</w:t>
            </w:r>
          </w:p>
          <w:p w14:paraId="72A8A79E" w14:textId="42824F78" w:rsidR="00174EEB" w:rsidRPr="00174EEB" w:rsidRDefault="00174EEB" w:rsidP="00387D29">
            <w:pPr>
              <w:rPr>
                <w:rFonts w:cs="Arial"/>
                <w:szCs w:val="19"/>
              </w:rPr>
            </w:pPr>
          </w:p>
        </w:tc>
        <w:tc>
          <w:tcPr>
            <w:tcW w:w="3640" w:type="pct"/>
            <w:shd w:val="clear" w:color="auto" w:fill="auto"/>
            <w:tcMar>
              <w:top w:w="57" w:type="dxa"/>
              <w:left w:w="170" w:type="dxa"/>
              <w:bottom w:w="57" w:type="dxa"/>
              <w:right w:w="170" w:type="dxa"/>
            </w:tcMar>
          </w:tcPr>
          <w:p w14:paraId="4B334C89" w14:textId="28513D7C" w:rsidR="00174EEB" w:rsidRPr="00C86D59" w:rsidRDefault="0009145E" w:rsidP="00387D29">
            <w:pPr>
              <w:tabs>
                <w:tab w:val="center" w:pos="3152"/>
              </w:tabs>
              <w:rPr>
                <w:rFonts w:cs="Arial"/>
                <w:szCs w:val="19"/>
                <w:lang w:val="en-US"/>
              </w:rPr>
            </w:pPr>
            <w:r w:rsidRPr="0009145E">
              <w:rPr>
                <w:rFonts w:cs="Arial"/>
                <w:szCs w:val="19"/>
                <w:lang w:val="en-US"/>
              </w:rPr>
              <w:t xml:space="preserve">Treatment of adults with unresectable or metastatic, well differentiated extra-pancreatic and pancreatic neuroendocrine </w:t>
            </w:r>
            <w:proofErr w:type="spellStart"/>
            <w:r w:rsidRPr="0009145E">
              <w:rPr>
                <w:rFonts w:cs="Arial"/>
                <w:szCs w:val="19"/>
                <w:lang w:val="en-US"/>
              </w:rPr>
              <w:t>tumours</w:t>
            </w:r>
            <w:proofErr w:type="spellEnd"/>
            <w:r w:rsidRPr="0009145E">
              <w:rPr>
                <w:rFonts w:cs="Arial"/>
                <w:szCs w:val="19"/>
                <w:lang w:val="en-US"/>
              </w:rPr>
              <w:t xml:space="preserve"> who have progressed following at least one prior systemic therapy other than somatostatin analogues</w:t>
            </w:r>
            <w:r>
              <w:rPr>
                <w:rFonts w:cs="Arial"/>
                <w:szCs w:val="19"/>
                <w:lang w:val="en-US"/>
              </w:rPr>
              <w:t xml:space="preserve"> </w:t>
            </w:r>
            <w:r w:rsidRPr="0009145E">
              <w:rPr>
                <w:rFonts w:cs="Arial"/>
                <w:sz w:val="16"/>
                <w:szCs w:val="16"/>
                <w:lang w:val="en-US"/>
              </w:rPr>
              <w:t>[new indication]</w:t>
            </w:r>
          </w:p>
        </w:tc>
      </w:tr>
      <w:tr w:rsidR="00387D29" w:rsidRPr="00131D4C" w14:paraId="1C560BA2" w14:textId="77777777" w:rsidTr="004D26A3">
        <w:tc>
          <w:tcPr>
            <w:tcW w:w="1360" w:type="pct"/>
            <w:shd w:val="clear" w:color="auto" w:fill="auto"/>
            <w:tcMar>
              <w:top w:w="57" w:type="dxa"/>
              <w:left w:w="170" w:type="dxa"/>
              <w:bottom w:w="57" w:type="dxa"/>
              <w:right w:w="170" w:type="dxa"/>
            </w:tcMar>
          </w:tcPr>
          <w:p w14:paraId="0C874417" w14:textId="77777777" w:rsidR="00387D29" w:rsidRDefault="00387D29" w:rsidP="00387D29">
            <w:pPr>
              <w:rPr>
                <w:rFonts w:cs="Arial"/>
                <w:szCs w:val="19"/>
              </w:rPr>
            </w:pPr>
            <w:r>
              <w:rPr>
                <w:rFonts w:cs="Arial"/>
                <w:szCs w:val="19"/>
              </w:rPr>
              <w:t>Canakinumab (</w:t>
            </w:r>
            <w:proofErr w:type="spellStart"/>
            <w:r>
              <w:rPr>
                <w:rFonts w:cs="Arial"/>
                <w:i/>
                <w:iCs/>
                <w:szCs w:val="19"/>
              </w:rPr>
              <w:t>Ilaris</w:t>
            </w:r>
            <w:proofErr w:type="spellEnd"/>
            <w:r>
              <w:rPr>
                <w:rFonts w:cs="Arial"/>
                <w:szCs w:val="19"/>
              </w:rPr>
              <w:t>)</w:t>
            </w:r>
          </w:p>
          <w:p w14:paraId="1F51C0CC" w14:textId="3C4BD7F5" w:rsidR="00387D29" w:rsidRPr="009B4F9E" w:rsidRDefault="00387D29" w:rsidP="00387D29">
            <w:pPr>
              <w:rPr>
                <w:rFonts w:cs="Arial"/>
                <w:szCs w:val="19"/>
              </w:rPr>
            </w:pPr>
            <w:r w:rsidRPr="009A5F96">
              <w:rPr>
                <w:rFonts w:cs="Arial"/>
                <w:sz w:val="16"/>
                <w:szCs w:val="16"/>
              </w:rPr>
              <w:t>150mg in 1mL prefilled pen</w:t>
            </w:r>
          </w:p>
        </w:tc>
        <w:tc>
          <w:tcPr>
            <w:tcW w:w="3640" w:type="pct"/>
            <w:shd w:val="clear" w:color="auto" w:fill="auto"/>
            <w:tcMar>
              <w:top w:w="57" w:type="dxa"/>
              <w:left w:w="170" w:type="dxa"/>
              <w:bottom w:w="57" w:type="dxa"/>
              <w:right w:w="170" w:type="dxa"/>
            </w:tcMar>
          </w:tcPr>
          <w:p w14:paraId="1E5E2249" w14:textId="25DF1B13" w:rsidR="00387D29" w:rsidRPr="00A075A3" w:rsidRDefault="00387D29" w:rsidP="004D26A3">
            <w:pPr>
              <w:tabs>
                <w:tab w:val="center" w:pos="3152"/>
              </w:tabs>
              <w:rPr>
                <w:rFonts w:cs="Arial"/>
                <w:szCs w:val="19"/>
                <w:lang w:val="en-US"/>
              </w:rPr>
            </w:pPr>
            <w:r w:rsidRPr="00B22A02">
              <w:rPr>
                <w:rFonts w:cs="Arial"/>
                <w:szCs w:val="19"/>
                <w:lang w:val="en-US"/>
              </w:rPr>
              <w:t xml:space="preserve">Treatment of the </w:t>
            </w:r>
            <w:r w:rsidRPr="00B072F1">
              <w:rPr>
                <w:rFonts w:cs="Arial"/>
                <w:szCs w:val="19"/>
                <w:lang w:val="en-US"/>
              </w:rPr>
              <w:t xml:space="preserve">autoinflammatory periodic fever syndromes in adults, adolescents and children aged 2 years and older: cryopyrin-associated periodic syndromes (including Muckle-Wells syndrome, neonatal-onset multisystem inflammatory disease / chronic infantile neurological, cutaneous, articular syndrome, severe forms of familial cold autoinflammatory syndrome / familial cold urticaria presenting with signs and symptoms </w:t>
            </w:r>
            <w:r w:rsidRPr="00A81367">
              <w:rPr>
                <w:rFonts w:cs="Arial"/>
                <w:szCs w:val="19"/>
                <w:lang w:val="en-US"/>
              </w:rPr>
              <w:t xml:space="preserve">beyond cold-induced urticarial </w:t>
            </w:r>
            <w:r w:rsidRPr="008D093F">
              <w:rPr>
                <w:rFonts w:cs="Arial"/>
                <w:szCs w:val="19"/>
                <w:lang w:val="en-US"/>
              </w:rPr>
              <w:t xml:space="preserve">skin rash), tumour necrosis factor receptor associated periodic syndrome, hyperimmunoglobulin D syndrome / mevalonate kinase deficiency, and familial Mediterranean fever. Also treatment of active Still’s disease including adult-onset Still’s disease and systemic juvenile idiopathic arthritis in patients aged ≥2 years </w:t>
            </w:r>
            <w:r w:rsidRPr="008626D9">
              <w:rPr>
                <w:rFonts w:cs="Arial"/>
                <w:szCs w:val="19"/>
                <w:lang w:val="en-US"/>
              </w:rPr>
              <w:t>who have responded inadequately to previous therapy with non-steroidal anti-inflammatory drugs (NSAIDs) and systemic corticosteroids, and symptomatic treatment of adults with frequent gouty arthritis attacks (at least 3 attacks in the previous 12 months) in whom NSAIDs and colchicine are contraindicated, are not tolerated, or do not provide an adequate response, and in whom repeated courses of corticosteroids are not appropriate</w:t>
            </w:r>
            <w:r w:rsidRPr="008626D9">
              <w:rPr>
                <w:rFonts w:cs="Arial"/>
                <w:sz w:val="18"/>
                <w:szCs w:val="18"/>
                <w:lang w:val="en-US"/>
              </w:rPr>
              <w:t xml:space="preserve"> </w:t>
            </w:r>
            <w:r w:rsidRPr="008626D9">
              <w:rPr>
                <w:rFonts w:cs="Arial"/>
                <w:sz w:val="16"/>
                <w:szCs w:val="16"/>
                <w:lang w:val="en-US"/>
              </w:rPr>
              <w:t>[new prefilled pen formulation]</w:t>
            </w:r>
          </w:p>
        </w:tc>
      </w:tr>
      <w:tr w:rsidR="00387D29" w:rsidRPr="00131D4C" w14:paraId="37B86E7C" w14:textId="77777777" w:rsidTr="004D26A3">
        <w:tc>
          <w:tcPr>
            <w:tcW w:w="1360" w:type="pct"/>
            <w:shd w:val="clear" w:color="auto" w:fill="auto"/>
            <w:tcMar>
              <w:top w:w="57" w:type="dxa"/>
              <w:left w:w="170" w:type="dxa"/>
              <w:bottom w:w="57" w:type="dxa"/>
              <w:right w:w="170" w:type="dxa"/>
            </w:tcMar>
          </w:tcPr>
          <w:p w14:paraId="6D760494" w14:textId="77777777" w:rsidR="00387D29" w:rsidRDefault="00387D29" w:rsidP="00387D29">
            <w:pPr>
              <w:rPr>
                <w:rFonts w:cs="Arial"/>
                <w:szCs w:val="19"/>
              </w:rPr>
            </w:pPr>
            <w:proofErr w:type="spellStart"/>
            <w:r w:rsidRPr="00E82690">
              <w:rPr>
                <w:rFonts w:cs="Arial"/>
                <w:szCs w:val="19"/>
              </w:rPr>
              <w:t>Cemivameran</w:t>
            </w:r>
            <w:proofErr w:type="spellEnd"/>
            <w:r>
              <w:rPr>
                <w:rFonts w:cs="Arial"/>
                <w:szCs w:val="19"/>
              </w:rPr>
              <w:t xml:space="preserve"> </w:t>
            </w:r>
          </w:p>
          <w:p w14:paraId="639A98E6" w14:textId="77777777" w:rsidR="00387D29" w:rsidRDefault="00387D29" w:rsidP="00387D29">
            <w:pPr>
              <w:rPr>
                <w:rFonts w:cs="Arial"/>
                <w:szCs w:val="19"/>
              </w:rPr>
            </w:pPr>
            <w:r>
              <w:rPr>
                <w:rFonts w:cs="Arial"/>
                <w:szCs w:val="19"/>
              </w:rPr>
              <w:t>(</w:t>
            </w:r>
            <w:r w:rsidRPr="00B51F5D">
              <w:rPr>
                <w:rFonts w:cs="Arial"/>
                <w:i/>
                <w:iCs/>
                <w:szCs w:val="19"/>
              </w:rPr>
              <w:t>Comirnaty KP.2 30 micrograms/dose</w:t>
            </w:r>
            <w:r w:rsidRPr="00B51F5D">
              <w:rPr>
                <w:rFonts w:cs="Arial"/>
                <w:szCs w:val="19"/>
              </w:rPr>
              <w:t>)</w:t>
            </w:r>
          </w:p>
          <w:p w14:paraId="2C0919C6" w14:textId="3CE8A890" w:rsidR="00387D29" w:rsidRPr="00A075A3" w:rsidRDefault="00387D29" w:rsidP="00387D29">
            <w:pPr>
              <w:rPr>
                <w:rFonts w:cs="Arial"/>
                <w:szCs w:val="19"/>
              </w:rPr>
            </w:pPr>
            <w:r w:rsidRPr="00CF6092">
              <w:rPr>
                <w:rFonts w:cs="Arial"/>
                <w:sz w:val="16"/>
                <w:szCs w:val="16"/>
              </w:rPr>
              <w:t>Single-dose prefilled syringe</w:t>
            </w:r>
          </w:p>
        </w:tc>
        <w:tc>
          <w:tcPr>
            <w:tcW w:w="3640" w:type="pct"/>
            <w:shd w:val="clear" w:color="auto" w:fill="auto"/>
            <w:tcMar>
              <w:top w:w="57" w:type="dxa"/>
              <w:left w:w="170" w:type="dxa"/>
              <w:bottom w:w="57" w:type="dxa"/>
              <w:right w:w="170" w:type="dxa"/>
            </w:tcMar>
          </w:tcPr>
          <w:p w14:paraId="742E8530" w14:textId="44978390" w:rsidR="00387D29" w:rsidRPr="009B0BCE" w:rsidRDefault="00387D29" w:rsidP="00387D29">
            <w:pPr>
              <w:tabs>
                <w:tab w:val="center" w:pos="3152"/>
              </w:tabs>
              <w:rPr>
                <w:rFonts w:cs="Arial"/>
                <w:color w:val="000000"/>
                <w:sz w:val="20"/>
                <w:szCs w:val="18"/>
                <w:lang w:val="en-US"/>
              </w:rPr>
            </w:pPr>
            <w:r w:rsidRPr="00381FEA">
              <w:rPr>
                <w:rFonts w:cs="Arial"/>
                <w:szCs w:val="19"/>
                <w:lang w:val="en-US"/>
              </w:rPr>
              <w:t xml:space="preserve">Active </w:t>
            </w:r>
            <w:proofErr w:type="spellStart"/>
            <w:r w:rsidRPr="00381FEA">
              <w:rPr>
                <w:rFonts w:cs="Arial"/>
                <w:szCs w:val="19"/>
                <w:lang w:val="en-US"/>
              </w:rPr>
              <w:t>immunisation</w:t>
            </w:r>
            <w:proofErr w:type="spellEnd"/>
            <w:r w:rsidRPr="00381FEA">
              <w:rPr>
                <w:rFonts w:cs="Arial"/>
                <w:szCs w:val="19"/>
                <w:lang w:val="en-US"/>
              </w:rPr>
              <w:t xml:space="preserve"> to prevent COVID-19 caused by SARS-CoV-2 in individuals </w:t>
            </w:r>
            <w:r>
              <w:rPr>
                <w:rFonts w:cs="Arial"/>
                <w:szCs w:val="19"/>
                <w:lang w:val="en-US"/>
              </w:rPr>
              <w:t>aged ≥</w:t>
            </w:r>
            <w:r w:rsidRPr="00381FEA">
              <w:rPr>
                <w:rFonts w:cs="Arial"/>
                <w:szCs w:val="19"/>
                <w:lang w:val="en-US"/>
              </w:rPr>
              <w:t>12 years</w:t>
            </w:r>
          </w:p>
        </w:tc>
      </w:tr>
      <w:tr w:rsidR="00387D29" w14:paraId="2B1961E5" w14:textId="77777777" w:rsidTr="004D26A3">
        <w:tc>
          <w:tcPr>
            <w:tcW w:w="1360" w:type="pct"/>
            <w:shd w:val="clear" w:color="auto" w:fill="auto"/>
            <w:tcMar>
              <w:top w:w="57" w:type="dxa"/>
              <w:left w:w="170" w:type="dxa"/>
              <w:bottom w:w="57" w:type="dxa"/>
              <w:right w:w="170" w:type="dxa"/>
            </w:tcMar>
          </w:tcPr>
          <w:p w14:paraId="05421293" w14:textId="77777777" w:rsidR="00387D29" w:rsidRPr="00932460" w:rsidRDefault="00387D29" w:rsidP="00387D29">
            <w:pPr>
              <w:rPr>
                <w:rFonts w:cs="Arial"/>
                <w:szCs w:val="19"/>
              </w:rPr>
            </w:pPr>
            <w:r w:rsidRPr="00932460">
              <w:rPr>
                <w:rFonts w:cs="Arial"/>
                <w:szCs w:val="19"/>
              </w:rPr>
              <w:t xml:space="preserve">Influenza vaccine </w:t>
            </w:r>
          </w:p>
          <w:p w14:paraId="52CF3212" w14:textId="77777777" w:rsidR="00387D29" w:rsidRPr="00932460" w:rsidRDefault="00387D29" w:rsidP="00387D29">
            <w:pPr>
              <w:rPr>
                <w:rFonts w:cs="Arial"/>
                <w:szCs w:val="19"/>
              </w:rPr>
            </w:pPr>
            <w:r w:rsidRPr="00932460">
              <w:rPr>
                <w:rFonts w:cs="Arial"/>
                <w:szCs w:val="19"/>
              </w:rPr>
              <w:t>(</w:t>
            </w:r>
            <w:proofErr w:type="spellStart"/>
            <w:r w:rsidRPr="00932460">
              <w:rPr>
                <w:rFonts w:cs="Arial"/>
                <w:i/>
                <w:iCs/>
                <w:szCs w:val="19"/>
              </w:rPr>
              <w:t>Supemtek</w:t>
            </w:r>
            <w:proofErr w:type="spellEnd"/>
            <w:r w:rsidRPr="00932460">
              <w:rPr>
                <w:rFonts w:cs="Arial"/>
                <w:i/>
                <w:iCs/>
                <w:szCs w:val="19"/>
              </w:rPr>
              <w:t xml:space="preserve"> </w:t>
            </w:r>
            <w:proofErr w:type="spellStart"/>
            <w:r w:rsidRPr="00932460">
              <w:rPr>
                <w:rFonts w:cs="Arial"/>
                <w:i/>
                <w:iCs/>
                <w:szCs w:val="19"/>
              </w:rPr>
              <w:t>TIVr</w:t>
            </w:r>
            <w:proofErr w:type="spellEnd"/>
            <w:r w:rsidRPr="00932460">
              <w:rPr>
                <w:rFonts w:cs="Arial"/>
                <w:szCs w:val="19"/>
              </w:rPr>
              <w:t>)</w:t>
            </w:r>
          </w:p>
          <w:p w14:paraId="461675C5" w14:textId="71C0BDDE" w:rsidR="00387D29" w:rsidRPr="00CA0AC9" w:rsidRDefault="00387D29" w:rsidP="00387D29">
            <w:pPr>
              <w:rPr>
                <w:rFonts w:cs="Arial"/>
                <w:szCs w:val="19"/>
              </w:rPr>
            </w:pPr>
            <w:r w:rsidRPr="00932460">
              <w:rPr>
                <w:rFonts w:cs="Arial"/>
                <w:sz w:val="16"/>
                <w:szCs w:val="16"/>
              </w:rPr>
              <w:t>Single-dose prefilled syringe</w:t>
            </w:r>
          </w:p>
        </w:tc>
        <w:tc>
          <w:tcPr>
            <w:tcW w:w="3640" w:type="pct"/>
            <w:shd w:val="clear" w:color="auto" w:fill="auto"/>
            <w:tcMar>
              <w:top w:w="57" w:type="dxa"/>
              <w:left w:w="170" w:type="dxa"/>
              <w:bottom w:w="57" w:type="dxa"/>
              <w:right w:w="170" w:type="dxa"/>
            </w:tcMar>
          </w:tcPr>
          <w:p w14:paraId="66B0E3A0" w14:textId="0A40EBFB" w:rsidR="00387D29" w:rsidRPr="00A075A3" w:rsidRDefault="00387D29" w:rsidP="00387D29">
            <w:pPr>
              <w:tabs>
                <w:tab w:val="center" w:pos="3152"/>
              </w:tabs>
              <w:rPr>
                <w:rFonts w:cs="Arial"/>
                <w:bCs/>
                <w:szCs w:val="19"/>
              </w:rPr>
            </w:pPr>
            <w:r w:rsidRPr="00932460">
              <w:rPr>
                <w:rFonts w:cs="Arial"/>
                <w:szCs w:val="19"/>
              </w:rPr>
              <w:t>Active immunisation for the prevention of influenza disease in adults</w:t>
            </w:r>
          </w:p>
        </w:tc>
      </w:tr>
      <w:tr w:rsidR="00387D29" w:rsidRPr="00862949" w14:paraId="781CFFE6" w14:textId="77777777" w:rsidTr="002772ED">
        <w:tc>
          <w:tcPr>
            <w:tcW w:w="5000" w:type="pct"/>
            <w:gridSpan w:val="2"/>
            <w:shd w:val="clear" w:color="auto" w:fill="auto"/>
            <w:tcMar>
              <w:top w:w="0" w:type="dxa"/>
              <w:bottom w:w="0" w:type="dxa"/>
            </w:tcMar>
          </w:tcPr>
          <w:p w14:paraId="74623F22" w14:textId="77777777" w:rsidR="00387D29" w:rsidRPr="00862949" w:rsidRDefault="00387D29" w:rsidP="00387D29">
            <w:pPr>
              <w:rPr>
                <w:rFonts w:cs="Arial"/>
                <w:b/>
                <w:noProof/>
                <w:sz w:val="8"/>
                <w:szCs w:val="8"/>
              </w:rPr>
            </w:pPr>
          </w:p>
        </w:tc>
      </w:tr>
      <w:tr w:rsidR="00387D29" w:rsidRPr="00862949" w14:paraId="7B36C2F7" w14:textId="77777777" w:rsidTr="002772ED">
        <w:tc>
          <w:tcPr>
            <w:tcW w:w="5000" w:type="pct"/>
            <w:gridSpan w:val="2"/>
            <w:shd w:val="clear" w:color="auto" w:fill="DAEEF3"/>
            <w:tcMar>
              <w:top w:w="0" w:type="dxa"/>
              <w:bottom w:w="0" w:type="dxa"/>
            </w:tcMar>
          </w:tcPr>
          <w:p w14:paraId="0B9200D6" w14:textId="77777777" w:rsidR="00387D29" w:rsidRPr="00862949" w:rsidRDefault="00387D29" w:rsidP="00387D29">
            <w:pPr>
              <w:rPr>
                <w:rFonts w:cs="Arial"/>
                <w:b/>
                <w:i/>
                <w:noProof/>
                <w:sz w:val="8"/>
                <w:szCs w:val="8"/>
              </w:rPr>
            </w:pPr>
          </w:p>
        </w:tc>
      </w:tr>
    </w:tbl>
    <w:p w14:paraId="7EE28AE4" w14:textId="77777777" w:rsidR="00797F59" w:rsidRDefault="00797F59" w:rsidP="00727945">
      <w:pPr>
        <w:rPr>
          <w:rFonts w:ascii="Latha" w:hAnsi="Latha" w:cs="Latha"/>
          <w:sz w:val="8"/>
          <w:szCs w:val="8"/>
        </w:rPr>
      </w:pPr>
    </w:p>
    <w:p w14:paraId="53F7551F" w14:textId="77777777" w:rsidR="0022269C" w:rsidRDefault="0022269C" w:rsidP="00727945">
      <w:pPr>
        <w:rPr>
          <w:rFonts w:ascii="Latha" w:hAnsi="Latha" w:cs="Latha"/>
          <w:sz w:val="8"/>
          <w:szCs w:val="8"/>
        </w:rPr>
      </w:pPr>
    </w:p>
    <w:p w14:paraId="52896FAF" w14:textId="77777777" w:rsidR="0022269C" w:rsidRDefault="0022269C" w:rsidP="00727945">
      <w:pPr>
        <w:rPr>
          <w:rFonts w:ascii="Latha" w:hAnsi="Latha" w:cs="Latha"/>
          <w:sz w:val="8"/>
          <w:szCs w:val="8"/>
        </w:rPr>
      </w:pPr>
    </w:p>
    <w:p w14:paraId="7D8E7C37" w14:textId="77777777" w:rsidR="0022269C" w:rsidRDefault="0022269C" w:rsidP="00727945">
      <w:pPr>
        <w:rPr>
          <w:rFonts w:ascii="Latha" w:hAnsi="Latha" w:cs="Latha"/>
          <w:sz w:val="8"/>
          <w:szCs w:val="8"/>
        </w:rPr>
      </w:pPr>
    </w:p>
    <w:p w14:paraId="5E403C8B" w14:textId="77777777" w:rsidR="001A42CE" w:rsidRPr="00727945" w:rsidRDefault="001A42CE" w:rsidP="00727945">
      <w:pPr>
        <w:rPr>
          <w:rFonts w:ascii="Latha" w:hAnsi="Latha" w:cs="Latha"/>
          <w:sz w:val="8"/>
          <w:szCs w:val="8"/>
        </w:rPr>
        <w:sectPr w:rsidR="001A42CE" w:rsidRPr="00727945" w:rsidSect="002772ED">
          <w:headerReference w:type="even" r:id="rId13"/>
          <w:headerReference w:type="default" r:id="rId14"/>
          <w:footerReference w:type="even" r:id="rId15"/>
          <w:footerReference w:type="default" r:id="rId16"/>
          <w:headerReference w:type="first" r:id="rId17"/>
          <w:pgSz w:w="11906" w:h="16838" w:code="9"/>
          <w:pgMar w:top="680" w:right="851" w:bottom="680" w:left="851" w:header="567" w:footer="227" w:gutter="0"/>
          <w:cols w:space="708"/>
          <w:docGrid w:linePitch="360"/>
        </w:sectPr>
      </w:pPr>
    </w:p>
    <w:p w14:paraId="615F965B" w14:textId="77777777" w:rsidR="006825BB" w:rsidRDefault="006825BB">
      <w:pPr>
        <w:rPr>
          <w:sz w:val="8"/>
          <w:szCs w:val="16"/>
        </w:rPr>
      </w:pPr>
    </w:p>
    <w:p w14:paraId="2B18168C" w14:textId="77777777" w:rsidR="00C10FEB" w:rsidRDefault="00C10FEB">
      <w:pPr>
        <w:rPr>
          <w:sz w:val="8"/>
          <w:szCs w:val="16"/>
        </w:rPr>
      </w:pPr>
    </w:p>
    <w:p w14:paraId="5625CB81" w14:textId="77777777" w:rsidR="00A81694" w:rsidRDefault="00EB3E6F" w:rsidP="00EB3E6F">
      <w:pPr>
        <w:tabs>
          <w:tab w:val="left" w:pos="2087"/>
        </w:tabs>
      </w:pPr>
      <w:r>
        <w:tab/>
      </w:r>
    </w:p>
    <w:tbl>
      <w:tblPr>
        <w:tblW w:w="5170" w:type="pct"/>
        <w:tblInd w:w="-176" w:type="dxa"/>
        <w:tblLayout w:type="fixed"/>
        <w:tblLook w:val="01E0" w:firstRow="1" w:lastRow="1" w:firstColumn="1" w:lastColumn="1" w:noHBand="0" w:noVBand="0"/>
      </w:tblPr>
      <w:tblGrid>
        <w:gridCol w:w="3153"/>
        <w:gridCol w:w="7398"/>
      </w:tblGrid>
      <w:tr w:rsidR="005D0277" w:rsidRPr="00862949" w14:paraId="7BDABDE6" w14:textId="77777777" w:rsidTr="003D19FB">
        <w:tc>
          <w:tcPr>
            <w:tcW w:w="5000" w:type="pct"/>
            <w:gridSpan w:val="2"/>
            <w:shd w:val="clear" w:color="auto" w:fill="0070C0"/>
            <w:tcMar>
              <w:top w:w="85" w:type="dxa"/>
              <w:bottom w:w="85" w:type="dxa"/>
            </w:tcMar>
            <w:vAlign w:val="bottom"/>
          </w:tcPr>
          <w:p w14:paraId="390E7CE9" w14:textId="77777777" w:rsidR="005D0277" w:rsidRPr="00862949" w:rsidRDefault="005D0277" w:rsidP="003D19FB">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5D0277" w:rsidRPr="00862949" w14:paraId="44DB3580" w14:textId="77777777" w:rsidTr="003D19FB">
        <w:tc>
          <w:tcPr>
            <w:tcW w:w="5000" w:type="pct"/>
            <w:gridSpan w:val="2"/>
            <w:shd w:val="clear" w:color="auto" w:fill="DAEEF3"/>
            <w:tcMar>
              <w:top w:w="0" w:type="dxa"/>
              <w:bottom w:w="0" w:type="dxa"/>
            </w:tcMar>
          </w:tcPr>
          <w:p w14:paraId="11B416CB" w14:textId="77777777" w:rsidR="005D0277" w:rsidRPr="00862949" w:rsidRDefault="005D0277" w:rsidP="003D19FB">
            <w:pPr>
              <w:rPr>
                <w:rFonts w:cs="Arial"/>
                <w:b/>
                <w:bCs/>
                <w:i/>
                <w:iCs/>
                <w:color w:val="000000"/>
                <w:sz w:val="8"/>
                <w:szCs w:val="8"/>
                <w:lang w:val="en-US"/>
              </w:rPr>
            </w:pPr>
          </w:p>
        </w:tc>
      </w:tr>
      <w:tr w:rsidR="005D0277" w:rsidRPr="00862949" w14:paraId="26169834" w14:textId="77777777" w:rsidTr="003D19FB">
        <w:tc>
          <w:tcPr>
            <w:tcW w:w="5000" w:type="pct"/>
            <w:gridSpan w:val="2"/>
            <w:shd w:val="clear" w:color="auto" w:fill="008232"/>
            <w:tcMar>
              <w:top w:w="57" w:type="dxa"/>
              <w:bottom w:w="57" w:type="dxa"/>
            </w:tcMar>
          </w:tcPr>
          <w:p w14:paraId="28A03B7B" w14:textId="192E6BBB" w:rsidR="005D0277" w:rsidRPr="00433D3E" w:rsidRDefault="005D0277" w:rsidP="003D19FB">
            <w:pPr>
              <w:rPr>
                <w:rFonts w:cs="Arial"/>
                <w:color w:val="FFFFFF"/>
                <w:sz w:val="20"/>
                <w:szCs w:val="20"/>
              </w:rPr>
            </w:pPr>
            <w:r w:rsidRPr="00433D3E">
              <w:rPr>
                <w:rFonts w:cs="Arial"/>
                <w:b/>
                <w:bCs/>
                <w:i/>
                <w:iCs/>
                <w:color w:val="FFFFFF"/>
                <w:sz w:val="22"/>
                <w:szCs w:val="20"/>
                <w:lang w:val="en-US"/>
              </w:rPr>
              <w:t>Launched in the UK (or licence change for existing products)</w:t>
            </w:r>
            <w:r w:rsidR="00A460D1">
              <w:rPr>
                <w:rFonts w:cs="Arial"/>
                <w:b/>
                <w:bCs/>
                <w:i/>
                <w:iCs/>
                <w:color w:val="FFFFFF"/>
                <w:sz w:val="22"/>
                <w:szCs w:val="20"/>
                <w:lang w:val="en-US"/>
              </w:rPr>
              <w:t xml:space="preserve"> </w:t>
            </w:r>
            <w:r w:rsidR="00A460D1" w:rsidRPr="00A460D1">
              <w:rPr>
                <w:rFonts w:cs="Arial"/>
                <w:b/>
                <w:bCs/>
                <w:color w:val="FFFFFF"/>
                <w:sz w:val="16"/>
                <w:szCs w:val="14"/>
                <w:lang w:val="en-US"/>
              </w:rPr>
              <w:t>(continued)</w:t>
            </w:r>
          </w:p>
        </w:tc>
      </w:tr>
      <w:tr w:rsidR="00174EEB" w:rsidRPr="00131D4C" w14:paraId="24957C3B" w14:textId="77777777" w:rsidTr="0060777E">
        <w:tc>
          <w:tcPr>
            <w:tcW w:w="1494" w:type="pct"/>
            <w:shd w:val="clear" w:color="auto" w:fill="auto"/>
            <w:tcMar>
              <w:top w:w="57" w:type="dxa"/>
              <w:left w:w="170" w:type="dxa"/>
              <w:bottom w:w="57" w:type="dxa"/>
              <w:right w:w="170" w:type="dxa"/>
            </w:tcMar>
          </w:tcPr>
          <w:p w14:paraId="26C681F8" w14:textId="77777777" w:rsidR="00174EEB" w:rsidRDefault="00174EEB" w:rsidP="00174EEB">
            <w:pPr>
              <w:rPr>
                <w:rFonts w:cs="Arial"/>
                <w:szCs w:val="19"/>
              </w:rPr>
            </w:pPr>
            <w:r>
              <w:rPr>
                <w:rFonts w:cs="Arial"/>
                <w:szCs w:val="19"/>
              </w:rPr>
              <w:t>Levodopa (</w:t>
            </w:r>
            <w:proofErr w:type="spellStart"/>
            <w:r>
              <w:rPr>
                <w:rFonts w:cs="Arial"/>
                <w:i/>
                <w:iCs/>
                <w:szCs w:val="19"/>
              </w:rPr>
              <w:t>Inbrija</w:t>
            </w:r>
            <w:proofErr w:type="spellEnd"/>
            <w:r>
              <w:rPr>
                <w:rFonts w:cs="Arial"/>
                <w:szCs w:val="19"/>
              </w:rPr>
              <w:t>)</w:t>
            </w:r>
          </w:p>
          <w:p w14:paraId="5996C86C" w14:textId="2874BB78" w:rsidR="00174EEB" w:rsidRPr="00932460" w:rsidRDefault="00174EEB" w:rsidP="00174EEB">
            <w:pPr>
              <w:rPr>
                <w:rFonts w:cs="Arial"/>
                <w:szCs w:val="19"/>
              </w:rPr>
            </w:pPr>
            <w:r w:rsidRPr="00044018">
              <w:rPr>
                <w:rFonts w:cs="Arial"/>
                <w:sz w:val="16"/>
                <w:szCs w:val="16"/>
              </w:rPr>
              <w:t xml:space="preserve">33mg capsule for inhalation </w:t>
            </w:r>
          </w:p>
        </w:tc>
        <w:tc>
          <w:tcPr>
            <w:tcW w:w="3506" w:type="pct"/>
            <w:shd w:val="clear" w:color="auto" w:fill="auto"/>
            <w:tcMar>
              <w:top w:w="57" w:type="dxa"/>
              <w:left w:w="170" w:type="dxa"/>
              <w:bottom w:w="57" w:type="dxa"/>
              <w:right w:w="170" w:type="dxa"/>
            </w:tcMar>
          </w:tcPr>
          <w:p w14:paraId="2148C329" w14:textId="77777777" w:rsidR="00174EEB" w:rsidRDefault="00174EEB" w:rsidP="00174EEB">
            <w:pPr>
              <w:tabs>
                <w:tab w:val="center" w:pos="3152"/>
              </w:tabs>
              <w:rPr>
                <w:rFonts w:cs="Arial"/>
                <w:szCs w:val="19"/>
              </w:rPr>
            </w:pPr>
            <w:r>
              <w:rPr>
                <w:rFonts w:cs="Arial"/>
                <w:szCs w:val="19"/>
              </w:rPr>
              <w:t>In</w:t>
            </w:r>
            <w:r w:rsidRPr="00565BC2">
              <w:rPr>
                <w:rFonts w:cs="Arial"/>
                <w:szCs w:val="19"/>
              </w:rPr>
              <w:t>termittent treatment of episodic motor fluctuations (OFF episodes) in adults with Parkinson's disease treated with a levodopa/dopa-decarboxylase inhibitor</w:t>
            </w:r>
            <w:r>
              <w:rPr>
                <w:rFonts w:cs="Arial"/>
                <w:szCs w:val="19"/>
              </w:rPr>
              <w:t xml:space="preserve"> </w:t>
            </w:r>
          </w:p>
          <w:p w14:paraId="0893AE61" w14:textId="7F73CA31" w:rsidR="00174EEB" w:rsidRPr="00932460" w:rsidRDefault="00174EEB" w:rsidP="00174EEB">
            <w:pPr>
              <w:tabs>
                <w:tab w:val="center" w:pos="3152"/>
              </w:tabs>
              <w:rPr>
                <w:rFonts w:cs="Arial"/>
                <w:szCs w:val="19"/>
              </w:rPr>
            </w:pPr>
            <w:r w:rsidRPr="00D834C4">
              <w:rPr>
                <w:rFonts w:cs="Arial"/>
                <w:sz w:val="16"/>
                <w:szCs w:val="16"/>
              </w:rPr>
              <w:t>[new inhaled formulation]</w:t>
            </w:r>
          </w:p>
        </w:tc>
      </w:tr>
      <w:tr w:rsidR="003E63D7" w:rsidRPr="00131D4C" w14:paraId="76A15BDA" w14:textId="77777777" w:rsidTr="0060777E">
        <w:tc>
          <w:tcPr>
            <w:tcW w:w="1494" w:type="pct"/>
            <w:shd w:val="clear" w:color="auto" w:fill="auto"/>
            <w:tcMar>
              <w:top w:w="57" w:type="dxa"/>
              <w:left w:w="170" w:type="dxa"/>
              <w:bottom w:w="57" w:type="dxa"/>
              <w:right w:w="170" w:type="dxa"/>
            </w:tcMar>
          </w:tcPr>
          <w:p w14:paraId="2B598CC6" w14:textId="77777777" w:rsidR="003E63D7" w:rsidRDefault="003E63D7" w:rsidP="003E63D7">
            <w:pPr>
              <w:rPr>
                <w:rFonts w:cs="Arial"/>
                <w:szCs w:val="19"/>
              </w:rPr>
            </w:pPr>
            <w:r w:rsidRPr="00891E10">
              <w:rPr>
                <w:rFonts w:cs="Arial"/>
                <w:szCs w:val="19"/>
              </w:rPr>
              <w:t>Lisocabtagene maraleucel</w:t>
            </w:r>
            <w:r>
              <w:rPr>
                <w:rFonts w:cs="Arial"/>
                <w:szCs w:val="19"/>
              </w:rPr>
              <w:t xml:space="preserve"> (</w:t>
            </w:r>
            <w:r>
              <w:rPr>
                <w:rFonts w:cs="Arial"/>
                <w:i/>
                <w:iCs/>
                <w:szCs w:val="19"/>
              </w:rPr>
              <w:t>Breyanzi</w:t>
            </w:r>
            <w:r>
              <w:rPr>
                <w:rFonts w:cs="Arial"/>
                <w:szCs w:val="19"/>
              </w:rPr>
              <w:t xml:space="preserve">) </w:t>
            </w:r>
          </w:p>
          <w:p w14:paraId="7446540A" w14:textId="257A5B2D" w:rsidR="003E63D7" w:rsidRPr="00932460" w:rsidRDefault="003E63D7" w:rsidP="003E63D7">
            <w:pPr>
              <w:rPr>
                <w:rFonts w:cs="Arial"/>
                <w:szCs w:val="19"/>
              </w:rPr>
            </w:pPr>
            <w:r w:rsidRPr="008C10C8">
              <w:rPr>
                <w:rFonts w:cs="Arial"/>
                <w:sz w:val="16"/>
                <w:szCs w:val="16"/>
              </w:rPr>
              <w:t>5.1</w:t>
            </w:r>
            <w:r>
              <w:rPr>
                <w:rFonts w:cs="Arial"/>
                <w:sz w:val="16"/>
                <w:szCs w:val="16"/>
              </w:rPr>
              <w:t>-</w:t>
            </w:r>
            <w:r w:rsidRPr="008C10C8">
              <w:rPr>
                <w:rFonts w:cs="Arial"/>
                <w:sz w:val="16"/>
                <w:szCs w:val="16"/>
              </w:rPr>
              <w:t>322 × 10</w:t>
            </w:r>
            <w:r w:rsidRPr="008C10C8">
              <w:rPr>
                <w:rFonts w:cs="Arial"/>
                <w:sz w:val="16"/>
                <w:szCs w:val="16"/>
                <w:vertAlign w:val="superscript"/>
              </w:rPr>
              <w:t xml:space="preserve">6 </w:t>
            </w:r>
            <w:r w:rsidRPr="008C10C8">
              <w:rPr>
                <w:rFonts w:cs="Arial"/>
                <w:sz w:val="16"/>
                <w:szCs w:val="16"/>
              </w:rPr>
              <w:t>CAR+ viable T cells</w:t>
            </w:r>
            <w:r>
              <w:rPr>
                <w:rFonts w:cs="Arial"/>
                <w:sz w:val="16"/>
                <w:szCs w:val="16"/>
              </w:rPr>
              <w:t xml:space="preserve"> in 4.6mL vials (CD4+ and CD8+ cell components in separate vials)</w:t>
            </w:r>
          </w:p>
        </w:tc>
        <w:tc>
          <w:tcPr>
            <w:tcW w:w="3506" w:type="pct"/>
            <w:shd w:val="clear" w:color="auto" w:fill="auto"/>
            <w:tcMar>
              <w:top w:w="57" w:type="dxa"/>
              <w:left w:w="170" w:type="dxa"/>
              <w:bottom w:w="57" w:type="dxa"/>
              <w:right w:w="170" w:type="dxa"/>
            </w:tcMar>
          </w:tcPr>
          <w:p w14:paraId="4912F081" w14:textId="41BF20F2" w:rsidR="003E63D7" w:rsidRPr="00932460" w:rsidRDefault="009770A0" w:rsidP="003E63D7">
            <w:pPr>
              <w:tabs>
                <w:tab w:val="center" w:pos="3152"/>
              </w:tabs>
              <w:rPr>
                <w:rFonts w:cs="Arial"/>
                <w:szCs w:val="19"/>
              </w:rPr>
            </w:pPr>
            <w:r w:rsidRPr="009770A0">
              <w:rPr>
                <w:rFonts w:cs="Arial"/>
                <w:szCs w:val="19"/>
                <w:lang w:val="en-US"/>
              </w:rPr>
              <w:t>Treatment of adults with relapsed or refractory follicular lymphoma after two or more lines of systemic therapy</w:t>
            </w:r>
            <w:r>
              <w:rPr>
                <w:rFonts w:cs="Arial"/>
                <w:szCs w:val="19"/>
                <w:lang w:val="en-US"/>
              </w:rPr>
              <w:t xml:space="preserve"> </w:t>
            </w:r>
            <w:r w:rsidRPr="0060777E">
              <w:rPr>
                <w:rFonts w:cs="Arial"/>
                <w:sz w:val="16"/>
                <w:szCs w:val="16"/>
              </w:rPr>
              <w:t>[new indication]</w:t>
            </w:r>
          </w:p>
        </w:tc>
      </w:tr>
      <w:tr w:rsidR="003E63D7" w:rsidRPr="00131D4C" w14:paraId="5BDD6174" w14:textId="77777777" w:rsidTr="0060777E">
        <w:tc>
          <w:tcPr>
            <w:tcW w:w="1494" w:type="pct"/>
            <w:shd w:val="clear" w:color="auto" w:fill="auto"/>
            <w:tcMar>
              <w:top w:w="57" w:type="dxa"/>
              <w:left w:w="170" w:type="dxa"/>
              <w:bottom w:w="57" w:type="dxa"/>
              <w:right w:w="170" w:type="dxa"/>
            </w:tcMar>
          </w:tcPr>
          <w:p w14:paraId="04CBD503" w14:textId="77777777" w:rsidR="003E63D7" w:rsidRPr="00932460" w:rsidRDefault="003E63D7" w:rsidP="003E63D7">
            <w:pPr>
              <w:rPr>
                <w:rFonts w:cs="Arial"/>
                <w:szCs w:val="19"/>
              </w:rPr>
            </w:pPr>
            <w:proofErr w:type="spellStart"/>
            <w:r w:rsidRPr="00932460">
              <w:rPr>
                <w:rFonts w:cs="Arial"/>
                <w:szCs w:val="19"/>
              </w:rPr>
              <w:t>Mirikizumab</w:t>
            </w:r>
            <w:proofErr w:type="spellEnd"/>
            <w:r w:rsidRPr="00932460">
              <w:rPr>
                <w:rFonts w:cs="Arial"/>
                <w:szCs w:val="19"/>
              </w:rPr>
              <w:t xml:space="preserve"> (</w:t>
            </w:r>
            <w:proofErr w:type="spellStart"/>
            <w:r w:rsidRPr="00932460">
              <w:rPr>
                <w:rFonts w:cs="Arial"/>
                <w:i/>
                <w:iCs/>
                <w:szCs w:val="19"/>
              </w:rPr>
              <w:t>Omvoh</w:t>
            </w:r>
            <w:proofErr w:type="spellEnd"/>
            <w:r w:rsidRPr="00932460">
              <w:rPr>
                <w:rFonts w:cs="Arial"/>
                <w:szCs w:val="19"/>
              </w:rPr>
              <w:t>)</w:t>
            </w:r>
          </w:p>
          <w:p w14:paraId="252B6ABB" w14:textId="1AB77955" w:rsidR="003E63D7" w:rsidRPr="00A075A3" w:rsidRDefault="003E63D7" w:rsidP="003E63D7">
            <w:pPr>
              <w:rPr>
                <w:rFonts w:cs="Arial"/>
                <w:szCs w:val="19"/>
              </w:rPr>
            </w:pPr>
            <w:r w:rsidRPr="00932460">
              <w:rPr>
                <w:rFonts w:cs="Arial"/>
                <w:sz w:val="16"/>
                <w:szCs w:val="16"/>
              </w:rPr>
              <w:t>200mg in 2mL prefilled pen</w:t>
            </w:r>
          </w:p>
        </w:tc>
        <w:tc>
          <w:tcPr>
            <w:tcW w:w="3506" w:type="pct"/>
            <w:shd w:val="clear" w:color="auto" w:fill="auto"/>
            <w:tcMar>
              <w:top w:w="57" w:type="dxa"/>
              <w:left w:w="170" w:type="dxa"/>
              <w:bottom w:w="57" w:type="dxa"/>
              <w:right w:w="170" w:type="dxa"/>
            </w:tcMar>
          </w:tcPr>
          <w:p w14:paraId="0DAA5DCE" w14:textId="0BB66FEC" w:rsidR="003E63D7" w:rsidRPr="009B0BCE" w:rsidRDefault="003E63D7" w:rsidP="003E63D7">
            <w:pPr>
              <w:tabs>
                <w:tab w:val="center" w:pos="3152"/>
              </w:tabs>
              <w:rPr>
                <w:rFonts w:cs="Arial"/>
                <w:color w:val="000000"/>
                <w:sz w:val="20"/>
                <w:szCs w:val="18"/>
                <w:lang w:val="en-US"/>
              </w:rPr>
            </w:pPr>
            <w:r w:rsidRPr="00932460">
              <w:rPr>
                <w:rFonts w:cs="Arial"/>
                <w:szCs w:val="19"/>
              </w:rPr>
              <w:t xml:space="preserve">Treatment of adults with moderately to severely active Crohn´s disease who have had an inadequate response with, lost response to, or were intolerant to either conventional therapy or a biologic treatment </w:t>
            </w:r>
            <w:r w:rsidRPr="00932460">
              <w:rPr>
                <w:rFonts w:cs="Arial"/>
                <w:sz w:val="16"/>
                <w:szCs w:val="16"/>
              </w:rPr>
              <w:t xml:space="preserve">[new </w:t>
            </w:r>
            <w:r>
              <w:rPr>
                <w:rFonts w:cs="Arial"/>
                <w:sz w:val="16"/>
                <w:szCs w:val="16"/>
              </w:rPr>
              <w:t xml:space="preserve">higher dose </w:t>
            </w:r>
            <w:r w:rsidRPr="00932460">
              <w:rPr>
                <w:rFonts w:cs="Arial"/>
                <w:sz w:val="16"/>
                <w:szCs w:val="16"/>
              </w:rPr>
              <w:t>formulation]</w:t>
            </w:r>
          </w:p>
        </w:tc>
      </w:tr>
      <w:tr w:rsidR="003E63D7" w:rsidRPr="00131D4C" w14:paraId="0FDC2C18" w14:textId="77777777" w:rsidTr="0060777E">
        <w:tc>
          <w:tcPr>
            <w:tcW w:w="1494" w:type="pct"/>
            <w:shd w:val="clear" w:color="auto" w:fill="auto"/>
            <w:tcMar>
              <w:top w:w="57" w:type="dxa"/>
              <w:left w:w="170" w:type="dxa"/>
              <w:bottom w:w="57" w:type="dxa"/>
              <w:right w:w="170" w:type="dxa"/>
            </w:tcMar>
          </w:tcPr>
          <w:p w14:paraId="4FA1446B" w14:textId="10A5AA4B" w:rsidR="003E63D7" w:rsidRPr="0025515F" w:rsidRDefault="003E63D7" w:rsidP="003E63D7">
            <w:pPr>
              <w:rPr>
                <w:rFonts w:cs="Arial"/>
                <w:szCs w:val="19"/>
              </w:rPr>
            </w:pPr>
            <w:proofErr w:type="spellStart"/>
            <w:r>
              <w:rPr>
                <w:rFonts w:cs="Arial"/>
                <w:szCs w:val="19"/>
              </w:rPr>
              <w:t>Nirsevimab</w:t>
            </w:r>
            <w:proofErr w:type="spellEnd"/>
            <w:r>
              <w:rPr>
                <w:rFonts w:cs="Arial"/>
                <w:szCs w:val="19"/>
              </w:rPr>
              <w:t xml:space="preserve"> (</w:t>
            </w:r>
            <w:proofErr w:type="spellStart"/>
            <w:r>
              <w:rPr>
                <w:rFonts w:cs="Arial"/>
                <w:i/>
                <w:iCs/>
                <w:szCs w:val="19"/>
              </w:rPr>
              <w:t>Beyfortus</w:t>
            </w:r>
            <w:proofErr w:type="spellEnd"/>
            <w:r>
              <w:rPr>
                <w:rFonts w:cs="Arial"/>
                <w:szCs w:val="19"/>
              </w:rPr>
              <w:t>)</w:t>
            </w:r>
          </w:p>
        </w:tc>
        <w:tc>
          <w:tcPr>
            <w:tcW w:w="3506" w:type="pct"/>
            <w:shd w:val="clear" w:color="auto" w:fill="auto"/>
            <w:tcMar>
              <w:top w:w="57" w:type="dxa"/>
              <w:left w:w="170" w:type="dxa"/>
              <w:bottom w:w="57" w:type="dxa"/>
              <w:right w:w="170" w:type="dxa"/>
            </w:tcMar>
          </w:tcPr>
          <w:p w14:paraId="78CA9C54" w14:textId="4243136B" w:rsidR="003E63D7" w:rsidRPr="0060777E" w:rsidRDefault="003E63D7" w:rsidP="003E63D7">
            <w:pPr>
              <w:tabs>
                <w:tab w:val="center" w:pos="3152"/>
              </w:tabs>
              <w:rPr>
                <w:rFonts w:cs="Arial"/>
                <w:szCs w:val="19"/>
              </w:rPr>
            </w:pPr>
            <w:r w:rsidRPr="00BB7C13">
              <w:rPr>
                <w:rFonts w:cs="Arial"/>
                <w:szCs w:val="19"/>
              </w:rPr>
              <w:t xml:space="preserve">Prevention of </w:t>
            </w:r>
            <w:r>
              <w:rPr>
                <w:rFonts w:cs="Arial"/>
                <w:szCs w:val="19"/>
              </w:rPr>
              <w:t>r</w:t>
            </w:r>
            <w:r w:rsidRPr="00BB7C13">
              <w:rPr>
                <w:rFonts w:cs="Arial"/>
                <w:szCs w:val="19"/>
              </w:rPr>
              <w:t xml:space="preserve">espiratory </w:t>
            </w:r>
            <w:r>
              <w:rPr>
                <w:rFonts w:cs="Arial"/>
                <w:szCs w:val="19"/>
              </w:rPr>
              <w:t>s</w:t>
            </w:r>
            <w:r w:rsidRPr="00BB7C13">
              <w:rPr>
                <w:rFonts w:cs="Arial"/>
                <w:szCs w:val="19"/>
              </w:rPr>
              <w:t xml:space="preserve">yncytial </w:t>
            </w:r>
            <w:r>
              <w:rPr>
                <w:rFonts w:cs="Arial"/>
                <w:szCs w:val="19"/>
              </w:rPr>
              <w:t>v</w:t>
            </w:r>
            <w:r w:rsidRPr="00BB7C13">
              <w:rPr>
                <w:rFonts w:cs="Arial"/>
                <w:szCs w:val="19"/>
              </w:rPr>
              <w:t>irus (RSV) lower respiratory tract disease in</w:t>
            </w:r>
            <w:r>
              <w:rPr>
                <w:rFonts w:cs="Arial"/>
                <w:szCs w:val="19"/>
              </w:rPr>
              <w:t xml:space="preserve"> n</w:t>
            </w:r>
            <w:r w:rsidRPr="00BB7C13">
              <w:rPr>
                <w:rFonts w:cs="Arial"/>
                <w:szCs w:val="19"/>
              </w:rPr>
              <w:t>eonates and infants during their first RSV season</w:t>
            </w:r>
            <w:r>
              <w:rPr>
                <w:rFonts w:cs="Arial"/>
                <w:szCs w:val="19"/>
              </w:rPr>
              <w:t>, and c</w:t>
            </w:r>
            <w:r w:rsidRPr="00BB7C13">
              <w:rPr>
                <w:rFonts w:cs="Arial"/>
                <w:szCs w:val="19"/>
              </w:rPr>
              <w:t>hildren up to 24 months of age who remain vulnerable to severe RSV disease through their second RSV season</w:t>
            </w:r>
          </w:p>
        </w:tc>
      </w:tr>
      <w:tr w:rsidR="003E63D7" w:rsidRPr="00131D4C" w14:paraId="508DA9F1" w14:textId="77777777" w:rsidTr="0060777E">
        <w:tc>
          <w:tcPr>
            <w:tcW w:w="1494" w:type="pct"/>
            <w:shd w:val="clear" w:color="auto" w:fill="auto"/>
            <w:tcMar>
              <w:top w:w="57" w:type="dxa"/>
              <w:left w:w="170" w:type="dxa"/>
              <w:bottom w:w="57" w:type="dxa"/>
              <w:right w:w="170" w:type="dxa"/>
            </w:tcMar>
          </w:tcPr>
          <w:p w14:paraId="25A100A1" w14:textId="77777777" w:rsidR="003E63D7" w:rsidRDefault="003E63D7" w:rsidP="003E63D7">
            <w:pPr>
              <w:rPr>
                <w:rFonts w:cs="Arial"/>
                <w:szCs w:val="19"/>
              </w:rPr>
            </w:pPr>
            <w:r>
              <w:rPr>
                <w:rFonts w:cs="Arial"/>
                <w:szCs w:val="19"/>
              </w:rPr>
              <w:t>Nivolumab (</w:t>
            </w:r>
            <w:proofErr w:type="spellStart"/>
            <w:r>
              <w:rPr>
                <w:rFonts w:cs="Arial"/>
                <w:i/>
                <w:iCs/>
                <w:szCs w:val="19"/>
              </w:rPr>
              <w:t>Opdivo</w:t>
            </w:r>
            <w:proofErr w:type="spellEnd"/>
            <w:r>
              <w:rPr>
                <w:rFonts w:cs="Arial"/>
                <w:szCs w:val="19"/>
              </w:rPr>
              <w:t>)</w:t>
            </w:r>
          </w:p>
          <w:p w14:paraId="7E3D175C" w14:textId="5A567E67" w:rsidR="003E63D7" w:rsidRPr="00BD368A" w:rsidRDefault="003E63D7" w:rsidP="003E63D7">
            <w:pPr>
              <w:rPr>
                <w:rFonts w:cs="Arial"/>
                <w:szCs w:val="19"/>
              </w:rPr>
            </w:pPr>
            <w:r w:rsidRPr="008077E9">
              <w:rPr>
                <w:rFonts w:cs="Arial"/>
                <w:sz w:val="16"/>
                <w:szCs w:val="16"/>
              </w:rPr>
              <w:t>600mg in 5mL vial</w:t>
            </w:r>
          </w:p>
        </w:tc>
        <w:tc>
          <w:tcPr>
            <w:tcW w:w="3506" w:type="pct"/>
            <w:shd w:val="clear" w:color="auto" w:fill="auto"/>
            <w:tcMar>
              <w:top w:w="57" w:type="dxa"/>
              <w:left w:w="170" w:type="dxa"/>
              <w:bottom w:w="57" w:type="dxa"/>
              <w:right w:w="170" w:type="dxa"/>
            </w:tcMar>
          </w:tcPr>
          <w:p w14:paraId="08B6314A" w14:textId="198F0713" w:rsidR="003E63D7" w:rsidRPr="00932460" w:rsidRDefault="003E63D7" w:rsidP="003E63D7">
            <w:pPr>
              <w:tabs>
                <w:tab w:val="center" w:pos="3152"/>
              </w:tabs>
              <w:rPr>
                <w:rFonts w:cs="Arial"/>
                <w:szCs w:val="19"/>
              </w:rPr>
            </w:pPr>
            <w:r w:rsidRPr="0060777E">
              <w:rPr>
                <w:rFonts w:cs="Arial"/>
                <w:szCs w:val="19"/>
              </w:rPr>
              <w:t xml:space="preserve">Use in combination with cisplatin and gemcitabine for first-line treatment of adults with unresectable or metastatic </w:t>
            </w:r>
            <w:r w:rsidRPr="0025335E">
              <w:rPr>
                <w:rFonts w:cs="Arial"/>
                <w:szCs w:val="19"/>
              </w:rPr>
              <w:t xml:space="preserve">urothelial carcinoma; use in combination with ipilimumab for first-line treatment of adults with mismatch repair deficient </w:t>
            </w:r>
            <w:r w:rsidRPr="00500315">
              <w:rPr>
                <w:rFonts w:cs="Arial"/>
                <w:szCs w:val="19"/>
              </w:rPr>
              <w:t>or microsatellite instability</w:t>
            </w:r>
            <w:r w:rsidRPr="00500315">
              <w:rPr>
                <w:rFonts w:ascii="Cambria Math" w:hAnsi="Cambria Math" w:cs="Cambria Math"/>
                <w:szCs w:val="19"/>
              </w:rPr>
              <w:t>‑</w:t>
            </w:r>
            <w:r w:rsidRPr="00500315">
              <w:rPr>
                <w:rFonts w:cs="Arial"/>
                <w:szCs w:val="19"/>
              </w:rPr>
              <w:t xml:space="preserve">high unresectable or metastatic colorectal cancer; use in combination with platinum-based chemotherapy as neoadjuvant treatment, and then continued as monotherapy as adjuvant treatment after surgical resection, for treatment of adults with resectable (tumours ≥4cm or node-positive) non-small cell lung cancer and no known EGFR mutations or ALK rearrangements </w:t>
            </w:r>
            <w:r w:rsidRPr="00500315">
              <w:rPr>
                <w:rFonts w:cs="Arial"/>
                <w:sz w:val="16"/>
                <w:szCs w:val="16"/>
              </w:rPr>
              <w:t>[new indications]</w:t>
            </w:r>
          </w:p>
        </w:tc>
      </w:tr>
      <w:tr w:rsidR="003E63D7" w14:paraId="0979AC66" w14:textId="77777777" w:rsidTr="0060777E">
        <w:tc>
          <w:tcPr>
            <w:tcW w:w="1494" w:type="pct"/>
            <w:shd w:val="clear" w:color="auto" w:fill="auto"/>
            <w:tcMar>
              <w:top w:w="57" w:type="dxa"/>
              <w:left w:w="170" w:type="dxa"/>
              <w:bottom w:w="57" w:type="dxa"/>
              <w:right w:w="170" w:type="dxa"/>
            </w:tcMar>
          </w:tcPr>
          <w:p w14:paraId="738CAD73" w14:textId="77777777" w:rsidR="003E63D7" w:rsidRPr="00C34145" w:rsidRDefault="003E63D7" w:rsidP="003E63D7">
            <w:pPr>
              <w:rPr>
                <w:rFonts w:cs="Arial"/>
                <w:szCs w:val="19"/>
              </w:rPr>
            </w:pPr>
            <w:r w:rsidRPr="00C34145">
              <w:rPr>
                <w:rFonts w:cs="Arial"/>
                <w:szCs w:val="19"/>
              </w:rPr>
              <w:t>Omalizumab biosimilar (</w:t>
            </w:r>
            <w:r w:rsidRPr="00C34145">
              <w:rPr>
                <w:rFonts w:cs="Arial"/>
                <w:i/>
                <w:iCs/>
                <w:szCs w:val="19"/>
              </w:rPr>
              <w:t>Omlyclo</w:t>
            </w:r>
            <w:r w:rsidRPr="00C34145">
              <w:rPr>
                <w:rFonts w:cs="Arial"/>
                <w:szCs w:val="19"/>
              </w:rPr>
              <w:t>) </w:t>
            </w:r>
          </w:p>
          <w:p w14:paraId="223834CB" w14:textId="76E6FEB9" w:rsidR="003E63D7" w:rsidRPr="00CA0AC9" w:rsidRDefault="003E63D7" w:rsidP="003E63D7">
            <w:pPr>
              <w:rPr>
                <w:rFonts w:cs="Arial"/>
                <w:szCs w:val="19"/>
              </w:rPr>
            </w:pPr>
            <w:r w:rsidRPr="00C34145">
              <w:rPr>
                <w:rFonts w:cs="Arial"/>
                <w:sz w:val="16"/>
                <w:szCs w:val="16"/>
              </w:rPr>
              <w:t>75mg in 0.5mL and 150mg in 1mL prefilled pens</w:t>
            </w:r>
          </w:p>
        </w:tc>
        <w:tc>
          <w:tcPr>
            <w:tcW w:w="3506" w:type="pct"/>
            <w:shd w:val="clear" w:color="auto" w:fill="auto"/>
            <w:tcMar>
              <w:top w:w="57" w:type="dxa"/>
              <w:left w:w="170" w:type="dxa"/>
              <w:bottom w:w="57" w:type="dxa"/>
              <w:right w:w="170" w:type="dxa"/>
            </w:tcMar>
          </w:tcPr>
          <w:p w14:paraId="614E0744" w14:textId="16C6F96B" w:rsidR="003E63D7" w:rsidRPr="00D16628" w:rsidRDefault="003E63D7" w:rsidP="003E63D7">
            <w:pPr>
              <w:tabs>
                <w:tab w:val="center" w:pos="3152"/>
              </w:tabs>
              <w:rPr>
                <w:rFonts w:cs="Arial"/>
                <w:bCs/>
                <w:szCs w:val="19"/>
                <w:highlight w:val="yellow"/>
              </w:rPr>
            </w:pPr>
            <w:r w:rsidRPr="00377285">
              <w:rPr>
                <w:rFonts w:cs="Arial"/>
                <w:color w:val="000000" w:themeColor="text1"/>
                <w:szCs w:val="19"/>
              </w:rPr>
              <w:t xml:space="preserve">Use as add-on therapy to improve asthma control in adults and adolescents aged ≥12 years with severe persistent allergic asthma who have a positive skin test or in vitro reactivity to a perennial aeroallergen and who have reduced lung function (FEV1&lt;80%) </w:t>
            </w:r>
            <w:r w:rsidRPr="00BB07B5">
              <w:rPr>
                <w:rFonts w:cs="Arial"/>
                <w:color w:val="000000" w:themeColor="text1"/>
                <w:szCs w:val="19"/>
              </w:rPr>
              <w:t xml:space="preserve">as well as frequent daytime symptoms or night-time awakenings and </w:t>
            </w:r>
            <w:r w:rsidRPr="005039AD">
              <w:rPr>
                <w:rFonts w:cs="Arial"/>
                <w:color w:val="000000" w:themeColor="text1"/>
                <w:szCs w:val="19"/>
              </w:rPr>
              <w:t xml:space="preserve">who have had multiple documented severe asthma exacerbations despite daily high-dose inhaled corticosteroids, plus a long-acting inhaled beta2-agonist; use as add-on therapy to improve asthma control in children aged 6 to 11 years with severe persistent allergic asthma who have a positive skin test or in vitro reactivity to a perennial aeroallergen and frequent daytime symptoms or night-time awakenings and who have had multiple documented severe asthma exacerbations </w:t>
            </w:r>
            <w:r w:rsidRPr="009F7833">
              <w:rPr>
                <w:rFonts w:cs="Arial"/>
                <w:color w:val="000000" w:themeColor="text1"/>
                <w:szCs w:val="19"/>
              </w:rPr>
              <w:t xml:space="preserve">despite daily high-dose inhaled corticosteroids, plus a long-acting inhaled beta2- agonist (note: </w:t>
            </w:r>
            <w:r w:rsidRPr="009F7833">
              <w:rPr>
                <w:rFonts w:cs="Arial"/>
                <w:i/>
                <w:iCs/>
                <w:color w:val="000000" w:themeColor="text1"/>
                <w:szCs w:val="19"/>
              </w:rPr>
              <w:t>Omlyclo</w:t>
            </w:r>
            <w:r w:rsidRPr="009F7833">
              <w:rPr>
                <w:rFonts w:cs="Arial"/>
                <w:color w:val="000000" w:themeColor="text1"/>
                <w:szCs w:val="19"/>
              </w:rPr>
              <w:t xml:space="preserve"> treatment should only be considered for patients with convincing immunoglobulin E-mediated asthma); use as add-on therapy with intranasal corticosteroids (INC) for the treatment of adults with severe chronic rhinosinusitis with nasal polyps for whom therapy with INC does not provide adequate disease control</w:t>
            </w:r>
          </w:p>
        </w:tc>
      </w:tr>
      <w:tr w:rsidR="003E63D7" w14:paraId="31489714" w14:textId="77777777" w:rsidTr="0060777E">
        <w:tc>
          <w:tcPr>
            <w:tcW w:w="1494" w:type="pct"/>
            <w:shd w:val="clear" w:color="auto" w:fill="auto"/>
            <w:tcMar>
              <w:top w:w="57" w:type="dxa"/>
              <w:left w:w="170" w:type="dxa"/>
              <w:bottom w:w="57" w:type="dxa"/>
              <w:right w:w="170" w:type="dxa"/>
            </w:tcMar>
          </w:tcPr>
          <w:p w14:paraId="6A5B3B3C" w14:textId="77777777" w:rsidR="003E63D7" w:rsidRPr="00C34145" w:rsidRDefault="003E63D7" w:rsidP="003E63D7">
            <w:pPr>
              <w:rPr>
                <w:rFonts w:cs="Arial"/>
                <w:szCs w:val="19"/>
              </w:rPr>
            </w:pPr>
            <w:r w:rsidRPr="00C34145">
              <w:rPr>
                <w:rFonts w:cs="Arial"/>
                <w:szCs w:val="19"/>
              </w:rPr>
              <w:t>Omalizumab biosimilar (</w:t>
            </w:r>
            <w:r w:rsidRPr="00C34145">
              <w:rPr>
                <w:rFonts w:cs="Arial"/>
                <w:i/>
                <w:iCs/>
                <w:szCs w:val="19"/>
              </w:rPr>
              <w:t>Omlyclo</w:t>
            </w:r>
            <w:r w:rsidRPr="00C34145">
              <w:rPr>
                <w:rFonts w:cs="Arial"/>
                <w:szCs w:val="19"/>
              </w:rPr>
              <w:t>) </w:t>
            </w:r>
          </w:p>
          <w:p w14:paraId="0408BBBD" w14:textId="48FC63EF" w:rsidR="003E63D7" w:rsidRPr="00CA0AC9" w:rsidRDefault="003E63D7" w:rsidP="003E63D7">
            <w:pPr>
              <w:rPr>
                <w:rFonts w:cs="Arial"/>
                <w:szCs w:val="19"/>
              </w:rPr>
            </w:pPr>
            <w:r w:rsidRPr="00C34145">
              <w:rPr>
                <w:rFonts w:cs="Arial"/>
                <w:sz w:val="16"/>
                <w:szCs w:val="16"/>
              </w:rPr>
              <w:t>150mg in 1mL prefilled pen</w:t>
            </w:r>
          </w:p>
        </w:tc>
        <w:tc>
          <w:tcPr>
            <w:tcW w:w="3506" w:type="pct"/>
            <w:shd w:val="clear" w:color="auto" w:fill="auto"/>
            <w:tcMar>
              <w:top w:w="57" w:type="dxa"/>
              <w:left w:w="170" w:type="dxa"/>
              <w:bottom w:w="57" w:type="dxa"/>
              <w:right w:w="170" w:type="dxa"/>
            </w:tcMar>
          </w:tcPr>
          <w:p w14:paraId="5E16F1D6" w14:textId="15929A53" w:rsidR="003E63D7" w:rsidRPr="00A075A3" w:rsidRDefault="003E63D7" w:rsidP="003E63D7">
            <w:pPr>
              <w:tabs>
                <w:tab w:val="center" w:pos="3152"/>
              </w:tabs>
              <w:rPr>
                <w:rFonts w:cs="Arial"/>
                <w:bCs/>
                <w:szCs w:val="19"/>
              </w:rPr>
            </w:pPr>
            <w:r w:rsidRPr="00C34145">
              <w:rPr>
                <w:rFonts w:cs="Arial"/>
                <w:szCs w:val="19"/>
              </w:rPr>
              <w:t>Use as add-on therapy for the treatment of chronic spontaneous urticaria in adults and adolescents aged ≥12 years with inadequate response to H1 antihistamine treatment</w:t>
            </w:r>
          </w:p>
        </w:tc>
      </w:tr>
      <w:tr w:rsidR="003E63D7" w14:paraId="2C42E9B9" w14:textId="77777777" w:rsidTr="0060777E">
        <w:tc>
          <w:tcPr>
            <w:tcW w:w="1494" w:type="pct"/>
            <w:shd w:val="clear" w:color="auto" w:fill="auto"/>
            <w:tcMar>
              <w:top w:w="57" w:type="dxa"/>
              <w:left w:w="170" w:type="dxa"/>
              <w:bottom w:w="57" w:type="dxa"/>
              <w:right w:w="170" w:type="dxa"/>
            </w:tcMar>
          </w:tcPr>
          <w:p w14:paraId="1F22F0F6" w14:textId="77777777" w:rsidR="003E63D7" w:rsidRDefault="003E63D7" w:rsidP="003E63D7">
            <w:pPr>
              <w:rPr>
                <w:rFonts w:cs="Arial"/>
                <w:szCs w:val="19"/>
              </w:rPr>
            </w:pPr>
            <w:r w:rsidRPr="008E26D6">
              <w:rPr>
                <w:rFonts w:cs="Arial"/>
                <w:szCs w:val="19"/>
              </w:rPr>
              <w:t xml:space="preserve">Trastuzumab </w:t>
            </w:r>
            <w:proofErr w:type="spellStart"/>
            <w:r w:rsidRPr="008E26D6">
              <w:rPr>
                <w:rFonts w:cs="Arial"/>
                <w:szCs w:val="19"/>
              </w:rPr>
              <w:t>deruxtecan</w:t>
            </w:r>
            <w:proofErr w:type="spellEnd"/>
            <w:r w:rsidRPr="008E26D6">
              <w:rPr>
                <w:rFonts w:cs="Arial"/>
                <w:szCs w:val="19"/>
              </w:rPr>
              <w:t> </w:t>
            </w:r>
          </w:p>
          <w:p w14:paraId="1A82D7EC" w14:textId="77777777" w:rsidR="003E63D7" w:rsidRDefault="003E63D7" w:rsidP="003E63D7">
            <w:pPr>
              <w:rPr>
                <w:rFonts w:cs="Arial"/>
                <w:szCs w:val="19"/>
              </w:rPr>
            </w:pPr>
            <w:r>
              <w:rPr>
                <w:rFonts w:cs="Arial"/>
                <w:szCs w:val="19"/>
              </w:rPr>
              <w:t>(</w:t>
            </w:r>
            <w:proofErr w:type="spellStart"/>
            <w:r>
              <w:rPr>
                <w:rFonts w:cs="Arial"/>
                <w:i/>
                <w:iCs/>
                <w:szCs w:val="19"/>
              </w:rPr>
              <w:t>Enhertu</w:t>
            </w:r>
            <w:proofErr w:type="spellEnd"/>
            <w:r>
              <w:rPr>
                <w:rFonts w:cs="Arial"/>
                <w:szCs w:val="19"/>
              </w:rPr>
              <w:t>)</w:t>
            </w:r>
          </w:p>
          <w:p w14:paraId="354BBEAA" w14:textId="28A2484F" w:rsidR="003E63D7" w:rsidRPr="00A075A3" w:rsidRDefault="003E63D7" w:rsidP="003E63D7">
            <w:pPr>
              <w:rPr>
                <w:rFonts w:cs="Arial"/>
                <w:szCs w:val="19"/>
              </w:rPr>
            </w:pPr>
            <w:r w:rsidRPr="008E26D6">
              <w:rPr>
                <w:rFonts w:cs="Arial"/>
                <w:sz w:val="16"/>
                <w:szCs w:val="16"/>
              </w:rPr>
              <w:t>100mg vial</w:t>
            </w:r>
          </w:p>
        </w:tc>
        <w:tc>
          <w:tcPr>
            <w:tcW w:w="3506" w:type="pct"/>
            <w:shd w:val="clear" w:color="auto" w:fill="auto"/>
            <w:tcMar>
              <w:top w:w="57" w:type="dxa"/>
              <w:left w:w="170" w:type="dxa"/>
              <w:bottom w:w="57" w:type="dxa"/>
              <w:right w:w="170" w:type="dxa"/>
            </w:tcMar>
          </w:tcPr>
          <w:p w14:paraId="35DE4D29" w14:textId="74BCD4CA" w:rsidR="003E63D7" w:rsidRPr="00A075A3" w:rsidRDefault="003E63D7" w:rsidP="003E63D7">
            <w:pPr>
              <w:tabs>
                <w:tab w:val="center" w:pos="3152"/>
              </w:tabs>
              <w:rPr>
                <w:rFonts w:cs="Arial"/>
                <w:szCs w:val="19"/>
                <w:lang w:val="en-US"/>
              </w:rPr>
            </w:pPr>
            <w:r w:rsidRPr="00700CD0">
              <w:rPr>
                <w:rFonts w:cs="Arial"/>
                <w:color w:val="000000"/>
                <w:szCs w:val="19"/>
                <w:lang w:val="en-US"/>
              </w:rPr>
              <w:t>Use as monotherapy for the treatment of adults with unresectable or metastatic hormone receptor-positive, HER2-low or HER2-ultralow breast cancer who have received at least one endocrine therapy in the metastatic setting and who are not considered suitable for endocrine therapy as the next line of treatment</w:t>
            </w:r>
            <w:r w:rsidRPr="00700CD0">
              <w:rPr>
                <w:rFonts w:cs="Arial"/>
                <w:color w:val="000000"/>
                <w:sz w:val="20"/>
                <w:szCs w:val="20"/>
                <w:lang w:val="en-US"/>
              </w:rPr>
              <w:t xml:space="preserve"> </w:t>
            </w:r>
            <w:r w:rsidRPr="000A29BA">
              <w:rPr>
                <w:rFonts w:cs="Arial"/>
                <w:sz w:val="16"/>
                <w:szCs w:val="16"/>
                <w:lang w:val="en-US"/>
              </w:rPr>
              <w:t>[new indication]</w:t>
            </w:r>
          </w:p>
        </w:tc>
      </w:tr>
      <w:tr w:rsidR="003E63D7" w14:paraId="40615E6B" w14:textId="77777777" w:rsidTr="0060777E">
        <w:tc>
          <w:tcPr>
            <w:tcW w:w="1494" w:type="pct"/>
            <w:shd w:val="clear" w:color="auto" w:fill="auto"/>
            <w:tcMar>
              <w:top w:w="57" w:type="dxa"/>
              <w:left w:w="170" w:type="dxa"/>
              <w:bottom w:w="57" w:type="dxa"/>
              <w:right w:w="170" w:type="dxa"/>
            </w:tcMar>
          </w:tcPr>
          <w:p w14:paraId="0E518096" w14:textId="77777777" w:rsidR="003E63D7" w:rsidRDefault="003E63D7" w:rsidP="003E63D7">
            <w:pPr>
              <w:rPr>
                <w:rFonts w:cs="Arial"/>
                <w:szCs w:val="19"/>
              </w:rPr>
            </w:pPr>
            <w:r>
              <w:rPr>
                <w:rFonts w:cs="Arial"/>
                <w:szCs w:val="19"/>
              </w:rPr>
              <w:t>Ustekinumab (</w:t>
            </w:r>
            <w:r>
              <w:rPr>
                <w:rFonts w:cs="Arial"/>
                <w:i/>
                <w:iCs/>
                <w:szCs w:val="19"/>
              </w:rPr>
              <w:t>Stelara</w:t>
            </w:r>
            <w:r>
              <w:rPr>
                <w:rFonts w:cs="Arial"/>
                <w:szCs w:val="19"/>
              </w:rPr>
              <w:t>)</w:t>
            </w:r>
          </w:p>
          <w:p w14:paraId="1C3C5C5B" w14:textId="67BEB143" w:rsidR="003E63D7" w:rsidRPr="008E26D6" w:rsidRDefault="003E63D7" w:rsidP="003E63D7">
            <w:pPr>
              <w:rPr>
                <w:rFonts w:cs="Arial"/>
                <w:szCs w:val="19"/>
              </w:rPr>
            </w:pPr>
            <w:r w:rsidRPr="00C317B9">
              <w:rPr>
                <w:rFonts w:cs="Arial"/>
                <w:sz w:val="16"/>
                <w:szCs w:val="16"/>
              </w:rPr>
              <w:t>45mg in 0.5mL prefilled syringe, 45mg in 0.5mL vial, 90mg in 1mL prefilled syringe and 130mg in 26mL vial</w:t>
            </w:r>
          </w:p>
        </w:tc>
        <w:tc>
          <w:tcPr>
            <w:tcW w:w="3506" w:type="pct"/>
            <w:shd w:val="clear" w:color="auto" w:fill="auto"/>
            <w:tcMar>
              <w:top w:w="57" w:type="dxa"/>
              <w:left w:w="170" w:type="dxa"/>
              <w:bottom w:w="57" w:type="dxa"/>
              <w:right w:w="170" w:type="dxa"/>
            </w:tcMar>
          </w:tcPr>
          <w:p w14:paraId="52AFE141" w14:textId="19A34F14" w:rsidR="003E63D7" w:rsidRDefault="003E63D7" w:rsidP="003E63D7">
            <w:pPr>
              <w:tabs>
                <w:tab w:val="center" w:pos="3152"/>
              </w:tabs>
              <w:rPr>
                <w:rFonts w:cs="Arial"/>
                <w:color w:val="000000"/>
                <w:sz w:val="18"/>
                <w:szCs w:val="18"/>
                <w:lang w:val="en-US"/>
              </w:rPr>
            </w:pPr>
            <w:r>
              <w:rPr>
                <w:rFonts w:cs="Arial"/>
                <w:szCs w:val="19"/>
                <w:lang w:val="en-US"/>
              </w:rPr>
              <w:t>T</w:t>
            </w:r>
            <w:r w:rsidRPr="00AB3576">
              <w:rPr>
                <w:rFonts w:cs="Arial"/>
                <w:szCs w:val="19"/>
                <w:lang w:val="en-US"/>
              </w:rPr>
              <w:t xml:space="preserve">reatment of moderately to severely active Crohn’s disease in paediatric patients weighing </w:t>
            </w:r>
            <w:r>
              <w:rPr>
                <w:rFonts w:cs="Arial"/>
                <w:szCs w:val="19"/>
                <w:lang w:val="en-US"/>
              </w:rPr>
              <w:t>≥</w:t>
            </w:r>
            <w:r w:rsidRPr="00AB3576">
              <w:rPr>
                <w:rFonts w:cs="Arial"/>
                <w:szCs w:val="19"/>
                <w:lang w:val="en-US"/>
              </w:rPr>
              <w:t>40kg, who have had an inadequate response to, or were intolerant to either conventional or biologic therapy</w:t>
            </w:r>
            <w:r>
              <w:rPr>
                <w:rFonts w:cs="Arial"/>
                <w:szCs w:val="19"/>
                <w:lang w:val="en-US"/>
              </w:rPr>
              <w:t xml:space="preserve"> </w:t>
            </w:r>
            <w:r w:rsidRPr="00AB3576">
              <w:rPr>
                <w:rFonts w:cs="Arial"/>
                <w:sz w:val="16"/>
                <w:szCs w:val="16"/>
                <w:lang w:val="en-US"/>
              </w:rPr>
              <w:t>[new indication]</w:t>
            </w:r>
          </w:p>
        </w:tc>
      </w:tr>
      <w:tr w:rsidR="003E63D7" w:rsidRPr="00862949" w14:paraId="4EBA8369" w14:textId="77777777" w:rsidTr="003D19FB">
        <w:tc>
          <w:tcPr>
            <w:tcW w:w="5000" w:type="pct"/>
            <w:gridSpan w:val="2"/>
            <w:shd w:val="clear" w:color="auto" w:fill="auto"/>
            <w:tcMar>
              <w:top w:w="0" w:type="dxa"/>
              <w:bottom w:w="0" w:type="dxa"/>
            </w:tcMar>
          </w:tcPr>
          <w:p w14:paraId="7270069C" w14:textId="77777777" w:rsidR="003E63D7" w:rsidRPr="00862949" w:rsidRDefault="003E63D7" w:rsidP="003E63D7">
            <w:pPr>
              <w:rPr>
                <w:rFonts w:cs="Arial"/>
                <w:b/>
                <w:noProof/>
                <w:sz w:val="8"/>
                <w:szCs w:val="8"/>
              </w:rPr>
            </w:pPr>
          </w:p>
        </w:tc>
      </w:tr>
      <w:tr w:rsidR="003E63D7" w:rsidRPr="00862949" w14:paraId="72DA9137" w14:textId="77777777" w:rsidTr="003D19FB">
        <w:tc>
          <w:tcPr>
            <w:tcW w:w="5000" w:type="pct"/>
            <w:gridSpan w:val="2"/>
            <w:shd w:val="clear" w:color="auto" w:fill="DAEEF3"/>
            <w:tcMar>
              <w:top w:w="0" w:type="dxa"/>
              <w:bottom w:w="0" w:type="dxa"/>
            </w:tcMar>
          </w:tcPr>
          <w:p w14:paraId="64502CFB" w14:textId="77777777" w:rsidR="003E63D7" w:rsidRPr="00862949" w:rsidRDefault="003E63D7" w:rsidP="003E63D7">
            <w:pPr>
              <w:rPr>
                <w:rFonts w:cs="Arial"/>
                <w:b/>
                <w:i/>
                <w:noProof/>
                <w:sz w:val="8"/>
                <w:szCs w:val="8"/>
              </w:rPr>
            </w:pPr>
          </w:p>
        </w:tc>
      </w:tr>
    </w:tbl>
    <w:p w14:paraId="7A9AE07E" w14:textId="77777777" w:rsidR="005D0277" w:rsidRDefault="005D0277" w:rsidP="00EB3E6F">
      <w:pPr>
        <w:tabs>
          <w:tab w:val="left" w:pos="2087"/>
        </w:tabs>
      </w:pPr>
    </w:p>
    <w:p w14:paraId="6C0FE699" w14:textId="787A14AD" w:rsidR="005A1759" w:rsidRDefault="005A1759">
      <w:r>
        <w:br w:type="page"/>
      </w:r>
    </w:p>
    <w:p w14:paraId="7E783039" w14:textId="77777777" w:rsidR="005D0277" w:rsidRDefault="005D0277" w:rsidP="00EB3E6F">
      <w:pPr>
        <w:tabs>
          <w:tab w:val="left" w:pos="2087"/>
        </w:tabs>
      </w:pPr>
    </w:p>
    <w:p w14:paraId="7B161C5B" w14:textId="77777777" w:rsidR="005A1759" w:rsidRDefault="005A1759" w:rsidP="00EB3E6F">
      <w:pPr>
        <w:tabs>
          <w:tab w:val="left" w:pos="2087"/>
        </w:tabs>
      </w:pPr>
    </w:p>
    <w:tbl>
      <w:tblPr>
        <w:tblW w:w="5170" w:type="pct"/>
        <w:tblInd w:w="-176" w:type="dxa"/>
        <w:tblLayout w:type="fixed"/>
        <w:tblLook w:val="01E0" w:firstRow="1" w:lastRow="1" w:firstColumn="1" w:lastColumn="1" w:noHBand="0" w:noVBand="0"/>
      </w:tblPr>
      <w:tblGrid>
        <w:gridCol w:w="2430"/>
        <w:gridCol w:w="623"/>
        <w:gridCol w:w="7498"/>
      </w:tblGrid>
      <w:tr w:rsidR="005A7E09" w:rsidRPr="00862949" w14:paraId="3E3A6CEA" w14:textId="77777777" w:rsidTr="005A7E09">
        <w:tc>
          <w:tcPr>
            <w:tcW w:w="5000" w:type="pct"/>
            <w:gridSpan w:val="3"/>
            <w:shd w:val="clear" w:color="auto" w:fill="0070C0"/>
            <w:tcMar>
              <w:top w:w="85" w:type="dxa"/>
              <w:bottom w:w="85" w:type="dxa"/>
            </w:tcMar>
            <w:vAlign w:val="bottom"/>
          </w:tcPr>
          <w:p w14:paraId="02FCFB1E" w14:textId="77777777" w:rsidR="005A7E09" w:rsidRPr="00862949" w:rsidRDefault="005A7E09" w:rsidP="005A7E09">
            <w:pPr>
              <w:rPr>
                <w:rFonts w:cs="Arial"/>
                <w:color w:val="FFFFFF"/>
                <w:sz w:val="15"/>
                <w:szCs w:val="15"/>
              </w:rPr>
            </w:pPr>
            <w:r w:rsidRPr="00862949">
              <w:rPr>
                <w:rFonts w:cs="Arial"/>
                <w:b/>
                <w:bCs/>
                <w:iCs/>
                <w:color w:val="FFFFFF"/>
                <w:sz w:val="28"/>
                <w:szCs w:val="28"/>
                <w:lang w:val="en-US"/>
              </w:rPr>
              <w:t xml:space="preserve">Regulatory changes in the </w:t>
            </w:r>
            <w:r w:rsidR="00AA1F49">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5A7E09" w:rsidRPr="00862949" w14:paraId="288AAB6A" w14:textId="77777777" w:rsidTr="005A7E09">
        <w:tc>
          <w:tcPr>
            <w:tcW w:w="5000" w:type="pct"/>
            <w:gridSpan w:val="3"/>
            <w:shd w:val="clear" w:color="auto" w:fill="DAEEF3"/>
            <w:tcMar>
              <w:top w:w="0" w:type="dxa"/>
              <w:bottom w:w="0" w:type="dxa"/>
            </w:tcMar>
          </w:tcPr>
          <w:p w14:paraId="62711DA2" w14:textId="77777777" w:rsidR="005A7E09" w:rsidRPr="00862949" w:rsidRDefault="005A7E09" w:rsidP="005A7E09">
            <w:pPr>
              <w:rPr>
                <w:rFonts w:cs="Arial"/>
                <w:b/>
                <w:bCs/>
                <w:i/>
                <w:iCs/>
                <w:color w:val="000000"/>
                <w:sz w:val="8"/>
                <w:szCs w:val="8"/>
                <w:lang w:val="en-US"/>
              </w:rPr>
            </w:pPr>
          </w:p>
        </w:tc>
      </w:tr>
      <w:tr w:rsidR="005A7E09" w:rsidRPr="00862949" w14:paraId="025DF956" w14:textId="77777777" w:rsidTr="00562CE4">
        <w:tc>
          <w:tcPr>
            <w:tcW w:w="5000" w:type="pct"/>
            <w:gridSpan w:val="3"/>
            <w:shd w:val="clear" w:color="auto" w:fill="008232"/>
            <w:tcMar>
              <w:top w:w="57" w:type="dxa"/>
              <w:bottom w:w="57" w:type="dxa"/>
            </w:tcMar>
          </w:tcPr>
          <w:p w14:paraId="6ADED9FF" w14:textId="77777777" w:rsidR="005A7E09" w:rsidRPr="00433D3E" w:rsidRDefault="005A7E09" w:rsidP="00EB3E6F">
            <w:pPr>
              <w:rPr>
                <w:rFonts w:cs="Arial"/>
                <w:color w:val="FFFFFF"/>
                <w:sz w:val="20"/>
                <w:szCs w:val="20"/>
              </w:rPr>
            </w:pPr>
            <w:r w:rsidRPr="00433D3E">
              <w:rPr>
                <w:rFonts w:cs="Arial"/>
                <w:b/>
                <w:bCs/>
                <w:i/>
                <w:iCs/>
                <w:color w:val="FFFFFF"/>
                <w:sz w:val="22"/>
                <w:szCs w:val="20"/>
                <w:lang w:val="en-US"/>
              </w:rPr>
              <w:t xml:space="preserve">Approved in the </w:t>
            </w:r>
            <w:r w:rsidR="0048777D">
              <w:rPr>
                <w:rFonts w:cs="Arial"/>
                <w:b/>
                <w:bCs/>
                <w:i/>
                <w:iCs/>
                <w:color w:val="FFFFFF"/>
                <w:sz w:val="22"/>
                <w:szCs w:val="20"/>
                <w:lang w:val="en-US"/>
              </w:rPr>
              <w:t>UK</w:t>
            </w:r>
          </w:p>
        </w:tc>
      </w:tr>
      <w:tr w:rsidR="008B3122" w14:paraId="380F8F52" w14:textId="77777777" w:rsidTr="00355B51">
        <w:tc>
          <w:tcPr>
            <w:tcW w:w="1447" w:type="pct"/>
            <w:gridSpan w:val="2"/>
            <w:shd w:val="clear" w:color="auto" w:fill="auto"/>
            <w:tcMar>
              <w:top w:w="57" w:type="dxa"/>
              <w:bottom w:w="57" w:type="dxa"/>
            </w:tcMar>
          </w:tcPr>
          <w:p w14:paraId="21726A01" w14:textId="3D596954" w:rsidR="008B3122" w:rsidRDefault="008B3122" w:rsidP="007D01FD">
            <w:pPr>
              <w:rPr>
                <w:rFonts w:cs="Arial"/>
                <w:szCs w:val="19"/>
              </w:rPr>
            </w:pPr>
            <w:r>
              <w:rPr>
                <w:rFonts w:cs="Arial"/>
                <w:szCs w:val="19"/>
              </w:rPr>
              <w:t>Adalimumab biosimilar (</w:t>
            </w:r>
            <w:proofErr w:type="spellStart"/>
            <w:r>
              <w:rPr>
                <w:rFonts w:cs="Arial"/>
                <w:i/>
                <w:iCs/>
                <w:szCs w:val="19"/>
              </w:rPr>
              <w:t>Qletli</w:t>
            </w:r>
            <w:proofErr w:type="spellEnd"/>
            <w:r>
              <w:rPr>
                <w:rFonts w:cs="Arial"/>
                <w:szCs w:val="19"/>
              </w:rPr>
              <w:t>)</w:t>
            </w:r>
          </w:p>
          <w:p w14:paraId="2647314C" w14:textId="519B13B6" w:rsidR="008B3122" w:rsidRPr="008B3122" w:rsidRDefault="005E16F1" w:rsidP="007D01FD">
            <w:pPr>
              <w:rPr>
                <w:rFonts w:cs="Arial"/>
                <w:szCs w:val="19"/>
              </w:rPr>
            </w:pPr>
            <w:r w:rsidRPr="005E16F1">
              <w:rPr>
                <w:rFonts w:cs="Arial"/>
                <w:sz w:val="16"/>
                <w:szCs w:val="16"/>
              </w:rPr>
              <w:t>40mg in 0.8mL prefilled syringe</w:t>
            </w:r>
          </w:p>
        </w:tc>
        <w:tc>
          <w:tcPr>
            <w:tcW w:w="3553" w:type="pct"/>
            <w:shd w:val="clear" w:color="auto" w:fill="auto"/>
            <w:tcMar>
              <w:top w:w="57" w:type="dxa"/>
              <w:bottom w:w="57" w:type="dxa"/>
            </w:tcMar>
          </w:tcPr>
          <w:p w14:paraId="7D59DCAC" w14:textId="77777777" w:rsidR="00886A8A" w:rsidRDefault="0002416C" w:rsidP="007D01FD">
            <w:pPr>
              <w:tabs>
                <w:tab w:val="center" w:pos="3152"/>
              </w:tabs>
              <w:rPr>
                <w:rFonts w:cs="Arial"/>
                <w:szCs w:val="19"/>
              </w:rPr>
            </w:pPr>
            <w:r w:rsidRPr="005E16F1">
              <w:rPr>
                <w:rFonts w:cs="Arial"/>
                <w:szCs w:val="19"/>
                <w:lang w:val="en-US"/>
              </w:rPr>
              <w:t>T</w:t>
            </w:r>
            <w:r w:rsidR="005E16F1" w:rsidRPr="005E16F1">
              <w:rPr>
                <w:rFonts w:cs="Arial"/>
                <w:szCs w:val="19"/>
                <w:lang w:val="en-US"/>
              </w:rPr>
              <w:t>reatment of rheumatoid arthritis in adult</w:t>
            </w:r>
            <w:r>
              <w:rPr>
                <w:rFonts w:cs="Arial"/>
                <w:szCs w:val="19"/>
                <w:lang w:val="en-US"/>
              </w:rPr>
              <w:t>s</w:t>
            </w:r>
            <w:r w:rsidR="00BE411F">
              <w:rPr>
                <w:rFonts w:cs="Arial"/>
                <w:szCs w:val="19"/>
                <w:lang w:val="en-US"/>
              </w:rPr>
              <w:t>, j</w:t>
            </w:r>
            <w:r w:rsidR="00BE411F" w:rsidRPr="00BE411F">
              <w:rPr>
                <w:rFonts w:cs="Arial"/>
                <w:szCs w:val="19"/>
                <w:lang w:val="en-US"/>
              </w:rPr>
              <w:t>uvenile idiopathic arthritis</w:t>
            </w:r>
            <w:r w:rsidR="00BE411F">
              <w:rPr>
                <w:rFonts w:cs="Arial"/>
                <w:szCs w:val="19"/>
                <w:lang w:val="en-US"/>
              </w:rPr>
              <w:t>, a</w:t>
            </w:r>
            <w:r w:rsidR="00BE411F" w:rsidRPr="00BE411F">
              <w:rPr>
                <w:rFonts w:cs="Arial"/>
                <w:szCs w:val="19"/>
                <w:lang w:val="en-US"/>
              </w:rPr>
              <w:t xml:space="preserve">xial </w:t>
            </w:r>
            <w:proofErr w:type="spellStart"/>
            <w:r w:rsidR="00BE411F" w:rsidRPr="00BE411F">
              <w:rPr>
                <w:rFonts w:cs="Arial"/>
                <w:szCs w:val="19"/>
                <w:lang w:val="en-US"/>
              </w:rPr>
              <w:t>spondyloarthritis</w:t>
            </w:r>
            <w:proofErr w:type="spellEnd"/>
            <w:r w:rsidR="00BE411F">
              <w:rPr>
                <w:rFonts w:cs="Arial"/>
                <w:szCs w:val="19"/>
                <w:lang w:val="en-US"/>
              </w:rPr>
              <w:t xml:space="preserve"> in adults, psoriatic arthritis in adults, </w:t>
            </w:r>
            <w:r w:rsidR="00D01F3B">
              <w:rPr>
                <w:rFonts w:cs="Arial"/>
                <w:szCs w:val="19"/>
                <w:lang w:val="en-US"/>
              </w:rPr>
              <w:t>psoriasis in adults, p</w:t>
            </w:r>
            <w:r w:rsidR="00D01F3B" w:rsidRPr="00D01F3B">
              <w:rPr>
                <w:rFonts w:cs="Arial"/>
                <w:szCs w:val="19"/>
                <w:lang w:val="en-US"/>
              </w:rPr>
              <w:t>aediatric plaque psoriasis</w:t>
            </w:r>
            <w:r w:rsidR="00D01F3B">
              <w:rPr>
                <w:rFonts w:cs="Arial"/>
                <w:szCs w:val="19"/>
                <w:lang w:val="en-US"/>
              </w:rPr>
              <w:t xml:space="preserve">, </w:t>
            </w:r>
            <w:r w:rsidR="000C3987" w:rsidRPr="000C3987">
              <w:rPr>
                <w:rFonts w:cs="Arial"/>
                <w:szCs w:val="19"/>
              </w:rPr>
              <w:t>hidradenitis suppurativa</w:t>
            </w:r>
            <w:r w:rsidR="000C3987">
              <w:rPr>
                <w:rFonts w:cs="Arial"/>
                <w:szCs w:val="19"/>
              </w:rPr>
              <w:t xml:space="preserve"> in adults and adolescents aged ≥12 years, </w:t>
            </w:r>
            <w:r w:rsidR="00640A19">
              <w:rPr>
                <w:rFonts w:cs="Arial"/>
                <w:szCs w:val="19"/>
              </w:rPr>
              <w:t>Crohn’s disease in adults, p</w:t>
            </w:r>
            <w:r w:rsidR="00640A19" w:rsidRPr="00640A19">
              <w:rPr>
                <w:rFonts w:cs="Arial"/>
                <w:szCs w:val="19"/>
              </w:rPr>
              <w:t>aediatric Crohn's disease</w:t>
            </w:r>
            <w:r w:rsidR="00640A19">
              <w:rPr>
                <w:rFonts w:cs="Arial"/>
                <w:szCs w:val="19"/>
              </w:rPr>
              <w:t xml:space="preserve">, ulcerative colitis in adults, paediatric ulcerative colitis, </w:t>
            </w:r>
            <w:r w:rsidR="00886A8A">
              <w:rPr>
                <w:rFonts w:cs="Arial"/>
                <w:szCs w:val="19"/>
              </w:rPr>
              <w:t xml:space="preserve">uveitis in adults and paediatric uveitis </w:t>
            </w:r>
          </w:p>
          <w:p w14:paraId="143B0A87" w14:textId="79CBB067" w:rsidR="008B3122" w:rsidRPr="005B5CEE" w:rsidRDefault="00886A8A" w:rsidP="007D01FD">
            <w:pPr>
              <w:tabs>
                <w:tab w:val="center" w:pos="3152"/>
              </w:tabs>
              <w:rPr>
                <w:rFonts w:cs="Arial"/>
                <w:szCs w:val="19"/>
                <w:lang w:val="en-US"/>
              </w:rPr>
            </w:pPr>
            <w:r w:rsidRPr="00886A8A">
              <w:rPr>
                <w:rFonts w:cs="Arial"/>
                <w:i/>
                <w:iCs/>
                <w:sz w:val="16"/>
                <w:szCs w:val="16"/>
              </w:rPr>
              <w:t xml:space="preserve">See </w:t>
            </w:r>
            <w:hyperlink r:id="rId18" w:history="1">
              <w:r w:rsidRPr="0069511F">
                <w:rPr>
                  <w:rStyle w:val="Hyperlink"/>
                  <w:rFonts w:ascii="Arial" w:hAnsi="Arial" w:cs="Arial"/>
                  <w:i/>
                  <w:iCs/>
                  <w:sz w:val="16"/>
                  <w:szCs w:val="16"/>
                </w:rPr>
                <w:t>SmPC</w:t>
              </w:r>
            </w:hyperlink>
            <w:r w:rsidRPr="00886A8A">
              <w:rPr>
                <w:rFonts w:cs="Arial"/>
                <w:i/>
                <w:iCs/>
                <w:sz w:val="16"/>
                <w:szCs w:val="16"/>
              </w:rPr>
              <w:t xml:space="preserve"> for full indication</w:t>
            </w:r>
          </w:p>
        </w:tc>
      </w:tr>
      <w:tr w:rsidR="00247547" w14:paraId="02D723B9" w14:textId="77777777" w:rsidTr="00355B51">
        <w:tc>
          <w:tcPr>
            <w:tcW w:w="1447" w:type="pct"/>
            <w:gridSpan w:val="2"/>
            <w:shd w:val="clear" w:color="auto" w:fill="auto"/>
            <w:tcMar>
              <w:top w:w="57" w:type="dxa"/>
              <w:bottom w:w="57" w:type="dxa"/>
            </w:tcMar>
          </w:tcPr>
          <w:p w14:paraId="0643672A" w14:textId="77777777" w:rsidR="003B5746" w:rsidRDefault="00520C34" w:rsidP="007D01FD">
            <w:pPr>
              <w:rPr>
                <w:rFonts w:cs="Arial"/>
                <w:szCs w:val="19"/>
              </w:rPr>
            </w:pPr>
            <w:r>
              <w:rPr>
                <w:rFonts w:cs="Arial"/>
                <w:szCs w:val="19"/>
              </w:rPr>
              <w:t>Aflibercept biosimilar (</w:t>
            </w:r>
            <w:proofErr w:type="spellStart"/>
            <w:r w:rsidRPr="00520C34">
              <w:rPr>
                <w:rFonts w:cs="Arial"/>
                <w:i/>
                <w:iCs/>
                <w:szCs w:val="19"/>
              </w:rPr>
              <w:t>Mynzepli</w:t>
            </w:r>
            <w:proofErr w:type="spellEnd"/>
            <w:r>
              <w:rPr>
                <w:rFonts w:cs="Arial"/>
                <w:szCs w:val="19"/>
              </w:rPr>
              <w:t>)</w:t>
            </w:r>
          </w:p>
          <w:p w14:paraId="6A3308B8" w14:textId="58777970" w:rsidR="00296E8A" w:rsidRPr="00296E8A" w:rsidRDefault="00296E8A" w:rsidP="007D01FD">
            <w:pPr>
              <w:rPr>
                <w:rFonts w:cs="Arial"/>
                <w:szCs w:val="19"/>
              </w:rPr>
            </w:pPr>
            <w:r w:rsidRPr="00CA5B68">
              <w:rPr>
                <w:rFonts w:cs="Arial"/>
                <w:sz w:val="16"/>
                <w:szCs w:val="16"/>
              </w:rPr>
              <w:t xml:space="preserve">3.6mg in 0.09mL prefilled syringe </w:t>
            </w:r>
            <w:r w:rsidR="00CA5B68" w:rsidRPr="00CA5B68">
              <w:rPr>
                <w:rFonts w:cs="Arial"/>
                <w:sz w:val="16"/>
                <w:szCs w:val="16"/>
              </w:rPr>
              <w:t xml:space="preserve">and </w:t>
            </w:r>
            <w:r w:rsidRPr="00CA5B68">
              <w:rPr>
                <w:rFonts w:cs="Arial"/>
                <w:sz w:val="16"/>
                <w:szCs w:val="16"/>
              </w:rPr>
              <w:t>4mg in 0.1mL vial</w:t>
            </w:r>
          </w:p>
        </w:tc>
        <w:tc>
          <w:tcPr>
            <w:tcW w:w="3553" w:type="pct"/>
            <w:shd w:val="clear" w:color="auto" w:fill="auto"/>
            <w:tcMar>
              <w:top w:w="57" w:type="dxa"/>
              <w:bottom w:w="57" w:type="dxa"/>
            </w:tcMar>
          </w:tcPr>
          <w:p w14:paraId="42E268B1" w14:textId="46231456" w:rsidR="00247547" w:rsidRPr="002B10C1" w:rsidRDefault="005B5CEE" w:rsidP="007D01FD">
            <w:pPr>
              <w:tabs>
                <w:tab w:val="center" w:pos="3152"/>
              </w:tabs>
              <w:rPr>
                <w:rFonts w:cs="Arial"/>
                <w:szCs w:val="19"/>
                <w:lang w:val="en-US"/>
              </w:rPr>
            </w:pPr>
            <w:r w:rsidRPr="005B5CEE">
              <w:rPr>
                <w:rFonts w:cs="Arial"/>
                <w:szCs w:val="19"/>
                <w:lang w:val="en-US"/>
              </w:rPr>
              <w:t>Treatment of neovascular (wet) age-related macular degeneration, visual impairment due to macular oedema secondary to retinal vein occlusion (branch RVO or central RVO), visual impairment due to diabetic macular oedema and visual impairment due to myopic choroidal neovascularisation</w:t>
            </w:r>
          </w:p>
        </w:tc>
      </w:tr>
      <w:tr w:rsidR="00520C34" w14:paraId="7ED2BF57" w14:textId="77777777" w:rsidTr="00355B51">
        <w:tc>
          <w:tcPr>
            <w:tcW w:w="1447" w:type="pct"/>
            <w:gridSpan w:val="2"/>
            <w:shd w:val="clear" w:color="auto" w:fill="auto"/>
            <w:tcMar>
              <w:top w:w="57" w:type="dxa"/>
              <w:bottom w:w="57" w:type="dxa"/>
            </w:tcMar>
          </w:tcPr>
          <w:p w14:paraId="2A111466" w14:textId="77777777" w:rsidR="00520C34" w:rsidRDefault="00520C34" w:rsidP="00520C34">
            <w:pPr>
              <w:rPr>
                <w:rFonts w:cs="Arial"/>
                <w:szCs w:val="19"/>
              </w:rPr>
            </w:pPr>
            <w:r w:rsidRPr="00EC0311">
              <w:rPr>
                <w:rFonts w:cs="Arial"/>
                <w:szCs w:val="19"/>
              </w:rPr>
              <w:t>Bosutinib</w:t>
            </w:r>
            <w:r>
              <w:rPr>
                <w:rFonts w:cs="Arial"/>
                <w:szCs w:val="19"/>
              </w:rPr>
              <w:t xml:space="preserve"> (</w:t>
            </w:r>
            <w:proofErr w:type="spellStart"/>
            <w:r>
              <w:rPr>
                <w:rFonts w:cs="Arial"/>
                <w:i/>
                <w:iCs/>
                <w:szCs w:val="19"/>
              </w:rPr>
              <w:t>Bosulif</w:t>
            </w:r>
            <w:proofErr w:type="spellEnd"/>
            <w:r>
              <w:rPr>
                <w:rFonts w:cs="Arial"/>
                <w:szCs w:val="19"/>
              </w:rPr>
              <w:t>)</w:t>
            </w:r>
          </w:p>
          <w:p w14:paraId="12822662" w14:textId="6C484DCA" w:rsidR="00520C34" w:rsidRPr="002B10C1" w:rsidRDefault="00520C34" w:rsidP="00520C34">
            <w:pPr>
              <w:rPr>
                <w:rFonts w:cs="Arial"/>
                <w:szCs w:val="19"/>
              </w:rPr>
            </w:pPr>
            <w:r w:rsidRPr="00F22C4C">
              <w:rPr>
                <w:rFonts w:cs="Arial"/>
                <w:sz w:val="16"/>
                <w:szCs w:val="16"/>
              </w:rPr>
              <w:t>50mg and 100mg capsules</w:t>
            </w:r>
          </w:p>
        </w:tc>
        <w:tc>
          <w:tcPr>
            <w:tcW w:w="3553" w:type="pct"/>
            <w:shd w:val="clear" w:color="auto" w:fill="auto"/>
            <w:tcMar>
              <w:top w:w="57" w:type="dxa"/>
              <w:bottom w:w="57" w:type="dxa"/>
            </w:tcMar>
          </w:tcPr>
          <w:p w14:paraId="26073D98" w14:textId="2CDD3C30" w:rsidR="00520C34" w:rsidRDefault="00520C34" w:rsidP="00520C34">
            <w:pPr>
              <w:tabs>
                <w:tab w:val="center" w:pos="3152"/>
              </w:tabs>
              <w:rPr>
                <w:rFonts w:cs="Arial"/>
                <w:sz w:val="18"/>
                <w:szCs w:val="18"/>
                <w:lang w:val="en-US"/>
              </w:rPr>
            </w:pPr>
            <w:r w:rsidRPr="00F22C4C">
              <w:rPr>
                <w:rFonts w:cs="Arial"/>
                <w:szCs w:val="19"/>
                <w:lang w:val="en-US"/>
              </w:rPr>
              <w:t xml:space="preserve">Treatment of adult and paediatric patients aged </w:t>
            </w:r>
            <w:r>
              <w:rPr>
                <w:rFonts w:cs="Arial"/>
                <w:szCs w:val="19"/>
                <w:lang w:val="en-US"/>
              </w:rPr>
              <w:t>≥</w:t>
            </w:r>
            <w:r w:rsidRPr="00F22C4C">
              <w:rPr>
                <w:rFonts w:cs="Arial"/>
                <w:szCs w:val="19"/>
                <w:lang w:val="en-US"/>
              </w:rPr>
              <w:t xml:space="preserve">6 years with newly-diagnosed chronic phase (CP) Philadelphia chromosome-positive chronic myelogenous leukaemia (Ph+ CML), treatment of adult and paediatric patients aged </w:t>
            </w:r>
            <w:r>
              <w:rPr>
                <w:rFonts w:cs="Arial"/>
                <w:szCs w:val="19"/>
                <w:lang w:val="en-US"/>
              </w:rPr>
              <w:t>≥</w:t>
            </w:r>
            <w:r w:rsidRPr="00F22C4C">
              <w:rPr>
                <w:rFonts w:cs="Arial"/>
                <w:szCs w:val="19"/>
                <w:lang w:val="en-US"/>
              </w:rPr>
              <w:t xml:space="preserve">6 years with CP Ph+ CML previously treated with one or more tyrosine kinase inhibitor(s) </w:t>
            </w:r>
            <w:r>
              <w:rPr>
                <w:rFonts w:cs="Arial"/>
                <w:szCs w:val="19"/>
                <w:lang w:val="en-US"/>
              </w:rPr>
              <w:t>(</w:t>
            </w:r>
            <w:r w:rsidRPr="00F22C4C">
              <w:rPr>
                <w:rFonts w:cs="Arial"/>
                <w:szCs w:val="19"/>
                <w:lang w:val="en-US"/>
              </w:rPr>
              <w:t>TKI</w:t>
            </w:r>
            <w:r>
              <w:rPr>
                <w:rFonts w:cs="Arial"/>
                <w:szCs w:val="19"/>
                <w:lang w:val="en-US"/>
              </w:rPr>
              <w:t>)</w:t>
            </w:r>
            <w:r w:rsidRPr="00F22C4C">
              <w:rPr>
                <w:rFonts w:cs="Arial"/>
                <w:szCs w:val="19"/>
                <w:lang w:val="en-US"/>
              </w:rPr>
              <w:t xml:space="preserve"> and for whom imatinib, nilotinib and </w:t>
            </w:r>
            <w:proofErr w:type="spellStart"/>
            <w:r w:rsidRPr="00F22C4C">
              <w:rPr>
                <w:rFonts w:cs="Arial"/>
                <w:szCs w:val="19"/>
                <w:lang w:val="en-US"/>
              </w:rPr>
              <w:t>dasatinib</w:t>
            </w:r>
            <w:proofErr w:type="spellEnd"/>
            <w:r w:rsidRPr="00F22C4C">
              <w:rPr>
                <w:rFonts w:cs="Arial"/>
                <w:szCs w:val="19"/>
                <w:lang w:val="en-US"/>
              </w:rPr>
              <w:t xml:space="preserve"> are not considered appropriate treatment options, and treatment of adults with accelerated phase and blast phase Ph+ CML previously treated with one or more TKI(s) and for whom imatinib, nilotinib and </w:t>
            </w:r>
            <w:proofErr w:type="spellStart"/>
            <w:r w:rsidRPr="00F22C4C">
              <w:rPr>
                <w:rFonts w:cs="Arial"/>
                <w:szCs w:val="19"/>
                <w:lang w:val="en-US"/>
              </w:rPr>
              <w:t>dasatinib</w:t>
            </w:r>
            <w:proofErr w:type="spellEnd"/>
            <w:r w:rsidRPr="00F22C4C">
              <w:rPr>
                <w:rFonts w:cs="Arial"/>
                <w:szCs w:val="19"/>
                <w:lang w:val="en-US"/>
              </w:rPr>
              <w:t xml:space="preserve"> are not considered appropriate treatment options</w:t>
            </w:r>
            <w:r>
              <w:rPr>
                <w:rFonts w:cs="Arial"/>
                <w:szCs w:val="19"/>
                <w:lang w:val="en-US"/>
              </w:rPr>
              <w:t xml:space="preserve"> </w:t>
            </w:r>
            <w:r w:rsidRPr="00F26A5C">
              <w:rPr>
                <w:rFonts w:cs="Arial"/>
                <w:sz w:val="16"/>
                <w:szCs w:val="16"/>
                <w:lang w:val="en-US"/>
              </w:rPr>
              <w:t>[new capsule formulations]</w:t>
            </w:r>
          </w:p>
        </w:tc>
      </w:tr>
      <w:tr w:rsidR="008D18EA" w14:paraId="52FC1D28" w14:textId="77777777" w:rsidTr="00355B51">
        <w:tc>
          <w:tcPr>
            <w:tcW w:w="1447" w:type="pct"/>
            <w:gridSpan w:val="2"/>
            <w:shd w:val="clear" w:color="auto" w:fill="auto"/>
            <w:tcMar>
              <w:top w:w="57" w:type="dxa"/>
              <w:bottom w:w="57" w:type="dxa"/>
            </w:tcMar>
          </w:tcPr>
          <w:p w14:paraId="68910FBF" w14:textId="77777777" w:rsidR="008D18EA" w:rsidRDefault="008D18EA" w:rsidP="008D18EA">
            <w:pPr>
              <w:rPr>
                <w:rFonts w:cs="Arial"/>
                <w:szCs w:val="19"/>
              </w:rPr>
            </w:pPr>
            <w:r w:rsidRPr="00B73FC8">
              <w:rPr>
                <w:rFonts w:cs="Arial"/>
                <w:szCs w:val="19"/>
              </w:rPr>
              <w:t>COVID-19 vaccine (recombinant, adjuvanted) </w:t>
            </w:r>
            <w:r>
              <w:rPr>
                <w:rFonts w:cs="Arial"/>
                <w:szCs w:val="19"/>
              </w:rPr>
              <w:t>(</w:t>
            </w:r>
            <w:r w:rsidRPr="007307F6">
              <w:rPr>
                <w:rFonts w:cs="Arial"/>
                <w:i/>
                <w:iCs/>
                <w:szCs w:val="19"/>
              </w:rPr>
              <w:t>Nuvaxovid JN.1</w:t>
            </w:r>
            <w:r>
              <w:rPr>
                <w:rFonts w:cs="Arial"/>
                <w:szCs w:val="19"/>
              </w:rPr>
              <w:t>)</w:t>
            </w:r>
          </w:p>
          <w:p w14:paraId="1E049BAD" w14:textId="201601EB" w:rsidR="008D18EA" w:rsidRPr="00EC0311" w:rsidRDefault="008D18EA" w:rsidP="008D18EA">
            <w:pPr>
              <w:rPr>
                <w:rFonts w:cs="Arial"/>
                <w:szCs w:val="19"/>
              </w:rPr>
            </w:pPr>
            <w:r w:rsidRPr="007F42D1">
              <w:rPr>
                <w:rFonts w:cs="Arial"/>
                <w:sz w:val="16"/>
                <w:szCs w:val="16"/>
              </w:rPr>
              <w:t>Single-dose prefilled syringe</w:t>
            </w:r>
          </w:p>
        </w:tc>
        <w:tc>
          <w:tcPr>
            <w:tcW w:w="3553" w:type="pct"/>
            <w:shd w:val="clear" w:color="auto" w:fill="auto"/>
            <w:tcMar>
              <w:top w:w="57" w:type="dxa"/>
              <w:bottom w:w="57" w:type="dxa"/>
            </w:tcMar>
          </w:tcPr>
          <w:p w14:paraId="31D4FD09" w14:textId="07546958" w:rsidR="008D18EA" w:rsidRPr="00F22C4C" w:rsidRDefault="008D18EA" w:rsidP="008D18EA">
            <w:pPr>
              <w:tabs>
                <w:tab w:val="center" w:pos="3152"/>
              </w:tabs>
              <w:rPr>
                <w:rFonts w:cs="Arial"/>
                <w:szCs w:val="19"/>
                <w:lang w:val="en-US"/>
              </w:rPr>
            </w:pPr>
            <w:r>
              <w:rPr>
                <w:rFonts w:cs="Arial"/>
                <w:szCs w:val="19"/>
                <w:lang w:val="en-US"/>
              </w:rPr>
              <w:t>Activ</w:t>
            </w:r>
            <w:r w:rsidRPr="00716CBC">
              <w:rPr>
                <w:rFonts w:cs="Arial"/>
                <w:szCs w:val="19"/>
                <w:lang w:val="en-US"/>
              </w:rPr>
              <w:t xml:space="preserve">e </w:t>
            </w:r>
            <w:proofErr w:type="spellStart"/>
            <w:r w:rsidRPr="00716CBC">
              <w:rPr>
                <w:rFonts w:cs="Arial"/>
                <w:szCs w:val="19"/>
                <w:lang w:val="en-US"/>
              </w:rPr>
              <w:t>immunisation</w:t>
            </w:r>
            <w:proofErr w:type="spellEnd"/>
            <w:r w:rsidRPr="00716CBC">
              <w:rPr>
                <w:rFonts w:cs="Arial"/>
                <w:szCs w:val="19"/>
                <w:lang w:val="en-US"/>
              </w:rPr>
              <w:t xml:space="preserve"> to prevent COVID-19 caused by SARS-CoV-2 in individuals </w:t>
            </w:r>
            <w:r>
              <w:rPr>
                <w:rFonts w:cs="Arial"/>
                <w:szCs w:val="19"/>
                <w:lang w:val="en-US"/>
              </w:rPr>
              <w:t>aged ≥</w:t>
            </w:r>
            <w:r w:rsidRPr="00716CBC">
              <w:rPr>
                <w:rFonts w:cs="Arial"/>
                <w:szCs w:val="19"/>
                <w:lang w:val="en-US"/>
              </w:rPr>
              <w:t>12 years</w:t>
            </w:r>
          </w:p>
        </w:tc>
      </w:tr>
      <w:tr w:rsidR="008D18EA" w14:paraId="14500AFD" w14:textId="77777777" w:rsidTr="00355B51">
        <w:tc>
          <w:tcPr>
            <w:tcW w:w="1447" w:type="pct"/>
            <w:gridSpan w:val="2"/>
            <w:shd w:val="clear" w:color="auto" w:fill="auto"/>
            <w:tcMar>
              <w:top w:w="57" w:type="dxa"/>
              <w:bottom w:w="57" w:type="dxa"/>
            </w:tcMar>
          </w:tcPr>
          <w:p w14:paraId="4C5A07B2" w14:textId="77777777" w:rsidR="008D18EA" w:rsidRDefault="008D18EA" w:rsidP="008D18EA">
            <w:pPr>
              <w:rPr>
                <w:rFonts w:cs="Arial"/>
                <w:szCs w:val="19"/>
              </w:rPr>
            </w:pPr>
            <w:r>
              <w:rPr>
                <w:rFonts w:cs="Arial"/>
                <w:szCs w:val="19"/>
              </w:rPr>
              <w:t>Denosumab biosimilar (</w:t>
            </w:r>
            <w:proofErr w:type="spellStart"/>
            <w:r>
              <w:rPr>
                <w:rFonts w:cs="Arial"/>
                <w:i/>
                <w:iCs/>
                <w:szCs w:val="19"/>
              </w:rPr>
              <w:t>Bomyntra</w:t>
            </w:r>
            <w:proofErr w:type="spellEnd"/>
            <w:r>
              <w:rPr>
                <w:rFonts w:cs="Arial"/>
                <w:szCs w:val="19"/>
              </w:rPr>
              <w:t>)</w:t>
            </w:r>
          </w:p>
          <w:p w14:paraId="2CF76E09" w14:textId="34E61061" w:rsidR="008D18EA" w:rsidRPr="00EC0311" w:rsidRDefault="008D18EA" w:rsidP="008D18EA">
            <w:pPr>
              <w:rPr>
                <w:rFonts w:cs="Arial"/>
                <w:szCs w:val="19"/>
              </w:rPr>
            </w:pPr>
            <w:r w:rsidRPr="00D0192D">
              <w:rPr>
                <w:rFonts w:cs="Arial"/>
                <w:sz w:val="16"/>
                <w:szCs w:val="16"/>
              </w:rPr>
              <w:t>120mg in 1.7mL prefilled syringe</w:t>
            </w:r>
            <w:r>
              <w:rPr>
                <w:rFonts w:cs="Arial"/>
                <w:sz w:val="16"/>
                <w:szCs w:val="16"/>
              </w:rPr>
              <w:t xml:space="preserve"> and 120mg in 1.7ml vial</w:t>
            </w:r>
          </w:p>
        </w:tc>
        <w:tc>
          <w:tcPr>
            <w:tcW w:w="3553" w:type="pct"/>
            <w:shd w:val="clear" w:color="auto" w:fill="auto"/>
            <w:tcMar>
              <w:top w:w="57" w:type="dxa"/>
              <w:bottom w:w="57" w:type="dxa"/>
            </w:tcMar>
          </w:tcPr>
          <w:p w14:paraId="2B451554" w14:textId="790F3579" w:rsidR="008D18EA" w:rsidRPr="00F22C4C" w:rsidRDefault="008D18EA" w:rsidP="008D18EA">
            <w:pPr>
              <w:tabs>
                <w:tab w:val="center" w:pos="3152"/>
              </w:tabs>
              <w:rPr>
                <w:rFonts w:cs="Arial"/>
                <w:szCs w:val="19"/>
                <w:lang w:val="en-US"/>
              </w:rPr>
            </w:pPr>
            <w:r>
              <w:rPr>
                <w:rFonts w:cs="Arial"/>
                <w:szCs w:val="19"/>
                <w:lang w:val="en-US"/>
              </w:rPr>
              <w:t>Prevention</w:t>
            </w:r>
            <w:r w:rsidRPr="00D0192D">
              <w:rPr>
                <w:rFonts w:cs="Arial"/>
                <w:szCs w:val="19"/>
                <w:lang w:val="en-US"/>
              </w:rPr>
              <w:t xml:space="preserve">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8D18EA" w14:paraId="42F70924" w14:textId="77777777" w:rsidTr="00355B51">
        <w:tc>
          <w:tcPr>
            <w:tcW w:w="1447" w:type="pct"/>
            <w:gridSpan w:val="2"/>
            <w:shd w:val="clear" w:color="auto" w:fill="auto"/>
            <w:tcMar>
              <w:top w:w="57" w:type="dxa"/>
              <w:bottom w:w="57" w:type="dxa"/>
            </w:tcMar>
          </w:tcPr>
          <w:p w14:paraId="578353CC" w14:textId="77777777" w:rsidR="008D18EA" w:rsidRDefault="008D18EA" w:rsidP="008D18EA">
            <w:pPr>
              <w:rPr>
                <w:rFonts w:cs="Arial"/>
                <w:sz w:val="16"/>
                <w:szCs w:val="16"/>
              </w:rPr>
            </w:pPr>
            <w:r w:rsidRPr="00AD2DCA">
              <w:rPr>
                <w:rFonts w:cs="Arial"/>
                <w:szCs w:val="19"/>
              </w:rPr>
              <w:t>Denosumab biosimilar </w:t>
            </w:r>
            <w:r>
              <w:rPr>
                <w:rFonts w:cs="Arial"/>
                <w:szCs w:val="19"/>
              </w:rPr>
              <w:t>(</w:t>
            </w:r>
            <w:r>
              <w:rPr>
                <w:rFonts w:cs="Arial"/>
                <w:i/>
                <w:iCs/>
                <w:szCs w:val="19"/>
              </w:rPr>
              <w:t>Junod</w:t>
            </w:r>
            <w:r>
              <w:rPr>
                <w:rFonts w:cs="Arial"/>
                <w:szCs w:val="19"/>
              </w:rPr>
              <w:t>)</w:t>
            </w:r>
            <w:r w:rsidRPr="006A2DAB">
              <w:rPr>
                <w:rFonts w:cs="Arial"/>
                <w:sz w:val="16"/>
                <w:szCs w:val="16"/>
              </w:rPr>
              <w:t xml:space="preserve"> </w:t>
            </w:r>
          </w:p>
          <w:p w14:paraId="5DC24CB9" w14:textId="6432A83A" w:rsidR="008D18EA" w:rsidRPr="00EC0311" w:rsidRDefault="008D18EA" w:rsidP="008D18EA">
            <w:pPr>
              <w:rPr>
                <w:rFonts w:cs="Arial"/>
                <w:szCs w:val="19"/>
              </w:rPr>
            </w:pPr>
            <w:r w:rsidRPr="006A2DAB">
              <w:rPr>
                <w:rFonts w:cs="Arial"/>
                <w:sz w:val="16"/>
                <w:szCs w:val="16"/>
              </w:rPr>
              <w:t>60mg in 1mL prefilled syringe</w:t>
            </w:r>
          </w:p>
        </w:tc>
        <w:tc>
          <w:tcPr>
            <w:tcW w:w="3553" w:type="pct"/>
            <w:shd w:val="clear" w:color="auto" w:fill="auto"/>
            <w:tcMar>
              <w:top w:w="57" w:type="dxa"/>
              <w:bottom w:w="57" w:type="dxa"/>
            </w:tcMar>
          </w:tcPr>
          <w:p w14:paraId="0206339F" w14:textId="066CA139" w:rsidR="008D18EA" w:rsidRPr="00F22C4C" w:rsidRDefault="008D18EA" w:rsidP="008D18EA">
            <w:pPr>
              <w:tabs>
                <w:tab w:val="center" w:pos="3152"/>
              </w:tabs>
              <w:rPr>
                <w:rFonts w:cs="Arial"/>
                <w:szCs w:val="19"/>
                <w:lang w:val="en-US"/>
              </w:rPr>
            </w:pPr>
            <w:r w:rsidRPr="00E637E1">
              <w:rPr>
                <w:rFonts w:cs="Arial"/>
                <w:szCs w:val="19"/>
                <w:lang w:val="en-US"/>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8D18EA" w14:paraId="7B97A871" w14:textId="77777777" w:rsidTr="00355B51">
        <w:tc>
          <w:tcPr>
            <w:tcW w:w="1447" w:type="pct"/>
            <w:gridSpan w:val="2"/>
            <w:shd w:val="clear" w:color="auto" w:fill="auto"/>
            <w:tcMar>
              <w:top w:w="57" w:type="dxa"/>
              <w:bottom w:w="57" w:type="dxa"/>
            </w:tcMar>
          </w:tcPr>
          <w:p w14:paraId="22B34340" w14:textId="77777777" w:rsidR="008D18EA" w:rsidRDefault="008D18EA" w:rsidP="008D18EA">
            <w:pPr>
              <w:rPr>
                <w:rFonts w:cs="Arial"/>
                <w:sz w:val="16"/>
                <w:szCs w:val="16"/>
              </w:rPr>
            </w:pPr>
            <w:r w:rsidRPr="00AD2DCA">
              <w:rPr>
                <w:rFonts w:cs="Arial"/>
                <w:szCs w:val="19"/>
              </w:rPr>
              <w:t>Denosumab biosimilar </w:t>
            </w:r>
            <w:r>
              <w:rPr>
                <w:rFonts w:cs="Arial"/>
                <w:szCs w:val="19"/>
              </w:rPr>
              <w:t>(</w:t>
            </w:r>
            <w:proofErr w:type="spellStart"/>
            <w:r>
              <w:rPr>
                <w:rFonts w:cs="Arial"/>
                <w:i/>
                <w:iCs/>
                <w:szCs w:val="19"/>
              </w:rPr>
              <w:t>Zadenvi</w:t>
            </w:r>
            <w:proofErr w:type="spellEnd"/>
            <w:r>
              <w:rPr>
                <w:rFonts w:cs="Arial"/>
                <w:szCs w:val="19"/>
              </w:rPr>
              <w:t>)</w:t>
            </w:r>
            <w:r w:rsidRPr="006A2DAB">
              <w:rPr>
                <w:rFonts w:cs="Arial"/>
                <w:sz w:val="16"/>
                <w:szCs w:val="16"/>
              </w:rPr>
              <w:t xml:space="preserve"> </w:t>
            </w:r>
          </w:p>
          <w:p w14:paraId="561356FA" w14:textId="5227A03A" w:rsidR="008D18EA" w:rsidRPr="00AD2DCA" w:rsidRDefault="008D18EA" w:rsidP="008D18EA">
            <w:pPr>
              <w:rPr>
                <w:rFonts w:cs="Arial"/>
                <w:szCs w:val="19"/>
              </w:rPr>
            </w:pPr>
            <w:r w:rsidRPr="006A2DAB">
              <w:rPr>
                <w:rFonts w:cs="Arial"/>
                <w:sz w:val="16"/>
                <w:szCs w:val="16"/>
              </w:rPr>
              <w:t>60mg in 1mL prefilled syringe</w:t>
            </w:r>
          </w:p>
        </w:tc>
        <w:tc>
          <w:tcPr>
            <w:tcW w:w="3553" w:type="pct"/>
            <w:shd w:val="clear" w:color="auto" w:fill="auto"/>
            <w:tcMar>
              <w:top w:w="57" w:type="dxa"/>
              <w:bottom w:w="57" w:type="dxa"/>
            </w:tcMar>
          </w:tcPr>
          <w:p w14:paraId="3EFC9973" w14:textId="553AB0D4" w:rsidR="008D18EA" w:rsidRPr="00E637E1" w:rsidRDefault="008D18EA" w:rsidP="008D18EA">
            <w:pPr>
              <w:tabs>
                <w:tab w:val="center" w:pos="3152"/>
              </w:tabs>
              <w:rPr>
                <w:rFonts w:cs="Arial"/>
                <w:szCs w:val="19"/>
                <w:lang w:val="en-US"/>
              </w:rPr>
            </w:pPr>
            <w:r w:rsidRPr="00E637E1">
              <w:rPr>
                <w:rFonts w:cs="Arial"/>
                <w:szCs w:val="19"/>
                <w:lang w:val="en-US"/>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2C770F" w14:paraId="445FEB61" w14:textId="77777777" w:rsidTr="00355B51">
        <w:tc>
          <w:tcPr>
            <w:tcW w:w="1447" w:type="pct"/>
            <w:gridSpan w:val="2"/>
            <w:shd w:val="clear" w:color="auto" w:fill="auto"/>
            <w:tcMar>
              <w:top w:w="57" w:type="dxa"/>
              <w:bottom w:w="57" w:type="dxa"/>
            </w:tcMar>
          </w:tcPr>
          <w:p w14:paraId="78259775" w14:textId="77777777" w:rsidR="002C770F" w:rsidRDefault="002C770F" w:rsidP="002C770F">
            <w:pPr>
              <w:rPr>
                <w:rFonts w:cs="Arial"/>
                <w:szCs w:val="19"/>
              </w:rPr>
            </w:pPr>
            <w:r>
              <w:rPr>
                <w:rFonts w:cs="Arial"/>
                <w:szCs w:val="19"/>
              </w:rPr>
              <w:t>Octreotide (</w:t>
            </w:r>
            <w:proofErr w:type="spellStart"/>
            <w:r w:rsidRPr="00913B7D">
              <w:rPr>
                <w:rFonts w:cs="Arial"/>
                <w:i/>
                <w:iCs/>
                <w:szCs w:val="19"/>
              </w:rPr>
              <w:t>Oczyesa</w:t>
            </w:r>
            <w:proofErr w:type="spellEnd"/>
            <w:r>
              <w:rPr>
                <w:rFonts w:cs="Arial"/>
                <w:szCs w:val="19"/>
              </w:rPr>
              <w:t>)</w:t>
            </w:r>
          </w:p>
          <w:p w14:paraId="7160993F" w14:textId="5530576B" w:rsidR="002C770F" w:rsidRPr="00AD2DCA" w:rsidRDefault="002C770F" w:rsidP="002C770F">
            <w:pPr>
              <w:rPr>
                <w:rFonts w:cs="Arial"/>
                <w:szCs w:val="19"/>
              </w:rPr>
            </w:pPr>
            <w:r w:rsidRPr="00D80765">
              <w:rPr>
                <w:rFonts w:cs="Arial"/>
                <w:sz w:val="16"/>
                <w:szCs w:val="16"/>
              </w:rPr>
              <w:t>20mg in 1mL prefilled pen</w:t>
            </w:r>
          </w:p>
        </w:tc>
        <w:tc>
          <w:tcPr>
            <w:tcW w:w="3553" w:type="pct"/>
            <w:shd w:val="clear" w:color="auto" w:fill="auto"/>
            <w:tcMar>
              <w:top w:w="57" w:type="dxa"/>
              <w:bottom w:w="57" w:type="dxa"/>
            </w:tcMar>
          </w:tcPr>
          <w:p w14:paraId="21E409FD" w14:textId="3A967DB6" w:rsidR="002C770F" w:rsidRPr="00E637E1" w:rsidRDefault="002C770F" w:rsidP="002C770F">
            <w:pPr>
              <w:tabs>
                <w:tab w:val="center" w:pos="3152"/>
              </w:tabs>
              <w:rPr>
                <w:rFonts w:cs="Arial"/>
                <w:szCs w:val="19"/>
                <w:lang w:val="en-US"/>
              </w:rPr>
            </w:pPr>
            <w:r w:rsidRPr="003249E8">
              <w:rPr>
                <w:rFonts w:cs="Arial"/>
                <w:color w:val="000000"/>
                <w:szCs w:val="19"/>
                <w:lang w:val="en-US"/>
              </w:rPr>
              <w:t>Maintenance treatment in adults with acromegaly who have responded to and tolerated treatment with somatostatin analogues</w:t>
            </w:r>
            <w:r>
              <w:rPr>
                <w:rFonts w:cs="Arial"/>
                <w:color w:val="000000"/>
                <w:szCs w:val="19"/>
                <w:lang w:val="en-US"/>
              </w:rPr>
              <w:t xml:space="preserve"> </w:t>
            </w:r>
            <w:r w:rsidRPr="00151AA3">
              <w:rPr>
                <w:rFonts w:cs="Arial"/>
                <w:color w:val="000000"/>
                <w:sz w:val="16"/>
                <w:szCs w:val="16"/>
                <w:lang w:val="en-US"/>
              </w:rPr>
              <w:t>[new monthly subcutaneous formulation]</w:t>
            </w:r>
          </w:p>
        </w:tc>
      </w:tr>
      <w:tr w:rsidR="002C770F" w14:paraId="069A9B6F" w14:textId="77777777" w:rsidTr="00355B51">
        <w:tc>
          <w:tcPr>
            <w:tcW w:w="1447" w:type="pct"/>
            <w:gridSpan w:val="2"/>
            <w:shd w:val="clear" w:color="auto" w:fill="auto"/>
            <w:tcMar>
              <w:top w:w="57" w:type="dxa"/>
              <w:bottom w:w="57" w:type="dxa"/>
            </w:tcMar>
          </w:tcPr>
          <w:p w14:paraId="3A6180CA" w14:textId="77777777" w:rsidR="002C770F" w:rsidRDefault="002C770F" w:rsidP="002C770F">
            <w:pPr>
              <w:rPr>
                <w:rFonts w:cs="Arial"/>
                <w:szCs w:val="19"/>
              </w:rPr>
            </w:pPr>
            <w:proofErr w:type="spellStart"/>
            <w:r>
              <w:rPr>
                <w:rFonts w:cs="Arial"/>
                <w:szCs w:val="19"/>
              </w:rPr>
              <w:t>Selpercatinib</w:t>
            </w:r>
            <w:proofErr w:type="spellEnd"/>
            <w:r>
              <w:rPr>
                <w:rFonts w:cs="Arial"/>
                <w:szCs w:val="19"/>
              </w:rPr>
              <w:t xml:space="preserve"> (</w:t>
            </w:r>
            <w:proofErr w:type="spellStart"/>
            <w:r>
              <w:rPr>
                <w:rFonts w:cs="Arial"/>
                <w:i/>
                <w:iCs/>
                <w:szCs w:val="19"/>
              </w:rPr>
              <w:t>Retsevmo</w:t>
            </w:r>
            <w:proofErr w:type="spellEnd"/>
            <w:r>
              <w:rPr>
                <w:rFonts w:cs="Arial"/>
                <w:szCs w:val="19"/>
              </w:rPr>
              <w:t>)</w:t>
            </w:r>
          </w:p>
          <w:p w14:paraId="5C4897DD" w14:textId="49969EC6" w:rsidR="002C770F" w:rsidRPr="00AD2DCA" w:rsidRDefault="002C770F" w:rsidP="002C770F">
            <w:pPr>
              <w:rPr>
                <w:rFonts w:cs="Arial"/>
                <w:szCs w:val="19"/>
              </w:rPr>
            </w:pPr>
            <w:r w:rsidRPr="00277D2F">
              <w:rPr>
                <w:rFonts w:cs="Arial"/>
                <w:sz w:val="16"/>
                <w:szCs w:val="16"/>
              </w:rPr>
              <w:t>40mg and 80mg tablets</w:t>
            </w:r>
          </w:p>
        </w:tc>
        <w:tc>
          <w:tcPr>
            <w:tcW w:w="3553" w:type="pct"/>
            <w:shd w:val="clear" w:color="auto" w:fill="auto"/>
            <w:tcMar>
              <w:top w:w="57" w:type="dxa"/>
              <w:bottom w:w="57" w:type="dxa"/>
            </w:tcMar>
          </w:tcPr>
          <w:p w14:paraId="67F6EACD" w14:textId="3255E028" w:rsidR="002C770F" w:rsidRPr="00E637E1" w:rsidRDefault="002C770F" w:rsidP="002C770F">
            <w:pPr>
              <w:tabs>
                <w:tab w:val="center" w:pos="3152"/>
              </w:tabs>
              <w:rPr>
                <w:rFonts w:cs="Arial"/>
                <w:szCs w:val="19"/>
                <w:lang w:val="en-US"/>
              </w:rPr>
            </w:pPr>
            <w:r w:rsidRPr="00277D2F">
              <w:rPr>
                <w:rFonts w:cs="Arial"/>
                <w:szCs w:val="19"/>
                <w:lang w:val="en-US"/>
              </w:rPr>
              <w:t>Use as monotherapy for the treatment of adults with advanced RET fusion-positive non-small cell lung cancer not previously treated with a RET inhibitor</w:t>
            </w:r>
            <w:r>
              <w:rPr>
                <w:rFonts w:cs="Arial"/>
                <w:szCs w:val="19"/>
                <w:lang w:val="en-US"/>
              </w:rPr>
              <w:t>, and</w:t>
            </w:r>
            <w:r w:rsidRPr="00277D2F">
              <w:rPr>
                <w:rFonts w:cs="Arial"/>
                <w:szCs w:val="19"/>
                <w:lang w:val="en-US"/>
              </w:rPr>
              <w:t xml:space="preserve"> use as monotherapy for the treatment of adults and adolescents </w:t>
            </w:r>
            <w:r>
              <w:rPr>
                <w:rFonts w:cs="Arial"/>
                <w:szCs w:val="19"/>
                <w:lang w:val="en-US"/>
              </w:rPr>
              <w:t>aged ≥</w:t>
            </w:r>
            <w:r w:rsidRPr="00277D2F">
              <w:rPr>
                <w:rFonts w:cs="Arial"/>
                <w:szCs w:val="19"/>
                <w:lang w:val="en-US"/>
              </w:rPr>
              <w:t>12 years with advanced RET fusion-positive thyroid cancer who are radioactive iodine</w:t>
            </w:r>
            <w:r>
              <w:rPr>
                <w:rFonts w:cs="Arial"/>
                <w:szCs w:val="19"/>
                <w:lang w:val="en-US"/>
              </w:rPr>
              <w:t xml:space="preserve"> </w:t>
            </w:r>
            <w:r w:rsidRPr="00277D2F">
              <w:rPr>
                <w:rFonts w:cs="Arial"/>
                <w:szCs w:val="19"/>
                <w:lang w:val="en-US"/>
              </w:rPr>
              <w:t>refractory (if radioactive iodine is appropriate) and advanced RET-mutant medullary thyroid cancer</w:t>
            </w:r>
            <w:r>
              <w:rPr>
                <w:rFonts w:cs="Arial"/>
                <w:szCs w:val="19"/>
                <w:lang w:val="en-US"/>
              </w:rPr>
              <w:t xml:space="preserve"> </w:t>
            </w:r>
            <w:r w:rsidRPr="009E57B7">
              <w:rPr>
                <w:rFonts w:cs="Arial"/>
                <w:sz w:val="16"/>
                <w:szCs w:val="16"/>
                <w:lang w:val="en-US"/>
              </w:rPr>
              <w:t>[new tablet formulations]</w:t>
            </w:r>
          </w:p>
        </w:tc>
      </w:tr>
      <w:tr w:rsidR="002C770F" w14:paraId="07D7BA45" w14:textId="77777777" w:rsidTr="00355B51">
        <w:tc>
          <w:tcPr>
            <w:tcW w:w="1447" w:type="pct"/>
            <w:gridSpan w:val="2"/>
            <w:shd w:val="clear" w:color="auto" w:fill="auto"/>
            <w:tcMar>
              <w:top w:w="57" w:type="dxa"/>
              <w:bottom w:w="57" w:type="dxa"/>
            </w:tcMar>
          </w:tcPr>
          <w:p w14:paraId="252EA253" w14:textId="77777777" w:rsidR="002C770F" w:rsidRDefault="002C770F" w:rsidP="002C770F">
            <w:pPr>
              <w:rPr>
                <w:rFonts w:cs="Arial"/>
                <w:szCs w:val="19"/>
              </w:rPr>
            </w:pPr>
            <w:r>
              <w:rPr>
                <w:rFonts w:cs="Arial"/>
                <w:szCs w:val="19"/>
              </w:rPr>
              <w:t>Testosterone (</w:t>
            </w:r>
            <w:proofErr w:type="spellStart"/>
            <w:r w:rsidRPr="00DF0A8B">
              <w:rPr>
                <w:rFonts w:cs="Arial"/>
                <w:i/>
                <w:iCs/>
                <w:szCs w:val="19"/>
              </w:rPr>
              <w:t>Androfeme</w:t>
            </w:r>
            <w:proofErr w:type="spellEnd"/>
            <w:r>
              <w:rPr>
                <w:rFonts w:cs="Arial"/>
                <w:szCs w:val="19"/>
              </w:rPr>
              <w:t>)</w:t>
            </w:r>
          </w:p>
          <w:p w14:paraId="41F14150" w14:textId="09160978" w:rsidR="002C770F" w:rsidRPr="00AD2DCA" w:rsidRDefault="002C770F" w:rsidP="002C770F">
            <w:pPr>
              <w:rPr>
                <w:rFonts w:cs="Arial"/>
                <w:szCs w:val="19"/>
              </w:rPr>
            </w:pPr>
            <w:r w:rsidRPr="00A37576">
              <w:rPr>
                <w:rFonts w:cs="Arial"/>
                <w:sz w:val="16"/>
                <w:szCs w:val="16"/>
              </w:rPr>
              <w:t>10mg/mL cream</w:t>
            </w:r>
          </w:p>
        </w:tc>
        <w:tc>
          <w:tcPr>
            <w:tcW w:w="3553" w:type="pct"/>
            <w:shd w:val="clear" w:color="auto" w:fill="auto"/>
            <w:tcMar>
              <w:top w:w="57" w:type="dxa"/>
              <w:bottom w:w="57" w:type="dxa"/>
            </w:tcMar>
          </w:tcPr>
          <w:p w14:paraId="2D7606BA" w14:textId="77777777" w:rsidR="002C770F" w:rsidRDefault="002C770F" w:rsidP="002C770F">
            <w:pPr>
              <w:tabs>
                <w:tab w:val="center" w:pos="3152"/>
              </w:tabs>
              <w:rPr>
                <w:rFonts w:cs="Arial"/>
                <w:szCs w:val="19"/>
                <w:lang w:val="en-US"/>
              </w:rPr>
            </w:pPr>
            <w:r w:rsidRPr="006018AA">
              <w:rPr>
                <w:rFonts w:cs="Arial"/>
                <w:szCs w:val="19"/>
                <w:lang w:val="en-US"/>
              </w:rPr>
              <w:t xml:space="preserve">Treatment of hypoactive sexual desire dysfunction in postmenopausal women on </w:t>
            </w:r>
            <w:proofErr w:type="spellStart"/>
            <w:r w:rsidRPr="006018AA">
              <w:rPr>
                <w:rFonts w:cs="Arial"/>
                <w:szCs w:val="19"/>
                <w:lang w:val="en-US"/>
              </w:rPr>
              <w:t>optimised</w:t>
            </w:r>
            <w:proofErr w:type="spellEnd"/>
            <w:r w:rsidRPr="006018AA">
              <w:rPr>
                <w:rFonts w:cs="Arial"/>
                <w:szCs w:val="19"/>
                <w:lang w:val="en-US"/>
              </w:rPr>
              <w:t xml:space="preserve"> hormone replacement therapy</w:t>
            </w:r>
            <w:r>
              <w:rPr>
                <w:rFonts w:cs="Arial"/>
                <w:szCs w:val="19"/>
                <w:lang w:val="en-US"/>
              </w:rPr>
              <w:t xml:space="preserve"> </w:t>
            </w:r>
          </w:p>
          <w:p w14:paraId="5F63844F" w14:textId="23ECE803" w:rsidR="002C770F" w:rsidRPr="00E637E1" w:rsidRDefault="002C770F" w:rsidP="002C770F">
            <w:pPr>
              <w:tabs>
                <w:tab w:val="center" w:pos="3152"/>
              </w:tabs>
              <w:rPr>
                <w:rFonts w:cs="Arial"/>
                <w:szCs w:val="19"/>
                <w:lang w:val="en-US"/>
              </w:rPr>
            </w:pPr>
            <w:r w:rsidRPr="006018AA">
              <w:rPr>
                <w:rFonts w:cs="Arial"/>
                <w:sz w:val="16"/>
                <w:szCs w:val="16"/>
                <w:lang w:val="en-US"/>
              </w:rPr>
              <w:t xml:space="preserve">[new </w:t>
            </w:r>
            <w:r>
              <w:rPr>
                <w:rFonts w:cs="Arial"/>
                <w:sz w:val="16"/>
                <w:szCs w:val="16"/>
                <w:lang w:val="en-US"/>
              </w:rPr>
              <w:t xml:space="preserve">cream for </w:t>
            </w:r>
            <w:r w:rsidRPr="006018AA">
              <w:rPr>
                <w:rFonts w:cs="Arial"/>
                <w:sz w:val="16"/>
                <w:szCs w:val="16"/>
                <w:lang w:val="en-US"/>
              </w:rPr>
              <w:t xml:space="preserve">transdermal </w:t>
            </w:r>
            <w:r>
              <w:rPr>
                <w:rFonts w:cs="Arial"/>
                <w:sz w:val="16"/>
                <w:szCs w:val="16"/>
                <w:lang w:val="en-US"/>
              </w:rPr>
              <w:t xml:space="preserve">use </w:t>
            </w:r>
            <w:r w:rsidRPr="006018AA">
              <w:rPr>
                <w:rFonts w:cs="Arial"/>
                <w:sz w:val="16"/>
                <w:szCs w:val="16"/>
                <w:lang w:val="en-US"/>
              </w:rPr>
              <w:t>formulation with new indication]</w:t>
            </w:r>
          </w:p>
        </w:tc>
      </w:tr>
      <w:tr w:rsidR="002C770F" w:rsidRPr="00862949" w14:paraId="5EA1B92E" w14:textId="77777777" w:rsidTr="005A7E09">
        <w:tc>
          <w:tcPr>
            <w:tcW w:w="5000" w:type="pct"/>
            <w:gridSpan w:val="3"/>
            <w:shd w:val="clear" w:color="auto" w:fill="auto"/>
            <w:tcMar>
              <w:top w:w="0" w:type="dxa"/>
              <w:bottom w:w="0" w:type="dxa"/>
            </w:tcMar>
          </w:tcPr>
          <w:p w14:paraId="179F8AEF" w14:textId="77777777" w:rsidR="002C770F" w:rsidRPr="00862949" w:rsidRDefault="002C770F" w:rsidP="002C770F">
            <w:pPr>
              <w:jc w:val="center"/>
              <w:rPr>
                <w:rFonts w:cs="Arial"/>
                <w:noProof/>
                <w:sz w:val="8"/>
                <w:szCs w:val="8"/>
              </w:rPr>
            </w:pPr>
          </w:p>
        </w:tc>
      </w:tr>
      <w:tr w:rsidR="002C770F" w:rsidRPr="000F19E1" w14:paraId="65D79646" w14:textId="77777777" w:rsidTr="00155BD9">
        <w:tc>
          <w:tcPr>
            <w:tcW w:w="1152" w:type="pct"/>
            <w:shd w:val="clear" w:color="auto" w:fill="DAEEF3"/>
            <w:tcMar>
              <w:top w:w="0" w:type="dxa"/>
              <w:bottom w:w="0" w:type="dxa"/>
            </w:tcMar>
          </w:tcPr>
          <w:p w14:paraId="7D4A090D" w14:textId="77777777" w:rsidR="002C770F" w:rsidRPr="000F19E1" w:rsidRDefault="002C770F" w:rsidP="002C770F">
            <w:pPr>
              <w:rPr>
                <w:rFonts w:cs="Arial"/>
                <w:bCs/>
                <w:sz w:val="8"/>
                <w:szCs w:val="8"/>
              </w:rPr>
            </w:pPr>
          </w:p>
        </w:tc>
        <w:tc>
          <w:tcPr>
            <w:tcW w:w="3848" w:type="pct"/>
            <w:gridSpan w:val="2"/>
            <w:shd w:val="clear" w:color="auto" w:fill="DAEEF3"/>
            <w:tcMar>
              <w:top w:w="0" w:type="dxa"/>
              <w:bottom w:w="0" w:type="dxa"/>
            </w:tcMar>
          </w:tcPr>
          <w:p w14:paraId="1C4A34C8" w14:textId="77777777" w:rsidR="002C770F" w:rsidRPr="000F19E1" w:rsidRDefault="002C770F" w:rsidP="002C770F">
            <w:pPr>
              <w:tabs>
                <w:tab w:val="center" w:pos="3152"/>
              </w:tabs>
              <w:rPr>
                <w:rFonts w:cs="Arial"/>
                <w:sz w:val="8"/>
                <w:szCs w:val="8"/>
                <w:lang w:val="en-US"/>
              </w:rPr>
            </w:pPr>
          </w:p>
        </w:tc>
      </w:tr>
    </w:tbl>
    <w:p w14:paraId="57201945" w14:textId="77777777" w:rsidR="0048777D" w:rsidRDefault="0048777D">
      <w:r>
        <w:br w:type="page"/>
      </w:r>
    </w:p>
    <w:p w14:paraId="05764636" w14:textId="77777777" w:rsidR="0048777D" w:rsidRDefault="0048777D"/>
    <w:p w14:paraId="25702670" w14:textId="77777777" w:rsidR="00CB5BC1" w:rsidRDefault="00CB5BC1"/>
    <w:tbl>
      <w:tblPr>
        <w:tblW w:w="5170" w:type="pct"/>
        <w:tblInd w:w="-176" w:type="dxa"/>
        <w:tblLayout w:type="fixed"/>
        <w:tblLook w:val="01E0" w:firstRow="1" w:lastRow="1" w:firstColumn="1" w:lastColumn="1" w:noHBand="0" w:noVBand="0"/>
      </w:tblPr>
      <w:tblGrid>
        <w:gridCol w:w="2431"/>
        <w:gridCol w:w="154"/>
        <w:gridCol w:w="7966"/>
      </w:tblGrid>
      <w:tr w:rsidR="00A460D1" w:rsidRPr="00862949" w14:paraId="4D447114" w14:textId="77777777" w:rsidTr="003D19FB">
        <w:tc>
          <w:tcPr>
            <w:tcW w:w="5000" w:type="pct"/>
            <w:gridSpan w:val="3"/>
            <w:shd w:val="clear" w:color="auto" w:fill="0070C0"/>
            <w:tcMar>
              <w:top w:w="85" w:type="dxa"/>
              <w:bottom w:w="85" w:type="dxa"/>
            </w:tcMar>
            <w:vAlign w:val="bottom"/>
          </w:tcPr>
          <w:p w14:paraId="00EADD9D" w14:textId="77777777" w:rsidR="00A460D1" w:rsidRPr="00862949" w:rsidRDefault="00A460D1" w:rsidP="003D19FB">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A460D1" w:rsidRPr="00862949" w14:paraId="4BCAD017" w14:textId="77777777" w:rsidTr="003D19FB">
        <w:tc>
          <w:tcPr>
            <w:tcW w:w="5000" w:type="pct"/>
            <w:gridSpan w:val="3"/>
            <w:shd w:val="clear" w:color="auto" w:fill="DAEEF3"/>
            <w:tcMar>
              <w:top w:w="0" w:type="dxa"/>
              <w:bottom w:w="0" w:type="dxa"/>
            </w:tcMar>
          </w:tcPr>
          <w:p w14:paraId="55B2EA13" w14:textId="77777777" w:rsidR="00A460D1" w:rsidRPr="00862949" w:rsidRDefault="00A460D1" w:rsidP="003D19FB">
            <w:pPr>
              <w:rPr>
                <w:rFonts w:cs="Arial"/>
                <w:b/>
                <w:bCs/>
                <w:i/>
                <w:iCs/>
                <w:color w:val="000000"/>
                <w:sz w:val="8"/>
                <w:szCs w:val="8"/>
                <w:lang w:val="en-US"/>
              </w:rPr>
            </w:pPr>
          </w:p>
        </w:tc>
      </w:tr>
      <w:tr w:rsidR="00A460D1" w:rsidRPr="00862949" w14:paraId="4993B625" w14:textId="77777777" w:rsidTr="003D19FB">
        <w:tc>
          <w:tcPr>
            <w:tcW w:w="5000" w:type="pct"/>
            <w:gridSpan w:val="3"/>
            <w:shd w:val="clear" w:color="auto" w:fill="008232"/>
            <w:tcMar>
              <w:top w:w="57" w:type="dxa"/>
              <w:bottom w:w="57" w:type="dxa"/>
            </w:tcMar>
          </w:tcPr>
          <w:p w14:paraId="3E9DDF7E" w14:textId="5334522B" w:rsidR="00A460D1" w:rsidRPr="00433D3E" w:rsidRDefault="00A460D1" w:rsidP="003D19FB">
            <w:pPr>
              <w:rPr>
                <w:rFonts w:cs="Arial"/>
                <w:color w:val="FFFFFF"/>
                <w:sz w:val="20"/>
                <w:szCs w:val="20"/>
              </w:rPr>
            </w:pPr>
            <w:r w:rsidRPr="00433D3E">
              <w:rPr>
                <w:rFonts w:cs="Arial"/>
                <w:b/>
                <w:bCs/>
                <w:i/>
                <w:iCs/>
                <w:color w:val="FFFFFF"/>
                <w:sz w:val="22"/>
                <w:szCs w:val="20"/>
                <w:lang w:val="en-US"/>
              </w:rPr>
              <w:t xml:space="preserve">Approved in the </w:t>
            </w:r>
            <w:r>
              <w:rPr>
                <w:rFonts w:cs="Arial"/>
                <w:b/>
                <w:bCs/>
                <w:i/>
                <w:iCs/>
                <w:color w:val="FFFFFF"/>
                <w:sz w:val="22"/>
                <w:szCs w:val="20"/>
                <w:lang w:val="en-US"/>
              </w:rPr>
              <w:t xml:space="preserve">UK </w:t>
            </w:r>
            <w:r w:rsidRPr="00A460D1">
              <w:rPr>
                <w:rFonts w:cs="Arial"/>
                <w:b/>
                <w:bCs/>
                <w:color w:val="FFFFFF"/>
                <w:sz w:val="16"/>
                <w:szCs w:val="14"/>
                <w:lang w:val="en-US"/>
              </w:rPr>
              <w:t>(continued)</w:t>
            </w:r>
          </w:p>
        </w:tc>
      </w:tr>
      <w:tr w:rsidR="00565C69" w14:paraId="2E9F4B53" w14:textId="77777777" w:rsidTr="002C770F">
        <w:tc>
          <w:tcPr>
            <w:tcW w:w="1225" w:type="pct"/>
            <w:gridSpan w:val="2"/>
            <w:shd w:val="clear" w:color="auto" w:fill="auto"/>
            <w:tcMar>
              <w:top w:w="57" w:type="dxa"/>
              <w:bottom w:w="57" w:type="dxa"/>
            </w:tcMar>
          </w:tcPr>
          <w:p w14:paraId="4DCCA414" w14:textId="77777777" w:rsidR="00565C69" w:rsidRDefault="00565C69" w:rsidP="00565C69">
            <w:pPr>
              <w:rPr>
                <w:rFonts w:cs="Arial"/>
                <w:szCs w:val="19"/>
              </w:rPr>
            </w:pPr>
            <w:r w:rsidRPr="00132657">
              <w:rPr>
                <w:rFonts w:cs="Arial"/>
                <w:szCs w:val="19"/>
              </w:rPr>
              <w:t xml:space="preserve">Trastuzumab biosimilar </w:t>
            </w:r>
            <w:r>
              <w:rPr>
                <w:rFonts w:cs="Arial"/>
                <w:szCs w:val="19"/>
              </w:rPr>
              <w:t>(</w:t>
            </w:r>
            <w:proofErr w:type="spellStart"/>
            <w:r>
              <w:rPr>
                <w:rFonts w:cs="Arial"/>
                <w:i/>
                <w:iCs/>
                <w:szCs w:val="19"/>
              </w:rPr>
              <w:t>Dazublys</w:t>
            </w:r>
            <w:proofErr w:type="spellEnd"/>
            <w:r>
              <w:rPr>
                <w:rFonts w:cs="Arial"/>
                <w:szCs w:val="19"/>
              </w:rPr>
              <w:t>)</w:t>
            </w:r>
          </w:p>
          <w:p w14:paraId="3EBF6982" w14:textId="77777777" w:rsidR="00565C69" w:rsidRPr="002B7027" w:rsidRDefault="00565C69" w:rsidP="00565C69">
            <w:pPr>
              <w:rPr>
                <w:rFonts w:cs="Arial"/>
                <w:szCs w:val="19"/>
              </w:rPr>
            </w:pPr>
            <w:r w:rsidRPr="000D26DD">
              <w:rPr>
                <w:rFonts w:cs="Arial"/>
                <w:sz w:val="16"/>
                <w:szCs w:val="16"/>
              </w:rPr>
              <w:t>150mg vial</w:t>
            </w:r>
          </w:p>
        </w:tc>
        <w:tc>
          <w:tcPr>
            <w:tcW w:w="3775" w:type="pct"/>
            <w:shd w:val="clear" w:color="auto" w:fill="auto"/>
            <w:tcMar>
              <w:top w:w="57" w:type="dxa"/>
              <w:bottom w:w="57" w:type="dxa"/>
            </w:tcMar>
          </w:tcPr>
          <w:p w14:paraId="503F7CB0" w14:textId="053987FB" w:rsidR="00565C69" w:rsidRPr="00A075A3" w:rsidRDefault="00565C69" w:rsidP="00565C69">
            <w:pPr>
              <w:tabs>
                <w:tab w:val="center" w:pos="3152"/>
              </w:tabs>
              <w:rPr>
                <w:rFonts w:cs="Arial"/>
                <w:szCs w:val="19"/>
                <w:lang w:val="en-US"/>
              </w:rPr>
            </w:pPr>
            <w:r w:rsidRPr="002278E9">
              <w:rPr>
                <w:rFonts w:cs="Arial"/>
                <w:szCs w:val="19"/>
                <w:lang w:val="en-US"/>
              </w:rPr>
              <w:t xml:space="preserve">Treatment of adults with HER2-positive metastatic breast cancer (MBC), as monotherapy for the treatment of </w:t>
            </w:r>
            <w:r w:rsidRPr="0096027D">
              <w:rPr>
                <w:rFonts w:cs="Arial"/>
                <w:szCs w:val="19"/>
                <w:lang w:val="en-US"/>
              </w:rPr>
              <w:t xml:space="preserve">those patients who have received at least two chemotherapy regimens for their metastatic disease, use in combination with paclitaxel for the treatment of those patients who have not </w:t>
            </w:r>
            <w:r w:rsidRPr="007F3E5C">
              <w:rPr>
                <w:rFonts w:cs="Arial"/>
                <w:szCs w:val="19"/>
                <w:lang w:val="en-US"/>
              </w:rPr>
              <w:t xml:space="preserve">received chemotherapy for their metastatic disease and for whom an anthracycline is not suitable, use in combination with docetaxel for the treatment of those patients who have not received chemotherapy for their metastatic disease, use in combination with an aromatase inhibitor for the treatment of postmenopausal patients with </w:t>
            </w:r>
            <w:r w:rsidRPr="004027D3">
              <w:rPr>
                <w:rFonts w:cs="Arial"/>
                <w:szCs w:val="19"/>
                <w:lang w:val="en-US"/>
              </w:rPr>
              <w:t xml:space="preserve">hormone-receptor-positive MBC, not previously treated with trastuzumab; treatment of adults with HER2-positive early breast cancer following surgery, chemotherapy (neoadjuvant or adjuvant) and radiotherapy (if applicable), use following adjuvant chemotherapy with doxorubicin and cyclophosphamide in combination with paclitaxel or docetaxel, use in combination with adjuvant chemotherapy consisting of docetaxel and carboplatin, and use in combination with neoadjuvant chemotherapy followed by adjuvant </w:t>
            </w:r>
            <w:proofErr w:type="spellStart"/>
            <w:r w:rsidRPr="004027D3">
              <w:rPr>
                <w:rFonts w:cs="Arial"/>
                <w:i/>
                <w:iCs/>
                <w:szCs w:val="19"/>
                <w:lang w:val="en-US"/>
              </w:rPr>
              <w:t>Dazublys</w:t>
            </w:r>
            <w:proofErr w:type="spellEnd"/>
            <w:r w:rsidRPr="004027D3">
              <w:rPr>
                <w:rFonts w:cs="Arial"/>
                <w:szCs w:val="19"/>
                <w:lang w:val="en-US"/>
              </w:rPr>
              <w:t xml:space="preserve"> </w:t>
            </w:r>
            <w:r w:rsidRPr="00B74CC1">
              <w:rPr>
                <w:rFonts w:cs="Arial"/>
                <w:szCs w:val="19"/>
                <w:lang w:val="en-US"/>
              </w:rPr>
              <w:t>therapy for locally advanced (including inflammatory) disease or tumors</w:t>
            </w:r>
            <w:r w:rsidR="00A03CF1">
              <w:rPr>
                <w:rFonts w:cs="Arial"/>
                <w:szCs w:val="19"/>
                <w:lang w:val="en-US"/>
              </w:rPr>
              <w:t xml:space="preserve"> </w:t>
            </w:r>
            <w:r w:rsidRPr="00B74CC1">
              <w:rPr>
                <w:rFonts w:cs="Arial"/>
                <w:szCs w:val="19"/>
                <w:lang w:val="en-US"/>
              </w:rPr>
              <w:t>&gt;2cm in diameter; use in combination with capecitabine or 5-fluorouracil and cisplatin for the treatment of adults with HER2 positive metastatic adenocarcinoma of the stomach or gastro-esophageal junction who have not received prior anti-cancer treatment for their metastatic disease</w:t>
            </w:r>
          </w:p>
        </w:tc>
      </w:tr>
      <w:tr w:rsidR="00565C69" w14:paraId="744D9877" w14:textId="77777777" w:rsidTr="002C770F">
        <w:tc>
          <w:tcPr>
            <w:tcW w:w="1225" w:type="pct"/>
            <w:gridSpan w:val="2"/>
            <w:shd w:val="clear" w:color="auto" w:fill="auto"/>
            <w:tcMar>
              <w:top w:w="57" w:type="dxa"/>
              <w:bottom w:w="57" w:type="dxa"/>
            </w:tcMar>
          </w:tcPr>
          <w:p w14:paraId="30196B65" w14:textId="77777777" w:rsidR="00565C69" w:rsidRDefault="00565C69" w:rsidP="00565C69">
            <w:pPr>
              <w:rPr>
                <w:rFonts w:cs="Arial"/>
                <w:szCs w:val="19"/>
              </w:rPr>
            </w:pPr>
            <w:proofErr w:type="spellStart"/>
            <w:r w:rsidRPr="007C41AC">
              <w:rPr>
                <w:rFonts w:cs="Arial"/>
                <w:szCs w:val="19"/>
              </w:rPr>
              <w:t>Vorasidenib</w:t>
            </w:r>
            <w:proofErr w:type="spellEnd"/>
            <w:r>
              <w:rPr>
                <w:rFonts w:cs="Arial"/>
                <w:szCs w:val="19"/>
              </w:rPr>
              <w:t xml:space="preserve"> (</w:t>
            </w:r>
            <w:proofErr w:type="spellStart"/>
            <w:r>
              <w:rPr>
                <w:rFonts w:cs="Arial"/>
                <w:i/>
                <w:iCs/>
                <w:szCs w:val="19"/>
              </w:rPr>
              <w:t>Voranigo</w:t>
            </w:r>
            <w:proofErr w:type="spellEnd"/>
            <w:r>
              <w:rPr>
                <w:rFonts w:cs="Arial"/>
                <w:szCs w:val="19"/>
              </w:rPr>
              <w:t>)</w:t>
            </w:r>
          </w:p>
          <w:p w14:paraId="5A39DD07" w14:textId="77777777" w:rsidR="00565C69" w:rsidRPr="00D362D8" w:rsidRDefault="00565C69" w:rsidP="00565C69">
            <w:pPr>
              <w:rPr>
                <w:rFonts w:cs="Arial"/>
                <w:szCs w:val="19"/>
              </w:rPr>
            </w:pPr>
            <w:r w:rsidRPr="00B52A0A">
              <w:rPr>
                <w:rFonts w:cs="Arial"/>
                <w:sz w:val="16"/>
                <w:szCs w:val="16"/>
              </w:rPr>
              <w:t>10mg and 40mg tablets</w:t>
            </w:r>
          </w:p>
        </w:tc>
        <w:tc>
          <w:tcPr>
            <w:tcW w:w="3775" w:type="pct"/>
            <w:shd w:val="clear" w:color="auto" w:fill="auto"/>
            <w:tcMar>
              <w:top w:w="57" w:type="dxa"/>
              <w:bottom w:w="57" w:type="dxa"/>
            </w:tcMar>
          </w:tcPr>
          <w:p w14:paraId="78E13F7D" w14:textId="77777777" w:rsidR="00565C69" w:rsidRPr="00A075A3" w:rsidRDefault="00565C69" w:rsidP="00565C69">
            <w:pPr>
              <w:tabs>
                <w:tab w:val="center" w:pos="3152"/>
              </w:tabs>
              <w:rPr>
                <w:rFonts w:cs="Arial"/>
                <w:szCs w:val="19"/>
                <w:lang w:val="en-US"/>
              </w:rPr>
            </w:pPr>
            <w:r w:rsidRPr="00B52A0A">
              <w:rPr>
                <w:rFonts w:cs="Arial"/>
                <w:szCs w:val="19"/>
                <w:lang w:val="en-US"/>
              </w:rPr>
              <w:t>Treatment of Grade 2 astrocytoma or</w:t>
            </w:r>
            <w:r>
              <w:rPr>
                <w:rFonts w:cs="Arial"/>
                <w:szCs w:val="19"/>
                <w:lang w:val="en-US"/>
              </w:rPr>
              <w:t xml:space="preserve"> </w:t>
            </w:r>
            <w:r w:rsidRPr="00B52A0A">
              <w:rPr>
                <w:rFonts w:cs="Arial"/>
                <w:szCs w:val="19"/>
                <w:lang w:val="en-US"/>
              </w:rPr>
              <w:t>oligodendroglioma with a susceptible isocitrate dehydrogenase-1 mutation or</w:t>
            </w:r>
            <w:r>
              <w:rPr>
                <w:rFonts w:cs="Arial"/>
                <w:szCs w:val="19"/>
                <w:lang w:val="en-US"/>
              </w:rPr>
              <w:t xml:space="preserve"> </w:t>
            </w:r>
            <w:r w:rsidRPr="00B52A0A">
              <w:rPr>
                <w:rFonts w:cs="Arial"/>
                <w:szCs w:val="19"/>
                <w:lang w:val="en-US"/>
              </w:rPr>
              <w:t xml:space="preserve">isocitrate dehydrogenase-2 mutation in adults and paediatric patients </w:t>
            </w:r>
            <w:r>
              <w:rPr>
                <w:rFonts w:cs="Arial"/>
                <w:szCs w:val="19"/>
                <w:lang w:val="en-US"/>
              </w:rPr>
              <w:t>aged ≥</w:t>
            </w:r>
            <w:r w:rsidRPr="00B52A0A">
              <w:rPr>
                <w:rFonts w:cs="Arial"/>
                <w:szCs w:val="19"/>
                <w:lang w:val="en-US"/>
              </w:rPr>
              <w:t>12 years, who are not in need of immediate chemotherapy or radiotherapy following</w:t>
            </w:r>
            <w:r>
              <w:rPr>
                <w:rFonts w:cs="Arial"/>
                <w:szCs w:val="19"/>
                <w:lang w:val="en-US"/>
              </w:rPr>
              <w:t xml:space="preserve"> </w:t>
            </w:r>
            <w:r w:rsidRPr="00B52A0A">
              <w:rPr>
                <w:rFonts w:cs="Arial"/>
                <w:szCs w:val="19"/>
                <w:lang w:val="en-US"/>
              </w:rPr>
              <w:t>surgical intervention</w:t>
            </w:r>
          </w:p>
        </w:tc>
      </w:tr>
      <w:tr w:rsidR="00565C69" w:rsidRPr="00862949" w14:paraId="0A77F40F" w14:textId="77777777" w:rsidTr="003D19FB">
        <w:tc>
          <w:tcPr>
            <w:tcW w:w="5000" w:type="pct"/>
            <w:gridSpan w:val="3"/>
            <w:shd w:val="clear" w:color="auto" w:fill="auto"/>
            <w:tcMar>
              <w:top w:w="0" w:type="dxa"/>
              <w:bottom w:w="0" w:type="dxa"/>
            </w:tcMar>
          </w:tcPr>
          <w:p w14:paraId="5FDF0963" w14:textId="77777777" w:rsidR="00565C69" w:rsidRPr="00862949" w:rsidRDefault="00565C69" w:rsidP="00565C69">
            <w:pPr>
              <w:jc w:val="center"/>
              <w:rPr>
                <w:rFonts w:cs="Arial"/>
                <w:noProof/>
                <w:sz w:val="8"/>
                <w:szCs w:val="8"/>
              </w:rPr>
            </w:pPr>
          </w:p>
        </w:tc>
      </w:tr>
      <w:tr w:rsidR="00565C69" w:rsidRPr="000F19E1" w14:paraId="0E94D199" w14:textId="77777777" w:rsidTr="002C770F">
        <w:tc>
          <w:tcPr>
            <w:tcW w:w="1225" w:type="pct"/>
            <w:gridSpan w:val="2"/>
            <w:shd w:val="clear" w:color="auto" w:fill="DAEEF3"/>
            <w:tcMar>
              <w:top w:w="0" w:type="dxa"/>
              <w:bottom w:w="0" w:type="dxa"/>
            </w:tcMar>
          </w:tcPr>
          <w:p w14:paraId="36DA95CD" w14:textId="77777777" w:rsidR="00565C69" w:rsidRPr="000F19E1" w:rsidRDefault="00565C69" w:rsidP="00565C69">
            <w:pPr>
              <w:rPr>
                <w:rFonts w:cs="Arial"/>
                <w:bCs/>
                <w:sz w:val="8"/>
                <w:szCs w:val="8"/>
              </w:rPr>
            </w:pPr>
          </w:p>
        </w:tc>
        <w:tc>
          <w:tcPr>
            <w:tcW w:w="3775" w:type="pct"/>
            <w:shd w:val="clear" w:color="auto" w:fill="DAEEF3"/>
            <w:tcMar>
              <w:top w:w="0" w:type="dxa"/>
              <w:bottom w:w="0" w:type="dxa"/>
            </w:tcMar>
          </w:tcPr>
          <w:p w14:paraId="7AB1B5B5" w14:textId="77777777" w:rsidR="00565C69" w:rsidRPr="000F19E1" w:rsidRDefault="00565C69" w:rsidP="00565C69">
            <w:pPr>
              <w:tabs>
                <w:tab w:val="center" w:pos="3152"/>
              </w:tabs>
              <w:rPr>
                <w:rFonts w:cs="Arial"/>
                <w:sz w:val="8"/>
                <w:szCs w:val="8"/>
                <w:lang w:val="en-US"/>
              </w:rPr>
            </w:pPr>
          </w:p>
        </w:tc>
      </w:tr>
      <w:tr w:rsidR="002C770F" w:rsidRPr="00433D3E" w14:paraId="42B91708" w14:textId="77777777" w:rsidTr="00D30119">
        <w:tc>
          <w:tcPr>
            <w:tcW w:w="5000" w:type="pct"/>
            <w:gridSpan w:val="3"/>
            <w:shd w:val="clear" w:color="auto" w:fill="008232"/>
            <w:tcMar>
              <w:top w:w="57" w:type="dxa"/>
              <w:bottom w:w="57" w:type="dxa"/>
            </w:tcMar>
          </w:tcPr>
          <w:p w14:paraId="27FA270E" w14:textId="77777777" w:rsidR="002C770F" w:rsidRPr="0021490D" w:rsidRDefault="002C770F" w:rsidP="00D30119">
            <w:pPr>
              <w:rPr>
                <w:rFonts w:cs="Arial"/>
                <w:noProof/>
                <w:color w:val="FFFFFF"/>
                <w:sz w:val="16"/>
                <w:szCs w:val="16"/>
              </w:rPr>
            </w:pPr>
            <w:r>
              <w:rPr>
                <w:rFonts w:cs="Arial"/>
                <w:b/>
                <w:bCs/>
                <w:i/>
                <w:iCs/>
                <w:color w:val="FFFFFF"/>
                <w:sz w:val="22"/>
                <w:szCs w:val="20"/>
                <w:lang w:val="en-US"/>
              </w:rPr>
              <w:t xml:space="preserve">Recommended for approval in </w:t>
            </w:r>
            <w:r w:rsidRPr="00433D3E">
              <w:rPr>
                <w:rFonts w:cs="Arial"/>
                <w:b/>
                <w:bCs/>
                <w:i/>
                <w:iCs/>
                <w:color w:val="FFFFFF"/>
                <w:sz w:val="22"/>
                <w:szCs w:val="20"/>
                <w:lang w:val="en-US"/>
              </w:rPr>
              <w:t xml:space="preserve">the </w:t>
            </w:r>
            <w:r>
              <w:rPr>
                <w:rFonts w:cs="Arial"/>
                <w:b/>
                <w:bCs/>
                <w:i/>
                <w:iCs/>
                <w:color w:val="FFFFFF"/>
                <w:sz w:val="22"/>
                <w:szCs w:val="20"/>
                <w:lang w:val="en-US"/>
              </w:rPr>
              <w:t xml:space="preserve">UK or </w:t>
            </w:r>
            <w:r w:rsidRPr="00433D3E">
              <w:rPr>
                <w:rFonts w:cs="Arial"/>
                <w:b/>
                <w:bCs/>
                <w:i/>
                <w:iCs/>
                <w:color w:val="FFFFFF"/>
                <w:sz w:val="22"/>
                <w:szCs w:val="20"/>
                <w:lang w:val="en-US"/>
              </w:rPr>
              <w:t>EU</w:t>
            </w:r>
          </w:p>
        </w:tc>
      </w:tr>
      <w:tr w:rsidR="002C770F" w:rsidRPr="00A075A3" w14:paraId="5A162693" w14:textId="77777777" w:rsidTr="002C770F">
        <w:tc>
          <w:tcPr>
            <w:tcW w:w="1225" w:type="pct"/>
            <w:gridSpan w:val="2"/>
            <w:shd w:val="clear" w:color="auto" w:fill="auto"/>
            <w:tcMar>
              <w:top w:w="57" w:type="dxa"/>
              <w:bottom w:w="57" w:type="dxa"/>
            </w:tcMar>
          </w:tcPr>
          <w:p w14:paraId="51B56AAB" w14:textId="77777777" w:rsidR="002C770F" w:rsidRPr="00813950" w:rsidRDefault="002C770F" w:rsidP="00D30119">
            <w:pPr>
              <w:rPr>
                <w:rFonts w:cs="Arial"/>
                <w:szCs w:val="19"/>
              </w:rPr>
            </w:pPr>
            <w:proofErr w:type="spellStart"/>
            <w:r w:rsidRPr="007E6792">
              <w:rPr>
                <w:rFonts w:cs="Arial"/>
                <w:szCs w:val="19"/>
              </w:rPr>
              <w:t>Clesrovimab</w:t>
            </w:r>
            <w:proofErr w:type="spellEnd"/>
            <w:r>
              <w:rPr>
                <w:rFonts w:cs="Arial"/>
                <w:szCs w:val="19"/>
              </w:rPr>
              <w:t xml:space="preserve"> (</w:t>
            </w:r>
            <w:proofErr w:type="spellStart"/>
            <w:r>
              <w:rPr>
                <w:rFonts w:cs="Arial"/>
                <w:i/>
                <w:iCs/>
                <w:szCs w:val="19"/>
              </w:rPr>
              <w:t>Enflonsia</w:t>
            </w:r>
            <w:proofErr w:type="spellEnd"/>
            <w:r>
              <w:rPr>
                <w:rFonts w:cs="Arial"/>
                <w:szCs w:val="19"/>
              </w:rPr>
              <w:t>)</w:t>
            </w:r>
          </w:p>
        </w:tc>
        <w:tc>
          <w:tcPr>
            <w:tcW w:w="3775" w:type="pct"/>
            <w:shd w:val="clear" w:color="auto" w:fill="auto"/>
            <w:tcMar>
              <w:top w:w="57" w:type="dxa"/>
              <w:bottom w:w="57" w:type="dxa"/>
            </w:tcMar>
          </w:tcPr>
          <w:p w14:paraId="37C9F704" w14:textId="77777777" w:rsidR="002C770F" w:rsidRPr="00A075A3" w:rsidRDefault="002C770F" w:rsidP="00D30119">
            <w:pPr>
              <w:tabs>
                <w:tab w:val="center" w:pos="3152"/>
              </w:tabs>
              <w:rPr>
                <w:rFonts w:cs="Arial"/>
                <w:szCs w:val="19"/>
                <w:lang w:val="en-US"/>
              </w:rPr>
            </w:pPr>
            <w:r w:rsidRPr="00757349">
              <w:rPr>
                <w:rFonts w:cs="Arial"/>
                <w:szCs w:val="19"/>
                <w:lang w:val="en-US"/>
              </w:rPr>
              <w:t>Prevention of respiratory syncytial virus (RSV) lower respiratory tract disease in neonates and infants during their first RSV season</w:t>
            </w:r>
            <w:r>
              <w:rPr>
                <w:rFonts w:cs="Arial"/>
                <w:szCs w:val="19"/>
                <w:lang w:val="en-US"/>
              </w:rPr>
              <w:t xml:space="preserve"> </w:t>
            </w:r>
            <w:r w:rsidRPr="00757349">
              <w:rPr>
                <w:rFonts w:cs="Arial"/>
                <w:sz w:val="16"/>
                <w:szCs w:val="16"/>
                <w:lang w:val="en-US"/>
              </w:rPr>
              <w:t>[EU]</w:t>
            </w:r>
          </w:p>
        </w:tc>
      </w:tr>
      <w:tr w:rsidR="002C770F" w:rsidRPr="00A075A3" w14:paraId="44E3762E" w14:textId="77777777" w:rsidTr="002C770F">
        <w:tc>
          <w:tcPr>
            <w:tcW w:w="1225" w:type="pct"/>
            <w:gridSpan w:val="2"/>
            <w:shd w:val="clear" w:color="auto" w:fill="auto"/>
            <w:tcMar>
              <w:top w:w="57" w:type="dxa"/>
              <w:bottom w:w="57" w:type="dxa"/>
            </w:tcMar>
          </w:tcPr>
          <w:p w14:paraId="1ED2B23E" w14:textId="77777777" w:rsidR="002C770F" w:rsidRPr="007E6792" w:rsidRDefault="002C770F" w:rsidP="00D30119">
            <w:pPr>
              <w:rPr>
                <w:rFonts w:cs="Arial"/>
                <w:szCs w:val="19"/>
              </w:rPr>
            </w:pPr>
            <w:r w:rsidRPr="007565B8">
              <w:rPr>
                <w:rFonts w:cs="Arial"/>
                <w:szCs w:val="19"/>
              </w:rPr>
              <w:t>Denosumab biosimilar</w:t>
            </w:r>
            <w:r>
              <w:rPr>
                <w:rFonts w:cs="Arial"/>
                <w:szCs w:val="19"/>
              </w:rPr>
              <w:t xml:space="preserve"> </w:t>
            </w:r>
            <w:r w:rsidRPr="007565B8">
              <w:rPr>
                <w:rFonts w:cs="Arial"/>
                <w:szCs w:val="19"/>
              </w:rPr>
              <w:t>(</w:t>
            </w:r>
            <w:proofErr w:type="spellStart"/>
            <w:r w:rsidRPr="007565B8">
              <w:rPr>
                <w:rFonts w:cs="Arial"/>
                <w:i/>
                <w:iCs/>
                <w:szCs w:val="19"/>
              </w:rPr>
              <w:t>Acvybra</w:t>
            </w:r>
            <w:proofErr w:type="spellEnd"/>
            <w:r w:rsidRPr="007565B8">
              <w:rPr>
                <w:rFonts w:cs="Arial"/>
                <w:szCs w:val="19"/>
              </w:rPr>
              <w:t>)</w:t>
            </w:r>
          </w:p>
        </w:tc>
        <w:tc>
          <w:tcPr>
            <w:tcW w:w="3775" w:type="pct"/>
            <w:shd w:val="clear" w:color="auto" w:fill="auto"/>
            <w:tcMar>
              <w:top w:w="57" w:type="dxa"/>
              <w:bottom w:w="57" w:type="dxa"/>
            </w:tcMar>
          </w:tcPr>
          <w:p w14:paraId="140CAA06" w14:textId="4054EC54" w:rsidR="002C770F" w:rsidRPr="00A075A3" w:rsidRDefault="002C770F" w:rsidP="00D30119">
            <w:pPr>
              <w:tabs>
                <w:tab w:val="center" w:pos="3152"/>
              </w:tabs>
              <w:rPr>
                <w:rFonts w:cs="Arial"/>
                <w:szCs w:val="19"/>
                <w:lang w:val="en-US"/>
              </w:rPr>
            </w:pPr>
            <w:r w:rsidRPr="0004012E">
              <w:rPr>
                <w:rFonts w:cs="Arial"/>
                <w:szCs w:val="19"/>
                <w:lang w:val="en-US"/>
              </w:rPr>
              <w:t>Treatment of osteoporosis in postmenopausal women and in men at increased risk of fractures</w:t>
            </w:r>
            <w:r>
              <w:rPr>
                <w:rFonts w:cs="Arial"/>
                <w:szCs w:val="19"/>
                <w:lang w:val="en-US"/>
              </w:rPr>
              <w:t>,</w:t>
            </w:r>
            <w:r w:rsidRPr="0004012E">
              <w:rPr>
                <w:rFonts w:cs="Arial"/>
                <w:szCs w:val="19"/>
                <w:lang w:val="en-US"/>
              </w:rPr>
              <w:t xml:space="preserve"> treatment of bone loss associated with hormone ablation in men with prostate cancer at increased risk of fractures</w:t>
            </w:r>
            <w:r>
              <w:rPr>
                <w:rFonts w:cs="Arial"/>
                <w:szCs w:val="19"/>
                <w:lang w:val="en-US"/>
              </w:rPr>
              <w:t>,</w:t>
            </w:r>
            <w:r w:rsidRPr="0004012E">
              <w:rPr>
                <w:rFonts w:cs="Arial"/>
                <w:szCs w:val="19"/>
                <w:lang w:val="en-US"/>
              </w:rPr>
              <w:t xml:space="preserve"> and treatment of bone loss associated with long-term systemic glucocorticoid therapy in adults at increased risk of fracture</w:t>
            </w:r>
            <w:r>
              <w:rPr>
                <w:rFonts w:cs="Arial"/>
                <w:szCs w:val="19"/>
                <w:lang w:val="en-US"/>
              </w:rPr>
              <w:t xml:space="preserve"> </w:t>
            </w:r>
            <w:r w:rsidRPr="00757349">
              <w:rPr>
                <w:rFonts w:cs="Arial"/>
                <w:sz w:val="16"/>
                <w:szCs w:val="16"/>
                <w:lang w:val="en-US"/>
              </w:rPr>
              <w:t>[EU]</w:t>
            </w:r>
          </w:p>
        </w:tc>
      </w:tr>
      <w:tr w:rsidR="002C770F" w:rsidRPr="00A075A3" w14:paraId="49382DA9" w14:textId="77777777" w:rsidTr="002C770F">
        <w:tc>
          <w:tcPr>
            <w:tcW w:w="1225" w:type="pct"/>
            <w:gridSpan w:val="2"/>
            <w:shd w:val="clear" w:color="auto" w:fill="auto"/>
            <w:tcMar>
              <w:top w:w="57" w:type="dxa"/>
              <w:bottom w:w="57" w:type="dxa"/>
            </w:tcMar>
          </w:tcPr>
          <w:p w14:paraId="65399FEB" w14:textId="77777777" w:rsidR="002C770F" w:rsidRPr="007565B8" w:rsidRDefault="002C770F" w:rsidP="00D30119">
            <w:pPr>
              <w:rPr>
                <w:rFonts w:cs="Arial"/>
                <w:szCs w:val="19"/>
              </w:rPr>
            </w:pPr>
            <w:r w:rsidRPr="007565B8">
              <w:rPr>
                <w:rFonts w:cs="Arial"/>
                <w:szCs w:val="19"/>
              </w:rPr>
              <w:t>Denosumab biosimilar</w:t>
            </w:r>
            <w:r>
              <w:rPr>
                <w:rFonts w:cs="Arial"/>
                <w:szCs w:val="19"/>
              </w:rPr>
              <w:t xml:space="preserve"> </w:t>
            </w:r>
            <w:r w:rsidRPr="007565B8">
              <w:rPr>
                <w:rFonts w:cs="Arial"/>
                <w:szCs w:val="19"/>
              </w:rPr>
              <w:t>(</w:t>
            </w:r>
            <w:proofErr w:type="spellStart"/>
            <w:r>
              <w:rPr>
                <w:rFonts w:cs="Arial"/>
                <w:i/>
                <w:iCs/>
                <w:szCs w:val="19"/>
              </w:rPr>
              <w:t>Degevma</w:t>
            </w:r>
            <w:proofErr w:type="spellEnd"/>
            <w:r w:rsidRPr="007565B8">
              <w:rPr>
                <w:rFonts w:cs="Arial"/>
                <w:szCs w:val="19"/>
              </w:rPr>
              <w:t>)</w:t>
            </w:r>
          </w:p>
        </w:tc>
        <w:tc>
          <w:tcPr>
            <w:tcW w:w="3775" w:type="pct"/>
            <w:shd w:val="clear" w:color="auto" w:fill="auto"/>
            <w:tcMar>
              <w:top w:w="57" w:type="dxa"/>
              <w:bottom w:w="57" w:type="dxa"/>
            </w:tcMar>
          </w:tcPr>
          <w:p w14:paraId="6EB8F913" w14:textId="77777777" w:rsidR="002C770F" w:rsidRPr="00224643" w:rsidRDefault="002C770F" w:rsidP="00D30119">
            <w:pPr>
              <w:tabs>
                <w:tab w:val="center" w:pos="3152"/>
              </w:tabs>
              <w:rPr>
                <w:rFonts w:cs="Arial"/>
                <w:szCs w:val="19"/>
                <w:lang w:val="en-US"/>
              </w:rPr>
            </w:pPr>
            <w:r w:rsidRPr="00224643">
              <w:rPr>
                <w:rFonts w:cs="Arial"/>
                <w:szCs w:val="19"/>
                <w:lang w:val="en-US"/>
              </w:rPr>
              <w:t>Prevention of skeletal related events (pathological fracture, radiation to bone, spinal cord compression or surgery to bone) in adults with advanced malignancies involving bone</w:t>
            </w:r>
            <w:r>
              <w:rPr>
                <w:rFonts w:cs="Arial"/>
                <w:szCs w:val="19"/>
                <w:lang w:val="en-US"/>
              </w:rPr>
              <w:t>,</w:t>
            </w:r>
            <w:r w:rsidRPr="00224643">
              <w:rPr>
                <w:rFonts w:cs="Arial"/>
                <w:szCs w:val="19"/>
                <w:lang w:val="en-US"/>
              </w:rPr>
              <w:t xml:space="preserve"> and treatment of adults and skeletally mature adolescents with giant cell tumour of bone that is unresectable or where surgical resection is likely to result in severe morbidity</w:t>
            </w:r>
            <w:r>
              <w:rPr>
                <w:rFonts w:cs="Arial"/>
                <w:szCs w:val="19"/>
                <w:lang w:val="en-US"/>
              </w:rPr>
              <w:t xml:space="preserve"> </w:t>
            </w:r>
            <w:r w:rsidRPr="00757349">
              <w:rPr>
                <w:rFonts w:cs="Arial"/>
                <w:sz w:val="16"/>
                <w:szCs w:val="16"/>
                <w:lang w:val="en-US"/>
              </w:rPr>
              <w:t>[EU]</w:t>
            </w:r>
          </w:p>
        </w:tc>
      </w:tr>
      <w:tr w:rsidR="002C770F" w:rsidRPr="00A075A3" w14:paraId="2E06061D" w14:textId="77777777" w:rsidTr="002C770F">
        <w:tc>
          <w:tcPr>
            <w:tcW w:w="1225" w:type="pct"/>
            <w:gridSpan w:val="2"/>
            <w:shd w:val="clear" w:color="auto" w:fill="auto"/>
            <w:tcMar>
              <w:top w:w="57" w:type="dxa"/>
              <w:bottom w:w="57" w:type="dxa"/>
            </w:tcMar>
          </w:tcPr>
          <w:p w14:paraId="0B3C8BA2" w14:textId="77777777" w:rsidR="002C770F" w:rsidRPr="007565B8" w:rsidRDefault="002C770F" w:rsidP="00D30119">
            <w:pPr>
              <w:rPr>
                <w:rFonts w:cs="Arial"/>
                <w:szCs w:val="19"/>
              </w:rPr>
            </w:pPr>
            <w:r w:rsidRPr="007565B8">
              <w:rPr>
                <w:rFonts w:cs="Arial"/>
                <w:szCs w:val="19"/>
              </w:rPr>
              <w:t>Denosumab biosimilar</w:t>
            </w:r>
            <w:r>
              <w:rPr>
                <w:rFonts w:cs="Arial"/>
                <w:szCs w:val="19"/>
              </w:rPr>
              <w:t xml:space="preserve"> </w:t>
            </w:r>
            <w:r w:rsidRPr="007565B8">
              <w:rPr>
                <w:rFonts w:cs="Arial"/>
                <w:szCs w:val="19"/>
              </w:rPr>
              <w:t>(</w:t>
            </w:r>
            <w:proofErr w:type="spellStart"/>
            <w:r>
              <w:rPr>
                <w:rFonts w:cs="Arial"/>
                <w:i/>
                <w:iCs/>
                <w:szCs w:val="19"/>
              </w:rPr>
              <w:t>Kefdensis</w:t>
            </w:r>
            <w:proofErr w:type="spellEnd"/>
            <w:r w:rsidRPr="007565B8">
              <w:rPr>
                <w:rFonts w:cs="Arial"/>
                <w:szCs w:val="19"/>
              </w:rPr>
              <w:t>)</w:t>
            </w:r>
          </w:p>
        </w:tc>
        <w:tc>
          <w:tcPr>
            <w:tcW w:w="3775" w:type="pct"/>
            <w:shd w:val="clear" w:color="auto" w:fill="auto"/>
            <w:tcMar>
              <w:top w:w="57" w:type="dxa"/>
              <w:bottom w:w="57" w:type="dxa"/>
            </w:tcMar>
          </w:tcPr>
          <w:p w14:paraId="2CC57429" w14:textId="79F9FE7D" w:rsidR="002C770F" w:rsidRPr="0004012E" w:rsidRDefault="002C770F" w:rsidP="00D30119">
            <w:pPr>
              <w:tabs>
                <w:tab w:val="center" w:pos="3152"/>
              </w:tabs>
              <w:rPr>
                <w:rFonts w:cs="Arial"/>
                <w:szCs w:val="19"/>
                <w:lang w:val="en-US"/>
              </w:rPr>
            </w:pPr>
            <w:r w:rsidRPr="0004012E">
              <w:rPr>
                <w:rFonts w:cs="Arial"/>
                <w:szCs w:val="19"/>
                <w:lang w:val="en-US"/>
              </w:rPr>
              <w:t>Treatment of osteoporosis in postmenopausal women and in men at increased risk of fractures</w:t>
            </w:r>
            <w:r>
              <w:rPr>
                <w:rFonts w:cs="Arial"/>
                <w:szCs w:val="19"/>
                <w:lang w:val="en-US"/>
              </w:rPr>
              <w:t>,</w:t>
            </w:r>
            <w:r w:rsidRPr="0004012E">
              <w:rPr>
                <w:rFonts w:cs="Arial"/>
                <w:szCs w:val="19"/>
                <w:lang w:val="en-US"/>
              </w:rPr>
              <w:t xml:space="preserve"> treatment of bone loss associated with hormone ablation in men with prostate cancer at increased risk of fractures</w:t>
            </w:r>
            <w:r>
              <w:rPr>
                <w:rFonts w:cs="Arial"/>
                <w:szCs w:val="19"/>
                <w:lang w:val="en-US"/>
              </w:rPr>
              <w:t>,</w:t>
            </w:r>
            <w:r w:rsidRPr="0004012E">
              <w:rPr>
                <w:rFonts w:cs="Arial"/>
                <w:szCs w:val="19"/>
                <w:lang w:val="en-US"/>
              </w:rPr>
              <w:t xml:space="preserve"> and treatment of bone loss associated with long-term systemic glucocorticoid therapy in adults at increased risk of fracture</w:t>
            </w:r>
            <w:r>
              <w:rPr>
                <w:rFonts w:cs="Arial"/>
                <w:szCs w:val="19"/>
                <w:lang w:val="en-US"/>
              </w:rPr>
              <w:t xml:space="preserve"> </w:t>
            </w:r>
            <w:r w:rsidRPr="00757349">
              <w:rPr>
                <w:rFonts w:cs="Arial"/>
                <w:sz w:val="16"/>
                <w:szCs w:val="16"/>
                <w:lang w:val="en-US"/>
              </w:rPr>
              <w:t>[EU]</w:t>
            </w:r>
          </w:p>
        </w:tc>
      </w:tr>
      <w:tr w:rsidR="002C770F" w:rsidRPr="00A075A3" w14:paraId="0C831BD2" w14:textId="77777777" w:rsidTr="002C770F">
        <w:tc>
          <w:tcPr>
            <w:tcW w:w="1225" w:type="pct"/>
            <w:gridSpan w:val="2"/>
            <w:shd w:val="clear" w:color="auto" w:fill="auto"/>
            <w:tcMar>
              <w:top w:w="57" w:type="dxa"/>
              <w:bottom w:w="57" w:type="dxa"/>
            </w:tcMar>
          </w:tcPr>
          <w:p w14:paraId="3825495F" w14:textId="77777777" w:rsidR="002C770F" w:rsidRPr="007565B8" w:rsidRDefault="002C770F" w:rsidP="00D30119">
            <w:pPr>
              <w:rPr>
                <w:rFonts w:cs="Arial"/>
                <w:szCs w:val="19"/>
              </w:rPr>
            </w:pPr>
            <w:r w:rsidRPr="007565B8">
              <w:rPr>
                <w:rFonts w:cs="Arial"/>
                <w:szCs w:val="19"/>
              </w:rPr>
              <w:t>Denosumab biosimilar</w:t>
            </w:r>
            <w:r>
              <w:rPr>
                <w:rFonts w:cs="Arial"/>
                <w:szCs w:val="19"/>
              </w:rPr>
              <w:t xml:space="preserve"> </w:t>
            </w:r>
            <w:r w:rsidRPr="007565B8">
              <w:rPr>
                <w:rFonts w:cs="Arial"/>
                <w:szCs w:val="19"/>
              </w:rPr>
              <w:t>(</w:t>
            </w:r>
            <w:proofErr w:type="spellStart"/>
            <w:r>
              <w:rPr>
                <w:rFonts w:cs="Arial"/>
                <w:i/>
                <w:iCs/>
                <w:szCs w:val="19"/>
              </w:rPr>
              <w:t>Ponlimsi</w:t>
            </w:r>
            <w:proofErr w:type="spellEnd"/>
            <w:r w:rsidRPr="007565B8">
              <w:rPr>
                <w:rFonts w:cs="Arial"/>
                <w:szCs w:val="19"/>
              </w:rPr>
              <w:t>)</w:t>
            </w:r>
          </w:p>
        </w:tc>
        <w:tc>
          <w:tcPr>
            <w:tcW w:w="3775" w:type="pct"/>
            <w:shd w:val="clear" w:color="auto" w:fill="auto"/>
            <w:tcMar>
              <w:top w:w="57" w:type="dxa"/>
              <w:bottom w:w="57" w:type="dxa"/>
            </w:tcMar>
          </w:tcPr>
          <w:p w14:paraId="097C9C41" w14:textId="5D36094D" w:rsidR="002C770F" w:rsidRPr="00224643" w:rsidRDefault="002C770F" w:rsidP="00D30119">
            <w:pPr>
              <w:tabs>
                <w:tab w:val="center" w:pos="3152"/>
              </w:tabs>
              <w:rPr>
                <w:rFonts w:cs="Arial"/>
                <w:szCs w:val="19"/>
                <w:lang w:val="en-US"/>
              </w:rPr>
            </w:pPr>
            <w:r w:rsidRPr="0004012E">
              <w:rPr>
                <w:rFonts w:cs="Arial"/>
                <w:szCs w:val="19"/>
                <w:lang w:val="en-US"/>
              </w:rPr>
              <w:t>Treatment of osteoporosis in postmenopausal women and in men at increased risk of fractures</w:t>
            </w:r>
            <w:r>
              <w:rPr>
                <w:rFonts w:cs="Arial"/>
                <w:szCs w:val="19"/>
                <w:lang w:val="en-US"/>
              </w:rPr>
              <w:t>,</w:t>
            </w:r>
            <w:r w:rsidRPr="0004012E">
              <w:rPr>
                <w:rFonts w:cs="Arial"/>
                <w:szCs w:val="19"/>
                <w:lang w:val="en-US"/>
              </w:rPr>
              <w:t xml:space="preserve"> treatment of bone loss associated with hormone ablation in men with prostate cancer at increased risk of fractures</w:t>
            </w:r>
            <w:r>
              <w:rPr>
                <w:rFonts w:cs="Arial"/>
                <w:szCs w:val="19"/>
                <w:lang w:val="en-US"/>
              </w:rPr>
              <w:t>,</w:t>
            </w:r>
            <w:r w:rsidRPr="0004012E">
              <w:rPr>
                <w:rFonts w:cs="Arial"/>
                <w:szCs w:val="19"/>
                <w:lang w:val="en-US"/>
              </w:rPr>
              <w:t xml:space="preserve"> and treatment of bone loss associated with long-term systemic glucocorticoid therapy in adults at increased risk of fracture</w:t>
            </w:r>
            <w:r>
              <w:rPr>
                <w:rFonts w:cs="Arial"/>
                <w:szCs w:val="19"/>
                <w:lang w:val="en-US"/>
              </w:rPr>
              <w:t xml:space="preserve"> </w:t>
            </w:r>
            <w:r w:rsidRPr="00757349">
              <w:rPr>
                <w:rFonts w:cs="Arial"/>
                <w:sz w:val="16"/>
                <w:szCs w:val="16"/>
                <w:lang w:val="en-US"/>
              </w:rPr>
              <w:t>[EU]</w:t>
            </w:r>
          </w:p>
        </w:tc>
      </w:tr>
      <w:tr w:rsidR="002C770F" w:rsidRPr="00A075A3" w14:paraId="4B1F848D" w14:textId="77777777" w:rsidTr="002C770F">
        <w:tc>
          <w:tcPr>
            <w:tcW w:w="1225" w:type="pct"/>
            <w:gridSpan w:val="2"/>
            <w:shd w:val="clear" w:color="auto" w:fill="auto"/>
            <w:tcMar>
              <w:top w:w="57" w:type="dxa"/>
              <w:bottom w:w="57" w:type="dxa"/>
            </w:tcMar>
          </w:tcPr>
          <w:p w14:paraId="30D3FD10" w14:textId="64D356A4" w:rsidR="002C770F" w:rsidRPr="007565B8" w:rsidRDefault="002C770F" w:rsidP="002C770F">
            <w:pPr>
              <w:rPr>
                <w:rFonts w:cs="Arial"/>
                <w:szCs w:val="19"/>
              </w:rPr>
            </w:pPr>
            <w:r w:rsidRPr="007565B8">
              <w:rPr>
                <w:rFonts w:cs="Arial"/>
                <w:szCs w:val="19"/>
              </w:rPr>
              <w:t>Denosumab biosimilar</w:t>
            </w:r>
            <w:r>
              <w:rPr>
                <w:rFonts w:cs="Arial"/>
                <w:szCs w:val="19"/>
              </w:rPr>
              <w:t xml:space="preserve"> </w:t>
            </w:r>
            <w:r w:rsidRPr="007565B8">
              <w:rPr>
                <w:rFonts w:cs="Arial"/>
                <w:szCs w:val="19"/>
              </w:rPr>
              <w:t>(</w:t>
            </w:r>
            <w:proofErr w:type="spellStart"/>
            <w:r>
              <w:rPr>
                <w:rFonts w:cs="Arial"/>
                <w:i/>
                <w:iCs/>
                <w:szCs w:val="19"/>
              </w:rPr>
              <w:t>Xbonzy</w:t>
            </w:r>
            <w:proofErr w:type="spellEnd"/>
            <w:r w:rsidRPr="007565B8">
              <w:rPr>
                <w:rFonts w:cs="Arial"/>
                <w:szCs w:val="19"/>
              </w:rPr>
              <w:t>)</w:t>
            </w:r>
          </w:p>
        </w:tc>
        <w:tc>
          <w:tcPr>
            <w:tcW w:w="3775" w:type="pct"/>
            <w:shd w:val="clear" w:color="auto" w:fill="auto"/>
            <w:tcMar>
              <w:top w:w="57" w:type="dxa"/>
              <w:bottom w:w="57" w:type="dxa"/>
            </w:tcMar>
          </w:tcPr>
          <w:p w14:paraId="4FA013AC" w14:textId="1AAFB78F" w:rsidR="002C770F" w:rsidRPr="0004012E" w:rsidRDefault="002C770F" w:rsidP="002C770F">
            <w:pPr>
              <w:tabs>
                <w:tab w:val="center" w:pos="3152"/>
              </w:tabs>
              <w:rPr>
                <w:rFonts w:cs="Arial"/>
                <w:szCs w:val="19"/>
                <w:lang w:val="en-US"/>
              </w:rPr>
            </w:pPr>
            <w:r w:rsidRPr="00224643">
              <w:rPr>
                <w:rFonts w:cs="Arial"/>
                <w:szCs w:val="19"/>
                <w:lang w:val="en-US"/>
              </w:rPr>
              <w:t>Prevention of skeletal related events (pathological fracture, radiation to bone, spinal cord compression or surgery to bone) in adults with advanced malignancies involving bone</w:t>
            </w:r>
            <w:r>
              <w:rPr>
                <w:rFonts w:cs="Arial"/>
                <w:szCs w:val="19"/>
                <w:lang w:val="en-US"/>
              </w:rPr>
              <w:t>,</w:t>
            </w:r>
            <w:r w:rsidRPr="00224643">
              <w:rPr>
                <w:rFonts w:cs="Arial"/>
                <w:szCs w:val="19"/>
                <w:lang w:val="en-US"/>
              </w:rPr>
              <w:t xml:space="preserve"> and treatment of adults and skeletally mature adolescents with giant cell tumour of bone that is unresectable or where surgical resection is likely to result in severe morbidity</w:t>
            </w:r>
            <w:r>
              <w:rPr>
                <w:rFonts w:cs="Arial"/>
                <w:szCs w:val="19"/>
                <w:lang w:val="en-US"/>
              </w:rPr>
              <w:t xml:space="preserve"> </w:t>
            </w:r>
            <w:r w:rsidRPr="00757349">
              <w:rPr>
                <w:rFonts w:cs="Arial"/>
                <w:sz w:val="16"/>
                <w:szCs w:val="16"/>
                <w:lang w:val="en-US"/>
              </w:rPr>
              <w:t>[EU]</w:t>
            </w:r>
          </w:p>
        </w:tc>
      </w:tr>
      <w:tr w:rsidR="002C770F" w:rsidRPr="000F19E1" w14:paraId="21FDC343" w14:textId="77777777" w:rsidTr="002C770F">
        <w:tc>
          <w:tcPr>
            <w:tcW w:w="1225" w:type="pct"/>
            <w:gridSpan w:val="2"/>
            <w:shd w:val="clear" w:color="auto" w:fill="auto"/>
            <w:tcMar>
              <w:top w:w="0" w:type="dxa"/>
              <w:bottom w:w="0" w:type="dxa"/>
            </w:tcMar>
          </w:tcPr>
          <w:p w14:paraId="28737386" w14:textId="77777777" w:rsidR="002C770F" w:rsidRPr="000F19E1" w:rsidRDefault="002C770F" w:rsidP="002C770F">
            <w:pPr>
              <w:rPr>
                <w:rFonts w:cs="Arial"/>
                <w:bCs/>
                <w:sz w:val="8"/>
                <w:szCs w:val="8"/>
              </w:rPr>
            </w:pPr>
          </w:p>
        </w:tc>
        <w:tc>
          <w:tcPr>
            <w:tcW w:w="3775" w:type="pct"/>
            <w:shd w:val="clear" w:color="auto" w:fill="auto"/>
            <w:tcMar>
              <w:top w:w="0" w:type="dxa"/>
              <w:bottom w:w="0" w:type="dxa"/>
            </w:tcMar>
          </w:tcPr>
          <w:p w14:paraId="7023A1A9" w14:textId="77777777" w:rsidR="002C770F" w:rsidRPr="000F19E1" w:rsidRDefault="002C770F" w:rsidP="002C770F">
            <w:pPr>
              <w:tabs>
                <w:tab w:val="center" w:pos="3152"/>
              </w:tabs>
              <w:rPr>
                <w:rFonts w:cs="Arial"/>
                <w:sz w:val="8"/>
                <w:szCs w:val="8"/>
                <w:lang w:val="en-US"/>
              </w:rPr>
            </w:pPr>
          </w:p>
        </w:tc>
      </w:tr>
      <w:tr w:rsidR="002C770F" w:rsidRPr="000F19E1" w14:paraId="086B7C64" w14:textId="77777777" w:rsidTr="00D30119">
        <w:tc>
          <w:tcPr>
            <w:tcW w:w="1152" w:type="pct"/>
            <w:shd w:val="clear" w:color="auto" w:fill="DAEEF3"/>
            <w:tcMar>
              <w:top w:w="0" w:type="dxa"/>
              <w:bottom w:w="0" w:type="dxa"/>
            </w:tcMar>
          </w:tcPr>
          <w:p w14:paraId="1F38A65A" w14:textId="77777777" w:rsidR="002C770F" w:rsidRPr="000F19E1" w:rsidRDefault="002C770F" w:rsidP="002C770F">
            <w:pPr>
              <w:rPr>
                <w:rFonts w:cs="Arial"/>
                <w:bCs/>
                <w:sz w:val="8"/>
                <w:szCs w:val="8"/>
              </w:rPr>
            </w:pPr>
          </w:p>
        </w:tc>
        <w:tc>
          <w:tcPr>
            <w:tcW w:w="3848" w:type="pct"/>
            <w:gridSpan w:val="2"/>
            <w:shd w:val="clear" w:color="auto" w:fill="DAEEF3"/>
            <w:tcMar>
              <w:top w:w="0" w:type="dxa"/>
              <w:bottom w:w="0" w:type="dxa"/>
            </w:tcMar>
          </w:tcPr>
          <w:p w14:paraId="5B528956" w14:textId="77777777" w:rsidR="002C770F" w:rsidRPr="000F19E1" w:rsidRDefault="002C770F" w:rsidP="002C770F">
            <w:pPr>
              <w:tabs>
                <w:tab w:val="center" w:pos="3152"/>
              </w:tabs>
              <w:rPr>
                <w:rFonts w:cs="Arial"/>
                <w:sz w:val="8"/>
                <w:szCs w:val="8"/>
                <w:lang w:val="en-US"/>
              </w:rPr>
            </w:pPr>
          </w:p>
        </w:tc>
      </w:tr>
    </w:tbl>
    <w:p w14:paraId="48AF263A" w14:textId="3FE7D479" w:rsidR="00B25B16" w:rsidRDefault="00B25B16">
      <w:r>
        <w:br w:type="page"/>
      </w:r>
    </w:p>
    <w:p w14:paraId="3CB7BF5E" w14:textId="77777777" w:rsidR="00A460D1" w:rsidRDefault="00A460D1"/>
    <w:p w14:paraId="046DBCA6" w14:textId="77777777" w:rsidR="00A460D1" w:rsidRDefault="00A460D1"/>
    <w:tbl>
      <w:tblPr>
        <w:tblW w:w="5170" w:type="pct"/>
        <w:tblInd w:w="-176" w:type="dxa"/>
        <w:tblLayout w:type="fixed"/>
        <w:tblLook w:val="01E0" w:firstRow="1" w:lastRow="1" w:firstColumn="1" w:lastColumn="1" w:noHBand="0" w:noVBand="0"/>
      </w:tblPr>
      <w:tblGrid>
        <w:gridCol w:w="2430"/>
        <w:gridCol w:w="298"/>
        <w:gridCol w:w="7823"/>
      </w:tblGrid>
      <w:tr w:rsidR="0021490D" w:rsidRPr="00862949" w14:paraId="638319F1" w14:textId="77777777" w:rsidTr="00D6452A">
        <w:tc>
          <w:tcPr>
            <w:tcW w:w="5000" w:type="pct"/>
            <w:gridSpan w:val="3"/>
            <w:shd w:val="clear" w:color="auto" w:fill="0070C0"/>
            <w:tcMar>
              <w:top w:w="85" w:type="dxa"/>
              <w:bottom w:w="85" w:type="dxa"/>
            </w:tcMar>
            <w:vAlign w:val="bottom"/>
          </w:tcPr>
          <w:p w14:paraId="5A7F5F97" w14:textId="77777777" w:rsidR="0021490D" w:rsidRPr="00862949" w:rsidRDefault="0021490D" w:rsidP="00D6452A">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1C3A55" w:rsidRPr="000F19E1" w14:paraId="6B075C84" w14:textId="77777777" w:rsidTr="00155BD9">
        <w:tc>
          <w:tcPr>
            <w:tcW w:w="1152" w:type="pct"/>
            <w:shd w:val="clear" w:color="auto" w:fill="DAEEF3"/>
            <w:tcMar>
              <w:top w:w="0" w:type="dxa"/>
              <w:bottom w:w="0" w:type="dxa"/>
            </w:tcMar>
          </w:tcPr>
          <w:p w14:paraId="37871695" w14:textId="77777777" w:rsidR="001C3A55" w:rsidRPr="000F19E1" w:rsidRDefault="001C3A55" w:rsidP="00510003">
            <w:pPr>
              <w:rPr>
                <w:rFonts w:cs="Arial"/>
                <w:bCs/>
                <w:sz w:val="8"/>
                <w:szCs w:val="8"/>
              </w:rPr>
            </w:pPr>
          </w:p>
        </w:tc>
        <w:tc>
          <w:tcPr>
            <w:tcW w:w="3848" w:type="pct"/>
            <w:gridSpan w:val="2"/>
            <w:shd w:val="clear" w:color="auto" w:fill="DAEEF3"/>
            <w:tcMar>
              <w:top w:w="0" w:type="dxa"/>
              <w:bottom w:w="0" w:type="dxa"/>
            </w:tcMar>
          </w:tcPr>
          <w:p w14:paraId="547A1869" w14:textId="77777777" w:rsidR="001C3A55" w:rsidRPr="000F19E1" w:rsidRDefault="001C3A55" w:rsidP="00510003">
            <w:pPr>
              <w:tabs>
                <w:tab w:val="center" w:pos="3152"/>
              </w:tabs>
              <w:rPr>
                <w:rFonts w:cs="Arial"/>
                <w:sz w:val="8"/>
                <w:szCs w:val="8"/>
                <w:lang w:val="en-US"/>
              </w:rPr>
            </w:pPr>
          </w:p>
        </w:tc>
      </w:tr>
      <w:tr w:rsidR="001C3A55" w:rsidRPr="00433D3E" w14:paraId="6F841285" w14:textId="77777777" w:rsidTr="00562CE4">
        <w:tc>
          <w:tcPr>
            <w:tcW w:w="5000" w:type="pct"/>
            <w:gridSpan w:val="3"/>
            <w:shd w:val="clear" w:color="auto" w:fill="008232"/>
            <w:tcMar>
              <w:top w:w="57" w:type="dxa"/>
              <w:bottom w:w="57" w:type="dxa"/>
            </w:tcMar>
          </w:tcPr>
          <w:p w14:paraId="14753522" w14:textId="7A3B7319" w:rsidR="001C3A55" w:rsidRPr="0021490D" w:rsidRDefault="001C3A55" w:rsidP="00B94311">
            <w:pPr>
              <w:rPr>
                <w:rFonts w:cs="Arial"/>
                <w:noProof/>
                <w:color w:val="FFFFFF"/>
                <w:sz w:val="16"/>
                <w:szCs w:val="16"/>
              </w:rPr>
            </w:pPr>
            <w:r>
              <w:rPr>
                <w:rFonts w:cs="Arial"/>
                <w:b/>
                <w:bCs/>
                <w:i/>
                <w:iCs/>
                <w:color w:val="FFFFFF"/>
                <w:sz w:val="22"/>
                <w:szCs w:val="20"/>
                <w:lang w:val="en-US"/>
              </w:rPr>
              <w:t xml:space="preserve">Recommended for approval in </w:t>
            </w:r>
            <w:r w:rsidRPr="00433D3E">
              <w:rPr>
                <w:rFonts w:cs="Arial"/>
                <w:b/>
                <w:bCs/>
                <w:i/>
                <w:iCs/>
                <w:color w:val="FFFFFF"/>
                <w:sz w:val="22"/>
                <w:szCs w:val="20"/>
                <w:lang w:val="en-US"/>
              </w:rPr>
              <w:t xml:space="preserve">the </w:t>
            </w:r>
            <w:r w:rsidR="0048777D">
              <w:rPr>
                <w:rFonts w:cs="Arial"/>
                <w:b/>
                <w:bCs/>
                <w:i/>
                <w:iCs/>
                <w:color w:val="FFFFFF"/>
                <w:sz w:val="22"/>
                <w:szCs w:val="20"/>
                <w:lang w:val="en-US"/>
              </w:rPr>
              <w:t>UK</w:t>
            </w:r>
            <w:r w:rsidR="00B94311">
              <w:rPr>
                <w:rFonts w:cs="Arial"/>
                <w:b/>
                <w:bCs/>
                <w:i/>
                <w:iCs/>
                <w:color w:val="FFFFFF"/>
                <w:sz w:val="22"/>
                <w:szCs w:val="20"/>
                <w:lang w:val="en-US"/>
              </w:rPr>
              <w:t xml:space="preserve"> or </w:t>
            </w:r>
            <w:r w:rsidRPr="00433D3E">
              <w:rPr>
                <w:rFonts w:cs="Arial"/>
                <w:b/>
                <w:bCs/>
                <w:i/>
                <w:iCs/>
                <w:color w:val="FFFFFF"/>
                <w:sz w:val="22"/>
                <w:szCs w:val="20"/>
                <w:lang w:val="en-US"/>
              </w:rPr>
              <w:t>EU</w:t>
            </w:r>
            <w:r w:rsidR="002C770F">
              <w:rPr>
                <w:rFonts w:cs="Arial"/>
                <w:b/>
                <w:bCs/>
                <w:i/>
                <w:iCs/>
                <w:color w:val="FFFFFF"/>
                <w:sz w:val="22"/>
                <w:szCs w:val="20"/>
                <w:lang w:val="en-US"/>
              </w:rPr>
              <w:t xml:space="preserve"> </w:t>
            </w:r>
            <w:r w:rsidR="002C770F" w:rsidRPr="002C770F">
              <w:rPr>
                <w:rFonts w:cs="Arial"/>
                <w:b/>
                <w:bCs/>
                <w:color w:val="FFFFFF"/>
                <w:sz w:val="16"/>
                <w:szCs w:val="14"/>
                <w:lang w:val="en-US"/>
              </w:rPr>
              <w:t>(continued)</w:t>
            </w:r>
          </w:p>
        </w:tc>
      </w:tr>
      <w:tr w:rsidR="002C770F" w:rsidRPr="00A075A3" w14:paraId="24B2863F" w14:textId="77777777" w:rsidTr="00AE7B6C">
        <w:tc>
          <w:tcPr>
            <w:tcW w:w="1293" w:type="pct"/>
            <w:gridSpan w:val="2"/>
            <w:shd w:val="clear" w:color="auto" w:fill="auto"/>
            <w:tcMar>
              <w:top w:w="57" w:type="dxa"/>
              <w:bottom w:w="57" w:type="dxa"/>
            </w:tcMar>
          </w:tcPr>
          <w:p w14:paraId="772E82C3" w14:textId="1F48C040" w:rsidR="002C770F" w:rsidRPr="00272180" w:rsidRDefault="002C770F" w:rsidP="002C770F">
            <w:pPr>
              <w:rPr>
                <w:rFonts w:cs="Arial"/>
                <w:szCs w:val="19"/>
              </w:rPr>
            </w:pPr>
            <w:r w:rsidRPr="007565B8">
              <w:rPr>
                <w:rFonts w:cs="Arial"/>
                <w:szCs w:val="19"/>
              </w:rPr>
              <w:t>Denosumab biosimilar</w:t>
            </w:r>
            <w:r>
              <w:rPr>
                <w:rFonts w:cs="Arial"/>
                <w:szCs w:val="19"/>
              </w:rPr>
              <w:t xml:space="preserve"> </w:t>
            </w:r>
            <w:r w:rsidRPr="007565B8">
              <w:rPr>
                <w:rFonts w:cs="Arial"/>
                <w:szCs w:val="19"/>
              </w:rPr>
              <w:t>(</w:t>
            </w:r>
            <w:proofErr w:type="spellStart"/>
            <w:r>
              <w:rPr>
                <w:rFonts w:cs="Arial"/>
                <w:i/>
                <w:iCs/>
                <w:szCs w:val="19"/>
              </w:rPr>
              <w:t>Zvogra</w:t>
            </w:r>
            <w:proofErr w:type="spellEnd"/>
            <w:r w:rsidRPr="007565B8">
              <w:rPr>
                <w:rFonts w:cs="Arial"/>
                <w:szCs w:val="19"/>
              </w:rPr>
              <w:t>)</w:t>
            </w:r>
          </w:p>
        </w:tc>
        <w:tc>
          <w:tcPr>
            <w:tcW w:w="3707" w:type="pct"/>
            <w:shd w:val="clear" w:color="auto" w:fill="auto"/>
            <w:tcMar>
              <w:top w:w="57" w:type="dxa"/>
              <w:bottom w:w="57" w:type="dxa"/>
            </w:tcMar>
          </w:tcPr>
          <w:p w14:paraId="4E5B6EB2" w14:textId="45041717" w:rsidR="002C770F" w:rsidRDefault="002C770F" w:rsidP="002C770F">
            <w:pPr>
              <w:tabs>
                <w:tab w:val="center" w:pos="3152"/>
              </w:tabs>
              <w:rPr>
                <w:rFonts w:cs="Arial"/>
                <w:szCs w:val="19"/>
                <w:lang w:val="en-US"/>
              </w:rPr>
            </w:pPr>
            <w:r w:rsidRPr="00224643">
              <w:rPr>
                <w:rFonts w:cs="Arial"/>
                <w:szCs w:val="19"/>
                <w:lang w:val="en-US"/>
              </w:rPr>
              <w:t>Prevention of skeletal related events (pathological fracture, radiation to bone, spinal cord compression or surgery to bone) in adults with advanced malignancies involving bone</w:t>
            </w:r>
            <w:r>
              <w:rPr>
                <w:rFonts w:cs="Arial"/>
                <w:szCs w:val="19"/>
                <w:lang w:val="en-US"/>
              </w:rPr>
              <w:t>,</w:t>
            </w:r>
            <w:r w:rsidRPr="00224643">
              <w:rPr>
                <w:rFonts w:cs="Arial"/>
                <w:szCs w:val="19"/>
                <w:lang w:val="en-US"/>
              </w:rPr>
              <w:t xml:space="preserve"> and treatment of adults and skeletally mature adolescents with giant cell tumour of bone that is unresectable or where surgical resection is likely to result in severe morbidity</w:t>
            </w:r>
            <w:r>
              <w:rPr>
                <w:rFonts w:cs="Arial"/>
                <w:szCs w:val="19"/>
                <w:lang w:val="en-US"/>
              </w:rPr>
              <w:t xml:space="preserve"> </w:t>
            </w:r>
            <w:r w:rsidRPr="00757349">
              <w:rPr>
                <w:rFonts w:cs="Arial"/>
                <w:sz w:val="16"/>
                <w:szCs w:val="16"/>
                <w:lang w:val="en-US"/>
              </w:rPr>
              <w:t>[EU]</w:t>
            </w:r>
          </w:p>
        </w:tc>
      </w:tr>
      <w:tr w:rsidR="002C770F" w14:paraId="73BCB0F8" w14:textId="77777777" w:rsidTr="00AE7B6C">
        <w:tc>
          <w:tcPr>
            <w:tcW w:w="1293" w:type="pct"/>
            <w:gridSpan w:val="2"/>
            <w:shd w:val="clear" w:color="auto" w:fill="auto"/>
            <w:tcMar>
              <w:top w:w="57" w:type="dxa"/>
              <w:bottom w:w="57" w:type="dxa"/>
            </w:tcMar>
          </w:tcPr>
          <w:p w14:paraId="4B7B3AE3" w14:textId="28F1D58B" w:rsidR="002C770F" w:rsidRPr="009F1EC3" w:rsidRDefault="002C770F" w:rsidP="002C770F">
            <w:pPr>
              <w:rPr>
                <w:rFonts w:cs="Arial"/>
                <w:szCs w:val="19"/>
              </w:rPr>
            </w:pPr>
            <w:r>
              <w:rPr>
                <w:rFonts w:cs="Arial"/>
                <w:szCs w:val="19"/>
              </w:rPr>
              <w:t>Dupilumab (</w:t>
            </w:r>
            <w:r>
              <w:rPr>
                <w:rFonts w:cs="Arial"/>
                <w:i/>
                <w:iCs/>
                <w:szCs w:val="19"/>
              </w:rPr>
              <w:t>Dupixent</w:t>
            </w:r>
            <w:r>
              <w:rPr>
                <w:rFonts w:cs="Arial"/>
                <w:szCs w:val="19"/>
              </w:rPr>
              <w:t>)</w:t>
            </w:r>
          </w:p>
        </w:tc>
        <w:tc>
          <w:tcPr>
            <w:tcW w:w="3707" w:type="pct"/>
            <w:shd w:val="clear" w:color="auto" w:fill="auto"/>
            <w:tcMar>
              <w:top w:w="57" w:type="dxa"/>
              <w:bottom w:w="57" w:type="dxa"/>
            </w:tcMar>
          </w:tcPr>
          <w:p w14:paraId="518EF0E7" w14:textId="2A8C7BE3" w:rsidR="002C770F" w:rsidRPr="00217C0F" w:rsidRDefault="002C770F" w:rsidP="002C770F">
            <w:pPr>
              <w:tabs>
                <w:tab w:val="center" w:pos="3152"/>
              </w:tabs>
              <w:rPr>
                <w:rFonts w:cs="Arial"/>
                <w:szCs w:val="19"/>
                <w:lang w:val="en-US"/>
              </w:rPr>
            </w:pPr>
            <w:r w:rsidRPr="000D1950">
              <w:rPr>
                <w:rFonts w:cs="Arial"/>
                <w:szCs w:val="19"/>
                <w:lang w:val="en-US"/>
              </w:rPr>
              <w:t>Treatment of moderate to severe chronic spontaneous urticaria</w:t>
            </w:r>
            <w:r>
              <w:rPr>
                <w:rFonts w:cs="Arial"/>
                <w:szCs w:val="19"/>
                <w:lang w:val="en-US"/>
              </w:rPr>
              <w:t xml:space="preserve"> (CSU)</w:t>
            </w:r>
            <w:r w:rsidRPr="000D1950">
              <w:rPr>
                <w:rFonts w:cs="Arial"/>
                <w:szCs w:val="19"/>
                <w:lang w:val="en-US"/>
              </w:rPr>
              <w:t xml:space="preserve"> in adult and adolescent</w:t>
            </w:r>
            <w:r>
              <w:rPr>
                <w:rFonts w:cs="Arial"/>
                <w:szCs w:val="19"/>
                <w:lang w:val="en-US"/>
              </w:rPr>
              <w:t>s aged ≥</w:t>
            </w:r>
            <w:r w:rsidRPr="000D1950">
              <w:rPr>
                <w:rFonts w:cs="Arial"/>
                <w:szCs w:val="19"/>
                <w:lang w:val="en-US"/>
              </w:rPr>
              <w:t>12 years with inadequate response to H1 antihistamines and who are naive to anti-</w:t>
            </w:r>
            <w:r>
              <w:rPr>
                <w:rFonts w:cs="Arial"/>
                <w:szCs w:val="19"/>
                <w:lang w:val="en-US"/>
              </w:rPr>
              <w:t xml:space="preserve">immunoglobulin </w:t>
            </w:r>
            <w:r w:rsidRPr="000D1950">
              <w:rPr>
                <w:rFonts w:cs="Arial"/>
                <w:szCs w:val="19"/>
                <w:lang w:val="en-US"/>
              </w:rPr>
              <w:t>E therapy for CSU</w:t>
            </w:r>
            <w:r>
              <w:rPr>
                <w:rFonts w:cs="Arial"/>
                <w:szCs w:val="19"/>
                <w:lang w:val="en-US"/>
              </w:rPr>
              <w:t xml:space="preserve"> </w:t>
            </w:r>
            <w:r w:rsidRPr="00ED03AE">
              <w:rPr>
                <w:rFonts w:cs="Arial"/>
                <w:sz w:val="16"/>
                <w:szCs w:val="16"/>
                <w:lang w:val="en-US"/>
              </w:rPr>
              <w:t>[EU] [new indication]</w:t>
            </w:r>
          </w:p>
        </w:tc>
      </w:tr>
      <w:tr w:rsidR="002C770F" w14:paraId="56022C8E" w14:textId="77777777" w:rsidTr="00AE7B6C">
        <w:tc>
          <w:tcPr>
            <w:tcW w:w="1293" w:type="pct"/>
            <w:gridSpan w:val="2"/>
            <w:shd w:val="clear" w:color="auto" w:fill="auto"/>
            <w:tcMar>
              <w:top w:w="57" w:type="dxa"/>
              <w:bottom w:w="57" w:type="dxa"/>
            </w:tcMar>
          </w:tcPr>
          <w:p w14:paraId="6FD4E1B8" w14:textId="2C0990DF" w:rsidR="002C770F" w:rsidRPr="00217C0F" w:rsidRDefault="002C770F" w:rsidP="002C770F">
            <w:pPr>
              <w:rPr>
                <w:rFonts w:cs="Arial"/>
                <w:szCs w:val="19"/>
              </w:rPr>
            </w:pPr>
            <w:r w:rsidRPr="00257ABC">
              <w:rPr>
                <w:rFonts w:cs="Arial"/>
                <w:szCs w:val="19"/>
              </w:rPr>
              <w:t>Elinzanetant</w:t>
            </w:r>
            <w:r>
              <w:rPr>
                <w:rFonts w:cs="Arial"/>
                <w:szCs w:val="19"/>
              </w:rPr>
              <w:t xml:space="preserve"> (</w:t>
            </w:r>
            <w:r>
              <w:rPr>
                <w:rFonts w:cs="Arial"/>
                <w:i/>
                <w:iCs/>
                <w:szCs w:val="19"/>
              </w:rPr>
              <w:t>Lynkuet</w:t>
            </w:r>
            <w:r>
              <w:rPr>
                <w:rFonts w:cs="Arial"/>
                <w:szCs w:val="19"/>
              </w:rPr>
              <w:t>)</w:t>
            </w:r>
          </w:p>
        </w:tc>
        <w:tc>
          <w:tcPr>
            <w:tcW w:w="3707" w:type="pct"/>
            <w:shd w:val="clear" w:color="auto" w:fill="auto"/>
            <w:tcMar>
              <w:top w:w="57" w:type="dxa"/>
              <w:bottom w:w="57" w:type="dxa"/>
            </w:tcMar>
          </w:tcPr>
          <w:p w14:paraId="72A3CB72" w14:textId="77777777" w:rsidR="002C770F" w:rsidRDefault="002C770F" w:rsidP="002C770F">
            <w:pPr>
              <w:tabs>
                <w:tab w:val="center" w:pos="3152"/>
              </w:tabs>
              <w:rPr>
                <w:rFonts w:cs="Arial"/>
                <w:sz w:val="16"/>
                <w:szCs w:val="16"/>
                <w:lang w:val="en-US"/>
              </w:rPr>
            </w:pPr>
            <w:r w:rsidRPr="00217C0F">
              <w:rPr>
                <w:rFonts w:cs="Arial"/>
                <w:szCs w:val="19"/>
                <w:lang w:val="en-US"/>
              </w:rPr>
              <w:t xml:space="preserve">Treatment of moderate to severe vasomotor symptoms </w:t>
            </w:r>
            <w:r>
              <w:rPr>
                <w:rFonts w:cs="Arial"/>
                <w:szCs w:val="19"/>
                <w:lang w:val="en-US"/>
              </w:rPr>
              <w:t xml:space="preserve">(VMS) </w:t>
            </w:r>
            <w:r w:rsidRPr="00217C0F">
              <w:rPr>
                <w:rFonts w:cs="Arial"/>
                <w:szCs w:val="19"/>
                <w:lang w:val="en-US"/>
              </w:rPr>
              <w:t>associated with menopause or caused by adjuvant endocrine therapy related to breast cancer</w:t>
            </w:r>
            <w:r>
              <w:rPr>
                <w:rFonts w:cs="Arial"/>
                <w:szCs w:val="19"/>
                <w:lang w:val="en-US"/>
              </w:rPr>
              <w:t xml:space="preserve"> </w:t>
            </w:r>
            <w:r w:rsidRPr="00757349">
              <w:rPr>
                <w:rFonts w:cs="Arial"/>
                <w:sz w:val="16"/>
                <w:szCs w:val="16"/>
                <w:lang w:val="en-US"/>
              </w:rPr>
              <w:t>[EU]</w:t>
            </w:r>
            <w:r>
              <w:rPr>
                <w:rFonts w:cs="Arial"/>
                <w:sz w:val="16"/>
                <w:szCs w:val="16"/>
                <w:lang w:val="en-US"/>
              </w:rPr>
              <w:t xml:space="preserve"> </w:t>
            </w:r>
          </w:p>
          <w:p w14:paraId="54E450F2" w14:textId="1F82A940" w:rsidR="002C770F" w:rsidRPr="00217C0F" w:rsidRDefault="002C770F" w:rsidP="002C770F">
            <w:pPr>
              <w:tabs>
                <w:tab w:val="center" w:pos="3152"/>
              </w:tabs>
              <w:rPr>
                <w:rFonts w:cs="Arial"/>
                <w:i/>
                <w:iCs/>
                <w:szCs w:val="19"/>
                <w:lang w:val="en-US"/>
              </w:rPr>
            </w:pPr>
            <w:r>
              <w:rPr>
                <w:rFonts w:cs="Arial"/>
                <w:i/>
                <w:iCs/>
                <w:sz w:val="16"/>
                <w:szCs w:val="16"/>
                <w:lang w:val="en-US"/>
              </w:rPr>
              <w:t xml:space="preserve">Note: Already licensed in UK for </w:t>
            </w:r>
            <w:r w:rsidRPr="00203391">
              <w:rPr>
                <w:rFonts w:cs="Arial"/>
                <w:i/>
                <w:iCs/>
                <w:sz w:val="16"/>
                <w:szCs w:val="16"/>
                <w:lang w:val="en-US"/>
              </w:rPr>
              <w:t>treatment of moderate to severe VMS associated with menopause</w:t>
            </w:r>
          </w:p>
        </w:tc>
      </w:tr>
      <w:tr w:rsidR="002C770F" w:rsidRPr="00A075A3" w14:paraId="4544E520" w14:textId="77777777" w:rsidTr="00AE7B6C">
        <w:tc>
          <w:tcPr>
            <w:tcW w:w="1293" w:type="pct"/>
            <w:gridSpan w:val="2"/>
            <w:shd w:val="clear" w:color="auto" w:fill="auto"/>
            <w:tcMar>
              <w:top w:w="57" w:type="dxa"/>
              <w:bottom w:w="57" w:type="dxa"/>
            </w:tcMar>
          </w:tcPr>
          <w:p w14:paraId="2C7418DB" w14:textId="287CF96A" w:rsidR="002C770F" w:rsidRPr="006038A4" w:rsidRDefault="002C770F" w:rsidP="002C770F">
            <w:pPr>
              <w:rPr>
                <w:rFonts w:cs="Arial"/>
                <w:szCs w:val="19"/>
              </w:rPr>
            </w:pPr>
            <w:r>
              <w:rPr>
                <w:rFonts w:cs="Arial"/>
                <w:szCs w:val="19"/>
              </w:rPr>
              <w:t>Golimumab biosimilar (</w:t>
            </w:r>
            <w:proofErr w:type="spellStart"/>
            <w:r>
              <w:rPr>
                <w:rFonts w:cs="Arial"/>
                <w:i/>
                <w:iCs/>
                <w:szCs w:val="19"/>
              </w:rPr>
              <w:t>Gobivaz</w:t>
            </w:r>
            <w:proofErr w:type="spellEnd"/>
            <w:r>
              <w:rPr>
                <w:rFonts w:cs="Arial"/>
                <w:szCs w:val="19"/>
              </w:rPr>
              <w:t>)</w:t>
            </w:r>
          </w:p>
        </w:tc>
        <w:tc>
          <w:tcPr>
            <w:tcW w:w="3707" w:type="pct"/>
            <w:shd w:val="clear" w:color="auto" w:fill="auto"/>
            <w:tcMar>
              <w:top w:w="57" w:type="dxa"/>
              <w:bottom w:w="57" w:type="dxa"/>
            </w:tcMar>
          </w:tcPr>
          <w:p w14:paraId="7CEA5828" w14:textId="6088171B" w:rsidR="002C770F" w:rsidRDefault="002C770F" w:rsidP="002C770F">
            <w:pPr>
              <w:tabs>
                <w:tab w:val="num" w:pos="720"/>
                <w:tab w:val="center" w:pos="3152"/>
              </w:tabs>
              <w:rPr>
                <w:rFonts w:cs="Arial"/>
                <w:szCs w:val="19"/>
                <w:lang w:val="en-US"/>
              </w:rPr>
            </w:pPr>
            <w:r w:rsidRPr="002C38CB">
              <w:rPr>
                <w:rFonts w:cs="Arial"/>
                <w:szCs w:val="19"/>
                <w:lang w:val="en-US"/>
              </w:rPr>
              <w:t xml:space="preserve">Use in combination with methotrexate (MTX) for the treatment of moderate to severe, active rheumatoid arthritis in adults when the response to disease-modifying anti-rheumatic drug (DMARD) therapy including MTX has been inadequate and the treatment of severe, active and progressive rheumatoid arthritis in adults not previously treated with MTX; </w:t>
            </w:r>
            <w:r w:rsidRPr="0086298D">
              <w:rPr>
                <w:rFonts w:cs="Arial"/>
                <w:szCs w:val="19"/>
                <w:lang w:val="en-US"/>
              </w:rPr>
              <w:t xml:space="preserve">use in combination with MTX for the treatment of polyarticular juvenile idiopathic arthritis in </w:t>
            </w:r>
            <w:r w:rsidRPr="00C42466">
              <w:rPr>
                <w:rFonts w:cs="Arial"/>
                <w:szCs w:val="19"/>
                <w:lang w:val="en-US"/>
              </w:rPr>
              <w:t xml:space="preserve">children aged ≥2 years, who have responded inadequately to previous therapy with MTX; use alone or in combination with MTX for the treatment of active and progressive psoriatic arthritis in adults when the response to previous DMARD therapy has been inadequate; treatment of severe, active ankylosing spondylitis in adults who have responded inadequately to conventional therapy; treatment of adults with severe, active non-radiographic axial </w:t>
            </w:r>
            <w:proofErr w:type="spellStart"/>
            <w:r w:rsidRPr="00C42466">
              <w:rPr>
                <w:rFonts w:cs="Arial"/>
                <w:szCs w:val="19"/>
                <w:lang w:val="en-US"/>
              </w:rPr>
              <w:t>spondyloarthritis</w:t>
            </w:r>
            <w:proofErr w:type="spellEnd"/>
            <w:r w:rsidRPr="00C42466">
              <w:rPr>
                <w:rFonts w:cs="Arial"/>
                <w:szCs w:val="19"/>
                <w:lang w:val="en-US"/>
              </w:rPr>
              <w:t xml:space="preserve"> with objective signs of inflammation as indicated by elevated C-reactive protein and/or magnetic resonance imaging evidence, who have had an inadequate response to, or are intolerant to nonsteroidal anti-inflammatory drugs; treatment of moderately to severely active ulcerative colitis in adults who have had an inadequate response to conventional therapy including corticosteroids and 6-mercaptopurine or azathioprine, or who are intolerant to or have medical contraindications for such therapies </w:t>
            </w:r>
            <w:r w:rsidRPr="00C42466">
              <w:rPr>
                <w:rFonts w:cs="Arial"/>
                <w:sz w:val="16"/>
                <w:szCs w:val="16"/>
                <w:lang w:val="en-US"/>
              </w:rPr>
              <w:t>[EU]</w:t>
            </w:r>
          </w:p>
        </w:tc>
      </w:tr>
      <w:tr w:rsidR="002C770F" w:rsidRPr="00A075A3" w14:paraId="73FEA2F5" w14:textId="77777777" w:rsidTr="00AE7B6C">
        <w:tc>
          <w:tcPr>
            <w:tcW w:w="1293" w:type="pct"/>
            <w:gridSpan w:val="2"/>
            <w:shd w:val="clear" w:color="auto" w:fill="auto"/>
            <w:tcMar>
              <w:top w:w="57" w:type="dxa"/>
              <w:bottom w:w="57" w:type="dxa"/>
            </w:tcMar>
          </w:tcPr>
          <w:p w14:paraId="35606814" w14:textId="5EC3382E" w:rsidR="002C770F" w:rsidRDefault="002C770F" w:rsidP="002C770F">
            <w:pPr>
              <w:rPr>
                <w:rFonts w:cs="Arial"/>
                <w:szCs w:val="19"/>
              </w:rPr>
            </w:pPr>
            <w:proofErr w:type="spellStart"/>
            <w:r w:rsidRPr="00D8347C">
              <w:rPr>
                <w:rFonts w:cs="Arial"/>
                <w:szCs w:val="19"/>
              </w:rPr>
              <w:t>Inebilizumab</w:t>
            </w:r>
            <w:proofErr w:type="spellEnd"/>
            <w:r w:rsidRPr="00D8347C">
              <w:rPr>
                <w:rFonts w:cs="Arial"/>
                <w:szCs w:val="19"/>
              </w:rPr>
              <w:t xml:space="preserve"> (</w:t>
            </w:r>
            <w:proofErr w:type="spellStart"/>
            <w:r w:rsidRPr="00D8347C">
              <w:rPr>
                <w:rFonts w:cs="Arial"/>
                <w:i/>
                <w:iCs/>
                <w:szCs w:val="19"/>
              </w:rPr>
              <w:t>Uplizna</w:t>
            </w:r>
            <w:proofErr w:type="spellEnd"/>
            <w:r w:rsidRPr="00D8347C">
              <w:rPr>
                <w:rFonts w:cs="Arial"/>
                <w:szCs w:val="19"/>
              </w:rPr>
              <w:t>)</w:t>
            </w:r>
          </w:p>
        </w:tc>
        <w:tc>
          <w:tcPr>
            <w:tcW w:w="3707" w:type="pct"/>
            <w:shd w:val="clear" w:color="auto" w:fill="auto"/>
            <w:tcMar>
              <w:top w:w="57" w:type="dxa"/>
              <w:bottom w:w="57" w:type="dxa"/>
            </w:tcMar>
          </w:tcPr>
          <w:p w14:paraId="4E8589A7" w14:textId="024F3833" w:rsidR="002C770F" w:rsidRPr="00E67114" w:rsidRDefault="002C770F" w:rsidP="002C770F">
            <w:pPr>
              <w:tabs>
                <w:tab w:val="num" w:pos="720"/>
                <w:tab w:val="center" w:pos="3152"/>
              </w:tabs>
              <w:rPr>
                <w:rFonts w:cs="Arial"/>
                <w:szCs w:val="19"/>
                <w:lang w:val="en-US"/>
              </w:rPr>
            </w:pPr>
            <w:r w:rsidRPr="004D2950">
              <w:rPr>
                <w:rFonts w:cs="Arial"/>
                <w:szCs w:val="19"/>
                <w:lang w:val="en-US"/>
              </w:rPr>
              <w:t xml:space="preserve">Treatment of adults with active </w:t>
            </w:r>
            <w:r>
              <w:rPr>
                <w:rFonts w:cs="Arial"/>
                <w:szCs w:val="19"/>
                <w:lang w:val="en-US"/>
              </w:rPr>
              <w:t>i</w:t>
            </w:r>
            <w:r w:rsidRPr="004D2950">
              <w:rPr>
                <w:rFonts w:cs="Arial"/>
                <w:szCs w:val="19"/>
                <w:lang w:val="en-US"/>
              </w:rPr>
              <w:t>mmunoglobulin G4-related disease</w:t>
            </w:r>
            <w:r>
              <w:rPr>
                <w:rFonts w:cs="Arial"/>
                <w:szCs w:val="19"/>
                <w:lang w:val="en-US"/>
              </w:rPr>
              <w:t xml:space="preserve"> </w:t>
            </w:r>
            <w:r w:rsidRPr="00ED03AE">
              <w:rPr>
                <w:rFonts w:cs="Arial"/>
                <w:sz w:val="16"/>
                <w:szCs w:val="16"/>
                <w:lang w:val="en-US"/>
              </w:rPr>
              <w:t>[EU] [new indication]</w:t>
            </w:r>
          </w:p>
        </w:tc>
      </w:tr>
      <w:tr w:rsidR="002C770F" w:rsidRPr="00A075A3" w14:paraId="1D77603F" w14:textId="77777777" w:rsidTr="00AE7B6C">
        <w:tc>
          <w:tcPr>
            <w:tcW w:w="1293" w:type="pct"/>
            <w:gridSpan w:val="2"/>
            <w:shd w:val="clear" w:color="auto" w:fill="auto"/>
            <w:tcMar>
              <w:top w:w="57" w:type="dxa"/>
              <w:bottom w:w="57" w:type="dxa"/>
            </w:tcMar>
          </w:tcPr>
          <w:p w14:paraId="0ABE824D" w14:textId="342BADD5" w:rsidR="002C770F" w:rsidRDefault="002C770F" w:rsidP="002C770F">
            <w:pPr>
              <w:rPr>
                <w:rFonts w:cs="Arial"/>
                <w:szCs w:val="19"/>
              </w:rPr>
            </w:pPr>
            <w:r w:rsidRPr="00C26167">
              <w:rPr>
                <w:rFonts w:cs="Arial"/>
                <w:szCs w:val="19"/>
              </w:rPr>
              <w:t xml:space="preserve">Insulin </w:t>
            </w:r>
            <w:proofErr w:type="spellStart"/>
            <w:r w:rsidRPr="00C26167">
              <w:rPr>
                <w:rFonts w:cs="Arial"/>
                <w:szCs w:val="19"/>
              </w:rPr>
              <w:t>icodec</w:t>
            </w:r>
            <w:proofErr w:type="spellEnd"/>
            <w:r w:rsidRPr="00C26167">
              <w:rPr>
                <w:rFonts w:cs="Arial"/>
                <w:szCs w:val="19"/>
              </w:rPr>
              <w:t xml:space="preserve"> + </w:t>
            </w:r>
            <w:proofErr w:type="spellStart"/>
            <w:r w:rsidRPr="00C26167">
              <w:rPr>
                <w:rFonts w:cs="Arial"/>
                <w:szCs w:val="19"/>
              </w:rPr>
              <w:t>semaglutide</w:t>
            </w:r>
            <w:proofErr w:type="spellEnd"/>
            <w:r>
              <w:rPr>
                <w:rFonts w:cs="Arial"/>
                <w:szCs w:val="19"/>
              </w:rPr>
              <w:t xml:space="preserve"> (</w:t>
            </w:r>
            <w:proofErr w:type="spellStart"/>
            <w:r>
              <w:rPr>
                <w:rFonts w:cs="Arial"/>
                <w:i/>
                <w:iCs/>
                <w:szCs w:val="19"/>
              </w:rPr>
              <w:t>Kyinsu</w:t>
            </w:r>
            <w:proofErr w:type="spellEnd"/>
            <w:r>
              <w:rPr>
                <w:rFonts w:cs="Arial"/>
                <w:szCs w:val="19"/>
              </w:rPr>
              <w:t>)</w:t>
            </w:r>
            <w:r w:rsidRPr="00C26167">
              <w:rPr>
                <w:rFonts w:cs="Arial"/>
                <w:szCs w:val="19"/>
              </w:rPr>
              <w:t> </w:t>
            </w:r>
          </w:p>
        </w:tc>
        <w:tc>
          <w:tcPr>
            <w:tcW w:w="3707" w:type="pct"/>
            <w:shd w:val="clear" w:color="auto" w:fill="auto"/>
            <w:tcMar>
              <w:top w:w="57" w:type="dxa"/>
              <w:bottom w:w="57" w:type="dxa"/>
            </w:tcMar>
          </w:tcPr>
          <w:p w14:paraId="499969A9" w14:textId="0AB88BCB" w:rsidR="002C770F" w:rsidRPr="00E67114" w:rsidRDefault="002C770F" w:rsidP="002C770F">
            <w:pPr>
              <w:tabs>
                <w:tab w:val="num" w:pos="720"/>
                <w:tab w:val="center" w:pos="3152"/>
              </w:tabs>
              <w:rPr>
                <w:rFonts w:cs="Arial"/>
                <w:szCs w:val="19"/>
                <w:lang w:val="en-US"/>
              </w:rPr>
            </w:pPr>
            <w:r w:rsidRPr="00377474">
              <w:rPr>
                <w:rFonts w:cs="Arial"/>
                <w:szCs w:val="19"/>
                <w:lang w:val="en-US"/>
              </w:rPr>
              <w:t>Treatment of adults with type 2 diabetes mellitus insufficiently controlled on basal insulin or glucagon-like peptide 1 receptor agonists as an adjunct to diet and exercise in addition to oral antidiabetic medicinal products</w:t>
            </w:r>
            <w:r>
              <w:rPr>
                <w:rFonts w:cs="Arial"/>
                <w:szCs w:val="19"/>
                <w:lang w:val="en-US"/>
              </w:rPr>
              <w:t xml:space="preserve"> </w:t>
            </w:r>
            <w:r w:rsidRPr="00757349">
              <w:rPr>
                <w:rFonts w:cs="Arial"/>
                <w:sz w:val="16"/>
                <w:szCs w:val="16"/>
                <w:lang w:val="en-US"/>
              </w:rPr>
              <w:t>[EU]</w:t>
            </w:r>
            <w:r>
              <w:rPr>
                <w:rFonts w:cs="Arial"/>
                <w:sz w:val="16"/>
                <w:szCs w:val="16"/>
                <w:lang w:val="en-US"/>
              </w:rPr>
              <w:t xml:space="preserve"> </w:t>
            </w:r>
            <w:r>
              <w:rPr>
                <w:rFonts w:cs="Arial"/>
                <w:i/>
                <w:iCs/>
                <w:sz w:val="16"/>
                <w:szCs w:val="16"/>
                <w:lang w:val="en-US"/>
              </w:rPr>
              <w:t>Note: Company has no plans to launch in UK</w:t>
            </w:r>
          </w:p>
        </w:tc>
      </w:tr>
      <w:tr w:rsidR="002C770F" w:rsidRPr="00A075A3" w14:paraId="313D88DC" w14:textId="77777777" w:rsidTr="00AE7B6C">
        <w:tc>
          <w:tcPr>
            <w:tcW w:w="1293" w:type="pct"/>
            <w:gridSpan w:val="2"/>
            <w:shd w:val="clear" w:color="auto" w:fill="auto"/>
            <w:tcMar>
              <w:top w:w="57" w:type="dxa"/>
              <w:bottom w:w="57" w:type="dxa"/>
            </w:tcMar>
          </w:tcPr>
          <w:p w14:paraId="2B1F2AB9" w14:textId="791DBDAA" w:rsidR="002C770F" w:rsidRPr="00C26167" w:rsidRDefault="002C770F" w:rsidP="002C770F">
            <w:pPr>
              <w:rPr>
                <w:rFonts w:cs="Arial"/>
                <w:szCs w:val="19"/>
              </w:rPr>
            </w:pPr>
            <w:proofErr w:type="spellStart"/>
            <w:r w:rsidRPr="00D41CC4">
              <w:rPr>
                <w:rFonts w:cs="Arial"/>
                <w:szCs w:val="19"/>
              </w:rPr>
              <w:t>Mosunetuzumab</w:t>
            </w:r>
            <w:proofErr w:type="spellEnd"/>
            <w:r w:rsidRPr="00D41CC4">
              <w:rPr>
                <w:rFonts w:cs="Arial"/>
                <w:szCs w:val="19"/>
              </w:rPr>
              <w:t> </w:t>
            </w:r>
            <w:r>
              <w:rPr>
                <w:rFonts w:cs="Arial"/>
                <w:szCs w:val="19"/>
              </w:rPr>
              <w:t>(</w:t>
            </w:r>
            <w:proofErr w:type="spellStart"/>
            <w:r>
              <w:rPr>
                <w:rFonts w:cs="Arial"/>
                <w:i/>
                <w:iCs/>
                <w:szCs w:val="19"/>
              </w:rPr>
              <w:t>Lunsumio</w:t>
            </w:r>
            <w:proofErr w:type="spellEnd"/>
            <w:r>
              <w:rPr>
                <w:rFonts w:cs="Arial"/>
                <w:szCs w:val="19"/>
              </w:rPr>
              <w:t>)</w:t>
            </w:r>
          </w:p>
        </w:tc>
        <w:tc>
          <w:tcPr>
            <w:tcW w:w="3707" w:type="pct"/>
            <w:shd w:val="clear" w:color="auto" w:fill="auto"/>
            <w:tcMar>
              <w:top w:w="57" w:type="dxa"/>
              <w:bottom w:w="57" w:type="dxa"/>
            </w:tcMar>
          </w:tcPr>
          <w:p w14:paraId="05020F1C" w14:textId="77777777" w:rsidR="002C770F" w:rsidRDefault="002C770F" w:rsidP="002C770F">
            <w:pPr>
              <w:tabs>
                <w:tab w:val="num" w:pos="720"/>
                <w:tab w:val="center" w:pos="3152"/>
              </w:tabs>
              <w:rPr>
                <w:rFonts w:cs="Arial"/>
                <w:sz w:val="16"/>
                <w:szCs w:val="16"/>
                <w:lang w:val="en-US"/>
              </w:rPr>
            </w:pPr>
            <w:r>
              <w:rPr>
                <w:rFonts w:cs="Arial"/>
                <w:szCs w:val="19"/>
                <w:lang w:val="en-US"/>
              </w:rPr>
              <w:t xml:space="preserve">Use </w:t>
            </w:r>
            <w:r w:rsidRPr="00D41CC4">
              <w:rPr>
                <w:rFonts w:cs="Arial"/>
                <w:szCs w:val="19"/>
                <w:lang w:val="en-US"/>
              </w:rPr>
              <w:t>as monotherapy for the treatment of adults with relapsed or refractory follicular lymphoma who have received at least two prior systemic therapies</w:t>
            </w:r>
            <w:r>
              <w:rPr>
                <w:rFonts w:cs="Arial"/>
                <w:szCs w:val="19"/>
                <w:lang w:val="en-US"/>
              </w:rPr>
              <w:t xml:space="preserve"> </w:t>
            </w:r>
            <w:r w:rsidRPr="00757349">
              <w:rPr>
                <w:rFonts w:cs="Arial"/>
                <w:sz w:val="16"/>
                <w:szCs w:val="16"/>
                <w:lang w:val="en-US"/>
              </w:rPr>
              <w:t>[EU]</w:t>
            </w:r>
            <w:r>
              <w:rPr>
                <w:rFonts w:cs="Arial"/>
                <w:sz w:val="16"/>
                <w:szCs w:val="16"/>
                <w:lang w:val="en-US"/>
              </w:rPr>
              <w:t xml:space="preserve"> </w:t>
            </w:r>
          </w:p>
          <w:p w14:paraId="65B6CF59" w14:textId="3B0A4B76" w:rsidR="002C770F" w:rsidRPr="00377474" w:rsidRDefault="002C770F" w:rsidP="002C770F">
            <w:pPr>
              <w:tabs>
                <w:tab w:val="num" w:pos="720"/>
                <w:tab w:val="center" w:pos="3152"/>
              </w:tabs>
              <w:rPr>
                <w:rFonts w:cs="Arial"/>
                <w:szCs w:val="19"/>
                <w:lang w:val="en-US"/>
              </w:rPr>
            </w:pPr>
            <w:r>
              <w:rPr>
                <w:rFonts w:cs="Arial"/>
                <w:sz w:val="16"/>
                <w:szCs w:val="16"/>
                <w:lang w:val="en-US"/>
              </w:rPr>
              <w:t>[new subcutaneous formulations]</w:t>
            </w:r>
          </w:p>
        </w:tc>
      </w:tr>
      <w:tr w:rsidR="002C770F" w:rsidRPr="00A075A3" w14:paraId="0A102174" w14:textId="77777777" w:rsidTr="00AE7B6C">
        <w:tc>
          <w:tcPr>
            <w:tcW w:w="1293" w:type="pct"/>
            <w:gridSpan w:val="2"/>
            <w:shd w:val="clear" w:color="auto" w:fill="auto"/>
            <w:tcMar>
              <w:top w:w="57" w:type="dxa"/>
              <w:bottom w:w="57" w:type="dxa"/>
            </w:tcMar>
          </w:tcPr>
          <w:p w14:paraId="20B83F9C" w14:textId="14FDC0BE" w:rsidR="002C770F" w:rsidRPr="00C26167" w:rsidRDefault="002C770F" w:rsidP="002C770F">
            <w:pPr>
              <w:rPr>
                <w:rFonts w:cs="Arial"/>
                <w:szCs w:val="19"/>
              </w:rPr>
            </w:pPr>
            <w:proofErr w:type="spellStart"/>
            <w:r>
              <w:rPr>
                <w:rFonts w:cs="Arial"/>
                <w:szCs w:val="19"/>
              </w:rPr>
              <w:t>Nipocalimab</w:t>
            </w:r>
            <w:proofErr w:type="spellEnd"/>
            <w:r>
              <w:rPr>
                <w:rFonts w:cs="Arial"/>
                <w:szCs w:val="19"/>
              </w:rPr>
              <w:t xml:space="preserve"> (</w:t>
            </w:r>
            <w:proofErr w:type="spellStart"/>
            <w:r>
              <w:rPr>
                <w:rFonts w:cs="Arial"/>
                <w:i/>
                <w:iCs/>
                <w:szCs w:val="19"/>
              </w:rPr>
              <w:t>Imaavy</w:t>
            </w:r>
            <w:proofErr w:type="spellEnd"/>
            <w:r>
              <w:rPr>
                <w:rFonts w:cs="Arial"/>
                <w:szCs w:val="19"/>
              </w:rPr>
              <w:t>)</w:t>
            </w:r>
          </w:p>
        </w:tc>
        <w:tc>
          <w:tcPr>
            <w:tcW w:w="3707" w:type="pct"/>
            <w:shd w:val="clear" w:color="auto" w:fill="auto"/>
            <w:tcMar>
              <w:top w:w="57" w:type="dxa"/>
              <w:bottom w:w="57" w:type="dxa"/>
            </w:tcMar>
          </w:tcPr>
          <w:p w14:paraId="576CF56C" w14:textId="65D7E873" w:rsidR="002C770F" w:rsidRPr="00377474" w:rsidRDefault="002C770F" w:rsidP="002C770F">
            <w:pPr>
              <w:tabs>
                <w:tab w:val="num" w:pos="720"/>
                <w:tab w:val="center" w:pos="3152"/>
              </w:tabs>
              <w:rPr>
                <w:rFonts w:cs="Arial"/>
                <w:szCs w:val="19"/>
                <w:lang w:val="en-US"/>
              </w:rPr>
            </w:pPr>
            <w:r w:rsidRPr="00007D6A">
              <w:rPr>
                <w:rFonts w:cs="Arial"/>
                <w:szCs w:val="19"/>
                <w:lang w:val="en-US"/>
              </w:rPr>
              <w:t xml:space="preserve">Use as an add-on to standard therapy for the treatment of </w:t>
            </w:r>
            <w:proofErr w:type="spellStart"/>
            <w:r w:rsidRPr="00007D6A">
              <w:rPr>
                <w:rFonts w:cs="Arial"/>
                <w:szCs w:val="19"/>
                <w:lang w:val="en-US"/>
              </w:rPr>
              <w:t>generalised</w:t>
            </w:r>
            <w:proofErr w:type="spellEnd"/>
            <w:r w:rsidRPr="00007D6A">
              <w:rPr>
                <w:rFonts w:cs="Arial"/>
                <w:szCs w:val="19"/>
                <w:lang w:val="en-US"/>
              </w:rPr>
              <w:t xml:space="preserve"> </w:t>
            </w:r>
            <w:r>
              <w:rPr>
                <w:rFonts w:cs="Arial"/>
                <w:szCs w:val="19"/>
                <w:lang w:val="en-US"/>
              </w:rPr>
              <w:t>m</w:t>
            </w:r>
            <w:r w:rsidRPr="00007D6A">
              <w:rPr>
                <w:rFonts w:cs="Arial"/>
                <w:szCs w:val="19"/>
                <w:lang w:val="en-US"/>
              </w:rPr>
              <w:t xml:space="preserve">yasthenia </w:t>
            </w:r>
            <w:r>
              <w:rPr>
                <w:rFonts w:cs="Arial"/>
                <w:szCs w:val="19"/>
                <w:lang w:val="en-US"/>
              </w:rPr>
              <w:t>g</w:t>
            </w:r>
            <w:r w:rsidRPr="00007D6A">
              <w:rPr>
                <w:rFonts w:cs="Arial"/>
                <w:szCs w:val="19"/>
                <w:lang w:val="en-US"/>
              </w:rPr>
              <w:t>ravis in adult</w:t>
            </w:r>
            <w:r>
              <w:rPr>
                <w:rFonts w:cs="Arial"/>
                <w:szCs w:val="19"/>
                <w:lang w:val="en-US"/>
              </w:rPr>
              <w:t>s</w:t>
            </w:r>
            <w:r w:rsidRPr="00007D6A">
              <w:rPr>
                <w:rFonts w:cs="Arial"/>
                <w:szCs w:val="19"/>
                <w:lang w:val="en-US"/>
              </w:rPr>
              <w:t xml:space="preserve"> and adolescents aged </w:t>
            </w:r>
            <w:r>
              <w:rPr>
                <w:rFonts w:cs="Arial"/>
                <w:szCs w:val="19"/>
                <w:lang w:val="en-US"/>
              </w:rPr>
              <w:t>≥</w:t>
            </w:r>
            <w:r w:rsidRPr="00007D6A">
              <w:rPr>
                <w:rFonts w:cs="Arial"/>
                <w:szCs w:val="19"/>
                <w:lang w:val="en-US"/>
              </w:rPr>
              <w:t>12 years who are anti-acetylcholine receptor or anti-muscle-specific tyrosine kinase antibody positive</w:t>
            </w:r>
            <w:r>
              <w:rPr>
                <w:rFonts w:cs="Arial"/>
                <w:szCs w:val="19"/>
                <w:lang w:val="en-US"/>
              </w:rPr>
              <w:t xml:space="preserve"> </w:t>
            </w:r>
            <w:r w:rsidRPr="00757349">
              <w:rPr>
                <w:rFonts w:cs="Arial"/>
                <w:sz w:val="16"/>
                <w:szCs w:val="16"/>
                <w:lang w:val="en-US"/>
              </w:rPr>
              <w:t>[EU]</w:t>
            </w:r>
          </w:p>
        </w:tc>
      </w:tr>
      <w:tr w:rsidR="002C770F" w:rsidRPr="00A075A3" w14:paraId="4707053C" w14:textId="77777777" w:rsidTr="00AE7B6C">
        <w:tc>
          <w:tcPr>
            <w:tcW w:w="1293" w:type="pct"/>
            <w:gridSpan w:val="2"/>
            <w:shd w:val="clear" w:color="auto" w:fill="auto"/>
            <w:tcMar>
              <w:top w:w="57" w:type="dxa"/>
              <w:bottom w:w="57" w:type="dxa"/>
            </w:tcMar>
          </w:tcPr>
          <w:p w14:paraId="27E0243A" w14:textId="26FD8328" w:rsidR="002C770F" w:rsidRPr="00C26167" w:rsidRDefault="002C770F" w:rsidP="002C770F">
            <w:pPr>
              <w:rPr>
                <w:rFonts w:cs="Arial"/>
                <w:szCs w:val="19"/>
              </w:rPr>
            </w:pPr>
            <w:r>
              <w:rPr>
                <w:rFonts w:cs="Arial"/>
                <w:szCs w:val="19"/>
              </w:rPr>
              <w:t>Pembrolizumab (</w:t>
            </w:r>
            <w:r>
              <w:rPr>
                <w:rFonts w:cs="Arial"/>
                <w:i/>
                <w:iCs/>
                <w:szCs w:val="19"/>
              </w:rPr>
              <w:t>Keytruda</w:t>
            </w:r>
            <w:r>
              <w:rPr>
                <w:rFonts w:cs="Arial"/>
                <w:szCs w:val="19"/>
              </w:rPr>
              <w:t>)</w:t>
            </w:r>
          </w:p>
        </w:tc>
        <w:tc>
          <w:tcPr>
            <w:tcW w:w="3707" w:type="pct"/>
            <w:shd w:val="clear" w:color="auto" w:fill="auto"/>
            <w:tcMar>
              <w:top w:w="57" w:type="dxa"/>
              <w:bottom w:w="57" w:type="dxa"/>
            </w:tcMar>
          </w:tcPr>
          <w:p w14:paraId="5CDA8AAD" w14:textId="669D6747" w:rsidR="002C770F" w:rsidRPr="00377474" w:rsidRDefault="002C770F" w:rsidP="002C770F">
            <w:pPr>
              <w:tabs>
                <w:tab w:val="num" w:pos="720"/>
                <w:tab w:val="center" w:pos="3152"/>
              </w:tabs>
              <w:rPr>
                <w:rFonts w:cs="Arial"/>
                <w:szCs w:val="19"/>
                <w:lang w:val="en-US"/>
              </w:rPr>
            </w:pPr>
            <w:r>
              <w:rPr>
                <w:rFonts w:cs="Arial"/>
                <w:szCs w:val="19"/>
                <w:lang w:val="en-US"/>
              </w:rPr>
              <w:t xml:space="preserve">Use </w:t>
            </w:r>
            <w:r w:rsidRPr="00175ADD">
              <w:rPr>
                <w:rFonts w:cs="Arial"/>
                <w:szCs w:val="19"/>
                <w:lang w:val="en-US"/>
              </w:rPr>
              <w:t xml:space="preserve">as monotherapy for the treatment of resectable locally advanced head and neck squamous cell carcinoma as neoadjuvant treatment, continued as adjuvant treatment in combination with radiation therapy with or without concomitant cisplatin and then as monotherapy in adults whose </w:t>
            </w:r>
            <w:proofErr w:type="spellStart"/>
            <w:r w:rsidRPr="00175ADD">
              <w:rPr>
                <w:rFonts w:cs="Arial"/>
                <w:szCs w:val="19"/>
                <w:lang w:val="en-US"/>
              </w:rPr>
              <w:t>tumours</w:t>
            </w:r>
            <w:proofErr w:type="spellEnd"/>
            <w:r w:rsidRPr="00175ADD">
              <w:rPr>
                <w:rFonts w:cs="Arial"/>
                <w:szCs w:val="19"/>
                <w:lang w:val="en-US"/>
              </w:rPr>
              <w:t xml:space="preserve"> express PD-L1 with a CPS ≥1</w:t>
            </w:r>
            <w:r>
              <w:rPr>
                <w:rFonts w:cs="Arial"/>
                <w:szCs w:val="19"/>
                <w:lang w:val="en-US"/>
              </w:rPr>
              <w:t xml:space="preserve"> </w:t>
            </w:r>
            <w:r w:rsidRPr="00ED03AE">
              <w:rPr>
                <w:rFonts w:cs="Arial"/>
                <w:sz w:val="16"/>
                <w:szCs w:val="16"/>
                <w:lang w:val="en-US"/>
              </w:rPr>
              <w:t>[EU] [new indication]</w:t>
            </w:r>
          </w:p>
        </w:tc>
      </w:tr>
      <w:tr w:rsidR="002C770F" w:rsidRPr="00A075A3" w14:paraId="3E6BE117" w14:textId="77777777" w:rsidTr="00AE7B6C">
        <w:tc>
          <w:tcPr>
            <w:tcW w:w="1293" w:type="pct"/>
            <w:gridSpan w:val="2"/>
            <w:shd w:val="clear" w:color="auto" w:fill="auto"/>
            <w:tcMar>
              <w:top w:w="57" w:type="dxa"/>
              <w:bottom w:w="57" w:type="dxa"/>
            </w:tcMar>
          </w:tcPr>
          <w:p w14:paraId="1705E427" w14:textId="16092D80" w:rsidR="002C770F" w:rsidRDefault="002C770F" w:rsidP="002C770F">
            <w:pPr>
              <w:rPr>
                <w:rFonts w:cs="Arial"/>
                <w:szCs w:val="19"/>
              </w:rPr>
            </w:pPr>
            <w:r>
              <w:rPr>
                <w:rFonts w:cs="Arial"/>
                <w:szCs w:val="19"/>
              </w:rPr>
              <w:t>Ritonavir (</w:t>
            </w:r>
            <w:proofErr w:type="spellStart"/>
            <w:r>
              <w:rPr>
                <w:rFonts w:cs="Arial"/>
                <w:i/>
                <w:iCs/>
                <w:szCs w:val="19"/>
              </w:rPr>
              <w:t>Norvir</w:t>
            </w:r>
            <w:proofErr w:type="spellEnd"/>
            <w:r>
              <w:rPr>
                <w:rFonts w:cs="Arial"/>
                <w:szCs w:val="19"/>
              </w:rPr>
              <w:t>)</w:t>
            </w:r>
          </w:p>
        </w:tc>
        <w:tc>
          <w:tcPr>
            <w:tcW w:w="3707" w:type="pct"/>
            <w:shd w:val="clear" w:color="auto" w:fill="auto"/>
            <w:tcMar>
              <w:top w:w="57" w:type="dxa"/>
              <w:bottom w:w="57" w:type="dxa"/>
            </w:tcMar>
          </w:tcPr>
          <w:p w14:paraId="792342EA" w14:textId="77777777" w:rsidR="002C770F" w:rsidRDefault="002C770F" w:rsidP="002C770F">
            <w:pPr>
              <w:tabs>
                <w:tab w:val="num" w:pos="720"/>
                <w:tab w:val="center" w:pos="3152"/>
              </w:tabs>
              <w:rPr>
                <w:rFonts w:cs="Arial"/>
                <w:sz w:val="16"/>
                <w:szCs w:val="16"/>
                <w:lang w:val="en-US"/>
              </w:rPr>
            </w:pPr>
            <w:r>
              <w:rPr>
                <w:rFonts w:cs="Arial"/>
                <w:szCs w:val="19"/>
                <w:lang w:val="en-US"/>
              </w:rPr>
              <w:t xml:space="preserve">Use </w:t>
            </w:r>
            <w:r w:rsidRPr="00BF43FC">
              <w:rPr>
                <w:rFonts w:cs="Arial"/>
                <w:szCs w:val="19"/>
                <w:lang w:val="en-US"/>
              </w:rPr>
              <w:t xml:space="preserve">as a pharmacokinetic enhancer of co-administered protease inhibitors as part of antiretroviral combination therapy in human immunodeficiency virus-1 (HIV-1) infected patients (adults and children </w:t>
            </w:r>
            <w:r>
              <w:rPr>
                <w:rFonts w:cs="Arial"/>
                <w:szCs w:val="19"/>
                <w:lang w:val="en-US"/>
              </w:rPr>
              <w:t>aged ≥</w:t>
            </w:r>
            <w:r w:rsidRPr="00BF43FC">
              <w:rPr>
                <w:rFonts w:cs="Arial"/>
                <w:szCs w:val="19"/>
                <w:lang w:val="en-US"/>
              </w:rPr>
              <w:t>2 years)</w:t>
            </w:r>
            <w:r>
              <w:rPr>
                <w:rFonts w:cs="Arial"/>
                <w:szCs w:val="19"/>
                <w:lang w:val="en-US"/>
              </w:rPr>
              <w:t xml:space="preserve"> </w:t>
            </w:r>
            <w:r w:rsidRPr="000E57D0">
              <w:rPr>
                <w:rFonts w:cs="Arial"/>
                <w:sz w:val="16"/>
                <w:szCs w:val="16"/>
                <w:lang w:val="en-US"/>
              </w:rPr>
              <w:t xml:space="preserve">[EU] </w:t>
            </w:r>
          </w:p>
          <w:p w14:paraId="580E7A04" w14:textId="58CB0CC8" w:rsidR="002C770F" w:rsidRDefault="002C770F" w:rsidP="002C770F">
            <w:pPr>
              <w:tabs>
                <w:tab w:val="num" w:pos="720"/>
                <w:tab w:val="center" w:pos="3152"/>
              </w:tabs>
              <w:rPr>
                <w:rFonts w:cs="Arial"/>
                <w:szCs w:val="19"/>
                <w:lang w:val="en-US"/>
              </w:rPr>
            </w:pPr>
            <w:r w:rsidRPr="000E57D0">
              <w:rPr>
                <w:rFonts w:cs="Arial"/>
                <w:sz w:val="16"/>
                <w:szCs w:val="16"/>
                <w:lang w:val="en-US"/>
              </w:rPr>
              <w:t xml:space="preserve">[new indication replacing </w:t>
            </w:r>
            <w:r>
              <w:rPr>
                <w:rFonts w:cs="Arial"/>
                <w:sz w:val="16"/>
                <w:szCs w:val="16"/>
                <w:lang w:val="en-US"/>
              </w:rPr>
              <w:t xml:space="preserve">previous indication of </w:t>
            </w:r>
            <w:r w:rsidRPr="000E57D0">
              <w:rPr>
                <w:rFonts w:cs="Arial"/>
                <w:sz w:val="16"/>
                <w:szCs w:val="16"/>
                <w:lang w:val="en-US"/>
              </w:rPr>
              <w:t>use in combination with other antiretroviral agents for the treatment of HIV-1 infected adults and children aged ≥ 2 years]</w:t>
            </w:r>
          </w:p>
        </w:tc>
      </w:tr>
      <w:tr w:rsidR="002C770F" w:rsidRPr="00A075A3" w14:paraId="136973F0" w14:textId="77777777" w:rsidTr="00AE7B6C">
        <w:tc>
          <w:tcPr>
            <w:tcW w:w="1293" w:type="pct"/>
            <w:gridSpan w:val="2"/>
            <w:shd w:val="clear" w:color="auto" w:fill="auto"/>
            <w:tcMar>
              <w:top w:w="57" w:type="dxa"/>
              <w:bottom w:w="57" w:type="dxa"/>
            </w:tcMar>
          </w:tcPr>
          <w:p w14:paraId="5D136E0A" w14:textId="638ED944" w:rsidR="002C770F" w:rsidRDefault="002C770F" w:rsidP="002C770F">
            <w:pPr>
              <w:rPr>
                <w:rFonts w:cs="Arial"/>
                <w:szCs w:val="19"/>
              </w:rPr>
            </w:pPr>
            <w:r>
              <w:rPr>
                <w:rFonts w:cs="Arial"/>
                <w:szCs w:val="19"/>
              </w:rPr>
              <w:t>Selumetinib (</w:t>
            </w:r>
            <w:proofErr w:type="spellStart"/>
            <w:r>
              <w:rPr>
                <w:rFonts w:cs="Arial"/>
                <w:i/>
                <w:iCs/>
                <w:szCs w:val="19"/>
              </w:rPr>
              <w:t>Koselugo</w:t>
            </w:r>
            <w:proofErr w:type="spellEnd"/>
            <w:r>
              <w:rPr>
                <w:rFonts w:cs="Arial"/>
                <w:szCs w:val="19"/>
              </w:rPr>
              <w:t>)</w:t>
            </w:r>
          </w:p>
        </w:tc>
        <w:tc>
          <w:tcPr>
            <w:tcW w:w="3707" w:type="pct"/>
            <w:shd w:val="clear" w:color="auto" w:fill="auto"/>
            <w:tcMar>
              <w:top w:w="57" w:type="dxa"/>
              <w:bottom w:w="57" w:type="dxa"/>
            </w:tcMar>
          </w:tcPr>
          <w:p w14:paraId="4D716CD8" w14:textId="7A31EFB9" w:rsidR="002C770F" w:rsidRDefault="002C770F" w:rsidP="002C770F">
            <w:pPr>
              <w:tabs>
                <w:tab w:val="num" w:pos="720"/>
                <w:tab w:val="center" w:pos="3152"/>
              </w:tabs>
              <w:rPr>
                <w:rFonts w:cs="Arial"/>
                <w:szCs w:val="19"/>
                <w:lang w:val="en-US"/>
              </w:rPr>
            </w:pPr>
            <w:r>
              <w:rPr>
                <w:rFonts w:cs="Arial"/>
                <w:szCs w:val="19"/>
                <w:lang w:val="en-US"/>
              </w:rPr>
              <w:t xml:space="preserve">Use </w:t>
            </w:r>
            <w:r w:rsidRPr="00DA41B2">
              <w:rPr>
                <w:rFonts w:cs="Arial"/>
                <w:szCs w:val="19"/>
                <w:lang w:val="en-US"/>
              </w:rPr>
              <w:t xml:space="preserve">as monotherapy for the treatment of symptomatic, inoperable plexiform neurofibromas in adult and paediatric patients with neurofibromatosis type 1 aged </w:t>
            </w:r>
            <w:r>
              <w:rPr>
                <w:rFonts w:cs="Arial"/>
                <w:szCs w:val="19"/>
                <w:lang w:val="en-US"/>
              </w:rPr>
              <w:t>≥</w:t>
            </w:r>
            <w:r w:rsidRPr="00DA41B2">
              <w:rPr>
                <w:rFonts w:cs="Arial"/>
                <w:szCs w:val="19"/>
                <w:lang w:val="en-US"/>
              </w:rPr>
              <w:t xml:space="preserve">3 years </w:t>
            </w:r>
            <w:r w:rsidRPr="00DA41B2">
              <w:rPr>
                <w:rFonts w:cs="Arial"/>
                <w:sz w:val="16"/>
                <w:szCs w:val="16"/>
                <w:lang w:val="en-US"/>
              </w:rPr>
              <w:t>[EU] [licence change from use only in children aged ≥3 years]</w:t>
            </w:r>
          </w:p>
        </w:tc>
      </w:tr>
      <w:tr w:rsidR="002C770F" w:rsidRPr="000F19E1" w14:paraId="01C35224" w14:textId="77777777" w:rsidTr="00AE7B6C">
        <w:tc>
          <w:tcPr>
            <w:tcW w:w="1293" w:type="pct"/>
            <w:gridSpan w:val="2"/>
            <w:shd w:val="clear" w:color="auto" w:fill="auto"/>
            <w:tcMar>
              <w:top w:w="0" w:type="dxa"/>
              <w:bottom w:w="0" w:type="dxa"/>
            </w:tcMar>
          </w:tcPr>
          <w:p w14:paraId="709A60A2" w14:textId="77777777" w:rsidR="002C770F" w:rsidRPr="000F19E1" w:rsidRDefault="002C770F" w:rsidP="002C770F">
            <w:pPr>
              <w:rPr>
                <w:rFonts w:cs="Arial"/>
                <w:bCs/>
                <w:sz w:val="8"/>
                <w:szCs w:val="8"/>
              </w:rPr>
            </w:pPr>
          </w:p>
        </w:tc>
        <w:tc>
          <w:tcPr>
            <w:tcW w:w="3707" w:type="pct"/>
            <w:shd w:val="clear" w:color="auto" w:fill="auto"/>
            <w:tcMar>
              <w:top w:w="0" w:type="dxa"/>
              <w:bottom w:w="0" w:type="dxa"/>
            </w:tcMar>
          </w:tcPr>
          <w:p w14:paraId="6D7A23FB" w14:textId="77777777" w:rsidR="002C770F" w:rsidRPr="000F19E1" w:rsidRDefault="002C770F" w:rsidP="002C770F">
            <w:pPr>
              <w:tabs>
                <w:tab w:val="center" w:pos="3152"/>
              </w:tabs>
              <w:rPr>
                <w:rFonts w:cs="Arial"/>
                <w:sz w:val="8"/>
                <w:szCs w:val="8"/>
                <w:lang w:val="en-US"/>
              </w:rPr>
            </w:pPr>
          </w:p>
        </w:tc>
      </w:tr>
      <w:tr w:rsidR="002C770F" w:rsidRPr="000F19E1" w14:paraId="35D95458" w14:textId="77777777" w:rsidTr="00155BD9">
        <w:tc>
          <w:tcPr>
            <w:tcW w:w="1152" w:type="pct"/>
            <w:shd w:val="clear" w:color="auto" w:fill="DAEEF3"/>
            <w:tcMar>
              <w:top w:w="0" w:type="dxa"/>
              <w:bottom w:w="0" w:type="dxa"/>
            </w:tcMar>
          </w:tcPr>
          <w:p w14:paraId="3D32EF98" w14:textId="77777777" w:rsidR="002C770F" w:rsidRPr="000F19E1" w:rsidRDefault="002C770F" w:rsidP="002C770F">
            <w:pPr>
              <w:rPr>
                <w:rFonts w:cs="Arial"/>
                <w:bCs/>
                <w:sz w:val="8"/>
                <w:szCs w:val="8"/>
              </w:rPr>
            </w:pPr>
          </w:p>
        </w:tc>
        <w:tc>
          <w:tcPr>
            <w:tcW w:w="3848" w:type="pct"/>
            <w:gridSpan w:val="2"/>
            <w:shd w:val="clear" w:color="auto" w:fill="DAEEF3"/>
            <w:tcMar>
              <w:top w:w="0" w:type="dxa"/>
              <w:bottom w:w="0" w:type="dxa"/>
            </w:tcMar>
          </w:tcPr>
          <w:p w14:paraId="661E5CC1" w14:textId="77777777" w:rsidR="002C770F" w:rsidRPr="000F19E1" w:rsidRDefault="002C770F" w:rsidP="002C770F">
            <w:pPr>
              <w:tabs>
                <w:tab w:val="center" w:pos="3152"/>
              </w:tabs>
              <w:rPr>
                <w:rFonts w:cs="Arial"/>
                <w:sz w:val="8"/>
                <w:szCs w:val="8"/>
                <w:lang w:val="en-US"/>
              </w:rPr>
            </w:pPr>
          </w:p>
        </w:tc>
      </w:tr>
    </w:tbl>
    <w:p w14:paraId="4978CE6B" w14:textId="77777777" w:rsidR="00036510" w:rsidRDefault="00036510">
      <w:r>
        <w:br w:type="page"/>
      </w:r>
    </w:p>
    <w:p w14:paraId="5D75A108" w14:textId="77777777" w:rsidR="00A75BCB" w:rsidRDefault="00A75BCB"/>
    <w:p w14:paraId="0376E420" w14:textId="77777777" w:rsidR="00AB41FF" w:rsidRDefault="00AB41FF"/>
    <w:p w14:paraId="04AF852E" w14:textId="77777777" w:rsidR="006825BB" w:rsidRDefault="006825BB" w:rsidP="003D16EF">
      <w:pPr>
        <w:rPr>
          <w:sz w:val="8"/>
          <w:szCs w:val="8"/>
        </w:rPr>
      </w:pPr>
    </w:p>
    <w:tbl>
      <w:tblPr>
        <w:tblW w:w="5170" w:type="pct"/>
        <w:tblInd w:w="-176" w:type="dxa"/>
        <w:tblLayout w:type="fixed"/>
        <w:tblLook w:val="01E0" w:firstRow="1" w:lastRow="1" w:firstColumn="1" w:lastColumn="1" w:noHBand="0" w:noVBand="0"/>
      </w:tblPr>
      <w:tblGrid>
        <w:gridCol w:w="2430"/>
        <w:gridCol w:w="298"/>
        <w:gridCol w:w="7823"/>
      </w:tblGrid>
      <w:tr w:rsidR="003352EF" w:rsidRPr="00862949" w14:paraId="0CC958A5" w14:textId="77777777" w:rsidTr="00DF1566">
        <w:tc>
          <w:tcPr>
            <w:tcW w:w="5000" w:type="pct"/>
            <w:gridSpan w:val="3"/>
            <w:shd w:val="clear" w:color="auto" w:fill="0070C0"/>
            <w:tcMar>
              <w:top w:w="85" w:type="dxa"/>
              <w:bottom w:w="85" w:type="dxa"/>
            </w:tcMar>
            <w:vAlign w:val="bottom"/>
          </w:tcPr>
          <w:p w14:paraId="205F8DA3" w14:textId="77777777" w:rsidR="003352EF" w:rsidRPr="00862949" w:rsidRDefault="003352EF" w:rsidP="00DF1566">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3352EF" w:rsidRPr="000F19E1" w14:paraId="6EE4E137" w14:textId="77777777" w:rsidTr="00DF1566">
        <w:tc>
          <w:tcPr>
            <w:tcW w:w="1152" w:type="pct"/>
            <w:shd w:val="clear" w:color="auto" w:fill="DAEEF3"/>
            <w:tcMar>
              <w:top w:w="0" w:type="dxa"/>
              <w:bottom w:w="0" w:type="dxa"/>
            </w:tcMar>
          </w:tcPr>
          <w:p w14:paraId="235A6EC9" w14:textId="77777777" w:rsidR="003352EF" w:rsidRPr="000F19E1" w:rsidRDefault="003352EF" w:rsidP="00DF1566">
            <w:pPr>
              <w:rPr>
                <w:rFonts w:cs="Arial"/>
                <w:bCs/>
                <w:sz w:val="8"/>
                <w:szCs w:val="8"/>
              </w:rPr>
            </w:pPr>
          </w:p>
        </w:tc>
        <w:tc>
          <w:tcPr>
            <w:tcW w:w="3848" w:type="pct"/>
            <w:gridSpan w:val="2"/>
            <w:shd w:val="clear" w:color="auto" w:fill="DAEEF3"/>
            <w:tcMar>
              <w:top w:w="0" w:type="dxa"/>
              <w:bottom w:w="0" w:type="dxa"/>
            </w:tcMar>
          </w:tcPr>
          <w:p w14:paraId="5F58DB60" w14:textId="77777777" w:rsidR="003352EF" w:rsidRPr="000F19E1" w:rsidRDefault="003352EF" w:rsidP="00DF1566">
            <w:pPr>
              <w:tabs>
                <w:tab w:val="center" w:pos="3152"/>
              </w:tabs>
              <w:rPr>
                <w:rFonts w:cs="Arial"/>
                <w:sz w:val="8"/>
                <w:szCs w:val="8"/>
                <w:lang w:val="en-US"/>
              </w:rPr>
            </w:pPr>
          </w:p>
        </w:tc>
      </w:tr>
      <w:tr w:rsidR="003352EF" w:rsidRPr="00433D3E" w14:paraId="03585142" w14:textId="77777777" w:rsidTr="00DF1566">
        <w:tc>
          <w:tcPr>
            <w:tcW w:w="5000" w:type="pct"/>
            <w:gridSpan w:val="3"/>
            <w:shd w:val="clear" w:color="auto" w:fill="008232"/>
            <w:tcMar>
              <w:top w:w="57" w:type="dxa"/>
              <w:bottom w:w="57" w:type="dxa"/>
            </w:tcMar>
          </w:tcPr>
          <w:p w14:paraId="5DA0F809" w14:textId="63F5D100" w:rsidR="003352EF" w:rsidRPr="0021490D" w:rsidRDefault="003352EF" w:rsidP="00DF1566">
            <w:pPr>
              <w:rPr>
                <w:rFonts w:cs="Arial"/>
                <w:noProof/>
                <w:color w:val="FFFFFF"/>
                <w:sz w:val="16"/>
                <w:szCs w:val="16"/>
              </w:rPr>
            </w:pPr>
            <w:r>
              <w:rPr>
                <w:rFonts w:cs="Arial"/>
                <w:b/>
                <w:bCs/>
                <w:i/>
                <w:iCs/>
                <w:color w:val="FFFFFF"/>
                <w:sz w:val="22"/>
                <w:szCs w:val="20"/>
                <w:lang w:val="en-US"/>
              </w:rPr>
              <w:t xml:space="preserve">Recommended for approval in </w:t>
            </w:r>
            <w:r w:rsidRPr="00433D3E">
              <w:rPr>
                <w:rFonts w:cs="Arial"/>
                <w:b/>
                <w:bCs/>
                <w:i/>
                <w:iCs/>
                <w:color w:val="FFFFFF"/>
                <w:sz w:val="22"/>
                <w:szCs w:val="20"/>
                <w:lang w:val="en-US"/>
              </w:rPr>
              <w:t xml:space="preserve">the </w:t>
            </w:r>
            <w:r>
              <w:rPr>
                <w:rFonts w:cs="Arial"/>
                <w:b/>
                <w:bCs/>
                <w:i/>
                <w:iCs/>
                <w:color w:val="FFFFFF"/>
                <w:sz w:val="22"/>
                <w:szCs w:val="20"/>
                <w:lang w:val="en-US"/>
              </w:rPr>
              <w:t xml:space="preserve">UK or </w:t>
            </w:r>
            <w:r w:rsidRPr="00433D3E">
              <w:rPr>
                <w:rFonts w:cs="Arial"/>
                <w:b/>
                <w:bCs/>
                <w:i/>
                <w:iCs/>
                <w:color w:val="FFFFFF"/>
                <w:sz w:val="22"/>
                <w:szCs w:val="20"/>
                <w:lang w:val="en-US"/>
              </w:rPr>
              <w:t>EU</w:t>
            </w:r>
            <w:r w:rsidR="007D6175">
              <w:rPr>
                <w:rFonts w:cs="Arial"/>
                <w:b/>
                <w:bCs/>
                <w:i/>
                <w:iCs/>
                <w:color w:val="FFFFFF"/>
                <w:sz w:val="22"/>
                <w:szCs w:val="20"/>
                <w:lang w:val="en-US"/>
              </w:rPr>
              <w:t xml:space="preserve"> </w:t>
            </w:r>
            <w:r w:rsidR="007D6175" w:rsidRPr="007D6175">
              <w:rPr>
                <w:rFonts w:cs="Arial"/>
                <w:b/>
                <w:bCs/>
                <w:color w:val="FFFFFF"/>
                <w:sz w:val="16"/>
                <w:szCs w:val="14"/>
                <w:lang w:val="en-US"/>
              </w:rPr>
              <w:t>(continued)</w:t>
            </w:r>
          </w:p>
        </w:tc>
      </w:tr>
      <w:tr w:rsidR="003352EF" w:rsidRPr="00A075A3" w14:paraId="24AF10BA" w14:textId="77777777" w:rsidTr="00DF1566">
        <w:tc>
          <w:tcPr>
            <w:tcW w:w="1293" w:type="pct"/>
            <w:gridSpan w:val="2"/>
            <w:shd w:val="clear" w:color="auto" w:fill="auto"/>
            <w:tcMar>
              <w:top w:w="57" w:type="dxa"/>
              <w:bottom w:w="57" w:type="dxa"/>
            </w:tcMar>
          </w:tcPr>
          <w:p w14:paraId="3DAA8CE1" w14:textId="77777777" w:rsidR="003352EF" w:rsidRPr="008443E6" w:rsidRDefault="003352EF" w:rsidP="00DF1566">
            <w:pPr>
              <w:rPr>
                <w:rFonts w:cs="Arial"/>
                <w:szCs w:val="19"/>
              </w:rPr>
            </w:pPr>
            <w:proofErr w:type="spellStart"/>
            <w:r w:rsidRPr="008443E6">
              <w:rPr>
                <w:rFonts w:cs="Arial"/>
                <w:szCs w:val="19"/>
              </w:rPr>
              <w:t>Selvacovatein</w:t>
            </w:r>
            <w:proofErr w:type="spellEnd"/>
            <w:r w:rsidRPr="008443E6">
              <w:rPr>
                <w:rFonts w:cs="Arial"/>
                <w:szCs w:val="19"/>
              </w:rPr>
              <w:t xml:space="preserve"> + </w:t>
            </w:r>
            <w:proofErr w:type="spellStart"/>
            <w:r w:rsidRPr="008443E6">
              <w:rPr>
                <w:rFonts w:cs="Arial"/>
                <w:szCs w:val="19"/>
              </w:rPr>
              <w:t>damlecovatein</w:t>
            </w:r>
            <w:proofErr w:type="spellEnd"/>
            <w:r>
              <w:rPr>
                <w:rFonts w:cs="Arial"/>
                <w:szCs w:val="19"/>
              </w:rPr>
              <w:t xml:space="preserve"> (</w:t>
            </w:r>
            <w:proofErr w:type="spellStart"/>
            <w:r>
              <w:rPr>
                <w:rFonts w:cs="Arial"/>
                <w:i/>
                <w:iCs/>
                <w:szCs w:val="19"/>
              </w:rPr>
              <w:t>Bimervax</w:t>
            </w:r>
            <w:proofErr w:type="spellEnd"/>
            <w:r>
              <w:rPr>
                <w:rFonts w:cs="Arial"/>
                <w:szCs w:val="19"/>
              </w:rPr>
              <w:t>)</w:t>
            </w:r>
          </w:p>
        </w:tc>
        <w:tc>
          <w:tcPr>
            <w:tcW w:w="3707" w:type="pct"/>
            <w:shd w:val="clear" w:color="auto" w:fill="auto"/>
            <w:tcMar>
              <w:top w:w="57" w:type="dxa"/>
              <w:bottom w:w="57" w:type="dxa"/>
            </w:tcMar>
          </w:tcPr>
          <w:p w14:paraId="52EB7AD7" w14:textId="77777777" w:rsidR="003352EF" w:rsidRDefault="003352EF" w:rsidP="00DF1566">
            <w:pPr>
              <w:tabs>
                <w:tab w:val="num" w:pos="720"/>
                <w:tab w:val="center" w:pos="3152"/>
              </w:tabs>
              <w:rPr>
                <w:rFonts w:cs="Arial"/>
                <w:sz w:val="16"/>
                <w:szCs w:val="16"/>
                <w:lang w:val="en-US"/>
              </w:rPr>
            </w:pPr>
            <w:r>
              <w:rPr>
                <w:rFonts w:cs="Arial"/>
                <w:szCs w:val="19"/>
                <w:lang w:val="en-US"/>
              </w:rPr>
              <w:t xml:space="preserve">Use </w:t>
            </w:r>
            <w:r w:rsidRPr="009C369C">
              <w:rPr>
                <w:rFonts w:cs="Arial"/>
                <w:szCs w:val="19"/>
                <w:lang w:val="en-US"/>
              </w:rPr>
              <w:t xml:space="preserve">as a booster for active </w:t>
            </w:r>
            <w:proofErr w:type="spellStart"/>
            <w:r w:rsidRPr="009C369C">
              <w:rPr>
                <w:rFonts w:cs="Arial"/>
                <w:szCs w:val="19"/>
                <w:lang w:val="en-US"/>
              </w:rPr>
              <w:t>immunisation</w:t>
            </w:r>
            <w:proofErr w:type="spellEnd"/>
            <w:r w:rsidRPr="009C369C">
              <w:rPr>
                <w:rFonts w:cs="Arial"/>
                <w:szCs w:val="19"/>
                <w:lang w:val="en-US"/>
              </w:rPr>
              <w:t xml:space="preserve"> to prevent COVID-19 in individuals </w:t>
            </w:r>
            <w:r>
              <w:rPr>
                <w:rFonts w:cs="Arial"/>
                <w:szCs w:val="19"/>
                <w:lang w:val="en-US"/>
              </w:rPr>
              <w:t>aged ≥</w:t>
            </w:r>
            <w:r w:rsidRPr="009C369C">
              <w:rPr>
                <w:rFonts w:cs="Arial"/>
                <w:szCs w:val="19"/>
                <w:lang w:val="en-US"/>
              </w:rPr>
              <w:t>12 years who have previously received a mRNA COVID-19 vaccine</w:t>
            </w:r>
            <w:r>
              <w:rPr>
                <w:rFonts w:cs="Arial"/>
                <w:szCs w:val="19"/>
                <w:lang w:val="en-US"/>
              </w:rPr>
              <w:t xml:space="preserve"> </w:t>
            </w:r>
            <w:r w:rsidRPr="00DA41B2">
              <w:rPr>
                <w:rFonts w:cs="Arial"/>
                <w:sz w:val="16"/>
                <w:szCs w:val="16"/>
                <w:lang w:val="en-US"/>
              </w:rPr>
              <w:t xml:space="preserve">[EU] </w:t>
            </w:r>
          </w:p>
          <w:p w14:paraId="2ED4618C" w14:textId="77777777" w:rsidR="003352EF" w:rsidRDefault="003352EF" w:rsidP="00DF1566">
            <w:pPr>
              <w:tabs>
                <w:tab w:val="num" w:pos="720"/>
                <w:tab w:val="center" w:pos="3152"/>
              </w:tabs>
              <w:rPr>
                <w:rFonts w:cs="Arial"/>
                <w:szCs w:val="19"/>
                <w:lang w:val="en-US"/>
              </w:rPr>
            </w:pPr>
            <w:r w:rsidRPr="00DA41B2">
              <w:rPr>
                <w:rFonts w:cs="Arial"/>
                <w:sz w:val="16"/>
                <w:szCs w:val="16"/>
                <w:lang w:val="en-US"/>
              </w:rPr>
              <w:t xml:space="preserve">[licence change from use only in </w:t>
            </w:r>
            <w:r>
              <w:rPr>
                <w:rFonts w:cs="Arial"/>
                <w:sz w:val="16"/>
                <w:szCs w:val="16"/>
                <w:lang w:val="en-US"/>
              </w:rPr>
              <w:t>people</w:t>
            </w:r>
            <w:r w:rsidRPr="00DA41B2">
              <w:rPr>
                <w:rFonts w:cs="Arial"/>
                <w:sz w:val="16"/>
                <w:szCs w:val="16"/>
                <w:lang w:val="en-US"/>
              </w:rPr>
              <w:t xml:space="preserve"> aged ≥</w:t>
            </w:r>
            <w:r>
              <w:rPr>
                <w:rFonts w:cs="Arial"/>
                <w:sz w:val="16"/>
                <w:szCs w:val="16"/>
                <w:lang w:val="en-US"/>
              </w:rPr>
              <w:t>16</w:t>
            </w:r>
            <w:r w:rsidRPr="00DA41B2">
              <w:rPr>
                <w:rFonts w:cs="Arial"/>
                <w:sz w:val="16"/>
                <w:szCs w:val="16"/>
                <w:lang w:val="en-US"/>
              </w:rPr>
              <w:t xml:space="preserve"> years]</w:t>
            </w:r>
          </w:p>
        </w:tc>
      </w:tr>
      <w:tr w:rsidR="003352EF" w:rsidRPr="00A075A3" w14:paraId="23155976" w14:textId="77777777" w:rsidTr="00DF1566">
        <w:tc>
          <w:tcPr>
            <w:tcW w:w="1293" w:type="pct"/>
            <w:gridSpan w:val="2"/>
            <w:shd w:val="clear" w:color="auto" w:fill="auto"/>
            <w:tcMar>
              <w:top w:w="57" w:type="dxa"/>
              <w:bottom w:w="57" w:type="dxa"/>
            </w:tcMar>
          </w:tcPr>
          <w:p w14:paraId="6B217361" w14:textId="77777777" w:rsidR="003352EF" w:rsidRPr="002618A3" w:rsidRDefault="003352EF" w:rsidP="00DF1566">
            <w:pPr>
              <w:rPr>
                <w:rFonts w:cs="Arial"/>
                <w:szCs w:val="19"/>
              </w:rPr>
            </w:pPr>
            <w:r>
              <w:rPr>
                <w:rFonts w:cs="Arial"/>
                <w:szCs w:val="19"/>
              </w:rPr>
              <w:t>Tezepelumab (</w:t>
            </w:r>
            <w:r>
              <w:rPr>
                <w:rFonts w:cs="Arial"/>
                <w:i/>
                <w:iCs/>
                <w:szCs w:val="19"/>
              </w:rPr>
              <w:t>Tezspire</w:t>
            </w:r>
            <w:r>
              <w:rPr>
                <w:rFonts w:cs="Arial"/>
                <w:szCs w:val="19"/>
              </w:rPr>
              <w:t>)</w:t>
            </w:r>
          </w:p>
        </w:tc>
        <w:tc>
          <w:tcPr>
            <w:tcW w:w="3707" w:type="pct"/>
            <w:shd w:val="clear" w:color="auto" w:fill="auto"/>
            <w:tcMar>
              <w:top w:w="57" w:type="dxa"/>
              <w:bottom w:w="57" w:type="dxa"/>
            </w:tcMar>
          </w:tcPr>
          <w:p w14:paraId="7D5438D6" w14:textId="77777777" w:rsidR="003352EF" w:rsidRDefault="003352EF" w:rsidP="00DF1566">
            <w:pPr>
              <w:tabs>
                <w:tab w:val="num" w:pos="720"/>
                <w:tab w:val="center" w:pos="3152"/>
              </w:tabs>
              <w:rPr>
                <w:rFonts w:cs="Arial"/>
                <w:szCs w:val="19"/>
                <w:lang w:val="en-US"/>
              </w:rPr>
            </w:pPr>
            <w:r>
              <w:rPr>
                <w:rFonts w:cs="Arial"/>
                <w:szCs w:val="19"/>
                <w:lang w:val="en-US"/>
              </w:rPr>
              <w:t xml:space="preserve">Use </w:t>
            </w:r>
            <w:r w:rsidRPr="005278CF">
              <w:rPr>
                <w:rFonts w:cs="Arial"/>
                <w:szCs w:val="19"/>
                <w:lang w:val="en-US"/>
              </w:rPr>
              <w:t>as an add-on therapy with intranasal corticosteroids for the treatment of adults with severe chronic rhinosinusitis with nasal polyps</w:t>
            </w:r>
            <w:r>
              <w:rPr>
                <w:rFonts w:cs="Arial"/>
                <w:szCs w:val="19"/>
                <w:lang w:val="en-US"/>
              </w:rPr>
              <w:t xml:space="preserve"> </w:t>
            </w:r>
            <w:r w:rsidRPr="005278CF">
              <w:rPr>
                <w:rFonts w:cs="Arial"/>
                <w:szCs w:val="19"/>
                <w:lang w:val="en-US"/>
              </w:rPr>
              <w:t>for whom therapy with systemic corticosteroids, and/or surgery do not provide adequate disease control</w:t>
            </w:r>
            <w:r>
              <w:rPr>
                <w:rFonts w:cs="Arial"/>
                <w:szCs w:val="19"/>
                <w:lang w:val="en-US"/>
              </w:rPr>
              <w:t xml:space="preserve"> </w:t>
            </w:r>
            <w:r w:rsidRPr="00552C59">
              <w:rPr>
                <w:rFonts w:cs="Arial"/>
                <w:sz w:val="16"/>
                <w:szCs w:val="16"/>
                <w:lang w:val="en-US"/>
              </w:rPr>
              <w:t>[EU] [new indication]</w:t>
            </w:r>
          </w:p>
        </w:tc>
      </w:tr>
      <w:tr w:rsidR="003352EF" w:rsidRPr="000F19E1" w14:paraId="0384DA9D" w14:textId="77777777" w:rsidTr="00DF1566">
        <w:tc>
          <w:tcPr>
            <w:tcW w:w="1293" w:type="pct"/>
            <w:gridSpan w:val="2"/>
            <w:shd w:val="clear" w:color="auto" w:fill="auto"/>
            <w:tcMar>
              <w:top w:w="0" w:type="dxa"/>
              <w:bottom w:w="0" w:type="dxa"/>
            </w:tcMar>
          </w:tcPr>
          <w:p w14:paraId="0515D71E" w14:textId="77777777" w:rsidR="003352EF" w:rsidRPr="000F19E1" w:rsidRDefault="003352EF" w:rsidP="00DF1566">
            <w:pPr>
              <w:rPr>
                <w:rFonts w:cs="Arial"/>
                <w:bCs/>
                <w:sz w:val="8"/>
                <w:szCs w:val="8"/>
              </w:rPr>
            </w:pPr>
          </w:p>
        </w:tc>
        <w:tc>
          <w:tcPr>
            <w:tcW w:w="3707" w:type="pct"/>
            <w:shd w:val="clear" w:color="auto" w:fill="auto"/>
            <w:tcMar>
              <w:top w:w="0" w:type="dxa"/>
              <w:bottom w:w="0" w:type="dxa"/>
            </w:tcMar>
          </w:tcPr>
          <w:p w14:paraId="31EA45CF" w14:textId="77777777" w:rsidR="003352EF" w:rsidRPr="000F19E1" w:rsidRDefault="003352EF" w:rsidP="00DF1566">
            <w:pPr>
              <w:tabs>
                <w:tab w:val="center" w:pos="3152"/>
              </w:tabs>
              <w:rPr>
                <w:rFonts w:cs="Arial"/>
                <w:sz w:val="8"/>
                <w:szCs w:val="8"/>
                <w:lang w:val="en-US"/>
              </w:rPr>
            </w:pPr>
          </w:p>
        </w:tc>
      </w:tr>
      <w:tr w:rsidR="003352EF" w:rsidRPr="000F19E1" w14:paraId="644A21CD" w14:textId="77777777" w:rsidTr="00DF1566">
        <w:tc>
          <w:tcPr>
            <w:tcW w:w="1152" w:type="pct"/>
            <w:shd w:val="clear" w:color="auto" w:fill="DAEEF3"/>
            <w:tcMar>
              <w:top w:w="0" w:type="dxa"/>
              <w:bottom w:w="0" w:type="dxa"/>
            </w:tcMar>
          </w:tcPr>
          <w:p w14:paraId="1AC3664B" w14:textId="77777777" w:rsidR="003352EF" w:rsidRPr="000F19E1" w:rsidRDefault="003352EF" w:rsidP="00DF1566">
            <w:pPr>
              <w:rPr>
                <w:rFonts w:cs="Arial"/>
                <w:bCs/>
                <w:sz w:val="8"/>
                <w:szCs w:val="8"/>
              </w:rPr>
            </w:pPr>
          </w:p>
        </w:tc>
        <w:tc>
          <w:tcPr>
            <w:tcW w:w="3848" w:type="pct"/>
            <w:gridSpan w:val="2"/>
            <w:shd w:val="clear" w:color="auto" w:fill="DAEEF3"/>
            <w:tcMar>
              <w:top w:w="0" w:type="dxa"/>
              <w:bottom w:w="0" w:type="dxa"/>
            </w:tcMar>
          </w:tcPr>
          <w:p w14:paraId="553819FF" w14:textId="77777777" w:rsidR="003352EF" w:rsidRPr="000F19E1" w:rsidRDefault="003352EF" w:rsidP="00DF1566">
            <w:pPr>
              <w:tabs>
                <w:tab w:val="center" w:pos="3152"/>
              </w:tabs>
              <w:rPr>
                <w:rFonts w:cs="Arial"/>
                <w:sz w:val="8"/>
                <w:szCs w:val="8"/>
                <w:lang w:val="en-US"/>
              </w:rPr>
            </w:pPr>
          </w:p>
        </w:tc>
      </w:tr>
      <w:tr w:rsidR="003352EF" w:rsidRPr="00433D3E" w14:paraId="0E42C706" w14:textId="77777777" w:rsidTr="00DF1566">
        <w:tc>
          <w:tcPr>
            <w:tcW w:w="5000" w:type="pct"/>
            <w:gridSpan w:val="3"/>
            <w:shd w:val="clear" w:color="auto" w:fill="008232"/>
            <w:tcMar>
              <w:top w:w="57" w:type="dxa"/>
              <w:bottom w:w="57" w:type="dxa"/>
            </w:tcMar>
          </w:tcPr>
          <w:p w14:paraId="0AFFB155" w14:textId="77777777" w:rsidR="003352EF" w:rsidRPr="00433D3E" w:rsidRDefault="003352EF" w:rsidP="00DF1566">
            <w:pPr>
              <w:rPr>
                <w:rFonts w:cs="Arial"/>
                <w:noProof/>
                <w:color w:val="FFFFFF"/>
                <w:sz w:val="16"/>
                <w:szCs w:val="16"/>
              </w:rPr>
            </w:pPr>
            <w:r w:rsidRPr="00433D3E">
              <w:rPr>
                <w:rFonts w:cs="Arial"/>
                <w:b/>
                <w:bCs/>
                <w:i/>
                <w:iCs/>
                <w:color w:val="FFFFFF"/>
                <w:sz w:val="22"/>
                <w:szCs w:val="20"/>
                <w:lang w:val="en-US"/>
              </w:rPr>
              <w:t xml:space="preserve">Filed for approval in the </w:t>
            </w:r>
            <w:r>
              <w:rPr>
                <w:rFonts w:cs="Arial"/>
                <w:b/>
                <w:bCs/>
                <w:i/>
                <w:iCs/>
                <w:color w:val="FFFFFF"/>
                <w:sz w:val="22"/>
                <w:szCs w:val="20"/>
                <w:lang w:val="en-US"/>
              </w:rPr>
              <w:t xml:space="preserve">UK or </w:t>
            </w:r>
            <w:r w:rsidRPr="00433D3E">
              <w:rPr>
                <w:rFonts w:cs="Arial"/>
                <w:b/>
                <w:bCs/>
                <w:i/>
                <w:iCs/>
                <w:color w:val="FFFFFF"/>
                <w:sz w:val="22"/>
                <w:szCs w:val="20"/>
                <w:lang w:val="en-US"/>
              </w:rPr>
              <w:t>EU</w:t>
            </w:r>
          </w:p>
        </w:tc>
      </w:tr>
      <w:tr w:rsidR="000F73FC" w:rsidRPr="00A075A3" w14:paraId="6485E863" w14:textId="77777777" w:rsidTr="00DF1566">
        <w:tc>
          <w:tcPr>
            <w:tcW w:w="1293" w:type="pct"/>
            <w:gridSpan w:val="2"/>
            <w:shd w:val="clear" w:color="auto" w:fill="auto"/>
            <w:tcMar>
              <w:top w:w="57" w:type="dxa"/>
              <w:bottom w:w="57" w:type="dxa"/>
            </w:tcMar>
          </w:tcPr>
          <w:p w14:paraId="73D4A52C" w14:textId="24C80D18" w:rsidR="000F73FC" w:rsidRPr="001576F9" w:rsidRDefault="000F73FC" w:rsidP="00DF1566">
            <w:pPr>
              <w:rPr>
                <w:rFonts w:cs="Arial"/>
                <w:szCs w:val="19"/>
              </w:rPr>
            </w:pPr>
            <w:proofErr w:type="spellStart"/>
            <w:r w:rsidRPr="000F73FC">
              <w:rPr>
                <w:rFonts w:cs="Arial"/>
                <w:szCs w:val="19"/>
              </w:rPr>
              <w:t>Arimoclomol</w:t>
            </w:r>
            <w:proofErr w:type="spellEnd"/>
            <w:r>
              <w:rPr>
                <w:rFonts w:cs="Arial"/>
                <w:szCs w:val="19"/>
              </w:rPr>
              <w:t xml:space="preserve"> (</w:t>
            </w:r>
            <w:proofErr w:type="spellStart"/>
            <w:r w:rsidR="001576F9">
              <w:rPr>
                <w:rFonts w:cs="Arial"/>
                <w:i/>
                <w:iCs/>
                <w:szCs w:val="19"/>
              </w:rPr>
              <w:t>Miplyffa</w:t>
            </w:r>
            <w:proofErr w:type="spellEnd"/>
            <w:r w:rsidR="001576F9">
              <w:rPr>
                <w:rFonts w:cs="Arial"/>
                <w:szCs w:val="19"/>
              </w:rPr>
              <w:t>)</w:t>
            </w:r>
          </w:p>
        </w:tc>
        <w:tc>
          <w:tcPr>
            <w:tcW w:w="3707" w:type="pct"/>
            <w:shd w:val="clear" w:color="auto" w:fill="auto"/>
            <w:tcMar>
              <w:top w:w="57" w:type="dxa"/>
              <w:bottom w:w="57" w:type="dxa"/>
            </w:tcMar>
          </w:tcPr>
          <w:p w14:paraId="3FD1891D" w14:textId="0D644765" w:rsidR="000F73FC" w:rsidRDefault="001576F9" w:rsidP="00DF1566">
            <w:pPr>
              <w:tabs>
                <w:tab w:val="center" w:pos="3152"/>
              </w:tabs>
              <w:rPr>
                <w:rFonts w:cs="Arial"/>
                <w:szCs w:val="19"/>
                <w:lang w:val="en-US"/>
              </w:rPr>
            </w:pPr>
            <w:r w:rsidRPr="001576F9">
              <w:rPr>
                <w:rFonts w:cs="Arial"/>
                <w:szCs w:val="19"/>
                <w:lang w:val="en-US"/>
              </w:rPr>
              <w:t xml:space="preserve">Treatment of Niemann-Pick disease type C in patients aged </w:t>
            </w:r>
            <w:r>
              <w:rPr>
                <w:rFonts w:cs="Arial"/>
                <w:szCs w:val="19"/>
                <w:lang w:val="en-US"/>
              </w:rPr>
              <w:t>≥</w:t>
            </w:r>
            <w:r w:rsidRPr="001576F9">
              <w:rPr>
                <w:rFonts w:cs="Arial"/>
                <w:szCs w:val="19"/>
                <w:lang w:val="en-US"/>
              </w:rPr>
              <w:t xml:space="preserve">6 months in combination with </w:t>
            </w:r>
            <w:proofErr w:type="spellStart"/>
            <w:r w:rsidRPr="001576F9">
              <w:rPr>
                <w:rFonts w:cs="Arial"/>
                <w:szCs w:val="19"/>
                <w:lang w:val="en-US"/>
              </w:rPr>
              <w:t>miglustat</w:t>
            </w:r>
            <w:proofErr w:type="spellEnd"/>
            <w:r>
              <w:rPr>
                <w:rFonts w:cs="Arial"/>
                <w:szCs w:val="19"/>
                <w:lang w:val="en-US"/>
              </w:rPr>
              <w:t xml:space="preserve"> </w:t>
            </w:r>
            <w:r w:rsidRPr="009230E4">
              <w:rPr>
                <w:rFonts w:cs="Arial"/>
                <w:sz w:val="16"/>
                <w:szCs w:val="16"/>
                <w:lang w:val="en-US"/>
              </w:rPr>
              <w:t>[EU]</w:t>
            </w:r>
          </w:p>
        </w:tc>
      </w:tr>
      <w:tr w:rsidR="003352EF" w:rsidRPr="00A075A3" w14:paraId="40DF7089" w14:textId="77777777" w:rsidTr="00DF1566">
        <w:tc>
          <w:tcPr>
            <w:tcW w:w="1293" w:type="pct"/>
            <w:gridSpan w:val="2"/>
            <w:shd w:val="clear" w:color="auto" w:fill="auto"/>
            <w:tcMar>
              <w:top w:w="57" w:type="dxa"/>
              <w:bottom w:w="57" w:type="dxa"/>
            </w:tcMar>
          </w:tcPr>
          <w:p w14:paraId="32D9ED0C" w14:textId="77777777" w:rsidR="003352EF" w:rsidRPr="00CA3FEF" w:rsidRDefault="003352EF" w:rsidP="00DF1566">
            <w:pPr>
              <w:rPr>
                <w:rFonts w:cs="Arial"/>
                <w:szCs w:val="19"/>
              </w:rPr>
            </w:pPr>
            <w:r w:rsidRPr="00CA3FEF">
              <w:rPr>
                <w:rFonts w:cs="Arial"/>
                <w:szCs w:val="19"/>
              </w:rPr>
              <w:t>Atezolizumab</w:t>
            </w:r>
            <w:r>
              <w:rPr>
                <w:rFonts w:cs="Arial"/>
                <w:szCs w:val="19"/>
              </w:rPr>
              <w:t xml:space="preserve"> (</w:t>
            </w:r>
            <w:r>
              <w:rPr>
                <w:rFonts w:cs="Arial"/>
                <w:i/>
                <w:iCs/>
                <w:szCs w:val="19"/>
              </w:rPr>
              <w:t>Tecentriq</w:t>
            </w:r>
            <w:r>
              <w:rPr>
                <w:rFonts w:cs="Arial"/>
                <w:szCs w:val="19"/>
              </w:rPr>
              <w:t>)</w:t>
            </w:r>
          </w:p>
        </w:tc>
        <w:tc>
          <w:tcPr>
            <w:tcW w:w="3707" w:type="pct"/>
            <w:shd w:val="clear" w:color="auto" w:fill="auto"/>
            <w:tcMar>
              <w:top w:w="57" w:type="dxa"/>
              <w:bottom w:w="57" w:type="dxa"/>
            </w:tcMar>
          </w:tcPr>
          <w:p w14:paraId="6D67C437" w14:textId="77777777" w:rsidR="003352EF" w:rsidRPr="009C0729" w:rsidRDefault="003352EF" w:rsidP="00DF1566">
            <w:pPr>
              <w:tabs>
                <w:tab w:val="center" w:pos="3152"/>
              </w:tabs>
              <w:rPr>
                <w:rFonts w:cs="Arial"/>
                <w:szCs w:val="19"/>
                <w:lang w:val="en-US"/>
              </w:rPr>
            </w:pPr>
            <w:r>
              <w:rPr>
                <w:rFonts w:cs="Arial"/>
                <w:szCs w:val="19"/>
                <w:lang w:val="en-US"/>
              </w:rPr>
              <w:t>Maintenance treatment with lurbinectedin for extensive-stage s</w:t>
            </w:r>
            <w:r w:rsidRPr="00B61C8C">
              <w:rPr>
                <w:rFonts w:cs="Arial"/>
                <w:szCs w:val="19"/>
                <w:lang w:val="en-US"/>
              </w:rPr>
              <w:t>mall cell lung cancer in adults</w:t>
            </w:r>
            <w:r>
              <w:rPr>
                <w:rFonts w:cs="Arial"/>
                <w:szCs w:val="19"/>
                <w:lang w:val="en-US"/>
              </w:rPr>
              <w:t>,</w:t>
            </w:r>
            <w:r w:rsidRPr="00B61C8C">
              <w:rPr>
                <w:rFonts w:cs="Arial"/>
                <w:szCs w:val="19"/>
                <w:lang w:val="en-US"/>
              </w:rPr>
              <w:t xml:space="preserve"> after first-line chemotherapy</w:t>
            </w:r>
            <w:r>
              <w:rPr>
                <w:rFonts w:cs="Arial"/>
                <w:szCs w:val="19"/>
                <w:lang w:val="en-US"/>
              </w:rPr>
              <w:t xml:space="preserve"> </w:t>
            </w:r>
            <w:r w:rsidRPr="009230E4">
              <w:rPr>
                <w:rFonts w:cs="Arial"/>
                <w:sz w:val="16"/>
                <w:szCs w:val="16"/>
                <w:lang w:val="en-US"/>
              </w:rPr>
              <w:t>[EU]</w:t>
            </w:r>
            <w:r>
              <w:rPr>
                <w:rFonts w:cs="Arial"/>
                <w:sz w:val="16"/>
                <w:szCs w:val="16"/>
                <w:lang w:val="en-US"/>
              </w:rPr>
              <w:t xml:space="preserve"> [new indication]</w:t>
            </w:r>
          </w:p>
        </w:tc>
      </w:tr>
      <w:tr w:rsidR="003352EF" w:rsidRPr="00A075A3" w14:paraId="348B3E28" w14:textId="77777777" w:rsidTr="00DF1566">
        <w:tc>
          <w:tcPr>
            <w:tcW w:w="1293" w:type="pct"/>
            <w:gridSpan w:val="2"/>
            <w:shd w:val="clear" w:color="auto" w:fill="auto"/>
            <w:tcMar>
              <w:top w:w="57" w:type="dxa"/>
              <w:bottom w:w="57" w:type="dxa"/>
            </w:tcMar>
          </w:tcPr>
          <w:p w14:paraId="56ED09AA" w14:textId="77777777" w:rsidR="003352EF" w:rsidRPr="000678A4" w:rsidRDefault="003352EF" w:rsidP="00DF1566">
            <w:pPr>
              <w:rPr>
                <w:rFonts w:cs="Arial"/>
                <w:szCs w:val="19"/>
              </w:rPr>
            </w:pPr>
            <w:r>
              <w:rPr>
                <w:rFonts w:cs="Arial"/>
                <w:szCs w:val="19"/>
              </w:rPr>
              <w:t>Baricitinib (</w:t>
            </w:r>
            <w:r>
              <w:rPr>
                <w:rFonts w:cs="Arial"/>
                <w:i/>
                <w:iCs/>
                <w:szCs w:val="19"/>
              </w:rPr>
              <w:t>Baricitinib Lilly</w:t>
            </w:r>
            <w:r>
              <w:rPr>
                <w:rFonts w:cs="Arial"/>
                <w:szCs w:val="19"/>
              </w:rPr>
              <w:t>)</w:t>
            </w:r>
          </w:p>
        </w:tc>
        <w:tc>
          <w:tcPr>
            <w:tcW w:w="3707" w:type="pct"/>
            <w:shd w:val="clear" w:color="auto" w:fill="auto"/>
            <w:tcMar>
              <w:top w:w="57" w:type="dxa"/>
              <w:bottom w:w="57" w:type="dxa"/>
            </w:tcMar>
          </w:tcPr>
          <w:p w14:paraId="5E98AD0D" w14:textId="77777777" w:rsidR="003352EF" w:rsidRDefault="003352EF" w:rsidP="00DF1566">
            <w:pPr>
              <w:tabs>
                <w:tab w:val="center" w:pos="3152"/>
              </w:tabs>
              <w:rPr>
                <w:rFonts w:cs="Arial"/>
                <w:sz w:val="16"/>
                <w:szCs w:val="16"/>
                <w:lang w:val="en-US"/>
              </w:rPr>
            </w:pPr>
            <w:r w:rsidRPr="009C0729">
              <w:rPr>
                <w:rFonts w:cs="Arial"/>
                <w:szCs w:val="19"/>
                <w:lang w:val="en-US"/>
              </w:rPr>
              <w:t>Treatment of severe alopecia areata</w:t>
            </w:r>
            <w:r>
              <w:rPr>
                <w:rFonts w:cs="Arial"/>
                <w:szCs w:val="19"/>
                <w:lang w:val="en-US"/>
              </w:rPr>
              <w:t xml:space="preserve"> in adults and </w:t>
            </w:r>
            <w:r w:rsidRPr="009C0729">
              <w:rPr>
                <w:rFonts w:cs="Arial"/>
                <w:szCs w:val="19"/>
                <w:lang w:val="en-US"/>
              </w:rPr>
              <w:t>adolescent</w:t>
            </w:r>
            <w:r>
              <w:rPr>
                <w:rFonts w:cs="Arial"/>
                <w:szCs w:val="19"/>
                <w:lang w:val="en-US"/>
              </w:rPr>
              <w:t>s aged ≥</w:t>
            </w:r>
            <w:r w:rsidRPr="009C0729">
              <w:rPr>
                <w:rFonts w:cs="Arial"/>
                <w:szCs w:val="19"/>
                <w:lang w:val="en-US"/>
              </w:rPr>
              <w:t>12 years</w:t>
            </w:r>
            <w:r>
              <w:rPr>
                <w:rFonts w:cs="Arial"/>
                <w:szCs w:val="19"/>
                <w:lang w:val="en-US"/>
              </w:rPr>
              <w:t xml:space="preserve"> </w:t>
            </w:r>
            <w:r w:rsidRPr="009230E4">
              <w:rPr>
                <w:rFonts w:cs="Arial"/>
                <w:sz w:val="16"/>
                <w:szCs w:val="16"/>
                <w:lang w:val="en-US"/>
              </w:rPr>
              <w:t xml:space="preserve">[EU] </w:t>
            </w:r>
          </w:p>
          <w:p w14:paraId="2233B3F3" w14:textId="77777777" w:rsidR="003352EF" w:rsidRDefault="003352EF" w:rsidP="00DF1566">
            <w:pPr>
              <w:tabs>
                <w:tab w:val="center" w:pos="3152"/>
              </w:tabs>
              <w:rPr>
                <w:rFonts w:cs="Arial"/>
                <w:szCs w:val="19"/>
                <w:lang w:val="en-US"/>
              </w:rPr>
            </w:pPr>
            <w:r w:rsidRPr="009230E4">
              <w:rPr>
                <w:rFonts w:cs="Arial"/>
                <w:sz w:val="16"/>
                <w:szCs w:val="16"/>
                <w:lang w:val="en-US"/>
              </w:rPr>
              <w:t>[licence change fr</w:t>
            </w:r>
            <w:r>
              <w:rPr>
                <w:rFonts w:cs="Arial"/>
                <w:sz w:val="16"/>
                <w:szCs w:val="16"/>
                <w:lang w:val="en-US"/>
              </w:rPr>
              <w:t>o</w:t>
            </w:r>
            <w:r w:rsidRPr="009230E4">
              <w:rPr>
                <w:rFonts w:cs="Arial"/>
                <w:sz w:val="16"/>
                <w:szCs w:val="16"/>
                <w:lang w:val="en-US"/>
              </w:rPr>
              <w:t>m use only in adults]</w:t>
            </w:r>
          </w:p>
        </w:tc>
      </w:tr>
      <w:tr w:rsidR="003352EF" w:rsidRPr="00A075A3" w14:paraId="46BCF01B" w14:textId="77777777" w:rsidTr="00DF1566">
        <w:tc>
          <w:tcPr>
            <w:tcW w:w="1293" w:type="pct"/>
            <w:gridSpan w:val="2"/>
            <w:shd w:val="clear" w:color="auto" w:fill="auto"/>
            <w:tcMar>
              <w:top w:w="57" w:type="dxa"/>
              <w:bottom w:w="57" w:type="dxa"/>
            </w:tcMar>
          </w:tcPr>
          <w:p w14:paraId="5CDC45F1" w14:textId="77777777" w:rsidR="003352EF" w:rsidRPr="00D92A82" w:rsidRDefault="003352EF" w:rsidP="00DF1566">
            <w:pPr>
              <w:rPr>
                <w:rFonts w:cs="Arial"/>
                <w:szCs w:val="19"/>
              </w:rPr>
            </w:pPr>
            <w:proofErr w:type="spellStart"/>
            <w:r>
              <w:rPr>
                <w:rFonts w:cs="Arial"/>
                <w:szCs w:val="19"/>
              </w:rPr>
              <w:t>Benralizumab</w:t>
            </w:r>
            <w:proofErr w:type="spellEnd"/>
            <w:r>
              <w:rPr>
                <w:rFonts w:cs="Arial"/>
                <w:szCs w:val="19"/>
              </w:rPr>
              <w:t xml:space="preserve"> (</w:t>
            </w:r>
            <w:r>
              <w:rPr>
                <w:rFonts w:cs="Arial"/>
                <w:i/>
                <w:iCs/>
                <w:szCs w:val="19"/>
              </w:rPr>
              <w:t>Fasenra</w:t>
            </w:r>
            <w:r>
              <w:rPr>
                <w:rFonts w:cs="Arial"/>
                <w:szCs w:val="19"/>
              </w:rPr>
              <w:t>)</w:t>
            </w:r>
          </w:p>
        </w:tc>
        <w:tc>
          <w:tcPr>
            <w:tcW w:w="3707" w:type="pct"/>
            <w:shd w:val="clear" w:color="auto" w:fill="auto"/>
            <w:tcMar>
              <w:top w:w="57" w:type="dxa"/>
              <w:bottom w:w="57" w:type="dxa"/>
            </w:tcMar>
          </w:tcPr>
          <w:p w14:paraId="09741E59" w14:textId="77777777" w:rsidR="003352EF" w:rsidRPr="009C0729" w:rsidRDefault="003352EF" w:rsidP="00DF1566">
            <w:pPr>
              <w:tabs>
                <w:tab w:val="center" w:pos="3152"/>
              </w:tabs>
              <w:rPr>
                <w:rFonts w:cs="Arial"/>
                <w:szCs w:val="19"/>
                <w:lang w:val="en-US"/>
              </w:rPr>
            </w:pPr>
            <w:r w:rsidRPr="00543810">
              <w:rPr>
                <w:rFonts w:cs="Arial"/>
                <w:szCs w:val="19"/>
                <w:lang w:val="en-US"/>
              </w:rPr>
              <w:t xml:space="preserve">Treatment of </w:t>
            </w:r>
            <w:proofErr w:type="spellStart"/>
            <w:r w:rsidRPr="00543810">
              <w:rPr>
                <w:rFonts w:cs="Arial"/>
                <w:szCs w:val="19"/>
                <w:lang w:val="en-US"/>
              </w:rPr>
              <w:t>hypereosinophilic</w:t>
            </w:r>
            <w:proofErr w:type="spellEnd"/>
            <w:r w:rsidRPr="00543810">
              <w:rPr>
                <w:rFonts w:cs="Arial"/>
                <w:szCs w:val="19"/>
                <w:lang w:val="en-US"/>
              </w:rPr>
              <w:t xml:space="preserve"> syndrome </w:t>
            </w:r>
            <w:r>
              <w:rPr>
                <w:rFonts w:cs="Arial"/>
                <w:szCs w:val="19"/>
                <w:lang w:val="en-US"/>
              </w:rPr>
              <w:t xml:space="preserve">in </w:t>
            </w:r>
            <w:r w:rsidRPr="00543810">
              <w:rPr>
                <w:rFonts w:cs="Arial"/>
                <w:szCs w:val="19"/>
                <w:lang w:val="en-US"/>
              </w:rPr>
              <w:t xml:space="preserve">adults and adolescents </w:t>
            </w:r>
            <w:r>
              <w:rPr>
                <w:rFonts w:cs="Arial"/>
                <w:szCs w:val="19"/>
                <w:lang w:val="en-US"/>
              </w:rPr>
              <w:t>aged ≥</w:t>
            </w:r>
            <w:r w:rsidRPr="009C0729">
              <w:rPr>
                <w:rFonts w:cs="Arial"/>
                <w:szCs w:val="19"/>
                <w:lang w:val="en-US"/>
              </w:rPr>
              <w:t>12 years</w:t>
            </w:r>
            <w:r>
              <w:rPr>
                <w:rFonts w:cs="Arial"/>
                <w:szCs w:val="19"/>
                <w:lang w:val="en-US"/>
              </w:rPr>
              <w:t xml:space="preserve"> </w:t>
            </w:r>
            <w:r w:rsidRPr="00543810">
              <w:rPr>
                <w:rFonts w:cs="Arial"/>
                <w:sz w:val="16"/>
                <w:szCs w:val="16"/>
                <w:lang w:val="en-US"/>
              </w:rPr>
              <w:t>[EU] [new indication]</w:t>
            </w:r>
          </w:p>
        </w:tc>
      </w:tr>
      <w:tr w:rsidR="003352EF" w:rsidRPr="00A075A3" w14:paraId="3C05E374" w14:textId="77777777" w:rsidTr="00DF1566">
        <w:tc>
          <w:tcPr>
            <w:tcW w:w="1293" w:type="pct"/>
            <w:gridSpan w:val="2"/>
            <w:shd w:val="clear" w:color="auto" w:fill="auto"/>
            <w:tcMar>
              <w:top w:w="57" w:type="dxa"/>
              <w:bottom w:w="57" w:type="dxa"/>
            </w:tcMar>
          </w:tcPr>
          <w:p w14:paraId="5954295A" w14:textId="77777777" w:rsidR="003352EF" w:rsidRPr="008A7095" w:rsidRDefault="003352EF" w:rsidP="00DF1566">
            <w:pPr>
              <w:rPr>
                <w:rFonts w:cs="Arial"/>
                <w:szCs w:val="19"/>
              </w:rPr>
            </w:pPr>
            <w:r>
              <w:rPr>
                <w:rFonts w:cs="Arial"/>
                <w:szCs w:val="19"/>
              </w:rPr>
              <w:t>Capivasertib (</w:t>
            </w:r>
            <w:r>
              <w:rPr>
                <w:rFonts w:cs="Arial"/>
                <w:i/>
                <w:iCs/>
                <w:szCs w:val="19"/>
              </w:rPr>
              <w:t>Truqap</w:t>
            </w:r>
            <w:r>
              <w:rPr>
                <w:rFonts w:cs="Arial"/>
                <w:szCs w:val="19"/>
              </w:rPr>
              <w:t>)</w:t>
            </w:r>
          </w:p>
        </w:tc>
        <w:tc>
          <w:tcPr>
            <w:tcW w:w="3707" w:type="pct"/>
            <w:shd w:val="clear" w:color="auto" w:fill="auto"/>
            <w:tcMar>
              <w:top w:w="57" w:type="dxa"/>
              <w:bottom w:w="57" w:type="dxa"/>
            </w:tcMar>
          </w:tcPr>
          <w:p w14:paraId="0CC350F8" w14:textId="77777777" w:rsidR="003352EF" w:rsidRPr="00543810" w:rsidRDefault="003352EF" w:rsidP="00DF1566">
            <w:pPr>
              <w:tabs>
                <w:tab w:val="center" w:pos="3152"/>
              </w:tabs>
              <w:rPr>
                <w:rFonts w:cs="Arial"/>
                <w:szCs w:val="19"/>
                <w:lang w:val="en-US"/>
              </w:rPr>
            </w:pPr>
            <w:r w:rsidRPr="002A09AC">
              <w:rPr>
                <w:rFonts w:cs="Arial"/>
                <w:szCs w:val="19"/>
                <w:lang w:val="en-US"/>
              </w:rPr>
              <w:t xml:space="preserve">Use in combination with abiraterone for the treatment of metastatic castration-sensitive prostate cancer </w:t>
            </w:r>
            <w:proofErr w:type="spellStart"/>
            <w:r w:rsidRPr="002A09AC">
              <w:rPr>
                <w:rFonts w:cs="Arial"/>
                <w:szCs w:val="19"/>
                <w:lang w:val="en-US"/>
              </w:rPr>
              <w:t>characteri</w:t>
            </w:r>
            <w:r>
              <w:rPr>
                <w:rFonts w:cs="Arial"/>
                <w:szCs w:val="19"/>
                <w:lang w:val="en-US"/>
              </w:rPr>
              <w:t>s</w:t>
            </w:r>
            <w:r w:rsidRPr="002A09AC">
              <w:rPr>
                <w:rFonts w:cs="Arial"/>
                <w:szCs w:val="19"/>
                <w:lang w:val="en-US"/>
              </w:rPr>
              <w:t>ed</w:t>
            </w:r>
            <w:proofErr w:type="spellEnd"/>
            <w:r w:rsidRPr="002A09AC">
              <w:rPr>
                <w:rFonts w:cs="Arial"/>
                <w:szCs w:val="19"/>
                <w:lang w:val="en-US"/>
              </w:rPr>
              <w:t xml:space="preserve"> by PTEN</w:t>
            </w:r>
            <w:r>
              <w:rPr>
                <w:rFonts w:cs="Arial"/>
                <w:szCs w:val="19"/>
                <w:lang w:val="en-US"/>
              </w:rPr>
              <w:t>-</w:t>
            </w:r>
            <w:r w:rsidRPr="002A09AC">
              <w:rPr>
                <w:rFonts w:cs="Arial"/>
                <w:szCs w:val="19"/>
                <w:lang w:val="en-US"/>
              </w:rPr>
              <w:t xml:space="preserve">deficient </w:t>
            </w:r>
            <w:proofErr w:type="spellStart"/>
            <w:r w:rsidRPr="002A09AC">
              <w:rPr>
                <w:rFonts w:cs="Arial"/>
                <w:szCs w:val="19"/>
                <w:lang w:val="en-US"/>
              </w:rPr>
              <w:t>tumours</w:t>
            </w:r>
            <w:proofErr w:type="spellEnd"/>
            <w:r>
              <w:rPr>
                <w:rFonts w:cs="Arial"/>
                <w:szCs w:val="19"/>
                <w:lang w:val="en-US"/>
              </w:rPr>
              <w:t xml:space="preserve"> </w:t>
            </w:r>
            <w:r w:rsidRPr="00543810">
              <w:rPr>
                <w:rFonts w:cs="Arial"/>
                <w:sz w:val="16"/>
                <w:szCs w:val="16"/>
                <w:lang w:val="en-US"/>
              </w:rPr>
              <w:t>[EU] [new indication]</w:t>
            </w:r>
          </w:p>
        </w:tc>
      </w:tr>
      <w:tr w:rsidR="003352EF" w:rsidRPr="00A075A3" w14:paraId="0DFCA415" w14:textId="77777777" w:rsidTr="00DF1566">
        <w:tc>
          <w:tcPr>
            <w:tcW w:w="1293" w:type="pct"/>
            <w:gridSpan w:val="2"/>
            <w:shd w:val="clear" w:color="auto" w:fill="auto"/>
            <w:tcMar>
              <w:top w:w="57" w:type="dxa"/>
              <w:bottom w:w="57" w:type="dxa"/>
            </w:tcMar>
          </w:tcPr>
          <w:p w14:paraId="48F3BD2B" w14:textId="77777777" w:rsidR="003352EF" w:rsidRPr="003A547D" w:rsidRDefault="003352EF" w:rsidP="00DF1566">
            <w:pPr>
              <w:rPr>
                <w:rFonts w:cs="Arial"/>
                <w:szCs w:val="19"/>
              </w:rPr>
            </w:pPr>
            <w:r>
              <w:rPr>
                <w:rFonts w:cs="Arial"/>
                <w:szCs w:val="19"/>
              </w:rPr>
              <w:t>Dabrafenib (</w:t>
            </w:r>
            <w:proofErr w:type="spellStart"/>
            <w:r>
              <w:rPr>
                <w:rFonts w:cs="Arial"/>
                <w:i/>
                <w:iCs/>
                <w:szCs w:val="19"/>
              </w:rPr>
              <w:t>Tafinlar</w:t>
            </w:r>
            <w:proofErr w:type="spellEnd"/>
            <w:r>
              <w:rPr>
                <w:rFonts w:cs="Arial"/>
                <w:szCs w:val="19"/>
              </w:rPr>
              <w:t>)</w:t>
            </w:r>
          </w:p>
        </w:tc>
        <w:tc>
          <w:tcPr>
            <w:tcW w:w="3707" w:type="pct"/>
            <w:shd w:val="clear" w:color="auto" w:fill="auto"/>
            <w:tcMar>
              <w:top w:w="57" w:type="dxa"/>
              <w:bottom w:w="57" w:type="dxa"/>
            </w:tcMar>
          </w:tcPr>
          <w:p w14:paraId="49AD0744" w14:textId="77777777" w:rsidR="003352EF" w:rsidRDefault="003352EF" w:rsidP="00DF1566">
            <w:pPr>
              <w:tabs>
                <w:tab w:val="center" w:pos="3152"/>
              </w:tabs>
              <w:rPr>
                <w:rFonts w:cs="Arial"/>
                <w:szCs w:val="19"/>
                <w:lang w:val="en-US"/>
              </w:rPr>
            </w:pPr>
            <w:r>
              <w:rPr>
                <w:rFonts w:cs="Arial"/>
                <w:szCs w:val="19"/>
                <w:lang w:val="en-US"/>
              </w:rPr>
              <w:t xml:space="preserve">Use </w:t>
            </w:r>
            <w:r w:rsidRPr="00F75A67">
              <w:rPr>
                <w:rFonts w:cs="Arial"/>
                <w:szCs w:val="19"/>
                <w:lang w:val="en-US"/>
              </w:rPr>
              <w:t>as monotherapy or in combination with trametinib for the treatment of adult</w:t>
            </w:r>
            <w:r>
              <w:rPr>
                <w:rFonts w:cs="Arial"/>
                <w:szCs w:val="19"/>
                <w:lang w:val="en-US"/>
              </w:rPr>
              <w:t>s and adolescents aged ≥12 years</w:t>
            </w:r>
            <w:r w:rsidRPr="00F75A67">
              <w:rPr>
                <w:rFonts w:cs="Arial"/>
                <w:szCs w:val="19"/>
                <w:lang w:val="en-US"/>
              </w:rPr>
              <w:t xml:space="preserve"> with unresectable or metastatic melanoma with a BRAF V600 mutation</w:t>
            </w:r>
            <w:r>
              <w:rPr>
                <w:rFonts w:cs="Arial"/>
                <w:szCs w:val="19"/>
                <w:lang w:val="en-US"/>
              </w:rPr>
              <w:t>, and use</w:t>
            </w:r>
            <w:r w:rsidRPr="00F75A67">
              <w:rPr>
                <w:rFonts w:cs="Arial"/>
                <w:szCs w:val="19"/>
                <w:lang w:val="en-US"/>
              </w:rPr>
              <w:t xml:space="preserve"> in combination with trametinib for the adjuvant treatment of adult</w:t>
            </w:r>
            <w:r>
              <w:rPr>
                <w:rFonts w:cs="Arial"/>
                <w:szCs w:val="19"/>
                <w:lang w:val="en-US"/>
              </w:rPr>
              <w:t>s and adolescents aged ≥12 years</w:t>
            </w:r>
            <w:r w:rsidRPr="00F75A67">
              <w:rPr>
                <w:rFonts w:cs="Arial"/>
                <w:szCs w:val="19"/>
                <w:lang w:val="en-US"/>
              </w:rPr>
              <w:t xml:space="preserve"> with Stage III melanoma with a BRAF V600 mutation, following complete resection</w:t>
            </w:r>
            <w:r>
              <w:rPr>
                <w:rFonts w:cs="Arial"/>
                <w:szCs w:val="19"/>
                <w:lang w:val="en-US"/>
              </w:rPr>
              <w:t xml:space="preserve"> </w:t>
            </w:r>
            <w:r w:rsidRPr="00F75A67">
              <w:rPr>
                <w:rFonts w:cs="Arial"/>
                <w:sz w:val="16"/>
                <w:szCs w:val="16"/>
                <w:lang w:val="en-US"/>
              </w:rPr>
              <w:t>[EU] [</w:t>
            </w:r>
            <w:proofErr w:type="spellStart"/>
            <w:r w:rsidRPr="00F75A67">
              <w:rPr>
                <w:rFonts w:cs="Arial"/>
                <w:sz w:val="16"/>
                <w:szCs w:val="16"/>
                <w:lang w:val="en-US"/>
              </w:rPr>
              <w:t>licence</w:t>
            </w:r>
            <w:proofErr w:type="spellEnd"/>
            <w:r w:rsidRPr="00F75A67">
              <w:rPr>
                <w:rFonts w:cs="Arial"/>
                <w:sz w:val="16"/>
                <w:szCs w:val="16"/>
                <w:lang w:val="en-US"/>
              </w:rPr>
              <w:t xml:space="preserve"> change from use only in adults]</w:t>
            </w:r>
          </w:p>
        </w:tc>
      </w:tr>
      <w:tr w:rsidR="00991169" w:rsidRPr="00A075A3" w14:paraId="5BCB2AF3" w14:textId="77777777" w:rsidTr="00DF1566">
        <w:tc>
          <w:tcPr>
            <w:tcW w:w="1293" w:type="pct"/>
            <w:gridSpan w:val="2"/>
            <w:shd w:val="clear" w:color="auto" w:fill="auto"/>
            <w:tcMar>
              <w:top w:w="57" w:type="dxa"/>
              <w:bottom w:w="57" w:type="dxa"/>
            </w:tcMar>
          </w:tcPr>
          <w:p w14:paraId="55D3D288" w14:textId="0493699B" w:rsidR="00991169" w:rsidRDefault="00991169" w:rsidP="00991169">
            <w:pPr>
              <w:rPr>
                <w:rFonts w:cs="Arial"/>
                <w:szCs w:val="19"/>
              </w:rPr>
            </w:pPr>
            <w:r>
              <w:rPr>
                <w:rFonts w:cs="Arial"/>
                <w:szCs w:val="19"/>
              </w:rPr>
              <w:t>Durvalumab (</w:t>
            </w:r>
            <w:r>
              <w:rPr>
                <w:rFonts w:cs="Arial"/>
                <w:i/>
                <w:iCs/>
                <w:szCs w:val="19"/>
              </w:rPr>
              <w:t>Imfinzi</w:t>
            </w:r>
            <w:r>
              <w:rPr>
                <w:rFonts w:cs="Arial"/>
                <w:szCs w:val="19"/>
              </w:rPr>
              <w:t>)</w:t>
            </w:r>
          </w:p>
        </w:tc>
        <w:tc>
          <w:tcPr>
            <w:tcW w:w="3707" w:type="pct"/>
            <w:shd w:val="clear" w:color="auto" w:fill="auto"/>
            <w:tcMar>
              <w:top w:w="57" w:type="dxa"/>
              <w:bottom w:w="57" w:type="dxa"/>
            </w:tcMar>
          </w:tcPr>
          <w:p w14:paraId="3A409CC6" w14:textId="2646FFE8" w:rsidR="00991169" w:rsidRDefault="00991169" w:rsidP="00991169">
            <w:pPr>
              <w:tabs>
                <w:tab w:val="center" w:pos="3152"/>
              </w:tabs>
              <w:rPr>
                <w:rFonts w:cs="Arial"/>
                <w:szCs w:val="19"/>
                <w:lang w:val="en-US"/>
              </w:rPr>
            </w:pPr>
            <w:r>
              <w:rPr>
                <w:rFonts w:cs="Arial"/>
                <w:szCs w:val="19"/>
                <w:lang w:val="en-US"/>
              </w:rPr>
              <w:t xml:space="preserve">Use </w:t>
            </w:r>
            <w:proofErr w:type="spellStart"/>
            <w:r>
              <w:rPr>
                <w:rFonts w:cs="Arial"/>
                <w:szCs w:val="19"/>
                <w:lang w:val="en-US"/>
              </w:rPr>
              <w:t>i</w:t>
            </w:r>
            <w:r w:rsidRPr="00EA250D">
              <w:rPr>
                <w:rFonts w:cs="Arial"/>
                <w:szCs w:val="19"/>
              </w:rPr>
              <w:t>n</w:t>
            </w:r>
            <w:proofErr w:type="spellEnd"/>
            <w:r w:rsidRPr="00EA250D">
              <w:rPr>
                <w:rFonts w:cs="Arial"/>
                <w:szCs w:val="19"/>
              </w:rPr>
              <w:t xml:space="preserve"> combination with Bacillus Calmette-Guérin (BCG) for the treatment of adults with BCG-naive, high-risk non-muscle-invasive bladder cancer</w:t>
            </w:r>
            <w:r>
              <w:rPr>
                <w:rFonts w:cs="Arial"/>
                <w:szCs w:val="19"/>
              </w:rPr>
              <w:t xml:space="preserve"> </w:t>
            </w:r>
            <w:r w:rsidRPr="00FD2359">
              <w:rPr>
                <w:rFonts w:cs="Arial"/>
                <w:sz w:val="16"/>
                <w:szCs w:val="16"/>
                <w:lang w:val="en-US"/>
              </w:rPr>
              <w:t>[EU] [new indication]</w:t>
            </w:r>
          </w:p>
        </w:tc>
      </w:tr>
      <w:tr w:rsidR="00991169" w:rsidRPr="00A075A3" w14:paraId="754599FE" w14:textId="77777777" w:rsidTr="00DF1566">
        <w:tc>
          <w:tcPr>
            <w:tcW w:w="1293" w:type="pct"/>
            <w:gridSpan w:val="2"/>
            <w:shd w:val="clear" w:color="auto" w:fill="auto"/>
            <w:tcMar>
              <w:top w:w="57" w:type="dxa"/>
              <w:bottom w:w="57" w:type="dxa"/>
            </w:tcMar>
          </w:tcPr>
          <w:p w14:paraId="1C3B9002" w14:textId="0CD41B49" w:rsidR="00991169" w:rsidRDefault="00991169" w:rsidP="00991169">
            <w:pPr>
              <w:rPr>
                <w:rFonts w:cs="Arial"/>
                <w:szCs w:val="19"/>
              </w:rPr>
            </w:pPr>
            <w:r>
              <w:rPr>
                <w:rFonts w:cs="Arial"/>
                <w:szCs w:val="19"/>
              </w:rPr>
              <w:t>Durvalumab (</w:t>
            </w:r>
            <w:r>
              <w:rPr>
                <w:rFonts w:cs="Arial"/>
                <w:i/>
                <w:iCs/>
                <w:szCs w:val="19"/>
              </w:rPr>
              <w:t>Imfinzi</w:t>
            </w:r>
            <w:r>
              <w:rPr>
                <w:rFonts w:cs="Arial"/>
                <w:szCs w:val="19"/>
              </w:rPr>
              <w:t>)</w:t>
            </w:r>
          </w:p>
        </w:tc>
        <w:tc>
          <w:tcPr>
            <w:tcW w:w="3707" w:type="pct"/>
            <w:shd w:val="clear" w:color="auto" w:fill="auto"/>
            <w:tcMar>
              <w:top w:w="57" w:type="dxa"/>
              <w:bottom w:w="57" w:type="dxa"/>
            </w:tcMar>
          </w:tcPr>
          <w:p w14:paraId="34106D80" w14:textId="4027753E" w:rsidR="00991169" w:rsidRDefault="00991169" w:rsidP="00991169">
            <w:pPr>
              <w:tabs>
                <w:tab w:val="center" w:pos="3152"/>
              </w:tabs>
              <w:rPr>
                <w:rFonts w:cs="Arial"/>
                <w:szCs w:val="19"/>
                <w:lang w:val="en-US"/>
              </w:rPr>
            </w:pPr>
            <w:r>
              <w:rPr>
                <w:rFonts w:cs="Arial"/>
                <w:szCs w:val="19"/>
                <w:lang w:val="en-US"/>
              </w:rPr>
              <w:t>Use i</w:t>
            </w:r>
            <w:r w:rsidRPr="00FD2359">
              <w:rPr>
                <w:rFonts w:cs="Arial"/>
                <w:szCs w:val="19"/>
                <w:lang w:val="en-US"/>
              </w:rPr>
              <w:t xml:space="preserve">n combination with FLOT chemotherapy as neoadjuvant and adjuvant treatment, followed by adjuvant </w:t>
            </w:r>
            <w:r w:rsidRPr="00FD2359">
              <w:rPr>
                <w:rFonts w:cs="Arial"/>
                <w:i/>
                <w:iCs/>
                <w:szCs w:val="19"/>
                <w:lang w:val="en-US"/>
              </w:rPr>
              <w:t>Imfinzi</w:t>
            </w:r>
            <w:r w:rsidRPr="00FD2359">
              <w:rPr>
                <w:rFonts w:cs="Arial"/>
                <w:szCs w:val="19"/>
                <w:lang w:val="en-US"/>
              </w:rPr>
              <w:t xml:space="preserve"> monotherapy, for the treatment of adults with </w:t>
            </w:r>
            <w:proofErr w:type="spellStart"/>
            <w:r w:rsidRPr="00FD2359">
              <w:rPr>
                <w:rFonts w:cs="Arial"/>
                <w:szCs w:val="19"/>
                <w:lang w:val="en-US"/>
              </w:rPr>
              <w:t>resectable</w:t>
            </w:r>
            <w:proofErr w:type="spellEnd"/>
            <w:r w:rsidRPr="00FD2359">
              <w:rPr>
                <w:rFonts w:cs="Arial"/>
                <w:szCs w:val="19"/>
                <w:lang w:val="en-US"/>
              </w:rPr>
              <w:t xml:space="preserve"> gastric or gastro-</w:t>
            </w:r>
            <w:proofErr w:type="spellStart"/>
            <w:r w:rsidRPr="00FD2359">
              <w:rPr>
                <w:rFonts w:cs="Arial"/>
                <w:szCs w:val="19"/>
                <w:lang w:val="en-US"/>
              </w:rPr>
              <w:t>oesophageal</w:t>
            </w:r>
            <w:proofErr w:type="spellEnd"/>
            <w:r w:rsidRPr="00FD2359">
              <w:rPr>
                <w:rFonts w:cs="Arial"/>
                <w:szCs w:val="19"/>
                <w:lang w:val="en-US"/>
              </w:rPr>
              <w:t xml:space="preserve"> junction adenocarcinoma</w:t>
            </w:r>
            <w:r>
              <w:rPr>
                <w:rFonts w:cs="Arial"/>
                <w:szCs w:val="19"/>
                <w:lang w:val="en-US"/>
              </w:rPr>
              <w:t xml:space="preserve"> </w:t>
            </w:r>
            <w:r w:rsidRPr="00FD2359">
              <w:rPr>
                <w:rFonts w:cs="Arial"/>
                <w:sz w:val="16"/>
                <w:szCs w:val="16"/>
                <w:lang w:val="en-US"/>
              </w:rPr>
              <w:t>[EU] [new indication]</w:t>
            </w:r>
          </w:p>
        </w:tc>
      </w:tr>
      <w:tr w:rsidR="00991169" w:rsidRPr="00A075A3" w14:paraId="5213A66D" w14:textId="77777777" w:rsidTr="00DF1566">
        <w:tc>
          <w:tcPr>
            <w:tcW w:w="1293" w:type="pct"/>
            <w:gridSpan w:val="2"/>
            <w:shd w:val="clear" w:color="auto" w:fill="auto"/>
            <w:tcMar>
              <w:top w:w="57" w:type="dxa"/>
              <w:bottom w:w="57" w:type="dxa"/>
            </w:tcMar>
          </w:tcPr>
          <w:p w14:paraId="0A31A4F4" w14:textId="44C9AE6E" w:rsidR="00991169" w:rsidRDefault="00991169" w:rsidP="00991169">
            <w:pPr>
              <w:rPr>
                <w:rFonts w:cs="Arial"/>
                <w:szCs w:val="19"/>
              </w:rPr>
            </w:pPr>
            <w:proofErr w:type="spellStart"/>
            <w:r w:rsidRPr="005804AB">
              <w:rPr>
                <w:rFonts w:cs="Arial"/>
                <w:szCs w:val="19"/>
              </w:rPr>
              <w:t>Ensifentrine</w:t>
            </w:r>
            <w:proofErr w:type="spellEnd"/>
            <w:r>
              <w:rPr>
                <w:rFonts w:cs="Arial"/>
                <w:szCs w:val="19"/>
              </w:rPr>
              <w:t xml:space="preserve"> (</w:t>
            </w:r>
            <w:proofErr w:type="spellStart"/>
            <w:r w:rsidRPr="00F24EBD">
              <w:rPr>
                <w:rFonts w:cs="Arial"/>
                <w:i/>
                <w:iCs/>
                <w:szCs w:val="19"/>
              </w:rPr>
              <w:t>Ohtuvayre</w:t>
            </w:r>
            <w:proofErr w:type="spellEnd"/>
            <w:r>
              <w:rPr>
                <w:rFonts w:cs="Arial"/>
                <w:szCs w:val="19"/>
              </w:rPr>
              <w:t>)</w:t>
            </w:r>
          </w:p>
        </w:tc>
        <w:tc>
          <w:tcPr>
            <w:tcW w:w="3707" w:type="pct"/>
            <w:shd w:val="clear" w:color="auto" w:fill="auto"/>
            <w:tcMar>
              <w:top w:w="57" w:type="dxa"/>
              <w:bottom w:w="57" w:type="dxa"/>
            </w:tcMar>
          </w:tcPr>
          <w:p w14:paraId="2D91EBE6" w14:textId="083582D0" w:rsidR="00991169" w:rsidRDefault="00991169" w:rsidP="00991169">
            <w:pPr>
              <w:tabs>
                <w:tab w:val="center" w:pos="3152"/>
              </w:tabs>
              <w:rPr>
                <w:rFonts w:cs="Arial"/>
                <w:szCs w:val="19"/>
                <w:lang w:val="en-US"/>
              </w:rPr>
            </w:pPr>
            <w:r w:rsidRPr="00433AC0">
              <w:rPr>
                <w:rFonts w:cs="Arial"/>
                <w:szCs w:val="19"/>
                <w:lang w:val="en-US"/>
              </w:rPr>
              <w:t>Maintenance treatment in symptomatic adults with chronic obstructive pulmonary disease</w:t>
            </w:r>
            <w:r>
              <w:rPr>
                <w:rFonts w:cs="Arial"/>
                <w:szCs w:val="19"/>
                <w:lang w:val="en-US"/>
              </w:rPr>
              <w:t xml:space="preserve"> </w:t>
            </w:r>
            <w:r w:rsidRPr="007B788E">
              <w:rPr>
                <w:rFonts w:cs="Arial"/>
                <w:sz w:val="16"/>
                <w:szCs w:val="16"/>
                <w:lang w:val="en-US"/>
              </w:rPr>
              <w:t>[</w:t>
            </w:r>
            <w:r>
              <w:rPr>
                <w:rFonts w:cs="Arial"/>
                <w:sz w:val="16"/>
                <w:szCs w:val="16"/>
                <w:lang w:val="en-US"/>
              </w:rPr>
              <w:t xml:space="preserve">UK and </w:t>
            </w:r>
            <w:r w:rsidRPr="007B788E">
              <w:rPr>
                <w:rFonts w:cs="Arial"/>
                <w:sz w:val="16"/>
                <w:szCs w:val="16"/>
                <w:lang w:val="en-US"/>
              </w:rPr>
              <w:t>EU]</w:t>
            </w:r>
          </w:p>
        </w:tc>
      </w:tr>
      <w:tr w:rsidR="00991169" w:rsidRPr="00A075A3" w14:paraId="3AF7EA9B" w14:textId="77777777" w:rsidTr="00DF1566">
        <w:tc>
          <w:tcPr>
            <w:tcW w:w="1293" w:type="pct"/>
            <w:gridSpan w:val="2"/>
            <w:shd w:val="clear" w:color="auto" w:fill="auto"/>
            <w:tcMar>
              <w:top w:w="57" w:type="dxa"/>
              <w:bottom w:w="57" w:type="dxa"/>
            </w:tcMar>
          </w:tcPr>
          <w:p w14:paraId="56E49590" w14:textId="07E818AB" w:rsidR="00991169" w:rsidRDefault="00991169" w:rsidP="00991169">
            <w:pPr>
              <w:rPr>
                <w:rFonts w:cs="Arial"/>
                <w:szCs w:val="19"/>
              </w:rPr>
            </w:pPr>
            <w:r w:rsidRPr="008826D0">
              <w:rPr>
                <w:rFonts w:cs="Arial"/>
                <w:szCs w:val="19"/>
              </w:rPr>
              <w:t>Ferric citrate coordination complex </w:t>
            </w:r>
            <w:r>
              <w:rPr>
                <w:rFonts w:cs="Arial"/>
                <w:szCs w:val="19"/>
              </w:rPr>
              <w:t>(</w:t>
            </w:r>
            <w:proofErr w:type="spellStart"/>
            <w:r w:rsidRPr="009B02D6">
              <w:rPr>
                <w:rFonts w:cs="Arial"/>
                <w:i/>
                <w:iCs/>
                <w:szCs w:val="19"/>
              </w:rPr>
              <w:t>Xoanacyl</w:t>
            </w:r>
            <w:proofErr w:type="spellEnd"/>
            <w:r>
              <w:rPr>
                <w:rFonts w:cs="Arial"/>
                <w:szCs w:val="19"/>
              </w:rPr>
              <w:t>)</w:t>
            </w:r>
          </w:p>
        </w:tc>
        <w:tc>
          <w:tcPr>
            <w:tcW w:w="3707" w:type="pct"/>
            <w:shd w:val="clear" w:color="auto" w:fill="auto"/>
            <w:tcMar>
              <w:top w:w="57" w:type="dxa"/>
              <w:bottom w:w="57" w:type="dxa"/>
            </w:tcMar>
          </w:tcPr>
          <w:p w14:paraId="1A4A99B8" w14:textId="6E0706F3" w:rsidR="00991169" w:rsidRDefault="00991169" w:rsidP="00991169">
            <w:pPr>
              <w:tabs>
                <w:tab w:val="center" w:pos="3152"/>
              </w:tabs>
              <w:rPr>
                <w:rFonts w:cs="Arial"/>
                <w:szCs w:val="19"/>
                <w:lang w:val="en-US"/>
              </w:rPr>
            </w:pPr>
            <w:r>
              <w:rPr>
                <w:rFonts w:cs="Arial"/>
                <w:szCs w:val="19"/>
                <w:lang w:val="en-US"/>
              </w:rPr>
              <w:t xml:space="preserve">Treatment of </w:t>
            </w:r>
            <w:proofErr w:type="spellStart"/>
            <w:r>
              <w:rPr>
                <w:rFonts w:cs="Arial"/>
                <w:szCs w:val="19"/>
                <w:lang w:val="en-US"/>
              </w:rPr>
              <w:t>h</w:t>
            </w:r>
            <w:r w:rsidRPr="00DB5393">
              <w:rPr>
                <w:rFonts w:cs="Arial"/>
                <w:szCs w:val="19"/>
                <w:lang w:val="en-US"/>
              </w:rPr>
              <w:t>yperphosphataemia</w:t>
            </w:r>
            <w:proofErr w:type="spellEnd"/>
            <w:r w:rsidRPr="00DB5393">
              <w:rPr>
                <w:rFonts w:cs="Arial"/>
                <w:szCs w:val="19"/>
                <w:lang w:val="en-US"/>
              </w:rPr>
              <w:t xml:space="preserve"> </w:t>
            </w:r>
            <w:r w:rsidRPr="00DB5393">
              <w:rPr>
                <w:rFonts w:cs="Arial"/>
                <w:szCs w:val="19"/>
                <w:lang w:val="en-US"/>
              </w:rPr>
              <w:tab/>
              <w:t>and concomitant iron deficiency</w:t>
            </w:r>
            <w:r>
              <w:rPr>
                <w:rFonts w:cs="Arial"/>
                <w:szCs w:val="19"/>
                <w:lang w:val="en-US"/>
              </w:rPr>
              <w:t xml:space="preserve"> </w:t>
            </w:r>
            <w:r w:rsidRPr="00DB5393">
              <w:rPr>
                <w:rFonts w:cs="Arial"/>
                <w:szCs w:val="19"/>
                <w:lang w:val="en-US"/>
              </w:rPr>
              <w:t>in adults with chronic kidney disease</w:t>
            </w:r>
            <w:r>
              <w:rPr>
                <w:rFonts w:cs="Arial"/>
                <w:szCs w:val="19"/>
                <w:lang w:val="en-US"/>
              </w:rPr>
              <w:t xml:space="preserve"> </w:t>
            </w:r>
            <w:r w:rsidRPr="00DB5393">
              <w:rPr>
                <w:rFonts w:cs="Arial"/>
                <w:sz w:val="16"/>
                <w:szCs w:val="16"/>
                <w:lang w:val="en-US"/>
              </w:rPr>
              <w:t>[UK]</w:t>
            </w:r>
            <w:r>
              <w:rPr>
                <w:rFonts w:cs="Arial"/>
                <w:sz w:val="16"/>
                <w:szCs w:val="16"/>
                <w:lang w:val="en-US"/>
              </w:rPr>
              <w:t xml:space="preserve"> </w:t>
            </w:r>
            <w:r>
              <w:rPr>
                <w:rFonts w:cs="Arial"/>
                <w:i/>
                <w:iCs/>
                <w:sz w:val="16"/>
                <w:szCs w:val="16"/>
                <w:lang w:val="en-US"/>
              </w:rPr>
              <w:t>Note: Already licensed in EU</w:t>
            </w:r>
          </w:p>
        </w:tc>
      </w:tr>
      <w:tr w:rsidR="00991169" w:rsidRPr="00A075A3" w14:paraId="5DC27D91" w14:textId="77777777" w:rsidTr="00DF1566">
        <w:tc>
          <w:tcPr>
            <w:tcW w:w="1293" w:type="pct"/>
            <w:gridSpan w:val="2"/>
            <w:shd w:val="clear" w:color="auto" w:fill="auto"/>
            <w:tcMar>
              <w:top w:w="57" w:type="dxa"/>
              <w:bottom w:w="57" w:type="dxa"/>
            </w:tcMar>
          </w:tcPr>
          <w:p w14:paraId="53F01014" w14:textId="1EA28646" w:rsidR="00991169" w:rsidRDefault="00991169" w:rsidP="00991169">
            <w:pPr>
              <w:rPr>
                <w:rFonts w:cs="Arial"/>
                <w:szCs w:val="19"/>
              </w:rPr>
            </w:pPr>
            <w:r>
              <w:rPr>
                <w:rFonts w:cs="Arial"/>
                <w:szCs w:val="19"/>
              </w:rPr>
              <w:t>Ferric maltol (</w:t>
            </w:r>
            <w:proofErr w:type="spellStart"/>
            <w:r>
              <w:rPr>
                <w:rFonts w:cs="Arial"/>
                <w:i/>
                <w:iCs/>
                <w:szCs w:val="19"/>
              </w:rPr>
              <w:t>Feraccru</w:t>
            </w:r>
            <w:proofErr w:type="spellEnd"/>
            <w:r>
              <w:rPr>
                <w:rFonts w:cs="Arial"/>
                <w:szCs w:val="19"/>
              </w:rPr>
              <w:t>)</w:t>
            </w:r>
          </w:p>
        </w:tc>
        <w:tc>
          <w:tcPr>
            <w:tcW w:w="3707" w:type="pct"/>
            <w:shd w:val="clear" w:color="auto" w:fill="auto"/>
            <w:tcMar>
              <w:top w:w="57" w:type="dxa"/>
              <w:bottom w:w="57" w:type="dxa"/>
            </w:tcMar>
          </w:tcPr>
          <w:p w14:paraId="3BA5ABF4" w14:textId="5C05F7C8" w:rsidR="00991169" w:rsidRDefault="00991169" w:rsidP="00991169">
            <w:pPr>
              <w:tabs>
                <w:tab w:val="center" w:pos="3152"/>
              </w:tabs>
              <w:rPr>
                <w:rFonts w:cs="Arial"/>
                <w:szCs w:val="19"/>
                <w:lang w:val="en-US"/>
              </w:rPr>
            </w:pPr>
            <w:r>
              <w:rPr>
                <w:rFonts w:cs="Arial"/>
                <w:szCs w:val="19"/>
                <w:lang w:val="en-US"/>
              </w:rPr>
              <w:t xml:space="preserve">Use </w:t>
            </w:r>
            <w:r w:rsidRPr="0006490C">
              <w:rPr>
                <w:rFonts w:cs="Arial"/>
                <w:szCs w:val="19"/>
                <w:lang w:val="en-US"/>
              </w:rPr>
              <w:t xml:space="preserve">in adults </w:t>
            </w:r>
            <w:r>
              <w:rPr>
                <w:rFonts w:cs="Arial"/>
                <w:szCs w:val="19"/>
                <w:lang w:val="en-US"/>
              </w:rPr>
              <w:t xml:space="preserve">and adolescents aged ≥12 years </w:t>
            </w:r>
            <w:r w:rsidRPr="0006490C">
              <w:rPr>
                <w:rFonts w:cs="Arial"/>
                <w:szCs w:val="19"/>
                <w:lang w:val="en-US"/>
              </w:rPr>
              <w:t>for the treatment of iron deficiency</w:t>
            </w:r>
            <w:r>
              <w:rPr>
                <w:rFonts w:cs="Arial"/>
                <w:szCs w:val="19"/>
                <w:lang w:val="en-US"/>
              </w:rPr>
              <w:t xml:space="preserve"> </w:t>
            </w:r>
            <w:r w:rsidRPr="00D21799">
              <w:rPr>
                <w:rFonts w:cs="Arial"/>
                <w:sz w:val="16"/>
                <w:szCs w:val="16"/>
                <w:lang w:val="en-US"/>
              </w:rPr>
              <w:t xml:space="preserve">[EU] [licence change from use only in </w:t>
            </w:r>
            <w:r>
              <w:rPr>
                <w:rFonts w:cs="Arial"/>
                <w:sz w:val="16"/>
                <w:szCs w:val="16"/>
                <w:lang w:val="en-US"/>
              </w:rPr>
              <w:t>adults</w:t>
            </w:r>
            <w:r w:rsidRPr="00D21799">
              <w:rPr>
                <w:rFonts w:cs="Arial"/>
                <w:sz w:val="16"/>
                <w:szCs w:val="16"/>
                <w:lang w:val="en-US"/>
              </w:rPr>
              <w:t>]</w:t>
            </w:r>
          </w:p>
        </w:tc>
      </w:tr>
      <w:tr w:rsidR="00991169" w:rsidRPr="00A075A3" w14:paraId="50CA7867" w14:textId="77777777" w:rsidTr="00DF1566">
        <w:tc>
          <w:tcPr>
            <w:tcW w:w="1293" w:type="pct"/>
            <w:gridSpan w:val="2"/>
            <w:shd w:val="clear" w:color="auto" w:fill="auto"/>
            <w:tcMar>
              <w:top w:w="57" w:type="dxa"/>
              <w:bottom w:w="57" w:type="dxa"/>
            </w:tcMar>
          </w:tcPr>
          <w:p w14:paraId="533EF388" w14:textId="77777777" w:rsidR="00991169" w:rsidRDefault="00991169" w:rsidP="00991169">
            <w:pPr>
              <w:rPr>
                <w:rFonts w:cs="Arial"/>
                <w:szCs w:val="19"/>
              </w:rPr>
            </w:pPr>
            <w:r w:rsidRPr="00A40E07">
              <w:rPr>
                <w:rFonts w:cs="Arial"/>
                <w:szCs w:val="19"/>
              </w:rPr>
              <w:t>Formoterol + glycopyrronium + budesonide </w:t>
            </w:r>
          </w:p>
          <w:p w14:paraId="4B7534DA" w14:textId="3C67DAAA" w:rsidR="00991169" w:rsidRDefault="00991169" w:rsidP="00991169">
            <w:pPr>
              <w:rPr>
                <w:rFonts w:cs="Arial"/>
                <w:szCs w:val="19"/>
              </w:rPr>
            </w:pPr>
            <w:r>
              <w:rPr>
                <w:rFonts w:cs="Arial"/>
                <w:szCs w:val="19"/>
              </w:rPr>
              <w:t>(</w:t>
            </w:r>
            <w:proofErr w:type="spellStart"/>
            <w:r>
              <w:rPr>
                <w:rFonts w:cs="Arial"/>
                <w:i/>
                <w:iCs/>
                <w:szCs w:val="19"/>
              </w:rPr>
              <w:t>Trixeo</w:t>
            </w:r>
            <w:proofErr w:type="spellEnd"/>
            <w:r>
              <w:rPr>
                <w:rFonts w:cs="Arial"/>
                <w:i/>
                <w:iCs/>
                <w:szCs w:val="19"/>
              </w:rPr>
              <w:t xml:space="preserve"> Ae</w:t>
            </w:r>
            <w:r w:rsidR="000B7DAF">
              <w:rPr>
                <w:rFonts w:cs="Arial"/>
                <w:i/>
                <w:iCs/>
                <w:szCs w:val="19"/>
              </w:rPr>
              <w:t>r</w:t>
            </w:r>
            <w:r>
              <w:rPr>
                <w:rFonts w:cs="Arial"/>
                <w:i/>
                <w:iCs/>
                <w:szCs w:val="19"/>
              </w:rPr>
              <w:t>osphere</w:t>
            </w:r>
            <w:r>
              <w:rPr>
                <w:rFonts w:cs="Arial"/>
                <w:szCs w:val="19"/>
              </w:rPr>
              <w:t>)</w:t>
            </w:r>
          </w:p>
        </w:tc>
        <w:tc>
          <w:tcPr>
            <w:tcW w:w="3707" w:type="pct"/>
            <w:shd w:val="clear" w:color="auto" w:fill="auto"/>
            <w:tcMar>
              <w:top w:w="57" w:type="dxa"/>
              <w:bottom w:w="57" w:type="dxa"/>
            </w:tcMar>
          </w:tcPr>
          <w:p w14:paraId="6A7976AB" w14:textId="0717CF87" w:rsidR="00991169" w:rsidRDefault="00991169" w:rsidP="00991169">
            <w:pPr>
              <w:tabs>
                <w:tab w:val="center" w:pos="3152"/>
              </w:tabs>
              <w:rPr>
                <w:rFonts w:cs="Arial"/>
                <w:szCs w:val="19"/>
                <w:lang w:val="en-US"/>
              </w:rPr>
            </w:pPr>
            <w:r w:rsidRPr="008D650A">
              <w:rPr>
                <w:rFonts w:cs="Arial"/>
                <w:szCs w:val="19"/>
                <w:lang w:val="en-US"/>
              </w:rPr>
              <w:t xml:space="preserve">Maintenance treatment of asthma in patients </w:t>
            </w:r>
            <w:r>
              <w:rPr>
                <w:rFonts w:cs="Arial"/>
                <w:szCs w:val="19"/>
                <w:lang w:val="en-US"/>
              </w:rPr>
              <w:t>aged ≥</w:t>
            </w:r>
            <w:r w:rsidRPr="008D650A">
              <w:rPr>
                <w:rFonts w:cs="Arial"/>
                <w:szCs w:val="19"/>
                <w:lang w:val="en-US"/>
              </w:rPr>
              <w:t>12 years who are not adequately controlled by a combination of a medium or high dose inhaled corticosteroid and a long-acting beta2-agonist</w:t>
            </w:r>
            <w:r>
              <w:rPr>
                <w:rFonts w:cs="Arial"/>
                <w:szCs w:val="19"/>
                <w:lang w:val="en-US"/>
              </w:rPr>
              <w:t xml:space="preserve"> </w:t>
            </w:r>
            <w:r w:rsidRPr="008D650A">
              <w:rPr>
                <w:rFonts w:cs="Arial"/>
                <w:sz w:val="16"/>
                <w:szCs w:val="16"/>
                <w:lang w:val="en-US"/>
              </w:rPr>
              <w:t>[EU] [</w:t>
            </w:r>
            <w:r>
              <w:rPr>
                <w:rFonts w:cs="Arial"/>
                <w:sz w:val="16"/>
                <w:szCs w:val="16"/>
                <w:lang w:val="en-US"/>
              </w:rPr>
              <w:t>new indication</w:t>
            </w:r>
            <w:r w:rsidRPr="008D650A">
              <w:rPr>
                <w:rFonts w:cs="Arial"/>
                <w:sz w:val="16"/>
                <w:szCs w:val="16"/>
                <w:lang w:val="en-US"/>
              </w:rPr>
              <w:t xml:space="preserve"> and new </w:t>
            </w:r>
            <w:r>
              <w:rPr>
                <w:rFonts w:cs="Arial"/>
                <w:sz w:val="16"/>
                <w:szCs w:val="16"/>
                <w:lang w:val="en-US"/>
              </w:rPr>
              <w:t>higher</w:t>
            </w:r>
            <w:r w:rsidRPr="008D650A">
              <w:rPr>
                <w:rFonts w:cs="Arial"/>
                <w:sz w:val="16"/>
                <w:szCs w:val="16"/>
                <w:lang w:val="en-US"/>
              </w:rPr>
              <w:t xml:space="preserve"> strength formulation]</w:t>
            </w:r>
          </w:p>
        </w:tc>
      </w:tr>
      <w:tr w:rsidR="00991169" w:rsidRPr="00A075A3" w14:paraId="1AAECB35" w14:textId="77777777" w:rsidTr="00DF1566">
        <w:tc>
          <w:tcPr>
            <w:tcW w:w="1293" w:type="pct"/>
            <w:gridSpan w:val="2"/>
            <w:shd w:val="clear" w:color="auto" w:fill="auto"/>
            <w:tcMar>
              <w:top w:w="57" w:type="dxa"/>
              <w:bottom w:w="57" w:type="dxa"/>
            </w:tcMar>
          </w:tcPr>
          <w:p w14:paraId="0279F20C" w14:textId="378121E5" w:rsidR="00991169" w:rsidRDefault="00991169" w:rsidP="00991169">
            <w:pPr>
              <w:rPr>
                <w:rFonts w:cs="Arial"/>
                <w:szCs w:val="19"/>
              </w:rPr>
            </w:pPr>
            <w:r w:rsidRPr="008A32DB">
              <w:rPr>
                <w:rFonts w:cs="Arial"/>
                <w:szCs w:val="19"/>
              </w:rPr>
              <w:t>Hydrocortisone</w:t>
            </w:r>
            <w:r>
              <w:rPr>
                <w:rFonts w:cs="Arial"/>
                <w:szCs w:val="19"/>
              </w:rPr>
              <w:t xml:space="preserve"> (</w:t>
            </w:r>
            <w:proofErr w:type="spellStart"/>
            <w:r>
              <w:rPr>
                <w:rFonts w:cs="Arial"/>
                <w:i/>
                <w:iCs/>
                <w:szCs w:val="19"/>
              </w:rPr>
              <w:t>Efmody</w:t>
            </w:r>
            <w:proofErr w:type="spellEnd"/>
            <w:r>
              <w:rPr>
                <w:rFonts w:cs="Arial"/>
                <w:szCs w:val="19"/>
              </w:rPr>
              <w:t>)</w:t>
            </w:r>
          </w:p>
        </w:tc>
        <w:tc>
          <w:tcPr>
            <w:tcW w:w="3707" w:type="pct"/>
            <w:shd w:val="clear" w:color="auto" w:fill="auto"/>
            <w:tcMar>
              <w:top w:w="57" w:type="dxa"/>
              <w:bottom w:w="57" w:type="dxa"/>
            </w:tcMar>
          </w:tcPr>
          <w:p w14:paraId="6FFE1C57" w14:textId="77777777" w:rsidR="00991169" w:rsidRDefault="00991169" w:rsidP="00991169">
            <w:pPr>
              <w:tabs>
                <w:tab w:val="center" w:pos="3152"/>
              </w:tabs>
              <w:rPr>
                <w:rFonts w:cs="Arial"/>
                <w:sz w:val="16"/>
                <w:szCs w:val="16"/>
                <w:lang w:val="en-US"/>
              </w:rPr>
            </w:pPr>
            <w:r w:rsidRPr="00603A9B">
              <w:rPr>
                <w:rFonts w:cs="Arial"/>
                <w:szCs w:val="19"/>
                <w:lang w:val="en-US"/>
              </w:rPr>
              <w:t xml:space="preserve">Treatment of adrenal insufficiency in </w:t>
            </w:r>
            <w:r>
              <w:rPr>
                <w:rFonts w:cs="Arial"/>
                <w:szCs w:val="19"/>
                <w:lang w:val="en-US"/>
              </w:rPr>
              <w:t xml:space="preserve">adults and </w:t>
            </w:r>
            <w:r w:rsidRPr="00603A9B">
              <w:rPr>
                <w:rFonts w:cs="Arial"/>
                <w:szCs w:val="19"/>
                <w:lang w:val="en-US"/>
              </w:rPr>
              <w:t xml:space="preserve">adolescents aged </w:t>
            </w:r>
            <w:r>
              <w:rPr>
                <w:rFonts w:cs="Arial"/>
                <w:szCs w:val="19"/>
                <w:lang w:val="en-US"/>
              </w:rPr>
              <w:t>≥</w:t>
            </w:r>
            <w:r w:rsidRPr="00603A9B">
              <w:rPr>
                <w:rFonts w:cs="Arial"/>
                <w:szCs w:val="19"/>
                <w:lang w:val="en-US"/>
              </w:rPr>
              <w:t xml:space="preserve">12 years </w:t>
            </w:r>
            <w:r w:rsidRPr="00256394">
              <w:rPr>
                <w:rFonts w:cs="Arial"/>
                <w:sz w:val="16"/>
                <w:szCs w:val="16"/>
                <w:lang w:val="en-US"/>
              </w:rPr>
              <w:t xml:space="preserve">[EU] </w:t>
            </w:r>
          </w:p>
          <w:p w14:paraId="1B4755AF" w14:textId="029220C2" w:rsidR="00991169" w:rsidRDefault="00991169" w:rsidP="00991169">
            <w:pPr>
              <w:tabs>
                <w:tab w:val="center" w:pos="3152"/>
              </w:tabs>
              <w:rPr>
                <w:rFonts w:cs="Arial"/>
                <w:szCs w:val="19"/>
                <w:lang w:val="en-US"/>
              </w:rPr>
            </w:pPr>
            <w:r w:rsidRPr="00256394">
              <w:rPr>
                <w:rFonts w:cs="Arial"/>
                <w:sz w:val="16"/>
                <w:szCs w:val="16"/>
                <w:lang w:val="en-US"/>
              </w:rPr>
              <w:t>[</w:t>
            </w:r>
            <w:r>
              <w:rPr>
                <w:rFonts w:cs="Arial"/>
                <w:sz w:val="16"/>
                <w:szCs w:val="16"/>
                <w:lang w:val="en-US"/>
              </w:rPr>
              <w:t>new indication</w:t>
            </w:r>
            <w:r w:rsidRPr="00256394">
              <w:rPr>
                <w:rFonts w:cs="Arial"/>
                <w:sz w:val="16"/>
                <w:szCs w:val="16"/>
                <w:lang w:val="en-US"/>
              </w:rPr>
              <w:t>]</w:t>
            </w:r>
          </w:p>
        </w:tc>
      </w:tr>
      <w:tr w:rsidR="00991169" w:rsidRPr="00A075A3" w14:paraId="1E657E96" w14:textId="77777777" w:rsidTr="00DF1566">
        <w:tc>
          <w:tcPr>
            <w:tcW w:w="1293" w:type="pct"/>
            <w:gridSpan w:val="2"/>
            <w:shd w:val="clear" w:color="auto" w:fill="auto"/>
            <w:tcMar>
              <w:top w:w="57" w:type="dxa"/>
              <w:bottom w:w="57" w:type="dxa"/>
            </w:tcMar>
          </w:tcPr>
          <w:p w14:paraId="3EB67650" w14:textId="3AFF5C5D" w:rsidR="00991169" w:rsidRDefault="00991169" w:rsidP="00991169">
            <w:pPr>
              <w:rPr>
                <w:rFonts w:cs="Arial"/>
                <w:szCs w:val="19"/>
              </w:rPr>
            </w:pPr>
            <w:proofErr w:type="spellStart"/>
            <w:r>
              <w:rPr>
                <w:rFonts w:cs="Arial"/>
                <w:szCs w:val="19"/>
              </w:rPr>
              <w:t>Inclisiran</w:t>
            </w:r>
            <w:proofErr w:type="spellEnd"/>
            <w:r>
              <w:rPr>
                <w:rFonts w:cs="Arial"/>
                <w:szCs w:val="19"/>
              </w:rPr>
              <w:t xml:space="preserve"> (</w:t>
            </w:r>
            <w:proofErr w:type="spellStart"/>
            <w:r>
              <w:rPr>
                <w:rFonts w:cs="Arial"/>
                <w:i/>
                <w:iCs/>
                <w:szCs w:val="19"/>
              </w:rPr>
              <w:t>Leqvio</w:t>
            </w:r>
            <w:proofErr w:type="spellEnd"/>
            <w:r>
              <w:rPr>
                <w:rFonts w:cs="Arial"/>
                <w:szCs w:val="19"/>
              </w:rPr>
              <w:t>)</w:t>
            </w:r>
          </w:p>
        </w:tc>
        <w:tc>
          <w:tcPr>
            <w:tcW w:w="3707" w:type="pct"/>
            <w:shd w:val="clear" w:color="auto" w:fill="auto"/>
            <w:tcMar>
              <w:top w:w="57" w:type="dxa"/>
              <w:bottom w:w="57" w:type="dxa"/>
            </w:tcMar>
          </w:tcPr>
          <w:p w14:paraId="78E5AE88" w14:textId="718723DE" w:rsidR="00991169" w:rsidRDefault="00991169" w:rsidP="00991169">
            <w:pPr>
              <w:tabs>
                <w:tab w:val="center" w:pos="3152"/>
              </w:tabs>
              <w:rPr>
                <w:rFonts w:cs="Arial"/>
                <w:szCs w:val="19"/>
                <w:lang w:val="en-US"/>
              </w:rPr>
            </w:pPr>
            <w:r w:rsidRPr="0021731D">
              <w:rPr>
                <w:rFonts w:cs="Arial"/>
                <w:szCs w:val="19"/>
                <w:lang w:val="en-US"/>
              </w:rPr>
              <w:t xml:space="preserve">Treatment of paediatric patients aged 12 to </w:t>
            </w:r>
            <w:r>
              <w:rPr>
                <w:rFonts w:cs="Arial"/>
                <w:szCs w:val="19"/>
                <w:lang w:val="en-US"/>
              </w:rPr>
              <w:t xml:space="preserve">17 </w:t>
            </w:r>
            <w:r w:rsidRPr="0021731D">
              <w:rPr>
                <w:rFonts w:cs="Arial"/>
                <w:szCs w:val="19"/>
                <w:lang w:val="en-US"/>
              </w:rPr>
              <w:t xml:space="preserve">years with heterozygous familial </w:t>
            </w:r>
            <w:proofErr w:type="spellStart"/>
            <w:r w:rsidRPr="0021731D">
              <w:rPr>
                <w:rFonts w:cs="Arial"/>
                <w:szCs w:val="19"/>
                <w:lang w:val="en-US"/>
              </w:rPr>
              <w:t>hypercholesterolaemia</w:t>
            </w:r>
            <w:proofErr w:type="spellEnd"/>
            <w:r w:rsidRPr="0021731D">
              <w:rPr>
                <w:rFonts w:cs="Arial"/>
                <w:szCs w:val="19"/>
                <w:lang w:val="en-US"/>
              </w:rPr>
              <w:t xml:space="preserve"> </w:t>
            </w:r>
            <w:r>
              <w:rPr>
                <w:rFonts w:cs="Arial"/>
                <w:szCs w:val="19"/>
                <w:lang w:val="en-US"/>
              </w:rPr>
              <w:t xml:space="preserve">and </w:t>
            </w:r>
            <w:r w:rsidRPr="0021731D">
              <w:rPr>
                <w:rFonts w:cs="Arial"/>
                <w:szCs w:val="19"/>
                <w:lang w:val="en-US"/>
              </w:rPr>
              <w:t xml:space="preserve">treatment of paediatric patients aged 12 to </w:t>
            </w:r>
            <w:r>
              <w:rPr>
                <w:rFonts w:cs="Arial"/>
                <w:szCs w:val="19"/>
                <w:lang w:val="en-US"/>
              </w:rPr>
              <w:t>17 y</w:t>
            </w:r>
            <w:r w:rsidRPr="0021731D">
              <w:rPr>
                <w:rFonts w:cs="Arial"/>
                <w:szCs w:val="19"/>
                <w:lang w:val="en-US"/>
              </w:rPr>
              <w:t xml:space="preserve">ears with homozygous familial </w:t>
            </w:r>
            <w:proofErr w:type="spellStart"/>
            <w:r w:rsidRPr="0021731D">
              <w:rPr>
                <w:rFonts w:cs="Arial"/>
                <w:szCs w:val="19"/>
                <w:lang w:val="en-US"/>
              </w:rPr>
              <w:t>hypercholesterolaemia</w:t>
            </w:r>
            <w:proofErr w:type="spellEnd"/>
            <w:r>
              <w:rPr>
                <w:rFonts w:cs="Arial"/>
                <w:szCs w:val="19"/>
                <w:lang w:val="en-US"/>
              </w:rPr>
              <w:t xml:space="preserve"> </w:t>
            </w:r>
            <w:r w:rsidRPr="00256394">
              <w:rPr>
                <w:rFonts w:cs="Arial"/>
                <w:sz w:val="16"/>
                <w:szCs w:val="16"/>
                <w:lang w:val="en-US"/>
              </w:rPr>
              <w:t>[EU] [</w:t>
            </w:r>
            <w:r>
              <w:rPr>
                <w:rFonts w:cs="Arial"/>
                <w:sz w:val="16"/>
                <w:szCs w:val="16"/>
                <w:lang w:val="en-US"/>
              </w:rPr>
              <w:t>new indications</w:t>
            </w:r>
            <w:r w:rsidRPr="00256394">
              <w:rPr>
                <w:rFonts w:cs="Arial"/>
                <w:sz w:val="16"/>
                <w:szCs w:val="16"/>
                <w:lang w:val="en-US"/>
              </w:rPr>
              <w:t>]</w:t>
            </w:r>
          </w:p>
        </w:tc>
      </w:tr>
      <w:tr w:rsidR="00991169" w:rsidRPr="00A075A3" w14:paraId="70F02149" w14:textId="77777777" w:rsidTr="00DF1566">
        <w:tc>
          <w:tcPr>
            <w:tcW w:w="1293" w:type="pct"/>
            <w:gridSpan w:val="2"/>
            <w:shd w:val="clear" w:color="auto" w:fill="auto"/>
            <w:tcMar>
              <w:top w:w="57" w:type="dxa"/>
              <w:bottom w:w="57" w:type="dxa"/>
            </w:tcMar>
          </w:tcPr>
          <w:p w14:paraId="04828DC8" w14:textId="4C55B428" w:rsidR="00991169" w:rsidRDefault="00991169" w:rsidP="00991169">
            <w:pPr>
              <w:rPr>
                <w:rFonts w:cs="Arial"/>
                <w:szCs w:val="19"/>
              </w:rPr>
            </w:pPr>
            <w:r w:rsidRPr="00C205E9">
              <w:rPr>
                <w:rFonts w:cs="Arial"/>
                <w:szCs w:val="19"/>
              </w:rPr>
              <w:t xml:space="preserve">Insulin </w:t>
            </w:r>
            <w:proofErr w:type="spellStart"/>
            <w:r w:rsidRPr="00C205E9">
              <w:rPr>
                <w:rFonts w:cs="Arial"/>
                <w:szCs w:val="19"/>
              </w:rPr>
              <w:t>efsitora</w:t>
            </w:r>
            <w:proofErr w:type="spellEnd"/>
            <w:r w:rsidRPr="00C205E9">
              <w:rPr>
                <w:rFonts w:cs="Arial"/>
                <w:szCs w:val="19"/>
              </w:rPr>
              <w:t xml:space="preserve"> alfa</w:t>
            </w:r>
          </w:p>
        </w:tc>
        <w:tc>
          <w:tcPr>
            <w:tcW w:w="3707" w:type="pct"/>
            <w:shd w:val="clear" w:color="auto" w:fill="auto"/>
            <w:tcMar>
              <w:top w:w="57" w:type="dxa"/>
              <w:bottom w:w="57" w:type="dxa"/>
            </w:tcMar>
          </w:tcPr>
          <w:p w14:paraId="1F85F40C" w14:textId="0EED333B" w:rsidR="00991169" w:rsidRPr="0021731D" w:rsidRDefault="00991169" w:rsidP="00991169">
            <w:pPr>
              <w:tabs>
                <w:tab w:val="center" w:pos="3152"/>
              </w:tabs>
              <w:rPr>
                <w:rFonts w:cs="Arial"/>
                <w:szCs w:val="19"/>
                <w:lang w:val="en-US"/>
              </w:rPr>
            </w:pPr>
            <w:r>
              <w:rPr>
                <w:rFonts w:cs="Arial"/>
                <w:szCs w:val="19"/>
                <w:lang w:val="en-US"/>
              </w:rPr>
              <w:t xml:space="preserve">Treatment of type 2 diabetes mellitus in adults </w:t>
            </w:r>
            <w:r w:rsidRPr="005538B1">
              <w:rPr>
                <w:rFonts w:cs="Arial"/>
                <w:sz w:val="16"/>
                <w:szCs w:val="16"/>
                <w:lang w:val="en-US"/>
              </w:rPr>
              <w:t>[EU]</w:t>
            </w:r>
          </w:p>
        </w:tc>
      </w:tr>
      <w:tr w:rsidR="00DE7866" w:rsidRPr="00A075A3" w14:paraId="2408313A" w14:textId="77777777" w:rsidTr="00DF1566">
        <w:tc>
          <w:tcPr>
            <w:tcW w:w="1293" w:type="pct"/>
            <w:gridSpan w:val="2"/>
            <w:shd w:val="clear" w:color="auto" w:fill="auto"/>
            <w:tcMar>
              <w:top w:w="57" w:type="dxa"/>
              <w:bottom w:w="57" w:type="dxa"/>
            </w:tcMar>
          </w:tcPr>
          <w:p w14:paraId="1973A17F" w14:textId="6520AFCF" w:rsidR="00DE7866" w:rsidRPr="00C205E9" w:rsidRDefault="00DE7866" w:rsidP="00DE7866">
            <w:pPr>
              <w:rPr>
                <w:rFonts w:cs="Arial"/>
                <w:szCs w:val="19"/>
              </w:rPr>
            </w:pPr>
            <w:r w:rsidRPr="003800C4">
              <w:rPr>
                <w:rFonts w:cs="Arial"/>
                <w:szCs w:val="19"/>
              </w:rPr>
              <w:t>Lurbinectedin</w:t>
            </w:r>
            <w:r>
              <w:rPr>
                <w:rFonts w:cs="Arial"/>
                <w:szCs w:val="19"/>
              </w:rPr>
              <w:t xml:space="preserve"> (</w:t>
            </w:r>
            <w:proofErr w:type="spellStart"/>
            <w:r>
              <w:rPr>
                <w:rFonts w:cs="Arial"/>
                <w:i/>
                <w:iCs/>
                <w:szCs w:val="19"/>
              </w:rPr>
              <w:t>Zep</w:t>
            </w:r>
            <w:r w:rsidR="000B7DAF">
              <w:rPr>
                <w:rFonts w:cs="Arial"/>
                <w:i/>
                <w:iCs/>
                <w:szCs w:val="19"/>
              </w:rPr>
              <w:t>z</w:t>
            </w:r>
            <w:r>
              <w:rPr>
                <w:rFonts w:cs="Arial"/>
                <w:i/>
                <w:iCs/>
                <w:szCs w:val="19"/>
              </w:rPr>
              <w:t>elca</w:t>
            </w:r>
            <w:proofErr w:type="spellEnd"/>
            <w:r>
              <w:rPr>
                <w:rFonts w:cs="Arial"/>
                <w:szCs w:val="19"/>
              </w:rPr>
              <w:t>)</w:t>
            </w:r>
          </w:p>
        </w:tc>
        <w:tc>
          <w:tcPr>
            <w:tcW w:w="3707" w:type="pct"/>
            <w:shd w:val="clear" w:color="auto" w:fill="auto"/>
            <w:tcMar>
              <w:top w:w="57" w:type="dxa"/>
              <w:bottom w:w="57" w:type="dxa"/>
            </w:tcMar>
          </w:tcPr>
          <w:p w14:paraId="04073851" w14:textId="33D7BAAC" w:rsidR="00DE7866" w:rsidRDefault="00DE7866" w:rsidP="00DE7866">
            <w:pPr>
              <w:tabs>
                <w:tab w:val="center" w:pos="3152"/>
              </w:tabs>
              <w:rPr>
                <w:rFonts w:cs="Arial"/>
                <w:szCs w:val="19"/>
                <w:lang w:val="en-US"/>
              </w:rPr>
            </w:pPr>
            <w:r>
              <w:rPr>
                <w:rFonts w:cs="Arial"/>
                <w:szCs w:val="19"/>
                <w:lang w:val="en-US"/>
              </w:rPr>
              <w:t>Maintenance treatment with atezolizumab for extensive-stage s</w:t>
            </w:r>
            <w:r w:rsidRPr="00B61C8C">
              <w:rPr>
                <w:rFonts w:cs="Arial"/>
                <w:szCs w:val="19"/>
                <w:lang w:val="en-US"/>
              </w:rPr>
              <w:t>mall cell lung cancer in adults</w:t>
            </w:r>
            <w:r>
              <w:rPr>
                <w:rFonts w:cs="Arial"/>
                <w:szCs w:val="19"/>
                <w:lang w:val="en-US"/>
              </w:rPr>
              <w:t>,</w:t>
            </w:r>
            <w:r w:rsidRPr="00B61C8C">
              <w:rPr>
                <w:rFonts w:cs="Arial"/>
                <w:szCs w:val="19"/>
                <w:lang w:val="en-US"/>
              </w:rPr>
              <w:t xml:space="preserve"> after first-line chemotherapy</w:t>
            </w:r>
            <w:r>
              <w:rPr>
                <w:rFonts w:cs="Arial"/>
                <w:szCs w:val="19"/>
                <w:lang w:val="en-US"/>
              </w:rPr>
              <w:t xml:space="preserve"> </w:t>
            </w:r>
            <w:r w:rsidRPr="009230E4">
              <w:rPr>
                <w:rFonts w:cs="Arial"/>
                <w:sz w:val="16"/>
                <w:szCs w:val="16"/>
                <w:lang w:val="en-US"/>
              </w:rPr>
              <w:t>[EU]</w:t>
            </w:r>
          </w:p>
        </w:tc>
      </w:tr>
      <w:tr w:rsidR="00DE7866" w:rsidRPr="000F19E1" w14:paraId="1159DB8B" w14:textId="77777777" w:rsidTr="00DF1566">
        <w:tc>
          <w:tcPr>
            <w:tcW w:w="1293" w:type="pct"/>
            <w:gridSpan w:val="2"/>
            <w:shd w:val="clear" w:color="auto" w:fill="auto"/>
            <w:tcMar>
              <w:top w:w="0" w:type="dxa"/>
              <w:bottom w:w="0" w:type="dxa"/>
            </w:tcMar>
          </w:tcPr>
          <w:p w14:paraId="2566B4A7" w14:textId="77777777" w:rsidR="00DE7866" w:rsidRPr="000F19E1" w:rsidRDefault="00DE7866" w:rsidP="00DE7866">
            <w:pPr>
              <w:rPr>
                <w:rFonts w:cs="Arial"/>
                <w:bCs/>
                <w:sz w:val="8"/>
                <w:szCs w:val="8"/>
              </w:rPr>
            </w:pPr>
          </w:p>
        </w:tc>
        <w:tc>
          <w:tcPr>
            <w:tcW w:w="3707" w:type="pct"/>
            <w:shd w:val="clear" w:color="auto" w:fill="auto"/>
            <w:tcMar>
              <w:top w:w="0" w:type="dxa"/>
              <w:bottom w:w="0" w:type="dxa"/>
            </w:tcMar>
          </w:tcPr>
          <w:p w14:paraId="702D3512" w14:textId="77777777" w:rsidR="00DE7866" w:rsidRPr="000F19E1" w:rsidRDefault="00DE7866" w:rsidP="00DE7866">
            <w:pPr>
              <w:tabs>
                <w:tab w:val="center" w:pos="3152"/>
              </w:tabs>
              <w:rPr>
                <w:rFonts w:cs="Arial"/>
                <w:sz w:val="8"/>
                <w:szCs w:val="8"/>
                <w:lang w:val="en-US"/>
              </w:rPr>
            </w:pPr>
          </w:p>
        </w:tc>
      </w:tr>
      <w:tr w:rsidR="00DE7866" w:rsidRPr="000F19E1" w14:paraId="17AC3CD2" w14:textId="77777777" w:rsidTr="00DF1566">
        <w:tc>
          <w:tcPr>
            <w:tcW w:w="1152" w:type="pct"/>
            <w:shd w:val="clear" w:color="auto" w:fill="DAEEF3"/>
            <w:tcMar>
              <w:top w:w="0" w:type="dxa"/>
              <w:bottom w:w="0" w:type="dxa"/>
            </w:tcMar>
          </w:tcPr>
          <w:p w14:paraId="3F481B78" w14:textId="77777777" w:rsidR="00DE7866" w:rsidRPr="000F19E1" w:rsidRDefault="00DE7866" w:rsidP="00DE7866">
            <w:pPr>
              <w:rPr>
                <w:rFonts w:cs="Arial"/>
                <w:bCs/>
                <w:sz w:val="8"/>
                <w:szCs w:val="8"/>
              </w:rPr>
            </w:pPr>
          </w:p>
        </w:tc>
        <w:tc>
          <w:tcPr>
            <w:tcW w:w="3848" w:type="pct"/>
            <w:gridSpan w:val="2"/>
            <w:shd w:val="clear" w:color="auto" w:fill="DAEEF3"/>
            <w:tcMar>
              <w:top w:w="0" w:type="dxa"/>
              <w:bottom w:w="0" w:type="dxa"/>
            </w:tcMar>
          </w:tcPr>
          <w:p w14:paraId="4C52985E" w14:textId="77777777" w:rsidR="00DE7866" w:rsidRPr="000F19E1" w:rsidRDefault="00DE7866" w:rsidP="00DE7866">
            <w:pPr>
              <w:tabs>
                <w:tab w:val="center" w:pos="3152"/>
              </w:tabs>
              <w:rPr>
                <w:rFonts w:cs="Arial"/>
                <w:sz w:val="8"/>
                <w:szCs w:val="8"/>
                <w:lang w:val="en-US"/>
              </w:rPr>
            </w:pPr>
          </w:p>
        </w:tc>
      </w:tr>
    </w:tbl>
    <w:p w14:paraId="3D50ADB9" w14:textId="77777777" w:rsidR="007A3F5D" w:rsidRDefault="007A3F5D">
      <w:r>
        <w:br w:type="page"/>
      </w:r>
    </w:p>
    <w:p w14:paraId="0291725B" w14:textId="77777777" w:rsidR="00DA7BFE" w:rsidRDefault="00DA7BFE"/>
    <w:p w14:paraId="1E3A5F5F" w14:textId="77777777" w:rsidR="007D6175" w:rsidRDefault="007D6175" w:rsidP="003D16EF">
      <w:pPr>
        <w:rPr>
          <w:sz w:val="8"/>
          <w:szCs w:val="8"/>
        </w:rPr>
      </w:pPr>
    </w:p>
    <w:tbl>
      <w:tblPr>
        <w:tblW w:w="5170" w:type="pct"/>
        <w:tblInd w:w="-176" w:type="dxa"/>
        <w:tblLayout w:type="fixed"/>
        <w:tblLook w:val="01E0" w:firstRow="1" w:lastRow="1" w:firstColumn="1" w:lastColumn="1" w:noHBand="0" w:noVBand="0"/>
      </w:tblPr>
      <w:tblGrid>
        <w:gridCol w:w="2430"/>
        <w:gridCol w:w="298"/>
        <w:gridCol w:w="7823"/>
      </w:tblGrid>
      <w:tr w:rsidR="007D6175" w:rsidRPr="00862949" w14:paraId="57CB8D87" w14:textId="77777777" w:rsidTr="00DF1566">
        <w:tc>
          <w:tcPr>
            <w:tcW w:w="5000" w:type="pct"/>
            <w:gridSpan w:val="3"/>
            <w:shd w:val="clear" w:color="auto" w:fill="0070C0"/>
            <w:tcMar>
              <w:top w:w="85" w:type="dxa"/>
              <w:bottom w:w="85" w:type="dxa"/>
            </w:tcMar>
            <w:vAlign w:val="bottom"/>
          </w:tcPr>
          <w:p w14:paraId="50974F57" w14:textId="77777777" w:rsidR="007D6175" w:rsidRPr="00862949" w:rsidRDefault="007D6175" w:rsidP="00DF1566">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7D6175" w:rsidRPr="000F19E1" w14:paraId="6A2CF3B2" w14:textId="77777777" w:rsidTr="00DF1566">
        <w:tc>
          <w:tcPr>
            <w:tcW w:w="1152" w:type="pct"/>
            <w:shd w:val="clear" w:color="auto" w:fill="DAEEF3"/>
            <w:tcMar>
              <w:top w:w="0" w:type="dxa"/>
              <w:bottom w:w="0" w:type="dxa"/>
            </w:tcMar>
          </w:tcPr>
          <w:p w14:paraId="3701547A" w14:textId="77777777" w:rsidR="007D6175" w:rsidRPr="000F19E1" w:rsidRDefault="007D6175" w:rsidP="00DF1566">
            <w:pPr>
              <w:rPr>
                <w:rFonts w:cs="Arial"/>
                <w:bCs/>
                <w:sz w:val="8"/>
                <w:szCs w:val="8"/>
              </w:rPr>
            </w:pPr>
          </w:p>
        </w:tc>
        <w:tc>
          <w:tcPr>
            <w:tcW w:w="3848" w:type="pct"/>
            <w:gridSpan w:val="2"/>
            <w:shd w:val="clear" w:color="auto" w:fill="DAEEF3"/>
            <w:tcMar>
              <w:top w:w="0" w:type="dxa"/>
              <w:bottom w:w="0" w:type="dxa"/>
            </w:tcMar>
          </w:tcPr>
          <w:p w14:paraId="49129D64" w14:textId="77777777" w:rsidR="007D6175" w:rsidRPr="000F19E1" w:rsidRDefault="007D6175" w:rsidP="00DF1566">
            <w:pPr>
              <w:tabs>
                <w:tab w:val="center" w:pos="3152"/>
              </w:tabs>
              <w:rPr>
                <w:rFonts w:cs="Arial"/>
                <w:sz w:val="8"/>
                <w:szCs w:val="8"/>
                <w:lang w:val="en-US"/>
              </w:rPr>
            </w:pPr>
          </w:p>
        </w:tc>
      </w:tr>
      <w:tr w:rsidR="007D6175" w:rsidRPr="00433D3E" w14:paraId="26E9D137" w14:textId="77777777" w:rsidTr="00DF1566">
        <w:tc>
          <w:tcPr>
            <w:tcW w:w="5000" w:type="pct"/>
            <w:gridSpan w:val="3"/>
            <w:shd w:val="clear" w:color="auto" w:fill="008232"/>
            <w:tcMar>
              <w:top w:w="57" w:type="dxa"/>
              <w:bottom w:w="57" w:type="dxa"/>
            </w:tcMar>
          </w:tcPr>
          <w:p w14:paraId="7D75AFE5" w14:textId="6A50DA70" w:rsidR="007D6175" w:rsidRPr="00433D3E" w:rsidRDefault="007D6175" w:rsidP="00DF1566">
            <w:pPr>
              <w:rPr>
                <w:rFonts w:cs="Arial"/>
                <w:noProof/>
                <w:color w:val="FFFFFF"/>
                <w:sz w:val="16"/>
                <w:szCs w:val="16"/>
              </w:rPr>
            </w:pPr>
            <w:r w:rsidRPr="00433D3E">
              <w:rPr>
                <w:rFonts w:cs="Arial"/>
                <w:b/>
                <w:bCs/>
                <w:i/>
                <w:iCs/>
                <w:color w:val="FFFFFF"/>
                <w:sz w:val="22"/>
                <w:szCs w:val="20"/>
                <w:lang w:val="en-US"/>
              </w:rPr>
              <w:t xml:space="preserve">Filed for approval in the </w:t>
            </w:r>
            <w:r>
              <w:rPr>
                <w:rFonts w:cs="Arial"/>
                <w:b/>
                <w:bCs/>
                <w:i/>
                <w:iCs/>
                <w:color w:val="FFFFFF"/>
                <w:sz w:val="22"/>
                <w:szCs w:val="20"/>
                <w:lang w:val="en-US"/>
              </w:rPr>
              <w:t xml:space="preserve">UK or </w:t>
            </w:r>
            <w:r w:rsidRPr="00433D3E">
              <w:rPr>
                <w:rFonts w:cs="Arial"/>
                <w:b/>
                <w:bCs/>
                <w:i/>
                <w:iCs/>
                <w:color w:val="FFFFFF"/>
                <w:sz w:val="22"/>
                <w:szCs w:val="20"/>
                <w:lang w:val="en-US"/>
              </w:rPr>
              <w:t>EU</w:t>
            </w:r>
            <w:r w:rsidR="003A0E9A">
              <w:rPr>
                <w:rFonts w:cs="Arial"/>
                <w:b/>
                <w:bCs/>
                <w:i/>
                <w:iCs/>
                <w:color w:val="FFFFFF"/>
                <w:sz w:val="22"/>
                <w:szCs w:val="20"/>
                <w:lang w:val="en-US"/>
              </w:rPr>
              <w:t xml:space="preserve"> </w:t>
            </w:r>
            <w:r w:rsidR="003A0E9A" w:rsidRPr="003A0E9A">
              <w:rPr>
                <w:rFonts w:cs="Arial"/>
                <w:b/>
                <w:bCs/>
                <w:color w:val="FFFFFF"/>
                <w:sz w:val="16"/>
                <w:szCs w:val="14"/>
                <w:lang w:val="en-US"/>
              </w:rPr>
              <w:t>(continued)</w:t>
            </w:r>
          </w:p>
        </w:tc>
      </w:tr>
      <w:tr w:rsidR="00AB2511" w:rsidRPr="00A075A3" w14:paraId="7D0C43C5" w14:textId="77777777" w:rsidTr="00DF1566">
        <w:tc>
          <w:tcPr>
            <w:tcW w:w="1293" w:type="pct"/>
            <w:gridSpan w:val="2"/>
            <w:shd w:val="clear" w:color="auto" w:fill="auto"/>
            <w:tcMar>
              <w:top w:w="57" w:type="dxa"/>
              <w:bottom w:w="57" w:type="dxa"/>
            </w:tcMar>
          </w:tcPr>
          <w:p w14:paraId="7231F50D" w14:textId="18261886" w:rsidR="00AB2511" w:rsidRPr="00025796" w:rsidRDefault="00AB2511" w:rsidP="00AB2511">
            <w:pPr>
              <w:rPr>
                <w:rFonts w:cs="Arial"/>
                <w:szCs w:val="19"/>
              </w:rPr>
            </w:pPr>
            <w:r w:rsidRPr="009779FB">
              <w:rPr>
                <w:rFonts w:cs="Arial"/>
                <w:szCs w:val="19"/>
              </w:rPr>
              <w:t xml:space="preserve">Lutetium (177Lu) </w:t>
            </w:r>
            <w:proofErr w:type="spellStart"/>
            <w:r w:rsidRPr="009779FB">
              <w:rPr>
                <w:rFonts w:cs="Arial"/>
                <w:szCs w:val="19"/>
              </w:rPr>
              <w:t>vipivotide</w:t>
            </w:r>
            <w:proofErr w:type="spellEnd"/>
            <w:r w:rsidRPr="009779FB">
              <w:rPr>
                <w:rFonts w:cs="Arial"/>
                <w:szCs w:val="19"/>
              </w:rPr>
              <w:t xml:space="preserve"> tetraxetan</w:t>
            </w:r>
            <w:r>
              <w:rPr>
                <w:rFonts w:cs="Arial"/>
                <w:szCs w:val="19"/>
              </w:rPr>
              <w:t xml:space="preserve"> (</w:t>
            </w:r>
            <w:proofErr w:type="spellStart"/>
            <w:r>
              <w:rPr>
                <w:rFonts w:cs="Arial"/>
                <w:i/>
                <w:iCs/>
                <w:szCs w:val="19"/>
              </w:rPr>
              <w:t>Pluvicto</w:t>
            </w:r>
            <w:proofErr w:type="spellEnd"/>
            <w:r>
              <w:rPr>
                <w:rFonts w:cs="Arial"/>
                <w:szCs w:val="19"/>
              </w:rPr>
              <w:t>)</w:t>
            </w:r>
            <w:r w:rsidRPr="009779FB">
              <w:rPr>
                <w:rFonts w:cs="Arial"/>
                <w:szCs w:val="19"/>
              </w:rPr>
              <w:t> </w:t>
            </w:r>
          </w:p>
        </w:tc>
        <w:tc>
          <w:tcPr>
            <w:tcW w:w="3707" w:type="pct"/>
            <w:shd w:val="clear" w:color="auto" w:fill="auto"/>
            <w:tcMar>
              <w:top w:w="57" w:type="dxa"/>
              <w:bottom w:w="57" w:type="dxa"/>
            </w:tcMar>
          </w:tcPr>
          <w:p w14:paraId="0192EFF5" w14:textId="08879D75" w:rsidR="00AB2511" w:rsidRPr="00433AC0" w:rsidRDefault="00AB2511" w:rsidP="00AB2511">
            <w:pPr>
              <w:tabs>
                <w:tab w:val="center" w:pos="3152"/>
              </w:tabs>
              <w:rPr>
                <w:rFonts w:cs="Arial"/>
                <w:szCs w:val="19"/>
                <w:lang w:val="en-US"/>
              </w:rPr>
            </w:pPr>
            <w:r w:rsidRPr="00EE7F49">
              <w:rPr>
                <w:rFonts w:cs="Arial"/>
                <w:szCs w:val="19"/>
                <w:lang w:val="en-US"/>
              </w:rPr>
              <w:t>Treatment of adults with prostate-specific membrane antigen-positive metastatic castration-resistant prostate cancer who are asymptomatic or mildly symptomatic after having progressed on androgen receptor pathway inhibitor and for whom chemotherapy is not yet clinically indicated</w:t>
            </w:r>
            <w:r>
              <w:rPr>
                <w:rFonts w:cs="Arial"/>
                <w:szCs w:val="19"/>
                <w:lang w:val="en-US"/>
              </w:rPr>
              <w:t xml:space="preserve"> </w:t>
            </w:r>
            <w:r w:rsidRPr="00256394">
              <w:rPr>
                <w:rFonts w:cs="Arial"/>
                <w:sz w:val="16"/>
                <w:szCs w:val="16"/>
                <w:lang w:val="en-US"/>
              </w:rPr>
              <w:t>[EU] [</w:t>
            </w:r>
            <w:r>
              <w:rPr>
                <w:rFonts w:cs="Arial"/>
                <w:sz w:val="16"/>
                <w:szCs w:val="16"/>
                <w:lang w:val="en-US"/>
              </w:rPr>
              <w:t>new indication</w:t>
            </w:r>
            <w:r w:rsidRPr="00256394">
              <w:rPr>
                <w:rFonts w:cs="Arial"/>
                <w:sz w:val="16"/>
                <w:szCs w:val="16"/>
                <w:lang w:val="en-US"/>
              </w:rPr>
              <w:t>]</w:t>
            </w:r>
          </w:p>
        </w:tc>
      </w:tr>
      <w:tr w:rsidR="00AB2511" w:rsidRPr="00A075A3" w14:paraId="5E98841E" w14:textId="77777777" w:rsidTr="00DF1566">
        <w:tc>
          <w:tcPr>
            <w:tcW w:w="1293" w:type="pct"/>
            <w:gridSpan w:val="2"/>
            <w:shd w:val="clear" w:color="auto" w:fill="auto"/>
            <w:tcMar>
              <w:top w:w="57" w:type="dxa"/>
              <w:bottom w:w="57" w:type="dxa"/>
            </w:tcMar>
          </w:tcPr>
          <w:p w14:paraId="5A90DE7E" w14:textId="55B03DA3" w:rsidR="00AB2511" w:rsidRPr="00C466BC" w:rsidRDefault="00AB2511" w:rsidP="00AB2511">
            <w:pPr>
              <w:rPr>
                <w:rFonts w:cs="Arial"/>
                <w:szCs w:val="19"/>
              </w:rPr>
            </w:pPr>
            <w:r w:rsidRPr="00A145A5">
              <w:rPr>
                <w:rFonts w:cs="Arial"/>
                <w:szCs w:val="19"/>
              </w:rPr>
              <w:t>Meningococcal group A, C, W-135 and Y conjugate vaccine </w:t>
            </w:r>
            <w:r>
              <w:rPr>
                <w:rFonts w:cs="Arial"/>
                <w:szCs w:val="19"/>
              </w:rPr>
              <w:t>(</w:t>
            </w:r>
            <w:proofErr w:type="spellStart"/>
            <w:r w:rsidRPr="008F5DB3">
              <w:rPr>
                <w:rFonts w:cs="Arial"/>
                <w:i/>
                <w:iCs/>
                <w:szCs w:val="19"/>
              </w:rPr>
              <w:t>MenQuadfi</w:t>
            </w:r>
            <w:proofErr w:type="spellEnd"/>
            <w:r>
              <w:rPr>
                <w:rFonts w:cs="Arial"/>
                <w:szCs w:val="19"/>
              </w:rPr>
              <w:t>)</w:t>
            </w:r>
          </w:p>
        </w:tc>
        <w:tc>
          <w:tcPr>
            <w:tcW w:w="3707" w:type="pct"/>
            <w:shd w:val="clear" w:color="auto" w:fill="auto"/>
            <w:tcMar>
              <w:top w:w="57" w:type="dxa"/>
              <w:bottom w:w="57" w:type="dxa"/>
            </w:tcMar>
          </w:tcPr>
          <w:p w14:paraId="02B46BCF" w14:textId="65396F87" w:rsidR="00AB2511" w:rsidRPr="00A075A3" w:rsidRDefault="00AB2511" w:rsidP="00AB2511">
            <w:pPr>
              <w:tabs>
                <w:tab w:val="center" w:pos="3152"/>
              </w:tabs>
              <w:rPr>
                <w:rFonts w:cs="Arial"/>
                <w:szCs w:val="19"/>
                <w:lang w:val="en-US"/>
              </w:rPr>
            </w:pPr>
            <w:r w:rsidRPr="00834632">
              <w:rPr>
                <w:rFonts w:cs="Arial"/>
                <w:szCs w:val="19"/>
                <w:lang w:val="en-US"/>
              </w:rPr>
              <w:t xml:space="preserve">Active </w:t>
            </w:r>
            <w:proofErr w:type="spellStart"/>
            <w:r w:rsidRPr="00834632">
              <w:rPr>
                <w:rFonts w:cs="Arial"/>
                <w:szCs w:val="19"/>
                <w:lang w:val="en-US"/>
              </w:rPr>
              <w:t>immunisation</w:t>
            </w:r>
            <w:proofErr w:type="spellEnd"/>
            <w:r w:rsidRPr="00834632">
              <w:rPr>
                <w:rFonts w:cs="Arial"/>
                <w:szCs w:val="19"/>
                <w:lang w:val="en-US"/>
              </w:rPr>
              <w:t xml:space="preserve"> of individuals</w:t>
            </w:r>
            <w:r>
              <w:rPr>
                <w:rFonts w:cs="Arial"/>
                <w:szCs w:val="19"/>
                <w:lang w:val="en-US"/>
              </w:rPr>
              <w:t xml:space="preserve"> aged ≥6</w:t>
            </w:r>
            <w:r w:rsidRPr="00834632">
              <w:rPr>
                <w:rFonts w:cs="Arial"/>
                <w:szCs w:val="19"/>
                <w:lang w:val="en-US"/>
              </w:rPr>
              <w:t xml:space="preserve"> </w:t>
            </w:r>
            <w:r>
              <w:rPr>
                <w:rFonts w:cs="Arial"/>
                <w:szCs w:val="19"/>
                <w:lang w:val="en-US"/>
              </w:rPr>
              <w:t>weeks</w:t>
            </w:r>
            <w:r w:rsidRPr="00834632">
              <w:rPr>
                <w:rFonts w:cs="Arial"/>
                <w:szCs w:val="19"/>
                <w:lang w:val="en-US"/>
              </w:rPr>
              <w:t xml:space="preserve"> against invasive meningococcal disease caused by Neisseria meningitidis serogroups A, C, W, and Y</w:t>
            </w:r>
            <w:r>
              <w:rPr>
                <w:rFonts w:cs="Arial"/>
                <w:szCs w:val="19"/>
                <w:lang w:val="en-US"/>
              </w:rPr>
              <w:t xml:space="preserve"> </w:t>
            </w:r>
            <w:r w:rsidRPr="00834632">
              <w:rPr>
                <w:rFonts w:cs="Arial"/>
                <w:szCs w:val="19"/>
                <w:lang w:val="en-US"/>
              </w:rPr>
              <w:t xml:space="preserve">active </w:t>
            </w:r>
            <w:proofErr w:type="spellStart"/>
            <w:r w:rsidRPr="00834632">
              <w:rPr>
                <w:rFonts w:cs="Arial"/>
                <w:szCs w:val="19"/>
                <w:lang w:val="en-US"/>
              </w:rPr>
              <w:t>immunisation</w:t>
            </w:r>
            <w:proofErr w:type="spellEnd"/>
            <w:r w:rsidRPr="00834632">
              <w:rPr>
                <w:rFonts w:cs="Arial"/>
                <w:szCs w:val="19"/>
                <w:lang w:val="en-US"/>
              </w:rPr>
              <w:t xml:space="preserve"> </w:t>
            </w:r>
            <w:r w:rsidRPr="00D21799">
              <w:rPr>
                <w:rFonts w:cs="Arial"/>
                <w:sz w:val="16"/>
                <w:szCs w:val="16"/>
                <w:lang w:val="en-US"/>
              </w:rPr>
              <w:t>[EU] [</w:t>
            </w:r>
            <w:proofErr w:type="spellStart"/>
            <w:r w:rsidRPr="00D21799">
              <w:rPr>
                <w:rFonts w:cs="Arial"/>
                <w:sz w:val="16"/>
                <w:szCs w:val="16"/>
                <w:lang w:val="en-US"/>
              </w:rPr>
              <w:t>licence</w:t>
            </w:r>
            <w:proofErr w:type="spellEnd"/>
            <w:r w:rsidRPr="00D21799">
              <w:rPr>
                <w:rFonts w:cs="Arial"/>
                <w:sz w:val="16"/>
                <w:szCs w:val="16"/>
                <w:lang w:val="en-US"/>
              </w:rPr>
              <w:t xml:space="preserve"> change from use only in individuals aged ≥12 months]</w:t>
            </w:r>
          </w:p>
        </w:tc>
      </w:tr>
      <w:tr w:rsidR="00AB2511" w:rsidRPr="00A075A3" w14:paraId="2BE30D5B" w14:textId="77777777" w:rsidTr="00DF1566">
        <w:tc>
          <w:tcPr>
            <w:tcW w:w="1293" w:type="pct"/>
            <w:gridSpan w:val="2"/>
            <w:shd w:val="clear" w:color="auto" w:fill="auto"/>
            <w:tcMar>
              <w:top w:w="57" w:type="dxa"/>
              <w:bottom w:w="57" w:type="dxa"/>
            </w:tcMar>
          </w:tcPr>
          <w:p w14:paraId="67787BA9" w14:textId="77777777" w:rsidR="00AB2511" w:rsidRDefault="00AB2511" w:rsidP="00AB2511">
            <w:pPr>
              <w:rPr>
                <w:rFonts w:cs="Arial"/>
                <w:szCs w:val="19"/>
              </w:rPr>
            </w:pPr>
            <w:r w:rsidRPr="00265665">
              <w:rPr>
                <w:rFonts w:cs="Arial"/>
                <w:szCs w:val="19"/>
              </w:rPr>
              <w:t>Niraparib + abiraterone </w:t>
            </w:r>
          </w:p>
          <w:p w14:paraId="1C115B47" w14:textId="142CF8A2" w:rsidR="00AB2511" w:rsidRPr="00896AE9" w:rsidRDefault="00AB2511" w:rsidP="00AB2511">
            <w:pPr>
              <w:rPr>
                <w:rFonts w:cs="Arial"/>
                <w:szCs w:val="19"/>
              </w:rPr>
            </w:pPr>
            <w:r>
              <w:rPr>
                <w:rFonts w:cs="Arial"/>
                <w:szCs w:val="19"/>
              </w:rPr>
              <w:t>(</w:t>
            </w:r>
            <w:proofErr w:type="spellStart"/>
            <w:r>
              <w:rPr>
                <w:rFonts w:cs="Arial"/>
                <w:i/>
                <w:iCs/>
                <w:szCs w:val="19"/>
              </w:rPr>
              <w:t>Akeega</w:t>
            </w:r>
            <w:proofErr w:type="spellEnd"/>
            <w:r>
              <w:rPr>
                <w:rFonts w:cs="Arial"/>
                <w:szCs w:val="19"/>
              </w:rPr>
              <w:t>)</w:t>
            </w:r>
          </w:p>
        </w:tc>
        <w:tc>
          <w:tcPr>
            <w:tcW w:w="3707" w:type="pct"/>
            <w:shd w:val="clear" w:color="auto" w:fill="auto"/>
            <w:tcMar>
              <w:top w:w="57" w:type="dxa"/>
              <w:bottom w:w="57" w:type="dxa"/>
            </w:tcMar>
          </w:tcPr>
          <w:p w14:paraId="60E77E3E" w14:textId="1C4B2A75" w:rsidR="00AB2511" w:rsidRPr="00A075A3" w:rsidRDefault="00AB2511" w:rsidP="00AB2511">
            <w:pPr>
              <w:tabs>
                <w:tab w:val="center" w:pos="3152"/>
              </w:tabs>
              <w:rPr>
                <w:rFonts w:cs="Arial"/>
                <w:szCs w:val="19"/>
                <w:lang w:val="en-US"/>
              </w:rPr>
            </w:pPr>
            <w:r>
              <w:rPr>
                <w:rFonts w:cs="Arial"/>
                <w:szCs w:val="19"/>
                <w:lang w:val="en-US"/>
              </w:rPr>
              <w:t xml:space="preserve">Use </w:t>
            </w:r>
            <w:r w:rsidRPr="00B960AA">
              <w:rPr>
                <w:rFonts w:cs="Arial"/>
                <w:szCs w:val="19"/>
                <w:lang w:val="en-US"/>
              </w:rPr>
              <w:t>in combination with prednisone or prednisolone, for the treatment of adults with m</w:t>
            </w:r>
            <w:r>
              <w:rPr>
                <w:rFonts w:cs="Arial"/>
                <w:szCs w:val="19"/>
                <w:lang w:val="en-US"/>
              </w:rPr>
              <w:t>etastatic hormone sensitive prostate cancer</w:t>
            </w:r>
            <w:r w:rsidRPr="00B960AA">
              <w:rPr>
                <w:rFonts w:cs="Arial"/>
                <w:szCs w:val="19"/>
                <w:lang w:val="en-US"/>
              </w:rPr>
              <w:t xml:space="preserve"> and homologous recombination repair gene alterations</w:t>
            </w:r>
            <w:r>
              <w:rPr>
                <w:rFonts w:cs="Arial"/>
                <w:szCs w:val="19"/>
                <w:lang w:val="en-US"/>
              </w:rPr>
              <w:t xml:space="preserve"> </w:t>
            </w:r>
            <w:r w:rsidRPr="000A29BA">
              <w:rPr>
                <w:rFonts w:cs="Arial"/>
                <w:sz w:val="16"/>
                <w:szCs w:val="16"/>
                <w:lang w:val="en-US"/>
              </w:rPr>
              <w:t>[</w:t>
            </w:r>
            <w:r>
              <w:rPr>
                <w:rFonts w:cs="Arial"/>
                <w:sz w:val="16"/>
                <w:szCs w:val="16"/>
                <w:lang w:val="en-US"/>
              </w:rPr>
              <w:t>EU] [</w:t>
            </w:r>
            <w:r w:rsidRPr="000A29BA">
              <w:rPr>
                <w:rFonts w:cs="Arial"/>
                <w:sz w:val="16"/>
                <w:szCs w:val="16"/>
                <w:lang w:val="en-US"/>
              </w:rPr>
              <w:t>new indication]</w:t>
            </w:r>
            <w:r>
              <w:rPr>
                <w:rFonts w:cs="Arial"/>
                <w:sz w:val="16"/>
                <w:szCs w:val="16"/>
                <w:lang w:val="en-US"/>
              </w:rPr>
              <w:t xml:space="preserve"> </w:t>
            </w:r>
          </w:p>
        </w:tc>
      </w:tr>
      <w:tr w:rsidR="00AB2511" w:rsidRPr="00A075A3" w14:paraId="0391C61D" w14:textId="77777777" w:rsidTr="00DF1566">
        <w:tc>
          <w:tcPr>
            <w:tcW w:w="1293" w:type="pct"/>
            <w:gridSpan w:val="2"/>
            <w:shd w:val="clear" w:color="auto" w:fill="auto"/>
            <w:tcMar>
              <w:top w:w="57" w:type="dxa"/>
              <w:bottom w:w="57" w:type="dxa"/>
            </w:tcMar>
          </w:tcPr>
          <w:p w14:paraId="40842710" w14:textId="0AA8888C" w:rsidR="00AB2511" w:rsidRPr="008A53AE" w:rsidRDefault="00AB2511" w:rsidP="00AB2511">
            <w:pPr>
              <w:rPr>
                <w:rFonts w:cs="Arial"/>
                <w:szCs w:val="19"/>
              </w:rPr>
            </w:pPr>
            <w:r>
              <w:rPr>
                <w:rFonts w:cs="Arial"/>
                <w:szCs w:val="19"/>
              </w:rPr>
              <w:t>Nivolumab (</w:t>
            </w:r>
            <w:proofErr w:type="spellStart"/>
            <w:r>
              <w:rPr>
                <w:rFonts w:cs="Arial"/>
                <w:i/>
                <w:iCs/>
                <w:szCs w:val="19"/>
              </w:rPr>
              <w:t>Opdivo</w:t>
            </w:r>
            <w:proofErr w:type="spellEnd"/>
            <w:r>
              <w:rPr>
                <w:rFonts w:cs="Arial"/>
                <w:szCs w:val="19"/>
              </w:rPr>
              <w:t>)</w:t>
            </w:r>
          </w:p>
        </w:tc>
        <w:tc>
          <w:tcPr>
            <w:tcW w:w="3707" w:type="pct"/>
            <w:shd w:val="clear" w:color="auto" w:fill="auto"/>
            <w:tcMar>
              <w:top w:w="57" w:type="dxa"/>
              <w:bottom w:w="57" w:type="dxa"/>
            </w:tcMar>
          </w:tcPr>
          <w:p w14:paraId="28DB63D6" w14:textId="7E8B259E" w:rsidR="00AB2511" w:rsidRDefault="00AB2511" w:rsidP="00AB2511">
            <w:pPr>
              <w:tabs>
                <w:tab w:val="center" w:pos="3152"/>
              </w:tabs>
              <w:rPr>
                <w:rFonts w:cs="Arial"/>
                <w:szCs w:val="19"/>
                <w:lang w:val="en-US"/>
              </w:rPr>
            </w:pPr>
            <w:r>
              <w:rPr>
                <w:rFonts w:cs="Arial"/>
                <w:szCs w:val="19"/>
                <w:lang w:val="en-US"/>
              </w:rPr>
              <w:t>Tr</w:t>
            </w:r>
            <w:r w:rsidRPr="004E41E5">
              <w:rPr>
                <w:rFonts w:cs="Arial"/>
                <w:szCs w:val="19"/>
                <w:lang w:val="en-US"/>
              </w:rPr>
              <w:t>eatment of adults</w:t>
            </w:r>
            <w:r>
              <w:rPr>
                <w:rFonts w:cs="Arial"/>
                <w:szCs w:val="19"/>
                <w:lang w:val="en-US"/>
              </w:rPr>
              <w:t xml:space="preserve"> and children aged ≥5 years</w:t>
            </w:r>
            <w:r w:rsidRPr="004E41E5">
              <w:rPr>
                <w:rFonts w:cs="Arial"/>
                <w:szCs w:val="19"/>
                <w:lang w:val="en-US"/>
              </w:rPr>
              <w:t xml:space="preserve"> with relapsed or refractory</w:t>
            </w:r>
            <w:r>
              <w:rPr>
                <w:rFonts w:cs="Arial"/>
                <w:szCs w:val="19"/>
                <w:lang w:val="en-US"/>
              </w:rPr>
              <w:t xml:space="preserve"> </w:t>
            </w:r>
            <w:r w:rsidRPr="004E41E5">
              <w:rPr>
                <w:rFonts w:cs="Arial"/>
                <w:szCs w:val="19"/>
                <w:lang w:val="en-US"/>
              </w:rPr>
              <w:t xml:space="preserve">classical Hodgkin lymphoma after </w:t>
            </w:r>
            <w:r>
              <w:rPr>
                <w:rFonts w:cs="Arial"/>
                <w:szCs w:val="19"/>
                <w:lang w:val="en-US"/>
              </w:rPr>
              <w:t>failure of first-line therapy, in combination wi</w:t>
            </w:r>
            <w:r w:rsidRPr="004E41E5">
              <w:rPr>
                <w:rFonts w:cs="Arial"/>
                <w:szCs w:val="19"/>
                <w:lang w:val="en-US"/>
              </w:rPr>
              <w:t>th</w:t>
            </w:r>
            <w:r>
              <w:rPr>
                <w:rFonts w:cs="Arial"/>
                <w:szCs w:val="19"/>
                <w:lang w:val="en-US"/>
              </w:rPr>
              <w:t xml:space="preserve"> </w:t>
            </w:r>
            <w:r w:rsidRPr="004E41E5">
              <w:rPr>
                <w:rFonts w:cs="Arial"/>
                <w:szCs w:val="19"/>
                <w:lang w:val="en-US"/>
              </w:rPr>
              <w:t xml:space="preserve">brentuximab </w:t>
            </w:r>
            <w:proofErr w:type="spellStart"/>
            <w:r w:rsidRPr="004E41E5">
              <w:rPr>
                <w:rFonts w:cs="Arial"/>
                <w:szCs w:val="19"/>
                <w:lang w:val="en-US"/>
              </w:rPr>
              <w:t>vedotin</w:t>
            </w:r>
            <w:proofErr w:type="spellEnd"/>
            <w:r>
              <w:rPr>
                <w:rFonts w:cs="Arial"/>
                <w:szCs w:val="19"/>
                <w:lang w:val="en-US"/>
              </w:rPr>
              <w:t xml:space="preserve"> </w:t>
            </w:r>
            <w:r w:rsidRPr="000A29BA">
              <w:rPr>
                <w:rFonts w:cs="Arial"/>
                <w:sz w:val="16"/>
                <w:szCs w:val="16"/>
                <w:lang w:val="en-US"/>
              </w:rPr>
              <w:t>[</w:t>
            </w:r>
            <w:r>
              <w:rPr>
                <w:rFonts w:cs="Arial"/>
                <w:sz w:val="16"/>
                <w:szCs w:val="16"/>
                <w:lang w:val="en-US"/>
              </w:rPr>
              <w:t>EU] [</w:t>
            </w:r>
            <w:r w:rsidRPr="000A29BA">
              <w:rPr>
                <w:rFonts w:cs="Arial"/>
                <w:sz w:val="16"/>
                <w:szCs w:val="16"/>
                <w:lang w:val="en-US"/>
              </w:rPr>
              <w:t>new indication]</w:t>
            </w:r>
          </w:p>
        </w:tc>
      </w:tr>
      <w:tr w:rsidR="00AB2511" w:rsidRPr="00A075A3" w14:paraId="7AF88D1F" w14:textId="77777777" w:rsidTr="00DF1566">
        <w:tc>
          <w:tcPr>
            <w:tcW w:w="1293" w:type="pct"/>
            <w:gridSpan w:val="2"/>
            <w:shd w:val="clear" w:color="auto" w:fill="auto"/>
            <w:tcMar>
              <w:top w:w="57" w:type="dxa"/>
              <w:bottom w:w="57" w:type="dxa"/>
            </w:tcMar>
          </w:tcPr>
          <w:p w14:paraId="1D4D466A" w14:textId="3B2F1888" w:rsidR="00AB2511" w:rsidRPr="00AB5DE1" w:rsidRDefault="00AB2511" w:rsidP="00AB2511">
            <w:pPr>
              <w:rPr>
                <w:rFonts w:cs="Arial"/>
                <w:szCs w:val="19"/>
              </w:rPr>
            </w:pPr>
            <w:proofErr w:type="spellStart"/>
            <w:r w:rsidRPr="00FF3D95">
              <w:rPr>
                <w:rFonts w:cs="Arial"/>
                <w:szCs w:val="19"/>
              </w:rPr>
              <w:t>Obicetrapib</w:t>
            </w:r>
            <w:proofErr w:type="spellEnd"/>
            <w:r>
              <w:rPr>
                <w:rFonts w:cs="Arial"/>
                <w:szCs w:val="19"/>
              </w:rPr>
              <w:t xml:space="preserve"> </w:t>
            </w:r>
          </w:p>
        </w:tc>
        <w:tc>
          <w:tcPr>
            <w:tcW w:w="3707" w:type="pct"/>
            <w:shd w:val="clear" w:color="auto" w:fill="auto"/>
            <w:tcMar>
              <w:top w:w="57" w:type="dxa"/>
              <w:bottom w:w="57" w:type="dxa"/>
            </w:tcMar>
          </w:tcPr>
          <w:p w14:paraId="38930376" w14:textId="18CCF63F" w:rsidR="00AB2511" w:rsidRDefault="00AB2511" w:rsidP="00AB2511">
            <w:pPr>
              <w:tabs>
                <w:tab w:val="center" w:pos="3152"/>
              </w:tabs>
              <w:rPr>
                <w:rFonts w:cs="Arial"/>
                <w:szCs w:val="19"/>
                <w:lang w:val="en-US"/>
              </w:rPr>
            </w:pPr>
            <w:r w:rsidRPr="00E0200A">
              <w:rPr>
                <w:rFonts w:cs="Arial"/>
                <w:szCs w:val="19"/>
                <w:lang w:val="en-US"/>
              </w:rPr>
              <w:t xml:space="preserve">Treatment of adults with primary </w:t>
            </w:r>
            <w:proofErr w:type="spellStart"/>
            <w:r w:rsidRPr="00E0200A">
              <w:rPr>
                <w:rFonts w:cs="Arial"/>
                <w:szCs w:val="19"/>
                <w:lang w:val="en-US"/>
              </w:rPr>
              <w:t>hypercholesterolaemia</w:t>
            </w:r>
            <w:proofErr w:type="spellEnd"/>
            <w:r w:rsidRPr="00E0200A">
              <w:rPr>
                <w:rFonts w:cs="Arial"/>
                <w:szCs w:val="19"/>
                <w:lang w:val="en-US"/>
              </w:rPr>
              <w:t xml:space="preserve"> (heterozygous familial and non-familial) or mixed dyslipidaemia</w:t>
            </w:r>
            <w:r>
              <w:rPr>
                <w:rFonts w:cs="Arial"/>
                <w:szCs w:val="19"/>
                <w:lang w:val="en-US"/>
              </w:rPr>
              <w:t xml:space="preserve"> </w:t>
            </w:r>
            <w:r w:rsidRPr="00E81F58">
              <w:rPr>
                <w:rFonts w:cs="Arial"/>
                <w:sz w:val="16"/>
                <w:szCs w:val="16"/>
                <w:lang w:val="en-US"/>
              </w:rPr>
              <w:t>[EU]</w:t>
            </w:r>
          </w:p>
        </w:tc>
      </w:tr>
      <w:tr w:rsidR="00AB2511" w:rsidRPr="00A075A3" w14:paraId="476CB4BD" w14:textId="77777777" w:rsidTr="00DF1566">
        <w:tc>
          <w:tcPr>
            <w:tcW w:w="1293" w:type="pct"/>
            <w:gridSpan w:val="2"/>
            <w:shd w:val="clear" w:color="auto" w:fill="auto"/>
            <w:tcMar>
              <w:top w:w="57" w:type="dxa"/>
              <w:bottom w:w="57" w:type="dxa"/>
            </w:tcMar>
          </w:tcPr>
          <w:p w14:paraId="2C4AD480" w14:textId="0A0F8464" w:rsidR="00AB2511" w:rsidRPr="008A32DB" w:rsidRDefault="00AB2511" w:rsidP="00AB2511">
            <w:pPr>
              <w:rPr>
                <w:rFonts w:cs="Arial"/>
                <w:szCs w:val="19"/>
              </w:rPr>
            </w:pPr>
            <w:proofErr w:type="spellStart"/>
            <w:r w:rsidRPr="00E81F58">
              <w:rPr>
                <w:rFonts w:cs="Arial"/>
                <w:szCs w:val="19"/>
              </w:rPr>
              <w:t>Obicetrapib</w:t>
            </w:r>
            <w:proofErr w:type="spellEnd"/>
            <w:r w:rsidRPr="00E81F58">
              <w:rPr>
                <w:rFonts w:cs="Arial"/>
                <w:szCs w:val="19"/>
              </w:rPr>
              <w:t xml:space="preserve"> + ezetimibe</w:t>
            </w:r>
          </w:p>
        </w:tc>
        <w:tc>
          <w:tcPr>
            <w:tcW w:w="3707" w:type="pct"/>
            <w:shd w:val="clear" w:color="auto" w:fill="auto"/>
            <w:tcMar>
              <w:top w:w="57" w:type="dxa"/>
              <w:bottom w:w="57" w:type="dxa"/>
            </w:tcMar>
          </w:tcPr>
          <w:p w14:paraId="6614CF97" w14:textId="105697F8" w:rsidR="00AB2511" w:rsidRDefault="00AB2511" w:rsidP="00AB2511">
            <w:pPr>
              <w:tabs>
                <w:tab w:val="center" w:pos="3152"/>
              </w:tabs>
              <w:rPr>
                <w:rFonts w:cs="Arial"/>
                <w:szCs w:val="19"/>
                <w:lang w:val="en-US"/>
              </w:rPr>
            </w:pPr>
            <w:r w:rsidRPr="00E0200A">
              <w:rPr>
                <w:rFonts w:cs="Arial"/>
                <w:szCs w:val="19"/>
                <w:lang w:val="en-US"/>
              </w:rPr>
              <w:t xml:space="preserve">Treatment of adults with primary </w:t>
            </w:r>
            <w:proofErr w:type="spellStart"/>
            <w:r w:rsidRPr="00E0200A">
              <w:rPr>
                <w:rFonts w:cs="Arial"/>
                <w:szCs w:val="19"/>
                <w:lang w:val="en-US"/>
              </w:rPr>
              <w:t>hypercholesterolaemia</w:t>
            </w:r>
            <w:proofErr w:type="spellEnd"/>
            <w:r w:rsidRPr="00E0200A">
              <w:rPr>
                <w:rFonts w:cs="Arial"/>
                <w:szCs w:val="19"/>
                <w:lang w:val="en-US"/>
              </w:rPr>
              <w:t xml:space="preserve"> (heterozygous familial and non-familial) or mixed dyslipidaemia</w:t>
            </w:r>
            <w:r>
              <w:rPr>
                <w:rFonts w:cs="Arial"/>
                <w:szCs w:val="19"/>
                <w:lang w:val="en-US"/>
              </w:rPr>
              <w:t xml:space="preserve"> </w:t>
            </w:r>
            <w:r w:rsidRPr="00E81F58">
              <w:rPr>
                <w:rFonts w:cs="Arial"/>
                <w:sz w:val="16"/>
                <w:szCs w:val="16"/>
                <w:lang w:val="en-US"/>
              </w:rPr>
              <w:t>[EU]</w:t>
            </w:r>
          </w:p>
        </w:tc>
      </w:tr>
      <w:tr w:rsidR="00AB2511" w:rsidRPr="00A075A3" w14:paraId="5ABB2323" w14:textId="77777777" w:rsidTr="00DF1566">
        <w:tc>
          <w:tcPr>
            <w:tcW w:w="1293" w:type="pct"/>
            <w:gridSpan w:val="2"/>
            <w:shd w:val="clear" w:color="auto" w:fill="auto"/>
            <w:tcMar>
              <w:top w:w="57" w:type="dxa"/>
              <w:bottom w:w="57" w:type="dxa"/>
            </w:tcMar>
          </w:tcPr>
          <w:p w14:paraId="305E8B2E" w14:textId="6510BBF0" w:rsidR="00AB2511" w:rsidRPr="0023071A" w:rsidRDefault="00AB2511" w:rsidP="00AB2511">
            <w:pPr>
              <w:rPr>
                <w:rFonts w:cs="Arial"/>
                <w:szCs w:val="19"/>
              </w:rPr>
            </w:pPr>
            <w:r>
              <w:rPr>
                <w:rFonts w:cs="Arial"/>
                <w:szCs w:val="19"/>
              </w:rPr>
              <w:t>Pembrolizumab (</w:t>
            </w:r>
            <w:r>
              <w:rPr>
                <w:rFonts w:cs="Arial"/>
                <w:i/>
                <w:iCs/>
                <w:szCs w:val="19"/>
              </w:rPr>
              <w:t>Keytruda</w:t>
            </w:r>
            <w:r>
              <w:rPr>
                <w:rFonts w:cs="Arial"/>
                <w:szCs w:val="19"/>
              </w:rPr>
              <w:t>)</w:t>
            </w:r>
          </w:p>
        </w:tc>
        <w:tc>
          <w:tcPr>
            <w:tcW w:w="3707" w:type="pct"/>
            <w:shd w:val="clear" w:color="auto" w:fill="auto"/>
            <w:tcMar>
              <w:top w:w="57" w:type="dxa"/>
              <w:bottom w:w="57" w:type="dxa"/>
            </w:tcMar>
          </w:tcPr>
          <w:p w14:paraId="360E395B" w14:textId="4E06E4E4" w:rsidR="00AB2511" w:rsidRPr="00603A9B" w:rsidRDefault="00AB2511" w:rsidP="00AB2511">
            <w:pPr>
              <w:tabs>
                <w:tab w:val="center" w:pos="3152"/>
              </w:tabs>
              <w:rPr>
                <w:rFonts w:cs="Arial"/>
                <w:szCs w:val="19"/>
                <w:lang w:val="en-US"/>
              </w:rPr>
            </w:pPr>
            <w:r w:rsidRPr="00003E7C">
              <w:rPr>
                <w:rFonts w:cs="Arial"/>
                <w:szCs w:val="19"/>
              </w:rPr>
              <w:t>Use in combination with paclitaxel, with or without bevacizumab, for the treatment of platinum-resistant epithelial ovarian, fallopian tube, or primary peritoneal carcinoma in adults whose tumours express PD-L1 with a CPS ≥1 and who have received one or two prior systemic treatment regimens</w:t>
            </w:r>
            <w:r>
              <w:rPr>
                <w:rFonts w:cs="Arial"/>
                <w:szCs w:val="19"/>
              </w:rPr>
              <w:t xml:space="preserve"> </w:t>
            </w:r>
            <w:r w:rsidRPr="000A29BA">
              <w:rPr>
                <w:rFonts w:cs="Arial"/>
                <w:sz w:val="16"/>
                <w:szCs w:val="16"/>
                <w:lang w:val="en-US"/>
              </w:rPr>
              <w:t>[</w:t>
            </w:r>
            <w:r>
              <w:rPr>
                <w:rFonts w:cs="Arial"/>
                <w:sz w:val="16"/>
                <w:szCs w:val="16"/>
                <w:lang w:val="en-US"/>
              </w:rPr>
              <w:t>EU] [</w:t>
            </w:r>
            <w:r w:rsidRPr="000A29BA">
              <w:rPr>
                <w:rFonts w:cs="Arial"/>
                <w:sz w:val="16"/>
                <w:szCs w:val="16"/>
                <w:lang w:val="en-US"/>
              </w:rPr>
              <w:t>new indication]</w:t>
            </w:r>
          </w:p>
        </w:tc>
      </w:tr>
      <w:tr w:rsidR="00AB2511" w:rsidRPr="00A075A3" w14:paraId="39A92D26" w14:textId="77777777" w:rsidTr="00DF1566">
        <w:tc>
          <w:tcPr>
            <w:tcW w:w="1293" w:type="pct"/>
            <w:gridSpan w:val="2"/>
            <w:shd w:val="clear" w:color="auto" w:fill="auto"/>
            <w:tcMar>
              <w:top w:w="57" w:type="dxa"/>
              <w:bottom w:w="57" w:type="dxa"/>
            </w:tcMar>
          </w:tcPr>
          <w:p w14:paraId="583FCFB4" w14:textId="7987DE95" w:rsidR="00AB2511" w:rsidRPr="00265665" w:rsidRDefault="00AB2511" w:rsidP="00AB2511">
            <w:pPr>
              <w:rPr>
                <w:rFonts w:cs="Arial"/>
                <w:szCs w:val="19"/>
              </w:rPr>
            </w:pPr>
            <w:r w:rsidRPr="009E7B1F">
              <w:rPr>
                <w:rFonts w:cs="Arial"/>
                <w:szCs w:val="19"/>
              </w:rPr>
              <w:t>Pneumococcal polysaccharide conjugate vaccine </w:t>
            </w:r>
            <w:r>
              <w:rPr>
                <w:rFonts w:cs="Arial"/>
                <w:szCs w:val="19"/>
              </w:rPr>
              <w:t>(</w:t>
            </w:r>
            <w:r>
              <w:rPr>
                <w:rFonts w:cs="Arial"/>
                <w:i/>
                <w:iCs/>
                <w:szCs w:val="19"/>
              </w:rPr>
              <w:t>Capvaxive</w:t>
            </w:r>
            <w:r>
              <w:rPr>
                <w:rFonts w:cs="Arial"/>
                <w:szCs w:val="19"/>
              </w:rPr>
              <w:t>)</w:t>
            </w:r>
          </w:p>
        </w:tc>
        <w:tc>
          <w:tcPr>
            <w:tcW w:w="3707" w:type="pct"/>
            <w:shd w:val="clear" w:color="auto" w:fill="auto"/>
            <w:tcMar>
              <w:top w:w="57" w:type="dxa"/>
              <w:bottom w:w="57" w:type="dxa"/>
            </w:tcMar>
          </w:tcPr>
          <w:p w14:paraId="6C72FF93" w14:textId="77777777" w:rsidR="00AB2511" w:rsidRDefault="00AB2511" w:rsidP="00AB2511">
            <w:pPr>
              <w:tabs>
                <w:tab w:val="center" w:pos="3152"/>
              </w:tabs>
              <w:rPr>
                <w:rFonts w:cs="Arial"/>
                <w:sz w:val="16"/>
                <w:szCs w:val="16"/>
                <w:lang w:val="en-US"/>
              </w:rPr>
            </w:pPr>
            <w:r>
              <w:rPr>
                <w:rFonts w:cs="Arial"/>
                <w:szCs w:val="19"/>
                <w:lang w:val="en-US"/>
              </w:rPr>
              <w:t>Active</w:t>
            </w:r>
            <w:r w:rsidRPr="003B1073">
              <w:rPr>
                <w:rFonts w:cs="Arial"/>
                <w:szCs w:val="19"/>
                <w:lang w:val="en-US"/>
              </w:rPr>
              <w:t xml:space="preserve"> </w:t>
            </w:r>
            <w:proofErr w:type="spellStart"/>
            <w:r w:rsidRPr="003B1073">
              <w:rPr>
                <w:rFonts w:cs="Arial"/>
                <w:szCs w:val="19"/>
                <w:lang w:val="en-US"/>
              </w:rPr>
              <w:t>immunisation</w:t>
            </w:r>
            <w:proofErr w:type="spellEnd"/>
            <w:r w:rsidRPr="003B1073">
              <w:rPr>
                <w:rFonts w:cs="Arial"/>
                <w:szCs w:val="19"/>
                <w:lang w:val="en-US"/>
              </w:rPr>
              <w:t xml:space="preserve"> for the prevention of invasive disease and pneumonia caused by Streptococcus pneumoniae in individuals </w:t>
            </w:r>
            <w:r>
              <w:rPr>
                <w:rFonts w:cs="Arial"/>
                <w:szCs w:val="19"/>
                <w:lang w:val="en-US"/>
              </w:rPr>
              <w:t xml:space="preserve">aged ≥2 </w:t>
            </w:r>
            <w:r w:rsidRPr="003B1073">
              <w:rPr>
                <w:rFonts w:cs="Arial"/>
                <w:szCs w:val="19"/>
                <w:lang w:val="en-US"/>
              </w:rPr>
              <w:t>years</w:t>
            </w:r>
            <w:r>
              <w:rPr>
                <w:rFonts w:cs="Arial"/>
                <w:szCs w:val="19"/>
                <w:lang w:val="en-US"/>
              </w:rPr>
              <w:t xml:space="preserve"> </w:t>
            </w:r>
            <w:r w:rsidRPr="00507CAA">
              <w:rPr>
                <w:rFonts w:cs="Arial"/>
                <w:sz w:val="16"/>
                <w:szCs w:val="16"/>
                <w:lang w:val="en-US"/>
              </w:rPr>
              <w:t xml:space="preserve">[EU] </w:t>
            </w:r>
          </w:p>
          <w:p w14:paraId="23100C00" w14:textId="2843947C" w:rsidR="00AB2511" w:rsidRDefault="00AB2511" w:rsidP="00AB2511">
            <w:pPr>
              <w:tabs>
                <w:tab w:val="center" w:pos="3152"/>
              </w:tabs>
              <w:rPr>
                <w:rFonts w:cs="Arial"/>
                <w:szCs w:val="19"/>
                <w:lang w:val="en-US"/>
              </w:rPr>
            </w:pPr>
            <w:r w:rsidRPr="00507CAA">
              <w:rPr>
                <w:rFonts w:cs="Arial"/>
                <w:sz w:val="16"/>
                <w:szCs w:val="16"/>
                <w:lang w:val="en-US"/>
              </w:rPr>
              <w:t>[</w:t>
            </w:r>
            <w:proofErr w:type="spellStart"/>
            <w:r w:rsidRPr="00507CAA">
              <w:rPr>
                <w:rFonts w:cs="Arial"/>
                <w:sz w:val="16"/>
                <w:szCs w:val="16"/>
                <w:lang w:val="en-US"/>
              </w:rPr>
              <w:t>licence</w:t>
            </w:r>
            <w:proofErr w:type="spellEnd"/>
            <w:r w:rsidRPr="00507CAA">
              <w:rPr>
                <w:rFonts w:cs="Arial"/>
                <w:sz w:val="16"/>
                <w:szCs w:val="16"/>
                <w:lang w:val="en-US"/>
              </w:rPr>
              <w:t xml:space="preserve"> change f</w:t>
            </w:r>
            <w:r w:rsidR="006B5AD5">
              <w:rPr>
                <w:rFonts w:cs="Arial"/>
                <w:sz w:val="16"/>
                <w:szCs w:val="16"/>
                <w:lang w:val="en-US"/>
              </w:rPr>
              <w:t>r</w:t>
            </w:r>
            <w:r w:rsidRPr="00507CAA">
              <w:rPr>
                <w:rFonts w:cs="Arial"/>
                <w:sz w:val="16"/>
                <w:szCs w:val="16"/>
                <w:lang w:val="en-US"/>
              </w:rPr>
              <w:t>om use only in adults]</w:t>
            </w:r>
          </w:p>
        </w:tc>
      </w:tr>
      <w:tr w:rsidR="00AB2511" w:rsidRPr="00A075A3" w14:paraId="1E2BE948" w14:textId="77777777" w:rsidTr="00DF1566">
        <w:tc>
          <w:tcPr>
            <w:tcW w:w="1293" w:type="pct"/>
            <w:gridSpan w:val="2"/>
            <w:shd w:val="clear" w:color="auto" w:fill="auto"/>
            <w:tcMar>
              <w:top w:w="57" w:type="dxa"/>
              <w:bottom w:w="57" w:type="dxa"/>
            </w:tcMar>
          </w:tcPr>
          <w:p w14:paraId="2A35D9C8" w14:textId="399C9823" w:rsidR="00AB2511" w:rsidRPr="005D08B6" w:rsidRDefault="00AB2511" w:rsidP="00AB2511">
            <w:pPr>
              <w:rPr>
                <w:rFonts w:cs="Arial"/>
                <w:szCs w:val="19"/>
              </w:rPr>
            </w:pPr>
            <w:r>
              <w:rPr>
                <w:rFonts w:cs="Arial"/>
                <w:szCs w:val="19"/>
              </w:rPr>
              <w:t>Ranibizumab (</w:t>
            </w:r>
            <w:proofErr w:type="spellStart"/>
            <w:r>
              <w:rPr>
                <w:rFonts w:cs="Arial"/>
                <w:i/>
                <w:iCs/>
                <w:szCs w:val="19"/>
              </w:rPr>
              <w:t>Susvimo</w:t>
            </w:r>
            <w:proofErr w:type="spellEnd"/>
            <w:r>
              <w:rPr>
                <w:rFonts w:cs="Arial"/>
                <w:szCs w:val="19"/>
              </w:rPr>
              <w:t>)</w:t>
            </w:r>
          </w:p>
        </w:tc>
        <w:tc>
          <w:tcPr>
            <w:tcW w:w="3707" w:type="pct"/>
            <w:shd w:val="clear" w:color="auto" w:fill="auto"/>
            <w:tcMar>
              <w:top w:w="57" w:type="dxa"/>
              <w:bottom w:w="57" w:type="dxa"/>
            </w:tcMar>
          </w:tcPr>
          <w:p w14:paraId="6EF0925D" w14:textId="47853B59" w:rsidR="00AB2511" w:rsidRPr="00EE7F49" w:rsidRDefault="00AB2511" w:rsidP="00AB2511">
            <w:pPr>
              <w:tabs>
                <w:tab w:val="center" w:pos="3152"/>
              </w:tabs>
              <w:rPr>
                <w:rFonts w:cs="Arial"/>
                <w:szCs w:val="19"/>
                <w:lang w:val="en-US"/>
              </w:rPr>
            </w:pPr>
            <w:r w:rsidRPr="002B1997">
              <w:rPr>
                <w:rFonts w:cs="Arial"/>
                <w:szCs w:val="19"/>
                <w:lang w:val="en-US"/>
              </w:rPr>
              <w:t>Treatment of neovascular (wet) age-related macular degeneration</w:t>
            </w:r>
            <w:r>
              <w:rPr>
                <w:rFonts w:cs="Arial"/>
                <w:szCs w:val="19"/>
                <w:lang w:val="en-US"/>
              </w:rPr>
              <w:t xml:space="preserve"> in adults </w:t>
            </w:r>
            <w:r w:rsidRPr="002A03A7">
              <w:rPr>
                <w:rFonts w:cs="Arial"/>
                <w:sz w:val="16"/>
                <w:szCs w:val="16"/>
                <w:lang w:val="en-US"/>
              </w:rPr>
              <w:t>[EU]</w:t>
            </w:r>
          </w:p>
        </w:tc>
      </w:tr>
      <w:tr w:rsidR="00AB2511" w:rsidRPr="00A075A3" w14:paraId="5063E853" w14:textId="77777777" w:rsidTr="00DF1566">
        <w:tc>
          <w:tcPr>
            <w:tcW w:w="1293" w:type="pct"/>
            <w:gridSpan w:val="2"/>
            <w:shd w:val="clear" w:color="auto" w:fill="auto"/>
            <w:tcMar>
              <w:top w:w="57" w:type="dxa"/>
              <w:bottom w:w="57" w:type="dxa"/>
            </w:tcMar>
          </w:tcPr>
          <w:p w14:paraId="15A12D6D" w14:textId="5D42ADDB" w:rsidR="00AB2511" w:rsidRPr="00A145A5" w:rsidRDefault="00AB2511" w:rsidP="00AB2511">
            <w:pPr>
              <w:rPr>
                <w:rFonts w:cs="Arial"/>
                <w:szCs w:val="19"/>
              </w:rPr>
            </w:pPr>
            <w:proofErr w:type="spellStart"/>
            <w:r w:rsidRPr="00A62284">
              <w:rPr>
                <w:rFonts w:cs="Arial"/>
                <w:szCs w:val="19"/>
              </w:rPr>
              <w:t>Selpercatinib</w:t>
            </w:r>
            <w:proofErr w:type="spellEnd"/>
            <w:r>
              <w:rPr>
                <w:rFonts w:cs="Arial"/>
                <w:szCs w:val="19"/>
              </w:rPr>
              <w:t xml:space="preserve"> (</w:t>
            </w:r>
            <w:proofErr w:type="spellStart"/>
            <w:r>
              <w:rPr>
                <w:rFonts w:cs="Arial"/>
                <w:i/>
                <w:iCs/>
                <w:szCs w:val="19"/>
              </w:rPr>
              <w:t>Retsevmo</w:t>
            </w:r>
            <w:proofErr w:type="spellEnd"/>
            <w:r>
              <w:rPr>
                <w:rFonts w:cs="Arial"/>
                <w:szCs w:val="19"/>
              </w:rPr>
              <w:t>)</w:t>
            </w:r>
          </w:p>
        </w:tc>
        <w:tc>
          <w:tcPr>
            <w:tcW w:w="3707" w:type="pct"/>
            <w:shd w:val="clear" w:color="auto" w:fill="auto"/>
            <w:tcMar>
              <w:top w:w="57" w:type="dxa"/>
              <w:bottom w:w="57" w:type="dxa"/>
            </w:tcMar>
          </w:tcPr>
          <w:p w14:paraId="63585FE6" w14:textId="6214934E" w:rsidR="00AB2511" w:rsidRPr="00834632" w:rsidRDefault="00AB2511" w:rsidP="00AB2511">
            <w:pPr>
              <w:tabs>
                <w:tab w:val="center" w:pos="3152"/>
              </w:tabs>
              <w:rPr>
                <w:rFonts w:cs="Arial"/>
                <w:szCs w:val="19"/>
                <w:lang w:val="en-US"/>
              </w:rPr>
            </w:pPr>
            <w:r w:rsidRPr="002A03A7">
              <w:rPr>
                <w:rFonts w:cs="Arial"/>
                <w:szCs w:val="19"/>
                <w:lang w:val="en-US"/>
              </w:rPr>
              <w:t xml:space="preserve">Treatment of paediatric patients </w:t>
            </w:r>
            <w:r>
              <w:rPr>
                <w:rFonts w:cs="Arial"/>
                <w:szCs w:val="19"/>
                <w:lang w:val="en-US"/>
              </w:rPr>
              <w:t>aged ≥</w:t>
            </w:r>
            <w:r w:rsidRPr="002A03A7">
              <w:rPr>
                <w:rFonts w:cs="Arial"/>
                <w:szCs w:val="19"/>
                <w:lang w:val="en-US"/>
              </w:rPr>
              <w:t xml:space="preserve">2 years with advanced RET fusion-positive solid </w:t>
            </w:r>
            <w:proofErr w:type="spellStart"/>
            <w:r w:rsidRPr="002A03A7">
              <w:rPr>
                <w:rFonts w:cs="Arial"/>
                <w:szCs w:val="19"/>
                <w:lang w:val="en-US"/>
              </w:rPr>
              <w:t>tumours</w:t>
            </w:r>
            <w:proofErr w:type="spellEnd"/>
            <w:r w:rsidRPr="002A03A7">
              <w:rPr>
                <w:rFonts w:cs="Arial"/>
                <w:szCs w:val="19"/>
                <w:lang w:val="en-US"/>
              </w:rPr>
              <w:t>, when treatment options not targeting RET provide limited clinical benefit, or have been exhausted</w:t>
            </w:r>
            <w:r>
              <w:rPr>
                <w:rFonts w:cs="Arial"/>
                <w:szCs w:val="19"/>
                <w:lang w:val="en-US"/>
              </w:rPr>
              <w:t xml:space="preserve"> </w:t>
            </w:r>
            <w:r w:rsidRPr="002A03A7">
              <w:rPr>
                <w:rFonts w:cs="Arial"/>
                <w:sz w:val="16"/>
                <w:szCs w:val="16"/>
                <w:lang w:val="en-US"/>
              </w:rPr>
              <w:t>[EU] [new indication]</w:t>
            </w:r>
            <w:r>
              <w:rPr>
                <w:rFonts w:cs="Arial"/>
                <w:sz w:val="16"/>
                <w:szCs w:val="16"/>
                <w:lang w:val="en-US"/>
              </w:rPr>
              <w:t xml:space="preserve"> </w:t>
            </w:r>
            <w:r>
              <w:rPr>
                <w:rFonts w:cs="Arial"/>
                <w:i/>
                <w:iCs/>
                <w:sz w:val="16"/>
                <w:szCs w:val="16"/>
                <w:lang w:val="en-US"/>
              </w:rPr>
              <w:t>Note: Company currently has no plans to apply for a UK licence</w:t>
            </w:r>
          </w:p>
        </w:tc>
      </w:tr>
      <w:tr w:rsidR="00AB2511" w:rsidRPr="00A075A3" w14:paraId="1E999F83" w14:textId="77777777" w:rsidTr="00DF1566">
        <w:tc>
          <w:tcPr>
            <w:tcW w:w="1293" w:type="pct"/>
            <w:gridSpan w:val="2"/>
            <w:shd w:val="clear" w:color="auto" w:fill="auto"/>
            <w:tcMar>
              <w:top w:w="57" w:type="dxa"/>
              <w:bottom w:w="57" w:type="dxa"/>
            </w:tcMar>
          </w:tcPr>
          <w:p w14:paraId="23D495F7" w14:textId="4A6414FE" w:rsidR="00AB2511" w:rsidRPr="00265665" w:rsidRDefault="00AB2511" w:rsidP="00AB2511">
            <w:pPr>
              <w:rPr>
                <w:rFonts w:cs="Arial"/>
                <w:szCs w:val="19"/>
              </w:rPr>
            </w:pPr>
            <w:proofErr w:type="spellStart"/>
            <w:r w:rsidRPr="00A62284">
              <w:rPr>
                <w:rFonts w:cs="Arial"/>
                <w:szCs w:val="19"/>
              </w:rPr>
              <w:t>Selpercatinib</w:t>
            </w:r>
            <w:proofErr w:type="spellEnd"/>
            <w:r>
              <w:rPr>
                <w:rFonts w:cs="Arial"/>
                <w:szCs w:val="19"/>
              </w:rPr>
              <w:t xml:space="preserve"> (</w:t>
            </w:r>
            <w:proofErr w:type="spellStart"/>
            <w:r>
              <w:rPr>
                <w:rFonts w:cs="Arial"/>
                <w:i/>
                <w:iCs/>
                <w:szCs w:val="19"/>
              </w:rPr>
              <w:t>Retsevmo</w:t>
            </w:r>
            <w:proofErr w:type="spellEnd"/>
            <w:r>
              <w:rPr>
                <w:rFonts w:cs="Arial"/>
                <w:szCs w:val="19"/>
              </w:rPr>
              <w:t>)</w:t>
            </w:r>
          </w:p>
        </w:tc>
        <w:tc>
          <w:tcPr>
            <w:tcW w:w="3707" w:type="pct"/>
            <w:shd w:val="clear" w:color="auto" w:fill="auto"/>
            <w:tcMar>
              <w:top w:w="57" w:type="dxa"/>
              <w:bottom w:w="57" w:type="dxa"/>
            </w:tcMar>
          </w:tcPr>
          <w:p w14:paraId="2D89E818" w14:textId="7C861F33" w:rsidR="00AB2511" w:rsidRDefault="00AB2511" w:rsidP="00AB2511">
            <w:pPr>
              <w:tabs>
                <w:tab w:val="center" w:pos="3152"/>
              </w:tabs>
              <w:rPr>
                <w:rFonts w:cs="Arial"/>
                <w:szCs w:val="19"/>
                <w:lang w:val="en-US"/>
              </w:rPr>
            </w:pPr>
            <w:r>
              <w:rPr>
                <w:rFonts w:cs="Arial"/>
                <w:szCs w:val="19"/>
                <w:lang w:val="en-US"/>
              </w:rPr>
              <w:t xml:space="preserve">Treatment of </w:t>
            </w:r>
            <w:r w:rsidRPr="00C61F7A">
              <w:rPr>
                <w:rFonts w:cs="Arial"/>
                <w:szCs w:val="19"/>
                <w:lang w:val="en-US"/>
              </w:rPr>
              <w:t>advanced RET fusion-positive</w:t>
            </w:r>
            <w:r>
              <w:rPr>
                <w:rFonts w:cs="Arial"/>
                <w:szCs w:val="19"/>
                <w:lang w:val="en-US"/>
              </w:rPr>
              <w:t xml:space="preserve"> thyroid cancer</w:t>
            </w:r>
            <w:r w:rsidRPr="00C61F7A">
              <w:rPr>
                <w:rFonts w:cs="Arial"/>
                <w:szCs w:val="19"/>
                <w:lang w:val="en-US"/>
              </w:rPr>
              <w:t xml:space="preserve"> in children aged 2 to 11 years who are radioactive iodine-refractory </w:t>
            </w:r>
            <w:r w:rsidRPr="0074506E">
              <w:rPr>
                <w:rFonts w:cs="Arial"/>
                <w:sz w:val="16"/>
                <w:szCs w:val="16"/>
                <w:lang w:val="en-US"/>
              </w:rPr>
              <w:t>[EU] [licence change from use only in people aged ≥12 years]</w:t>
            </w:r>
          </w:p>
        </w:tc>
      </w:tr>
      <w:tr w:rsidR="00AB2511" w:rsidRPr="00A075A3" w14:paraId="1E75723D" w14:textId="77777777" w:rsidTr="00DF1566">
        <w:tc>
          <w:tcPr>
            <w:tcW w:w="1293" w:type="pct"/>
            <w:gridSpan w:val="2"/>
            <w:shd w:val="clear" w:color="auto" w:fill="auto"/>
            <w:tcMar>
              <w:top w:w="57" w:type="dxa"/>
              <w:bottom w:w="57" w:type="dxa"/>
            </w:tcMar>
          </w:tcPr>
          <w:p w14:paraId="55A9479F" w14:textId="4067D9F1" w:rsidR="00AB2511" w:rsidRPr="00265665" w:rsidRDefault="00AB2511" w:rsidP="00AB2511">
            <w:pPr>
              <w:rPr>
                <w:rFonts w:cs="Arial"/>
                <w:szCs w:val="19"/>
              </w:rPr>
            </w:pPr>
            <w:proofErr w:type="spellStart"/>
            <w:r>
              <w:rPr>
                <w:rFonts w:cs="Arial"/>
                <w:szCs w:val="19"/>
              </w:rPr>
              <w:t>Serplulimab</w:t>
            </w:r>
            <w:proofErr w:type="spellEnd"/>
            <w:r>
              <w:rPr>
                <w:rFonts w:cs="Arial"/>
                <w:szCs w:val="19"/>
              </w:rPr>
              <w:t xml:space="preserve"> (</w:t>
            </w:r>
            <w:proofErr w:type="spellStart"/>
            <w:r>
              <w:rPr>
                <w:rFonts w:cs="Arial"/>
                <w:i/>
                <w:iCs/>
                <w:szCs w:val="19"/>
              </w:rPr>
              <w:t>Hetronifly</w:t>
            </w:r>
            <w:proofErr w:type="spellEnd"/>
            <w:r>
              <w:rPr>
                <w:rFonts w:cs="Arial"/>
                <w:szCs w:val="19"/>
              </w:rPr>
              <w:t>)</w:t>
            </w:r>
          </w:p>
        </w:tc>
        <w:tc>
          <w:tcPr>
            <w:tcW w:w="3707" w:type="pct"/>
            <w:shd w:val="clear" w:color="auto" w:fill="auto"/>
            <w:tcMar>
              <w:top w:w="57" w:type="dxa"/>
              <w:bottom w:w="57" w:type="dxa"/>
            </w:tcMar>
          </w:tcPr>
          <w:p w14:paraId="5A2D7F31" w14:textId="6B20DA79" w:rsidR="00AB2511" w:rsidRPr="00A075A3" w:rsidRDefault="00AB2511" w:rsidP="00AB2511">
            <w:pPr>
              <w:tabs>
                <w:tab w:val="center" w:pos="3152"/>
              </w:tabs>
              <w:rPr>
                <w:rFonts w:cs="Arial"/>
                <w:szCs w:val="19"/>
                <w:lang w:val="en-US"/>
              </w:rPr>
            </w:pPr>
            <w:r>
              <w:rPr>
                <w:rFonts w:cs="Arial"/>
                <w:szCs w:val="19"/>
                <w:lang w:val="en-US"/>
              </w:rPr>
              <w:t xml:space="preserve">Use </w:t>
            </w:r>
            <w:r w:rsidRPr="006F10B6">
              <w:rPr>
                <w:rFonts w:cs="Arial"/>
                <w:szCs w:val="19"/>
                <w:lang w:val="en-US"/>
              </w:rPr>
              <w:t>in combination with carboplatin and pemetrexed for the first-line treatment of adults with locally advanced or metastatic non-squamous non-small cell lung carcinoma who do not have EGFR or ALK positive mutations</w:t>
            </w:r>
            <w:r>
              <w:rPr>
                <w:rFonts w:cs="Arial"/>
                <w:szCs w:val="19"/>
                <w:lang w:val="en-US"/>
              </w:rPr>
              <w:t xml:space="preserve"> </w:t>
            </w:r>
            <w:r w:rsidRPr="007B788E">
              <w:rPr>
                <w:rFonts w:cs="Arial"/>
                <w:sz w:val="16"/>
                <w:szCs w:val="16"/>
                <w:lang w:val="en-US"/>
              </w:rPr>
              <w:t>[EU] [new indication]</w:t>
            </w:r>
          </w:p>
        </w:tc>
      </w:tr>
      <w:tr w:rsidR="00AB2511" w:rsidRPr="00A075A3" w14:paraId="2283C2E6" w14:textId="77777777" w:rsidTr="00DF1566">
        <w:tc>
          <w:tcPr>
            <w:tcW w:w="1293" w:type="pct"/>
            <w:gridSpan w:val="2"/>
            <w:shd w:val="clear" w:color="auto" w:fill="auto"/>
            <w:tcMar>
              <w:top w:w="57" w:type="dxa"/>
              <w:bottom w:w="57" w:type="dxa"/>
            </w:tcMar>
          </w:tcPr>
          <w:p w14:paraId="1AAC562B" w14:textId="666A51AF" w:rsidR="00AB2511" w:rsidRPr="004E41E5" w:rsidRDefault="00AB2511" w:rsidP="00AB2511">
            <w:pPr>
              <w:rPr>
                <w:rFonts w:cs="Arial"/>
                <w:szCs w:val="19"/>
              </w:rPr>
            </w:pPr>
            <w:proofErr w:type="spellStart"/>
            <w:r>
              <w:rPr>
                <w:rFonts w:cs="Arial"/>
                <w:szCs w:val="19"/>
              </w:rPr>
              <w:t>Serplulimab</w:t>
            </w:r>
            <w:proofErr w:type="spellEnd"/>
            <w:r>
              <w:rPr>
                <w:rFonts w:cs="Arial"/>
                <w:szCs w:val="19"/>
              </w:rPr>
              <w:t xml:space="preserve"> (</w:t>
            </w:r>
            <w:proofErr w:type="spellStart"/>
            <w:r>
              <w:rPr>
                <w:rFonts w:cs="Arial"/>
                <w:i/>
                <w:iCs/>
                <w:szCs w:val="19"/>
              </w:rPr>
              <w:t>Hetronifly</w:t>
            </w:r>
            <w:proofErr w:type="spellEnd"/>
            <w:r>
              <w:rPr>
                <w:rFonts w:cs="Arial"/>
                <w:szCs w:val="19"/>
              </w:rPr>
              <w:t>)</w:t>
            </w:r>
          </w:p>
        </w:tc>
        <w:tc>
          <w:tcPr>
            <w:tcW w:w="3707" w:type="pct"/>
            <w:shd w:val="clear" w:color="auto" w:fill="auto"/>
            <w:tcMar>
              <w:top w:w="57" w:type="dxa"/>
              <w:bottom w:w="57" w:type="dxa"/>
            </w:tcMar>
          </w:tcPr>
          <w:p w14:paraId="60727873" w14:textId="17CC9EFD" w:rsidR="00AB2511" w:rsidRPr="00E0200A" w:rsidRDefault="00AB2511" w:rsidP="00AB2511">
            <w:pPr>
              <w:tabs>
                <w:tab w:val="center" w:pos="3152"/>
              </w:tabs>
              <w:rPr>
                <w:rFonts w:cs="Arial"/>
                <w:szCs w:val="19"/>
                <w:lang w:val="en-US"/>
              </w:rPr>
            </w:pPr>
            <w:r w:rsidRPr="002909D0">
              <w:rPr>
                <w:rFonts w:cs="Arial"/>
                <w:szCs w:val="19"/>
                <w:lang w:val="en-US"/>
              </w:rPr>
              <w:t>Use in combination with carboplatin and nab-paclitaxel for the first-line treatment of adults with unresectable, locally advanced or metastatic squamous non-small cell lung carcinoma</w:t>
            </w:r>
            <w:r>
              <w:rPr>
                <w:rFonts w:cs="Arial"/>
                <w:szCs w:val="19"/>
                <w:lang w:val="en-US"/>
              </w:rPr>
              <w:t xml:space="preserve"> </w:t>
            </w:r>
            <w:r w:rsidRPr="007B788E">
              <w:rPr>
                <w:rFonts w:cs="Arial"/>
                <w:sz w:val="16"/>
                <w:szCs w:val="16"/>
                <w:lang w:val="en-US"/>
              </w:rPr>
              <w:t>[EU] [new indication]</w:t>
            </w:r>
          </w:p>
        </w:tc>
      </w:tr>
      <w:tr w:rsidR="00AB2511" w:rsidRPr="00A075A3" w14:paraId="0C460946" w14:textId="77777777" w:rsidTr="00DF1566">
        <w:tc>
          <w:tcPr>
            <w:tcW w:w="1293" w:type="pct"/>
            <w:gridSpan w:val="2"/>
            <w:shd w:val="clear" w:color="auto" w:fill="auto"/>
            <w:tcMar>
              <w:top w:w="57" w:type="dxa"/>
              <w:bottom w:w="57" w:type="dxa"/>
            </w:tcMar>
          </w:tcPr>
          <w:p w14:paraId="33D8B358" w14:textId="551F0E14" w:rsidR="00AB2511" w:rsidRPr="004910AC" w:rsidRDefault="00AB2511" w:rsidP="00AB2511">
            <w:pPr>
              <w:rPr>
                <w:rFonts w:cs="Arial"/>
                <w:szCs w:val="19"/>
              </w:rPr>
            </w:pPr>
            <w:proofErr w:type="spellStart"/>
            <w:r>
              <w:rPr>
                <w:rFonts w:cs="Arial"/>
                <w:szCs w:val="19"/>
              </w:rPr>
              <w:t>Serplulimab</w:t>
            </w:r>
            <w:proofErr w:type="spellEnd"/>
            <w:r>
              <w:rPr>
                <w:rFonts w:cs="Arial"/>
                <w:szCs w:val="19"/>
              </w:rPr>
              <w:t xml:space="preserve"> (</w:t>
            </w:r>
            <w:proofErr w:type="spellStart"/>
            <w:r>
              <w:rPr>
                <w:rFonts w:cs="Arial"/>
                <w:i/>
                <w:iCs/>
                <w:szCs w:val="19"/>
              </w:rPr>
              <w:t>Hetronifly</w:t>
            </w:r>
            <w:proofErr w:type="spellEnd"/>
            <w:r>
              <w:rPr>
                <w:rFonts w:cs="Arial"/>
                <w:szCs w:val="19"/>
              </w:rPr>
              <w:t>)</w:t>
            </w:r>
          </w:p>
        </w:tc>
        <w:tc>
          <w:tcPr>
            <w:tcW w:w="3707" w:type="pct"/>
            <w:shd w:val="clear" w:color="auto" w:fill="auto"/>
            <w:tcMar>
              <w:top w:w="57" w:type="dxa"/>
              <w:bottom w:w="57" w:type="dxa"/>
            </w:tcMar>
          </w:tcPr>
          <w:p w14:paraId="1B64FCE1" w14:textId="236C0B5B" w:rsidR="00AB2511" w:rsidRPr="009B02D6" w:rsidRDefault="00AB2511" w:rsidP="00AB2511">
            <w:pPr>
              <w:tabs>
                <w:tab w:val="center" w:pos="3152"/>
              </w:tabs>
              <w:rPr>
                <w:rFonts w:cs="Arial"/>
                <w:i/>
                <w:iCs/>
                <w:szCs w:val="19"/>
                <w:lang w:val="en-US"/>
              </w:rPr>
            </w:pPr>
            <w:r>
              <w:rPr>
                <w:rFonts w:cs="Arial"/>
                <w:szCs w:val="19"/>
                <w:lang w:val="en-US"/>
              </w:rPr>
              <w:t xml:space="preserve">Use </w:t>
            </w:r>
            <w:r w:rsidRPr="0025261E">
              <w:rPr>
                <w:rFonts w:cs="Arial"/>
                <w:szCs w:val="19"/>
                <w:lang w:val="en-US"/>
              </w:rPr>
              <w:t xml:space="preserve">in combination with fluoropyrimidine- and platinum-based chemotherapy for the first-line treatment of adults with unresectable, locally advanced/recurrent or metastatic </w:t>
            </w:r>
            <w:proofErr w:type="spellStart"/>
            <w:r w:rsidRPr="0025261E">
              <w:rPr>
                <w:rFonts w:cs="Arial"/>
                <w:szCs w:val="19"/>
                <w:lang w:val="en-US"/>
              </w:rPr>
              <w:t>oesophageal</w:t>
            </w:r>
            <w:proofErr w:type="spellEnd"/>
            <w:r w:rsidRPr="0025261E">
              <w:rPr>
                <w:rFonts w:cs="Arial"/>
                <w:szCs w:val="19"/>
                <w:lang w:val="en-US"/>
              </w:rPr>
              <w:t xml:space="preserve"> squamous cell carcinoma whose </w:t>
            </w:r>
            <w:proofErr w:type="spellStart"/>
            <w:r w:rsidRPr="0025261E">
              <w:rPr>
                <w:rFonts w:cs="Arial"/>
                <w:szCs w:val="19"/>
                <w:lang w:val="en-US"/>
              </w:rPr>
              <w:t>tumours</w:t>
            </w:r>
            <w:proofErr w:type="spellEnd"/>
            <w:r w:rsidRPr="0025261E">
              <w:rPr>
                <w:rFonts w:cs="Arial"/>
                <w:szCs w:val="19"/>
                <w:lang w:val="en-US"/>
              </w:rPr>
              <w:t xml:space="preserve"> express PD-L1 with a CPS ≥1</w:t>
            </w:r>
            <w:r>
              <w:rPr>
                <w:rFonts w:cs="Arial"/>
                <w:szCs w:val="19"/>
                <w:lang w:val="en-US"/>
              </w:rPr>
              <w:t xml:space="preserve"> </w:t>
            </w:r>
            <w:r w:rsidRPr="007B788E">
              <w:rPr>
                <w:rFonts w:cs="Arial"/>
                <w:sz w:val="16"/>
                <w:szCs w:val="16"/>
                <w:lang w:val="en-US"/>
              </w:rPr>
              <w:t>[EU] [new indication]</w:t>
            </w:r>
          </w:p>
        </w:tc>
      </w:tr>
      <w:tr w:rsidR="00AB2511" w:rsidRPr="00A075A3" w14:paraId="2DDA88B1" w14:textId="77777777" w:rsidTr="00DF1566">
        <w:tc>
          <w:tcPr>
            <w:tcW w:w="1293" w:type="pct"/>
            <w:gridSpan w:val="2"/>
            <w:shd w:val="clear" w:color="auto" w:fill="auto"/>
            <w:tcMar>
              <w:top w:w="57" w:type="dxa"/>
              <w:bottom w:w="57" w:type="dxa"/>
            </w:tcMar>
          </w:tcPr>
          <w:p w14:paraId="75DE8B7B" w14:textId="02FC5FBB" w:rsidR="00AB2511" w:rsidRDefault="00AB2511" w:rsidP="00AB2511">
            <w:pPr>
              <w:rPr>
                <w:rFonts w:cs="Arial"/>
                <w:szCs w:val="19"/>
              </w:rPr>
            </w:pPr>
            <w:r>
              <w:rPr>
                <w:rFonts w:cs="Arial"/>
                <w:szCs w:val="19"/>
              </w:rPr>
              <w:t>Setmelanotide (</w:t>
            </w:r>
            <w:r>
              <w:rPr>
                <w:rFonts w:cs="Arial"/>
                <w:i/>
                <w:iCs/>
                <w:szCs w:val="19"/>
              </w:rPr>
              <w:t>Imcivree</w:t>
            </w:r>
            <w:r>
              <w:rPr>
                <w:rFonts w:cs="Arial"/>
                <w:szCs w:val="19"/>
              </w:rPr>
              <w:t>)</w:t>
            </w:r>
          </w:p>
        </w:tc>
        <w:tc>
          <w:tcPr>
            <w:tcW w:w="3707" w:type="pct"/>
            <w:shd w:val="clear" w:color="auto" w:fill="auto"/>
            <w:tcMar>
              <w:top w:w="57" w:type="dxa"/>
              <w:bottom w:w="57" w:type="dxa"/>
            </w:tcMar>
          </w:tcPr>
          <w:p w14:paraId="7599F1B4" w14:textId="26F128DB" w:rsidR="00AB2511" w:rsidRPr="00460B68" w:rsidRDefault="00AB2511" w:rsidP="00AB2511">
            <w:pPr>
              <w:tabs>
                <w:tab w:val="center" w:pos="3152"/>
              </w:tabs>
              <w:rPr>
                <w:rFonts w:cs="Arial"/>
                <w:szCs w:val="19"/>
                <w:lang w:val="en-US"/>
              </w:rPr>
            </w:pPr>
            <w:r>
              <w:rPr>
                <w:rFonts w:cs="Arial"/>
                <w:szCs w:val="19"/>
                <w:lang w:val="en-US"/>
              </w:rPr>
              <w:t>C</w:t>
            </w:r>
            <w:r w:rsidRPr="007B788E">
              <w:rPr>
                <w:rFonts w:cs="Arial"/>
                <w:szCs w:val="19"/>
                <w:lang w:val="en-US"/>
              </w:rPr>
              <w:t>ontrol of hunger in adults and children aged ≥4 years</w:t>
            </w:r>
            <w:r>
              <w:rPr>
                <w:rFonts w:cs="Arial"/>
                <w:szCs w:val="19"/>
                <w:lang w:val="en-US"/>
              </w:rPr>
              <w:t xml:space="preserve"> with </w:t>
            </w:r>
            <w:r w:rsidRPr="007B788E">
              <w:rPr>
                <w:rFonts w:cs="Arial"/>
                <w:szCs w:val="19"/>
                <w:lang w:val="en-US"/>
              </w:rPr>
              <w:t>acquired hypothalamic</w:t>
            </w:r>
            <w:r>
              <w:rPr>
                <w:rFonts w:cs="Arial"/>
                <w:szCs w:val="19"/>
                <w:lang w:val="en-US"/>
              </w:rPr>
              <w:t xml:space="preserve"> obesity </w:t>
            </w:r>
            <w:r w:rsidRPr="007B788E">
              <w:rPr>
                <w:rFonts w:cs="Arial"/>
                <w:sz w:val="16"/>
                <w:szCs w:val="16"/>
                <w:lang w:val="en-US"/>
              </w:rPr>
              <w:t>[EU] [new indication]</w:t>
            </w:r>
          </w:p>
        </w:tc>
      </w:tr>
      <w:tr w:rsidR="00AB2511" w:rsidRPr="00A075A3" w14:paraId="4E7FCC23" w14:textId="77777777" w:rsidTr="00DF1566">
        <w:tc>
          <w:tcPr>
            <w:tcW w:w="1293" w:type="pct"/>
            <w:gridSpan w:val="2"/>
            <w:shd w:val="clear" w:color="auto" w:fill="auto"/>
            <w:tcMar>
              <w:top w:w="57" w:type="dxa"/>
              <w:bottom w:w="57" w:type="dxa"/>
            </w:tcMar>
          </w:tcPr>
          <w:p w14:paraId="33BAC358" w14:textId="184FCAE0" w:rsidR="00AB2511" w:rsidRPr="00337D23" w:rsidRDefault="00AB2511" w:rsidP="00AB2511">
            <w:pPr>
              <w:rPr>
                <w:rFonts w:cs="Arial"/>
                <w:szCs w:val="19"/>
              </w:rPr>
            </w:pPr>
            <w:r>
              <w:rPr>
                <w:rFonts w:cs="Arial"/>
                <w:szCs w:val="19"/>
              </w:rPr>
              <w:t>Tedizolid (</w:t>
            </w:r>
            <w:proofErr w:type="spellStart"/>
            <w:r>
              <w:rPr>
                <w:rFonts w:cs="Arial"/>
                <w:i/>
                <w:iCs/>
                <w:szCs w:val="19"/>
              </w:rPr>
              <w:t>Sivextro</w:t>
            </w:r>
            <w:proofErr w:type="spellEnd"/>
            <w:r>
              <w:rPr>
                <w:rFonts w:cs="Arial"/>
                <w:szCs w:val="19"/>
              </w:rPr>
              <w:t>)</w:t>
            </w:r>
          </w:p>
        </w:tc>
        <w:tc>
          <w:tcPr>
            <w:tcW w:w="3707" w:type="pct"/>
            <w:shd w:val="clear" w:color="auto" w:fill="auto"/>
            <w:tcMar>
              <w:top w:w="57" w:type="dxa"/>
              <w:bottom w:w="57" w:type="dxa"/>
            </w:tcMar>
          </w:tcPr>
          <w:p w14:paraId="4826A5A7" w14:textId="77777777" w:rsidR="00AB2511" w:rsidRDefault="00AB2511" w:rsidP="00AB2511">
            <w:pPr>
              <w:tabs>
                <w:tab w:val="center" w:pos="3152"/>
              </w:tabs>
              <w:rPr>
                <w:rFonts w:cs="Arial"/>
                <w:sz w:val="16"/>
                <w:szCs w:val="16"/>
                <w:lang w:val="en-US"/>
              </w:rPr>
            </w:pPr>
            <w:r w:rsidRPr="001B72A0">
              <w:rPr>
                <w:rFonts w:cs="Arial"/>
                <w:szCs w:val="19"/>
                <w:lang w:val="en-US"/>
              </w:rPr>
              <w:t>Treatment of acute bacterial skin and skin structure infections</w:t>
            </w:r>
            <w:r>
              <w:rPr>
                <w:rFonts w:cs="Arial"/>
                <w:szCs w:val="19"/>
                <w:lang w:val="en-US"/>
              </w:rPr>
              <w:t xml:space="preserve"> </w:t>
            </w:r>
            <w:r w:rsidRPr="002F1510">
              <w:rPr>
                <w:rFonts w:cs="Arial"/>
                <w:sz w:val="16"/>
                <w:szCs w:val="16"/>
                <w:lang w:val="en-US"/>
              </w:rPr>
              <w:t xml:space="preserve">[EU] </w:t>
            </w:r>
          </w:p>
          <w:p w14:paraId="1EE4E707" w14:textId="0DADCCF1" w:rsidR="00AB2511" w:rsidRPr="002A03A7" w:rsidRDefault="00AB2511" w:rsidP="00AB2511">
            <w:pPr>
              <w:tabs>
                <w:tab w:val="center" w:pos="3152"/>
              </w:tabs>
              <w:rPr>
                <w:rFonts w:cs="Arial"/>
                <w:szCs w:val="19"/>
                <w:lang w:val="en-US"/>
              </w:rPr>
            </w:pPr>
            <w:r w:rsidRPr="002F1510">
              <w:rPr>
                <w:rFonts w:cs="Arial"/>
                <w:sz w:val="16"/>
                <w:szCs w:val="16"/>
                <w:lang w:val="en-US"/>
              </w:rPr>
              <w:t>[new powder for oral suspension formulation]</w:t>
            </w:r>
          </w:p>
        </w:tc>
      </w:tr>
      <w:tr w:rsidR="00AB2511" w:rsidRPr="000F19E1" w14:paraId="49F38297" w14:textId="77777777" w:rsidTr="00DF1566">
        <w:tc>
          <w:tcPr>
            <w:tcW w:w="1293" w:type="pct"/>
            <w:gridSpan w:val="2"/>
            <w:shd w:val="clear" w:color="auto" w:fill="auto"/>
            <w:tcMar>
              <w:top w:w="0" w:type="dxa"/>
              <w:bottom w:w="0" w:type="dxa"/>
            </w:tcMar>
          </w:tcPr>
          <w:p w14:paraId="2411AD17" w14:textId="77777777" w:rsidR="00AB2511" w:rsidRPr="000F19E1" w:rsidRDefault="00AB2511" w:rsidP="00AB2511">
            <w:pPr>
              <w:rPr>
                <w:rFonts w:cs="Arial"/>
                <w:bCs/>
                <w:sz w:val="8"/>
                <w:szCs w:val="8"/>
              </w:rPr>
            </w:pPr>
          </w:p>
        </w:tc>
        <w:tc>
          <w:tcPr>
            <w:tcW w:w="3707" w:type="pct"/>
            <w:shd w:val="clear" w:color="auto" w:fill="auto"/>
            <w:tcMar>
              <w:top w:w="0" w:type="dxa"/>
              <w:bottom w:w="0" w:type="dxa"/>
            </w:tcMar>
          </w:tcPr>
          <w:p w14:paraId="552A11A3" w14:textId="77777777" w:rsidR="00AB2511" w:rsidRPr="000F19E1" w:rsidRDefault="00AB2511" w:rsidP="00AB2511">
            <w:pPr>
              <w:tabs>
                <w:tab w:val="center" w:pos="3152"/>
              </w:tabs>
              <w:rPr>
                <w:rFonts w:cs="Arial"/>
                <w:sz w:val="8"/>
                <w:szCs w:val="8"/>
                <w:lang w:val="en-US"/>
              </w:rPr>
            </w:pPr>
          </w:p>
        </w:tc>
      </w:tr>
      <w:tr w:rsidR="00AB2511" w:rsidRPr="000F19E1" w14:paraId="49F83736" w14:textId="77777777" w:rsidTr="00DF1566">
        <w:tc>
          <w:tcPr>
            <w:tcW w:w="1152" w:type="pct"/>
            <w:shd w:val="clear" w:color="auto" w:fill="DAEEF3"/>
            <w:tcMar>
              <w:top w:w="0" w:type="dxa"/>
              <w:bottom w:w="0" w:type="dxa"/>
            </w:tcMar>
          </w:tcPr>
          <w:p w14:paraId="1DE5B5AC" w14:textId="77777777" w:rsidR="00AB2511" w:rsidRPr="000F19E1" w:rsidRDefault="00AB2511" w:rsidP="00AB2511">
            <w:pPr>
              <w:rPr>
                <w:rFonts w:cs="Arial"/>
                <w:bCs/>
                <w:sz w:val="8"/>
                <w:szCs w:val="8"/>
              </w:rPr>
            </w:pPr>
          </w:p>
        </w:tc>
        <w:tc>
          <w:tcPr>
            <w:tcW w:w="3848" w:type="pct"/>
            <w:gridSpan w:val="2"/>
            <w:shd w:val="clear" w:color="auto" w:fill="DAEEF3"/>
            <w:tcMar>
              <w:top w:w="0" w:type="dxa"/>
              <w:bottom w:w="0" w:type="dxa"/>
            </w:tcMar>
          </w:tcPr>
          <w:p w14:paraId="107740A8" w14:textId="77777777" w:rsidR="00AB2511" w:rsidRPr="000F19E1" w:rsidRDefault="00AB2511" w:rsidP="00AB2511">
            <w:pPr>
              <w:tabs>
                <w:tab w:val="center" w:pos="3152"/>
              </w:tabs>
              <w:rPr>
                <w:rFonts w:cs="Arial"/>
                <w:sz w:val="8"/>
                <w:szCs w:val="8"/>
                <w:lang w:val="en-US"/>
              </w:rPr>
            </w:pPr>
          </w:p>
        </w:tc>
      </w:tr>
    </w:tbl>
    <w:p w14:paraId="04034E1F" w14:textId="77777777" w:rsidR="000F6C6C" w:rsidRDefault="000F6C6C">
      <w:r>
        <w:br w:type="page"/>
      </w:r>
    </w:p>
    <w:p w14:paraId="4CB17A76" w14:textId="77777777" w:rsidR="000F6C6C" w:rsidRDefault="000F6C6C"/>
    <w:p w14:paraId="4C1BE9DB" w14:textId="77777777" w:rsidR="003A0E9A" w:rsidRDefault="003A0E9A" w:rsidP="003D16EF">
      <w:pPr>
        <w:rPr>
          <w:sz w:val="8"/>
          <w:szCs w:val="8"/>
        </w:rPr>
      </w:pPr>
    </w:p>
    <w:p w14:paraId="7793B8BF" w14:textId="77777777" w:rsidR="003A0E9A" w:rsidRDefault="003A0E9A" w:rsidP="003D16EF">
      <w:pPr>
        <w:rPr>
          <w:sz w:val="8"/>
          <w:szCs w:val="8"/>
        </w:rPr>
      </w:pPr>
    </w:p>
    <w:tbl>
      <w:tblPr>
        <w:tblW w:w="5170" w:type="pct"/>
        <w:tblInd w:w="-176" w:type="dxa"/>
        <w:tblLayout w:type="fixed"/>
        <w:tblLook w:val="01E0" w:firstRow="1" w:lastRow="1" w:firstColumn="1" w:lastColumn="1" w:noHBand="0" w:noVBand="0"/>
      </w:tblPr>
      <w:tblGrid>
        <w:gridCol w:w="2430"/>
        <w:gridCol w:w="298"/>
        <w:gridCol w:w="131"/>
        <w:gridCol w:w="7692"/>
      </w:tblGrid>
      <w:tr w:rsidR="003A0E9A" w:rsidRPr="00862949" w14:paraId="6E697F4C" w14:textId="77777777" w:rsidTr="00DF1566">
        <w:tc>
          <w:tcPr>
            <w:tcW w:w="5000" w:type="pct"/>
            <w:gridSpan w:val="4"/>
            <w:shd w:val="clear" w:color="auto" w:fill="0070C0"/>
            <w:tcMar>
              <w:top w:w="85" w:type="dxa"/>
              <w:bottom w:w="85" w:type="dxa"/>
            </w:tcMar>
            <w:vAlign w:val="bottom"/>
          </w:tcPr>
          <w:p w14:paraId="4C9AEC56" w14:textId="77777777" w:rsidR="003A0E9A" w:rsidRPr="00862949" w:rsidRDefault="003A0E9A" w:rsidP="00DF1566">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3A0E9A" w:rsidRPr="000F19E1" w14:paraId="3EE4E1B6" w14:textId="77777777" w:rsidTr="00DF1566">
        <w:tc>
          <w:tcPr>
            <w:tcW w:w="1152" w:type="pct"/>
            <w:shd w:val="clear" w:color="auto" w:fill="DAEEF3"/>
            <w:tcMar>
              <w:top w:w="0" w:type="dxa"/>
              <w:bottom w:w="0" w:type="dxa"/>
            </w:tcMar>
          </w:tcPr>
          <w:p w14:paraId="60458191" w14:textId="77777777" w:rsidR="003A0E9A" w:rsidRPr="000F19E1" w:rsidRDefault="003A0E9A" w:rsidP="00DF1566">
            <w:pPr>
              <w:rPr>
                <w:rFonts w:cs="Arial"/>
                <w:bCs/>
                <w:sz w:val="8"/>
                <w:szCs w:val="8"/>
              </w:rPr>
            </w:pPr>
          </w:p>
        </w:tc>
        <w:tc>
          <w:tcPr>
            <w:tcW w:w="3848" w:type="pct"/>
            <w:gridSpan w:val="3"/>
            <w:shd w:val="clear" w:color="auto" w:fill="DAEEF3"/>
            <w:tcMar>
              <w:top w:w="0" w:type="dxa"/>
              <w:bottom w:w="0" w:type="dxa"/>
            </w:tcMar>
          </w:tcPr>
          <w:p w14:paraId="6588745C" w14:textId="77777777" w:rsidR="003A0E9A" w:rsidRPr="000F19E1" w:rsidRDefault="003A0E9A" w:rsidP="00DF1566">
            <w:pPr>
              <w:tabs>
                <w:tab w:val="center" w:pos="3152"/>
              </w:tabs>
              <w:rPr>
                <w:rFonts w:cs="Arial"/>
                <w:sz w:val="8"/>
                <w:szCs w:val="8"/>
                <w:lang w:val="en-US"/>
              </w:rPr>
            </w:pPr>
          </w:p>
        </w:tc>
      </w:tr>
      <w:tr w:rsidR="003A0E9A" w:rsidRPr="00433D3E" w14:paraId="27A67AE3" w14:textId="77777777" w:rsidTr="00DF1566">
        <w:tc>
          <w:tcPr>
            <w:tcW w:w="5000" w:type="pct"/>
            <w:gridSpan w:val="4"/>
            <w:shd w:val="clear" w:color="auto" w:fill="008232"/>
            <w:tcMar>
              <w:top w:w="57" w:type="dxa"/>
              <w:bottom w:w="57" w:type="dxa"/>
            </w:tcMar>
          </w:tcPr>
          <w:p w14:paraId="6DB3D95B" w14:textId="77777777" w:rsidR="003A0E9A" w:rsidRPr="00433D3E" w:rsidRDefault="003A0E9A" w:rsidP="00DF1566">
            <w:pPr>
              <w:rPr>
                <w:rFonts w:cs="Arial"/>
                <w:noProof/>
                <w:color w:val="FFFFFF"/>
                <w:sz w:val="16"/>
                <w:szCs w:val="16"/>
              </w:rPr>
            </w:pPr>
            <w:r w:rsidRPr="00433D3E">
              <w:rPr>
                <w:rFonts w:cs="Arial"/>
                <w:b/>
                <w:bCs/>
                <w:i/>
                <w:iCs/>
                <w:color w:val="FFFFFF"/>
                <w:sz w:val="22"/>
                <w:szCs w:val="20"/>
                <w:lang w:val="en-US"/>
              </w:rPr>
              <w:t xml:space="preserve">Filed for approval in the </w:t>
            </w:r>
            <w:r>
              <w:rPr>
                <w:rFonts w:cs="Arial"/>
                <w:b/>
                <w:bCs/>
                <w:i/>
                <w:iCs/>
                <w:color w:val="FFFFFF"/>
                <w:sz w:val="22"/>
                <w:szCs w:val="20"/>
                <w:lang w:val="en-US"/>
              </w:rPr>
              <w:t xml:space="preserve">UK or </w:t>
            </w:r>
            <w:r w:rsidRPr="00433D3E">
              <w:rPr>
                <w:rFonts w:cs="Arial"/>
                <w:b/>
                <w:bCs/>
                <w:i/>
                <w:iCs/>
                <w:color w:val="FFFFFF"/>
                <w:sz w:val="22"/>
                <w:szCs w:val="20"/>
                <w:lang w:val="en-US"/>
              </w:rPr>
              <w:t>EU</w:t>
            </w:r>
            <w:r>
              <w:rPr>
                <w:rFonts w:cs="Arial"/>
                <w:b/>
                <w:bCs/>
                <w:i/>
                <w:iCs/>
                <w:color w:val="FFFFFF"/>
                <w:sz w:val="22"/>
                <w:szCs w:val="20"/>
                <w:lang w:val="en-US"/>
              </w:rPr>
              <w:t xml:space="preserve"> </w:t>
            </w:r>
            <w:r w:rsidRPr="003A0E9A">
              <w:rPr>
                <w:rFonts w:cs="Arial"/>
                <w:b/>
                <w:bCs/>
                <w:color w:val="FFFFFF"/>
                <w:sz w:val="16"/>
                <w:szCs w:val="14"/>
                <w:lang w:val="en-US"/>
              </w:rPr>
              <w:t>(continued)</w:t>
            </w:r>
          </w:p>
        </w:tc>
      </w:tr>
      <w:tr w:rsidR="001576F9" w:rsidRPr="00A075A3" w14:paraId="0025B01A" w14:textId="77777777" w:rsidTr="00DF1566">
        <w:tc>
          <w:tcPr>
            <w:tcW w:w="1293" w:type="pct"/>
            <w:gridSpan w:val="2"/>
            <w:shd w:val="clear" w:color="auto" w:fill="auto"/>
            <w:tcMar>
              <w:top w:w="57" w:type="dxa"/>
              <w:bottom w:w="57" w:type="dxa"/>
            </w:tcMar>
          </w:tcPr>
          <w:p w14:paraId="22557DAB" w14:textId="77777777" w:rsidR="001576F9" w:rsidRPr="002D706B" w:rsidRDefault="001576F9" w:rsidP="001576F9">
            <w:pPr>
              <w:rPr>
                <w:rFonts w:cs="Arial"/>
                <w:szCs w:val="19"/>
              </w:rPr>
            </w:pPr>
            <w:r>
              <w:rPr>
                <w:rFonts w:cs="Arial"/>
                <w:szCs w:val="19"/>
              </w:rPr>
              <w:t>Tirzepatide (</w:t>
            </w:r>
            <w:r>
              <w:rPr>
                <w:rFonts w:cs="Arial"/>
                <w:i/>
                <w:iCs/>
                <w:szCs w:val="19"/>
              </w:rPr>
              <w:t>Mounjaro</w:t>
            </w:r>
            <w:r>
              <w:rPr>
                <w:rFonts w:cs="Arial"/>
                <w:szCs w:val="19"/>
              </w:rPr>
              <w:t>)</w:t>
            </w:r>
          </w:p>
        </w:tc>
        <w:tc>
          <w:tcPr>
            <w:tcW w:w="3707" w:type="pct"/>
            <w:gridSpan w:val="2"/>
            <w:shd w:val="clear" w:color="auto" w:fill="auto"/>
            <w:tcMar>
              <w:top w:w="57" w:type="dxa"/>
              <w:bottom w:w="57" w:type="dxa"/>
            </w:tcMar>
          </w:tcPr>
          <w:p w14:paraId="44C2CC55" w14:textId="77777777" w:rsidR="001576F9" w:rsidRPr="003F02CB" w:rsidRDefault="001576F9" w:rsidP="001576F9">
            <w:pPr>
              <w:tabs>
                <w:tab w:val="center" w:pos="3152"/>
              </w:tabs>
              <w:rPr>
                <w:rFonts w:cs="Arial"/>
                <w:szCs w:val="19"/>
                <w:lang w:val="en-US"/>
              </w:rPr>
            </w:pPr>
            <w:r>
              <w:rPr>
                <w:rFonts w:cs="Arial"/>
                <w:szCs w:val="19"/>
                <w:lang w:val="en-US"/>
              </w:rPr>
              <w:t xml:space="preserve">Treatment of </w:t>
            </w:r>
            <w:r w:rsidRPr="00D77B6D">
              <w:rPr>
                <w:rFonts w:cs="Arial"/>
                <w:szCs w:val="19"/>
                <w:lang w:val="en-US"/>
              </w:rPr>
              <w:tab/>
              <w:t>insufficiently controlled</w:t>
            </w:r>
            <w:r>
              <w:rPr>
                <w:rFonts w:cs="Arial"/>
                <w:szCs w:val="19"/>
                <w:lang w:val="en-US"/>
              </w:rPr>
              <w:t xml:space="preserve"> t</w:t>
            </w:r>
            <w:r w:rsidRPr="00D77B6D">
              <w:rPr>
                <w:rFonts w:cs="Arial"/>
                <w:szCs w:val="19"/>
                <w:lang w:val="en-US"/>
              </w:rPr>
              <w:t xml:space="preserve">ype 2 diabetes mellitus </w:t>
            </w:r>
            <w:r>
              <w:rPr>
                <w:rFonts w:cs="Arial"/>
                <w:szCs w:val="19"/>
                <w:lang w:val="en-US"/>
              </w:rPr>
              <w:t>in</w:t>
            </w:r>
            <w:r w:rsidRPr="00D77B6D">
              <w:rPr>
                <w:rFonts w:cs="Arial"/>
                <w:szCs w:val="19"/>
                <w:lang w:val="en-US"/>
              </w:rPr>
              <w:t xml:space="preserve"> children and adolescents aged 10 to 17 years as an adjunct to diet and exercise in addition to other medicinal products for treatment of diabetes</w:t>
            </w:r>
            <w:r>
              <w:rPr>
                <w:rFonts w:cs="Arial"/>
                <w:szCs w:val="19"/>
                <w:lang w:val="en-US"/>
              </w:rPr>
              <w:t xml:space="preserve"> </w:t>
            </w:r>
            <w:r w:rsidRPr="000579A8">
              <w:rPr>
                <w:rFonts w:cs="Arial"/>
                <w:sz w:val="16"/>
                <w:szCs w:val="16"/>
                <w:lang w:val="en-US"/>
              </w:rPr>
              <w:t>[</w:t>
            </w:r>
            <w:r>
              <w:rPr>
                <w:rFonts w:cs="Arial"/>
                <w:sz w:val="16"/>
                <w:szCs w:val="16"/>
                <w:lang w:val="en-US"/>
              </w:rPr>
              <w:t xml:space="preserve">UK and </w:t>
            </w:r>
            <w:r w:rsidRPr="000579A8">
              <w:rPr>
                <w:rFonts w:cs="Arial"/>
                <w:sz w:val="16"/>
                <w:szCs w:val="16"/>
                <w:lang w:val="en-US"/>
              </w:rPr>
              <w:t>EU] [</w:t>
            </w:r>
            <w:r>
              <w:rPr>
                <w:rFonts w:cs="Arial"/>
                <w:sz w:val="16"/>
                <w:szCs w:val="16"/>
                <w:lang w:val="en-US"/>
              </w:rPr>
              <w:t>licence change from use only in adults</w:t>
            </w:r>
            <w:r w:rsidRPr="000579A8">
              <w:rPr>
                <w:rFonts w:cs="Arial"/>
                <w:sz w:val="16"/>
                <w:szCs w:val="16"/>
                <w:lang w:val="en-US"/>
              </w:rPr>
              <w:t>]</w:t>
            </w:r>
          </w:p>
        </w:tc>
      </w:tr>
      <w:tr w:rsidR="001576F9" w:rsidRPr="00A075A3" w14:paraId="44C2907C" w14:textId="77777777" w:rsidTr="00DF1566">
        <w:tc>
          <w:tcPr>
            <w:tcW w:w="1293" w:type="pct"/>
            <w:gridSpan w:val="2"/>
            <w:shd w:val="clear" w:color="auto" w:fill="auto"/>
            <w:tcMar>
              <w:top w:w="57" w:type="dxa"/>
              <w:bottom w:w="57" w:type="dxa"/>
            </w:tcMar>
          </w:tcPr>
          <w:p w14:paraId="40E1730B" w14:textId="77777777" w:rsidR="001576F9" w:rsidRPr="008E26D6" w:rsidRDefault="001576F9" w:rsidP="001576F9">
            <w:pPr>
              <w:rPr>
                <w:rFonts w:cs="Arial"/>
                <w:szCs w:val="19"/>
              </w:rPr>
            </w:pPr>
            <w:r>
              <w:rPr>
                <w:rFonts w:cs="Arial"/>
                <w:szCs w:val="19"/>
              </w:rPr>
              <w:t>Trametinib (</w:t>
            </w:r>
            <w:proofErr w:type="spellStart"/>
            <w:r w:rsidRPr="00414ABF">
              <w:rPr>
                <w:rFonts w:cs="Arial"/>
                <w:i/>
                <w:iCs/>
                <w:szCs w:val="19"/>
              </w:rPr>
              <w:t>Mekinist</w:t>
            </w:r>
            <w:proofErr w:type="spellEnd"/>
            <w:r>
              <w:rPr>
                <w:rFonts w:cs="Arial"/>
                <w:szCs w:val="19"/>
              </w:rPr>
              <w:t>)</w:t>
            </w:r>
          </w:p>
        </w:tc>
        <w:tc>
          <w:tcPr>
            <w:tcW w:w="3707" w:type="pct"/>
            <w:gridSpan w:val="2"/>
            <w:shd w:val="clear" w:color="auto" w:fill="auto"/>
            <w:tcMar>
              <w:top w:w="57" w:type="dxa"/>
              <w:bottom w:w="57" w:type="dxa"/>
            </w:tcMar>
          </w:tcPr>
          <w:p w14:paraId="24073D2C" w14:textId="77777777" w:rsidR="001576F9" w:rsidRPr="00114EE4" w:rsidRDefault="001576F9" w:rsidP="001576F9">
            <w:pPr>
              <w:tabs>
                <w:tab w:val="center" w:pos="3152"/>
              </w:tabs>
              <w:rPr>
                <w:rFonts w:cs="Arial"/>
                <w:color w:val="000000"/>
                <w:szCs w:val="19"/>
                <w:lang w:val="en-US"/>
              </w:rPr>
            </w:pPr>
            <w:r>
              <w:rPr>
                <w:rFonts w:cs="Arial"/>
                <w:szCs w:val="19"/>
                <w:lang w:val="en-US"/>
              </w:rPr>
              <w:t xml:space="preserve">Use </w:t>
            </w:r>
            <w:r w:rsidRPr="00F75A67">
              <w:rPr>
                <w:rFonts w:cs="Arial"/>
                <w:szCs w:val="19"/>
                <w:lang w:val="en-US"/>
              </w:rPr>
              <w:t xml:space="preserve">as monotherapy or in combination with </w:t>
            </w:r>
            <w:r>
              <w:rPr>
                <w:rFonts w:cs="Arial"/>
                <w:szCs w:val="19"/>
                <w:lang w:val="en-US"/>
              </w:rPr>
              <w:t>dabrafenib</w:t>
            </w:r>
            <w:r w:rsidRPr="00F75A67">
              <w:rPr>
                <w:rFonts w:cs="Arial"/>
                <w:szCs w:val="19"/>
                <w:lang w:val="en-US"/>
              </w:rPr>
              <w:t xml:space="preserve"> for the treatment of adult</w:t>
            </w:r>
            <w:r>
              <w:rPr>
                <w:rFonts w:cs="Arial"/>
                <w:szCs w:val="19"/>
                <w:lang w:val="en-US"/>
              </w:rPr>
              <w:t>s and adolescents aged ≥12 years</w:t>
            </w:r>
            <w:r w:rsidRPr="00F75A67">
              <w:rPr>
                <w:rFonts w:cs="Arial"/>
                <w:szCs w:val="19"/>
                <w:lang w:val="en-US"/>
              </w:rPr>
              <w:t xml:space="preserve"> with unresectable or metastatic melanoma with a BRAF V600 mutation</w:t>
            </w:r>
            <w:r>
              <w:rPr>
                <w:rFonts w:cs="Arial"/>
                <w:szCs w:val="19"/>
                <w:lang w:val="en-US"/>
              </w:rPr>
              <w:t>, and use</w:t>
            </w:r>
            <w:r w:rsidRPr="00F75A67">
              <w:rPr>
                <w:rFonts w:cs="Arial"/>
                <w:szCs w:val="19"/>
                <w:lang w:val="en-US"/>
              </w:rPr>
              <w:t xml:space="preserve"> in combination with </w:t>
            </w:r>
            <w:r>
              <w:rPr>
                <w:rFonts w:cs="Arial"/>
                <w:szCs w:val="19"/>
                <w:lang w:val="en-US"/>
              </w:rPr>
              <w:t>dabrafenib</w:t>
            </w:r>
            <w:r w:rsidRPr="00F75A67">
              <w:rPr>
                <w:rFonts w:cs="Arial"/>
                <w:szCs w:val="19"/>
                <w:lang w:val="en-US"/>
              </w:rPr>
              <w:t xml:space="preserve"> for the adjuvant treatment of adult</w:t>
            </w:r>
            <w:r>
              <w:rPr>
                <w:rFonts w:cs="Arial"/>
                <w:szCs w:val="19"/>
                <w:lang w:val="en-US"/>
              </w:rPr>
              <w:t>s and adolescents aged ≥12 years</w:t>
            </w:r>
            <w:r w:rsidRPr="00F75A67">
              <w:rPr>
                <w:rFonts w:cs="Arial"/>
                <w:szCs w:val="19"/>
                <w:lang w:val="en-US"/>
              </w:rPr>
              <w:t xml:space="preserve"> with Stage III melanoma with a BRAF V600 mutation, following complete resection</w:t>
            </w:r>
            <w:r>
              <w:rPr>
                <w:rFonts w:cs="Arial"/>
                <w:szCs w:val="19"/>
                <w:lang w:val="en-US"/>
              </w:rPr>
              <w:t xml:space="preserve"> </w:t>
            </w:r>
            <w:r w:rsidRPr="00F75A67">
              <w:rPr>
                <w:rFonts w:cs="Arial"/>
                <w:sz w:val="16"/>
                <w:szCs w:val="16"/>
                <w:lang w:val="en-US"/>
              </w:rPr>
              <w:t>[EU] [licence change from use only in adults]</w:t>
            </w:r>
          </w:p>
        </w:tc>
      </w:tr>
      <w:tr w:rsidR="001576F9" w:rsidRPr="00A075A3" w14:paraId="08AE60EA" w14:textId="77777777" w:rsidTr="00DF1566">
        <w:tc>
          <w:tcPr>
            <w:tcW w:w="1293" w:type="pct"/>
            <w:gridSpan w:val="2"/>
            <w:shd w:val="clear" w:color="auto" w:fill="auto"/>
            <w:tcMar>
              <w:top w:w="57" w:type="dxa"/>
              <w:bottom w:w="57" w:type="dxa"/>
            </w:tcMar>
          </w:tcPr>
          <w:p w14:paraId="772DB42B" w14:textId="77777777" w:rsidR="001576F9" w:rsidRDefault="001576F9" w:rsidP="001576F9">
            <w:pPr>
              <w:rPr>
                <w:rFonts w:cs="Arial"/>
                <w:szCs w:val="19"/>
              </w:rPr>
            </w:pPr>
            <w:r w:rsidRPr="008E26D6">
              <w:rPr>
                <w:rFonts w:cs="Arial"/>
                <w:szCs w:val="19"/>
              </w:rPr>
              <w:t xml:space="preserve">Trastuzumab </w:t>
            </w:r>
            <w:proofErr w:type="spellStart"/>
            <w:r w:rsidRPr="008E26D6">
              <w:rPr>
                <w:rFonts w:cs="Arial"/>
                <w:szCs w:val="19"/>
              </w:rPr>
              <w:t>deruxtecan</w:t>
            </w:r>
            <w:proofErr w:type="spellEnd"/>
            <w:r w:rsidRPr="008E26D6">
              <w:rPr>
                <w:rFonts w:cs="Arial"/>
                <w:szCs w:val="19"/>
              </w:rPr>
              <w:t> </w:t>
            </w:r>
          </w:p>
          <w:p w14:paraId="2F65CEA2" w14:textId="77777777" w:rsidR="001576F9" w:rsidRDefault="001576F9" w:rsidP="001576F9">
            <w:pPr>
              <w:rPr>
                <w:rFonts w:cs="Arial"/>
                <w:szCs w:val="19"/>
              </w:rPr>
            </w:pPr>
            <w:r>
              <w:rPr>
                <w:rFonts w:cs="Arial"/>
                <w:szCs w:val="19"/>
              </w:rPr>
              <w:t>(</w:t>
            </w:r>
            <w:proofErr w:type="spellStart"/>
            <w:r>
              <w:rPr>
                <w:rFonts w:cs="Arial"/>
                <w:i/>
                <w:iCs/>
                <w:szCs w:val="19"/>
              </w:rPr>
              <w:t>Enhertu</w:t>
            </w:r>
            <w:proofErr w:type="spellEnd"/>
            <w:r>
              <w:rPr>
                <w:rFonts w:cs="Arial"/>
                <w:szCs w:val="19"/>
              </w:rPr>
              <w:t>)</w:t>
            </w:r>
          </w:p>
        </w:tc>
        <w:tc>
          <w:tcPr>
            <w:tcW w:w="3707" w:type="pct"/>
            <w:gridSpan w:val="2"/>
            <w:shd w:val="clear" w:color="auto" w:fill="auto"/>
            <w:tcMar>
              <w:top w:w="57" w:type="dxa"/>
              <w:bottom w:w="57" w:type="dxa"/>
            </w:tcMar>
          </w:tcPr>
          <w:p w14:paraId="6FB4DDD0" w14:textId="77777777" w:rsidR="001576F9" w:rsidRPr="00114EE4" w:rsidRDefault="001576F9" w:rsidP="001576F9">
            <w:pPr>
              <w:tabs>
                <w:tab w:val="center" w:pos="3152"/>
              </w:tabs>
              <w:rPr>
                <w:rFonts w:cs="Arial"/>
                <w:i/>
                <w:iCs/>
                <w:szCs w:val="19"/>
                <w:lang w:val="en-US"/>
              </w:rPr>
            </w:pPr>
            <w:r w:rsidRPr="00114EE4">
              <w:rPr>
                <w:rFonts w:cs="Arial"/>
                <w:color w:val="000000"/>
                <w:szCs w:val="19"/>
                <w:lang w:val="en-US"/>
              </w:rPr>
              <w:t xml:space="preserve">Treatment of adults with unresectable or metastatic HER2-positive (IHC3+) solid </w:t>
            </w:r>
            <w:proofErr w:type="spellStart"/>
            <w:r w:rsidRPr="00114EE4">
              <w:rPr>
                <w:rFonts w:cs="Arial"/>
                <w:color w:val="000000"/>
                <w:szCs w:val="19"/>
                <w:lang w:val="en-US"/>
              </w:rPr>
              <w:t>tumours</w:t>
            </w:r>
            <w:proofErr w:type="spellEnd"/>
            <w:r w:rsidRPr="00114EE4">
              <w:rPr>
                <w:rFonts w:cs="Arial"/>
                <w:color w:val="000000"/>
                <w:szCs w:val="19"/>
                <w:lang w:val="en-US"/>
              </w:rPr>
              <w:t xml:space="preserve"> who have received prior treatment or who have no satisfactory alternative treatment options </w:t>
            </w:r>
            <w:r w:rsidRPr="000A29BA">
              <w:rPr>
                <w:rFonts w:cs="Arial"/>
                <w:sz w:val="16"/>
                <w:szCs w:val="16"/>
                <w:lang w:val="en-US"/>
              </w:rPr>
              <w:t>[</w:t>
            </w:r>
            <w:r>
              <w:rPr>
                <w:rFonts w:cs="Arial"/>
                <w:sz w:val="16"/>
                <w:szCs w:val="16"/>
                <w:lang w:val="en-US"/>
              </w:rPr>
              <w:t>EU] [</w:t>
            </w:r>
            <w:r w:rsidRPr="000A29BA">
              <w:rPr>
                <w:rFonts w:cs="Arial"/>
                <w:sz w:val="16"/>
                <w:szCs w:val="16"/>
                <w:lang w:val="en-US"/>
              </w:rPr>
              <w:t>new indication]</w:t>
            </w:r>
            <w:r>
              <w:rPr>
                <w:rFonts w:cs="Arial"/>
                <w:sz w:val="16"/>
                <w:szCs w:val="16"/>
                <w:lang w:val="en-US"/>
              </w:rPr>
              <w:t xml:space="preserve"> </w:t>
            </w:r>
            <w:r>
              <w:rPr>
                <w:rFonts w:cs="Arial"/>
                <w:i/>
                <w:iCs/>
                <w:sz w:val="16"/>
                <w:szCs w:val="16"/>
                <w:lang w:val="en-US"/>
              </w:rPr>
              <w:t>Note: Already licensed in UK</w:t>
            </w:r>
          </w:p>
        </w:tc>
      </w:tr>
      <w:tr w:rsidR="00875E45" w:rsidRPr="00A075A3" w14:paraId="2B55690D" w14:textId="77777777" w:rsidTr="00DF1566">
        <w:tc>
          <w:tcPr>
            <w:tcW w:w="1293" w:type="pct"/>
            <w:gridSpan w:val="2"/>
            <w:shd w:val="clear" w:color="auto" w:fill="auto"/>
            <w:tcMar>
              <w:top w:w="57" w:type="dxa"/>
              <w:bottom w:w="57" w:type="dxa"/>
            </w:tcMar>
          </w:tcPr>
          <w:p w14:paraId="23D77A8A" w14:textId="26BD32D5" w:rsidR="00875E45" w:rsidRPr="00875E45" w:rsidRDefault="00875E45" w:rsidP="001576F9">
            <w:pPr>
              <w:rPr>
                <w:rFonts w:cs="Arial"/>
                <w:szCs w:val="19"/>
              </w:rPr>
            </w:pPr>
            <w:r>
              <w:rPr>
                <w:rFonts w:cs="Arial"/>
                <w:szCs w:val="19"/>
              </w:rPr>
              <w:t>Trilaciclib (</w:t>
            </w:r>
            <w:proofErr w:type="spellStart"/>
            <w:r>
              <w:rPr>
                <w:rFonts w:cs="Arial"/>
                <w:i/>
                <w:iCs/>
                <w:szCs w:val="19"/>
              </w:rPr>
              <w:t>Cosela</w:t>
            </w:r>
            <w:proofErr w:type="spellEnd"/>
            <w:r>
              <w:rPr>
                <w:rFonts w:cs="Arial"/>
                <w:szCs w:val="19"/>
              </w:rPr>
              <w:t>)</w:t>
            </w:r>
          </w:p>
        </w:tc>
        <w:tc>
          <w:tcPr>
            <w:tcW w:w="3707" w:type="pct"/>
            <w:gridSpan w:val="2"/>
            <w:shd w:val="clear" w:color="auto" w:fill="auto"/>
            <w:tcMar>
              <w:top w:w="57" w:type="dxa"/>
              <w:bottom w:w="57" w:type="dxa"/>
            </w:tcMar>
          </w:tcPr>
          <w:p w14:paraId="1C84BD0D" w14:textId="549B4931" w:rsidR="00875E45" w:rsidRPr="00D369B9" w:rsidRDefault="00F73984" w:rsidP="001576F9">
            <w:pPr>
              <w:tabs>
                <w:tab w:val="center" w:pos="3152"/>
              </w:tabs>
              <w:rPr>
                <w:rFonts w:cs="Arial"/>
                <w:color w:val="000000"/>
                <w:szCs w:val="19"/>
                <w:lang w:val="en-US"/>
              </w:rPr>
            </w:pPr>
            <w:r w:rsidRPr="00F73984">
              <w:rPr>
                <w:rFonts w:cs="Arial"/>
                <w:color w:val="000000"/>
                <w:szCs w:val="19"/>
                <w:lang w:val="en-US"/>
              </w:rPr>
              <w:t>Prevention of chemotherapy-induced myelosuppression when administered prior to platinum/etoposide- or topotecan-containing regimens for extensive-stage small cell lung cancer</w:t>
            </w:r>
            <w:r>
              <w:rPr>
                <w:rFonts w:cs="Arial"/>
                <w:color w:val="000000"/>
                <w:szCs w:val="19"/>
                <w:lang w:val="en-US"/>
              </w:rPr>
              <w:t xml:space="preserve"> </w:t>
            </w:r>
            <w:r w:rsidRPr="000A29BA">
              <w:rPr>
                <w:rFonts w:cs="Arial"/>
                <w:sz w:val="16"/>
                <w:szCs w:val="16"/>
                <w:lang w:val="en-US"/>
              </w:rPr>
              <w:t>[</w:t>
            </w:r>
            <w:r>
              <w:rPr>
                <w:rFonts w:cs="Arial"/>
                <w:sz w:val="16"/>
                <w:szCs w:val="16"/>
                <w:lang w:val="en-US"/>
              </w:rPr>
              <w:t>EU]</w:t>
            </w:r>
          </w:p>
        </w:tc>
      </w:tr>
      <w:tr w:rsidR="001576F9" w:rsidRPr="00A075A3" w14:paraId="2CE8717A" w14:textId="77777777" w:rsidTr="00DF1566">
        <w:tc>
          <w:tcPr>
            <w:tcW w:w="1293" w:type="pct"/>
            <w:gridSpan w:val="2"/>
            <w:shd w:val="clear" w:color="auto" w:fill="auto"/>
            <w:tcMar>
              <w:top w:w="57" w:type="dxa"/>
              <w:bottom w:w="57" w:type="dxa"/>
            </w:tcMar>
          </w:tcPr>
          <w:p w14:paraId="24C8974C" w14:textId="77777777" w:rsidR="001576F9" w:rsidRPr="00F767A4" w:rsidRDefault="001576F9" w:rsidP="001576F9">
            <w:pPr>
              <w:rPr>
                <w:rFonts w:cs="Arial"/>
                <w:szCs w:val="19"/>
              </w:rPr>
            </w:pPr>
            <w:r>
              <w:rPr>
                <w:rFonts w:cs="Arial"/>
                <w:szCs w:val="19"/>
              </w:rPr>
              <w:t>Ustekinumab (</w:t>
            </w:r>
            <w:r>
              <w:rPr>
                <w:rFonts w:cs="Arial"/>
                <w:i/>
                <w:iCs/>
                <w:szCs w:val="19"/>
              </w:rPr>
              <w:t>Stelara</w:t>
            </w:r>
            <w:r>
              <w:rPr>
                <w:rFonts w:cs="Arial"/>
                <w:szCs w:val="19"/>
              </w:rPr>
              <w:t>)</w:t>
            </w:r>
          </w:p>
        </w:tc>
        <w:tc>
          <w:tcPr>
            <w:tcW w:w="3707" w:type="pct"/>
            <w:gridSpan w:val="2"/>
            <w:shd w:val="clear" w:color="auto" w:fill="auto"/>
            <w:tcMar>
              <w:top w:w="57" w:type="dxa"/>
              <w:bottom w:w="57" w:type="dxa"/>
            </w:tcMar>
          </w:tcPr>
          <w:p w14:paraId="3E61117B" w14:textId="77777777" w:rsidR="001576F9" w:rsidRPr="00114EE4" w:rsidRDefault="001576F9" w:rsidP="001576F9">
            <w:pPr>
              <w:tabs>
                <w:tab w:val="center" w:pos="3152"/>
              </w:tabs>
              <w:rPr>
                <w:rFonts w:cs="Arial"/>
                <w:color w:val="000000"/>
                <w:szCs w:val="19"/>
                <w:lang w:val="en-US"/>
              </w:rPr>
            </w:pPr>
            <w:r w:rsidRPr="00D369B9">
              <w:rPr>
                <w:rFonts w:cs="Arial"/>
                <w:color w:val="000000"/>
                <w:szCs w:val="19"/>
                <w:lang w:val="en-US"/>
              </w:rPr>
              <w:t xml:space="preserve">Treatment of moderately to severely active Crohn´s disease in paediatric patients </w:t>
            </w:r>
            <w:r>
              <w:rPr>
                <w:rFonts w:cs="Arial"/>
                <w:color w:val="000000"/>
                <w:szCs w:val="19"/>
                <w:lang w:val="en-US"/>
              </w:rPr>
              <w:t>aged ≥</w:t>
            </w:r>
            <w:r w:rsidRPr="00D369B9">
              <w:rPr>
                <w:rFonts w:cs="Arial"/>
                <w:color w:val="000000"/>
                <w:szCs w:val="19"/>
                <w:lang w:val="en-US"/>
              </w:rPr>
              <w:t>2 years, who have had an inadequate response to, or were intolerant to either conventional or biologic therapy</w:t>
            </w:r>
            <w:r>
              <w:rPr>
                <w:rFonts w:cs="Arial"/>
                <w:color w:val="000000"/>
                <w:szCs w:val="19"/>
                <w:lang w:val="en-US"/>
              </w:rPr>
              <w:t xml:space="preserve"> </w:t>
            </w:r>
            <w:r w:rsidRPr="007B788E">
              <w:rPr>
                <w:rFonts w:cs="Arial"/>
                <w:sz w:val="16"/>
                <w:szCs w:val="16"/>
                <w:lang w:val="en-US"/>
              </w:rPr>
              <w:t>[EU] [new indication]</w:t>
            </w:r>
          </w:p>
        </w:tc>
      </w:tr>
      <w:tr w:rsidR="001576F9" w:rsidRPr="000F19E1" w14:paraId="45E14C58" w14:textId="77777777" w:rsidTr="00DF1566">
        <w:tc>
          <w:tcPr>
            <w:tcW w:w="1293" w:type="pct"/>
            <w:gridSpan w:val="2"/>
            <w:shd w:val="clear" w:color="auto" w:fill="auto"/>
            <w:tcMar>
              <w:top w:w="0" w:type="dxa"/>
              <w:bottom w:w="0" w:type="dxa"/>
            </w:tcMar>
          </w:tcPr>
          <w:p w14:paraId="6C562E55" w14:textId="77777777" w:rsidR="001576F9" w:rsidRPr="000F19E1" w:rsidRDefault="001576F9" w:rsidP="001576F9">
            <w:pPr>
              <w:rPr>
                <w:rFonts w:cs="Arial"/>
                <w:bCs/>
                <w:sz w:val="8"/>
                <w:szCs w:val="8"/>
              </w:rPr>
            </w:pPr>
          </w:p>
        </w:tc>
        <w:tc>
          <w:tcPr>
            <w:tcW w:w="3707" w:type="pct"/>
            <w:gridSpan w:val="2"/>
            <w:shd w:val="clear" w:color="auto" w:fill="auto"/>
            <w:tcMar>
              <w:top w:w="0" w:type="dxa"/>
              <w:bottom w:w="0" w:type="dxa"/>
            </w:tcMar>
          </w:tcPr>
          <w:p w14:paraId="413C6AFD" w14:textId="77777777" w:rsidR="001576F9" w:rsidRPr="000F19E1" w:rsidRDefault="001576F9" w:rsidP="001576F9">
            <w:pPr>
              <w:tabs>
                <w:tab w:val="center" w:pos="3152"/>
              </w:tabs>
              <w:rPr>
                <w:rFonts w:cs="Arial"/>
                <w:sz w:val="8"/>
                <w:szCs w:val="8"/>
                <w:lang w:val="en-US"/>
              </w:rPr>
            </w:pPr>
          </w:p>
        </w:tc>
      </w:tr>
      <w:tr w:rsidR="001576F9" w:rsidRPr="000F19E1" w14:paraId="518D2A45" w14:textId="77777777" w:rsidTr="00DF1566">
        <w:tc>
          <w:tcPr>
            <w:tcW w:w="1152" w:type="pct"/>
            <w:shd w:val="clear" w:color="auto" w:fill="DAEEF3"/>
            <w:tcMar>
              <w:top w:w="0" w:type="dxa"/>
              <w:bottom w:w="0" w:type="dxa"/>
            </w:tcMar>
          </w:tcPr>
          <w:p w14:paraId="6F3A9D0A" w14:textId="77777777" w:rsidR="001576F9" w:rsidRPr="000F19E1" w:rsidRDefault="001576F9" w:rsidP="001576F9">
            <w:pPr>
              <w:rPr>
                <w:rFonts w:cs="Arial"/>
                <w:bCs/>
                <w:sz w:val="8"/>
                <w:szCs w:val="8"/>
              </w:rPr>
            </w:pPr>
          </w:p>
        </w:tc>
        <w:tc>
          <w:tcPr>
            <w:tcW w:w="3848" w:type="pct"/>
            <w:gridSpan w:val="3"/>
            <w:shd w:val="clear" w:color="auto" w:fill="DAEEF3"/>
            <w:tcMar>
              <w:top w:w="0" w:type="dxa"/>
              <w:bottom w:w="0" w:type="dxa"/>
            </w:tcMar>
          </w:tcPr>
          <w:p w14:paraId="36A77701" w14:textId="77777777" w:rsidR="001576F9" w:rsidRPr="000F19E1" w:rsidRDefault="001576F9" w:rsidP="001576F9">
            <w:pPr>
              <w:tabs>
                <w:tab w:val="center" w:pos="3152"/>
              </w:tabs>
              <w:rPr>
                <w:rFonts w:cs="Arial"/>
                <w:sz w:val="8"/>
                <w:szCs w:val="8"/>
                <w:lang w:val="en-US"/>
              </w:rPr>
            </w:pPr>
          </w:p>
        </w:tc>
      </w:tr>
      <w:tr w:rsidR="001576F9" w:rsidRPr="00126CCD" w14:paraId="780FF169" w14:textId="77777777" w:rsidTr="00DF1566">
        <w:tc>
          <w:tcPr>
            <w:tcW w:w="5000" w:type="pct"/>
            <w:gridSpan w:val="4"/>
            <w:shd w:val="clear" w:color="auto" w:fill="008232"/>
            <w:tcMar>
              <w:top w:w="57" w:type="dxa"/>
              <w:bottom w:w="57" w:type="dxa"/>
            </w:tcMar>
          </w:tcPr>
          <w:p w14:paraId="2F9B68CB" w14:textId="77777777" w:rsidR="001576F9" w:rsidRPr="004642B4" w:rsidRDefault="001576F9" w:rsidP="001576F9">
            <w:pPr>
              <w:rPr>
                <w:rFonts w:cs="Arial"/>
                <w:noProof/>
                <w:color w:val="FFFFFF"/>
                <w:sz w:val="16"/>
                <w:szCs w:val="16"/>
              </w:rPr>
            </w:pPr>
            <w:r w:rsidRPr="004642B4">
              <w:rPr>
                <w:rFonts w:cs="Arial"/>
                <w:b/>
                <w:bCs/>
                <w:i/>
                <w:iCs/>
                <w:color w:val="FFFFFF"/>
                <w:sz w:val="22"/>
                <w:szCs w:val="20"/>
                <w:lang w:val="en-US"/>
              </w:rPr>
              <w:t xml:space="preserve">Other </w:t>
            </w:r>
            <w:r>
              <w:rPr>
                <w:rFonts w:cs="Arial"/>
                <w:b/>
                <w:bCs/>
                <w:i/>
                <w:iCs/>
                <w:color w:val="FFFFFF"/>
                <w:sz w:val="22"/>
                <w:szCs w:val="20"/>
                <w:lang w:val="en-US"/>
              </w:rPr>
              <w:t>UK/</w:t>
            </w:r>
            <w:r w:rsidRPr="004642B4">
              <w:rPr>
                <w:rFonts w:cs="Arial"/>
                <w:b/>
                <w:bCs/>
                <w:i/>
                <w:iCs/>
                <w:color w:val="FFFFFF"/>
                <w:sz w:val="22"/>
                <w:szCs w:val="20"/>
                <w:lang w:val="en-US"/>
              </w:rPr>
              <w:t>EU developments</w:t>
            </w:r>
          </w:p>
        </w:tc>
      </w:tr>
      <w:tr w:rsidR="001576F9" w14:paraId="1BACA309" w14:textId="77777777" w:rsidTr="00DF1566">
        <w:tc>
          <w:tcPr>
            <w:tcW w:w="1293" w:type="pct"/>
            <w:gridSpan w:val="2"/>
            <w:shd w:val="clear" w:color="auto" w:fill="auto"/>
            <w:tcMar>
              <w:top w:w="57" w:type="dxa"/>
              <w:bottom w:w="57" w:type="dxa"/>
            </w:tcMar>
          </w:tcPr>
          <w:p w14:paraId="16AD35CB" w14:textId="77777777" w:rsidR="001576F9" w:rsidRPr="00C34E58" w:rsidRDefault="001576F9" w:rsidP="001576F9">
            <w:pPr>
              <w:rPr>
                <w:rFonts w:cs="Arial"/>
                <w:szCs w:val="19"/>
              </w:rPr>
            </w:pPr>
            <w:r>
              <w:rPr>
                <w:rFonts w:cs="Arial"/>
                <w:szCs w:val="19"/>
              </w:rPr>
              <w:t>Atezolizumab (</w:t>
            </w:r>
            <w:r>
              <w:rPr>
                <w:rFonts w:cs="Arial"/>
                <w:i/>
                <w:iCs/>
                <w:szCs w:val="19"/>
              </w:rPr>
              <w:t>Tecentriq</w:t>
            </w:r>
            <w:r>
              <w:rPr>
                <w:rFonts w:cs="Arial"/>
                <w:szCs w:val="19"/>
              </w:rPr>
              <w:t>)</w:t>
            </w:r>
          </w:p>
        </w:tc>
        <w:tc>
          <w:tcPr>
            <w:tcW w:w="3707" w:type="pct"/>
            <w:gridSpan w:val="2"/>
            <w:shd w:val="clear" w:color="auto" w:fill="auto"/>
            <w:tcMar>
              <w:top w:w="57" w:type="dxa"/>
              <w:bottom w:w="57" w:type="dxa"/>
            </w:tcMar>
          </w:tcPr>
          <w:p w14:paraId="0DF56EE9" w14:textId="77777777" w:rsidR="001576F9" w:rsidRPr="00685250" w:rsidRDefault="001576F9" w:rsidP="001576F9">
            <w:pPr>
              <w:tabs>
                <w:tab w:val="center" w:pos="3152"/>
              </w:tabs>
              <w:rPr>
                <w:rFonts w:cs="Arial"/>
                <w:szCs w:val="19"/>
                <w:lang w:val="en-US"/>
              </w:rPr>
            </w:pPr>
            <w:r>
              <w:rPr>
                <w:rFonts w:cs="Arial"/>
                <w:szCs w:val="19"/>
                <w:lang w:val="en-US"/>
              </w:rPr>
              <w:t>L</w:t>
            </w:r>
            <w:r w:rsidRPr="00C34E58">
              <w:rPr>
                <w:rFonts w:cs="Arial"/>
                <w:szCs w:val="19"/>
                <w:lang w:val="en-US"/>
              </w:rPr>
              <w:t>ocally advanced, unresectabl</w:t>
            </w:r>
            <w:r>
              <w:rPr>
                <w:rFonts w:cs="Arial"/>
                <w:szCs w:val="19"/>
                <w:lang w:val="en-US"/>
              </w:rPr>
              <w:t>e n</w:t>
            </w:r>
            <w:r w:rsidRPr="00C34E58">
              <w:rPr>
                <w:rFonts w:cs="Arial"/>
                <w:szCs w:val="19"/>
                <w:lang w:val="en-US"/>
              </w:rPr>
              <w:t>on-small cell lung cancer in adults</w:t>
            </w:r>
            <w:r>
              <w:rPr>
                <w:rFonts w:cs="Arial"/>
                <w:szCs w:val="19"/>
                <w:lang w:val="en-US"/>
              </w:rPr>
              <w:t>,</w:t>
            </w:r>
            <w:r w:rsidRPr="00C34E58">
              <w:rPr>
                <w:rFonts w:cs="Arial"/>
                <w:szCs w:val="19"/>
                <w:lang w:val="en-US"/>
              </w:rPr>
              <w:t xml:space="preserve"> </w:t>
            </w:r>
            <w:r w:rsidRPr="00E96C63">
              <w:rPr>
                <w:rFonts w:cs="Arial"/>
                <w:szCs w:val="19"/>
              </w:rPr>
              <w:t xml:space="preserve">first-line maintenance with </w:t>
            </w:r>
            <w:proofErr w:type="spellStart"/>
            <w:r w:rsidRPr="00E96C63">
              <w:rPr>
                <w:rFonts w:cs="Arial"/>
                <w:szCs w:val="19"/>
              </w:rPr>
              <w:t>tiragolumab</w:t>
            </w:r>
            <w:proofErr w:type="spellEnd"/>
            <w:r w:rsidRPr="00E96C63">
              <w:rPr>
                <w:rFonts w:cs="Arial"/>
                <w:szCs w:val="19"/>
              </w:rPr>
              <w:t xml:space="preserve"> after 2 cycles of platinum chemoradiotherapy</w:t>
            </w:r>
            <w:r>
              <w:rPr>
                <w:rFonts w:cs="Arial"/>
                <w:szCs w:val="19"/>
              </w:rPr>
              <w:t xml:space="preserve"> </w:t>
            </w:r>
            <w:r>
              <w:rPr>
                <w:rFonts w:cs="Arial"/>
                <w:szCs w:val="19"/>
                <w:lang w:val="en-US"/>
              </w:rPr>
              <w:t>– development discontinued (lack of efficacy)</w:t>
            </w:r>
          </w:p>
        </w:tc>
      </w:tr>
      <w:tr w:rsidR="001576F9" w14:paraId="4A391F70" w14:textId="77777777" w:rsidTr="00DF1566">
        <w:tc>
          <w:tcPr>
            <w:tcW w:w="1293" w:type="pct"/>
            <w:gridSpan w:val="2"/>
            <w:shd w:val="clear" w:color="auto" w:fill="auto"/>
            <w:tcMar>
              <w:top w:w="57" w:type="dxa"/>
              <w:bottom w:w="57" w:type="dxa"/>
            </w:tcMar>
          </w:tcPr>
          <w:p w14:paraId="48F74133" w14:textId="77777777" w:rsidR="001576F9" w:rsidRDefault="001576F9" w:rsidP="001576F9">
            <w:pPr>
              <w:rPr>
                <w:rFonts w:cs="Arial"/>
                <w:szCs w:val="19"/>
              </w:rPr>
            </w:pPr>
            <w:r>
              <w:rPr>
                <w:rFonts w:cs="Arial"/>
                <w:szCs w:val="19"/>
              </w:rPr>
              <w:t xml:space="preserve">Atropine sulfate </w:t>
            </w:r>
          </w:p>
          <w:p w14:paraId="508D0C74" w14:textId="77777777" w:rsidR="001576F9" w:rsidRPr="00712F71" w:rsidRDefault="001576F9" w:rsidP="001576F9">
            <w:pPr>
              <w:rPr>
                <w:rFonts w:cs="Arial"/>
                <w:szCs w:val="19"/>
              </w:rPr>
            </w:pPr>
            <w:r>
              <w:rPr>
                <w:rFonts w:cs="Arial"/>
                <w:szCs w:val="19"/>
              </w:rPr>
              <w:t>(</w:t>
            </w:r>
            <w:r w:rsidRPr="00137599">
              <w:rPr>
                <w:rFonts w:cs="Arial"/>
                <w:i/>
                <w:iCs/>
                <w:szCs w:val="19"/>
              </w:rPr>
              <w:t>Atropine sulfate FGK</w:t>
            </w:r>
            <w:r>
              <w:rPr>
                <w:rFonts w:cs="Arial"/>
                <w:szCs w:val="19"/>
              </w:rPr>
              <w:t>)</w:t>
            </w:r>
          </w:p>
        </w:tc>
        <w:tc>
          <w:tcPr>
            <w:tcW w:w="3707" w:type="pct"/>
            <w:gridSpan w:val="2"/>
            <w:shd w:val="clear" w:color="auto" w:fill="auto"/>
            <w:tcMar>
              <w:top w:w="57" w:type="dxa"/>
              <w:bottom w:w="57" w:type="dxa"/>
            </w:tcMar>
          </w:tcPr>
          <w:p w14:paraId="4E23B08E" w14:textId="77777777" w:rsidR="001576F9" w:rsidRPr="008C760F" w:rsidRDefault="001576F9" w:rsidP="001576F9">
            <w:pPr>
              <w:tabs>
                <w:tab w:val="center" w:pos="3152"/>
              </w:tabs>
              <w:rPr>
                <w:rFonts w:cs="Arial"/>
                <w:szCs w:val="19"/>
                <w:lang w:val="en-US"/>
              </w:rPr>
            </w:pPr>
            <w:r w:rsidRPr="00685250">
              <w:rPr>
                <w:rFonts w:cs="Arial"/>
                <w:szCs w:val="19"/>
                <w:lang w:val="en-US"/>
              </w:rPr>
              <w:t xml:space="preserve">Treatment of myopia in children aged </w:t>
            </w:r>
            <w:r>
              <w:rPr>
                <w:rFonts w:cs="Arial"/>
                <w:szCs w:val="19"/>
                <w:lang w:val="en-US"/>
              </w:rPr>
              <w:t xml:space="preserve">6 to 10 </w:t>
            </w:r>
            <w:r w:rsidRPr="00685250">
              <w:rPr>
                <w:rFonts w:cs="Arial"/>
                <w:szCs w:val="19"/>
                <w:lang w:val="en-US"/>
              </w:rPr>
              <w:t xml:space="preserve">years </w:t>
            </w:r>
            <w:r>
              <w:rPr>
                <w:rFonts w:cs="Arial"/>
                <w:szCs w:val="19"/>
                <w:lang w:val="en-US"/>
              </w:rPr>
              <w:t>– second EU negative opinion</w:t>
            </w:r>
          </w:p>
        </w:tc>
      </w:tr>
      <w:tr w:rsidR="001576F9" w14:paraId="407D50A6" w14:textId="77777777" w:rsidTr="00DF1566">
        <w:tc>
          <w:tcPr>
            <w:tcW w:w="1293" w:type="pct"/>
            <w:gridSpan w:val="2"/>
            <w:shd w:val="clear" w:color="auto" w:fill="auto"/>
            <w:tcMar>
              <w:top w:w="57" w:type="dxa"/>
              <w:bottom w:w="57" w:type="dxa"/>
            </w:tcMar>
          </w:tcPr>
          <w:p w14:paraId="0C77DC17" w14:textId="77777777" w:rsidR="001576F9" w:rsidRDefault="001576F9" w:rsidP="001576F9">
            <w:pPr>
              <w:rPr>
                <w:rFonts w:cs="Arial"/>
                <w:szCs w:val="19"/>
              </w:rPr>
            </w:pPr>
            <w:r w:rsidRPr="00712F71">
              <w:rPr>
                <w:rFonts w:cs="Arial"/>
                <w:szCs w:val="19"/>
              </w:rPr>
              <w:t>Autologous lentiviral WAS stem cell therapy </w:t>
            </w:r>
          </w:p>
        </w:tc>
        <w:tc>
          <w:tcPr>
            <w:tcW w:w="3707" w:type="pct"/>
            <w:gridSpan w:val="2"/>
            <w:shd w:val="clear" w:color="auto" w:fill="auto"/>
            <w:tcMar>
              <w:top w:w="57" w:type="dxa"/>
              <w:bottom w:w="57" w:type="dxa"/>
            </w:tcMar>
          </w:tcPr>
          <w:p w14:paraId="6D430E02" w14:textId="77777777" w:rsidR="001576F9" w:rsidRPr="00C05FAF" w:rsidRDefault="001576F9" w:rsidP="001576F9">
            <w:pPr>
              <w:tabs>
                <w:tab w:val="center" w:pos="3152"/>
              </w:tabs>
              <w:rPr>
                <w:rFonts w:cs="Arial"/>
                <w:szCs w:val="19"/>
                <w:lang w:val="en-US"/>
              </w:rPr>
            </w:pPr>
            <w:proofErr w:type="spellStart"/>
            <w:r w:rsidRPr="008C760F">
              <w:rPr>
                <w:rFonts w:cs="Arial"/>
                <w:szCs w:val="19"/>
                <w:lang w:val="en-US"/>
              </w:rPr>
              <w:t>Wiskott</w:t>
            </w:r>
            <w:proofErr w:type="spellEnd"/>
            <w:r w:rsidRPr="008C760F">
              <w:rPr>
                <w:rFonts w:cs="Arial"/>
                <w:szCs w:val="19"/>
                <w:lang w:val="en-US"/>
              </w:rPr>
              <w:t xml:space="preserve"> Aldrich syndrome in adults and children</w:t>
            </w:r>
            <w:r>
              <w:rPr>
                <w:rFonts w:cs="Arial"/>
                <w:szCs w:val="19"/>
                <w:lang w:val="en-US"/>
              </w:rPr>
              <w:t xml:space="preserve"> </w:t>
            </w:r>
            <w:r w:rsidRPr="008C760F">
              <w:rPr>
                <w:rFonts w:cs="Arial"/>
                <w:szCs w:val="19"/>
                <w:lang w:val="en-US"/>
              </w:rPr>
              <w:t>(</w:t>
            </w:r>
            <w:proofErr w:type="spellStart"/>
            <w:r w:rsidRPr="008C760F">
              <w:rPr>
                <w:rFonts w:cs="Arial"/>
                <w:szCs w:val="19"/>
                <w:lang w:val="en-US"/>
              </w:rPr>
              <w:t>Genethon</w:t>
            </w:r>
            <w:proofErr w:type="spellEnd"/>
            <w:r w:rsidRPr="008C760F">
              <w:rPr>
                <w:rFonts w:cs="Arial"/>
                <w:szCs w:val="19"/>
                <w:lang w:val="en-US"/>
              </w:rPr>
              <w:t xml:space="preserve"> brand)</w:t>
            </w:r>
            <w:r>
              <w:rPr>
                <w:rFonts w:cs="Arial"/>
                <w:szCs w:val="19"/>
                <w:lang w:val="en-US"/>
              </w:rPr>
              <w:t xml:space="preserve"> – development discontinued (company decision)</w:t>
            </w:r>
          </w:p>
        </w:tc>
      </w:tr>
      <w:tr w:rsidR="00AB2511" w14:paraId="3E499CB8" w14:textId="77777777" w:rsidTr="00DF1566">
        <w:tc>
          <w:tcPr>
            <w:tcW w:w="1293" w:type="pct"/>
            <w:gridSpan w:val="2"/>
            <w:shd w:val="clear" w:color="auto" w:fill="auto"/>
            <w:tcMar>
              <w:top w:w="57" w:type="dxa"/>
              <w:bottom w:w="57" w:type="dxa"/>
            </w:tcMar>
          </w:tcPr>
          <w:p w14:paraId="6D27AD0E" w14:textId="2788F307" w:rsidR="00AB2511" w:rsidRPr="00712F71" w:rsidRDefault="00AB2511" w:rsidP="00AB2511">
            <w:pPr>
              <w:rPr>
                <w:rFonts w:cs="Arial"/>
                <w:szCs w:val="19"/>
              </w:rPr>
            </w:pPr>
            <w:proofErr w:type="spellStart"/>
            <w:r>
              <w:rPr>
                <w:rFonts w:cs="Arial"/>
                <w:szCs w:val="19"/>
              </w:rPr>
              <w:t>Benralizumab</w:t>
            </w:r>
            <w:proofErr w:type="spellEnd"/>
            <w:r>
              <w:rPr>
                <w:rFonts w:cs="Arial"/>
                <w:szCs w:val="19"/>
              </w:rPr>
              <w:t xml:space="preserve"> (</w:t>
            </w:r>
            <w:r>
              <w:rPr>
                <w:rFonts w:cs="Arial"/>
                <w:i/>
                <w:iCs/>
                <w:szCs w:val="19"/>
              </w:rPr>
              <w:t>Fasenra</w:t>
            </w:r>
            <w:r>
              <w:rPr>
                <w:rFonts w:cs="Arial"/>
                <w:szCs w:val="19"/>
              </w:rPr>
              <w:t>)</w:t>
            </w:r>
          </w:p>
        </w:tc>
        <w:tc>
          <w:tcPr>
            <w:tcW w:w="3707" w:type="pct"/>
            <w:gridSpan w:val="2"/>
            <w:shd w:val="clear" w:color="auto" w:fill="auto"/>
            <w:tcMar>
              <w:top w:w="57" w:type="dxa"/>
              <w:bottom w:w="57" w:type="dxa"/>
            </w:tcMar>
          </w:tcPr>
          <w:p w14:paraId="2626EC72" w14:textId="4BE0279D" w:rsidR="00AB2511" w:rsidRPr="008C760F" w:rsidRDefault="00AB2511" w:rsidP="00AB2511">
            <w:pPr>
              <w:tabs>
                <w:tab w:val="center" w:pos="3152"/>
              </w:tabs>
              <w:rPr>
                <w:rFonts w:cs="Arial"/>
                <w:szCs w:val="19"/>
                <w:lang w:val="en-US"/>
              </w:rPr>
            </w:pPr>
            <w:r>
              <w:rPr>
                <w:rFonts w:cs="Arial"/>
                <w:szCs w:val="19"/>
                <w:lang w:val="en-US"/>
              </w:rPr>
              <w:t>M</w:t>
            </w:r>
            <w:r w:rsidRPr="004134F6">
              <w:rPr>
                <w:rFonts w:cs="Arial"/>
                <w:szCs w:val="19"/>
                <w:lang w:val="en-US"/>
              </w:rPr>
              <w:t>oderate-to-very severe</w:t>
            </w:r>
            <w:r>
              <w:rPr>
                <w:rFonts w:cs="Arial"/>
                <w:szCs w:val="19"/>
                <w:lang w:val="en-US"/>
              </w:rPr>
              <w:t xml:space="preserve"> c</w:t>
            </w:r>
            <w:r w:rsidRPr="004134F6">
              <w:rPr>
                <w:rFonts w:cs="Arial"/>
                <w:szCs w:val="19"/>
                <w:lang w:val="en-US"/>
              </w:rPr>
              <w:t>hronic obstructive pulmonary disease in adults with history of exacerbations and raised blood eosinophils</w:t>
            </w:r>
            <w:r>
              <w:rPr>
                <w:rFonts w:cs="Arial"/>
                <w:szCs w:val="19"/>
                <w:lang w:val="en-US"/>
              </w:rPr>
              <w:t xml:space="preserve"> – development discontinued (lack of efficacy)</w:t>
            </w:r>
          </w:p>
        </w:tc>
      </w:tr>
      <w:tr w:rsidR="00AB2511" w14:paraId="4E269488" w14:textId="77777777" w:rsidTr="00DF1566">
        <w:tc>
          <w:tcPr>
            <w:tcW w:w="1293" w:type="pct"/>
            <w:gridSpan w:val="2"/>
            <w:shd w:val="clear" w:color="auto" w:fill="auto"/>
            <w:tcMar>
              <w:top w:w="57" w:type="dxa"/>
              <w:bottom w:w="57" w:type="dxa"/>
            </w:tcMar>
          </w:tcPr>
          <w:p w14:paraId="290E0760" w14:textId="715C843B" w:rsidR="00AB2511" w:rsidRPr="00712F71" w:rsidRDefault="00AB2511" w:rsidP="00AB2511">
            <w:pPr>
              <w:rPr>
                <w:rFonts w:cs="Arial"/>
                <w:szCs w:val="19"/>
              </w:rPr>
            </w:pPr>
            <w:proofErr w:type="spellStart"/>
            <w:r>
              <w:rPr>
                <w:rFonts w:cs="Arial"/>
                <w:szCs w:val="19"/>
              </w:rPr>
              <w:t>Carbetocin</w:t>
            </w:r>
            <w:proofErr w:type="spellEnd"/>
            <w:r>
              <w:rPr>
                <w:rFonts w:cs="Arial"/>
                <w:szCs w:val="19"/>
              </w:rPr>
              <w:t xml:space="preserve"> </w:t>
            </w:r>
          </w:p>
        </w:tc>
        <w:tc>
          <w:tcPr>
            <w:tcW w:w="3707" w:type="pct"/>
            <w:gridSpan w:val="2"/>
            <w:shd w:val="clear" w:color="auto" w:fill="auto"/>
            <w:tcMar>
              <w:top w:w="57" w:type="dxa"/>
              <w:bottom w:w="57" w:type="dxa"/>
            </w:tcMar>
          </w:tcPr>
          <w:p w14:paraId="1A3DC11F" w14:textId="0549AF3E" w:rsidR="00AB2511" w:rsidRPr="008C760F" w:rsidRDefault="00AB2511" w:rsidP="00AB2511">
            <w:pPr>
              <w:tabs>
                <w:tab w:val="center" w:pos="3152"/>
              </w:tabs>
              <w:rPr>
                <w:rFonts w:cs="Arial"/>
                <w:szCs w:val="19"/>
                <w:lang w:val="en-US"/>
              </w:rPr>
            </w:pPr>
            <w:r>
              <w:rPr>
                <w:rFonts w:cs="Arial"/>
                <w:szCs w:val="19"/>
                <w:lang w:val="en-US"/>
              </w:rPr>
              <w:t xml:space="preserve">Treatment of hyperphagia associated with </w:t>
            </w:r>
            <w:r w:rsidRPr="005604E8">
              <w:rPr>
                <w:rFonts w:cs="Arial"/>
                <w:szCs w:val="19"/>
                <w:lang w:val="en-US"/>
              </w:rPr>
              <w:t xml:space="preserve">Prader-Willi syndrome in adults and children aged </w:t>
            </w:r>
            <w:r>
              <w:rPr>
                <w:rFonts w:cs="Arial"/>
                <w:szCs w:val="19"/>
                <w:lang w:val="en-US"/>
              </w:rPr>
              <w:t>≥</w:t>
            </w:r>
            <w:r w:rsidRPr="005604E8">
              <w:rPr>
                <w:rFonts w:cs="Arial"/>
                <w:szCs w:val="19"/>
                <w:lang w:val="en-US"/>
              </w:rPr>
              <w:t xml:space="preserve">5 years </w:t>
            </w:r>
            <w:r>
              <w:rPr>
                <w:rFonts w:cs="Arial"/>
                <w:szCs w:val="19"/>
                <w:lang w:val="en-US"/>
              </w:rPr>
              <w:t>– development discontinued (lack of efficacy)</w:t>
            </w:r>
          </w:p>
        </w:tc>
      </w:tr>
      <w:tr w:rsidR="00AB2511" w14:paraId="1B34F3A2" w14:textId="77777777" w:rsidTr="00DF1566">
        <w:tc>
          <w:tcPr>
            <w:tcW w:w="1293" w:type="pct"/>
            <w:gridSpan w:val="2"/>
            <w:shd w:val="clear" w:color="auto" w:fill="auto"/>
            <w:tcMar>
              <w:top w:w="57" w:type="dxa"/>
              <w:bottom w:w="57" w:type="dxa"/>
            </w:tcMar>
          </w:tcPr>
          <w:p w14:paraId="391D102E" w14:textId="76D48EE6" w:rsidR="00AB2511" w:rsidRPr="00712F71" w:rsidRDefault="00AB2511" w:rsidP="00AB2511">
            <w:pPr>
              <w:rPr>
                <w:rFonts w:cs="Arial"/>
                <w:szCs w:val="19"/>
              </w:rPr>
            </w:pPr>
            <w:proofErr w:type="spellStart"/>
            <w:r>
              <w:rPr>
                <w:rFonts w:cs="Arial"/>
                <w:szCs w:val="19"/>
              </w:rPr>
              <w:t>Dostarlimab</w:t>
            </w:r>
            <w:proofErr w:type="spellEnd"/>
            <w:r>
              <w:rPr>
                <w:rFonts w:cs="Arial"/>
                <w:szCs w:val="19"/>
              </w:rPr>
              <w:t xml:space="preserve"> (</w:t>
            </w:r>
            <w:proofErr w:type="spellStart"/>
            <w:r>
              <w:rPr>
                <w:rFonts w:cs="Arial"/>
                <w:i/>
                <w:iCs/>
                <w:szCs w:val="19"/>
              </w:rPr>
              <w:t>Jemperli</w:t>
            </w:r>
            <w:proofErr w:type="spellEnd"/>
            <w:r>
              <w:rPr>
                <w:rFonts w:cs="Arial"/>
                <w:szCs w:val="19"/>
              </w:rPr>
              <w:t>)</w:t>
            </w:r>
          </w:p>
        </w:tc>
        <w:tc>
          <w:tcPr>
            <w:tcW w:w="3707" w:type="pct"/>
            <w:gridSpan w:val="2"/>
            <w:shd w:val="clear" w:color="auto" w:fill="auto"/>
            <w:tcMar>
              <w:top w:w="57" w:type="dxa"/>
              <w:bottom w:w="57" w:type="dxa"/>
            </w:tcMar>
          </w:tcPr>
          <w:p w14:paraId="2B028855" w14:textId="537B024B" w:rsidR="00AB2511" w:rsidRPr="008C760F" w:rsidRDefault="00AB2511" w:rsidP="00AB2511">
            <w:pPr>
              <w:tabs>
                <w:tab w:val="center" w:pos="3152"/>
              </w:tabs>
              <w:rPr>
                <w:rFonts w:cs="Arial"/>
                <w:szCs w:val="19"/>
                <w:lang w:val="en-US"/>
              </w:rPr>
            </w:pPr>
            <w:r>
              <w:rPr>
                <w:rFonts w:cs="Arial"/>
                <w:szCs w:val="19"/>
                <w:lang w:val="en-US"/>
              </w:rPr>
              <w:t>A</w:t>
            </w:r>
            <w:r w:rsidRPr="00476410">
              <w:rPr>
                <w:rFonts w:cs="Arial"/>
                <w:szCs w:val="19"/>
                <w:lang w:val="en-US"/>
              </w:rPr>
              <w:t xml:space="preserve">dvanced </w:t>
            </w:r>
            <w:r>
              <w:rPr>
                <w:rFonts w:cs="Arial"/>
                <w:szCs w:val="19"/>
                <w:lang w:val="en-US"/>
              </w:rPr>
              <w:t>o</w:t>
            </w:r>
            <w:r w:rsidRPr="00476410">
              <w:rPr>
                <w:rFonts w:cs="Arial"/>
                <w:szCs w:val="19"/>
                <w:lang w:val="en-US"/>
              </w:rPr>
              <w:t>varian cancer in adults</w:t>
            </w:r>
            <w:r>
              <w:rPr>
                <w:rFonts w:cs="Arial"/>
                <w:szCs w:val="19"/>
                <w:lang w:val="en-US"/>
              </w:rPr>
              <w:t>,</w:t>
            </w:r>
            <w:r w:rsidRPr="00476410">
              <w:rPr>
                <w:rFonts w:cs="Arial"/>
                <w:szCs w:val="19"/>
                <w:lang w:val="en-US"/>
              </w:rPr>
              <w:t xml:space="preserve"> first-line with chemotherapy, followed by combination with niraparib as maintenance</w:t>
            </w:r>
            <w:r>
              <w:rPr>
                <w:rFonts w:cs="Arial"/>
                <w:szCs w:val="19"/>
                <w:lang w:val="en-US"/>
              </w:rPr>
              <w:t xml:space="preserve"> – development discontinued (company decision)</w:t>
            </w:r>
          </w:p>
        </w:tc>
      </w:tr>
      <w:tr w:rsidR="00AB2511" w14:paraId="766C3744" w14:textId="77777777" w:rsidTr="00DF1566">
        <w:tc>
          <w:tcPr>
            <w:tcW w:w="1293" w:type="pct"/>
            <w:gridSpan w:val="2"/>
            <w:shd w:val="clear" w:color="auto" w:fill="auto"/>
            <w:tcMar>
              <w:top w:w="57" w:type="dxa"/>
              <w:bottom w:w="57" w:type="dxa"/>
            </w:tcMar>
          </w:tcPr>
          <w:p w14:paraId="6EBF972F" w14:textId="48297BF3" w:rsidR="00AB2511" w:rsidRPr="00712F71" w:rsidRDefault="00AB2511" w:rsidP="00AB2511">
            <w:pPr>
              <w:rPr>
                <w:rFonts w:cs="Arial"/>
                <w:szCs w:val="19"/>
              </w:rPr>
            </w:pPr>
            <w:proofErr w:type="spellStart"/>
            <w:r w:rsidRPr="0056659C">
              <w:rPr>
                <w:rFonts w:cs="Arial"/>
                <w:szCs w:val="19"/>
              </w:rPr>
              <w:t>Gefurulimab</w:t>
            </w:r>
            <w:proofErr w:type="spellEnd"/>
            <w:r>
              <w:rPr>
                <w:rFonts w:cs="Arial"/>
                <w:szCs w:val="19"/>
              </w:rPr>
              <w:t xml:space="preserve"> </w:t>
            </w:r>
          </w:p>
        </w:tc>
        <w:tc>
          <w:tcPr>
            <w:tcW w:w="3707" w:type="pct"/>
            <w:gridSpan w:val="2"/>
            <w:shd w:val="clear" w:color="auto" w:fill="auto"/>
            <w:tcMar>
              <w:top w:w="57" w:type="dxa"/>
              <w:bottom w:w="57" w:type="dxa"/>
            </w:tcMar>
          </w:tcPr>
          <w:p w14:paraId="4717C84E" w14:textId="7A8506BF" w:rsidR="00AB2511" w:rsidRPr="008C760F" w:rsidRDefault="00AB2511" w:rsidP="00AB2511">
            <w:pPr>
              <w:tabs>
                <w:tab w:val="center" w:pos="3152"/>
              </w:tabs>
              <w:rPr>
                <w:rFonts w:cs="Arial"/>
                <w:szCs w:val="19"/>
                <w:lang w:val="en-US"/>
              </w:rPr>
            </w:pPr>
            <w:proofErr w:type="spellStart"/>
            <w:r w:rsidRPr="00B5382B">
              <w:rPr>
                <w:rFonts w:cs="Arial"/>
                <w:szCs w:val="19"/>
                <w:lang w:val="en-US"/>
              </w:rPr>
              <w:t>Generalised</w:t>
            </w:r>
            <w:proofErr w:type="spellEnd"/>
            <w:r w:rsidRPr="00B5382B">
              <w:rPr>
                <w:rFonts w:cs="Arial"/>
                <w:szCs w:val="19"/>
                <w:lang w:val="en-US"/>
              </w:rPr>
              <w:t xml:space="preserve"> </w:t>
            </w:r>
            <w:r>
              <w:rPr>
                <w:rFonts w:cs="Arial"/>
                <w:szCs w:val="19"/>
                <w:lang w:val="en-US"/>
              </w:rPr>
              <w:t xml:space="preserve">myasthenia gravis </w:t>
            </w:r>
            <w:r w:rsidRPr="00B5382B">
              <w:rPr>
                <w:rFonts w:cs="Arial"/>
                <w:szCs w:val="19"/>
                <w:lang w:val="en-US"/>
              </w:rPr>
              <w:t>in adults with acetylcholine receptor autoantibodies</w:t>
            </w:r>
            <w:r>
              <w:rPr>
                <w:rFonts w:cs="Arial"/>
                <w:szCs w:val="19"/>
                <w:lang w:val="en-US"/>
              </w:rPr>
              <w:t xml:space="preserve"> – UK development discontinued (company decision)</w:t>
            </w:r>
          </w:p>
        </w:tc>
      </w:tr>
      <w:tr w:rsidR="00AB2511" w14:paraId="04DF6C03" w14:textId="77777777" w:rsidTr="00DF1566">
        <w:tc>
          <w:tcPr>
            <w:tcW w:w="1293" w:type="pct"/>
            <w:gridSpan w:val="2"/>
            <w:shd w:val="clear" w:color="auto" w:fill="auto"/>
            <w:tcMar>
              <w:top w:w="57" w:type="dxa"/>
              <w:bottom w:w="57" w:type="dxa"/>
            </w:tcMar>
          </w:tcPr>
          <w:p w14:paraId="3091313A" w14:textId="5C60B5AF" w:rsidR="00AB2511" w:rsidRPr="00712F71" w:rsidRDefault="00AB2511" w:rsidP="00AB2511">
            <w:pPr>
              <w:rPr>
                <w:rFonts w:cs="Arial"/>
                <w:szCs w:val="19"/>
              </w:rPr>
            </w:pPr>
            <w:r>
              <w:rPr>
                <w:rFonts w:cs="Arial"/>
                <w:szCs w:val="19"/>
              </w:rPr>
              <w:t>Lenvatinib (</w:t>
            </w:r>
            <w:proofErr w:type="spellStart"/>
            <w:r>
              <w:rPr>
                <w:rFonts w:cs="Arial"/>
                <w:i/>
                <w:iCs/>
                <w:szCs w:val="19"/>
              </w:rPr>
              <w:t>Lenvima</w:t>
            </w:r>
            <w:proofErr w:type="spellEnd"/>
            <w:r>
              <w:rPr>
                <w:rFonts w:cs="Arial"/>
                <w:szCs w:val="19"/>
              </w:rPr>
              <w:t>)</w:t>
            </w:r>
          </w:p>
        </w:tc>
        <w:tc>
          <w:tcPr>
            <w:tcW w:w="3707" w:type="pct"/>
            <w:gridSpan w:val="2"/>
            <w:shd w:val="clear" w:color="auto" w:fill="auto"/>
            <w:tcMar>
              <w:top w:w="57" w:type="dxa"/>
              <w:bottom w:w="57" w:type="dxa"/>
            </w:tcMar>
          </w:tcPr>
          <w:p w14:paraId="4D1A4BEC" w14:textId="0526F4C9" w:rsidR="00AB2511" w:rsidRPr="008C760F" w:rsidRDefault="00AB2511" w:rsidP="00AB2511">
            <w:pPr>
              <w:tabs>
                <w:tab w:val="center" w:pos="3152"/>
              </w:tabs>
              <w:rPr>
                <w:rFonts w:cs="Arial"/>
                <w:szCs w:val="19"/>
                <w:lang w:val="en-US"/>
              </w:rPr>
            </w:pPr>
            <w:r>
              <w:rPr>
                <w:rFonts w:cs="Arial"/>
                <w:szCs w:val="19"/>
                <w:lang w:val="en-US"/>
              </w:rPr>
              <w:t>M</w:t>
            </w:r>
            <w:r w:rsidRPr="00814CDB">
              <w:rPr>
                <w:rFonts w:cs="Arial"/>
                <w:szCs w:val="19"/>
                <w:lang w:val="en-US"/>
              </w:rPr>
              <w:t xml:space="preserve">etastatic, squamous cell </w:t>
            </w:r>
            <w:proofErr w:type="spellStart"/>
            <w:r>
              <w:rPr>
                <w:rFonts w:cs="Arial"/>
                <w:szCs w:val="19"/>
                <w:lang w:val="en-US"/>
              </w:rPr>
              <w:t>oesophageal</w:t>
            </w:r>
            <w:proofErr w:type="spellEnd"/>
            <w:r>
              <w:rPr>
                <w:rFonts w:cs="Arial"/>
                <w:szCs w:val="19"/>
                <w:lang w:val="en-US"/>
              </w:rPr>
              <w:t xml:space="preserve"> </w:t>
            </w:r>
            <w:r w:rsidRPr="00814CDB">
              <w:rPr>
                <w:rFonts w:cs="Arial"/>
                <w:szCs w:val="19"/>
                <w:lang w:val="en-US"/>
              </w:rPr>
              <w:t>carcinoma in adults</w:t>
            </w:r>
            <w:r>
              <w:rPr>
                <w:rFonts w:cs="Arial"/>
                <w:szCs w:val="19"/>
                <w:lang w:val="en-US"/>
              </w:rPr>
              <w:t>,</w:t>
            </w:r>
            <w:r w:rsidRPr="00814CDB">
              <w:rPr>
                <w:rFonts w:cs="Arial"/>
                <w:szCs w:val="19"/>
                <w:lang w:val="en-US"/>
              </w:rPr>
              <w:t xml:space="preserve"> first-line with </w:t>
            </w:r>
            <w:r>
              <w:rPr>
                <w:rFonts w:cs="Arial"/>
                <w:szCs w:val="19"/>
                <w:lang w:val="en-US"/>
              </w:rPr>
              <w:t>pembrolizumab – development discontinued (lack of efficacy)</w:t>
            </w:r>
          </w:p>
        </w:tc>
      </w:tr>
      <w:tr w:rsidR="00AB2511" w14:paraId="514E37E1" w14:textId="77777777" w:rsidTr="00DF1566">
        <w:tc>
          <w:tcPr>
            <w:tcW w:w="1293" w:type="pct"/>
            <w:gridSpan w:val="2"/>
            <w:shd w:val="clear" w:color="auto" w:fill="auto"/>
            <w:tcMar>
              <w:top w:w="57" w:type="dxa"/>
              <w:bottom w:w="57" w:type="dxa"/>
            </w:tcMar>
          </w:tcPr>
          <w:p w14:paraId="0A3F6950" w14:textId="42898050" w:rsidR="00AB2511" w:rsidRPr="00712F71" w:rsidRDefault="00AB2511" w:rsidP="00AB2511">
            <w:pPr>
              <w:rPr>
                <w:rFonts w:cs="Arial"/>
                <w:szCs w:val="19"/>
              </w:rPr>
            </w:pPr>
            <w:proofErr w:type="spellStart"/>
            <w:r w:rsidRPr="002B55E8">
              <w:rPr>
                <w:rFonts w:cs="Arial"/>
                <w:szCs w:val="19"/>
              </w:rPr>
              <w:t>Lifileucel</w:t>
            </w:r>
            <w:proofErr w:type="spellEnd"/>
            <w:r>
              <w:rPr>
                <w:rFonts w:cs="Arial"/>
                <w:szCs w:val="19"/>
              </w:rPr>
              <w:t xml:space="preserve"> (</w:t>
            </w:r>
            <w:proofErr w:type="spellStart"/>
            <w:r>
              <w:rPr>
                <w:rFonts w:cs="Arial"/>
                <w:i/>
                <w:iCs/>
                <w:szCs w:val="19"/>
              </w:rPr>
              <w:t>Amtagvi</w:t>
            </w:r>
            <w:proofErr w:type="spellEnd"/>
            <w:r>
              <w:rPr>
                <w:rFonts w:cs="Arial"/>
                <w:szCs w:val="19"/>
              </w:rPr>
              <w:t>)</w:t>
            </w:r>
          </w:p>
        </w:tc>
        <w:tc>
          <w:tcPr>
            <w:tcW w:w="3707" w:type="pct"/>
            <w:gridSpan w:val="2"/>
            <w:shd w:val="clear" w:color="auto" w:fill="auto"/>
            <w:tcMar>
              <w:top w:w="57" w:type="dxa"/>
              <w:bottom w:w="57" w:type="dxa"/>
            </w:tcMar>
          </w:tcPr>
          <w:p w14:paraId="3DB7DAB5" w14:textId="300C46DE" w:rsidR="00AB2511" w:rsidRPr="008C760F" w:rsidRDefault="00AB2511" w:rsidP="00AB2511">
            <w:pPr>
              <w:tabs>
                <w:tab w:val="center" w:pos="3152"/>
              </w:tabs>
              <w:rPr>
                <w:rFonts w:cs="Arial"/>
                <w:szCs w:val="19"/>
                <w:lang w:val="en-US"/>
              </w:rPr>
            </w:pPr>
            <w:r w:rsidRPr="00607EBC">
              <w:rPr>
                <w:rFonts w:cs="Arial"/>
                <w:szCs w:val="19"/>
                <w:lang w:val="en-US"/>
              </w:rPr>
              <w:t xml:space="preserve">Unresectable or metastatic </w:t>
            </w:r>
            <w:r>
              <w:rPr>
                <w:rFonts w:cs="Arial"/>
                <w:szCs w:val="19"/>
                <w:lang w:val="en-US"/>
              </w:rPr>
              <w:t>melanoma,</w:t>
            </w:r>
            <w:r w:rsidRPr="00607EBC">
              <w:rPr>
                <w:rFonts w:cs="Arial"/>
                <w:szCs w:val="19"/>
                <w:lang w:val="en-US"/>
              </w:rPr>
              <w:t xml:space="preserve"> second-line as monotherapy after PD-1 inhibitor, and if BRAF V600 mutation positive, third-line also after a BRAF inhibitor +/- MEK inhibitor</w:t>
            </w:r>
            <w:r>
              <w:rPr>
                <w:rFonts w:cs="Arial"/>
                <w:szCs w:val="19"/>
                <w:lang w:val="en-US"/>
              </w:rPr>
              <w:t xml:space="preserve"> – EU filing withdrawn</w:t>
            </w:r>
          </w:p>
        </w:tc>
      </w:tr>
      <w:tr w:rsidR="00AB2511" w14:paraId="71B01F69" w14:textId="77777777" w:rsidTr="00DF1566">
        <w:tc>
          <w:tcPr>
            <w:tcW w:w="1293" w:type="pct"/>
            <w:gridSpan w:val="2"/>
            <w:shd w:val="clear" w:color="auto" w:fill="auto"/>
            <w:tcMar>
              <w:top w:w="57" w:type="dxa"/>
              <w:bottom w:w="57" w:type="dxa"/>
            </w:tcMar>
          </w:tcPr>
          <w:p w14:paraId="147F7297" w14:textId="58733258" w:rsidR="00AB2511" w:rsidRPr="002B55E8" w:rsidRDefault="00AB2511" w:rsidP="00AB2511">
            <w:pPr>
              <w:rPr>
                <w:rFonts w:cs="Arial"/>
                <w:szCs w:val="19"/>
              </w:rPr>
            </w:pPr>
            <w:r w:rsidRPr="00DA1042">
              <w:rPr>
                <w:rFonts w:cs="Arial"/>
                <w:szCs w:val="19"/>
              </w:rPr>
              <w:t xml:space="preserve">Lutetium (177Lu) </w:t>
            </w:r>
            <w:proofErr w:type="spellStart"/>
            <w:r w:rsidRPr="00DA1042">
              <w:rPr>
                <w:rFonts w:cs="Arial"/>
                <w:szCs w:val="19"/>
              </w:rPr>
              <w:t>oxodotreotide</w:t>
            </w:r>
            <w:proofErr w:type="spellEnd"/>
            <w:r w:rsidRPr="00DA1042">
              <w:rPr>
                <w:rFonts w:cs="Arial"/>
                <w:szCs w:val="19"/>
              </w:rPr>
              <w:t> </w:t>
            </w:r>
            <w:r>
              <w:rPr>
                <w:rFonts w:cs="Arial"/>
                <w:szCs w:val="19"/>
              </w:rPr>
              <w:t>(</w:t>
            </w:r>
            <w:proofErr w:type="spellStart"/>
            <w:r>
              <w:rPr>
                <w:rFonts w:cs="Arial"/>
                <w:i/>
                <w:iCs/>
                <w:szCs w:val="19"/>
              </w:rPr>
              <w:t>Lutathera</w:t>
            </w:r>
            <w:proofErr w:type="spellEnd"/>
            <w:r>
              <w:rPr>
                <w:rFonts w:cs="Arial"/>
                <w:szCs w:val="19"/>
              </w:rPr>
              <w:t>)</w:t>
            </w:r>
          </w:p>
        </w:tc>
        <w:tc>
          <w:tcPr>
            <w:tcW w:w="3707" w:type="pct"/>
            <w:gridSpan w:val="2"/>
            <w:shd w:val="clear" w:color="auto" w:fill="auto"/>
            <w:tcMar>
              <w:top w:w="57" w:type="dxa"/>
              <w:bottom w:w="57" w:type="dxa"/>
            </w:tcMar>
          </w:tcPr>
          <w:p w14:paraId="785BB809" w14:textId="565F3DD9" w:rsidR="00AB2511" w:rsidRPr="00607EBC" w:rsidRDefault="00AB2511" w:rsidP="00AB2511">
            <w:pPr>
              <w:tabs>
                <w:tab w:val="center" w:pos="3152"/>
              </w:tabs>
              <w:rPr>
                <w:rFonts w:cs="Arial"/>
                <w:szCs w:val="19"/>
                <w:lang w:val="en-US"/>
              </w:rPr>
            </w:pPr>
            <w:r>
              <w:rPr>
                <w:rFonts w:cs="Arial"/>
                <w:szCs w:val="19"/>
                <w:lang w:val="en-US"/>
              </w:rPr>
              <w:t xml:space="preserve">Treatment of </w:t>
            </w:r>
            <w:r w:rsidRPr="00627587">
              <w:rPr>
                <w:rFonts w:cs="Arial"/>
                <w:szCs w:val="19"/>
                <w:lang w:val="en-US"/>
              </w:rPr>
              <w:t xml:space="preserve">unresectable or metastatic, somatostatin receptor-positive gastro-entero-pancreatic neuroendocrine </w:t>
            </w:r>
            <w:proofErr w:type="spellStart"/>
            <w:r w:rsidRPr="00627587">
              <w:rPr>
                <w:rFonts w:cs="Arial"/>
                <w:szCs w:val="19"/>
                <w:lang w:val="en-US"/>
              </w:rPr>
              <w:t>tumours</w:t>
            </w:r>
            <w:proofErr w:type="spellEnd"/>
            <w:r w:rsidRPr="00627587">
              <w:rPr>
                <w:rFonts w:cs="Arial"/>
                <w:szCs w:val="19"/>
                <w:lang w:val="en-US"/>
              </w:rPr>
              <w:t xml:space="preserve"> </w:t>
            </w:r>
            <w:r>
              <w:rPr>
                <w:rFonts w:cs="Arial"/>
                <w:szCs w:val="19"/>
                <w:lang w:val="en-US"/>
              </w:rPr>
              <w:t xml:space="preserve">in </w:t>
            </w:r>
            <w:r w:rsidRPr="00627587">
              <w:rPr>
                <w:rFonts w:cs="Arial"/>
                <w:szCs w:val="19"/>
                <w:lang w:val="en-US"/>
              </w:rPr>
              <w:t xml:space="preserve">adolescents aged </w:t>
            </w:r>
            <w:r>
              <w:rPr>
                <w:rFonts w:cs="Arial"/>
                <w:szCs w:val="19"/>
                <w:lang w:val="en-US"/>
              </w:rPr>
              <w:t>≥</w:t>
            </w:r>
            <w:r w:rsidRPr="00627587">
              <w:rPr>
                <w:rFonts w:cs="Arial"/>
                <w:szCs w:val="19"/>
                <w:lang w:val="en-US"/>
              </w:rPr>
              <w:t xml:space="preserve">12 years </w:t>
            </w:r>
            <w:r>
              <w:rPr>
                <w:rFonts w:cs="Arial"/>
                <w:szCs w:val="19"/>
                <w:lang w:val="en-US"/>
              </w:rPr>
              <w:t>– not approved in EU</w:t>
            </w:r>
          </w:p>
        </w:tc>
      </w:tr>
      <w:tr w:rsidR="00AB2511" w14:paraId="69B7EDBF" w14:textId="77777777" w:rsidTr="00DF1566">
        <w:tc>
          <w:tcPr>
            <w:tcW w:w="1293" w:type="pct"/>
            <w:gridSpan w:val="2"/>
            <w:shd w:val="clear" w:color="auto" w:fill="auto"/>
            <w:tcMar>
              <w:top w:w="57" w:type="dxa"/>
              <w:bottom w:w="57" w:type="dxa"/>
            </w:tcMar>
          </w:tcPr>
          <w:p w14:paraId="1ED48C8B" w14:textId="77777777" w:rsidR="00AB2511" w:rsidRDefault="00AB2511" w:rsidP="00AB2511">
            <w:pPr>
              <w:rPr>
                <w:rFonts w:cs="Arial"/>
                <w:szCs w:val="19"/>
              </w:rPr>
            </w:pPr>
            <w:proofErr w:type="spellStart"/>
            <w:r w:rsidRPr="007E1800">
              <w:rPr>
                <w:rFonts w:cs="Arial"/>
                <w:szCs w:val="19"/>
              </w:rPr>
              <w:t>Mozafancogene</w:t>
            </w:r>
            <w:proofErr w:type="spellEnd"/>
            <w:r w:rsidRPr="007E1800">
              <w:rPr>
                <w:rFonts w:cs="Arial"/>
                <w:szCs w:val="19"/>
              </w:rPr>
              <w:t xml:space="preserve"> </w:t>
            </w:r>
            <w:proofErr w:type="spellStart"/>
            <w:r w:rsidRPr="007E1800">
              <w:rPr>
                <w:rFonts w:cs="Arial"/>
                <w:szCs w:val="19"/>
              </w:rPr>
              <w:t>autotemcel</w:t>
            </w:r>
            <w:proofErr w:type="spellEnd"/>
            <w:r w:rsidRPr="007E1800">
              <w:rPr>
                <w:rFonts w:cs="Arial"/>
                <w:szCs w:val="19"/>
              </w:rPr>
              <w:t> </w:t>
            </w:r>
          </w:p>
          <w:p w14:paraId="0CB1FFF3" w14:textId="5B207AC0" w:rsidR="00AB2511" w:rsidRPr="002B55E8" w:rsidRDefault="00AB2511" w:rsidP="00AB2511">
            <w:pPr>
              <w:rPr>
                <w:rFonts w:cs="Arial"/>
                <w:szCs w:val="19"/>
              </w:rPr>
            </w:pPr>
            <w:r>
              <w:rPr>
                <w:rFonts w:cs="Arial"/>
                <w:szCs w:val="19"/>
              </w:rPr>
              <w:t>(</w:t>
            </w:r>
            <w:proofErr w:type="spellStart"/>
            <w:r>
              <w:rPr>
                <w:rFonts w:cs="Arial"/>
                <w:i/>
                <w:iCs/>
                <w:szCs w:val="19"/>
              </w:rPr>
              <w:t>Fanskya</w:t>
            </w:r>
            <w:proofErr w:type="spellEnd"/>
            <w:r>
              <w:rPr>
                <w:rFonts w:cs="Arial"/>
                <w:szCs w:val="19"/>
              </w:rPr>
              <w:t>)</w:t>
            </w:r>
          </w:p>
        </w:tc>
        <w:tc>
          <w:tcPr>
            <w:tcW w:w="3707" w:type="pct"/>
            <w:gridSpan w:val="2"/>
            <w:shd w:val="clear" w:color="auto" w:fill="auto"/>
            <w:tcMar>
              <w:top w:w="57" w:type="dxa"/>
              <w:bottom w:w="57" w:type="dxa"/>
            </w:tcMar>
          </w:tcPr>
          <w:p w14:paraId="23B4CA0C" w14:textId="0811F1D1" w:rsidR="00AB2511" w:rsidRPr="00607EBC" w:rsidRDefault="00AB2511" w:rsidP="00AB2511">
            <w:pPr>
              <w:tabs>
                <w:tab w:val="center" w:pos="3152"/>
              </w:tabs>
              <w:rPr>
                <w:rFonts w:cs="Arial"/>
                <w:szCs w:val="19"/>
                <w:lang w:val="en-US"/>
              </w:rPr>
            </w:pPr>
            <w:r>
              <w:rPr>
                <w:rFonts w:cs="Arial"/>
                <w:szCs w:val="19"/>
                <w:lang w:val="en-US"/>
              </w:rPr>
              <w:t xml:space="preserve">Treatment of type A </w:t>
            </w:r>
            <w:r w:rsidRPr="002643E5">
              <w:rPr>
                <w:rFonts w:cs="Arial"/>
                <w:szCs w:val="19"/>
                <w:lang w:val="en-US"/>
              </w:rPr>
              <w:t xml:space="preserve">Fanconi </w:t>
            </w:r>
            <w:proofErr w:type="spellStart"/>
            <w:r w:rsidRPr="002643E5">
              <w:rPr>
                <w:rFonts w:cs="Arial"/>
                <w:szCs w:val="19"/>
                <w:lang w:val="en-US"/>
              </w:rPr>
              <w:t>anaemia</w:t>
            </w:r>
            <w:proofErr w:type="spellEnd"/>
            <w:r w:rsidRPr="002643E5">
              <w:rPr>
                <w:rFonts w:cs="Arial"/>
                <w:szCs w:val="19"/>
                <w:lang w:val="en-US"/>
              </w:rPr>
              <w:t xml:space="preserve"> in adolescents and children aged </w:t>
            </w:r>
            <w:r>
              <w:rPr>
                <w:rFonts w:cs="Arial"/>
                <w:szCs w:val="19"/>
                <w:lang w:val="en-US"/>
              </w:rPr>
              <w:t>≥</w:t>
            </w:r>
            <w:r w:rsidRPr="002643E5">
              <w:rPr>
                <w:rFonts w:cs="Arial"/>
                <w:szCs w:val="19"/>
                <w:lang w:val="en-US"/>
              </w:rPr>
              <w:t>1 year with no HLA-identical sibling donor</w:t>
            </w:r>
            <w:r>
              <w:rPr>
                <w:rFonts w:cs="Arial"/>
                <w:szCs w:val="19"/>
                <w:lang w:val="en-US"/>
              </w:rPr>
              <w:t xml:space="preserve"> – EU filing withdrawn</w:t>
            </w:r>
          </w:p>
        </w:tc>
      </w:tr>
      <w:tr w:rsidR="00AB2511" w:rsidRPr="000F19E1" w14:paraId="440D3487" w14:textId="77777777" w:rsidTr="00DF1566">
        <w:tc>
          <w:tcPr>
            <w:tcW w:w="1293" w:type="pct"/>
            <w:gridSpan w:val="2"/>
            <w:shd w:val="clear" w:color="auto" w:fill="auto"/>
            <w:tcMar>
              <w:top w:w="0" w:type="dxa"/>
              <w:bottom w:w="0" w:type="dxa"/>
            </w:tcMar>
          </w:tcPr>
          <w:p w14:paraId="521FAE90" w14:textId="77777777" w:rsidR="00AB2511" w:rsidRPr="000F19E1" w:rsidRDefault="00AB2511" w:rsidP="00AB2511">
            <w:pPr>
              <w:rPr>
                <w:rFonts w:cs="Arial"/>
                <w:bCs/>
                <w:sz w:val="8"/>
                <w:szCs w:val="8"/>
              </w:rPr>
            </w:pPr>
          </w:p>
        </w:tc>
        <w:tc>
          <w:tcPr>
            <w:tcW w:w="3707" w:type="pct"/>
            <w:gridSpan w:val="2"/>
            <w:shd w:val="clear" w:color="auto" w:fill="auto"/>
            <w:tcMar>
              <w:top w:w="0" w:type="dxa"/>
              <w:bottom w:w="0" w:type="dxa"/>
            </w:tcMar>
          </w:tcPr>
          <w:p w14:paraId="2478A98C" w14:textId="77777777" w:rsidR="00AB2511" w:rsidRPr="000F19E1" w:rsidRDefault="00AB2511" w:rsidP="00AB2511">
            <w:pPr>
              <w:tabs>
                <w:tab w:val="center" w:pos="3152"/>
              </w:tabs>
              <w:rPr>
                <w:rFonts w:cs="Arial"/>
                <w:sz w:val="8"/>
                <w:szCs w:val="8"/>
                <w:lang w:val="en-US"/>
              </w:rPr>
            </w:pPr>
          </w:p>
        </w:tc>
      </w:tr>
      <w:tr w:rsidR="00AB2511" w:rsidRPr="000F19E1" w14:paraId="0E7A961C" w14:textId="77777777" w:rsidTr="00DF1566">
        <w:tc>
          <w:tcPr>
            <w:tcW w:w="1355" w:type="pct"/>
            <w:gridSpan w:val="3"/>
            <w:shd w:val="clear" w:color="auto" w:fill="DAEEF3"/>
            <w:tcMar>
              <w:top w:w="0" w:type="dxa"/>
              <w:bottom w:w="0" w:type="dxa"/>
            </w:tcMar>
          </w:tcPr>
          <w:p w14:paraId="49A5029F" w14:textId="77777777" w:rsidR="00AB2511" w:rsidRPr="000F19E1" w:rsidRDefault="00AB2511" w:rsidP="00AB2511">
            <w:pPr>
              <w:rPr>
                <w:rFonts w:cs="Arial"/>
                <w:bCs/>
                <w:sz w:val="8"/>
                <w:szCs w:val="8"/>
              </w:rPr>
            </w:pPr>
          </w:p>
        </w:tc>
        <w:tc>
          <w:tcPr>
            <w:tcW w:w="3645" w:type="pct"/>
            <w:shd w:val="clear" w:color="auto" w:fill="DAEEF3"/>
            <w:tcMar>
              <w:top w:w="0" w:type="dxa"/>
              <w:bottom w:w="0" w:type="dxa"/>
            </w:tcMar>
          </w:tcPr>
          <w:p w14:paraId="5A6276F6" w14:textId="77777777" w:rsidR="00AB2511" w:rsidRPr="000F19E1" w:rsidRDefault="00AB2511" w:rsidP="00AB2511">
            <w:pPr>
              <w:tabs>
                <w:tab w:val="center" w:pos="3152"/>
              </w:tabs>
              <w:rPr>
                <w:rFonts w:cs="Arial"/>
                <w:sz w:val="8"/>
                <w:szCs w:val="8"/>
                <w:lang w:val="en-US"/>
              </w:rPr>
            </w:pPr>
          </w:p>
        </w:tc>
      </w:tr>
    </w:tbl>
    <w:p w14:paraId="610309C6" w14:textId="77777777" w:rsidR="003A0E9A" w:rsidRDefault="003A0E9A" w:rsidP="003D16EF">
      <w:pPr>
        <w:rPr>
          <w:sz w:val="8"/>
          <w:szCs w:val="8"/>
        </w:rPr>
      </w:pPr>
    </w:p>
    <w:p w14:paraId="3B13CB2D" w14:textId="77777777" w:rsidR="003A0E9A" w:rsidRDefault="003A0E9A" w:rsidP="003D16EF">
      <w:pPr>
        <w:rPr>
          <w:sz w:val="8"/>
          <w:szCs w:val="8"/>
        </w:rPr>
      </w:pPr>
    </w:p>
    <w:p w14:paraId="4D1A8A65" w14:textId="77777777" w:rsidR="003A0E9A" w:rsidRDefault="003A0E9A" w:rsidP="003D16EF">
      <w:pPr>
        <w:rPr>
          <w:sz w:val="8"/>
          <w:szCs w:val="8"/>
        </w:rPr>
      </w:pPr>
    </w:p>
    <w:p w14:paraId="3488B7BD" w14:textId="77777777" w:rsidR="003A0E9A" w:rsidRDefault="003A0E9A" w:rsidP="003D16EF">
      <w:pPr>
        <w:rPr>
          <w:sz w:val="8"/>
          <w:szCs w:val="8"/>
        </w:rPr>
      </w:pPr>
    </w:p>
    <w:p w14:paraId="75B16E5C" w14:textId="77777777" w:rsidR="000F6C6C" w:rsidRDefault="000F6C6C" w:rsidP="003D16EF">
      <w:pPr>
        <w:rPr>
          <w:sz w:val="8"/>
          <w:szCs w:val="8"/>
        </w:rPr>
      </w:pPr>
    </w:p>
    <w:p w14:paraId="66077133" w14:textId="77777777" w:rsidR="000F6C6C" w:rsidRDefault="000F6C6C" w:rsidP="003D16EF">
      <w:pPr>
        <w:rPr>
          <w:sz w:val="8"/>
          <w:szCs w:val="8"/>
        </w:rPr>
      </w:pPr>
    </w:p>
    <w:p w14:paraId="661DBFF7" w14:textId="77777777" w:rsidR="000F6C6C" w:rsidRDefault="000F6C6C" w:rsidP="003D16EF">
      <w:pPr>
        <w:rPr>
          <w:sz w:val="8"/>
          <w:szCs w:val="8"/>
        </w:rPr>
      </w:pPr>
    </w:p>
    <w:p w14:paraId="091DFF30" w14:textId="77777777" w:rsidR="000F6C6C" w:rsidRDefault="000F6C6C" w:rsidP="003D16EF">
      <w:pPr>
        <w:rPr>
          <w:sz w:val="8"/>
          <w:szCs w:val="8"/>
        </w:rPr>
      </w:pPr>
    </w:p>
    <w:p w14:paraId="1D5F0104" w14:textId="77777777" w:rsidR="00995163" w:rsidRDefault="00995163" w:rsidP="003D16EF">
      <w:pPr>
        <w:rPr>
          <w:sz w:val="8"/>
          <w:szCs w:val="8"/>
        </w:rPr>
      </w:pPr>
    </w:p>
    <w:p w14:paraId="5B991602" w14:textId="77777777" w:rsidR="00995163" w:rsidRDefault="00995163" w:rsidP="003D16EF">
      <w:pPr>
        <w:rPr>
          <w:sz w:val="8"/>
          <w:szCs w:val="8"/>
        </w:rPr>
      </w:pPr>
    </w:p>
    <w:p w14:paraId="414D6EB0" w14:textId="77777777" w:rsidR="00995163" w:rsidRDefault="00995163" w:rsidP="003D16EF">
      <w:pPr>
        <w:rPr>
          <w:sz w:val="8"/>
          <w:szCs w:val="8"/>
        </w:rPr>
      </w:pPr>
    </w:p>
    <w:p w14:paraId="4B60884B" w14:textId="77777777" w:rsidR="00995163" w:rsidRDefault="00995163" w:rsidP="003D16EF">
      <w:pPr>
        <w:rPr>
          <w:sz w:val="8"/>
          <w:szCs w:val="8"/>
        </w:rPr>
      </w:pPr>
    </w:p>
    <w:p w14:paraId="73A0A750" w14:textId="77777777" w:rsidR="00995163" w:rsidRDefault="00995163" w:rsidP="003D16EF">
      <w:pPr>
        <w:rPr>
          <w:sz w:val="8"/>
          <w:szCs w:val="8"/>
        </w:rPr>
      </w:pPr>
    </w:p>
    <w:p w14:paraId="25C54ED9" w14:textId="77777777" w:rsidR="00995163" w:rsidRDefault="00995163" w:rsidP="003D16EF">
      <w:pPr>
        <w:rPr>
          <w:sz w:val="8"/>
          <w:szCs w:val="8"/>
        </w:rPr>
      </w:pPr>
    </w:p>
    <w:p w14:paraId="3A1347CC" w14:textId="77777777" w:rsidR="00995163" w:rsidRDefault="00995163" w:rsidP="003D16EF">
      <w:pPr>
        <w:rPr>
          <w:sz w:val="8"/>
          <w:szCs w:val="8"/>
        </w:rPr>
      </w:pPr>
    </w:p>
    <w:p w14:paraId="72BBDD11" w14:textId="77777777" w:rsidR="000F6C6C" w:rsidRDefault="000F6C6C" w:rsidP="003D16EF">
      <w:pPr>
        <w:rPr>
          <w:sz w:val="8"/>
          <w:szCs w:val="8"/>
        </w:rPr>
      </w:pPr>
    </w:p>
    <w:tbl>
      <w:tblPr>
        <w:tblW w:w="5170" w:type="pct"/>
        <w:tblInd w:w="-176" w:type="dxa"/>
        <w:tblLayout w:type="fixed"/>
        <w:tblLook w:val="01E0" w:firstRow="1" w:lastRow="1" w:firstColumn="1" w:lastColumn="1" w:noHBand="0" w:noVBand="0"/>
      </w:tblPr>
      <w:tblGrid>
        <w:gridCol w:w="2430"/>
        <w:gridCol w:w="298"/>
        <w:gridCol w:w="131"/>
        <w:gridCol w:w="7692"/>
      </w:tblGrid>
      <w:tr w:rsidR="000F6C6C" w:rsidRPr="00862949" w14:paraId="465F3349" w14:textId="77777777" w:rsidTr="00DF1566">
        <w:tc>
          <w:tcPr>
            <w:tcW w:w="5000" w:type="pct"/>
            <w:gridSpan w:val="4"/>
            <w:shd w:val="clear" w:color="auto" w:fill="0070C0"/>
            <w:tcMar>
              <w:top w:w="85" w:type="dxa"/>
              <w:bottom w:w="85" w:type="dxa"/>
            </w:tcMar>
            <w:vAlign w:val="bottom"/>
          </w:tcPr>
          <w:p w14:paraId="219403B6" w14:textId="77777777" w:rsidR="000F6C6C" w:rsidRPr="00862949" w:rsidRDefault="000F6C6C" w:rsidP="00DF1566">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0F6C6C" w:rsidRPr="000F19E1" w14:paraId="3F4C5C73" w14:textId="77777777" w:rsidTr="00DF1566">
        <w:tc>
          <w:tcPr>
            <w:tcW w:w="1152" w:type="pct"/>
            <w:shd w:val="clear" w:color="auto" w:fill="DAEEF3"/>
            <w:tcMar>
              <w:top w:w="0" w:type="dxa"/>
              <w:bottom w:w="0" w:type="dxa"/>
            </w:tcMar>
          </w:tcPr>
          <w:p w14:paraId="4D3F4D03" w14:textId="77777777" w:rsidR="000F6C6C" w:rsidRPr="000F19E1" w:rsidRDefault="000F6C6C" w:rsidP="00DF1566">
            <w:pPr>
              <w:rPr>
                <w:rFonts w:cs="Arial"/>
                <w:bCs/>
                <w:sz w:val="8"/>
                <w:szCs w:val="8"/>
              </w:rPr>
            </w:pPr>
          </w:p>
        </w:tc>
        <w:tc>
          <w:tcPr>
            <w:tcW w:w="3848" w:type="pct"/>
            <w:gridSpan w:val="3"/>
            <w:shd w:val="clear" w:color="auto" w:fill="DAEEF3"/>
            <w:tcMar>
              <w:top w:w="0" w:type="dxa"/>
              <w:bottom w:w="0" w:type="dxa"/>
            </w:tcMar>
          </w:tcPr>
          <w:p w14:paraId="107A4F99" w14:textId="77777777" w:rsidR="000F6C6C" w:rsidRPr="000F19E1" w:rsidRDefault="000F6C6C" w:rsidP="00DF1566">
            <w:pPr>
              <w:tabs>
                <w:tab w:val="center" w:pos="3152"/>
              </w:tabs>
              <w:rPr>
                <w:rFonts w:cs="Arial"/>
                <w:sz w:val="8"/>
                <w:szCs w:val="8"/>
                <w:lang w:val="en-US"/>
              </w:rPr>
            </w:pPr>
          </w:p>
        </w:tc>
      </w:tr>
      <w:tr w:rsidR="000F6C6C" w:rsidRPr="00126CCD" w14:paraId="21751064" w14:textId="77777777" w:rsidTr="00DF1566">
        <w:tc>
          <w:tcPr>
            <w:tcW w:w="5000" w:type="pct"/>
            <w:gridSpan w:val="4"/>
            <w:shd w:val="clear" w:color="auto" w:fill="008232"/>
            <w:tcMar>
              <w:top w:w="57" w:type="dxa"/>
              <w:bottom w:w="57" w:type="dxa"/>
            </w:tcMar>
          </w:tcPr>
          <w:p w14:paraId="1D3BFD67" w14:textId="5F3A9E9D" w:rsidR="000F6C6C" w:rsidRPr="004642B4" w:rsidRDefault="000F6C6C" w:rsidP="00DF1566">
            <w:pPr>
              <w:rPr>
                <w:rFonts w:cs="Arial"/>
                <w:noProof/>
                <w:color w:val="FFFFFF"/>
                <w:sz w:val="16"/>
                <w:szCs w:val="16"/>
              </w:rPr>
            </w:pPr>
            <w:r w:rsidRPr="004642B4">
              <w:rPr>
                <w:rFonts w:cs="Arial"/>
                <w:b/>
                <w:bCs/>
                <w:i/>
                <w:iCs/>
                <w:color w:val="FFFFFF"/>
                <w:sz w:val="22"/>
                <w:szCs w:val="20"/>
                <w:lang w:val="en-US"/>
              </w:rPr>
              <w:t xml:space="preserve">Other </w:t>
            </w:r>
            <w:r>
              <w:rPr>
                <w:rFonts w:cs="Arial"/>
                <w:b/>
                <w:bCs/>
                <w:i/>
                <w:iCs/>
                <w:color w:val="FFFFFF"/>
                <w:sz w:val="22"/>
                <w:szCs w:val="20"/>
                <w:lang w:val="en-US"/>
              </w:rPr>
              <w:t>UK/</w:t>
            </w:r>
            <w:r w:rsidRPr="004642B4">
              <w:rPr>
                <w:rFonts w:cs="Arial"/>
                <w:b/>
                <w:bCs/>
                <w:i/>
                <w:iCs/>
                <w:color w:val="FFFFFF"/>
                <w:sz w:val="22"/>
                <w:szCs w:val="20"/>
                <w:lang w:val="en-US"/>
              </w:rPr>
              <w:t>EU developments</w:t>
            </w:r>
            <w:r>
              <w:rPr>
                <w:rFonts w:cs="Arial"/>
                <w:b/>
                <w:bCs/>
                <w:i/>
                <w:iCs/>
                <w:color w:val="FFFFFF"/>
                <w:sz w:val="22"/>
                <w:szCs w:val="20"/>
                <w:lang w:val="en-US"/>
              </w:rPr>
              <w:t xml:space="preserve"> </w:t>
            </w:r>
            <w:r w:rsidRPr="000F6C6C">
              <w:rPr>
                <w:rFonts w:cs="Arial"/>
                <w:b/>
                <w:bCs/>
                <w:color w:val="FFFFFF"/>
                <w:sz w:val="16"/>
                <w:szCs w:val="14"/>
                <w:lang w:val="en-US"/>
              </w:rPr>
              <w:t>(continued)</w:t>
            </w:r>
          </w:p>
        </w:tc>
      </w:tr>
      <w:tr w:rsidR="00F73984" w14:paraId="00847E5C" w14:textId="77777777" w:rsidTr="00DF1566">
        <w:tc>
          <w:tcPr>
            <w:tcW w:w="1293" w:type="pct"/>
            <w:gridSpan w:val="2"/>
            <w:shd w:val="clear" w:color="auto" w:fill="auto"/>
            <w:tcMar>
              <w:top w:w="57" w:type="dxa"/>
              <w:bottom w:w="57" w:type="dxa"/>
            </w:tcMar>
          </w:tcPr>
          <w:p w14:paraId="6D600A28" w14:textId="77777777" w:rsidR="00F73984" w:rsidRPr="005F26C4" w:rsidRDefault="00F73984" w:rsidP="00F73984">
            <w:pPr>
              <w:rPr>
                <w:rFonts w:cs="Arial"/>
                <w:szCs w:val="19"/>
              </w:rPr>
            </w:pPr>
            <w:proofErr w:type="spellStart"/>
            <w:r>
              <w:rPr>
                <w:rFonts w:cs="Arial"/>
                <w:szCs w:val="19"/>
              </w:rPr>
              <w:t>Nipocalimab</w:t>
            </w:r>
            <w:proofErr w:type="spellEnd"/>
            <w:r>
              <w:rPr>
                <w:rFonts w:cs="Arial"/>
                <w:szCs w:val="19"/>
              </w:rPr>
              <w:t xml:space="preserve"> (</w:t>
            </w:r>
            <w:proofErr w:type="spellStart"/>
            <w:r>
              <w:rPr>
                <w:rFonts w:cs="Arial"/>
                <w:i/>
                <w:iCs/>
                <w:szCs w:val="19"/>
              </w:rPr>
              <w:t>Imaavy</w:t>
            </w:r>
            <w:proofErr w:type="spellEnd"/>
            <w:r>
              <w:rPr>
                <w:rFonts w:cs="Arial"/>
                <w:szCs w:val="19"/>
              </w:rPr>
              <w:t>)</w:t>
            </w:r>
          </w:p>
        </w:tc>
        <w:tc>
          <w:tcPr>
            <w:tcW w:w="3707" w:type="pct"/>
            <w:gridSpan w:val="2"/>
            <w:shd w:val="clear" w:color="auto" w:fill="auto"/>
            <w:tcMar>
              <w:top w:w="57" w:type="dxa"/>
              <w:bottom w:w="57" w:type="dxa"/>
            </w:tcMar>
          </w:tcPr>
          <w:p w14:paraId="1872A083" w14:textId="77777777" w:rsidR="00F73984" w:rsidRPr="008E641A" w:rsidRDefault="00F73984" w:rsidP="00F73984">
            <w:pPr>
              <w:tabs>
                <w:tab w:val="center" w:pos="3152"/>
              </w:tabs>
              <w:rPr>
                <w:rFonts w:cs="Arial"/>
                <w:szCs w:val="19"/>
                <w:lang w:val="en-US"/>
              </w:rPr>
            </w:pPr>
            <w:r>
              <w:rPr>
                <w:rFonts w:cs="Arial"/>
                <w:szCs w:val="19"/>
                <w:lang w:val="en-US"/>
              </w:rPr>
              <w:t>M</w:t>
            </w:r>
            <w:r w:rsidRPr="00C34231">
              <w:rPr>
                <w:rFonts w:cs="Arial"/>
                <w:szCs w:val="19"/>
                <w:lang w:val="en-US"/>
              </w:rPr>
              <w:t>oderate to severe</w:t>
            </w:r>
            <w:r>
              <w:rPr>
                <w:rFonts w:cs="Arial"/>
                <w:szCs w:val="19"/>
                <w:lang w:val="en-US"/>
              </w:rPr>
              <w:t xml:space="preserve"> r</w:t>
            </w:r>
            <w:r w:rsidRPr="00C34231">
              <w:rPr>
                <w:rFonts w:cs="Arial"/>
                <w:szCs w:val="19"/>
                <w:lang w:val="en-US"/>
              </w:rPr>
              <w:t>heumatoid arthritis in adults with inadequate response to disease modifying therapies</w:t>
            </w:r>
            <w:r>
              <w:rPr>
                <w:rFonts w:cs="Arial"/>
                <w:szCs w:val="19"/>
                <w:lang w:val="en-US"/>
              </w:rPr>
              <w:t xml:space="preserve">, </w:t>
            </w:r>
            <w:r w:rsidRPr="00C34231">
              <w:rPr>
                <w:rFonts w:cs="Arial"/>
                <w:szCs w:val="19"/>
                <w:lang w:val="en-US"/>
              </w:rPr>
              <w:t>with certolizumab</w:t>
            </w:r>
            <w:r>
              <w:rPr>
                <w:rFonts w:cs="Arial"/>
                <w:szCs w:val="19"/>
                <w:lang w:val="en-US"/>
              </w:rPr>
              <w:t xml:space="preserve"> – development discontinued (lack of efficacy)</w:t>
            </w:r>
          </w:p>
        </w:tc>
      </w:tr>
      <w:tr w:rsidR="00F73984" w14:paraId="3632B1B1" w14:textId="77777777" w:rsidTr="00DF1566">
        <w:tc>
          <w:tcPr>
            <w:tcW w:w="1293" w:type="pct"/>
            <w:gridSpan w:val="2"/>
            <w:shd w:val="clear" w:color="auto" w:fill="auto"/>
            <w:tcMar>
              <w:top w:w="57" w:type="dxa"/>
              <w:bottom w:w="57" w:type="dxa"/>
            </w:tcMar>
          </w:tcPr>
          <w:p w14:paraId="75F04ECF" w14:textId="77777777" w:rsidR="00F73984" w:rsidRPr="00BC234D" w:rsidRDefault="00F73984" w:rsidP="00F73984">
            <w:pPr>
              <w:rPr>
                <w:rFonts w:cs="Arial"/>
                <w:szCs w:val="19"/>
              </w:rPr>
            </w:pPr>
            <w:r>
              <w:rPr>
                <w:rFonts w:cs="Arial"/>
                <w:szCs w:val="19"/>
              </w:rPr>
              <w:t>Niraparib (</w:t>
            </w:r>
            <w:proofErr w:type="spellStart"/>
            <w:r>
              <w:rPr>
                <w:rFonts w:cs="Arial"/>
                <w:i/>
                <w:iCs/>
                <w:szCs w:val="19"/>
              </w:rPr>
              <w:t>Zejula</w:t>
            </w:r>
            <w:proofErr w:type="spellEnd"/>
            <w:r>
              <w:rPr>
                <w:rFonts w:cs="Arial"/>
                <w:szCs w:val="19"/>
              </w:rPr>
              <w:t>)</w:t>
            </w:r>
          </w:p>
        </w:tc>
        <w:tc>
          <w:tcPr>
            <w:tcW w:w="3707" w:type="pct"/>
            <w:gridSpan w:val="2"/>
            <w:shd w:val="clear" w:color="auto" w:fill="auto"/>
            <w:tcMar>
              <w:top w:w="57" w:type="dxa"/>
              <w:bottom w:w="57" w:type="dxa"/>
            </w:tcMar>
          </w:tcPr>
          <w:p w14:paraId="1F0C4EAB" w14:textId="77777777" w:rsidR="00F73984" w:rsidRDefault="00F73984" w:rsidP="00F73984">
            <w:pPr>
              <w:tabs>
                <w:tab w:val="center" w:pos="3152"/>
              </w:tabs>
              <w:rPr>
                <w:rFonts w:cs="Arial"/>
                <w:szCs w:val="19"/>
                <w:lang w:val="en-US"/>
              </w:rPr>
            </w:pPr>
            <w:r>
              <w:rPr>
                <w:rFonts w:cs="Arial"/>
                <w:szCs w:val="19"/>
                <w:lang w:val="en-US"/>
              </w:rPr>
              <w:t>Advanced n</w:t>
            </w:r>
            <w:r w:rsidRPr="00CD2986">
              <w:rPr>
                <w:rFonts w:cs="Arial"/>
                <w:szCs w:val="19"/>
                <w:lang w:val="en-US"/>
              </w:rPr>
              <w:t>on-small cell lung cancer with no EGFR, ROS1, or ALK genomic tumour aberrations, in adults</w:t>
            </w:r>
            <w:r>
              <w:rPr>
                <w:rFonts w:cs="Arial"/>
                <w:szCs w:val="19"/>
                <w:lang w:val="en-US"/>
              </w:rPr>
              <w:t>,</w:t>
            </w:r>
            <w:r w:rsidRPr="00CD2986">
              <w:rPr>
                <w:rFonts w:cs="Arial"/>
                <w:szCs w:val="19"/>
                <w:lang w:val="en-US"/>
              </w:rPr>
              <w:t xml:space="preserve"> first-line maintenance with pembrolizumab after chemotherapy and pembrolizumab</w:t>
            </w:r>
            <w:r>
              <w:rPr>
                <w:rFonts w:cs="Arial"/>
                <w:szCs w:val="19"/>
                <w:lang w:val="en-US"/>
              </w:rPr>
              <w:t xml:space="preserve"> – development discontinued (lack of efficacy)</w:t>
            </w:r>
          </w:p>
        </w:tc>
      </w:tr>
      <w:tr w:rsidR="00F73984" w14:paraId="52F6E97D" w14:textId="77777777" w:rsidTr="00DF1566">
        <w:tc>
          <w:tcPr>
            <w:tcW w:w="1293" w:type="pct"/>
            <w:gridSpan w:val="2"/>
            <w:shd w:val="clear" w:color="auto" w:fill="auto"/>
            <w:tcMar>
              <w:top w:w="57" w:type="dxa"/>
              <w:bottom w:w="57" w:type="dxa"/>
            </w:tcMar>
          </w:tcPr>
          <w:p w14:paraId="51D79649" w14:textId="77777777" w:rsidR="00F73984" w:rsidRDefault="00F73984" w:rsidP="00F73984">
            <w:pPr>
              <w:rPr>
                <w:rFonts w:cs="Arial"/>
                <w:szCs w:val="19"/>
              </w:rPr>
            </w:pPr>
            <w:r>
              <w:rPr>
                <w:rFonts w:cs="Arial"/>
                <w:szCs w:val="19"/>
              </w:rPr>
              <w:t>Pembrolizumab (</w:t>
            </w:r>
            <w:r>
              <w:rPr>
                <w:rFonts w:cs="Arial"/>
                <w:i/>
                <w:iCs/>
                <w:szCs w:val="19"/>
              </w:rPr>
              <w:t>Keytruda</w:t>
            </w:r>
            <w:r>
              <w:rPr>
                <w:rFonts w:cs="Arial"/>
                <w:szCs w:val="19"/>
              </w:rPr>
              <w:t>)</w:t>
            </w:r>
          </w:p>
        </w:tc>
        <w:tc>
          <w:tcPr>
            <w:tcW w:w="3707" w:type="pct"/>
            <w:gridSpan w:val="2"/>
            <w:shd w:val="clear" w:color="auto" w:fill="auto"/>
            <w:tcMar>
              <w:top w:w="57" w:type="dxa"/>
              <w:bottom w:w="57" w:type="dxa"/>
            </w:tcMar>
          </w:tcPr>
          <w:p w14:paraId="56AD5731" w14:textId="77777777" w:rsidR="00F73984" w:rsidRDefault="00F73984" w:rsidP="00F73984">
            <w:pPr>
              <w:tabs>
                <w:tab w:val="center" w:pos="3152"/>
              </w:tabs>
              <w:rPr>
                <w:rFonts w:cs="Arial"/>
                <w:szCs w:val="19"/>
                <w:lang w:val="en-US"/>
              </w:rPr>
            </w:pPr>
            <w:r>
              <w:rPr>
                <w:rFonts w:cs="Arial"/>
                <w:szCs w:val="19"/>
                <w:lang w:val="en-US"/>
              </w:rPr>
              <w:t>Advanced n</w:t>
            </w:r>
            <w:r w:rsidRPr="00CD2986">
              <w:rPr>
                <w:rFonts w:cs="Arial"/>
                <w:szCs w:val="19"/>
                <w:lang w:val="en-US"/>
              </w:rPr>
              <w:t>on-small cell lung cancer with no EGFR, ROS1, or ALK genomic tumour aberrations, in adults</w:t>
            </w:r>
            <w:r>
              <w:rPr>
                <w:rFonts w:cs="Arial"/>
                <w:szCs w:val="19"/>
                <w:lang w:val="en-US"/>
              </w:rPr>
              <w:t>,</w:t>
            </w:r>
            <w:r w:rsidRPr="00CD2986">
              <w:rPr>
                <w:rFonts w:cs="Arial"/>
                <w:szCs w:val="19"/>
                <w:lang w:val="en-US"/>
              </w:rPr>
              <w:t xml:space="preserve"> first-line maintenance with </w:t>
            </w:r>
            <w:r>
              <w:rPr>
                <w:rFonts w:cs="Arial"/>
                <w:szCs w:val="19"/>
                <w:lang w:val="en-US"/>
              </w:rPr>
              <w:t>niraparib</w:t>
            </w:r>
            <w:r w:rsidRPr="00CD2986">
              <w:rPr>
                <w:rFonts w:cs="Arial"/>
                <w:szCs w:val="19"/>
                <w:lang w:val="en-US"/>
              </w:rPr>
              <w:t xml:space="preserve"> after chemotherapy and pembrolizumab</w:t>
            </w:r>
            <w:r>
              <w:rPr>
                <w:rFonts w:cs="Arial"/>
                <w:szCs w:val="19"/>
                <w:lang w:val="en-US"/>
              </w:rPr>
              <w:t xml:space="preserve"> – development discontinued (lack of efficacy)</w:t>
            </w:r>
          </w:p>
        </w:tc>
      </w:tr>
      <w:tr w:rsidR="00F73984" w14:paraId="15CFF8DF" w14:textId="77777777" w:rsidTr="00DF1566">
        <w:tc>
          <w:tcPr>
            <w:tcW w:w="1293" w:type="pct"/>
            <w:gridSpan w:val="2"/>
            <w:shd w:val="clear" w:color="auto" w:fill="auto"/>
            <w:tcMar>
              <w:top w:w="57" w:type="dxa"/>
              <w:bottom w:w="57" w:type="dxa"/>
            </w:tcMar>
          </w:tcPr>
          <w:p w14:paraId="65682F75" w14:textId="77777777" w:rsidR="00F73984" w:rsidRPr="00A63D29" w:rsidRDefault="00F73984" w:rsidP="00F73984">
            <w:pPr>
              <w:rPr>
                <w:rFonts w:cs="Arial"/>
                <w:szCs w:val="19"/>
              </w:rPr>
            </w:pPr>
            <w:r>
              <w:rPr>
                <w:rFonts w:cs="Arial"/>
                <w:szCs w:val="19"/>
              </w:rPr>
              <w:t>Pembrolizumab (</w:t>
            </w:r>
            <w:r>
              <w:rPr>
                <w:rFonts w:cs="Arial"/>
                <w:i/>
                <w:iCs/>
                <w:szCs w:val="19"/>
              </w:rPr>
              <w:t>Keytruda</w:t>
            </w:r>
            <w:r>
              <w:rPr>
                <w:rFonts w:cs="Arial"/>
                <w:szCs w:val="19"/>
              </w:rPr>
              <w:t>)</w:t>
            </w:r>
          </w:p>
        </w:tc>
        <w:tc>
          <w:tcPr>
            <w:tcW w:w="3707" w:type="pct"/>
            <w:gridSpan w:val="2"/>
            <w:shd w:val="clear" w:color="auto" w:fill="auto"/>
            <w:tcMar>
              <w:top w:w="57" w:type="dxa"/>
              <w:bottom w:w="57" w:type="dxa"/>
            </w:tcMar>
          </w:tcPr>
          <w:p w14:paraId="68F18D8B" w14:textId="77777777" w:rsidR="00F73984" w:rsidRDefault="00F73984" w:rsidP="00F73984">
            <w:pPr>
              <w:tabs>
                <w:tab w:val="center" w:pos="3152"/>
              </w:tabs>
              <w:rPr>
                <w:rFonts w:cs="Arial"/>
                <w:szCs w:val="19"/>
                <w:lang w:val="en-US"/>
              </w:rPr>
            </w:pPr>
            <w:r>
              <w:rPr>
                <w:rFonts w:cs="Arial"/>
                <w:szCs w:val="19"/>
                <w:lang w:val="en-US"/>
              </w:rPr>
              <w:t>M</w:t>
            </w:r>
            <w:r w:rsidRPr="00814CDB">
              <w:rPr>
                <w:rFonts w:cs="Arial"/>
                <w:szCs w:val="19"/>
                <w:lang w:val="en-US"/>
              </w:rPr>
              <w:t xml:space="preserve">etastatic, squamous cell </w:t>
            </w:r>
            <w:proofErr w:type="spellStart"/>
            <w:r>
              <w:rPr>
                <w:rFonts w:cs="Arial"/>
                <w:szCs w:val="19"/>
                <w:lang w:val="en-US"/>
              </w:rPr>
              <w:t>oesophageal</w:t>
            </w:r>
            <w:proofErr w:type="spellEnd"/>
            <w:r>
              <w:rPr>
                <w:rFonts w:cs="Arial"/>
                <w:szCs w:val="19"/>
                <w:lang w:val="en-US"/>
              </w:rPr>
              <w:t xml:space="preserve"> </w:t>
            </w:r>
            <w:r w:rsidRPr="00814CDB">
              <w:rPr>
                <w:rFonts w:cs="Arial"/>
                <w:szCs w:val="19"/>
                <w:lang w:val="en-US"/>
              </w:rPr>
              <w:t>carcinoma in adults</w:t>
            </w:r>
            <w:r>
              <w:rPr>
                <w:rFonts w:cs="Arial"/>
                <w:szCs w:val="19"/>
                <w:lang w:val="en-US"/>
              </w:rPr>
              <w:t>,</w:t>
            </w:r>
            <w:r w:rsidRPr="00814CDB">
              <w:rPr>
                <w:rFonts w:cs="Arial"/>
                <w:szCs w:val="19"/>
                <w:lang w:val="en-US"/>
              </w:rPr>
              <w:t xml:space="preserve"> first-line with </w:t>
            </w:r>
            <w:proofErr w:type="spellStart"/>
            <w:r>
              <w:rPr>
                <w:rFonts w:cs="Arial"/>
                <w:szCs w:val="19"/>
                <w:lang w:val="en-US"/>
              </w:rPr>
              <w:t>lenvatinib</w:t>
            </w:r>
            <w:proofErr w:type="spellEnd"/>
            <w:r>
              <w:rPr>
                <w:rFonts w:cs="Arial"/>
                <w:szCs w:val="19"/>
                <w:lang w:val="en-US"/>
              </w:rPr>
              <w:t xml:space="preserve"> – development discontinued (lack of efficacy)</w:t>
            </w:r>
          </w:p>
        </w:tc>
      </w:tr>
      <w:tr w:rsidR="00F73984" w14:paraId="49E8A241" w14:textId="77777777" w:rsidTr="00DF1566">
        <w:tc>
          <w:tcPr>
            <w:tcW w:w="1293" w:type="pct"/>
            <w:gridSpan w:val="2"/>
            <w:shd w:val="clear" w:color="auto" w:fill="auto"/>
            <w:tcMar>
              <w:top w:w="57" w:type="dxa"/>
              <w:bottom w:w="57" w:type="dxa"/>
            </w:tcMar>
          </w:tcPr>
          <w:p w14:paraId="668B41A6" w14:textId="77777777" w:rsidR="00F73984" w:rsidRPr="008C7EB5" w:rsidRDefault="00F73984" w:rsidP="00F73984">
            <w:pPr>
              <w:rPr>
                <w:rFonts w:cs="Arial"/>
                <w:szCs w:val="19"/>
              </w:rPr>
            </w:pPr>
            <w:proofErr w:type="spellStart"/>
            <w:r>
              <w:rPr>
                <w:rFonts w:cs="Arial"/>
                <w:szCs w:val="19"/>
              </w:rPr>
              <w:t>Secukinumab</w:t>
            </w:r>
            <w:proofErr w:type="spellEnd"/>
            <w:r>
              <w:rPr>
                <w:rFonts w:cs="Arial"/>
                <w:szCs w:val="19"/>
              </w:rPr>
              <w:t xml:space="preserve"> (</w:t>
            </w:r>
            <w:r>
              <w:rPr>
                <w:rFonts w:cs="Arial"/>
                <w:i/>
                <w:iCs/>
                <w:szCs w:val="19"/>
              </w:rPr>
              <w:t>Cosentyx</w:t>
            </w:r>
            <w:r>
              <w:rPr>
                <w:rFonts w:cs="Arial"/>
                <w:szCs w:val="19"/>
              </w:rPr>
              <w:t>)</w:t>
            </w:r>
          </w:p>
        </w:tc>
        <w:tc>
          <w:tcPr>
            <w:tcW w:w="3707" w:type="pct"/>
            <w:gridSpan w:val="2"/>
            <w:shd w:val="clear" w:color="auto" w:fill="auto"/>
            <w:tcMar>
              <w:top w:w="57" w:type="dxa"/>
              <w:bottom w:w="57" w:type="dxa"/>
            </w:tcMar>
          </w:tcPr>
          <w:p w14:paraId="076277D1" w14:textId="77777777" w:rsidR="00F73984" w:rsidRDefault="00F73984" w:rsidP="00F73984">
            <w:pPr>
              <w:tabs>
                <w:tab w:val="center" w:pos="3152"/>
              </w:tabs>
              <w:rPr>
                <w:rFonts w:cs="Arial"/>
                <w:szCs w:val="19"/>
                <w:lang w:val="en-US"/>
              </w:rPr>
            </w:pPr>
            <w:r w:rsidRPr="002926C9">
              <w:rPr>
                <w:rFonts w:cs="Arial"/>
                <w:szCs w:val="19"/>
                <w:lang w:val="en-US"/>
              </w:rPr>
              <w:t xml:space="preserve">Giant cell (temporal) arteritis </w:t>
            </w:r>
            <w:r>
              <w:rPr>
                <w:rFonts w:cs="Arial"/>
                <w:szCs w:val="19"/>
                <w:lang w:val="en-US"/>
              </w:rPr>
              <w:t xml:space="preserve">in </w:t>
            </w:r>
            <w:r w:rsidRPr="002926C9">
              <w:rPr>
                <w:rFonts w:cs="Arial"/>
                <w:szCs w:val="19"/>
                <w:lang w:val="en-US"/>
              </w:rPr>
              <w:t xml:space="preserve">adults </w:t>
            </w:r>
            <w:r>
              <w:rPr>
                <w:rFonts w:cs="Arial"/>
                <w:szCs w:val="19"/>
                <w:lang w:val="en-US"/>
              </w:rPr>
              <w:t xml:space="preserve">aged ≥50 years – development discontinued </w:t>
            </w:r>
          </w:p>
          <w:p w14:paraId="679B3FBA" w14:textId="77777777" w:rsidR="00F73984" w:rsidRDefault="00F73984" w:rsidP="00F73984">
            <w:pPr>
              <w:tabs>
                <w:tab w:val="center" w:pos="3152"/>
              </w:tabs>
              <w:rPr>
                <w:rFonts w:cs="Arial"/>
                <w:szCs w:val="19"/>
                <w:lang w:val="en-US"/>
              </w:rPr>
            </w:pPr>
            <w:r>
              <w:rPr>
                <w:rFonts w:cs="Arial"/>
                <w:szCs w:val="19"/>
                <w:lang w:val="en-US"/>
              </w:rPr>
              <w:t>(lack of efficacy)</w:t>
            </w:r>
          </w:p>
        </w:tc>
      </w:tr>
      <w:tr w:rsidR="00F73984" w14:paraId="59B5C18A" w14:textId="77777777" w:rsidTr="00DF1566">
        <w:tc>
          <w:tcPr>
            <w:tcW w:w="1293" w:type="pct"/>
            <w:gridSpan w:val="2"/>
            <w:shd w:val="clear" w:color="auto" w:fill="auto"/>
            <w:tcMar>
              <w:top w:w="57" w:type="dxa"/>
              <w:bottom w:w="57" w:type="dxa"/>
            </w:tcMar>
          </w:tcPr>
          <w:p w14:paraId="7CA56FBA" w14:textId="77777777" w:rsidR="00F73984" w:rsidRDefault="00F73984" w:rsidP="00F73984">
            <w:pPr>
              <w:rPr>
                <w:rFonts w:cs="Arial"/>
                <w:szCs w:val="19"/>
              </w:rPr>
            </w:pPr>
            <w:proofErr w:type="spellStart"/>
            <w:r>
              <w:rPr>
                <w:rFonts w:cs="Arial"/>
                <w:szCs w:val="19"/>
              </w:rPr>
              <w:t>Tiragolumab</w:t>
            </w:r>
            <w:proofErr w:type="spellEnd"/>
            <w:r>
              <w:rPr>
                <w:rFonts w:cs="Arial"/>
                <w:szCs w:val="19"/>
              </w:rPr>
              <w:t xml:space="preserve"> </w:t>
            </w:r>
          </w:p>
        </w:tc>
        <w:tc>
          <w:tcPr>
            <w:tcW w:w="3707" w:type="pct"/>
            <w:gridSpan w:val="2"/>
            <w:shd w:val="clear" w:color="auto" w:fill="auto"/>
            <w:tcMar>
              <w:top w:w="57" w:type="dxa"/>
              <w:bottom w:w="57" w:type="dxa"/>
            </w:tcMar>
          </w:tcPr>
          <w:p w14:paraId="71BC23C9" w14:textId="77777777" w:rsidR="00F73984" w:rsidRDefault="00F73984" w:rsidP="00F73984">
            <w:pPr>
              <w:tabs>
                <w:tab w:val="center" w:pos="3152"/>
              </w:tabs>
              <w:rPr>
                <w:rFonts w:cs="Arial"/>
                <w:szCs w:val="19"/>
                <w:lang w:val="en-US"/>
              </w:rPr>
            </w:pPr>
            <w:r>
              <w:rPr>
                <w:rFonts w:cs="Arial"/>
                <w:szCs w:val="19"/>
                <w:lang w:val="en-US"/>
              </w:rPr>
              <w:t>A</w:t>
            </w:r>
            <w:r w:rsidRPr="00915BC4">
              <w:rPr>
                <w:rFonts w:cs="Arial"/>
                <w:szCs w:val="19"/>
                <w:lang w:val="en-US"/>
              </w:rPr>
              <w:t>dvanced, unresectable</w:t>
            </w:r>
            <w:r>
              <w:rPr>
                <w:rFonts w:cs="Arial"/>
                <w:szCs w:val="19"/>
                <w:lang w:val="en-US"/>
              </w:rPr>
              <w:t xml:space="preserve"> h</w:t>
            </w:r>
            <w:r w:rsidRPr="00915BC4">
              <w:rPr>
                <w:rFonts w:cs="Arial"/>
                <w:szCs w:val="19"/>
                <w:lang w:val="en-US"/>
              </w:rPr>
              <w:t>epatocellular carcinoma in adults</w:t>
            </w:r>
            <w:r>
              <w:rPr>
                <w:rFonts w:cs="Arial"/>
                <w:szCs w:val="19"/>
                <w:lang w:val="en-US"/>
              </w:rPr>
              <w:t>,</w:t>
            </w:r>
            <w:r w:rsidRPr="00915BC4">
              <w:rPr>
                <w:rFonts w:cs="Arial"/>
                <w:szCs w:val="19"/>
                <w:lang w:val="en-US"/>
              </w:rPr>
              <w:t xml:space="preserve"> first-line with atezolizumab and bevacizumab</w:t>
            </w:r>
            <w:r>
              <w:rPr>
                <w:rFonts w:cs="Arial"/>
                <w:szCs w:val="19"/>
                <w:lang w:val="en-US"/>
              </w:rPr>
              <w:t xml:space="preserve"> – development discontinued (lack of efficacy)</w:t>
            </w:r>
          </w:p>
        </w:tc>
      </w:tr>
      <w:tr w:rsidR="00F73984" w14:paraId="4311E4A4" w14:textId="77777777" w:rsidTr="00DF1566">
        <w:tc>
          <w:tcPr>
            <w:tcW w:w="1293" w:type="pct"/>
            <w:gridSpan w:val="2"/>
            <w:shd w:val="clear" w:color="auto" w:fill="auto"/>
            <w:tcMar>
              <w:top w:w="57" w:type="dxa"/>
              <w:bottom w:w="57" w:type="dxa"/>
            </w:tcMar>
          </w:tcPr>
          <w:p w14:paraId="2CCEBE26" w14:textId="77777777" w:rsidR="00F73984" w:rsidRDefault="00F73984" w:rsidP="00F73984">
            <w:pPr>
              <w:rPr>
                <w:rFonts w:cs="Arial"/>
                <w:szCs w:val="19"/>
              </w:rPr>
            </w:pPr>
            <w:proofErr w:type="spellStart"/>
            <w:r>
              <w:rPr>
                <w:rFonts w:cs="Arial"/>
                <w:szCs w:val="19"/>
              </w:rPr>
              <w:t>Tiragolumab</w:t>
            </w:r>
            <w:proofErr w:type="spellEnd"/>
            <w:r>
              <w:rPr>
                <w:rFonts w:cs="Arial"/>
                <w:szCs w:val="19"/>
              </w:rPr>
              <w:t xml:space="preserve"> </w:t>
            </w:r>
          </w:p>
        </w:tc>
        <w:tc>
          <w:tcPr>
            <w:tcW w:w="3707" w:type="pct"/>
            <w:gridSpan w:val="2"/>
            <w:shd w:val="clear" w:color="auto" w:fill="auto"/>
            <w:tcMar>
              <w:top w:w="57" w:type="dxa"/>
              <w:bottom w:w="57" w:type="dxa"/>
            </w:tcMar>
          </w:tcPr>
          <w:p w14:paraId="12618AAE" w14:textId="77777777" w:rsidR="00F73984" w:rsidRPr="002926C9" w:rsidRDefault="00F73984" w:rsidP="00F73984">
            <w:pPr>
              <w:tabs>
                <w:tab w:val="center" w:pos="3152"/>
              </w:tabs>
              <w:rPr>
                <w:rFonts w:cs="Arial"/>
                <w:szCs w:val="19"/>
                <w:lang w:val="en-US"/>
              </w:rPr>
            </w:pPr>
            <w:r>
              <w:rPr>
                <w:rFonts w:cs="Arial"/>
                <w:szCs w:val="19"/>
                <w:lang w:val="en-US"/>
              </w:rPr>
              <w:t>L</w:t>
            </w:r>
            <w:r w:rsidRPr="00C34E58">
              <w:rPr>
                <w:rFonts w:cs="Arial"/>
                <w:szCs w:val="19"/>
                <w:lang w:val="en-US"/>
              </w:rPr>
              <w:t>ocally advanced, unresectabl</w:t>
            </w:r>
            <w:r>
              <w:rPr>
                <w:rFonts w:cs="Arial"/>
                <w:szCs w:val="19"/>
                <w:lang w:val="en-US"/>
              </w:rPr>
              <w:t>e n</w:t>
            </w:r>
            <w:r w:rsidRPr="00C34E58">
              <w:rPr>
                <w:rFonts w:cs="Arial"/>
                <w:szCs w:val="19"/>
                <w:lang w:val="en-US"/>
              </w:rPr>
              <w:t>on-small cell lung cancer in adults</w:t>
            </w:r>
            <w:r>
              <w:rPr>
                <w:rFonts w:cs="Arial"/>
                <w:szCs w:val="19"/>
                <w:lang w:val="en-US"/>
              </w:rPr>
              <w:t>,</w:t>
            </w:r>
            <w:r w:rsidRPr="00C34E58">
              <w:rPr>
                <w:rFonts w:cs="Arial"/>
                <w:szCs w:val="19"/>
                <w:lang w:val="en-US"/>
              </w:rPr>
              <w:t xml:space="preserve"> </w:t>
            </w:r>
            <w:r w:rsidRPr="00E96C63">
              <w:rPr>
                <w:rFonts w:cs="Arial"/>
                <w:szCs w:val="19"/>
              </w:rPr>
              <w:t xml:space="preserve">first-line maintenance with </w:t>
            </w:r>
            <w:proofErr w:type="spellStart"/>
            <w:r w:rsidRPr="00E96C63">
              <w:rPr>
                <w:rFonts w:cs="Arial"/>
                <w:szCs w:val="19"/>
              </w:rPr>
              <w:t>tiragolumab</w:t>
            </w:r>
            <w:proofErr w:type="spellEnd"/>
            <w:r w:rsidRPr="00E96C63">
              <w:rPr>
                <w:rFonts w:cs="Arial"/>
                <w:szCs w:val="19"/>
              </w:rPr>
              <w:t xml:space="preserve"> after 2 cycles of platinum chemoradiotherapy</w:t>
            </w:r>
            <w:r>
              <w:rPr>
                <w:rFonts w:cs="Arial"/>
                <w:szCs w:val="19"/>
              </w:rPr>
              <w:t xml:space="preserve"> </w:t>
            </w:r>
            <w:r>
              <w:rPr>
                <w:rFonts w:cs="Arial"/>
                <w:szCs w:val="19"/>
                <w:lang w:val="en-US"/>
              </w:rPr>
              <w:t>– development discontinued (lack of efficacy)</w:t>
            </w:r>
          </w:p>
        </w:tc>
      </w:tr>
      <w:tr w:rsidR="00F73984" w14:paraId="7A475C16" w14:textId="77777777" w:rsidTr="00DF1566">
        <w:tc>
          <w:tcPr>
            <w:tcW w:w="1293" w:type="pct"/>
            <w:gridSpan w:val="2"/>
            <w:shd w:val="clear" w:color="auto" w:fill="auto"/>
            <w:tcMar>
              <w:top w:w="57" w:type="dxa"/>
              <w:bottom w:w="57" w:type="dxa"/>
            </w:tcMar>
          </w:tcPr>
          <w:p w14:paraId="207D4098" w14:textId="77777777" w:rsidR="00F73984" w:rsidRDefault="00F73984" w:rsidP="00F73984">
            <w:pPr>
              <w:rPr>
                <w:rFonts w:cs="Arial"/>
                <w:szCs w:val="19"/>
              </w:rPr>
            </w:pPr>
            <w:r>
              <w:rPr>
                <w:rFonts w:cs="Arial"/>
                <w:szCs w:val="19"/>
              </w:rPr>
              <w:t>Veneto</w:t>
            </w:r>
            <w:r w:rsidRPr="00B6294F">
              <w:rPr>
                <w:rFonts w:cs="Arial"/>
                <w:szCs w:val="19"/>
              </w:rPr>
              <w:t>clax (</w:t>
            </w:r>
            <w:r w:rsidRPr="00B6294F">
              <w:rPr>
                <w:rFonts w:cs="Arial"/>
                <w:i/>
                <w:iCs/>
                <w:szCs w:val="19"/>
              </w:rPr>
              <w:t>Venclyxto</w:t>
            </w:r>
            <w:r>
              <w:rPr>
                <w:rFonts w:cs="Arial"/>
                <w:szCs w:val="19"/>
              </w:rPr>
              <w:t>)</w:t>
            </w:r>
          </w:p>
        </w:tc>
        <w:tc>
          <w:tcPr>
            <w:tcW w:w="3707" w:type="pct"/>
            <w:gridSpan w:val="2"/>
            <w:shd w:val="clear" w:color="auto" w:fill="auto"/>
            <w:tcMar>
              <w:top w:w="57" w:type="dxa"/>
              <w:bottom w:w="57" w:type="dxa"/>
            </w:tcMar>
          </w:tcPr>
          <w:p w14:paraId="0023D8F8" w14:textId="77777777" w:rsidR="00F73984" w:rsidRDefault="00F73984" w:rsidP="00F73984">
            <w:pPr>
              <w:tabs>
                <w:tab w:val="center" w:pos="3152"/>
              </w:tabs>
              <w:rPr>
                <w:rFonts w:cs="Arial"/>
                <w:szCs w:val="19"/>
                <w:lang w:val="en-US"/>
              </w:rPr>
            </w:pPr>
            <w:r w:rsidRPr="001E65A9">
              <w:rPr>
                <w:rFonts w:cs="Arial"/>
                <w:szCs w:val="19"/>
                <w:lang w:val="en-US"/>
              </w:rPr>
              <w:t xml:space="preserve">Intermediate/high/very high risk </w:t>
            </w:r>
            <w:r>
              <w:rPr>
                <w:rFonts w:cs="Arial"/>
                <w:szCs w:val="19"/>
                <w:lang w:val="en-US"/>
              </w:rPr>
              <w:t>m</w:t>
            </w:r>
            <w:r w:rsidRPr="001E65A9">
              <w:rPr>
                <w:rFonts w:cs="Arial"/>
                <w:szCs w:val="19"/>
                <w:lang w:val="en-US"/>
              </w:rPr>
              <w:t>yelodysplastic syndromes in adults</w:t>
            </w:r>
            <w:r>
              <w:rPr>
                <w:rFonts w:cs="Arial"/>
                <w:szCs w:val="19"/>
                <w:lang w:val="en-US"/>
              </w:rPr>
              <w:t>,</w:t>
            </w:r>
            <w:r w:rsidRPr="001E65A9">
              <w:rPr>
                <w:rFonts w:cs="Arial"/>
                <w:szCs w:val="19"/>
                <w:lang w:val="en-US"/>
              </w:rPr>
              <w:t xml:space="preserve"> first-line with azacitidine</w:t>
            </w:r>
            <w:r>
              <w:rPr>
                <w:rFonts w:cs="Arial"/>
                <w:szCs w:val="19"/>
                <w:lang w:val="en-US"/>
              </w:rPr>
              <w:t xml:space="preserve"> – development discontinued (lack of efficacy)</w:t>
            </w:r>
          </w:p>
        </w:tc>
      </w:tr>
      <w:tr w:rsidR="00F73984" w:rsidRPr="000F19E1" w14:paraId="74DC0021" w14:textId="77777777" w:rsidTr="00DF1566">
        <w:tc>
          <w:tcPr>
            <w:tcW w:w="1293" w:type="pct"/>
            <w:gridSpan w:val="2"/>
            <w:shd w:val="clear" w:color="auto" w:fill="auto"/>
            <w:tcMar>
              <w:top w:w="0" w:type="dxa"/>
              <w:bottom w:w="0" w:type="dxa"/>
            </w:tcMar>
          </w:tcPr>
          <w:p w14:paraId="1EA4A877" w14:textId="77777777" w:rsidR="00F73984" w:rsidRPr="000F19E1" w:rsidRDefault="00F73984" w:rsidP="00F73984">
            <w:pPr>
              <w:rPr>
                <w:rFonts w:cs="Arial"/>
                <w:bCs/>
                <w:sz w:val="8"/>
                <w:szCs w:val="8"/>
              </w:rPr>
            </w:pPr>
          </w:p>
        </w:tc>
        <w:tc>
          <w:tcPr>
            <w:tcW w:w="3707" w:type="pct"/>
            <w:gridSpan w:val="2"/>
            <w:shd w:val="clear" w:color="auto" w:fill="auto"/>
            <w:tcMar>
              <w:top w:w="0" w:type="dxa"/>
              <w:bottom w:w="0" w:type="dxa"/>
            </w:tcMar>
          </w:tcPr>
          <w:p w14:paraId="2DDF9175" w14:textId="77777777" w:rsidR="00F73984" w:rsidRPr="000F19E1" w:rsidRDefault="00F73984" w:rsidP="00F73984">
            <w:pPr>
              <w:tabs>
                <w:tab w:val="center" w:pos="3152"/>
              </w:tabs>
              <w:rPr>
                <w:rFonts w:cs="Arial"/>
                <w:sz w:val="8"/>
                <w:szCs w:val="8"/>
                <w:lang w:val="en-US"/>
              </w:rPr>
            </w:pPr>
          </w:p>
        </w:tc>
      </w:tr>
      <w:tr w:rsidR="00F73984" w:rsidRPr="000F19E1" w14:paraId="327D8F07" w14:textId="77777777" w:rsidTr="00DF1566">
        <w:tc>
          <w:tcPr>
            <w:tcW w:w="1355" w:type="pct"/>
            <w:gridSpan w:val="3"/>
            <w:shd w:val="clear" w:color="auto" w:fill="DAEEF3"/>
            <w:tcMar>
              <w:top w:w="0" w:type="dxa"/>
              <w:bottom w:w="0" w:type="dxa"/>
            </w:tcMar>
          </w:tcPr>
          <w:p w14:paraId="36FDEEE5" w14:textId="77777777" w:rsidR="00F73984" w:rsidRPr="000F19E1" w:rsidRDefault="00F73984" w:rsidP="00F73984">
            <w:pPr>
              <w:rPr>
                <w:rFonts w:cs="Arial"/>
                <w:bCs/>
                <w:sz w:val="8"/>
                <w:szCs w:val="8"/>
              </w:rPr>
            </w:pPr>
          </w:p>
        </w:tc>
        <w:tc>
          <w:tcPr>
            <w:tcW w:w="3645" w:type="pct"/>
            <w:shd w:val="clear" w:color="auto" w:fill="DAEEF3"/>
            <w:tcMar>
              <w:top w:w="0" w:type="dxa"/>
              <w:bottom w:w="0" w:type="dxa"/>
            </w:tcMar>
          </w:tcPr>
          <w:p w14:paraId="46C2993D" w14:textId="77777777" w:rsidR="00F73984" w:rsidRPr="000F19E1" w:rsidRDefault="00F73984" w:rsidP="00F73984">
            <w:pPr>
              <w:tabs>
                <w:tab w:val="center" w:pos="3152"/>
              </w:tabs>
              <w:rPr>
                <w:rFonts w:cs="Arial"/>
                <w:sz w:val="8"/>
                <w:szCs w:val="8"/>
                <w:lang w:val="en-US"/>
              </w:rPr>
            </w:pPr>
          </w:p>
        </w:tc>
      </w:tr>
    </w:tbl>
    <w:p w14:paraId="4DE4619A" w14:textId="77777777" w:rsidR="003A0E9A" w:rsidRPr="008949EF" w:rsidRDefault="003A0E9A" w:rsidP="003D16EF">
      <w:pPr>
        <w:rPr>
          <w:sz w:val="8"/>
          <w:szCs w:val="8"/>
        </w:rPr>
      </w:pPr>
    </w:p>
    <w:sectPr w:rsidR="003A0E9A" w:rsidRPr="008949EF" w:rsidSect="00F566AB">
      <w:headerReference w:type="even" r:id="rId19"/>
      <w:headerReference w:type="default" r:id="rId20"/>
      <w:footerReference w:type="default" r:id="rId21"/>
      <w:headerReference w:type="first" r:id="rId22"/>
      <w:type w:val="evenPage"/>
      <w:pgSz w:w="11906" w:h="16838" w:code="9"/>
      <w:pgMar w:top="1021" w:right="851" w:bottom="102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AE1C" w14:textId="77777777" w:rsidR="005C5CB4" w:rsidRDefault="005C5CB4">
      <w:r>
        <w:separator/>
      </w:r>
    </w:p>
  </w:endnote>
  <w:endnote w:type="continuationSeparator" w:id="0">
    <w:p w14:paraId="3E8C5680" w14:textId="77777777" w:rsidR="005C5CB4" w:rsidRDefault="005C5CB4">
      <w:r>
        <w:continuationSeparator/>
      </w:r>
    </w:p>
  </w:endnote>
  <w:endnote w:type="continuationNotice" w:id="1">
    <w:p w14:paraId="1A40D645" w14:textId="77777777" w:rsidR="005C5CB4" w:rsidRDefault="005C5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303" w:type="dxa"/>
      <w:tblBorders>
        <w:top w:val="single" w:sz="4" w:space="0" w:color="000000"/>
        <w:left w:val="single" w:sz="4" w:space="0" w:color="000000"/>
        <w:bottom w:val="single" w:sz="4" w:space="0" w:color="000000"/>
        <w:right w:val="single" w:sz="4" w:space="0" w:color="000000"/>
        <w:insideH w:val="single" w:sz="4" w:space="0" w:color="000000"/>
      </w:tblBorders>
      <w:tblLook w:val="01E0" w:firstRow="1" w:lastRow="1" w:firstColumn="1" w:lastColumn="1" w:noHBand="0" w:noVBand="0"/>
    </w:tblPr>
    <w:tblGrid>
      <w:gridCol w:w="10980"/>
    </w:tblGrid>
    <w:tr w:rsidR="000D44DB" w:rsidRPr="00710A1C" w14:paraId="410A3F14" w14:textId="77777777">
      <w:tc>
        <w:tcPr>
          <w:tcW w:w="10980" w:type="dxa"/>
          <w:shd w:val="clear" w:color="auto" w:fill="3366FF"/>
          <w:tcMar>
            <w:top w:w="28" w:type="dxa"/>
            <w:left w:w="57" w:type="dxa"/>
            <w:bottom w:w="28" w:type="dxa"/>
            <w:right w:w="57" w:type="dxa"/>
          </w:tcMar>
        </w:tcPr>
        <w:p w14:paraId="34A88BDC" w14:textId="77777777" w:rsidR="000D44DB" w:rsidRPr="00710A1C" w:rsidRDefault="000D44DB" w:rsidP="00710A1C">
          <w:pPr>
            <w:spacing w:before="60" w:after="60"/>
            <w:ind w:right="57"/>
            <w:rPr>
              <w:rFonts w:ascii="Verdana" w:hAnsi="Verdana" w:cs="Arial"/>
              <w:b/>
              <w:bCs/>
              <w:color w:val="000080"/>
              <w:sz w:val="15"/>
              <w:szCs w:val="15"/>
              <w:lang w:val="en-US"/>
            </w:rPr>
          </w:pPr>
          <w:r w:rsidRPr="00710A1C">
            <w:rPr>
              <w:rFonts w:ascii="Verdana" w:hAnsi="Verdana" w:cs="Arial"/>
              <w:b/>
              <w:bCs/>
              <w:color w:val="FFFFFF"/>
              <w:sz w:val="15"/>
              <w:szCs w:val="15"/>
              <w:lang w:val="en-US"/>
            </w:rPr>
            <w:t xml:space="preserve">If you do not wish to continue receiving NDO </w:t>
          </w:r>
          <w:r w:rsidRPr="00710A1C">
            <w:rPr>
              <w:rFonts w:ascii="Verdana" w:hAnsi="Verdana" w:cs="Arial"/>
              <w:b/>
              <w:bCs/>
              <w:i/>
              <w:color w:val="FFFFFF"/>
              <w:sz w:val="15"/>
              <w:szCs w:val="15"/>
              <w:lang w:val="en-US"/>
            </w:rPr>
            <w:t>Newsletter</w:t>
          </w:r>
          <w:r w:rsidRPr="00710A1C">
            <w:rPr>
              <w:rFonts w:ascii="Verdana" w:hAnsi="Verdana" w:cs="Arial"/>
              <w:b/>
              <w:bCs/>
              <w:color w:val="FFFFFF"/>
              <w:sz w:val="15"/>
              <w:szCs w:val="15"/>
              <w:lang w:val="en-US"/>
            </w:rPr>
            <w:t xml:space="preserve"> log in and update your profile at </w:t>
          </w:r>
          <w:hyperlink r:id="rId1" w:history="1">
            <w:r w:rsidRPr="00710A1C">
              <w:rPr>
                <w:rStyle w:val="Hyperlink"/>
                <w:rFonts w:cs="Arial"/>
                <w:b/>
                <w:bCs/>
                <w:color w:val="FFFFFF"/>
                <w:sz w:val="15"/>
                <w:szCs w:val="15"/>
                <w:lang w:val="en-US"/>
              </w:rPr>
              <w:t>www.ukmi.nhs.uk/ndo</w:t>
            </w:r>
          </w:hyperlink>
        </w:p>
      </w:tc>
    </w:tr>
    <w:tr w:rsidR="000D44DB" w14:paraId="6C214EC8" w14:textId="77777777">
      <w:tc>
        <w:tcPr>
          <w:tcW w:w="10980" w:type="dxa"/>
          <w:shd w:val="clear" w:color="auto" w:fill="auto"/>
          <w:tcMar>
            <w:left w:w="28" w:type="dxa"/>
            <w:right w:w="28" w:type="dxa"/>
          </w:tcMar>
        </w:tcPr>
        <w:p w14:paraId="4122B908" w14:textId="77777777" w:rsidR="000D44DB" w:rsidRPr="00710A1C" w:rsidRDefault="000D44DB" w:rsidP="00710A1C">
          <w:pPr>
            <w:spacing w:before="120" w:after="60"/>
            <w:ind w:left="57" w:right="57"/>
            <w:rPr>
              <w:sz w:val="15"/>
              <w:szCs w:val="15"/>
            </w:rPr>
          </w:pPr>
          <w:r w:rsidRPr="00710A1C">
            <w:rPr>
              <w:rFonts w:ascii="Verdana" w:hAnsi="Verdana" w:cs="Arial"/>
              <w:b/>
              <w:bCs/>
              <w:color w:val="333399"/>
              <w:sz w:val="15"/>
              <w:szCs w:val="15"/>
              <w:lang w:val="en-US"/>
            </w:rPr>
            <w:t>In September 2011</w:t>
          </w:r>
          <w:r w:rsidRPr="00710A1C">
            <w:rPr>
              <w:rFonts w:ascii="Verdana" w:hAnsi="Verdana" w:cs="Arial"/>
              <w:bCs/>
              <w:color w:val="000000"/>
              <w:sz w:val="15"/>
              <w:szCs w:val="15"/>
              <w:lang w:val="en-US"/>
            </w:rPr>
            <w:t xml:space="preserve"> </w:t>
          </w:r>
          <w:r w:rsidRPr="00710A1C">
            <w:rPr>
              <w:rFonts w:ascii="Verdana" w:hAnsi="Verdana" w:cs="Arial"/>
              <w:b/>
              <w:bCs/>
              <w:color w:val="000000"/>
              <w:sz w:val="15"/>
              <w:szCs w:val="15"/>
              <w:lang w:val="en-US"/>
            </w:rPr>
            <w:t>| 229 monographs updated | 14 evidence-based evaluations added | 2,200 registered NDO users</w:t>
          </w:r>
        </w:p>
      </w:tc>
    </w:tr>
  </w:tbl>
  <w:p w14:paraId="54D8378E" w14:textId="77777777" w:rsidR="000D44DB" w:rsidRDefault="000D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49A136D6" w14:textId="77777777" w:rsidTr="001734BF">
      <w:trPr>
        <w:trHeight w:val="262"/>
      </w:trPr>
      <w:tc>
        <w:tcPr>
          <w:tcW w:w="10774" w:type="dxa"/>
          <w:shd w:val="clear" w:color="auto" w:fill="0070C0"/>
          <w:tcMar>
            <w:top w:w="28" w:type="dxa"/>
            <w:left w:w="57" w:type="dxa"/>
            <w:bottom w:w="28" w:type="dxa"/>
            <w:right w:w="57" w:type="dxa"/>
          </w:tcMar>
        </w:tcPr>
        <w:p w14:paraId="507C3F9C"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This is a NHS document not to be used for commercial purposes</w:t>
          </w:r>
        </w:p>
      </w:tc>
    </w:tr>
    <w:tr w:rsidR="001F4283" w:rsidRPr="00862949" w14:paraId="771C0BB1" w14:textId="77777777" w:rsidTr="001734BF">
      <w:trPr>
        <w:trHeight w:val="331"/>
      </w:trPr>
      <w:tc>
        <w:tcPr>
          <w:tcW w:w="10774" w:type="dxa"/>
          <w:shd w:val="clear" w:color="auto" w:fill="DAEEF3"/>
          <w:tcMar>
            <w:left w:w="28" w:type="dxa"/>
            <w:right w:w="28" w:type="dxa"/>
          </w:tcMar>
        </w:tcPr>
        <w:p w14:paraId="48C1908D"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organisations develop medicines management policies and to inform prescribing decisions when a product has been launched. </w:t>
          </w:r>
        </w:p>
        <w:p w14:paraId="44D33EC6"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09F9765F" w14:textId="77777777" w:rsidR="000D44DB" w:rsidRDefault="000D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66708DBD" w14:textId="77777777" w:rsidTr="001734BF">
      <w:trPr>
        <w:trHeight w:val="262"/>
      </w:trPr>
      <w:tc>
        <w:tcPr>
          <w:tcW w:w="10774" w:type="dxa"/>
          <w:shd w:val="clear" w:color="auto" w:fill="0070C0"/>
          <w:tcMar>
            <w:top w:w="28" w:type="dxa"/>
            <w:left w:w="57" w:type="dxa"/>
            <w:bottom w:w="28" w:type="dxa"/>
            <w:right w:w="57" w:type="dxa"/>
          </w:tcMar>
        </w:tcPr>
        <w:p w14:paraId="3A659777"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This is a NHS document not to be used for commercial purposes</w:t>
          </w:r>
        </w:p>
      </w:tc>
    </w:tr>
    <w:tr w:rsidR="001F4283" w:rsidRPr="00862949" w14:paraId="08AF57E4" w14:textId="77777777" w:rsidTr="001734BF">
      <w:trPr>
        <w:trHeight w:val="331"/>
      </w:trPr>
      <w:tc>
        <w:tcPr>
          <w:tcW w:w="10774" w:type="dxa"/>
          <w:shd w:val="clear" w:color="auto" w:fill="DAEEF3"/>
          <w:tcMar>
            <w:left w:w="28" w:type="dxa"/>
            <w:right w:w="28" w:type="dxa"/>
          </w:tcMar>
        </w:tcPr>
        <w:p w14:paraId="06FA7FE1"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organisations develop medicines management policies and to inform prescribing decisions when a product has been launched. </w:t>
          </w:r>
        </w:p>
        <w:p w14:paraId="530883A6"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49CB7E79" w14:textId="77777777" w:rsidR="000D44DB" w:rsidRPr="00862949" w:rsidRDefault="000D44DB" w:rsidP="00F95449">
    <w:pPr>
      <w:spacing w:before="60" w:after="60"/>
      <w:ind w:left="57" w:right="57"/>
      <w:jc w:val="center"/>
      <w:rPr>
        <w:rFonts w:cs="Arial"/>
        <w:bCs/>
        <w:color w:val="333399"/>
        <w:sz w:val="8"/>
        <w:szCs w:val="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2975" w14:textId="77777777" w:rsidR="005C5CB4" w:rsidRDefault="005C5CB4">
      <w:r>
        <w:separator/>
      </w:r>
    </w:p>
  </w:footnote>
  <w:footnote w:type="continuationSeparator" w:id="0">
    <w:p w14:paraId="7E850490" w14:textId="77777777" w:rsidR="005C5CB4" w:rsidRDefault="005C5CB4">
      <w:r>
        <w:continuationSeparator/>
      </w:r>
    </w:p>
  </w:footnote>
  <w:footnote w:type="continuationNotice" w:id="1">
    <w:p w14:paraId="1E4081E3" w14:textId="77777777" w:rsidR="005C5CB4" w:rsidRDefault="005C5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095F" w14:textId="26C233B1" w:rsidR="000D44DB" w:rsidRPr="00CD021E" w:rsidRDefault="00CD021E" w:rsidP="009A09B7">
    <w:pPr>
      <w:pStyle w:val="Header"/>
      <w:rPr>
        <w:rFonts w:ascii="Verdana" w:hAnsi="Verdana" w:cs="Arial"/>
        <w:b/>
        <w:bCs/>
        <w:i/>
        <w:color w:val="33CCCC"/>
        <w:sz w:val="52"/>
        <w:szCs w:val="5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2" behindDoc="1" locked="0" layoutInCell="1" allowOverlap="1" wp14:anchorId="0D5F0B86" wp14:editId="1249CE80">
          <wp:simplePos x="0" y="0"/>
          <wp:positionH relativeFrom="column">
            <wp:posOffset>5715000</wp:posOffset>
          </wp:positionH>
          <wp:positionV relativeFrom="paragraph">
            <wp:posOffset>10795</wp:posOffset>
          </wp:positionV>
          <wp:extent cx="816610" cy="463550"/>
          <wp:effectExtent l="0" t="0" r="2540" b="0"/>
          <wp:wrapTight wrapText="bothSides">
            <wp:wrapPolygon edited="0">
              <wp:start x="0" y="0"/>
              <wp:lineTo x="0" y="20416"/>
              <wp:lineTo x="21163" y="20416"/>
              <wp:lineTo x="21163" y="0"/>
              <wp:lineTo x="0" y="0"/>
            </wp:wrapPolygon>
          </wp:wrapTight>
          <wp:docPr id="1372052531" name="Picture 1372052531" descr="UKMi logo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Mi logo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483CE88" wp14:editId="3F96FC91">
          <wp:simplePos x="0" y="0"/>
          <wp:positionH relativeFrom="column">
            <wp:posOffset>5193665</wp:posOffset>
          </wp:positionH>
          <wp:positionV relativeFrom="paragraph">
            <wp:posOffset>116205</wp:posOffset>
          </wp:positionV>
          <wp:extent cx="533400" cy="219075"/>
          <wp:effectExtent l="0" t="0" r="0" b="9525"/>
          <wp:wrapTight wrapText="bothSides">
            <wp:wrapPolygon edited="0">
              <wp:start x="0" y="0"/>
              <wp:lineTo x="0" y="20661"/>
              <wp:lineTo x="20829" y="20661"/>
              <wp:lineTo x="20829" y="0"/>
              <wp:lineTo x="0" y="0"/>
            </wp:wrapPolygon>
          </wp:wrapTight>
          <wp:docPr id="2119660951" name="Picture 2119660951"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641341" wp14:editId="00437085">
          <wp:extent cx="1075055" cy="467995"/>
          <wp:effectExtent l="0" t="0" r="0" b="8255"/>
          <wp:docPr id="198913519" name="Picture 198913519" descr="N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055" cy="467995"/>
                  </a:xfrm>
                  <a:prstGeom prst="rect">
                    <a:avLst/>
                  </a:prstGeom>
                  <a:noFill/>
                  <a:ln>
                    <a:noFill/>
                  </a:ln>
                </pic:spPr>
              </pic:pic>
            </a:graphicData>
          </a:graphic>
        </wp:inline>
      </w:drawing>
    </w:r>
    <w:r w:rsidR="000D44DB" w:rsidRPr="00CD021E">
      <w:rPr>
        <w:rFonts w:ascii="Verdana" w:hAnsi="Verdana" w:cs="Arial"/>
        <w:b/>
        <w:bCs/>
        <w:i/>
        <w:color w:val="33CCCC"/>
        <w:sz w:val="44"/>
        <w:szCs w:val="44"/>
        <w14:shadow w14:blurRad="50800" w14:dist="38100" w14:dir="2700000" w14:sx="100000" w14:sy="100000" w14:kx="0" w14:ky="0" w14:algn="tl">
          <w14:srgbClr w14:val="000000">
            <w14:alpha w14:val="60000"/>
          </w14:srgbClr>
        </w14:shadow>
      </w:rPr>
      <w:t>Newsletter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F4D6" w14:textId="0345D922" w:rsidR="000D44DB" w:rsidRPr="00CD021E" w:rsidRDefault="00A75BCB" w:rsidP="00BA65A9">
    <w:pPr>
      <w:pStyle w:val="Header"/>
      <w:ind w:left="-142"/>
      <w:rPr>
        <w:rFonts w:cs="Arial"/>
        <w:b/>
        <w:bCs/>
        <w:color w:val="244061"/>
        <w:sz w:val="32"/>
        <w:szCs w:val="32"/>
        <w14:shadow w14:blurRad="50800" w14:dist="38100" w14:dir="2700000" w14:sx="100000" w14:sy="100000" w14:kx="0" w14:ky="0" w14:algn="tl">
          <w14:srgbClr w14:val="000000">
            <w14:alpha w14:val="60000"/>
          </w14:srgbClr>
        </w14:shadow>
      </w:rPr>
    </w:pPr>
    <w:r>
      <w:rPr>
        <w:noProof/>
        <w:color w:val="00B050"/>
        <w:sz w:val="32"/>
        <w:szCs w:val="32"/>
      </w:rPr>
      <w:drawing>
        <wp:anchor distT="0" distB="0" distL="114300" distR="114300" simplePos="0" relativeHeight="251658240" behindDoc="0" locked="0" layoutInCell="1" allowOverlap="1" wp14:anchorId="364051DE" wp14:editId="5C918A4A">
          <wp:simplePos x="0" y="0"/>
          <wp:positionH relativeFrom="column">
            <wp:posOffset>6073775</wp:posOffset>
          </wp:positionH>
          <wp:positionV relativeFrom="paragraph">
            <wp:posOffset>-21590</wp:posOffset>
          </wp:positionV>
          <wp:extent cx="521335" cy="213995"/>
          <wp:effectExtent l="0" t="0" r="0" b="0"/>
          <wp:wrapNone/>
          <wp:docPr id="382675172" name="Picture 382675172"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47A14" w14:textId="77777777" w:rsidR="000D44DB" w:rsidRPr="00CD021E" w:rsidRDefault="00CB5BC1" w:rsidP="00CB5BC1">
    <w:pPr>
      <w:pStyle w:val="Header"/>
      <w:tabs>
        <w:tab w:val="left" w:pos="7830"/>
      </w:tabs>
      <w:rPr>
        <w:rFonts w:cs="Arial"/>
        <w:b/>
        <w:bCs/>
        <w:i/>
        <w:color w:val="244061"/>
        <w:sz w:val="72"/>
        <w:szCs w:val="72"/>
        <w14:shadow w14:blurRad="50800" w14:dist="38100" w14:dir="2700000" w14:sx="100000" w14:sy="100000" w14:kx="0" w14:ky="0" w14:algn="tl">
          <w14:srgbClr w14:val="000000">
            <w14:alpha w14:val="60000"/>
          </w14:srgbClr>
        </w14:shadow>
      </w:rPr>
    </w:pPr>
    <w:r w:rsidRPr="00562CE4">
      <w:rPr>
        <w:rFonts w:cs="Arial"/>
        <w:b/>
        <w:bCs/>
        <w:noProof/>
        <w:color w:val="008232"/>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0" behindDoc="0" locked="0" layoutInCell="1" allowOverlap="1" wp14:anchorId="191AA3F1" wp14:editId="2E1004CE">
          <wp:simplePos x="0" y="0"/>
          <wp:positionH relativeFrom="column">
            <wp:posOffset>-146685</wp:posOffset>
          </wp:positionH>
          <wp:positionV relativeFrom="paragraph">
            <wp:posOffset>115570</wp:posOffset>
          </wp:positionV>
          <wp:extent cx="1079500" cy="344170"/>
          <wp:effectExtent l="0" t="0" r="6350" b="0"/>
          <wp:wrapSquare wrapText="bothSides"/>
          <wp:docPr id="741007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4DB" w:rsidRPr="00562CE4">
      <w:rPr>
        <w:rFonts w:cs="Arial"/>
        <w:b/>
        <w:bCs/>
        <w:color w:val="008232"/>
        <w:sz w:val="72"/>
        <w:szCs w:val="72"/>
        <w14:shadow w14:blurRad="50800" w14:dist="38100" w14:dir="2700000" w14:sx="100000" w14:sy="100000" w14:kx="0" w14:ky="0" w14:algn="tl">
          <w14:srgbClr w14:val="000000">
            <w14:alpha w14:val="60000"/>
          </w14:srgbClr>
        </w14:shadow>
      </w:rPr>
      <w:t>New Medicines</w:t>
    </w:r>
    <w:r w:rsidR="000D44DB" w:rsidRPr="00CB5BC1">
      <w:rPr>
        <w:rFonts w:cs="Arial"/>
        <w:b/>
        <w:bCs/>
        <w:i/>
        <w:color w:val="00A249"/>
        <w:sz w:val="72"/>
        <w:szCs w:val="72"/>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72"/>
        <w:szCs w:val="72"/>
        <w14:shadow w14:blurRad="50800" w14:dist="38100" w14:dir="2700000" w14:sx="100000" w14:sy="100000" w14:kx="0" w14:ky="0" w14:algn="tl">
          <w14:srgbClr w14:val="000000">
            <w14:alpha w14:val="60000"/>
          </w14:srgbClr>
        </w14:shadow>
      </w:rPr>
      <w:t>News</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D44DB" w:rsidRPr="00CD021E" w14:paraId="44B4933E" w14:textId="77777777" w:rsidTr="002772ED">
      <w:tc>
        <w:tcPr>
          <w:tcW w:w="10774" w:type="dxa"/>
          <w:tcBorders>
            <w:top w:val="nil"/>
            <w:left w:val="nil"/>
            <w:bottom w:val="nil"/>
            <w:right w:val="nil"/>
          </w:tcBorders>
          <w:shd w:val="clear" w:color="auto" w:fill="DAEEF3"/>
        </w:tcPr>
        <w:p w14:paraId="0F1C1DEC" w14:textId="39B8F2A8" w:rsidR="000D44DB" w:rsidRPr="00CD021E" w:rsidRDefault="00800CC1" w:rsidP="00EB3E6F">
          <w:pPr>
            <w:pStyle w:val="Header"/>
            <w:spacing w:before="60" w:after="60"/>
            <w:rPr>
              <w:rFonts w:cs="Arial"/>
              <w:b/>
              <w:bCs/>
              <w:color w:val="000000"/>
              <w:sz w:val="36"/>
              <w:szCs w:val="36"/>
              <w14:shadow w14:blurRad="50800" w14:dist="38100" w14:dir="2700000" w14:sx="100000" w14:sy="100000" w14:kx="0" w14:ky="0" w14:algn="tl">
                <w14:srgbClr w14:val="000000">
                  <w14:alpha w14:val="60000"/>
                </w14:srgbClr>
              </w14:shadow>
            </w:rPr>
          </w:pPr>
          <w:r>
            <w:rPr>
              <w:rFonts w:cs="Arial"/>
              <w:b/>
              <w:bCs/>
              <w:color w:val="0070C0"/>
              <w:sz w:val="36"/>
              <w:szCs w:val="36"/>
              <w14:shadow w14:blurRad="50800" w14:dist="38100" w14:dir="2700000" w14:sx="100000" w14:sy="100000" w14:kx="0" w14:ky="0" w14:algn="tl">
                <w14:srgbClr w14:val="000000">
                  <w14:alpha w14:val="60000"/>
                </w14:srgbClr>
              </w14:shadow>
            </w:rPr>
            <w:t>September</w:t>
          </w:r>
          <w:r w:rsidR="00A75BCB">
            <w:rPr>
              <w:rFonts w:cs="Arial"/>
              <w:b/>
              <w:bCs/>
              <w:color w:val="0070C0"/>
              <w:sz w:val="36"/>
              <w:szCs w:val="36"/>
              <w14:shadow w14:blurRad="50800" w14:dist="38100" w14:dir="2700000" w14:sx="100000" w14:sy="100000" w14:kx="0" w14:ky="0" w14:algn="tl">
                <w14:srgbClr w14:val="000000">
                  <w14:alpha w14:val="60000"/>
                </w14:srgbClr>
              </w14:shadow>
            </w:rPr>
            <w:t xml:space="preserve"> 202</w:t>
          </w:r>
          <w:r w:rsidR="00532402">
            <w:rPr>
              <w:rFonts w:cs="Arial"/>
              <w:b/>
              <w:bCs/>
              <w:color w:val="0070C0"/>
              <w:sz w:val="36"/>
              <w:szCs w:val="36"/>
              <w14:shadow w14:blurRad="50800" w14:dist="38100" w14:dir="2700000" w14:sx="100000" w14:sy="100000" w14:kx="0" w14:ky="0" w14:algn="tl">
                <w14:srgbClr w14:val="000000">
                  <w14:alpha w14:val="60000"/>
                </w14:srgbClr>
              </w14:shadow>
            </w:rPr>
            <w:t>5</w:t>
          </w:r>
        </w:p>
      </w:tc>
    </w:tr>
    <w:tr w:rsidR="000D44DB" w:rsidRPr="00CD021E" w14:paraId="2A310771" w14:textId="77777777" w:rsidTr="002772ED">
      <w:tc>
        <w:tcPr>
          <w:tcW w:w="10774" w:type="dxa"/>
          <w:tcBorders>
            <w:top w:val="nil"/>
            <w:left w:val="nil"/>
            <w:bottom w:val="nil"/>
            <w:right w:val="nil"/>
          </w:tcBorders>
          <w:shd w:val="clear" w:color="auto" w:fill="0070C0"/>
        </w:tcPr>
        <w:p w14:paraId="5E818751" w14:textId="77777777" w:rsidR="000D44DB" w:rsidRPr="00CD021E" w:rsidRDefault="000D44DB" w:rsidP="00395D20">
          <w:pPr>
            <w:pStyle w:val="Header"/>
            <w:tabs>
              <w:tab w:val="clear" w:pos="4153"/>
              <w:tab w:val="clear" w:pos="8306"/>
              <w:tab w:val="left" w:pos="2197"/>
            </w:tabs>
            <w:rPr>
              <w:rFonts w:cs="Arial"/>
              <w:b/>
              <w:bCs/>
              <w:color w:val="0070C0"/>
              <w:sz w:val="8"/>
              <w:szCs w:val="8"/>
              <w14:shadow w14:blurRad="50800" w14:dist="38100" w14:dir="2700000" w14:sx="100000" w14:sy="100000" w14:kx="0" w14:ky="0" w14:algn="tl">
                <w14:srgbClr w14:val="000000">
                  <w14:alpha w14:val="60000"/>
                </w14:srgbClr>
              </w14:shadow>
            </w:rPr>
          </w:pPr>
          <w:r w:rsidRPr="00CD021E">
            <w:rPr>
              <w:rFonts w:cs="Arial"/>
              <w:b/>
              <w:bCs/>
              <w:color w:val="0070C0"/>
              <w:sz w:val="28"/>
              <w:szCs w:val="28"/>
              <w14:shadow w14:blurRad="50800" w14:dist="38100" w14:dir="2700000" w14:sx="100000" w14:sy="100000" w14:kx="0" w14:ky="0" w14:algn="tl">
                <w14:srgbClr w14:val="000000">
                  <w14:alpha w14:val="60000"/>
                </w14:srgbClr>
              </w14:shadow>
            </w:rPr>
            <w:tab/>
          </w:r>
        </w:p>
      </w:tc>
    </w:tr>
    <w:tr w:rsidR="000D44DB" w:rsidRPr="00CD021E" w14:paraId="6B23B177" w14:textId="77777777" w:rsidTr="002772ED">
      <w:tc>
        <w:tcPr>
          <w:tcW w:w="10774" w:type="dxa"/>
          <w:tcBorders>
            <w:top w:val="nil"/>
            <w:left w:val="nil"/>
            <w:bottom w:val="nil"/>
            <w:right w:val="nil"/>
          </w:tcBorders>
          <w:shd w:val="clear" w:color="auto" w:fill="DAEEF3"/>
        </w:tcPr>
        <w:p w14:paraId="35F74BCC" w14:textId="77777777" w:rsidR="000D44DB" w:rsidRPr="00C315D6" w:rsidRDefault="00885CAE" w:rsidP="00CB6344">
          <w:pPr>
            <w:pStyle w:val="Header"/>
            <w:tabs>
              <w:tab w:val="clear" w:pos="4153"/>
              <w:tab w:val="clear" w:pos="8306"/>
              <w:tab w:val="left" w:pos="2197"/>
            </w:tabs>
            <w:spacing w:before="120" w:after="120"/>
            <w:rPr>
              <w:rFonts w:cs="Arial"/>
              <w:b/>
              <w:bCs/>
              <w:color w:val="0070C0"/>
              <w:sz w:val="18"/>
              <w:szCs w:val="18"/>
            </w:rPr>
          </w:pPr>
          <w:r w:rsidRPr="009B0BCE">
            <w:rPr>
              <w:rFonts w:cs="Arial"/>
              <w:b/>
              <w:bCs/>
              <w:color w:val="0070C0"/>
              <w:sz w:val="18"/>
              <w:szCs w:val="18"/>
            </w:rPr>
            <w:t xml:space="preserve">This newsletter is produced by </w:t>
          </w:r>
          <w:hyperlink r:id="rId3" w:history="1">
            <w:r w:rsidRPr="00551321">
              <w:rPr>
                <w:rStyle w:val="Hyperlink"/>
                <w:rFonts w:ascii="Arial" w:hAnsi="Arial" w:cs="Arial"/>
                <w:b/>
                <w:bCs/>
              </w:rPr>
              <w:t xml:space="preserve">SPS </w:t>
            </w:r>
            <w:r w:rsidR="003C4624">
              <w:rPr>
                <w:rStyle w:val="Hyperlink"/>
                <w:rFonts w:ascii="Arial" w:hAnsi="Arial" w:cs="Arial"/>
                <w:b/>
                <w:bCs/>
              </w:rPr>
              <w:t>H</w:t>
            </w:r>
            <w:r w:rsidRPr="00551321">
              <w:rPr>
                <w:rStyle w:val="Hyperlink"/>
                <w:rFonts w:ascii="Arial" w:hAnsi="Arial" w:cs="Arial"/>
                <w:b/>
                <w:bCs/>
              </w:rPr>
              <w:t xml:space="preserve">orizon </w:t>
            </w:r>
            <w:r w:rsidR="003C4624">
              <w:rPr>
                <w:rStyle w:val="Hyperlink"/>
                <w:rFonts w:ascii="Arial" w:hAnsi="Arial" w:cs="Arial"/>
                <w:b/>
                <w:bCs/>
              </w:rPr>
              <w:t>S</w:t>
            </w:r>
            <w:r w:rsidRPr="00551321">
              <w:rPr>
                <w:rStyle w:val="Hyperlink"/>
                <w:rFonts w:ascii="Arial" w:hAnsi="Arial" w:cs="Arial"/>
                <w:b/>
                <w:bCs/>
              </w:rPr>
              <w:t>canning</w:t>
            </w:r>
          </w:hyperlink>
          <w:r w:rsidRPr="009B0BCE">
            <w:rPr>
              <w:rFonts w:cs="Arial"/>
              <w:b/>
              <w:bCs/>
              <w:color w:val="0070C0"/>
              <w:sz w:val="18"/>
              <w:szCs w:val="18"/>
            </w:rPr>
            <w:t xml:space="preserve"> and highlights recent</w:t>
          </w:r>
          <w:r>
            <w:rPr>
              <w:rFonts w:cs="Arial"/>
              <w:b/>
              <w:bCs/>
              <w:color w:val="0070C0"/>
              <w:sz w:val="18"/>
              <w:szCs w:val="18"/>
            </w:rPr>
            <w:t xml:space="preserve"> new product launches and </w:t>
          </w:r>
          <w:r w:rsidRPr="009B0BCE">
            <w:rPr>
              <w:rFonts w:cs="Arial"/>
              <w:b/>
              <w:bCs/>
              <w:color w:val="0070C0"/>
              <w:sz w:val="18"/>
              <w:szCs w:val="18"/>
            </w:rPr>
            <w:t xml:space="preserve">medicines regulatory changes. More detailed information on medicines </w:t>
          </w:r>
          <w:r>
            <w:rPr>
              <w:rFonts w:cs="Arial"/>
              <w:b/>
              <w:bCs/>
              <w:color w:val="0070C0"/>
              <w:sz w:val="18"/>
              <w:szCs w:val="18"/>
            </w:rPr>
            <w:t>estimated</w:t>
          </w:r>
          <w:r w:rsidRPr="009B0BCE">
            <w:rPr>
              <w:rFonts w:cs="Arial"/>
              <w:b/>
              <w:bCs/>
              <w:color w:val="0070C0"/>
              <w:sz w:val="18"/>
              <w:szCs w:val="18"/>
            </w:rPr>
            <w:t xml:space="preserve"> to </w:t>
          </w:r>
          <w:r>
            <w:rPr>
              <w:rFonts w:cs="Arial"/>
              <w:b/>
              <w:bCs/>
              <w:color w:val="0070C0"/>
              <w:sz w:val="18"/>
              <w:szCs w:val="18"/>
            </w:rPr>
            <w:t>become available for use</w:t>
          </w:r>
          <w:r w:rsidRPr="009B0BCE">
            <w:rPr>
              <w:rFonts w:cs="Arial"/>
              <w:b/>
              <w:bCs/>
              <w:color w:val="0070C0"/>
              <w:sz w:val="18"/>
              <w:szCs w:val="18"/>
            </w:rPr>
            <w:t xml:space="preserve"> in the next 2</w:t>
          </w:r>
          <w:r>
            <w:rPr>
              <w:rFonts w:cs="Arial"/>
              <w:b/>
              <w:bCs/>
              <w:color w:val="0070C0"/>
              <w:sz w:val="18"/>
              <w:szCs w:val="18"/>
            </w:rPr>
            <w:t xml:space="preserve"> financial years</w:t>
          </w:r>
          <w:r w:rsidRPr="009B0BCE">
            <w:rPr>
              <w:rFonts w:cs="Arial"/>
              <w:b/>
              <w:bCs/>
              <w:color w:val="0070C0"/>
              <w:sz w:val="18"/>
              <w:szCs w:val="18"/>
            </w:rPr>
            <w:t xml:space="preserve"> and on marketed medicines expected to have major new indications approved</w:t>
          </w:r>
          <w:r>
            <w:rPr>
              <w:rFonts w:cs="Arial"/>
              <w:b/>
              <w:bCs/>
              <w:color w:val="0070C0"/>
              <w:sz w:val="18"/>
              <w:szCs w:val="18"/>
            </w:rPr>
            <w:t xml:space="preserve"> is</w:t>
          </w:r>
          <w:r w:rsidRPr="009B0BCE">
            <w:rPr>
              <w:rFonts w:cs="Arial"/>
              <w:b/>
              <w:bCs/>
              <w:color w:val="0070C0"/>
              <w:sz w:val="18"/>
              <w:szCs w:val="18"/>
            </w:rPr>
            <w:t xml:space="preserve"> in </w:t>
          </w:r>
          <w:hyperlink r:id="rId4" w:history="1">
            <w:r w:rsidRPr="009B0BCE">
              <w:rPr>
                <w:rStyle w:val="Hyperlink"/>
                <w:rFonts w:ascii="Arial" w:hAnsi="Arial" w:cs="Arial"/>
                <w:b/>
                <w:bCs/>
              </w:rPr>
              <w:t>Prescribing Outlook</w:t>
            </w:r>
          </w:hyperlink>
          <w:r w:rsidRPr="009B0BCE">
            <w:rPr>
              <w:rFonts w:cs="Arial"/>
              <w:b/>
              <w:bCs/>
              <w:color w:val="0070C0"/>
              <w:sz w:val="18"/>
              <w:szCs w:val="18"/>
            </w:rPr>
            <w:t>.</w:t>
          </w:r>
        </w:p>
      </w:tc>
    </w:tr>
  </w:tbl>
  <w:p w14:paraId="535C12B2" w14:textId="77777777" w:rsidR="000D44DB" w:rsidRPr="00CD021E" w:rsidRDefault="000D44DB" w:rsidP="00A56726">
    <w:pPr>
      <w:pStyle w:val="Header"/>
      <w:rPr>
        <w:rFonts w:cs="Arial"/>
        <w:b/>
        <w:bCs/>
        <w:color w:val="244061"/>
        <w:sz w:val="8"/>
        <w:szCs w:val="8"/>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EE1D" w14:textId="32F2C6D2" w:rsidR="0090527B" w:rsidRDefault="00905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3C0" w14:textId="1DC94297" w:rsidR="0090527B" w:rsidRDefault="00905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EF98" w14:textId="4D0C6063" w:rsidR="000D44DB" w:rsidRPr="00CD021E" w:rsidRDefault="00CB5BC1" w:rsidP="00AC0996">
    <w:pPr>
      <w:pStyle w:val="Header"/>
      <w:tabs>
        <w:tab w:val="clear" w:pos="8306"/>
        <w:tab w:val="left" w:pos="7830"/>
      </w:tabs>
      <w:spacing w:before="120"/>
      <w:ind w:left="-170"/>
      <w:rPr>
        <w:rFonts w:cs="Arial"/>
        <w:b/>
        <w:bCs/>
        <w:i/>
        <w:color w:val="31849B"/>
        <w:sz w:val="44"/>
        <w:szCs w:val="44"/>
        <w14:shadow w14:blurRad="50800" w14:dist="38100" w14:dir="2700000" w14:sx="100000" w14:sy="100000" w14:kx="0" w14:ky="0" w14:algn="tl">
          <w14:srgbClr w14:val="000000">
            <w14:alpha w14:val="60000"/>
          </w14:srgbClr>
        </w14:shadow>
      </w:rPr>
    </w:pPr>
    <w:r w:rsidRPr="00CB5BC1">
      <w:rPr>
        <w:rFonts w:cs="Arial"/>
        <w:b/>
        <w:bCs/>
        <w:noProof/>
        <w:color w:val="008A3E"/>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1" behindDoc="0" locked="0" layoutInCell="1" allowOverlap="1" wp14:anchorId="26B66305" wp14:editId="3E01809F">
          <wp:simplePos x="0" y="0"/>
          <wp:positionH relativeFrom="column">
            <wp:posOffset>-89535</wp:posOffset>
          </wp:positionH>
          <wp:positionV relativeFrom="paragraph">
            <wp:posOffset>120650</wp:posOffset>
          </wp:positionV>
          <wp:extent cx="999490" cy="318770"/>
          <wp:effectExtent l="0" t="0" r="0" b="5080"/>
          <wp:wrapSquare wrapText="bothSides"/>
          <wp:docPr id="191849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318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BCB" w:rsidRPr="00CB5BC1">
      <w:rPr>
        <w:rFonts w:cs="Arial"/>
        <w:noProof/>
        <w:color w:val="008A3E"/>
        <w:sz w:val="40"/>
        <w:szCs w:val="40"/>
      </w:rPr>
      <w:drawing>
        <wp:anchor distT="0" distB="0" distL="114300" distR="114300" simplePos="0" relativeHeight="251658243" behindDoc="0" locked="0" layoutInCell="1" allowOverlap="1" wp14:anchorId="5AB02A61" wp14:editId="3356A42E">
          <wp:simplePos x="0" y="0"/>
          <wp:positionH relativeFrom="column">
            <wp:posOffset>6182360</wp:posOffset>
          </wp:positionH>
          <wp:positionV relativeFrom="paragraph">
            <wp:posOffset>93345</wp:posOffset>
          </wp:positionV>
          <wp:extent cx="469265" cy="192405"/>
          <wp:effectExtent l="0" t="0" r="6985" b="0"/>
          <wp:wrapNone/>
          <wp:docPr id="8" name="Picture 8"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4DB" w:rsidRPr="00CB5BC1">
      <w:rPr>
        <w:rFonts w:cs="Arial"/>
        <w:b/>
        <w:bCs/>
        <w:color w:val="008A3E"/>
        <w:sz w:val="44"/>
        <w:szCs w:val="44"/>
        <w14:shadow w14:blurRad="50800" w14:dist="38100" w14:dir="2700000" w14:sx="100000" w14:sy="100000" w14:kx="0" w14:ky="0" w14:algn="tl">
          <w14:srgbClr w14:val="000000">
            <w14:alpha w14:val="60000"/>
          </w14:srgbClr>
        </w14:shadow>
      </w:rPr>
      <w:t>New Medicines</w:t>
    </w:r>
    <w:r w:rsidR="000D44DB" w:rsidRPr="00CD021E">
      <w:rPr>
        <w:rFonts w:cs="Arial"/>
        <w:b/>
        <w:bCs/>
        <w:i/>
        <w:color w:val="244061"/>
        <w:sz w:val="44"/>
        <w:szCs w:val="44"/>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44"/>
        <w:szCs w:val="44"/>
        <w14:shadow w14:blurRad="50800" w14:dist="38100" w14:dir="2700000" w14:sx="100000" w14:sy="100000" w14:kx="0" w14:ky="0" w14:algn="tl">
          <w14:srgbClr w14:val="000000">
            <w14:alpha w14:val="60000"/>
          </w14:srgbClr>
        </w14:shadow>
      </w:rPr>
      <w:t>News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EB92" w14:textId="29A799F0" w:rsidR="0090527B" w:rsidRDefault="0090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6pt;height:500.5pt;visibility:visible;mso-wrap-style:square" o:bullet="t">
        <v:imagedata r:id="rId1" o:title=""/>
      </v:shape>
    </w:pict>
  </w:numPicBullet>
  <w:abstractNum w:abstractNumId="0" w15:restartNumberingAfterBreak="0">
    <w:nsid w:val="429E6EF9"/>
    <w:multiLevelType w:val="multilevel"/>
    <w:tmpl w:val="29F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55FA1"/>
    <w:multiLevelType w:val="hybridMultilevel"/>
    <w:tmpl w:val="BCF48EAE"/>
    <w:lvl w:ilvl="0" w:tplc="1AB04B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104711">
    <w:abstractNumId w:val="1"/>
  </w:num>
  <w:num w:numId="2" w16cid:durableId="4269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C1"/>
    <w:rsid w:val="0000035C"/>
    <w:rsid w:val="000005B6"/>
    <w:rsid w:val="000005EF"/>
    <w:rsid w:val="00000A0A"/>
    <w:rsid w:val="00000BE4"/>
    <w:rsid w:val="00000F87"/>
    <w:rsid w:val="0000199C"/>
    <w:rsid w:val="00001F19"/>
    <w:rsid w:val="0000290B"/>
    <w:rsid w:val="00002A08"/>
    <w:rsid w:val="00003329"/>
    <w:rsid w:val="00003421"/>
    <w:rsid w:val="000034B3"/>
    <w:rsid w:val="00003C95"/>
    <w:rsid w:val="00003D95"/>
    <w:rsid w:val="00003E7C"/>
    <w:rsid w:val="000042E9"/>
    <w:rsid w:val="00005014"/>
    <w:rsid w:val="00005119"/>
    <w:rsid w:val="00005271"/>
    <w:rsid w:val="000052F0"/>
    <w:rsid w:val="00005673"/>
    <w:rsid w:val="00005703"/>
    <w:rsid w:val="000057D2"/>
    <w:rsid w:val="00005CE9"/>
    <w:rsid w:val="00006527"/>
    <w:rsid w:val="000065F4"/>
    <w:rsid w:val="000072EC"/>
    <w:rsid w:val="0000751E"/>
    <w:rsid w:val="000075ED"/>
    <w:rsid w:val="0000769C"/>
    <w:rsid w:val="00007D6A"/>
    <w:rsid w:val="00007FB2"/>
    <w:rsid w:val="000102A1"/>
    <w:rsid w:val="000102E8"/>
    <w:rsid w:val="00010447"/>
    <w:rsid w:val="0001067C"/>
    <w:rsid w:val="00010B1D"/>
    <w:rsid w:val="00011176"/>
    <w:rsid w:val="000111C5"/>
    <w:rsid w:val="000114B1"/>
    <w:rsid w:val="00011D4B"/>
    <w:rsid w:val="00011E5B"/>
    <w:rsid w:val="00012B74"/>
    <w:rsid w:val="00012BA7"/>
    <w:rsid w:val="00012DCA"/>
    <w:rsid w:val="00012E19"/>
    <w:rsid w:val="00012E28"/>
    <w:rsid w:val="000132A0"/>
    <w:rsid w:val="00013575"/>
    <w:rsid w:val="000135BF"/>
    <w:rsid w:val="00013853"/>
    <w:rsid w:val="00013B16"/>
    <w:rsid w:val="00013CD9"/>
    <w:rsid w:val="00013E21"/>
    <w:rsid w:val="00014028"/>
    <w:rsid w:val="00014115"/>
    <w:rsid w:val="00014240"/>
    <w:rsid w:val="0001441B"/>
    <w:rsid w:val="00014631"/>
    <w:rsid w:val="00014657"/>
    <w:rsid w:val="000148ED"/>
    <w:rsid w:val="00014AFE"/>
    <w:rsid w:val="00015455"/>
    <w:rsid w:val="000158C2"/>
    <w:rsid w:val="00015915"/>
    <w:rsid w:val="000159C6"/>
    <w:rsid w:val="00015A48"/>
    <w:rsid w:val="00015B43"/>
    <w:rsid w:val="000165BE"/>
    <w:rsid w:val="000166D7"/>
    <w:rsid w:val="0001694F"/>
    <w:rsid w:val="00016C87"/>
    <w:rsid w:val="00016CDC"/>
    <w:rsid w:val="00016E17"/>
    <w:rsid w:val="00017008"/>
    <w:rsid w:val="000171BC"/>
    <w:rsid w:val="000173BA"/>
    <w:rsid w:val="0001791D"/>
    <w:rsid w:val="00017CA2"/>
    <w:rsid w:val="00017D66"/>
    <w:rsid w:val="00020261"/>
    <w:rsid w:val="000202B3"/>
    <w:rsid w:val="000202FE"/>
    <w:rsid w:val="000203F6"/>
    <w:rsid w:val="000207FB"/>
    <w:rsid w:val="00020D00"/>
    <w:rsid w:val="0002143C"/>
    <w:rsid w:val="0002181A"/>
    <w:rsid w:val="000225BB"/>
    <w:rsid w:val="000225EE"/>
    <w:rsid w:val="0002265E"/>
    <w:rsid w:val="0002269F"/>
    <w:rsid w:val="00022775"/>
    <w:rsid w:val="0002291B"/>
    <w:rsid w:val="000229C8"/>
    <w:rsid w:val="00022CCE"/>
    <w:rsid w:val="00022FB9"/>
    <w:rsid w:val="0002372C"/>
    <w:rsid w:val="00023B87"/>
    <w:rsid w:val="00023E2E"/>
    <w:rsid w:val="00023FBB"/>
    <w:rsid w:val="0002416C"/>
    <w:rsid w:val="00025142"/>
    <w:rsid w:val="00025796"/>
    <w:rsid w:val="00025A1E"/>
    <w:rsid w:val="00025AD9"/>
    <w:rsid w:val="00025B8F"/>
    <w:rsid w:val="00026E35"/>
    <w:rsid w:val="00026FAE"/>
    <w:rsid w:val="0002715B"/>
    <w:rsid w:val="00027AC3"/>
    <w:rsid w:val="00027B21"/>
    <w:rsid w:val="00027C1C"/>
    <w:rsid w:val="00027D1D"/>
    <w:rsid w:val="00027E7C"/>
    <w:rsid w:val="00030002"/>
    <w:rsid w:val="0003000F"/>
    <w:rsid w:val="000305BA"/>
    <w:rsid w:val="00030663"/>
    <w:rsid w:val="0003082E"/>
    <w:rsid w:val="0003092A"/>
    <w:rsid w:val="00030ADE"/>
    <w:rsid w:val="00030B98"/>
    <w:rsid w:val="00030B99"/>
    <w:rsid w:val="00030E87"/>
    <w:rsid w:val="00031218"/>
    <w:rsid w:val="00031336"/>
    <w:rsid w:val="00031909"/>
    <w:rsid w:val="00031E46"/>
    <w:rsid w:val="000320DC"/>
    <w:rsid w:val="000322AB"/>
    <w:rsid w:val="000327BA"/>
    <w:rsid w:val="00032BD9"/>
    <w:rsid w:val="0003313C"/>
    <w:rsid w:val="00033349"/>
    <w:rsid w:val="0003344C"/>
    <w:rsid w:val="000341CF"/>
    <w:rsid w:val="0003447E"/>
    <w:rsid w:val="0003499B"/>
    <w:rsid w:val="00034BCE"/>
    <w:rsid w:val="00034E8C"/>
    <w:rsid w:val="00035436"/>
    <w:rsid w:val="0003552B"/>
    <w:rsid w:val="00035B23"/>
    <w:rsid w:val="00035CA7"/>
    <w:rsid w:val="00035D82"/>
    <w:rsid w:val="00035DBD"/>
    <w:rsid w:val="00036510"/>
    <w:rsid w:val="00036A16"/>
    <w:rsid w:val="000373F3"/>
    <w:rsid w:val="0003742D"/>
    <w:rsid w:val="000374FF"/>
    <w:rsid w:val="000375C8"/>
    <w:rsid w:val="000378F6"/>
    <w:rsid w:val="000379EB"/>
    <w:rsid w:val="00037AE9"/>
    <w:rsid w:val="00037BAB"/>
    <w:rsid w:val="00037BE4"/>
    <w:rsid w:val="00040013"/>
    <w:rsid w:val="0004012E"/>
    <w:rsid w:val="0004019A"/>
    <w:rsid w:val="000401A1"/>
    <w:rsid w:val="00040734"/>
    <w:rsid w:val="00040B83"/>
    <w:rsid w:val="00040CA3"/>
    <w:rsid w:val="000416FC"/>
    <w:rsid w:val="00041AC8"/>
    <w:rsid w:val="00041BDC"/>
    <w:rsid w:val="0004243E"/>
    <w:rsid w:val="000427D5"/>
    <w:rsid w:val="00042CCD"/>
    <w:rsid w:val="00043342"/>
    <w:rsid w:val="000435DE"/>
    <w:rsid w:val="00043A2D"/>
    <w:rsid w:val="00043ED2"/>
    <w:rsid w:val="00044018"/>
    <w:rsid w:val="00044148"/>
    <w:rsid w:val="00044204"/>
    <w:rsid w:val="00044475"/>
    <w:rsid w:val="00044C33"/>
    <w:rsid w:val="000452E2"/>
    <w:rsid w:val="00045745"/>
    <w:rsid w:val="0004575D"/>
    <w:rsid w:val="000457B4"/>
    <w:rsid w:val="00045D5B"/>
    <w:rsid w:val="00045DDF"/>
    <w:rsid w:val="0004601F"/>
    <w:rsid w:val="00046375"/>
    <w:rsid w:val="00046777"/>
    <w:rsid w:val="00046C42"/>
    <w:rsid w:val="00046CCE"/>
    <w:rsid w:val="0004702B"/>
    <w:rsid w:val="0004733A"/>
    <w:rsid w:val="00047608"/>
    <w:rsid w:val="00050249"/>
    <w:rsid w:val="000507C3"/>
    <w:rsid w:val="00050920"/>
    <w:rsid w:val="0005105D"/>
    <w:rsid w:val="000515F0"/>
    <w:rsid w:val="00051791"/>
    <w:rsid w:val="000518A6"/>
    <w:rsid w:val="000519EA"/>
    <w:rsid w:val="00051B61"/>
    <w:rsid w:val="00051F32"/>
    <w:rsid w:val="000523FE"/>
    <w:rsid w:val="00052436"/>
    <w:rsid w:val="000529B6"/>
    <w:rsid w:val="00052AD4"/>
    <w:rsid w:val="00052BA6"/>
    <w:rsid w:val="00053F21"/>
    <w:rsid w:val="00054462"/>
    <w:rsid w:val="0005460C"/>
    <w:rsid w:val="00055EAD"/>
    <w:rsid w:val="00056696"/>
    <w:rsid w:val="000566A1"/>
    <w:rsid w:val="00056809"/>
    <w:rsid w:val="00056DB0"/>
    <w:rsid w:val="000570FC"/>
    <w:rsid w:val="0005783A"/>
    <w:rsid w:val="000579A8"/>
    <w:rsid w:val="00057C03"/>
    <w:rsid w:val="00057FA2"/>
    <w:rsid w:val="0006026C"/>
    <w:rsid w:val="0006036B"/>
    <w:rsid w:val="00060AC6"/>
    <w:rsid w:val="00060BB0"/>
    <w:rsid w:val="00060F00"/>
    <w:rsid w:val="0006109A"/>
    <w:rsid w:val="0006141D"/>
    <w:rsid w:val="00061A5F"/>
    <w:rsid w:val="00061B9D"/>
    <w:rsid w:val="00061FEF"/>
    <w:rsid w:val="00062740"/>
    <w:rsid w:val="00062834"/>
    <w:rsid w:val="00062B47"/>
    <w:rsid w:val="00062F98"/>
    <w:rsid w:val="0006320B"/>
    <w:rsid w:val="00063C19"/>
    <w:rsid w:val="000646B3"/>
    <w:rsid w:val="0006490C"/>
    <w:rsid w:val="00064C77"/>
    <w:rsid w:val="00064E8C"/>
    <w:rsid w:val="00064EB7"/>
    <w:rsid w:val="00064EF7"/>
    <w:rsid w:val="0006514E"/>
    <w:rsid w:val="000652C1"/>
    <w:rsid w:val="00065458"/>
    <w:rsid w:val="00066145"/>
    <w:rsid w:val="0006622F"/>
    <w:rsid w:val="00066787"/>
    <w:rsid w:val="00066A42"/>
    <w:rsid w:val="00066B48"/>
    <w:rsid w:val="00067279"/>
    <w:rsid w:val="000672F8"/>
    <w:rsid w:val="0006730B"/>
    <w:rsid w:val="000678A4"/>
    <w:rsid w:val="00067942"/>
    <w:rsid w:val="00067D4E"/>
    <w:rsid w:val="00067D5B"/>
    <w:rsid w:val="000702DB"/>
    <w:rsid w:val="00070948"/>
    <w:rsid w:val="00070A7A"/>
    <w:rsid w:val="00071178"/>
    <w:rsid w:val="0007155B"/>
    <w:rsid w:val="000719B7"/>
    <w:rsid w:val="00071A86"/>
    <w:rsid w:val="00071BD9"/>
    <w:rsid w:val="00071DB1"/>
    <w:rsid w:val="0007203F"/>
    <w:rsid w:val="0007204B"/>
    <w:rsid w:val="00072F47"/>
    <w:rsid w:val="00073808"/>
    <w:rsid w:val="00074396"/>
    <w:rsid w:val="0007446E"/>
    <w:rsid w:val="00074745"/>
    <w:rsid w:val="00074951"/>
    <w:rsid w:val="00074F67"/>
    <w:rsid w:val="0007521F"/>
    <w:rsid w:val="000752E8"/>
    <w:rsid w:val="000755B8"/>
    <w:rsid w:val="00075D05"/>
    <w:rsid w:val="00075D4B"/>
    <w:rsid w:val="0007679E"/>
    <w:rsid w:val="00077371"/>
    <w:rsid w:val="00077C0C"/>
    <w:rsid w:val="00080116"/>
    <w:rsid w:val="00080675"/>
    <w:rsid w:val="000808F9"/>
    <w:rsid w:val="00080A6B"/>
    <w:rsid w:val="00080EE8"/>
    <w:rsid w:val="0008125C"/>
    <w:rsid w:val="00081277"/>
    <w:rsid w:val="000813E4"/>
    <w:rsid w:val="00081417"/>
    <w:rsid w:val="0008159C"/>
    <w:rsid w:val="0008195B"/>
    <w:rsid w:val="00081CFF"/>
    <w:rsid w:val="0008258A"/>
    <w:rsid w:val="00082DF6"/>
    <w:rsid w:val="00082E64"/>
    <w:rsid w:val="0008303B"/>
    <w:rsid w:val="00083231"/>
    <w:rsid w:val="000834AE"/>
    <w:rsid w:val="00083FAC"/>
    <w:rsid w:val="0008405B"/>
    <w:rsid w:val="00084760"/>
    <w:rsid w:val="00085268"/>
    <w:rsid w:val="00085475"/>
    <w:rsid w:val="0008576B"/>
    <w:rsid w:val="000858D1"/>
    <w:rsid w:val="000859AA"/>
    <w:rsid w:val="00085A04"/>
    <w:rsid w:val="00085C5D"/>
    <w:rsid w:val="00085CCC"/>
    <w:rsid w:val="00085DA5"/>
    <w:rsid w:val="000863E2"/>
    <w:rsid w:val="000864A2"/>
    <w:rsid w:val="0008668D"/>
    <w:rsid w:val="00086F97"/>
    <w:rsid w:val="00087308"/>
    <w:rsid w:val="00087474"/>
    <w:rsid w:val="0008785C"/>
    <w:rsid w:val="00087A3E"/>
    <w:rsid w:val="00090233"/>
    <w:rsid w:val="000906FB"/>
    <w:rsid w:val="000907E5"/>
    <w:rsid w:val="00091245"/>
    <w:rsid w:val="0009145E"/>
    <w:rsid w:val="00091EAA"/>
    <w:rsid w:val="00092238"/>
    <w:rsid w:val="0009266A"/>
    <w:rsid w:val="00092AEC"/>
    <w:rsid w:val="000933A6"/>
    <w:rsid w:val="00093CB7"/>
    <w:rsid w:val="0009414D"/>
    <w:rsid w:val="00094388"/>
    <w:rsid w:val="00094B31"/>
    <w:rsid w:val="00094FC6"/>
    <w:rsid w:val="0009514E"/>
    <w:rsid w:val="0009515F"/>
    <w:rsid w:val="000951E1"/>
    <w:rsid w:val="000954DD"/>
    <w:rsid w:val="000955AC"/>
    <w:rsid w:val="00095653"/>
    <w:rsid w:val="000957EA"/>
    <w:rsid w:val="00095818"/>
    <w:rsid w:val="00095974"/>
    <w:rsid w:val="00095B4D"/>
    <w:rsid w:val="00095EE7"/>
    <w:rsid w:val="000966BB"/>
    <w:rsid w:val="00096800"/>
    <w:rsid w:val="00096BBF"/>
    <w:rsid w:val="00096C4B"/>
    <w:rsid w:val="0009792A"/>
    <w:rsid w:val="00097B79"/>
    <w:rsid w:val="00097E17"/>
    <w:rsid w:val="000A0040"/>
    <w:rsid w:val="000A02AD"/>
    <w:rsid w:val="000A0B38"/>
    <w:rsid w:val="000A1199"/>
    <w:rsid w:val="000A11BD"/>
    <w:rsid w:val="000A22E9"/>
    <w:rsid w:val="000A241E"/>
    <w:rsid w:val="000A2810"/>
    <w:rsid w:val="000A289B"/>
    <w:rsid w:val="000A29BA"/>
    <w:rsid w:val="000A2C52"/>
    <w:rsid w:val="000A2E37"/>
    <w:rsid w:val="000A36D0"/>
    <w:rsid w:val="000A3B1E"/>
    <w:rsid w:val="000A41D4"/>
    <w:rsid w:val="000A421F"/>
    <w:rsid w:val="000A4BCB"/>
    <w:rsid w:val="000A4BE4"/>
    <w:rsid w:val="000A5077"/>
    <w:rsid w:val="000A50F2"/>
    <w:rsid w:val="000A534D"/>
    <w:rsid w:val="000A5ABE"/>
    <w:rsid w:val="000A5B0D"/>
    <w:rsid w:val="000A60E1"/>
    <w:rsid w:val="000A60F4"/>
    <w:rsid w:val="000A61FB"/>
    <w:rsid w:val="000A7A40"/>
    <w:rsid w:val="000A7AD6"/>
    <w:rsid w:val="000A7C5A"/>
    <w:rsid w:val="000B001D"/>
    <w:rsid w:val="000B015F"/>
    <w:rsid w:val="000B0274"/>
    <w:rsid w:val="000B038E"/>
    <w:rsid w:val="000B08CB"/>
    <w:rsid w:val="000B08D1"/>
    <w:rsid w:val="000B0A95"/>
    <w:rsid w:val="000B0ADF"/>
    <w:rsid w:val="000B0C23"/>
    <w:rsid w:val="000B18C2"/>
    <w:rsid w:val="000B1AAB"/>
    <w:rsid w:val="000B1C18"/>
    <w:rsid w:val="000B1C59"/>
    <w:rsid w:val="000B2C16"/>
    <w:rsid w:val="000B2FC7"/>
    <w:rsid w:val="000B310F"/>
    <w:rsid w:val="000B318E"/>
    <w:rsid w:val="000B38C0"/>
    <w:rsid w:val="000B3DAA"/>
    <w:rsid w:val="000B3EEB"/>
    <w:rsid w:val="000B466E"/>
    <w:rsid w:val="000B4681"/>
    <w:rsid w:val="000B4763"/>
    <w:rsid w:val="000B4E20"/>
    <w:rsid w:val="000B4EDC"/>
    <w:rsid w:val="000B5120"/>
    <w:rsid w:val="000B515F"/>
    <w:rsid w:val="000B5605"/>
    <w:rsid w:val="000B57AA"/>
    <w:rsid w:val="000B5AF8"/>
    <w:rsid w:val="000B5F2C"/>
    <w:rsid w:val="000B6184"/>
    <w:rsid w:val="000B6843"/>
    <w:rsid w:val="000B6EB2"/>
    <w:rsid w:val="000B706F"/>
    <w:rsid w:val="000B77F8"/>
    <w:rsid w:val="000B78CC"/>
    <w:rsid w:val="000B7AE2"/>
    <w:rsid w:val="000B7DAF"/>
    <w:rsid w:val="000C0203"/>
    <w:rsid w:val="000C041C"/>
    <w:rsid w:val="000C091B"/>
    <w:rsid w:val="000C0F48"/>
    <w:rsid w:val="000C0F5C"/>
    <w:rsid w:val="000C1356"/>
    <w:rsid w:val="000C18D0"/>
    <w:rsid w:val="000C1BE5"/>
    <w:rsid w:val="000C1FB5"/>
    <w:rsid w:val="000C200D"/>
    <w:rsid w:val="000C20E9"/>
    <w:rsid w:val="000C2555"/>
    <w:rsid w:val="000C25C3"/>
    <w:rsid w:val="000C2DF1"/>
    <w:rsid w:val="000C35ED"/>
    <w:rsid w:val="000C3692"/>
    <w:rsid w:val="000C37AC"/>
    <w:rsid w:val="000C3987"/>
    <w:rsid w:val="000C3B1F"/>
    <w:rsid w:val="000C43D9"/>
    <w:rsid w:val="000C44B7"/>
    <w:rsid w:val="000C458C"/>
    <w:rsid w:val="000C4D1E"/>
    <w:rsid w:val="000C5329"/>
    <w:rsid w:val="000C5410"/>
    <w:rsid w:val="000C5D43"/>
    <w:rsid w:val="000C5F42"/>
    <w:rsid w:val="000C60E6"/>
    <w:rsid w:val="000C6548"/>
    <w:rsid w:val="000C6591"/>
    <w:rsid w:val="000C6D2E"/>
    <w:rsid w:val="000C709F"/>
    <w:rsid w:val="000C72CA"/>
    <w:rsid w:val="000C7872"/>
    <w:rsid w:val="000C7AFF"/>
    <w:rsid w:val="000C7BA9"/>
    <w:rsid w:val="000C7C7C"/>
    <w:rsid w:val="000C7CAA"/>
    <w:rsid w:val="000D0476"/>
    <w:rsid w:val="000D04C1"/>
    <w:rsid w:val="000D0624"/>
    <w:rsid w:val="000D0DF7"/>
    <w:rsid w:val="000D0E50"/>
    <w:rsid w:val="000D1171"/>
    <w:rsid w:val="000D13A6"/>
    <w:rsid w:val="000D1950"/>
    <w:rsid w:val="000D2113"/>
    <w:rsid w:val="000D2266"/>
    <w:rsid w:val="000D26DD"/>
    <w:rsid w:val="000D2736"/>
    <w:rsid w:val="000D2C27"/>
    <w:rsid w:val="000D2CF4"/>
    <w:rsid w:val="000D30E7"/>
    <w:rsid w:val="000D35F7"/>
    <w:rsid w:val="000D3646"/>
    <w:rsid w:val="000D3760"/>
    <w:rsid w:val="000D3BCC"/>
    <w:rsid w:val="000D43AC"/>
    <w:rsid w:val="000D44DB"/>
    <w:rsid w:val="000D4645"/>
    <w:rsid w:val="000D467B"/>
    <w:rsid w:val="000D58C9"/>
    <w:rsid w:val="000D5DA8"/>
    <w:rsid w:val="000D5F42"/>
    <w:rsid w:val="000D62F3"/>
    <w:rsid w:val="000D6630"/>
    <w:rsid w:val="000D682D"/>
    <w:rsid w:val="000D7E24"/>
    <w:rsid w:val="000D7EAD"/>
    <w:rsid w:val="000E06CA"/>
    <w:rsid w:val="000E07FC"/>
    <w:rsid w:val="000E0B79"/>
    <w:rsid w:val="000E0C92"/>
    <w:rsid w:val="000E0D69"/>
    <w:rsid w:val="000E0ECF"/>
    <w:rsid w:val="000E0F57"/>
    <w:rsid w:val="000E12A8"/>
    <w:rsid w:val="000E184E"/>
    <w:rsid w:val="000E1A44"/>
    <w:rsid w:val="000E1DE0"/>
    <w:rsid w:val="000E21D3"/>
    <w:rsid w:val="000E247B"/>
    <w:rsid w:val="000E247C"/>
    <w:rsid w:val="000E27E9"/>
    <w:rsid w:val="000E2A6C"/>
    <w:rsid w:val="000E2DC9"/>
    <w:rsid w:val="000E2E4B"/>
    <w:rsid w:val="000E2FF1"/>
    <w:rsid w:val="000E3DFD"/>
    <w:rsid w:val="000E4477"/>
    <w:rsid w:val="000E45E9"/>
    <w:rsid w:val="000E4A24"/>
    <w:rsid w:val="000E5217"/>
    <w:rsid w:val="000E57D0"/>
    <w:rsid w:val="000E5C17"/>
    <w:rsid w:val="000E6471"/>
    <w:rsid w:val="000E69A5"/>
    <w:rsid w:val="000E721B"/>
    <w:rsid w:val="000E74D2"/>
    <w:rsid w:val="000E789D"/>
    <w:rsid w:val="000F0055"/>
    <w:rsid w:val="000F0481"/>
    <w:rsid w:val="000F04BF"/>
    <w:rsid w:val="000F0699"/>
    <w:rsid w:val="000F078E"/>
    <w:rsid w:val="000F0BA2"/>
    <w:rsid w:val="000F0F98"/>
    <w:rsid w:val="000F1485"/>
    <w:rsid w:val="000F19E1"/>
    <w:rsid w:val="000F1B61"/>
    <w:rsid w:val="000F2032"/>
    <w:rsid w:val="000F22ED"/>
    <w:rsid w:val="000F2362"/>
    <w:rsid w:val="000F239E"/>
    <w:rsid w:val="000F35A9"/>
    <w:rsid w:val="000F377A"/>
    <w:rsid w:val="000F3964"/>
    <w:rsid w:val="000F3BFE"/>
    <w:rsid w:val="000F3C1E"/>
    <w:rsid w:val="000F3DE4"/>
    <w:rsid w:val="000F3EC1"/>
    <w:rsid w:val="000F40FF"/>
    <w:rsid w:val="000F4C32"/>
    <w:rsid w:val="000F4C9B"/>
    <w:rsid w:val="000F52A7"/>
    <w:rsid w:val="000F58A1"/>
    <w:rsid w:val="000F5AA4"/>
    <w:rsid w:val="000F5AC6"/>
    <w:rsid w:val="000F5C5A"/>
    <w:rsid w:val="000F5D25"/>
    <w:rsid w:val="000F613C"/>
    <w:rsid w:val="000F6985"/>
    <w:rsid w:val="000F6C6C"/>
    <w:rsid w:val="000F715A"/>
    <w:rsid w:val="000F72CB"/>
    <w:rsid w:val="000F73FC"/>
    <w:rsid w:val="000F7AE5"/>
    <w:rsid w:val="000F7B5F"/>
    <w:rsid w:val="001007E8"/>
    <w:rsid w:val="0010093F"/>
    <w:rsid w:val="00100AA8"/>
    <w:rsid w:val="00100B3E"/>
    <w:rsid w:val="0010109D"/>
    <w:rsid w:val="001012E9"/>
    <w:rsid w:val="00101327"/>
    <w:rsid w:val="001017B0"/>
    <w:rsid w:val="0010229B"/>
    <w:rsid w:val="00102869"/>
    <w:rsid w:val="00102BB5"/>
    <w:rsid w:val="001036A5"/>
    <w:rsid w:val="001044CC"/>
    <w:rsid w:val="00104591"/>
    <w:rsid w:val="00104765"/>
    <w:rsid w:val="00104B62"/>
    <w:rsid w:val="00104CAF"/>
    <w:rsid w:val="00104F3E"/>
    <w:rsid w:val="00105230"/>
    <w:rsid w:val="001054D4"/>
    <w:rsid w:val="00105520"/>
    <w:rsid w:val="0010589B"/>
    <w:rsid w:val="00105BB1"/>
    <w:rsid w:val="00105C0B"/>
    <w:rsid w:val="00105CAF"/>
    <w:rsid w:val="0010629A"/>
    <w:rsid w:val="00106609"/>
    <w:rsid w:val="00106691"/>
    <w:rsid w:val="00107637"/>
    <w:rsid w:val="001079F5"/>
    <w:rsid w:val="00107BCE"/>
    <w:rsid w:val="00107E98"/>
    <w:rsid w:val="00110139"/>
    <w:rsid w:val="00110B0E"/>
    <w:rsid w:val="00110D86"/>
    <w:rsid w:val="00110E83"/>
    <w:rsid w:val="00110F6A"/>
    <w:rsid w:val="00111092"/>
    <w:rsid w:val="00111226"/>
    <w:rsid w:val="00111231"/>
    <w:rsid w:val="00111769"/>
    <w:rsid w:val="00111903"/>
    <w:rsid w:val="001119E0"/>
    <w:rsid w:val="00111B11"/>
    <w:rsid w:val="001122A8"/>
    <w:rsid w:val="00112340"/>
    <w:rsid w:val="00112FE4"/>
    <w:rsid w:val="0011301C"/>
    <w:rsid w:val="0011309C"/>
    <w:rsid w:val="00113644"/>
    <w:rsid w:val="00113D17"/>
    <w:rsid w:val="00113E55"/>
    <w:rsid w:val="00113F26"/>
    <w:rsid w:val="0011452F"/>
    <w:rsid w:val="001146D7"/>
    <w:rsid w:val="00114791"/>
    <w:rsid w:val="001149FA"/>
    <w:rsid w:val="00114A1E"/>
    <w:rsid w:val="00114AB9"/>
    <w:rsid w:val="00114DA9"/>
    <w:rsid w:val="00114EBA"/>
    <w:rsid w:val="00114EE4"/>
    <w:rsid w:val="00114F6B"/>
    <w:rsid w:val="0011546D"/>
    <w:rsid w:val="001155CF"/>
    <w:rsid w:val="00115872"/>
    <w:rsid w:val="00116043"/>
    <w:rsid w:val="001160C4"/>
    <w:rsid w:val="00116463"/>
    <w:rsid w:val="00116637"/>
    <w:rsid w:val="001168CC"/>
    <w:rsid w:val="001169DD"/>
    <w:rsid w:val="0011771E"/>
    <w:rsid w:val="001200DD"/>
    <w:rsid w:val="0012045D"/>
    <w:rsid w:val="001209AC"/>
    <w:rsid w:val="00120B32"/>
    <w:rsid w:val="0012143F"/>
    <w:rsid w:val="00122124"/>
    <w:rsid w:val="001221E3"/>
    <w:rsid w:val="0012226D"/>
    <w:rsid w:val="001226DB"/>
    <w:rsid w:val="0012281C"/>
    <w:rsid w:val="00122966"/>
    <w:rsid w:val="00122EC3"/>
    <w:rsid w:val="00123512"/>
    <w:rsid w:val="00123811"/>
    <w:rsid w:val="00123C6D"/>
    <w:rsid w:val="00123FBB"/>
    <w:rsid w:val="001241B1"/>
    <w:rsid w:val="00124603"/>
    <w:rsid w:val="0012477A"/>
    <w:rsid w:val="00124CBF"/>
    <w:rsid w:val="00124FE3"/>
    <w:rsid w:val="0012683D"/>
    <w:rsid w:val="00126CCD"/>
    <w:rsid w:val="00126E8C"/>
    <w:rsid w:val="00127081"/>
    <w:rsid w:val="001271F3"/>
    <w:rsid w:val="0012736E"/>
    <w:rsid w:val="00127A3E"/>
    <w:rsid w:val="00130301"/>
    <w:rsid w:val="001304D0"/>
    <w:rsid w:val="00130543"/>
    <w:rsid w:val="00130B6B"/>
    <w:rsid w:val="00130BE9"/>
    <w:rsid w:val="00130D1C"/>
    <w:rsid w:val="001314D3"/>
    <w:rsid w:val="001314E0"/>
    <w:rsid w:val="0013190B"/>
    <w:rsid w:val="00131942"/>
    <w:rsid w:val="00131B41"/>
    <w:rsid w:val="00131B76"/>
    <w:rsid w:val="00131CFA"/>
    <w:rsid w:val="00131D4C"/>
    <w:rsid w:val="001325E6"/>
    <w:rsid w:val="0013261A"/>
    <w:rsid w:val="00132657"/>
    <w:rsid w:val="00132D15"/>
    <w:rsid w:val="001338F8"/>
    <w:rsid w:val="00134027"/>
    <w:rsid w:val="0013460E"/>
    <w:rsid w:val="00134DB3"/>
    <w:rsid w:val="00134DB5"/>
    <w:rsid w:val="00135434"/>
    <w:rsid w:val="00135B8B"/>
    <w:rsid w:val="00135D8F"/>
    <w:rsid w:val="00136298"/>
    <w:rsid w:val="00136887"/>
    <w:rsid w:val="00136EE3"/>
    <w:rsid w:val="00136FC4"/>
    <w:rsid w:val="001370F3"/>
    <w:rsid w:val="001373C5"/>
    <w:rsid w:val="00137599"/>
    <w:rsid w:val="001375C8"/>
    <w:rsid w:val="00137605"/>
    <w:rsid w:val="00137C23"/>
    <w:rsid w:val="00137EA2"/>
    <w:rsid w:val="00140395"/>
    <w:rsid w:val="00140724"/>
    <w:rsid w:val="0014076F"/>
    <w:rsid w:val="00140EF1"/>
    <w:rsid w:val="0014109C"/>
    <w:rsid w:val="001410D6"/>
    <w:rsid w:val="00141635"/>
    <w:rsid w:val="00141796"/>
    <w:rsid w:val="001429B9"/>
    <w:rsid w:val="00142EAA"/>
    <w:rsid w:val="001440DF"/>
    <w:rsid w:val="00144258"/>
    <w:rsid w:val="00144425"/>
    <w:rsid w:val="0014519F"/>
    <w:rsid w:val="00145426"/>
    <w:rsid w:val="001455B3"/>
    <w:rsid w:val="00145984"/>
    <w:rsid w:val="001459AF"/>
    <w:rsid w:val="00145A91"/>
    <w:rsid w:val="00145B63"/>
    <w:rsid w:val="00145CFD"/>
    <w:rsid w:val="00145DFA"/>
    <w:rsid w:val="00145F58"/>
    <w:rsid w:val="00146059"/>
    <w:rsid w:val="001460E1"/>
    <w:rsid w:val="00146C32"/>
    <w:rsid w:val="00147177"/>
    <w:rsid w:val="001473E8"/>
    <w:rsid w:val="001474FC"/>
    <w:rsid w:val="00147874"/>
    <w:rsid w:val="00147DEE"/>
    <w:rsid w:val="00147E5F"/>
    <w:rsid w:val="00150038"/>
    <w:rsid w:val="00150095"/>
    <w:rsid w:val="00150374"/>
    <w:rsid w:val="00150648"/>
    <w:rsid w:val="001507BD"/>
    <w:rsid w:val="001508D4"/>
    <w:rsid w:val="001509A6"/>
    <w:rsid w:val="00150AB6"/>
    <w:rsid w:val="0015194F"/>
    <w:rsid w:val="00151AA3"/>
    <w:rsid w:val="0015213C"/>
    <w:rsid w:val="001521A6"/>
    <w:rsid w:val="00153126"/>
    <w:rsid w:val="00153942"/>
    <w:rsid w:val="00153ECC"/>
    <w:rsid w:val="00154281"/>
    <w:rsid w:val="0015493E"/>
    <w:rsid w:val="0015496C"/>
    <w:rsid w:val="00154F9D"/>
    <w:rsid w:val="00155081"/>
    <w:rsid w:val="001552E6"/>
    <w:rsid w:val="0015546F"/>
    <w:rsid w:val="00155BD9"/>
    <w:rsid w:val="00155D5A"/>
    <w:rsid w:val="00156078"/>
    <w:rsid w:val="00156870"/>
    <w:rsid w:val="00156AAF"/>
    <w:rsid w:val="00156CE9"/>
    <w:rsid w:val="00157445"/>
    <w:rsid w:val="001575AB"/>
    <w:rsid w:val="001576F9"/>
    <w:rsid w:val="00157760"/>
    <w:rsid w:val="00157B8C"/>
    <w:rsid w:val="00157C96"/>
    <w:rsid w:val="00160A03"/>
    <w:rsid w:val="00160C3F"/>
    <w:rsid w:val="00160C4D"/>
    <w:rsid w:val="00160CE3"/>
    <w:rsid w:val="00161702"/>
    <w:rsid w:val="00161AC5"/>
    <w:rsid w:val="00162022"/>
    <w:rsid w:val="0016202E"/>
    <w:rsid w:val="001620E8"/>
    <w:rsid w:val="00162453"/>
    <w:rsid w:val="00162626"/>
    <w:rsid w:val="00162C56"/>
    <w:rsid w:val="0016413C"/>
    <w:rsid w:val="001642D5"/>
    <w:rsid w:val="00164CA0"/>
    <w:rsid w:val="00164FB6"/>
    <w:rsid w:val="001650FE"/>
    <w:rsid w:val="001655B0"/>
    <w:rsid w:val="001655B4"/>
    <w:rsid w:val="001655F0"/>
    <w:rsid w:val="00165695"/>
    <w:rsid w:val="0016571D"/>
    <w:rsid w:val="00165736"/>
    <w:rsid w:val="001659BD"/>
    <w:rsid w:val="001659E9"/>
    <w:rsid w:val="0016613D"/>
    <w:rsid w:val="00166557"/>
    <w:rsid w:val="00166961"/>
    <w:rsid w:val="00166A99"/>
    <w:rsid w:val="00166B54"/>
    <w:rsid w:val="00166B7F"/>
    <w:rsid w:val="00166E75"/>
    <w:rsid w:val="00166FC3"/>
    <w:rsid w:val="00167172"/>
    <w:rsid w:val="00167697"/>
    <w:rsid w:val="0016788F"/>
    <w:rsid w:val="001678DC"/>
    <w:rsid w:val="00167A77"/>
    <w:rsid w:val="00167B77"/>
    <w:rsid w:val="00167C18"/>
    <w:rsid w:val="001705BD"/>
    <w:rsid w:val="00170609"/>
    <w:rsid w:val="00170759"/>
    <w:rsid w:val="001709F6"/>
    <w:rsid w:val="00170A84"/>
    <w:rsid w:val="00170FE8"/>
    <w:rsid w:val="0017100D"/>
    <w:rsid w:val="001714C4"/>
    <w:rsid w:val="00171709"/>
    <w:rsid w:val="00171736"/>
    <w:rsid w:val="001719DC"/>
    <w:rsid w:val="00171B78"/>
    <w:rsid w:val="00171F52"/>
    <w:rsid w:val="0017278A"/>
    <w:rsid w:val="001731F8"/>
    <w:rsid w:val="00173504"/>
    <w:rsid w:val="001736EE"/>
    <w:rsid w:val="001738EB"/>
    <w:rsid w:val="00173AE7"/>
    <w:rsid w:val="00173BE6"/>
    <w:rsid w:val="00173F9E"/>
    <w:rsid w:val="00174031"/>
    <w:rsid w:val="00174144"/>
    <w:rsid w:val="001745D3"/>
    <w:rsid w:val="00174929"/>
    <w:rsid w:val="00174EEB"/>
    <w:rsid w:val="0017531D"/>
    <w:rsid w:val="00175832"/>
    <w:rsid w:val="00175908"/>
    <w:rsid w:val="00175ADD"/>
    <w:rsid w:val="00175B07"/>
    <w:rsid w:val="001760AF"/>
    <w:rsid w:val="0017623C"/>
    <w:rsid w:val="00176569"/>
    <w:rsid w:val="001765B1"/>
    <w:rsid w:val="001766A3"/>
    <w:rsid w:val="00176A18"/>
    <w:rsid w:val="00176C78"/>
    <w:rsid w:val="00176D60"/>
    <w:rsid w:val="00176FAB"/>
    <w:rsid w:val="00177544"/>
    <w:rsid w:val="0017769E"/>
    <w:rsid w:val="0017782F"/>
    <w:rsid w:val="00177EF9"/>
    <w:rsid w:val="0018042E"/>
    <w:rsid w:val="001804CD"/>
    <w:rsid w:val="00180B42"/>
    <w:rsid w:val="00180D2E"/>
    <w:rsid w:val="00180F31"/>
    <w:rsid w:val="00181004"/>
    <w:rsid w:val="001812E2"/>
    <w:rsid w:val="001817C8"/>
    <w:rsid w:val="00181854"/>
    <w:rsid w:val="001819C5"/>
    <w:rsid w:val="00181FA9"/>
    <w:rsid w:val="00182666"/>
    <w:rsid w:val="00182900"/>
    <w:rsid w:val="00183709"/>
    <w:rsid w:val="00183750"/>
    <w:rsid w:val="001844DA"/>
    <w:rsid w:val="00184F1D"/>
    <w:rsid w:val="00185114"/>
    <w:rsid w:val="0018553B"/>
    <w:rsid w:val="00185C20"/>
    <w:rsid w:val="00185D40"/>
    <w:rsid w:val="0018631D"/>
    <w:rsid w:val="00186487"/>
    <w:rsid w:val="0018699B"/>
    <w:rsid w:val="00186F8A"/>
    <w:rsid w:val="001873D4"/>
    <w:rsid w:val="001877D8"/>
    <w:rsid w:val="0018793A"/>
    <w:rsid w:val="00187A70"/>
    <w:rsid w:val="00187BB1"/>
    <w:rsid w:val="00187C58"/>
    <w:rsid w:val="00187CDB"/>
    <w:rsid w:val="00190171"/>
    <w:rsid w:val="001905A1"/>
    <w:rsid w:val="00190606"/>
    <w:rsid w:val="00190876"/>
    <w:rsid w:val="00190C73"/>
    <w:rsid w:val="00190CC6"/>
    <w:rsid w:val="00190DD4"/>
    <w:rsid w:val="00191336"/>
    <w:rsid w:val="00191B7B"/>
    <w:rsid w:val="00191C5D"/>
    <w:rsid w:val="00191F5F"/>
    <w:rsid w:val="00192083"/>
    <w:rsid w:val="00192383"/>
    <w:rsid w:val="00192F26"/>
    <w:rsid w:val="00193B7B"/>
    <w:rsid w:val="00193CF3"/>
    <w:rsid w:val="00193F5C"/>
    <w:rsid w:val="00194127"/>
    <w:rsid w:val="00194410"/>
    <w:rsid w:val="00194557"/>
    <w:rsid w:val="001948CB"/>
    <w:rsid w:val="00194D95"/>
    <w:rsid w:val="00194D9C"/>
    <w:rsid w:val="00194F0D"/>
    <w:rsid w:val="00194F99"/>
    <w:rsid w:val="00195377"/>
    <w:rsid w:val="00195A3C"/>
    <w:rsid w:val="00195D18"/>
    <w:rsid w:val="00195E3A"/>
    <w:rsid w:val="0019676F"/>
    <w:rsid w:val="0019683F"/>
    <w:rsid w:val="00196A61"/>
    <w:rsid w:val="00196A8B"/>
    <w:rsid w:val="0019715F"/>
    <w:rsid w:val="001972B1"/>
    <w:rsid w:val="001974D4"/>
    <w:rsid w:val="001975FB"/>
    <w:rsid w:val="001977EC"/>
    <w:rsid w:val="001978AE"/>
    <w:rsid w:val="00197BE4"/>
    <w:rsid w:val="001A0763"/>
    <w:rsid w:val="001A1339"/>
    <w:rsid w:val="001A1527"/>
    <w:rsid w:val="001A1555"/>
    <w:rsid w:val="001A1661"/>
    <w:rsid w:val="001A175F"/>
    <w:rsid w:val="001A19B4"/>
    <w:rsid w:val="001A1B68"/>
    <w:rsid w:val="001A1BB2"/>
    <w:rsid w:val="001A27B9"/>
    <w:rsid w:val="001A2A37"/>
    <w:rsid w:val="001A2B11"/>
    <w:rsid w:val="001A2F36"/>
    <w:rsid w:val="001A2FFF"/>
    <w:rsid w:val="001A31FA"/>
    <w:rsid w:val="001A3496"/>
    <w:rsid w:val="001A381D"/>
    <w:rsid w:val="001A3DFA"/>
    <w:rsid w:val="001A3EF1"/>
    <w:rsid w:val="001A4093"/>
    <w:rsid w:val="001A42CE"/>
    <w:rsid w:val="001A43F6"/>
    <w:rsid w:val="001A453A"/>
    <w:rsid w:val="001A46DA"/>
    <w:rsid w:val="001A4757"/>
    <w:rsid w:val="001A4D97"/>
    <w:rsid w:val="001A4FB3"/>
    <w:rsid w:val="001A501A"/>
    <w:rsid w:val="001A52CF"/>
    <w:rsid w:val="001A5914"/>
    <w:rsid w:val="001A5BFF"/>
    <w:rsid w:val="001A5E41"/>
    <w:rsid w:val="001A6195"/>
    <w:rsid w:val="001A62CD"/>
    <w:rsid w:val="001A639A"/>
    <w:rsid w:val="001A6519"/>
    <w:rsid w:val="001A6715"/>
    <w:rsid w:val="001A6A70"/>
    <w:rsid w:val="001A6F06"/>
    <w:rsid w:val="001A719C"/>
    <w:rsid w:val="001A7C03"/>
    <w:rsid w:val="001A7CE0"/>
    <w:rsid w:val="001A7D50"/>
    <w:rsid w:val="001A7E97"/>
    <w:rsid w:val="001B0F05"/>
    <w:rsid w:val="001B10C5"/>
    <w:rsid w:val="001B12D9"/>
    <w:rsid w:val="001B12FB"/>
    <w:rsid w:val="001B16C8"/>
    <w:rsid w:val="001B1A60"/>
    <w:rsid w:val="001B1CF8"/>
    <w:rsid w:val="001B20B3"/>
    <w:rsid w:val="001B20EC"/>
    <w:rsid w:val="001B2F2A"/>
    <w:rsid w:val="001B3187"/>
    <w:rsid w:val="001B322B"/>
    <w:rsid w:val="001B3587"/>
    <w:rsid w:val="001B364C"/>
    <w:rsid w:val="001B38ED"/>
    <w:rsid w:val="001B3B03"/>
    <w:rsid w:val="001B3C11"/>
    <w:rsid w:val="001B3C27"/>
    <w:rsid w:val="001B3C2A"/>
    <w:rsid w:val="001B4020"/>
    <w:rsid w:val="001B406D"/>
    <w:rsid w:val="001B40C8"/>
    <w:rsid w:val="001B42D3"/>
    <w:rsid w:val="001B5580"/>
    <w:rsid w:val="001B5808"/>
    <w:rsid w:val="001B5AEE"/>
    <w:rsid w:val="001B5E4E"/>
    <w:rsid w:val="001B5EBE"/>
    <w:rsid w:val="001B608F"/>
    <w:rsid w:val="001B6210"/>
    <w:rsid w:val="001B630E"/>
    <w:rsid w:val="001B6498"/>
    <w:rsid w:val="001B6EB6"/>
    <w:rsid w:val="001B700A"/>
    <w:rsid w:val="001B7294"/>
    <w:rsid w:val="001B72A0"/>
    <w:rsid w:val="001B7AC1"/>
    <w:rsid w:val="001B7C4F"/>
    <w:rsid w:val="001B7CFF"/>
    <w:rsid w:val="001C0985"/>
    <w:rsid w:val="001C0BB4"/>
    <w:rsid w:val="001C0CFC"/>
    <w:rsid w:val="001C0F6D"/>
    <w:rsid w:val="001C12DF"/>
    <w:rsid w:val="001C162D"/>
    <w:rsid w:val="001C19C1"/>
    <w:rsid w:val="001C21C3"/>
    <w:rsid w:val="001C2379"/>
    <w:rsid w:val="001C24D1"/>
    <w:rsid w:val="001C26D4"/>
    <w:rsid w:val="001C29D1"/>
    <w:rsid w:val="001C304B"/>
    <w:rsid w:val="001C3113"/>
    <w:rsid w:val="001C3405"/>
    <w:rsid w:val="001C3616"/>
    <w:rsid w:val="001C372A"/>
    <w:rsid w:val="001C38E9"/>
    <w:rsid w:val="001C3A55"/>
    <w:rsid w:val="001C3A64"/>
    <w:rsid w:val="001C3A6B"/>
    <w:rsid w:val="001C42F0"/>
    <w:rsid w:val="001C44CF"/>
    <w:rsid w:val="001C4891"/>
    <w:rsid w:val="001C491E"/>
    <w:rsid w:val="001C51D6"/>
    <w:rsid w:val="001C52EB"/>
    <w:rsid w:val="001C53CD"/>
    <w:rsid w:val="001C5587"/>
    <w:rsid w:val="001C5C58"/>
    <w:rsid w:val="001C5F2F"/>
    <w:rsid w:val="001C6350"/>
    <w:rsid w:val="001C6762"/>
    <w:rsid w:val="001C6A94"/>
    <w:rsid w:val="001C6F75"/>
    <w:rsid w:val="001C7BB7"/>
    <w:rsid w:val="001C7F0D"/>
    <w:rsid w:val="001D00BE"/>
    <w:rsid w:val="001D059B"/>
    <w:rsid w:val="001D0BAA"/>
    <w:rsid w:val="001D194C"/>
    <w:rsid w:val="001D19F8"/>
    <w:rsid w:val="001D1AC6"/>
    <w:rsid w:val="001D1BE1"/>
    <w:rsid w:val="001D1C22"/>
    <w:rsid w:val="001D1CB8"/>
    <w:rsid w:val="001D1EE8"/>
    <w:rsid w:val="001D25F7"/>
    <w:rsid w:val="001D2869"/>
    <w:rsid w:val="001D3504"/>
    <w:rsid w:val="001D3E33"/>
    <w:rsid w:val="001D44A9"/>
    <w:rsid w:val="001D477C"/>
    <w:rsid w:val="001D48C2"/>
    <w:rsid w:val="001D4F72"/>
    <w:rsid w:val="001D5156"/>
    <w:rsid w:val="001D51EE"/>
    <w:rsid w:val="001D553A"/>
    <w:rsid w:val="001D56D8"/>
    <w:rsid w:val="001D5D63"/>
    <w:rsid w:val="001D5E32"/>
    <w:rsid w:val="001D662A"/>
    <w:rsid w:val="001D6674"/>
    <w:rsid w:val="001D68A9"/>
    <w:rsid w:val="001D69F6"/>
    <w:rsid w:val="001D6ED1"/>
    <w:rsid w:val="001D73E9"/>
    <w:rsid w:val="001D7529"/>
    <w:rsid w:val="001D7622"/>
    <w:rsid w:val="001D7849"/>
    <w:rsid w:val="001E0988"/>
    <w:rsid w:val="001E0B4B"/>
    <w:rsid w:val="001E1104"/>
    <w:rsid w:val="001E17EE"/>
    <w:rsid w:val="001E2057"/>
    <w:rsid w:val="001E30F7"/>
    <w:rsid w:val="001E3126"/>
    <w:rsid w:val="001E342F"/>
    <w:rsid w:val="001E3641"/>
    <w:rsid w:val="001E3BB7"/>
    <w:rsid w:val="001E4075"/>
    <w:rsid w:val="001E4458"/>
    <w:rsid w:val="001E4A4E"/>
    <w:rsid w:val="001E4EC8"/>
    <w:rsid w:val="001E5296"/>
    <w:rsid w:val="001E52D0"/>
    <w:rsid w:val="001E5898"/>
    <w:rsid w:val="001E65A9"/>
    <w:rsid w:val="001E679C"/>
    <w:rsid w:val="001E6E9B"/>
    <w:rsid w:val="001E74A2"/>
    <w:rsid w:val="001E7571"/>
    <w:rsid w:val="001E79EC"/>
    <w:rsid w:val="001E7C9C"/>
    <w:rsid w:val="001E7D80"/>
    <w:rsid w:val="001F0064"/>
    <w:rsid w:val="001F019D"/>
    <w:rsid w:val="001F02C9"/>
    <w:rsid w:val="001F04C1"/>
    <w:rsid w:val="001F066B"/>
    <w:rsid w:val="001F06CB"/>
    <w:rsid w:val="001F0917"/>
    <w:rsid w:val="001F0E07"/>
    <w:rsid w:val="001F10BF"/>
    <w:rsid w:val="001F1264"/>
    <w:rsid w:val="001F265E"/>
    <w:rsid w:val="001F27EF"/>
    <w:rsid w:val="001F2A08"/>
    <w:rsid w:val="001F2AF4"/>
    <w:rsid w:val="001F2BDD"/>
    <w:rsid w:val="001F2EC3"/>
    <w:rsid w:val="001F3A14"/>
    <w:rsid w:val="001F3F6B"/>
    <w:rsid w:val="001F4031"/>
    <w:rsid w:val="001F4041"/>
    <w:rsid w:val="001F4283"/>
    <w:rsid w:val="001F4BC4"/>
    <w:rsid w:val="001F4FE5"/>
    <w:rsid w:val="001F51FB"/>
    <w:rsid w:val="001F526D"/>
    <w:rsid w:val="001F6640"/>
    <w:rsid w:val="001F668A"/>
    <w:rsid w:val="001F692A"/>
    <w:rsid w:val="001F6A76"/>
    <w:rsid w:val="001F6B79"/>
    <w:rsid w:val="001F70B0"/>
    <w:rsid w:val="001F7171"/>
    <w:rsid w:val="001F7219"/>
    <w:rsid w:val="001F7299"/>
    <w:rsid w:val="001F739B"/>
    <w:rsid w:val="001F74EC"/>
    <w:rsid w:val="001F7675"/>
    <w:rsid w:val="001F78C4"/>
    <w:rsid w:val="001F7A57"/>
    <w:rsid w:val="001F7BE1"/>
    <w:rsid w:val="001F7FE3"/>
    <w:rsid w:val="0020001D"/>
    <w:rsid w:val="00200066"/>
    <w:rsid w:val="0020021E"/>
    <w:rsid w:val="00200846"/>
    <w:rsid w:val="002008F6"/>
    <w:rsid w:val="00200ACA"/>
    <w:rsid w:val="00200FAF"/>
    <w:rsid w:val="0020101A"/>
    <w:rsid w:val="002012D2"/>
    <w:rsid w:val="002014B8"/>
    <w:rsid w:val="002014D6"/>
    <w:rsid w:val="00201CE7"/>
    <w:rsid w:val="0020209C"/>
    <w:rsid w:val="00202205"/>
    <w:rsid w:val="002025B5"/>
    <w:rsid w:val="00202618"/>
    <w:rsid w:val="0020266D"/>
    <w:rsid w:val="00202F0E"/>
    <w:rsid w:val="002032D7"/>
    <w:rsid w:val="00203391"/>
    <w:rsid w:val="002035D3"/>
    <w:rsid w:val="00203771"/>
    <w:rsid w:val="00203EAB"/>
    <w:rsid w:val="00203EED"/>
    <w:rsid w:val="0020407D"/>
    <w:rsid w:val="002048E5"/>
    <w:rsid w:val="00205930"/>
    <w:rsid w:val="00206439"/>
    <w:rsid w:val="00206457"/>
    <w:rsid w:val="00206A85"/>
    <w:rsid w:val="00206B8C"/>
    <w:rsid w:val="00206B91"/>
    <w:rsid w:val="00206F96"/>
    <w:rsid w:val="00207716"/>
    <w:rsid w:val="00210012"/>
    <w:rsid w:val="002103DD"/>
    <w:rsid w:val="00210665"/>
    <w:rsid w:val="00210E29"/>
    <w:rsid w:val="002116E1"/>
    <w:rsid w:val="00211AEA"/>
    <w:rsid w:val="00211DBE"/>
    <w:rsid w:val="00211E03"/>
    <w:rsid w:val="00211E9E"/>
    <w:rsid w:val="002122ED"/>
    <w:rsid w:val="002129BF"/>
    <w:rsid w:val="00212C2D"/>
    <w:rsid w:val="002136A6"/>
    <w:rsid w:val="00213AAA"/>
    <w:rsid w:val="0021490D"/>
    <w:rsid w:val="00214A82"/>
    <w:rsid w:val="00214C79"/>
    <w:rsid w:val="00214D19"/>
    <w:rsid w:val="00214DE3"/>
    <w:rsid w:val="00215003"/>
    <w:rsid w:val="002152D9"/>
    <w:rsid w:val="00215812"/>
    <w:rsid w:val="00215CD2"/>
    <w:rsid w:val="00215D95"/>
    <w:rsid w:val="002164C7"/>
    <w:rsid w:val="0021683B"/>
    <w:rsid w:val="00216A24"/>
    <w:rsid w:val="00216A67"/>
    <w:rsid w:val="00216AC5"/>
    <w:rsid w:val="002170B5"/>
    <w:rsid w:val="00217308"/>
    <w:rsid w:val="0021731D"/>
    <w:rsid w:val="002173B6"/>
    <w:rsid w:val="00217568"/>
    <w:rsid w:val="00217608"/>
    <w:rsid w:val="002176E7"/>
    <w:rsid w:val="00217885"/>
    <w:rsid w:val="002178E0"/>
    <w:rsid w:val="00217AF0"/>
    <w:rsid w:val="00217B22"/>
    <w:rsid w:val="00217C0F"/>
    <w:rsid w:val="00217C37"/>
    <w:rsid w:val="00217D57"/>
    <w:rsid w:val="00217E5F"/>
    <w:rsid w:val="00220199"/>
    <w:rsid w:val="00221008"/>
    <w:rsid w:val="00221168"/>
    <w:rsid w:val="00221460"/>
    <w:rsid w:val="00221936"/>
    <w:rsid w:val="002222EC"/>
    <w:rsid w:val="00222562"/>
    <w:rsid w:val="00222611"/>
    <w:rsid w:val="0022269C"/>
    <w:rsid w:val="00223048"/>
    <w:rsid w:val="002230B3"/>
    <w:rsid w:val="00223499"/>
    <w:rsid w:val="00223525"/>
    <w:rsid w:val="00223BD2"/>
    <w:rsid w:val="002243B2"/>
    <w:rsid w:val="00224558"/>
    <w:rsid w:val="00224643"/>
    <w:rsid w:val="002250B5"/>
    <w:rsid w:val="00225968"/>
    <w:rsid w:val="00226AC8"/>
    <w:rsid w:val="00226B8B"/>
    <w:rsid w:val="00227007"/>
    <w:rsid w:val="00227831"/>
    <w:rsid w:val="002278E9"/>
    <w:rsid w:val="00227D77"/>
    <w:rsid w:val="00227D9A"/>
    <w:rsid w:val="00227EE4"/>
    <w:rsid w:val="0023026E"/>
    <w:rsid w:val="002306DA"/>
    <w:rsid w:val="0023071A"/>
    <w:rsid w:val="002308E6"/>
    <w:rsid w:val="00230AC9"/>
    <w:rsid w:val="00230ADF"/>
    <w:rsid w:val="00230D85"/>
    <w:rsid w:val="00230ED9"/>
    <w:rsid w:val="002313E1"/>
    <w:rsid w:val="0023181D"/>
    <w:rsid w:val="0023182B"/>
    <w:rsid w:val="00231D41"/>
    <w:rsid w:val="00232009"/>
    <w:rsid w:val="00232690"/>
    <w:rsid w:val="00232775"/>
    <w:rsid w:val="002328B4"/>
    <w:rsid w:val="00232CE9"/>
    <w:rsid w:val="00233281"/>
    <w:rsid w:val="00233467"/>
    <w:rsid w:val="002337E3"/>
    <w:rsid w:val="00233F46"/>
    <w:rsid w:val="002344C2"/>
    <w:rsid w:val="00234984"/>
    <w:rsid w:val="00234F01"/>
    <w:rsid w:val="002351A0"/>
    <w:rsid w:val="00235925"/>
    <w:rsid w:val="00235CCC"/>
    <w:rsid w:val="00236081"/>
    <w:rsid w:val="00236831"/>
    <w:rsid w:val="00236B8C"/>
    <w:rsid w:val="00236D6E"/>
    <w:rsid w:val="00236DF8"/>
    <w:rsid w:val="00236F7D"/>
    <w:rsid w:val="00237301"/>
    <w:rsid w:val="00237491"/>
    <w:rsid w:val="002375C3"/>
    <w:rsid w:val="00237742"/>
    <w:rsid w:val="002377CA"/>
    <w:rsid w:val="00237E30"/>
    <w:rsid w:val="002401AA"/>
    <w:rsid w:val="002403AB"/>
    <w:rsid w:val="00240540"/>
    <w:rsid w:val="002406C1"/>
    <w:rsid w:val="00240970"/>
    <w:rsid w:val="002413F9"/>
    <w:rsid w:val="002418C5"/>
    <w:rsid w:val="00241952"/>
    <w:rsid w:val="00241CE5"/>
    <w:rsid w:val="00242508"/>
    <w:rsid w:val="002428CD"/>
    <w:rsid w:val="00242E99"/>
    <w:rsid w:val="0024358F"/>
    <w:rsid w:val="002436C3"/>
    <w:rsid w:val="0024378C"/>
    <w:rsid w:val="00243B48"/>
    <w:rsid w:val="002442D2"/>
    <w:rsid w:val="002446F5"/>
    <w:rsid w:val="002452CD"/>
    <w:rsid w:val="00245778"/>
    <w:rsid w:val="002459A7"/>
    <w:rsid w:val="00245CD4"/>
    <w:rsid w:val="002461A0"/>
    <w:rsid w:val="00246381"/>
    <w:rsid w:val="0024647E"/>
    <w:rsid w:val="00246488"/>
    <w:rsid w:val="002464D6"/>
    <w:rsid w:val="00246D42"/>
    <w:rsid w:val="002474BB"/>
    <w:rsid w:val="00247547"/>
    <w:rsid w:val="0024757C"/>
    <w:rsid w:val="0024791E"/>
    <w:rsid w:val="00247DA9"/>
    <w:rsid w:val="00247EEF"/>
    <w:rsid w:val="00250008"/>
    <w:rsid w:val="00250197"/>
    <w:rsid w:val="00250199"/>
    <w:rsid w:val="00250BBC"/>
    <w:rsid w:val="0025166D"/>
    <w:rsid w:val="002517D6"/>
    <w:rsid w:val="00251857"/>
    <w:rsid w:val="00251CAD"/>
    <w:rsid w:val="00251CDB"/>
    <w:rsid w:val="00251F27"/>
    <w:rsid w:val="00252022"/>
    <w:rsid w:val="0025261E"/>
    <w:rsid w:val="0025288D"/>
    <w:rsid w:val="0025295F"/>
    <w:rsid w:val="00252CAC"/>
    <w:rsid w:val="00252F03"/>
    <w:rsid w:val="0025335E"/>
    <w:rsid w:val="00254068"/>
    <w:rsid w:val="00254132"/>
    <w:rsid w:val="0025437F"/>
    <w:rsid w:val="002543B7"/>
    <w:rsid w:val="002543E4"/>
    <w:rsid w:val="0025491D"/>
    <w:rsid w:val="00254C66"/>
    <w:rsid w:val="00254F01"/>
    <w:rsid w:val="0025515F"/>
    <w:rsid w:val="00255EE8"/>
    <w:rsid w:val="00255FCE"/>
    <w:rsid w:val="00256194"/>
    <w:rsid w:val="002561EB"/>
    <w:rsid w:val="002562FC"/>
    <w:rsid w:val="00256394"/>
    <w:rsid w:val="0025655B"/>
    <w:rsid w:val="00256DF7"/>
    <w:rsid w:val="0025779A"/>
    <w:rsid w:val="0025779D"/>
    <w:rsid w:val="00257ABC"/>
    <w:rsid w:val="0026029A"/>
    <w:rsid w:val="00260D15"/>
    <w:rsid w:val="00260E67"/>
    <w:rsid w:val="00260F20"/>
    <w:rsid w:val="00261176"/>
    <w:rsid w:val="00261393"/>
    <w:rsid w:val="002613DB"/>
    <w:rsid w:val="002618A3"/>
    <w:rsid w:val="00262123"/>
    <w:rsid w:val="00262646"/>
    <w:rsid w:val="002628B5"/>
    <w:rsid w:val="00262D2B"/>
    <w:rsid w:val="002636FF"/>
    <w:rsid w:val="002643E5"/>
    <w:rsid w:val="002645DA"/>
    <w:rsid w:val="00264E7D"/>
    <w:rsid w:val="00265665"/>
    <w:rsid w:val="002657DE"/>
    <w:rsid w:val="002664C8"/>
    <w:rsid w:val="00266664"/>
    <w:rsid w:val="00266C14"/>
    <w:rsid w:val="00266FD1"/>
    <w:rsid w:val="00267219"/>
    <w:rsid w:val="002676F0"/>
    <w:rsid w:val="002678EF"/>
    <w:rsid w:val="00270446"/>
    <w:rsid w:val="002709C0"/>
    <w:rsid w:val="00270D16"/>
    <w:rsid w:val="00270ED1"/>
    <w:rsid w:val="0027103B"/>
    <w:rsid w:val="0027108A"/>
    <w:rsid w:val="0027121E"/>
    <w:rsid w:val="00271908"/>
    <w:rsid w:val="002719B4"/>
    <w:rsid w:val="00271DA3"/>
    <w:rsid w:val="00272180"/>
    <w:rsid w:val="00272224"/>
    <w:rsid w:val="0027239D"/>
    <w:rsid w:val="00272821"/>
    <w:rsid w:val="00272AB6"/>
    <w:rsid w:val="00272F4D"/>
    <w:rsid w:val="0027343A"/>
    <w:rsid w:val="0027364E"/>
    <w:rsid w:val="00273CD5"/>
    <w:rsid w:val="002740E0"/>
    <w:rsid w:val="00274631"/>
    <w:rsid w:val="00274945"/>
    <w:rsid w:val="00274BBF"/>
    <w:rsid w:val="0027520A"/>
    <w:rsid w:val="00275496"/>
    <w:rsid w:val="0027561D"/>
    <w:rsid w:val="0027585D"/>
    <w:rsid w:val="00275FB4"/>
    <w:rsid w:val="00276E24"/>
    <w:rsid w:val="002772ED"/>
    <w:rsid w:val="00277358"/>
    <w:rsid w:val="00277383"/>
    <w:rsid w:val="0027787A"/>
    <w:rsid w:val="00277D2F"/>
    <w:rsid w:val="00277E59"/>
    <w:rsid w:val="00277F37"/>
    <w:rsid w:val="00277FA6"/>
    <w:rsid w:val="002803B0"/>
    <w:rsid w:val="0028083E"/>
    <w:rsid w:val="002808C0"/>
    <w:rsid w:val="00280A17"/>
    <w:rsid w:val="002810C1"/>
    <w:rsid w:val="0028153E"/>
    <w:rsid w:val="00281667"/>
    <w:rsid w:val="00281697"/>
    <w:rsid w:val="00281FAA"/>
    <w:rsid w:val="00281FDB"/>
    <w:rsid w:val="0028231C"/>
    <w:rsid w:val="002823E7"/>
    <w:rsid w:val="002824CF"/>
    <w:rsid w:val="002832D4"/>
    <w:rsid w:val="00283478"/>
    <w:rsid w:val="00283911"/>
    <w:rsid w:val="00283CB0"/>
    <w:rsid w:val="00283F18"/>
    <w:rsid w:val="00283F7A"/>
    <w:rsid w:val="00283F89"/>
    <w:rsid w:val="00284054"/>
    <w:rsid w:val="00284309"/>
    <w:rsid w:val="0028484C"/>
    <w:rsid w:val="00284A2D"/>
    <w:rsid w:val="00284AC3"/>
    <w:rsid w:val="00284BAB"/>
    <w:rsid w:val="00284BEB"/>
    <w:rsid w:val="00285217"/>
    <w:rsid w:val="00285391"/>
    <w:rsid w:val="00285468"/>
    <w:rsid w:val="00285C95"/>
    <w:rsid w:val="00285DB7"/>
    <w:rsid w:val="0028600C"/>
    <w:rsid w:val="00286536"/>
    <w:rsid w:val="00286614"/>
    <w:rsid w:val="0028663B"/>
    <w:rsid w:val="002872FD"/>
    <w:rsid w:val="002873A1"/>
    <w:rsid w:val="00287719"/>
    <w:rsid w:val="00287779"/>
    <w:rsid w:val="002879F7"/>
    <w:rsid w:val="00287E8A"/>
    <w:rsid w:val="00290279"/>
    <w:rsid w:val="002909D0"/>
    <w:rsid w:val="00290C6C"/>
    <w:rsid w:val="002910D9"/>
    <w:rsid w:val="00291C64"/>
    <w:rsid w:val="00291ECE"/>
    <w:rsid w:val="00292281"/>
    <w:rsid w:val="002922FD"/>
    <w:rsid w:val="002926C9"/>
    <w:rsid w:val="002928CE"/>
    <w:rsid w:val="00292D97"/>
    <w:rsid w:val="00293126"/>
    <w:rsid w:val="002931D4"/>
    <w:rsid w:val="00293C95"/>
    <w:rsid w:val="00293CD8"/>
    <w:rsid w:val="002941AC"/>
    <w:rsid w:val="00294DEF"/>
    <w:rsid w:val="00295028"/>
    <w:rsid w:val="00295262"/>
    <w:rsid w:val="002955A7"/>
    <w:rsid w:val="002958D3"/>
    <w:rsid w:val="00295902"/>
    <w:rsid w:val="00295BB7"/>
    <w:rsid w:val="00295F1E"/>
    <w:rsid w:val="00295FEA"/>
    <w:rsid w:val="00296333"/>
    <w:rsid w:val="00296462"/>
    <w:rsid w:val="0029646F"/>
    <w:rsid w:val="00296630"/>
    <w:rsid w:val="00296802"/>
    <w:rsid w:val="002968A9"/>
    <w:rsid w:val="00296B5F"/>
    <w:rsid w:val="00296BAF"/>
    <w:rsid w:val="00296E8A"/>
    <w:rsid w:val="00296FDD"/>
    <w:rsid w:val="0029703E"/>
    <w:rsid w:val="002970D6"/>
    <w:rsid w:val="002970ED"/>
    <w:rsid w:val="00297669"/>
    <w:rsid w:val="00297711"/>
    <w:rsid w:val="00297BDD"/>
    <w:rsid w:val="00297D57"/>
    <w:rsid w:val="002A005D"/>
    <w:rsid w:val="002A0275"/>
    <w:rsid w:val="002A03A7"/>
    <w:rsid w:val="002A09AC"/>
    <w:rsid w:val="002A0C6D"/>
    <w:rsid w:val="002A0DC3"/>
    <w:rsid w:val="002A113E"/>
    <w:rsid w:val="002A13AA"/>
    <w:rsid w:val="002A1658"/>
    <w:rsid w:val="002A1691"/>
    <w:rsid w:val="002A1C66"/>
    <w:rsid w:val="002A1C73"/>
    <w:rsid w:val="002A2277"/>
    <w:rsid w:val="002A27A0"/>
    <w:rsid w:val="002A3751"/>
    <w:rsid w:val="002A38A0"/>
    <w:rsid w:val="002A3F2C"/>
    <w:rsid w:val="002A4093"/>
    <w:rsid w:val="002A4128"/>
    <w:rsid w:val="002A4668"/>
    <w:rsid w:val="002A48F7"/>
    <w:rsid w:val="002A4A88"/>
    <w:rsid w:val="002A5138"/>
    <w:rsid w:val="002A5147"/>
    <w:rsid w:val="002A552B"/>
    <w:rsid w:val="002A55E2"/>
    <w:rsid w:val="002A56EA"/>
    <w:rsid w:val="002A57FC"/>
    <w:rsid w:val="002A5875"/>
    <w:rsid w:val="002A59D9"/>
    <w:rsid w:val="002A6072"/>
    <w:rsid w:val="002A64C7"/>
    <w:rsid w:val="002A6761"/>
    <w:rsid w:val="002A6BD3"/>
    <w:rsid w:val="002A6DA7"/>
    <w:rsid w:val="002A72AF"/>
    <w:rsid w:val="002A72DE"/>
    <w:rsid w:val="002A75FA"/>
    <w:rsid w:val="002A7722"/>
    <w:rsid w:val="002A7C62"/>
    <w:rsid w:val="002A7FD3"/>
    <w:rsid w:val="002B0125"/>
    <w:rsid w:val="002B0601"/>
    <w:rsid w:val="002B0C0C"/>
    <w:rsid w:val="002B0D66"/>
    <w:rsid w:val="002B10C1"/>
    <w:rsid w:val="002B10D7"/>
    <w:rsid w:val="002B1997"/>
    <w:rsid w:val="002B1B71"/>
    <w:rsid w:val="002B1C28"/>
    <w:rsid w:val="002B1D1D"/>
    <w:rsid w:val="002B2009"/>
    <w:rsid w:val="002B20ED"/>
    <w:rsid w:val="002B23C6"/>
    <w:rsid w:val="002B2526"/>
    <w:rsid w:val="002B28AE"/>
    <w:rsid w:val="002B2EDF"/>
    <w:rsid w:val="002B2FC0"/>
    <w:rsid w:val="002B2FD5"/>
    <w:rsid w:val="002B30EB"/>
    <w:rsid w:val="002B31A3"/>
    <w:rsid w:val="002B336E"/>
    <w:rsid w:val="002B34B2"/>
    <w:rsid w:val="002B38F1"/>
    <w:rsid w:val="002B3C01"/>
    <w:rsid w:val="002B3D58"/>
    <w:rsid w:val="002B435F"/>
    <w:rsid w:val="002B43A2"/>
    <w:rsid w:val="002B43C9"/>
    <w:rsid w:val="002B5110"/>
    <w:rsid w:val="002B51FD"/>
    <w:rsid w:val="002B5479"/>
    <w:rsid w:val="002B55E8"/>
    <w:rsid w:val="002B5C09"/>
    <w:rsid w:val="002B602B"/>
    <w:rsid w:val="002B64DB"/>
    <w:rsid w:val="002B6B56"/>
    <w:rsid w:val="002B6C12"/>
    <w:rsid w:val="002B7027"/>
    <w:rsid w:val="002B726F"/>
    <w:rsid w:val="002B72BD"/>
    <w:rsid w:val="002B7E68"/>
    <w:rsid w:val="002B7F56"/>
    <w:rsid w:val="002B7FAB"/>
    <w:rsid w:val="002C002D"/>
    <w:rsid w:val="002C029E"/>
    <w:rsid w:val="002C02C7"/>
    <w:rsid w:val="002C0380"/>
    <w:rsid w:val="002C077D"/>
    <w:rsid w:val="002C0931"/>
    <w:rsid w:val="002C10CE"/>
    <w:rsid w:val="002C1246"/>
    <w:rsid w:val="002C1393"/>
    <w:rsid w:val="002C179E"/>
    <w:rsid w:val="002C1B55"/>
    <w:rsid w:val="002C1C98"/>
    <w:rsid w:val="002C1ED9"/>
    <w:rsid w:val="002C2AC0"/>
    <w:rsid w:val="002C2EF0"/>
    <w:rsid w:val="002C2F14"/>
    <w:rsid w:val="002C362D"/>
    <w:rsid w:val="002C38CB"/>
    <w:rsid w:val="002C3BCC"/>
    <w:rsid w:val="002C420F"/>
    <w:rsid w:val="002C426A"/>
    <w:rsid w:val="002C47BE"/>
    <w:rsid w:val="002C48CD"/>
    <w:rsid w:val="002C4ACD"/>
    <w:rsid w:val="002C51FF"/>
    <w:rsid w:val="002C5267"/>
    <w:rsid w:val="002C5815"/>
    <w:rsid w:val="002C5863"/>
    <w:rsid w:val="002C5BCB"/>
    <w:rsid w:val="002C5C27"/>
    <w:rsid w:val="002C5DCD"/>
    <w:rsid w:val="002C5EC5"/>
    <w:rsid w:val="002C6327"/>
    <w:rsid w:val="002C656E"/>
    <w:rsid w:val="002C686F"/>
    <w:rsid w:val="002C6B91"/>
    <w:rsid w:val="002C6BA2"/>
    <w:rsid w:val="002C6CA2"/>
    <w:rsid w:val="002C6F2A"/>
    <w:rsid w:val="002C70B9"/>
    <w:rsid w:val="002C716C"/>
    <w:rsid w:val="002C770F"/>
    <w:rsid w:val="002C78F7"/>
    <w:rsid w:val="002C7C1C"/>
    <w:rsid w:val="002D02AE"/>
    <w:rsid w:val="002D06D3"/>
    <w:rsid w:val="002D074A"/>
    <w:rsid w:val="002D0A34"/>
    <w:rsid w:val="002D13A2"/>
    <w:rsid w:val="002D1513"/>
    <w:rsid w:val="002D1592"/>
    <w:rsid w:val="002D1932"/>
    <w:rsid w:val="002D194C"/>
    <w:rsid w:val="002D1A4A"/>
    <w:rsid w:val="002D202D"/>
    <w:rsid w:val="002D219F"/>
    <w:rsid w:val="002D2442"/>
    <w:rsid w:val="002D26ED"/>
    <w:rsid w:val="002D2901"/>
    <w:rsid w:val="002D2BDD"/>
    <w:rsid w:val="002D2D26"/>
    <w:rsid w:val="002D2F9B"/>
    <w:rsid w:val="002D3267"/>
    <w:rsid w:val="002D33E0"/>
    <w:rsid w:val="002D3400"/>
    <w:rsid w:val="002D3674"/>
    <w:rsid w:val="002D4119"/>
    <w:rsid w:val="002D424E"/>
    <w:rsid w:val="002D432D"/>
    <w:rsid w:val="002D4FCA"/>
    <w:rsid w:val="002D53FA"/>
    <w:rsid w:val="002D5439"/>
    <w:rsid w:val="002D5710"/>
    <w:rsid w:val="002D57DD"/>
    <w:rsid w:val="002D582F"/>
    <w:rsid w:val="002D5B8B"/>
    <w:rsid w:val="002D5BE6"/>
    <w:rsid w:val="002D655C"/>
    <w:rsid w:val="002D69C3"/>
    <w:rsid w:val="002D6EB1"/>
    <w:rsid w:val="002D706B"/>
    <w:rsid w:val="002D7226"/>
    <w:rsid w:val="002D779F"/>
    <w:rsid w:val="002D77A7"/>
    <w:rsid w:val="002D7C5E"/>
    <w:rsid w:val="002E070D"/>
    <w:rsid w:val="002E073E"/>
    <w:rsid w:val="002E0DCF"/>
    <w:rsid w:val="002E1352"/>
    <w:rsid w:val="002E1417"/>
    <w:rsid w:val="002E1873"/>
    <w:rsid w:val="002E2774"/>
    <w:rsid w:val="002E27E7"/>
    <w:rsid w:val="002E29CE"/>
    <w:rsid w:val="002E2B15"/>
    <w:rsid w:val="002E30EE"/>
    <w:rsid w:val="002E3651"/>
    <w:rsid w:val="002E367B"/>
    <w:rsid w:val="002E43EB"/>
    <w:rsid w:val="002E44A8"/>
    <w:rsid w:val="002E4627"/>
    <w:rsid w:val="002E4B6E"/>
    <w:rsid w:val="002E4E4E"/>
    <w:rsid w:val="002E5146"/>
    <w:rsid w:val="002E5590"/>
    <w:rsid w:val="002E5748"/>
    <w:rsid w:val="002E57CF"/>
    <w:rsid w:val="002E595A"/>
    <w:rsid w:val="002E5991"/>
    <w:rsid w:val="002E5CE7"/>
    <w:rsid w:val="002E64B4"/>
    <w:rsid w:val="002E64FC"/>
    <w:rsid w:val="002E701E"/>
    <w:rsid w:val="002E7020"/>
    <w:rsid w:val="002E73C6"/>
    <w:rsid w:val="002E7CC8"/>
    <w:rsid w:val="002F0135"/>
    <w:rsid w:val="002F0446"/>
    <w:rsid w:val="002F0A87"/>
    <w:rsid w:val="002F0EA1"/>
    <w:rsid w:val="002F1510"/>
    <w:rsid w:val="002F2242"/>
    <w:rsid w:val="002F244C"/>
    <w:rsid w:val="002F24CE"/>
    <w:rsid w:val="002F24D8"/>
    <w:rsid w:val="002F27FC"/>
    <w:rsid w:val="002F299B"/>
    <w:rsid w:val="002F2A3F"/>
    <w:rsid w:val="002F2C51"/>
    <w:rsid w:val="002F3890"/>
    <w:rsid w:val="002F3B20"/>
    <w:rsid w:val="002F4ABE"/>
    <w:rsid w:val="002F4AE9"/>
    <w:rsid w:val="002F51E1"/>
    <w:rsid w:val="002F561B"/>
    <w:rsid w:val="002F5B3D"/>
    <w:rsid w:val="002F697E"/>
    <w:rsid w:val="002F6A2E"/>
    <w:rsid w:val="002F6B4E"/>
    <w:rsid w:val="002F73AB"/>
    <w:rsid w:val="002F73AD"/>
    <w:rsid w:val="00300059"/>
    <w:rsid w:val="00300393"/>
    <w:rsid w:val="00300520"/>
    <w:rsid w:val="00300AE4"/>
    <w:rsid w:val="00300C62"/>
    <w:rsid w:val="003010E8"/>
    <w:rsid w:val="00301756"/>
    <w:rsid w:val="0030185F"/>
    <w:rsid w:val="00302229"/>
    <w:rsid w:val="0030232F"/>
    <w:rsid w:val="00302636"/>
    <w:rsid w:val="0030267A"/>
    <w:rsid w:val="00302715"/>
    <w:rsid w:val="00302957"/>
    <w:rsid w:val="00302C9E"/>
    <w:rsid w:val="003034DA"/>
    <w:rsid w:val="0030355A"/>
    <w:rsid w:val="00303866"/>
    <w:rsid w:val="00303CC6"/>
    <w:rsid w:val="00303CF1"/>
    <w:rsid w:val="0030453B"/>
    <w:rsid w:val="00304577"/>
    <w:rsid w:val="00304656"/>
    <w:rsid w:val="003048BD"/>
    <w:rsid w:val="00304ABA"/>
    <w:rsid w:val="00304D42"/>
    <w:rsid w:val="0030564B"/>
    <w:rsid w:val="00305A04"/>
    <w:rsid w:val="00305AD9"/>
    <w:rsid w:val="00305F70"/>
    <w:rsid w:val="00306641"/>
    <w:rsid w:val="003069A8"/>
    <w:rsid w:val="0030711A"/>
    <w:rsid w:val="003073A2"/>
    <w:rsid w:val="003078C4"/>
    <w:rsid w:val="00307E91"/>
    <w:rsid w:val="003102EC"/>
    <w:rsid w:val="00310786"/>
    <w:rsid w:val="003111E6"/>
    <w:rsid w:val="00311634"/>
    <w:rsid w:val="003117DF"/>
    <w:rsid w:val="00311D65"/>
    <w:rsid w:val="0031223E"/>
    <w:rsid w:val="00312ECF"/>
    <w:rsid w:val="00313BDB"/>
    <w:rsid w:val="00314148"/>
    <w:rsid w:val="00314648"/>
    <w:rsid w:val="0031470E"/>
    <w:rsid w:val="00314B94"/>
    <w:rsid w:val="0031590F"/>
    <w:rsid w:val="00315B98"/>
    <w:rsid w:val="00315BBF"/>
    <w:rsid w:val="00316376"/>
    <w:rsid w:val="003163DD"/>
    <w:rsid w:val="00316455"/>
    <w:rsid w:val="003168F4"/>
    <w:rsid w:val="00316FBB"/>
    <w:rsid w:val="00317A0A"/>
    <w:rsid w:val="00317AE6"/>
    <w:rsid w:val="00317CEC"/>
    <w:rsid w:val="0032048A"/>
    <w:rsid w:val="003206E0"/>
    <w:rsid w:val="003209CB"/>
    <w:rsid w:val="00320BAD"/>
    <w:rsid w:val="00320D0B"/>
    <w:rsid w:val="00320FE8"/>
    <w:rsid w:val="0032121F"/>
    <w:rsid w:val="00321788"/>
    <w:rsid w:val="00321BE4"/>
    <w:rsid w:val="00321E18"/>
    <w:rsid w:val="00322892"/>
    <w:rsid w:val="0032292D"/>
    <w:rsid w:val="0032298C"/>
    <w:rsid w:val="003237A6"/>
    <w:rsid w:val="0032395B"/>
    <w:rsid w:val="00323C16"/>
    <w:rsid w:val="00323C42"/>
    <w:rsid w:val="00323E89"/>
    <w:rsid w:val="00324107"/>
    <w:rsid w:val="00324521"/>
    <w:rsid w:val="003247C9"/>
    <w:rsid w:val="003249E8"/>
    <w:rsid w:val="00324E8B"/>
    <w:rsid w:val="00325027"/>
    <w:rsid w:val="0032527A"/>
    <w:rsid w:val="00325376"/>
    <w:rsid w:val="003253C8"/>
    <w:rsid w:val="00325C4E"/>
    <w:rsid w:val="00325D50"/>
    <w:rsid w:val="00325E0B"/>
    <w:rsid w:val="00325E3B"/>
    <w:rsid w:val="00326A49"/>
    <w:rsid w:val="00326D45"/>
    <w:rsid w:val="0032718E"/>
    <w:rsid w:val="003271F0"/>
    <w:rsid w:val="00327D5E"/>
    <w:rsid w:val="003304C7"/>
    <w:rsid w:val="00330516"/>
    <w:rsid w:val="00330519"/>
    <w:rsid w:val="003309C5"/>
    <w:rsid w:val="00330CB0"/>
    <w:rsid w:val="003316AF"/>
    <w:rsid w:val="00331E19"/>
    <w:rsid w:val="00332332"/>
    <w:rsid w:val="0033241E"/>
    <w:rsid w:val="003324DE"/>
    <w:rsid w:val="003326CC"/>
    <w:rsid w:val="003327C5"/>
    <w:rsid w:val="003328E3"/>
    <w:rsid w:val="00332D03"/>
    <w:rsid w:val="0033305D"/>
    <w:rsid w:val="003339B9"/>
    <w:rsid w:val="00333F11"/>
    <w:rsid w:val="0033402E"/>
    <w:rsid w:val="0033461F"/>
    <w:rsid w:val="003349B3"/>
    <w:rsid w:val="00334CFD"/>
    <w:rsid w:val="00334E1E"/>
    <w:rsid w:val="00335004"/>
    <w:rsid w:val="0033521F"/>
    <w:rsid w:val="003352EF"/>
    <w:rsid w:val="00335FB8"/>
    <w:rsid w:val="00336166"/>
    <w:rsid w:val="003361B1"/>
    <w:rsid w:val="00336E33"/>
    <w:rsid w:val="00336EBB"/>
    <w:rsid w:val="0033762D"/>
    <w:rsid w:val="003379BA"/>
    <w:rsid w:val="00337D23"/>
    <w:rsid w:val="00340303"/>
    <w:rsid w:val="0034038D"/>
    <w:rsid w:val="0034089C"/>
    <w:rsid w:val="00340BEA"/>
    <w:rsid w:val="00340F89"/>
    <w:rsid w:val="00341B3D"/>
    <w:rsid w:val="00341B8F"/>
    <w:rsid w:val="00341CA3"/>
    <w:rsid w:val="00341E5D"/>
    <w:rsid w:val="003420C4"/>
    <w:rsid w:val="00342233"/>
    <w:rsid w:val="00342728"/>
    <w:rsid w:val="00342C76"/>
    <w:rsid w:val="00342D6B"/>
    <w:rsid w:val="00343340"/>
    <w:rsid w:val="00343361"/>
    <w:rsid w:val="00343912"/>
    <w:rsid w:val="00343C82"/>
    <w:rsid w:val="0034409F"/>
    <w:rsid w:val="00344407"/>
    <w:rsid w:val="00344B74"/>
    <w:rsid w:val="00344C48"/>
    <w:rsid w:val="00344F44"/>
    <w:rsid w:val="00344FE7"/>
    <w:rsid w:val="00345955"/>
    <w:rsid w:val="00345C33"/>
    <w:rsid w:val="00345FAA"/>
    <w:rsid w:val="00346459"/>
    <w:rsid w:val="0034649F"/>
    <w:rsid w:val="003468F1"/>
    <w:rsid w:val="00346C32"/>
    <w:rsid w:val="00347072"/>
    <w:rsid w:val="00347414"/>
    <w:rsid w:val="003475C1"/>
    <w:rsid w:val="00347782"/>
    <w:rsid w:val="003479AF"/>
    <w:rsid w:val="00350390"/>
    <w:rsid w:val="003508FF"/>
    <w:rsid w:val="00350B83"/>
    <w:rsid w:val="00350E61"/>
    <w:rsid w:val="00350EE0"/>
    <w:rsid w:val="003512E5"/>
    <w:rsid w:val="0035147C"/>
    <w:rsid w:val="00351B63"/>
    <w:rsid w:val="00352144"/>
    <w:rsid w:val="003523AB"/>
    <w:rsid w:val="00352581"/>
    <w:rsid w:val="00352EA7"/>
    <w:rsid w:val="00353DAF"/>
    <w:rsid w:val="0035474A"/>
    <w:rsid w:val="00354CC4"/>
    <w:rsid w:val="00354D0C"/>
    <w:rsid w:val="00354DAE"/>
    <w:rsid w:val="00355241"/>
    <w:rsid w:val="0035528E"/>
    <w:rsid w:val="0035578E"/>
    <w:rsid w:val="00355825"/>
    <w:rsid w:val="00355A13"/>
    <w:rsid w:val="00355A16"/>
    <w:rsid w:val="00355B51"/>
    <w:rsid w:val="00356626"/>
    <w:rsid w:val="00357023"/>
    <w:rsid w:val="003574E3"/>
    <w:rsid w:val="003575E6"/>
    <w:rsid w:val="00357E81"/>
    <w:rsid w:val="0036014A"/>
    <w:rsid w:val="00360153"/>
    <w:rsid w:val="00360316"/>
    <w:rsid w:val="00360AE9"/>
    <w:rsid w:val="00360F70"/>
    <w:rsid w:val="003610ED"/>
    <w:rsid w:val="00361DC0"/>
    <w:rsid w:val="00361F12"/>
    <w:rsid w:val="00362096"/>
    <w:rsid w:val="003620D8"/>
    <w:rsid w:val="00362421"/>
    <w:rsid w:val="00362C25"/>
    <w:rsid w:val="003630CC"/>
    <w:rsid w:val="0036312D"/>
    <w:rsid w:val="003634C1"/>
    <w:rsid w:val="00363BA7"/>
    <w:rsid w:val="0036427D"/>
    <w:rsid w:val="00364875"/>
    <w:rsid w:val="00364C1A"/>
    <w:rsid w:val="00365813"/>
    <w:rsid w:val="00365B22"/>
    <w:rsid w:val="00365B95"/>
    <w:rsid w:val="003661C5"/>
    <w:rsid w:val="003662E5"/>
    <w:rsid w:val="003666DC"/>
    <w:rsid w:val="00366B6A"/>
    <w:rsid w:val="00366D64"/>
    <w:rsid w:val="00367233"/>
    <w:rsid w:val="0036771C"/>
    <w:rsid w:val="0036792E"/>
    <w:rsid w:val="00367A5E"/>
    <w:rsid w:val="00367B65"/>
    <w:rsid w:val="00367BB1"/>
    <w:rsid w:val="00367D24"/>
    <w:rsid w:val="0037050D"/>
    <w:rsid w:val="003709D5"/>
    <w:rsid w:val="00370AA8"/>
    <w:rsid w:val="00370AE9"/>
    <w:rsid w:val="00370C38"/>
    <w:rsid w:val="00371254"/>
    <w:rsid w:val="003713AE"/>
    <w:rsid w:val="0037198B"/>
    <w:rsid w:val="003719D1"/>
    <w:rsid w:val="0037277E"/>
    <w:rsid w:val="0037294B"/>
    <w:rsid w:val="003729AD"/>
    <w:rsid w:val="00372E11"/>
    <w:rsid w:val="00372FAB"/>
    <w:rsid w:val="0037308D"/>
    <w:rsid w:val="003730B9"/>
    <w:rsid w:val="00373885"/>
    <w:rsid w:val="00373EB0"/>
    <w:rsid w:val="00374017"/>
    <w:rsid w:val="003745F4"/>
    <w:rsid w:val="00374661"/>
    <w:rsid w:val="00374992"/>
    <w:rsid w:val="00374E6B"/>
    <w:rsid w:val="00375D55"/>
    <w:rsid w:val="00375FF5"/>
    <w:rsid w:val="0037627E"/>
    <w:rsid w:val="003762D9"/>
    <w:rsid w:val="003765F0"/>
    <w:rsid w:val="00376A21"/>
    <w:rsid w:val="00376DA8"/>
    <w:rsid w:val="003770B5"/>
    <w:rsid w:val="003771CB"/>
    <w:rsid w:val="00377285"/>
    <w:rsid w:val="00377474"/>
    <w:rsid w:val="0037766D"/>
    <w:rsid w:val="00377B1E"/>
    <w:rsid w:val="00377BFB"/>
    <w:rsid w:val="00377DA9"/>
    <w:rsid w:val="003800C4"/>
    <w:rsid w:val="0038016B"/>
    <w:rsid w:val="0038022C"/>
    <w:rsid w:val="00380683"/>
    <w:rsid w:val="003809C8"/>
    <w:rsid w:val="00380F9F"/>
    <w:rsid w:val="00381607"/>
    <w:rsid w:val="00381643"/>
    <w:rsid w:val="003818C6"/>
    <w:rsid w:val="0038195D"/>
    <w:rsid w:val="00381FEA"/>
    <w:rsid w:val="00382698"/>
    <w:rsid w:val="003826DB"/>
    <w:rsid w:val="00382762"/>
    <w:rsid w:val="00382D32"/>
    <w:rsid w:val="00382E6A"/>
    <w:rsid w:val="00382F7E"/>
    <w:rsid w:val="00383059"/>
    <w:rsid w:val="003834DF"/>
    <w:rsid w:val="00383A8F"/>
    <w:rsid w:val="00383C0F"/>
    <w:rsid w:val="00383CAB"/>
    <w:rsid w:val="00383D55"/>
    <w:rsid w:val="00383E25"/>
    <w:rsid w:val="00384120"/>
    <w:rsid w:val="0038419E"/>
    <w:rsid w:val="00384865"/>
    <w:rsid w:val="00384C56"/>
    <w:rsid w:val="00384CE5"/>
    <w:rsid w:val="003857F4"/>
    <w:rsid w:val="00385BC6"/>
    <w:rsid w:val="00385EF9"/>
    <w:rsid w:val="00386415"/>
    <w:rsid w:val="003865C8"/>
    <w:rsid w:val="00386C60"/>
    <w:rsid w:val="00386D01"/>
    <w:rsid w:val="00387529"/>
    <w:rsid w:val="00387D29"/>
    <w:rsid w:val="0039035E"/>
    <w:rsid w:val="003903F6"/>
    <w:rsid w:val="00390620"/>
    <w:rsid w:val="0039065B"/>
    <w:rsid w:val="00390732"/>
    <w:rsid w:val="00390AEA"/>
    <w:rsid w:val="0039104A"/>
    <w:rsid w:val="0039143C"/>
    <w:rsid w:val="0039174F"/>
    <w:rsid w:val="0039199B"/>
    <w:rsid w:val="003921FB"/>
    <w:rsid w:val="00392300"/>
    <w:rsid w:val="0039255E"/>
    <w:rsid w:val="00392796"/>
    <w:rsid w:val="00392C21"/>
    <w:rsid w:val="00393210"/>
    <w:rsid w:val="0039331E"/>
    <w:rsid w:val="00393882"/>
    <w:rsid w:val="003946D6"/>
    <w:rsid w:val="0039479A"/>
    <w:rsid w:val="00394B90"/>
    <w:rsid w:val="00394C66"/>
    <w:rsid w:val="0039578A"/>
    <w:rsid w:val="00395D20"/>
    <w:rsid w:val="00395D28"/>
    <w:rsid w:val="003962B1"/>
    <w:rsid w:val="003962EA"/>
    <w:rsid w:val="00396F81"/>
    <w:rsid w:val="003972DA"/>
    <w:rsid w:val="0039753D"/>
    <w:rsid w:val="003976A2"/>
    <w:rsid w:val="003978EB"/>
    <w:rsid w:val="00397951"/>
    <w:rsid w:val="00397BEA"/>
    <w:rsid w:val="003A073D"/>
    <w:rsid w:val="003A0CDC"/>
    <w:rsid w:val="003A0D57"/>
    <w:rsid w:val="003A0E08"/>
    <w:rsid w:val="003A0E9A"/>
    <w:rsid w:val="003A1183"/>
    <w:rsid w:val="003A120F"/>
    <w:rsid w:val="003A1A56"/>
    <w:rsid w:val="003A1ED5"/>
    <w:rsid w:val="003A25A5"/>
    <w:rsid w:val="003A25AD"/>
    <w:rsid w:val="003A26E3"/>
    <w:rsid w:val="003A2CE5"/>
    <w:rsid w:val="003A2F62"/>
    <w:rsid w:val="003A2F68"/>
    <w:rsid w:val="003A316F"/>
    <w:rsid w:val="003A33D8"/>
    <w:rsid w:val="003A3782"/>
    <w:rsid w:val="003A37C9"/>
    <w:rsid w:val="003A39AA"/>
    <w:rsid w:val="003A3C8A"/>
    <w:rsid w:val="003A3F32"/>
    <w:rsid w:val="003A40BC"/>
    <w:rsid w:val="003A4BD5"/>
    <w:rsid w:val="003A4BE5"/>
    <w:rsid w:val="003A4F03"/>
    <w:rsid w:val="003A4FAF"/>
    <w:rsid w:val="003A4FDF"/>
    <w:rsid w:val="003A5141"/>
    <w:rsid w:val="003A547D"/>
    <w:rsid w:val="003A5689"/>
    <w:rsid w:val="003A56A2"/>
    <w:rsid w:val="003A6049"/>
    <w:rsid w:val="003A6B12"/>
    <w:rsid w:val="003A6D26"/>
    <w:rsid w:val="003A6E2C"/>
    <w:rsid w:val="003A715A"/>
    <w:rsid w:val="003A7594"/>
    <w:rsid w:val="003A7659"/>
    <w:rsid w:val="003A7B3A"/>
    <w:rsid w:val="003A7D64"/>
    <w:rsid w:val="003B0061"/>
    <w:rsid w:val="003B014D"/>
    <w:rsid w:val="003B0537"/>
    <w:rsid w:val="003B0D57"/>
    <w:rsid w:val="003B0E1F"/>
    <w:rsid w:val="003B1073"/>
    <w:rsid w:val="003B169B"/>
    <w:rsid w:val="003B1A50"/>
    <w:rsid w:val="003B23DC"/>
    <w:rsid w:val="003B2A0B"/>
    <w:rsid w:val="003B2C6B"/>
    <w:rsid w:val="003B2E04"/>
    <w:rsid w:val="003B2FCA"/>
    <w:rsid w:val="003B363A"/>
    <w:rsid w:val="003B36CB"/>
    <w:rsid w:val="003B37EE"/>
    <w:rsid w:val="003B3A4F"/>
    <w:rsid w:val="003B3C7C"/>
    <w:rsid w:val="003B3DE4"/>
    <w:rsid w:val="003B3F00"/>
    <w:rsid w:val="003B442D"/>
    <w:rsid w:val="003B45F2"/>
    <w:rsid w:val="003B4BAE"/>
    <w:rsid w:val="003B4DE1"/>
    <w:rsid w:val="003B4F0F"/>
    <w:rsid w:val="003B4F75"/>
    <w:rsid w:val="003B5210"/>
    <w:rsid w:val="003B5364"/>
    <w:rsid w:val="003B5410"/>
    <w:rsid w:val="003B55B3"/>
    <w:rsid w:val="003B56ED"/>
    <w:rsid w:val="003B5746"/>
    <w:rsid w:val="003B5A9C"/>
    <w:rsid w:val="003B5BC4"/>
    <w:rsid w:val="003B5E5E"/>
    <w:rsid w:val="003B5F5B"/>
    <w:rsid w:val="003B60A5"/>
    <w:rsid w:val="003B61F9"/>
    <w:rsid w:val="003B6275"/>
    <w:rsid w:val="003B63A6"/>
    <w:rsid w:val="003B6519"/>
    <w:rsid w:val="003B6568"/>
    <w:rsid w:val="003B6AC6"/>
    <w:rsid w:val="003B755C"/>
    <w:rsid w:val="003B7E25"/>
    <w:rsid w:val="003B7ECB"/>
    <w:rsid w:val="003C010A"/>
    <w:rsid w:val="003C0C11"/>
    <w:rsid w:val="003C12D1"/>
    <w:rsid w:val="003C12E3"/>
    <w:rsid w:val="003C1324"/>
    <w:rsid w:val="003C2148"/>
    <w:rsid w:val="003C2320"/>
    <w:rsid w:val="003C236F"/>
    <w:rsid w:val="003C27A5"/>
    <w:rsid w:val="003C2BDF"/>
    <w:rsid w:val="003C2DC1"/>
    <w:rsid w:val="003C2E43"/>
    <w:rsid w:val="003C2F9E"/>
    <w:rsid w:val="003C32C5"/>
    <w:rsid w:val="003C3604"/>
    <w:rsid w:val="003C3631"/>
    <w:rsid w:val="003C39C7"/>
    <w:rsid w:val="003C3AAC"/>
    <w:rsid w:val="003C404C"/>
    <w:rsid w:val="003C41CE"/>
    <w:rsid w:val="003C44AD"/>
    <w:rsid w:val="003C4624"/>
    <w:rsid w:val="003C49A2"/>
    <w:rsid w:val="003C4C7E"/>
    <w:rsid w:val="003C4FFE"/>
    <w:rsid w:val="003C5049"/>
    <w:rsid w:val="003C5463"/>
    <w:rsid w:val="003C558A"/>
    <w:rsid w:val="003C55C6"/>
    <w:rsid w:val="003C55E3"/>
    <w:rsid w:val="003C5C3F"/>
    <w:rsid w:val="003C5E38"/>
    <w:rsid w:val="003C6397"/>
    <w:rsid w:val="003C6399"/>
    <w:rsid w:val="003C63C2"/>
    <w:rsid w:val="003C652A"/>
    <w:rsid w:val="003C665E"/>
    <w:rsid w:val="003C69FB"/>
    <w:rsid w:val="003C71DE"/>
    <w:rsid w:val="003C7209"/>
    <w:rsid w:val="003C730A"/>
    <w:rsid w:val="003C7384"/>
    <w:rsid w:val="003C767E"/>
    <w:rsid w:val="003C78AA"/>
    <w:rsid w:val="003C79C7"/>
    <w:rsid w:val="003C7B15"/>
    <w:rsid w:val="003C7DAE"/>
    <w:rsid w:val="003C7F87"/>
    <w:rsid w:val="003C7FC2"/>
    <w:rsid w:val="003D000D"/>
    <w:rsid w:val="003D006D"/>
    <w:rsid w:val="003D033A"/>
    <w:rsid w:val="003D051B"/>
    <w:rsid w:val="003D0A61"/>
    <w:rsid w:val="003D0FB8"/>
    <w:rsid w:val="003D1616"/>
    <w:rsid w:val="003D16EF"/>
    <w:rsid w:val="003D2023"/>
    <w:rsid w:val="003D21E7"/>
    <w:rsid w:val="003D23FD"/>
    <w:rsid w:val="003D2477"/>
    <w:rsid w:val="003D2826"/>
    <w:rsid w:val="003D2915"/>
    <w:rsid w:val="003D298E"/>
    <w:rsid w:val="003D2E40"/>
    <w:rsid w:val="003D2ECA"/>
    <w:rsid w:val="003D3467"/>
    <w:rsid w:val="003D3668"/>
    <w:rsid w:val="003D3A89"/>
    <w:rsid w:val="003D3AF3"/>
    <w:rsid w:val="003D42F1"/>
    <w:rsid w:val="003D4486"/>
    <w:rsid w:val="003D4D1D"/>
    <w:rsid w:val="003D4EDC"/>
    <w:rsid w:val="003D4FF9"/>
    <w:rsid w:val="003D507F"/>
    <w:rsid w:val="003D5530"/>
    <w:rsid w:val="003D560C"/>
    <w:rsid w:val="003D5961"/>
    <w:rsid w:val="003D5A56"/>
    <w:rsid w:val="003D5CE8"/>
    <w:rsid w:val="003D5E09"/>
    <w:rsid w:val="003D64A6"/>
    <w:rsid w:val="003D6C63"/>
    <w:rsid w:val="003D6D36"/>
    <w:rsid w:val="003D6ED6"/>
    <w:rsid w:val="003D751B"/>
    <w:rsid w:val="003D76E5"/>
    <w:rsid w:val="003D781E"/>
    <w:rsid w:val="003D7A02"/>
    <w:rsid w:val="003D7C32"/>
    <w:rsid w:val="003D7C90"/>
    <w:rsid w:val="003E06F6"/>
    <w:rsid w:val="003E079F"/>
    <w:rsid w:val="003E097D"/>
    <w:rsid w:val="003E0FBF"/>
    <w:rsid w:val="003E10D0"/>
    <w:rsid w:val="003E1131"/>
    <w:rsid w:val="003E137F"/>
    <w:rsid w:val="003E14C9"/>
    <w:rsid w:val="003E18C3"/>
    <w:rsid w:val="003E1B86"/>
    <w:rsid w:val="003E26ED"/>
    <w:rsid w:val="003E2A10"/>
    <w:rsid w:val="003E2D28"/>
    <w:rsid w:val="003E2FF0"/>
    <w:rsid w:val="003E337B"/>
    <w:rsid w:val="003E3AB7"/>
    <w:rsid w:val="003E4923"/>
    <w:rsid w:val="003E4D74"/>
    <w:rsid w:val="003E51A4"/>
    <w:rsid w:val="003E5319"/>
    <w:rsid w:val="003E58C2"/>
    <w:rsid w:val="003E5916"/>
    <w:rsid w:val="003E5A76"/>
    <w:rsid w:val="003E6376"/>
    <w:rsid w:val="003E63D7"/>
    <w:rsid w:val="003E6687"/>
    <w:rsid w:val="003E6B27"/>
    <w:rsid w:val="003E6B9D"/>
    <w:rsid w:val="003E72B1"/>
    <w:rsid w:val="003E764F"/>
    <w:rsid w:val="003E7A12"/>
    <w:rsid w:val="003E7AC5"/>
    <w:rsid w:val="003E7DC6"/>
    <w:rsid w:val="003F00DF"/>
    <w:rsid w:val="003F02CB"/>
    <w:rsid w:val="003F0522"/>
    <w:rsid w:val="003F0FD9"/>
    <w:rsid w:val="003F12EC"/>
    <w:rsid w:val="003F14FD"/>
    <w:rsid w:val="003F172A"/>
    <w:rsid w:val="003F1C3D"/>
    <w:rsid w:val="003F1FDA"/>
    <w:rsid w:val="003F23D3"/>
    <w:rsid w:val="003F25E9"/>
    <w:rsid w:val="003F2602"/>
    <w:rsid w:val="003F2678"/>
    <w:rsid w:val="003F2797"/>
    <w:rsid w:val="003F2FAE"/>
    <w:rsid w:val="003F33C3"/>
    <w:rsid w:val="003F37AB"/>
    <w:rsid w:val="003F387F"/>
    <w:rsid w:val="003F3ABA"/>
    <w:rsid w:val="003F3E96"/>
    <w:rsid w:val="003F452D"/>
    <w:rsid w:val="003F45D6"/>
    <w:rsid w:val="003F4BFE"/>
    <w:rsid w:val="003F4F25"/>
    <w:rsid w:val="003F5BE6"/>
    <w:rsid w:val="003F60FD"/>
    <w:rsid w:val="003F6D16"/>
    <w:rsid w:val="003F6D25"/>
    <w:rsid w:val="003F6F5A"/>
    <w:rsid w:val="003F7603"/>
    <w:rsid w:val="003F788F"/>
    <w:rsid w:val="003F797D"/>
    <w:rsid w:val="003F7A45"/>
    <w:rsid w:val="0040000C"/>
    <w:rsid w:val="004001E8"/>
    <w:rsid w:val="00400302"/>
    <w:rsid w:val="004009D9"/>
    <w:rsid w:val="00400F52"/>
    <w:rsid w:val="00401764"/>
    <w:rsid w:val="0040189C"/>
    <w:rsid w:val="00401C21"/>
    <w:rsid w:val="004027D3"/>
    <w:rsid w:val="00402A89"/>
    <w:rsid w:val="00403293"/>
    <w:rsid w:val="0040338B"/>
    <w:rsid w:val="004035DD"/>
    <w:rsid w:val="004038B3"/>
    <w:rsid w:val="0040398A"/>
    <w:rsid w:val="00403CA0"/>
    <w:rsid w:val="00403E2F"/>
    <w:rsid w:val="00404BDC"/>
    <w:rsid w:val="00404D7B"/>
    <w:rsid w:val="00404E4D"/>
    <w:rsid w:val="00405871"/>
    <w:rsid w:val="004058C6"/>
    <w:rsid w:val="00405CD9"/>
    <w:rsid w:val="0040653F"/>
    <w:rsid w:val="00406651"/>
    <w:rsid w:val="00406703"/>
    <w:rsid w:val="00406B25"/>
    <w:rsid w:val="00406BCD"/>
    <w:rsid w:val="0040736D"/>
    <w:rsid w:val="00407382"/>
    <w:rsid w:val="0040745B"/>
    <w:rsid w:val="0040758D"/>
    <w:rsid w:val="00407E97"/>
    <w:rsid w:val="00410065"/>
    <w:rsid w:val="00411FC4"/>
    <w:rsid w:val="0041234E"/>
    <w:rsid w:val="0041253D"/>
    <w:rsid w:val="00412813"/>
    <w:rsid w:val="004129C0"/>
    <w:rsid w:val="00412EE0"/>
    <w:rsid w:val="0041338E"/>
    <w:rsid w:val="004133C3"/>
    <w:rsid w:val="004134F6"/>
    <w:rsid w:val="00413660"/>
    <w:rsid w:val="004137F1"/>
    <w:rsid w:val="0041384B"/>
    <w:rsid w:val="004138A4"/>
    <w:rsid w:val="00413BE2"/>
    <w:rsid w:val="00414055"/>
    <w:rsid w:val="004143E8"/>
    <w:rsid w:val="004144CF"/>
    <w:rsid w:val="0041463A"/>
    <w:rsid w:val="0041476E"/>
    <w:rsid w:val="00414823"/>
    <w:rsid w:val="00414ABF"/>
    <w:rsid w:val="004152CD"/>
    <w:rsid w:val="0041555C"/>
    <w:rsid w:val="00415A63"/>
    <w:rsid w:val="00415AC4"/>
    <w:rsid w:val="00415ED1"/>
    <w:rsid w:val="0041620C"/>
    <w:rsid w:val="00416BBD"/>
    <w:rsid w:val="00416C06"/>
    <w:rsid w:val="00416C36"/>
    <w:rsid w:val="004172A8"/>
    <w:rsid w:val="0041733C"/>
    <w:rsid w:val="0041772B"/>
    <w:rsid w:val="004179DB"/>
    <w:rsid w:val="004179EA"/>
    <w:rsid w:val="00417D4E"/>
    <w:rsid w:val="004200C3"/>
    <w:rsid w:val="00420212"/>
    <w:rsid w:val="00420865"/>
    <w:rsid w:val="00420A55"/>
    <w:rsid w:val="00420A5C"/>
    <w:rsid w:val="00420E60"/>
    <w:rsid w:val="0042178F"/>
    <w:rsid w:val="0042190C"/>
    <w:rsid w:val="004219A7"/>
    <w:rsid w:val="00422049"/>
    <w:rsid w:val="00422232"/>
    <w:rsid w:val="0042226E"/>
    <w:rsid w:val="004222F3"/>
    <w:rsid w:val="00423192"/>
    <w:rsid w:val="00423816"/>
    <w:rsid w:val="00423B70"/>
    <w:rsid w:val="00423BE9"/>
    <w:rsid w:val="00423D75"/>
    <w:rsid w:val="0042453A"/>
    <w:rsid w:val="0042465E"/>
    <w:rsid w:val="00424683"/>
    <w:rsid w:val="004246C9"/>
    <w:rsid w:val="00424B98"/>
    <w:rsid w:val="00424B9C"/>
    <w:rsid w:val="00425006"/>
    <w:rsid w:val="004255E5"/>
    <w:rsid w:val="00425DEC"/>
    <w:rsid w:val="004263BC"/>
    <w:rsid w:val="004270FE"/>
    <w:rsid w:val="0042793F"/>
    <w:rsid w:val="00427D7C"/>
    <w:rsid w:val="00430378"/>
    <w:rsid w:val="00430858"/>
    <w:rsid w:val="00430BD9"/>
    <w:rsid w:val="0043106B"/>
    <w:rsid w:val="0043119A"/>
    <w:rsid w:val="004312B6"/>
    <w:rsid w:val="0043178A"/>
    <w:rsid w:val="004317C7"/>
    <w:rsid w:val="00431A22"/>
    <w:rsid w:val="0043230A"/>
    <w:rsid w:val="0043233C"/>
    <w:rsid w:val="00432422"/>
    <w:rsid w:val="004324FB"/>
    <w:rsid w:val="00432B97"/>
    <w:rsid w:val="004336E6"/>
    <w:rsid w:val="004337C6"/>
    <w:rsid w:val="0043393D"/>
    <w:rsid w:val="00433AC0"/>
    <w:rsid w:val="00433D25"/>
    <w:rsid w:val="00433D3E"/>
    <w:rsid w:val="00433F16"/>
    <w:rsid w:val="00434140"/>
    <w:rsid w:val="00434275"/>
    <w:rsid w:val="004346A9"/>
    <w:rsid w:val="00434904"/>
    <w:rsid w:val="00434B5B"/>
    <w:rsid w:val="00434B6E"/>
    <w:rsid w:val="00434EAB"/>
    <w:rsid w:val="00435761"/>
    <w:rsid w:val="00435AD6"/>
    <w:rsid w:val="004362B0"/>
    <w:rsid w:val="00436464"/>
    <w:rsid w:val="0043651B"/>
    <w:rsid w:val="004367C1"/>
    <w:rsid w:val="00436EBA"/>
    <w:rsid w:val="00436F1D"/>
    <w:rsid w:val="00436F32"/>
    <w:rsid w:val="00436F50"/>
    <w:rsid w:val="004373A2"/>
    <w:rsid w:val="0043769C"/>
    <w:rsid w:val="004376DB"/>
    <w:rsid w:val="004376EE"/>
    <w:rsid w:val="00437764"/>
    <w:rsid w:val="00437925"/>
    <w:rsid w:val="00437AA7"/>
    <w:rsid w:val="00437ABF"/>
    <w:rsid w:val="00437E05"/>
    <w:rsid w:val="00440608"/>
    <w:rsid w:val="004406EE"/>
    <w:rsid w:val="00440855"/>
    <w:rsid w:val="00440F2E"/>
    <w:rsid w:val="00441251"/>
    <w:rsid w:val="00441324"/>
    <w:rsid w:val="004413AD"/>
    <w:rsid w:val="004414B8"/>
    <w:rsid w:val="0044178A"/>
    <w:rsid w:val="004418A6"/>
    <w:rsid w:val="00441A2F"/>
    <w:rsid w:val="00441F70"/>
    <w:rsid w:val="004426B8"/>
    <w:rsid w:val="004428CE"/>
    <w:rsid w:val="00442EC7"/>
    <w:rsid w:val="00442F62"/>
    <w:rsid w:val="00443120"/>
    <w:rsid w:val="00443D7E"/>
    <w:rsid w:val="00443E53"/>
    <w:rsid w:val="00443E6D"/>
    <w:rsid w:val="0044411D"/>
    <w:rsid w:val="004442B5"/>
    <w:rsid w:val="00444A3B"/>
    <w:rsid w:val="00444C15"/>
    <w:rsid w:val="00444DE6"/>
    <w:rsid w:val="00444FA8"/>
    <w:rsid w:val="00444FE2"/>
    <w:rsid w:val="00445828"/>
    <w:rsid w:val="00445954"/>
    <w:rsid w:val="00445DC2"/>
    <w:rsid w:val="00445F43"/>
    <w:rsid w:val="004467D3"/>
    <w:rsid w:val="00446B0F"/>
    <w:rsid w:val="00446DC5"/>
    <w:rsid w:val="00446E09"/>
    <w:rsid w:val="00446EBD"/>
    <w:rsid w:val="00447030"/>
    <w:rsid w:val="00447884"/>
    <w:rsid w:val="00447B74"/>
    <w:rsid w:val="00447E6B"/>
    <w:rsid w:val="00447EB2"/>
    <w:rsid w:val="00447F8E"/>
    <w:rsid w:val="00450AEA"/>
    <w:rsid w:val="00450FDD"/>
    <w:rsid w:val="0045175C"/>
    <w:rsid w:val="00451C3D"/>
    <w:rsid w:val="00452298"/>
    <w:rsid w:val="004526DA"/>
    <w:rsid w:val="00452C33"/>
    <w:rsid w:val="00452C7B"/>
    <w:rsid w:val="00452CD6"/>
    <w:rsid w:val="0045334B"/>
    <w:rsid w:val="00453943"/>
    <w:rsid w:val="0045456C"/>
    <w:rsid w:val="004545B7"/>
    <w:rsid w:val="00454FF5"/>
    <w:rsid w:val="004551A9"/>
    <w:rsid w:val="0045595B"/>
    <w:rsid w:val="004559AE"/>
    <w:rsid w:val="00455D79"/>
    <w:rsid w:val="00455F0E"/>
    <w:rsid w:val="00456453"/>
    <w:rsid w:val="00456B6B"/>
    <w:rsid w:val="00456BE5"/>
    <w:rsid w:val="00456DFE"/>
    <w:rsid w:val="004573E5"/>
    <w:rsid w:val="00457544"/>
    <w:rsid w:val="00457999"/>
    <w:rsid w:val="00457A73"/>
    <w:rsid w:val="00457E4A"/>
    <w:rsid w:val="00457F43"/>
    <w:rsid w:val="00460642"/>
    <w:rsid w:val="00460A31"/>
    <w:rsid w:val="00460B3B"/>
    <w:rsid w:val="00460B68"/>
    <w:rsid w:val="00461CC8"/>
    <w:rsid w:val="00462038"/>
    <w:rsid w:val="0046286D"/>
    <w:rsid w:val="004629AB"/>
    <w:rsid w:val="00463171"/>
    <w:rsid w:val="004633E0"/>
    <w:rsid w:val="0046387D"/>
    <w:rsid w:val="004638DB"/>
    <w:rsid w:val="004642B4"/>
    <w:rsid w:val="0046486E"/>
    <w:rsid w:val="00464A42"/>
    <w:rsid w:val="00464CAE"/>
    <w:rsid w:val="00464E42"/>
    <w:rsid w:val="0046502C"/>
    <w:rsid w:val="004650E4"/>
    <w:rsid w:val="004655C6"/>
    <w:rsid w:val="00465634"/>
    <w:rsid w:val="004656BF"/>
    <w:rsid w:val="00465D17"/>
    <w:rsid w:val="004664DB"/>
    <w:rsid w:val="0046658D"/>
    <w:rsid w:val="00466FB5"/>
    <w:rsid w:val="004703E1"/>
    <w:rsid w:val="004709B2"/>
    <w:rsid w:val="00470BAF"/>
    <w:rsid w:val="00470C96"/>
    <w:rsid w:val="00470D00"/>
    <w:rsid w:val="00470F69"/>
    <w:rsid w:val="00471AD4"/>
    <w:rsid w:val="00471B00"/>
    <w:rsid w:val="00472AE1"/>
    <w:rsid w:val="00472EA9"/>
    <w:rsid w:val="00473157"/>
    <w:rsid w:val="00473176"/>
    <w:rsid w:val="004734B6"/>
    <w:rsid w:val="004734C5"/>
    <w:rsid w:val="0047364B"/>
    <w:rsid w:val="0047374E"/>
    <w:rsid w:val="00473B3D"/>
    <w:rsid w:val="00473E7E"/>
    <w:rsid w:val="00473E90"/>
    <w:rsid w:val="00473EBB"/>
    <w:rsid w:val="004741F7"/>
    <w:rsid w:val="004742BB"/>
    <w:rsid w:val="004744DB"/>
    <w:rsid w:val="0047477B"/>
    <w:rsid w:val="0047497B"/>
    <w:rsid w:val="00474C6B"/>
    <w:rsid w:val="00474E4D"/>
    <w:rsid w:val="00475321"/>
    <w:rsid w:val="0047565B"/>
    <w:rsid w:val="004758AB"/>
    <w:rsid w:val="0047634F"/>
    <w:rsid w:val="00476358"/>
    <w:rsid w:val="00476410"/>
    <w:rsid w:val="00476B07"/>
    <w:rsid w:val="00476C35"/>
    <w:rsid w:val="00476FD3"/>
    <w:rsid w:val="00477808"/>
    <w:rsid w:val="004779D0"/>
    <w:rsid w:val="00477C19"/>
    <w:rsid w:val="00477DBB"/>
    <w:rsid w:val="004801E0"/>
    <w:rsid w:val="00480BB7"/>
    <w:rsid w:val="00480EE3"/>
    <w:rsid w:val="004812FB"/>
    <w:rsid w:val="004816CA"/>
    <w:rsid w:val="004817BE"/>
    <w:rsid w:val="00481E5F"/>
    <w:rsid w:val="00481E92"/>
    <w:rsid w:val="004826AF"/>
    <w:rsid w:val="0048272F"/>
    <w:rsid w:val="00482D54"/>
    <w:rsid w:val="00483271"/>
    <w:rsid w:val="004835C2"/>
    <w:rsid w:val="00483859"/>
    <w:rsid w:val="00483B46"/>
    <w:rsid w:val="00483D3B"/>
    <w:rsid w:val="004845F1"/>
    <w:rsid w:val="004850B3"/>
    <w:rsid w:val="004857E7"/>
    <w:rsid w:val="00486130"/>
    <w:rsid w:val="004865A8"/>
    <w:rsid w:val="00486ADC"/>
    <w:rsid w:val="00486B96"/>
    <w:rsid w:val="00486C58"/>
    <w:rsid w:val="0048777D"/>
    <w:rsid w:val="004879AF"/>
    <w:rsid w:val="00487D18"/>
    <w:rsid w:val="00490038"/>
    <w:rsid w:val="00490059"/>
    <w:rsid w:val="00490162"/>
    <w:rsid w:val="004904F7"/>
    <w:rsid w:val="00490A5D"/>
    <w:rsid w:val="00491030"/>
    <w:rsid w:val="004910AC"/>
    <w:rsid w:val="004914D8"/>
    <w:rsid w:val="004919E8"/>
    <w:rsid w:val="00491E18"/>
    <w:rsid w:val="00491F91"/>
    <w:rsid w:val="00491FF6"/>
    <w:rsid w:val="00492145"/>
    <w:rsid w:val="004928CE"/>
    <w:rsid w:val="00492A2F"/>
    <w:rsid w:val="00492BA1"/>
    <w:rsid w:val="00492D7E"/>
    <w:rsid w:val="00493540"/>
    <w:rsid w:val="00493607"/>
    <w:rsid w:val="004939E4"/>
    <w:rsid w:val="00493D36"/>
    <w:rsid w:val="00493E35"/>
    <w:rsid w:val="0049472D"/>
    <w:rsid w:val="00494AD6"/>
    <w:rsid w:val="00495120"/>
    <w:rsid w:val="00495E67"/>
    <w:rsid w:val="004963F9"/>
    <w:rsid w:val="0049698A"/>
    <w:rsid w:val="00496B4E"/>
    <w:rsid w:val="00496DE2"/>
    <w:rsid w:val="00497448"/>
    <w:rsid w:val="004975AA"/>
    <w:rsid w:val="00497935"/>
    <w:rsid w:val="004A034A"/>
    <w:rsid w:val="004A0476"/>
    <w:rsid w:val="004A07D7"/>
    <w:rsid w:val="004A0A69"/>
    <w:rsid w:val="004A0F9E"/>
    <w:rsid w:val="004A10D4"/>
    <w:rsid w:val="004A1130"/>
    <w:rsid w:val="004A1219"/>
    <w:rsid w:val="004A1A77"/>
    <w:rsid w:val="004A1DAA"/>
    <w:rsid w:val="004A23D2"/>
    <w:rsid w:val="004A25A0"/>
    <w:rsid w:val="004A285D"/>
    <w:rsid w:val="004A2D1D"/>
    <w:rsid w:val="004A302B"/>
    <w:rsid w:val="004A3242"/>
    <w:rsid w:val="004A3838"/>
    <w:rsid w:val="004A4467"/>
    <w:rsid w:val="004A4957"/>
    <w:rsid w:val="004A5258"/>
    <w:rsid w:val="004A5467"/>
    <w:rsid w:val="004A5AE2"/>
    <w:rsid w:val="004A5BB1"/>
    <w:rsid w:val="004A5CB1"/>
    <w:rsid w:val="004A5E3E"/>
    <w:rsid w:val="004A5EAA"/>
    <w:rsid w:val="004A638D"/>
    <w:rsid w:val="004A64EC"/>
    <w:rsid w:val="004A695F"/>
    <w:rsid w:val="004A697B"/>
    <w:rsid w:val="004A6A35"/>
    <w:rsid w:val="004A6EA6"/>
    <w:rsid w:val="004A7550"/>
    <w:rsid w:val="004A7966"/>
    <w:rsid w:val="004A7A54"/>
    <w:rsid w:val="004B0239"/>
    <w:rsid w:val="004B0379"/>
    <w:rsid w:val="004B0A69"/>
    <w:rsid w:val="004B0D1E"/>
    <w:rsid w:val="004B0E2E"/>
    <w:rsid w:val="004B1604"/>
    <w:rsid w:val="004B1701"/>
    <w:rsid w:val="004B1804"/>
    <w:rsid w:val="004B18CC"/>
    <w:rsid w:val="004B2609"/>
    <w:rsid w:val="004B2722"/>
    <w:rsid w:val="004B2F3D"/>
    <w:rsid w:val="004B32A0"/>
    <w:rsid w:val="004B36C1"/>
    <w:rsid w:val="004B3A60"/>
    <w:rsid w:val="004B3FCD"/>
    <w:rsid w:val="004B4C62"/>
    <w:rsid w:val="004B4D15"/>
    <w:rsid w:val="004B5064"/>
    <w:rsid w:val="004B5078"/>
    <w:rsid w:val="004B5096"/>
    <w:rsid w:val="004B51DA"/>
    <w:rsid w:val="004B54EF"/>
    <w:rsid w:val="004B592E"/>
    <w:rsid w:val="004B5CE2"/>
    <w:rsid w:val="004B5DAC"/>
    <w:rsid w:val="004B6147"/>
    <w:rsid w:val="004B6184"/>
    <w:rsid w:val="004B6634"/>
    <w:rsid w:val="004B67BB"/>
    <w:rsid w:val="004B67F1"/>
    <w:rsid w:val="004B6812"/>
    <w:rsid w:val="004B7293"/>
    <w:rsid w:val="004B7DD1"/>
    <w:rsid w:val="004C0096"/>
    <w:rsid w:val="004C00A3"/>
    <w:rsid w:val="004C00F4"/>
    <w:rsid w:val="004C037B"/>
    <w:rsid w:val="004C082A"/>
    <w:rsid w:val="004C0830"/>
    <w:rsid w:val="004C085B"/>
    <w:rsid w:val="004C0BDA"/>
    <w:rsid w:val="004C1472"/>
    <w:rsid w:val="004C165E"/>
    <w:rsid w:val="004C1BF9"/>
    <w:rsid w:val="004C1C3E"/>
    <w:rsid w:val="004C23BD"/>
    <w:rsid w:val="004C2498"/>
    <w:rsid w:val="004C331E"/>
    <w:rsid w:val="004C333F"/>
    <w:rsid w:val="004C33BC"/>
    <w:rsid w:val="004C3D19"/>
    <w:rsid w:val="004C3FC0"/>
    <w:rsid w:val="004C42C9"/>
    <w:rsid w:val="004C4D54"/>
    <w:rsid w:val="004C5B42"/>
    <w:rsid w:val="004C5ECB"/>
    <w:rsid w:val="004C6672"/>
    <w:rsid w:val="004C68B6"/>
    <w:rsid w:val="004C69A6"/>
    <w:rsid w:val="004C74F1"/>
    <w:rsid w:val="004D039F"/>
    <w:rsid w:val="004D04F6"/>
    <w:rsid w:val="004D0ED5"/>
    <w:rsid w:val="004D12A8"/>
    <w:rsid w:val="004D1906"/>
    <w:rsid w:val="004D1C16"/>
    <w:rsid w:val="004D203B"/>
    <w:rsid w:val="004D240F"/>
    <w:rsid w:val="004D2434"/>
    <w:rsid w:val="004D26A3"/>
    <w:rsid w:val="004D2710"/>
    <w:rsid w:val="004D2950"/>
    <w:rsid w:val="004D29CC"/>
    <w:rsid w:val="004D2AB8"/>
    <w:rsid w:val="004D2D7A"/>
    <w:rsid w:val="004D37B3"/>
    <w:rsid w:val="004D391B"/>
    <w:rsid w:val="004D3E11"/>
    <w:rsid w:val="004D4043"/>
    <w:rsid w:val="004D4304"/>
    <w:rsid w:val="004D470B"/>
    <w:rsid w:val="004D4CD1"/>
    <w:rsid w:val="004D4E73"/>
    <w:rsid w:val="004D503B"/>
    <w:rsid w:val="004D5086"/>
    <w:rsid w:val="004D50AB"/>
    <w:rsid w:val="004D514C"/>
    <w:rsid w:val="004D524E"/>
    <w:rsid w:val="004D5266"/>
    <w:rsid w:val="004D54B7"/>
    <w:rsid w:val="004D60DF"/>
    <w:rsid w:val="004D6786"/>
    <w:rsid w:val="004D69E1"/>
    <w:rsid w:val="004D7813"/>
    <w:rsid w:val="004D7869"/>
    <w:rsid w:val="004D7EE4"/>
    <w:rsid w:val="004E0137"/>
    <w:rsid w:val="004E11CF"/>
    <w:rsid w:val="004E121B"/>
    <w:rsid w:val="004E18E7"/>
    <w:rsid w:val="004E1E29"/>
    <w:rsid w:val="004E1ECE"/>
    <w:rsid w:val="004E1EF5"/>
    <w:rsid w:val="004E23F7"/>
    <w:rsid w:val="004E24D1"/>
    <w:rsid w:val="004E2A73"/>
    <w:rsid w:val="004E2B5D"/>
    <w:rsid w:val="004E3268"/>
    <w:rsid w:val="004E33F8"/>
    <w:rsid w:val="004E368A"/>
    <w:rsid w:val="004E3801"/>
    <w:rsid w:val="004E39C9"/>
    <w:rsid w:val="004E417F"/>
    <w:rsid w:val="004E41A1"/>
    <w:rsid w:val="004E41E5"/>
    <w:rsid w:val="004E4391"/>
    <w:rsid w:val="004E46F5"/>
    <w:rsid w:val="004E4CA8"/>
    <w:rsid w:val="004E4D78"/>
    <w:rsid w:val="004E4E20"/>
    <w:rsid w:val="004E500B"/>
    <w:rsid w:val="004E5085"/>
    <w:rsid w:val="004E5153"/>
    <w:rsid w:val="004E5679"/>
    <w:rsid w:val="004E5C65"/>
    <w:rsid w:val="004E687B"/>
    <w:rsid w:val="004E70F3"/>
    <w:rsid w:val="004E713A"/>
    <w:rsid w:val="004E7649"/>
    <w:rsid w:val="004E79EC"/>
    <w:rsid w:val="004E7AD7"/>
    <w:rsid w:val="004E7B2E"/>
    <w:rsid w:val="004E7BDD"/>
    <w:rsid w:val="004F01D5"/>
    <w:rsid w:val="004F0439"/>
    <w:rsid w:val="004F0738"/>
    <w:rsid w:val="004F0A17"/>
    <w:rsid w:val="004F115C"/>
    <w:rsid w:val="004F13A0"/>
    <w:rsid w:val="004F17D0"/>
    <w:rsid w:val="004F1BB6"/>
    <w:rsid w:val="004F2044"/>
    <w:rsid w:val="004F20DC"/>
    <w:rsid w:val="004F23BA"/>
    <w:rsid w:val="004F33A6"/>
    <w:rsid w:val="004F35B2"/>
    <w:rsid w:val="004F35D6"/>
    <w:rsid w:val="004F3982"/>
    <w:rsid w:val="004F3A47"/>
    <w:rsid w:val="004F3AE1"/>
    <w:rsid w:val="004F3C71"/>
    <w:rsid w:val="004F3CDC"/>
    <w:rsid w:val="004F4537"/>
    <w:rsid w:val="004F4797"/>
    <w:rsid w:val="004F5068"/>
    <w:rsid w:val="004F51E9"/>
    <w:rsid w:val="004F54F5"/>
    <w:rsid w:val="004F551A"/>
    <w:rsid w:val="004F5C06"/>
    <w:rsid w:val="004F5FCC"/>
    <w:rsid w:val="004F63CD"/>
    <w:rsid w:val="004F63D5"/>
    <w:rsid w:val="004F64E4"/>
    <w:rsid w:val="004F662E"/>
    <w:rsid w:val="004F6988"/>
    <w:rsid w:val="004F6A3A"/>
    <w:rsid w:val="004F6D13"/>
    <w:rsid w:val="004F6D20"/>
    <w:rsid w:val="004F6E61"/>
    <w:rsid w:val="004F71AC"/>
    <w:rsid w:val="004F75B7"/>
    <w:rsid w:val="004F783D"/>
    <w:rsid w:val="004F798E"/>
    <w:rsid w:val="00500315"/>
    <w:rsid w:val="005004E2"/>
    <w:rsid w:val="005009D1"/>
    <w:rsid w:val="005012E6"/>
    <w:rsid w:val="00501B88"/>
    <w:rsid w:val="0050246A"/>
    <w:rsid w:val="005025AD"/>
    <w:rsid w:val="005029B4"/>
    <w:rsid w:val="005033B1"/>
    <w:rsid w:val="0050348C"/>
    <w:rsid w:val="005039AD"/>
    <w:rsid w:val="005039C8"/>
    <w:rsid w:val="00503A7E"/>
    <w:rsid w:val="00503ADE"/>
    <w:rsid w:val="00503BA8"/>
    <w:rsid w:val="00504660"/>
    <w:rsid w:val="00504D6A"/>
    <w:rsid w:val="005052C3"/>
    <w:rsid w:val="00505BCC"/>
    <w:rsid w:val="00505CD4"/>
    <w:rsid w:val="00506869"/>
    <w:rsid w:val="00506974"/>
    <w:rsid w:val="00506E52"/>
    <w:rsid w:val="005072C5"/>
    <w:rsid w:val="005078D1"/>
    <w:rsid w:val="00507CAA"/>
    <w:rsid w:val="00510003"/>
    <w:rsid w:val="00510174"/>
    <w:rsid w:val="005104D5"/>
    <w:rsid w:val="0051091F"/>
    <w:rsid w:val="00510AC0"/>
    <w:rsid w:val="00511028"/>
    <w:rsid w:val="0051115B"/>
    <w:rsid w:val="00511482"/>
    <w:rsid w:val="00511611"/>
    <w:rsid w:val="005117FB"/>
    <w:rsid w:val="00511A63"/>
    <w:rsid w:val="00511A77"/>
    <w:rsid w:val="00511AC5"/>
    <w:rsid w:val="00512305"/>
    <w:rsid w:val="00512844"/>
    <w:rsid w:val="00512B6C"/>
    <w:rsid w:val="00512C52"/>
    <w:rsid w:val="00512FFF"/>
    <w:rsid w:val="00513075"/>
    <w:rsid w:val="0051350B"/>
    <w:rsid w:val="00513592"/>
    <w:rsid w:val="00513851"/>
    <w:rsid w:val="00513D9B"/>
    <w:rsid w:val="00514152"/>
    <w:rsid w:val="0051436F"/>
    <w:rsid w:val="0051498D"/>
    <w:rsid w:val="00514D56"/>
    <w:rsid w:val="00514F71"/>
    <w:rsid w:val="005158B6"/>
    <w:rsid w:val="005158C0"/>
    <w:rsid w:val="005159D9"/>
    <w:rsid w:val="00515A24"/>
    <w:rsid w:val="00515DD3"/>
    <w:rsid w:val="00515E0B"/>
    <w:rsid w:val="00515ED5"/>
    <w:rsid w:val="00516523"/>
    <w:rsid w:val="005166CD"/>
    <w:rsid w:val="00516705"/>
    <w:rsid w:val="005169BC"/>
    <w:rsid w:val="00516B0E"/>
    <w:rsid w:val="00517A06"/>
    <w:rsid w:val="00517BD2"/>
    <w:rsid w:val="00517CD1"/>
    <w:rsid w:val="00517FA7"/>
    <w:rsid w:val="0052026F"/>
    <w:rsid w:val="005203C5"/>
    <w:rsid w:val="0052042A"/>
    <w:rsid w:val="00520AA1"/>
    <w:rsid w:val="00520C34"/>
    <w:rsid w:val="005213EA"/>
    <w:rsid w:val="00521578"/>
    <w:rsid w:val="00521BA2"/>
    <w:rsid w:val="0052217F"/>
    <w:rsid w:val="00522204"/>
    <w:rsid w:val="0052237E"/>
    <w:rsid w:val="0052264A"/>
    <w:rsid w:val="0052269D"/>
    <w:rsid w:val="00522E94"/>
    <w:rsid w:val="00522EEE"/>
    <w:rsid w:val="005231EC"/>
    <w:rsid w:val="005233DC"/>
    <w:rsid w:val="00523E4B"/>
    <w:rsid w:val="005241BC"/>
    <w:rsid w:val="00524468"/>
    <w:rsid w:val="00524EDE"/>
    <w:rsid w:val="0052534A"/>
    <w:rsid w:val="005255A6"/>
    <w:rsid w:val="005255B4"/>
    <w:rsid w:val="00526648"/>
    <w:rsid w:val="005266F3"/>
    <w:rsid w:val="00527305"/>
    <w:rsid w:val="0052770D"/>
    <w:rsid w:val="005278CF"/>
    <w:rsid w:val="00527EBA"/>
    <w:rsid w:val="00527FDA"/>
    <w:rsid w:val="00530135"/>
    <w:rsid w:val="005302FC"/>
    <w:rsid w:val="00530B8F"/>
    <w:rsid w:val="005315C8"/>
    <w:rsid w:val="005315E4"/>
    <w:rsid w:val="005316DB"/>
    <w:rsid w:val="00531966"/>
    <w:rsid w:val="00532066"/>
    <w:rsid w:val="005321A2"/>
    <w:rsid w:val="0053222A"/>
    <w:rsid w:val="00532396"/>
    <w:rsid w:val="00532402"/>
    <w:rsid w:val="00532417"/>
    <w:rsid w:val="00532418"/>
    <w:rsid w:val="0053254C"/>
    <w:rsid w:val="00532933"/>
    <w:rsid w:val="00532A29"/>
    <w:rsid w:val="00532BC4"/>
    <w:rsid w:val="00533380"/>
    <w:rsid w:val="005337F7"/>
    <w:rsid w:val="00533A0B"/>
    <w:rsid w:val="00533C23"/>
    <w:rsid w:val="00533C90"/>
    <w:rsid w:val="00534950"/>
    <w:rsid w:val="00534A0C"/>
    <w:rsid w:val="00534B75"/>
    <w:rsid w:val="00534E2E"/>
    <w:rsid w:val="005351E4"/>
    <w:rsid w:val="00535465"/>
    <w:rsid w:val="005355A6"/>
    <w:rsid w:val="0053561B"/>
    <w:rsid w:val="00535AC6"/>
    <w:rsid w:val="00535B7B"/>
    <w:rsid w:val="00535BD2"/>
    <w:rsid w:val="00535F7E"/>
    <w:rsid w:val="00535FD3"/>
    <w:rsid w:val="005360FC"/>
    <w:rsid w:val="005363F4"/>
    <w:rsid w:val="00536F72"/>
    <w:rsid w:val="00537690"/>
    <w:rsid w:val="00537A6F"/>
    <w:rsid w:val="00537B0E"/>
    <w:rsid w:val="00537EFF"/>
    <w:rsid w:val="00540565"/>
    <w:rsid w:val="00540AA0"/>
    <w:rsid w:val="0054113C"/>
    <w:rsid w:val="0054195C"/>
    <w:rsid w:val="00541BCD"/>
    <w:rsid w:val="00541CAA"/>
    <w:rsid w:val="00542522"/>
    <w:rsid w:val="00542AA2"/>
    <w:rsid w:val="00542B06"/>
    <w:rsid w:val="00542B7D"/>
    <w:rsid w:val="00542BCC"/>
    <w:rsid w:val="00542E14"/>
    <w:rsid w:val="00542FA8"/>
    <w:rsid w:val="00543058"/>
    <w:rsid w:val="00543810"/>
    <w:rsid w:val="00543BA1"/>
    <w:rsid w:val="00543FFA"/>
    <w:rsid w:val="00544148"/>
    <w:rsid w:val="00544398"/>
    <w:rsid w:val="005443CE"/>
    <w:rsid w:val="0054463A"/>
    <w:rsid w:val="00544845"/>
    <w:rsid w:val="005448C9"/>
    <w:rsid w:val="00544B14"/>
    <w:rsid w:val="0054518F"/>
    <w:rsid w:val="00545300"/>
    <w:rsid w:val="0054571A"/>
    <w:rsid w:val="005457D4"/>
    <w:rsid w:val="0054591C"/>
    <w:rsid w:val="00545B9B"/>
    <w:rsid w:val="00545CBC"/>
    <w:rsid w:val="00545DF4"/>
    <w:rsid w:val="00545FB6"/>
    <w:rsid w:val="005463A2"/>
    <w:rsid w:val="0054677C"/>
    <w:rsid w:val="005469A6"/>
    <w:rsid w:val="00546B77"/>
    <w:rsid w:val="00547AA9"/>
    <w:rsid w:val="00550112"/>
    <w:rsid w:val="0055100A"/>
    <w:rsid w:val="005516B3"/>
    <w:rsid w:val="00551800"/>
    <w:rsid w:val="005519D8"/>
    <w:rsid w:val="00551AE2"/>
    <w:rsid w:val="00551B81"/>
    <w:rsid w:val="00551C21"/>
    <w:rsid w:val="0055250F"/>
    <w:rsid w:val="00552BF6"/>
    <w:rsid w:val="00552C59"/>
    <w:rsid w:val="005534FA"/>
    <w:rsid w:val="005538B1"/>
    <w:rsid w:val="00553CA4"/>
    <w:rsid w:val="00554897"/>
    <w:rsid w:val="005550CA"/>
    <w:rsid w:val="0055522B"/>
    <w:rsid w:val="00555785"/>
    <w:rsid w:val="00555BDF"/>
    <w:rsid w:val="00555D4A"/>
    <w:rsid w:val="00555FBA"/>
    <w:rsid w:val="00556368"/>
    <w:rsid w:val="0055742C"/>
    <w:rsid w:val="00557471"/>
    <w:rsid w:val="005578D0"/>
    <w:rsid w:val="00557AA6"/>
    <w:rsid w:val="005604E8"/>
    <w:rsid w:val="00560BA8"/>
    <w:rsid w:val="005610E1"/>
    <w:rsid w:val="005618E0"/>
    <w:rsid w:val="005619AA"/>
    <w:rsid w:val="00561B6E"/>
    <w:rsid w:val="00562394"/>
    <w:rsid w:val="00562513"/>
    <w:rsid w:val="00562BE1"/>
    <w:rsid w:val="00562CE4"/>
    <w:rsid w:val="00563106"/>
    <w:rsid w:val="00563255"/>
    <w:rsid w:val="00563563"/>
    <w:rsid w:val="005635AA"/>
    <w:rsid w:val="00563762"/>
    <w:rsid w:val="00563C9E"/>
    <w:rsid w:val="005640B5"/>
    <w:rsid w:val="005644F1"/>
    <w:rsid w:val="0056462D"/>
    <w:rsid w:val="00564A38"/>
    <w:rsid w:val="00564B47"/>
    <w:rsid w:val="00564B73"/>
    <w:rsid w:val="00564E65"/>
    <w:rsid w:val="00564E90"/>
    <w:rsid w:val="00564F88"/>
    <w:rsid w:val="00565212"/>
    <w:rsid w:val="005652AF"/>
    <w:rsid w:val="005652C6"/>
    <w:rsid w:val="00565929"/>
    <w:rsid w:val="00565AF7"/>
    <w:rsid w:val="00565BC2"/>
    <w:rsid w:val="00565C69"/>
    <w:rsid w:val="00565E5B"/>
    <w:rsid w:val="00565E87"/>
    <w:rsid w:val="00566273"/>
    <w:rsid w:val="005662BC"/>
    <w:rsid w:val="0056659C"/>
    <w:rsid w:val="005665DB"/>
    <w:rsid w:val="00566A09"/>
    <w:rsid w:val="00566A47"/>
    <w:rsid w:val="00566ACF"/>
    <w:rsid w:val="00566AE8"/>
    <w:rsid w:val="00566DA7"/>
    <w:rsid w:val="0057069F"/>
    <w:rsid w:val="00570776"/>
    <w:rsid w:val="00570B71"/>
    <w:rsid w:val="00570FAD"/>
    <w:rsid w:val="00570FE4"/>
    <w:rsid w:val="00571B29"/>
    <w:rsid w:val="00571E28"/>
    <w:rsid w:val="00572453"/>
    <w:rsid w:val="00572696"/>
    <w:rsid w:val="0057277D"/>
    <w:rsid w:val="00572ACB"/>
    <w:rsid w:val="00572CEF"/>
    <w:rsid w:val="00572E2C"/>
    <w:rsid w:val="00573117"/>
    <w:rsid w:val="0057350C"/>
    <w:rsid w:val="00573BD3"/>
    <w:rsid w:val="00573D00"/>
    <w:rsid w:val="00573E67"/>
    <w:rsid w:val="00573F30"/>
    <w:rsid w:val="00574AA0"/>
    <w:rsid w:val="00574FCC"/>
    <w:rsid w:val="00575587"/>
    <w:rsid w:val="00575AAB"/>
    <w:rsid w:val="005769B5"/>
    <w:rsid w:val="00576CC9"/>
    <w:rsid w:val="00577116"/>
    <w:rsid w:val="00577515"/>
    <w:rsid w:val="005775E2"/>
    <w:rsid w:val="00577816"/>
    <w:rsid w:val="00577A1C"/>
    <w:rsid w:val="00577B64"/>
    <w:rsid w:val="005800B7"/>
    <w:rsid w:val="005802D0"/>
    <w:rsid w:val="005804AB"/>
    <w:rsid w:val="005804DF"/>
    <w:rsid w:val="005807D8"/>
    <w:rsid w:val="00580CE8"/>
    <w:rsid w:val="00580D6B"/>
    <w:rsid w:val="00581383"/>
    <w:rsid w:val="00581737"/>
    <w:rsid w:val="00581C48"/>
    <w:rsid w:val="00581FC5"/>
    <w:rsid w:val="005820A6"/>
    <w:rsid w:val="0058212D"/>
    <w:rsid w:val="00582229"/>
    <w:rsid w:val="005822C5"/>
    <w:rsid w:val="00582516"/>
    <w:rsid w:val="00582C63"/>
    <w:rsid w:val="0058361C"/>
    <w:rsid w:val="00583778"/>
    <w:rsid w:val="0058383C"/>
    <w:rsid w:val="005838B8"/>
    <w:rsid w:val="0058391D"/>
    <w:rsid w:val="0058398E"/>
    <w:rsid w:val="00583C90"/>
    <w:rsid w:val="00584505"/>
    <w:rsid w:val="00584604"/>
    <w:rsid w:val="005846A8"/>
    <w:rsid w:val="005847E6"/>
    <w:rsid w:val="00584806"/>
    <w:rsid w:val="00584831"/>
    <w:rsid w:val="00584A09"/>
    <w:rsid w:val="00584A21"/>
    <w:rsid w:val="00584AB8"/>
    <w:rsid w:val="00584D83"/>
    <w:rsid w:val="005852EB"/>
    <w:rsid w:val="00585768"/>
    <w:rsid w:val="00585A42"/>
    <w:rsid w:val="00585F27"/>
    <w:rsid w:val="00586120"/>
    <w:rsid w:val="00586531"/>
    <w:rsid w:val="00586A0A"/>
    <w:rsid w:val="00586E21"/>
    <w:rsid w:val="00586EA5"/>
    <w:rsid w:val="00586F35"/>
    <w:rsid w:val="0058704D"/>
    <w:rsid w:val="00587430"/>
    <w:rsid w:val="0058746A"/>
    <w:rsid w:val="005874A3"/>
    <w:rsid w:val="00587C9D"/>
    <w:rsid w:val="00587D7C"/>
    <w:rsid w:val="00587DC2"/>
    <w:rsid w:val="00590176"/>
    <w:rsid w:val="00590567"/>
    <w:rsid w:val="00590750"/>
    <w:rsid w:val="00590BDF"/>
    <w:rsid w:val="00590F26"/>
    <w:rsid w:val="005913B3"/>
    <w:rsid w:val="00591656"/>
    <w:rsid w:val="00592157"/>
    <w:rsid w:val="005929EA"/>
    <w:rsid w:val="005929EC"/>
    <w:rsid w:val="00592CF7"/>
    <w:rsid w:val="00592EB2"/>
    <w:rsid w:val="00592F94"/>
    <w:rsid w:val="005934AC"/>
    <w:rsid w:val="0059365F"/>
    <w:rsid w:val="00593788"/>
    <w:rsid w:val="0059391A"/>
    <w:rsid w:val="00593A5A"/>
    <w:rsid w:val="00593C45"/>
    <w:rsid w:val="0059453A"/>
    <w:rsid w:val="00594AE8"/>
    <w:rsid w:val="00594B4B"/>
    <w:rsid w:val="00594BDC"/>
    <w:rsid w:val="00595356"/>
    <w:rsid w:val="005953E3"/>
    <w:rsid w:val="0059564B"/>
    <w:rsid w:val="005956AF"/>
    <w:rsid w:val="00595C9E"/>
    <w:rsid w:val="005960EF"/>
    <w:rsid w:val="005961D5"/>
    <w:rsid w:val="005962B7"/>
    <w:rsid w:val="00596420"/>
    <w:rsid w:val="005969C4"/>
    <w:rsid w:val="005969EC"/>
    <w:rsid w:val="005972A7"/>
    <w:rsid w:val="00597639"/>
    <w:rsid w:val="0059772F"/>
    <w:rsid w:val="00597DBA"/>
    <w:rsid w:val="005A02B1"/>
    <w:rsid w:val="005A057F"/>
    <w:rsid w:val="005A059E"/>
    <w:rsid w:val="005A05B4"/>
    <w:rsid w:val="005A06B0"/>
    <w:rsid w:val="005A0A58"/>
    <w:rsid w:val="005A0C38"/>
    <w:rsid w:val="005A0F4F"/>
    <w:rsid w:val="005A0FCF"/>
    <w:rsid w:val="005A1759"/>
    <w:rsid w:val="005A183D"/>
    <w:rsid w:val="005A1A1F"/>
    <w:rsid w:val="005A1AF5"/>
    <w:rsid w:val="005A1D6F"/>
    <w:rsid w:val="005A242A"/>
    <w:rsid w:val="005A26CC"/>
    <w:rsid w:val="005A2B28"/>
    <w:rsid w:val="005A31F6"/>
    <w:rsid w:val="005A39B7"/>
    <w:rsid w:val="005A3AAC"/>
    <w:rsid w:val="005A4ACE"/>
    <w:rsid w:val="005A4E51"/>
    <w:rsid w:val="005A4FD2"/>
    <w:rsid w:val="005A5104"/>
    <w:rsid w:val="005A52C4"/>
    <w:rsid w:val="005A5975"/>
    <w:rsid w:val="005A59E3"/>
    <w:rsid w:val="005A663A"/>
    <w:rsid w:val="005A69B8"/>
    <w:rsid w:val="005A6B60"/>
    <w:rsid w:val="005A6DB1"/>
    <w:rsid w:val="005A729F"/>
    <w:rsid w:val="005A7396"/>
    <w:rsid w:val="005A73F3"/>
    <w:rsid w:val="005A7824"/>
    <w:rsid w:val="005A7E09"/>
    <w:rsid w:val="005A7F44"/>
    <w:rsid w:val="005B08FF"/>
    <w:rsid w:val="005B0F65"/>
    <w:rsid w:val="005B1334"/>
    <w:rsid w:val="005B19CD"/>
    <w:rsid w:val="005B2C14"/>
    <w:rsid w:val="005B2C54"/>
    <w:rsid w:val="005B3B48"/>
    <w:rsid w:val="005B4580"/>
    <w:rsid w:val="005B489D"/>
    <w:rsid w:val="005B4A6E"/>
    <w:rsid w:val="005B4C2D"/>
    <w:rsid w:val="005B5739"/>
    <w:rsid w:val="005B5791"/>
    <w:rsid w:val="005B5CEE"/>
    <w:rsid w:val="005B6005"/>
    <w:rsid w:val="005B6213"/>
    <w:rsid w:val="005B62F3"/>
    <w:rsid w:val="005B7047"/>
    <w:rsid w:val="005B711D"/>
    <w:rsid w:val="005B7276"/>
    <w:rsid w:val="005B75FB"/>
    <w:rsid w:val="005B785B"/>
    <w:rsid w:val="005B7BD0"/>
    <w:rsid w:val="005B7BEE"/>
    <w:rsid w:val="005B7D6D"/>
    <w:rsid w:val="005B7FF8"/>
    <w:rsid w:val="005C0072"/>
    <w:rsid w:val="005C009B"/>
    <w:rsid w:val="005C01D9"/>
    <w:rsid w:val="005C0ACF"/>
    <w:rsid w:val="005C0C7B"/>
    <w:rsid w:val="005C0D5D"/>
    <w:rsid w:val="005C118D"/>
    <w:rsid w:val="005C126B"/>
    <w:rsid w:val="005C18B8"/>
    <w:rsid w:val="005C1B14"/>
    <w:rsid w:val="005C1F09"/>
    <w:rsid w:val="005C216F"/>
    <w:rsid w:val="005C244F"/>
    <w:rsid w:val="005C2625"/>
    <w:rsid w:val="005C26BE"/>
    <w:rsid w:val="005C29F5"/>
    <w:rsid w:val="005C2E8B"/>
    <w:rsid w:val="005C3959"/>
    <w:rsid w:val="005C3ADC"/>
    <w:rsid w:val="005C4A8B"/>
    <w:rsid w:val="005C4D91"/>
    <w:rsid w:val="005C5CB4"/>
    <w:rsid w:val="005C6369"/>
    <w:rsid w:val="005C7170"/>
    <w:rsid w:val="005C743D"/>
    <w:rsid w:val="005D0277"/>
    <w:rsid w:val="005D05B7"/>
    <w:rsid w:val="005D08B6"/>
    <w:rsid w:val="005D17FB"/>
    <w:rsid w:val="005D1956"/>
    <w:rsid w:val="005D1973"/>
    <w:rsid w:val="005D1E51"/>
    <w:rsid w:val="005D24BC"/>
    <w:rsid w:val="005D26BD"/>
    <w:rsid w:val="005D28C6"/>
    <w:rsid w:val="005D2D22"/>
    <w:rsid w:val="005D34C9"/>
    <w:rsid w:val="005D34D5"/>
    <w:rsid w:val="005D37C7"/>
    <w:rsid w:val="005D41AA"/>
    <w:rsid w:val="005D4771"/>
    <w:rsid w:val="005D47AD"/>
    <w:rsid w:val="005D47E4"/>
    <w:rsid w:val="005D485D"/>
    <w:rsid w:val="005D4955"/>
    <w:rsid w:val="005D4DAC"/>
    <w:rsid w:val="005D51CD"/>
    <w:rsid w:val="005D5337"/>
    <w:rsid w:val="005D53B1"/>
    <w:rsid w:val="005D53BB"/>
    <w:rsid w:val="005D562A"/>
    <w:rsid w:val="005D5685"/>
    <w:rsid w:val="005D5831"/>
    <w:rsid w:val="005D589A"/>
    <w:rsid w:val="005D5ADE"/>
    <w:rsid w:val="005D5DC7"/>
    <w:rsid w:val="005D60F5"/>
    <w:rsid w:val="005D6411"/>
    <w:rsid w:val="005D6595"/>
    <w:rsid w:val="005D68E0"/>
    <w:rsid w:val="005D6C85"/>
    <w:rsid w:val="005D6D4E"/>
    <w:rsid w:val="005D707A"/>
    <w:rsid w:val="005D7268"/>
    <w:rsid w:val="005D7480"/>
    <w:rsid w:val="005D7556"/>
    <w:rsid w:val="005D78D0"/>
    <w:rsid w:val="005D7CCD"/>
    <w:rsid w:val="005D7D5E"/>
    <w:rsid w:val="005E0545"/>
    <w:rsid w:val="005E0829"/>
    <w:rsid w:val="005E08C6"/>
    <w:rsid w:val="005E08F5"/>
    <w:rsid w:val="005E0CA4"/>
    <w:rsid w:val="005E10A1"/>
    <w:rsid w:val="005E1164"/>
    <w:rsid w:val="005E11A1"/>
    <w:rsid w:val="005E12A3"/>
    <w:rsid w:val="005E1625"/>
    <w:rsid w:val="005E16F1"/>
    <w:rsid w:val="005E18E3"/>
    <w:rsid w:val="005E20EE"/>
    <w:rsid w:val="005E29DC"/>
    <w:rsid w:val="005E2C13"/>
    <w:rsid w:val="005E2DA3"/>
    <w:rsid w:val="005E3316"/>
    <w:rsid w:val="005E33FF"/>
    <w:rsid w:val="005E3455"/>
    <w:rsid w:val="005E365F"/>
    <w:rsid w:val="005E3A8B"/>
    <w:rsid w:val="005E3D47"/>
    <w:rsid w:val="005E3D69"/>
    <w:rsid w:val="005E413B"/>
    <w:rsid w:val="005E4150"/>
    <w:rsid w:val="005E4453"/>
    <w:rsid w:val="005E473D"/>
    <w:rsid w:val="005E4916"/>
    <w:rsid w:val="005E50A7"/>
    <w:rsid w:val="005E50F0"/>
    <w:rsid w:val="005E565E"/>
    <w:rsid w:val="005E653B"/>
    <w:rsid w:val="005E6D07"/>
    <w:rsid w:val="005E6F38"/>
    <w:rsid w:val="005E6F3B"/>
    <w:rsid w:val="005E7606"/>
    <w:rsid w:val="005E7E61"/>
    <w:rsid w:val="005E7F69"/>
    <w:rsid w:val="005F00AF"/>
    <w:rsid w:val="005F00B0"/>
    <w:rsid w:val="005F0960"/>
    <w:rsid w:val="005F0CB7"/>
    <w:rsid w:val="005F0EF2"/>
    <w:rsid w:val="005F1083"/>
    <w:rsid w:val="005F1784"/>
    <w:rsid w:val="005F17B1"/>
    <w:rsid w:val="005F26C4"/>
    <w:rsid w:val="005F2955"/>
    <w:rsid w:val="005F3115"/>
    <w:rsid w:val="005F31C7"/>
    <w:rsid w:val="005F3411"/>
    <w:rsid w:val="005F3517"/>
    <w:rsid w:val="005F3752"/>
    <w:rsid w:val="005F380F"/>
    <w:rsid w:val="005F40C3"/>
    <w:rsid w:val="005F4128"/>
    <w:rsid w:val="005F42F9"/>
    <w:rsid w:val="005F4347"/>
    <w:rsid w:val="005F435C"/>
    <w:rsid w:val="005F49A9"/>
    <w:rsid w:val="005F4ABE"/>
    <w:rsid w:val="005F4C78"/>
    <w:rsid w:val="005F4F1D"/>
    <w:rsid w:val="005F5735"/>
    <w:rsid w:val="005F5A1F"/>
    <w:rsid w:val="005F65BC"/>
    <w:rsid w:val="005F6645"/>
    <w:rsid w:val="005F67A3"/>
    <w:rsid w:val="005F6C8C"/>
    <w:rsid w:val="005F6CE5"/>
    <w:rsid w:val="005F6D92"/>
    <w:rsid w:val="005F7012"/>
    <w:rsid w:val="005F7017"/>
    <w:rsid w:val="005F7A87"/>
    <w:rsid w:val="005F7AD7"/>
    <w:rsid w:val="005F7DD2"/>
    <w:rsid w:val="006004F3"/>
    <w:rsid w:val="00600653"/>
    <w:rsid w:val="00600996"/>
    <w:rsid w:val="0060184C"/>
    <w:rsid w:val="006018AA"/>
    <w:rsid w:val="00601E0D"/>
    <w:rsid w:val="006020F1"/>
    <w:rsid w:val="006022C7"/>
    <w:rsid w:val="00602778"/>
    <w:rsid w:val="00602D87"/>
    <w:rsid w:val="00602F91"/>
    <w:rsid w:val="00603232"/>
    <w:rsid w:val="006036B2"/>
    <w:rsid w:val="00603754"/>
    <w:rsid w:val="006038A4"/>
    <w:rsid w:val="00603A9B"/>
    <w:rsid w:val="00603E5C"/>
    <w:rsid w:val="00603F06"/>
    <w:rsid w:val="0060439D"/>
    <w:rsid w:val="006043A8"/>
    <w:rsid w:val="00604BBE"/>
    <w:rsid w:val="0060605D"/>
    <w:rsid w:val="00606236"/>
    <w:rsid w:val="00606886"/>
    <w:rsid w:val="00606B99"/>
    <w:rsid w:val="00606CB7"/>
    <w:rsid w:val="00607705"/>
    <w:rsid w:val="0060777E"/>
    <w:rsid w:val="00607B52"/>
    <w:rsid w:val="00607EBC"/>
    <w:rsid w:val="00607F14"/>
    <w:rsid w:val="006109BB"/>
    <w:rsid w:val="0061106D"/>
    <w:rsid w:val="0061109B"/>
    <w:rsid w:val="0061134E"/>
    <w:rsid w:val="006113BD"/>
    <w:rsid w:val="006113CC"/>
    <w:rsid w:val="006117B4"/>
    <w:rsid w:val="00611953"/>
    <w:rsid w:val="00611C90"/>
    <w:rsid w:val="00611F6C"/>
    <w:rsid w:val="00612578"/>
    <w:rsid w:val="0061258B"/>
    <w:rsid w:val="006127BF"/>
    <w:rsid w:val="006128F8"/>
    <w:rsid w:val="00612A80"/>
    <w:rsid w:val="00612F0B"/>
    <w:rsid w:val="006130A6"/>
    <w:rsid w:val="0061356B"/>
    <w:rsid w:val="006137F8"/>
    <w:rsid w:val="006137FE"/>
    <w:rsid w:val="0061394D"/>
    <w:rsid w:val="00613C48"/>
    <w:rsid w:val="00613E3B"/>
    <w:rsid w:val="00613F1E"/>
    <w:rsid w:val="00614695"/>
    <w:rsid w:val="00614A56"/>
    <w:rsid w:val="00614CC2"/>
    <w:rsid w:val="00615085"/>
    <w:rsid w:val="0061540E"/>
    <w:rsid w:val="00615C24"/>
    <w:rsid w:val="00615D1F"/>
    <w:rsid w:val="00616442"/>
    <w:rsid w:val="006164D9"/>
    <w:rsid w:val="006164F3"/>
    <w:rsid w:val="006165FF"/>
    <w:rsid w:val="00616661"/>
    <w:rsid w:val="00616747"/>
    <w:rsid w:val="00616BDB"/>
    <w:rsid w:val="00616C25"/>
    <w:rsid w:val="00616CE0"/>
    <w:rsid w:val="00616D73"/>
    <w:rsid w:val="00617728"/>
    <w:rsid w:val="006177F6"/>
    <w:rsid w:val="00617B24"/>
    <w:rsid w:val="00617D7E"/>
    <w:rsid w:val="00617F8D"/>
    <w:rsid w:val="0062124C"/>
    <w:rsid w:val="0062157E"/>
    <w:rsid w:val="006218CE"/>
    <w:rsid w:val="006219C5"/>
    <w:rsid w:val="00621AEC"/>
    <w:rsid w:val="00622144"/>
    <w:rsid w:val="006231ED"/>
    <w:rsid w:val="0062388A"/>
    <w:rsid w:val="006238CC"/>
    <w:rsid w:val="006243E7"/>
    <w:rsid w:val="006245CA"/>
    <w:rsid w:val="00624EEE"/>
    <w:rsid w:val="00624F7C"/>
    <w:rsid w:val="00625077"/>
    <w:rsid w:val="00625DC4"/>
    <w:rsid w:val="00626112"/>
    <w:rsid w:val="006262C6"/>
    <w:rsid w:val="0062643E"/>
    <w:rsid w:val="00626ABD"/>
    <w:rsid w:val="00626D56"/>
    <w:rsid w:val="00627100"/>
    <w:rsid w:val="00627384"/>
    <w:rsid w:val="00627587"/>
    <w:rsid w:val="006276AF"/>
    <w:rsid w:val="00627745"/>
    <w:rsid w:val="0062791F"/>
    <w:rsid w:val="00627B83"/>
    <w:rsid w:val="00627E57"/>
    <w:rsid w:val="00631C65"/>
    <w:rsid w:val="00631E20"/>
    <w:rsid w:val="00632A22"/>
    <w:rsid w:val="00632C95"/>
    <w:rsid w:val="006332A7"/>
    <w:rsid w:val="006336AF"/>
    <w:rsid w:val="00633874"/>
    <w:rsid w:val="00633889"/>
    <w:rsid w:val="006339D0"/>
    <w:rsid w:val="00633EAA"/>
    <w:rsid w:val="006340C6"/>
    <w:rsid w:val="006341ED"/>
    <w:rsid w:val="00634454"/>
    <w:rsid w:val="0063447D"/>
    <w:rsid w:val="00634937"/>
    <w:rsid w:val="00634D37"/>
    <w:rsid w:val="00635016"/>
    <w:rsid w:val="0063506E"/>
    <w:rsid w:val="00635209"/>
    <w:rsid w:val="006354C2"/>
    <w:rsid w:val="0063573E"/>
    <w:rsid w:val="00636005"/>
    <w:rsid w:val="006360B8"/>
    <w:rsid w:val="006360F9"/>
    <w:rsid w:val="00636168"/>
    <w:rsid w:val="00636241"/>
    <w:rsid w:val="006362D3"/>
    <w:rsid w:val="00636812"/>
    <w:rsid w:val="00636BBD"/>
    <w:rsid w:val="0063767F"/>
    <w:rsid w:val="00637827"/>
    <w:rsid w:val="00637D54"/>
    <w:rsid w:val="00640005"/>
    <w:rsid w:val="00640498"/>
    <w:rsid w:val="006405D7"/>
    <w:rsid w:val="00640834"/>
    <w:rsid w:val="00640A19"/>
    <w:rsid w:val="006416F0"/>
    <w:rsid w:val="00641707"/>
    <w:rsid w:val="00641B8D"/>
    <w:rsid w:val="00641BA2"/>
    <w:rsid w:val="00642092"/>
    <w:rsid w:val="006421AD"/>
    <w:rsid w:val="0064283F"/>
    <w:rsid w:val="00642A9B"/>
    <w:rsid w:val="00642D02"/>
    <w:rsid w:val="00642EB6"/>
    <w:rsid w:val="0064301A"/>
    <w:rsid w:val="006435FD"/>
    <w:rsid w:val="00643AA2"/>
    <w:rsid w:val="00643BDB"/>
    <w:rsid w:val="00643DE7"/>
    <w:rsid w:val="00644900"/>
    <w:rsid w:val="006449E0"/>
    <w:rsid w:val="00644DFE"/>
    <w:rsid w:val="00644ED1"/>
    <w:rsid w:val="00645360"/>
    <w:rsid w:val="006455AE"/>
    <w:rsid w:val="006457D8"/>
    <w:rsid w:val="00645B7E"/>
    <w:rsid w:val="00645D75"/>
    <w:rsid w:val="00645DBA"/>
    <w:rsid w:val="006461EB"/>
    <w:rsid w:val="006467A3"/>
    <w:rsid w:val="00646CCB"/>
    <w:rsid w:val="006471E1"/>
    <w:rsid w:val="0064734F"/>
    <w:rsid w:val="006475B9"/>
    <w:rsid w:val="00647C50"/>
    <w:rsid w:val="00647D2A"/>
    <w:rsid w:val="00647D74"/>
    <w:rsid w:val="006500A7"/>
    <w:rsid w:val="00650265"/>
    <w:rsid w:val="006503F5"/>
    <w:rsid w:val="006504E2"/>
    <w:rsid w:val="00650FEF"/>
    <w:rsid w:val="006511C7"/>
    <w:rsid w:val="006512F6"/>
    <w:rsid w:val="0065169A"/>
    <w:rsid w:val="006517D6"/>
    <w:rsid w:val="0065193C"/>
    <w:rsid w:val="00652167"/>
    <w:rsid w:val="00652396"/>
    <w:rsid w:val="00652DEF"/>
    <w:rsid w:val="00653332"/>
    <w:rsid w:val="00653422"/>
    <w:rsid w:val="00653476"/>
    <w:rsid w:val="006534CF"/>
    <w:rsid w:val="0065370B"/>
    <w:rsid w:val="00653EA6"/>
    <w:rsid w:val="0065404E"/>
    <w:rsid w:val="006540D0"/>
    <w:rsid w:val="006540FC"/>
    <w:rsid w:val="006544F2"/>
    <w:rsid w:val="00654D04"/>
    <w:rsid w:val="00655518"/>
    <w:rsid w:val="006555E7"/>
    <w:rsid w:val="00655BCB"/>
    <w:rsid w:val="00655F5B"/>
    <w:rsid w:val="0065646A"/>
    <w:rsid w:val="006565CD"/>
    <w:rsid w:val="00656770"/>
    <w:rsid w:val="00656B4A"/>
    <w:rsid w:val="00656B78"/>
    <w:rsid w:val="00657024"/>
    <w:rsid w:val="006575CD"/>
    <w:rsid w:val="006578EA"/>
    <w:rsid w:val="00657AA5"/>
    <w:rsid w:val="00657B78"/>
    <w:rsid w:val="00657C90"/>
    <w:rsid w:val="0066003A"/>
    <w:rsid w:val="00660633"/>
    <w:rsid w:val="0066082F"/>
    <w:rsid w:val="006609D4"/>
    <w:rsid w:val="00660B05"/>
    <w:rsid w:val="00660E90"/>
    <w:rsid w:val="006611BE"/>
    <w:rsid w:val="00661248"/>
    <w:rsid w:val="00661277"/>
    <w:rsid w:val="00661D96"/>
    <w:rsid w:val="00661E48"/>
    <w:rsid w:val="00662122"/>
    <w:rsid w:val="006621A9"/>
    <w:rsid w:val="006628A0"/>
    <w:rsid w:val="00662E06"/>
    <w:rsid w:val="0066382F"/>
    <w:rsid w:val="006638A6"/>
    <w:rsid w:val="00663988"/>
    <w:rsid w:val="0066433A"/>
    <w:rsid w:val="00664451"/>
    <w:rsid w:val="006645CA"/>
    <w:rsid w:val="00664AEE"/>
    <w:rsid w:val="00664B59"/>
    <w:rsid w:val="00664BEE"/>
    <w:rsid w:val="00664CBC"/>
    <w:rsid w:val="00664D95"/>
    <w:rsid w:val="0066517F"/>
    <w:rsid w:val="00665353"/>
    <w:rsid w:val="00666221"/>
    <w:rsid w:val="006665C4"/>
    <w:rsid w:val="006666CE"/>
    <w:rsid w:val="006669DB"/>
    <w:rsid w:val="00666DA4"/>
    <w:rsid w:val="006671C9"/>
    <w:rsid w:val="0066761D"/>
    <w:rsid w:val="0066762D"/>
    <w:rsid w:val="00667634"/>
    <w:rsid w:val="00667C8A"/>
    <w:rsid w:val="00667ED5"/>
    <w:rsid w:val="00670501"/>
    <w:rsid w:val="00670855"/>
    <w:rsid w:val="00670B9E"/>
    <w:rsid w:val="00670BBD"/>
    <w:rsid w:val="00670BEE"/>
    <w:rsid w:val="00670D0F"/>
    <w:rsid w:val="00670DCE"/>
    <w:rsid w:val="00670F29"/>
    <w:rsid w:val="00670F9D"/>
    <w:rsid w:val="006716EC"/>
    <w:rsid w:val="006718A6"/>
    <w:rsid w:val="00672825"/>
    <w:rsid w:val="0067295B"/>
    <w:rsid w:val="00672A42"/>
    <w:rsid w:val="00672B92"/>
    <w:rsid w:val="00672DD7"/>
    <w:rsid w:val="00673092"/>
    <w:rsid w:val="0067398F"/>
    <w:rsid w:val="00673C4F"/>
    <w:rsid w:val="0067423D"/>
    <w:rsid w:val="00674B54"/>
    <w:rsid w:val="006751ED"/>
    <w:rsid w:val="006751F0"/>
    <w:rsid w:val="00675A29"/>
    <w:rsid w:val="00675E7A"/>
    <w:rsid w:val="00675EF9"/>
    <w:rsid w:val="00676167"/>
    <w:rsid w:val="006762C1"/>
    <w:rsid w:val="006768A0"/>
    <w:rsid w:val="00676D1E"/>
    <w:rsid w:val="00676F7A"/>
    <w:rsid w:val="0067702C"/>
    <w:rsid w:val="00677172"/>
    <w:rsid w:val="00677637"/>
    <w:rsid w:val="00677F91"/>
    <w:rsid w:val="0068009E"/>
    <w:rsid w:val="0068014B"/>
    <w:rsid w:val="006807EC"/>
    <w:rsid w:val="00680991"/>
    <w:rsid w:val="00680E0A"/>
    <w:rsid w:val="00681108"/>
    <w:rsid w:val="00681688"/>
    <w:rsid w:val="00681D9D"/>
    <w:rsid w:val="0068227D"/>
    <w:rsid w:val="006822C1"/>
    <w:rsid w:val="00682346"/>
    <w:rsid w:val="006825BB"/>
    <w:rsid w:val="00682A3E"/>
    <w:rsid w:val="00682F54"/>
    <w:rsid w:val="00683084"/>
    <w:rsid w:val="0068336A"/>
    <w:rsid w:val="00683988"/>
    <w:rsid w:val="006839C4"/>
    <w:rsid w:val="0068426D"/>
    <w:rsid w:val="0068481E"/>
    <w:rsid w:val="00684AA5"/>
    <w:rsid w:val="00684DA6"/>
    <w:rsid w:val="00684FBB"/>
    <w:rsid w:val="00685250"/>
    <w:rsid w:val="00685310"/>
    <w:rsid w:val="0068569E"/>
    <w:rsid w:val="00685B0A"/>
    <w:rsid w:val="00686A94"/>
    <w:rsid w:val="00686F3B"/>
    <w:rsid w:val="00687341"/>
    <w:rsid w:val="00687611"/>
    <w:rsid w:val="00687FB5"/>
    <w:rsid w:val="006902BA"/>
    <w:rsid w:val="006902EB"/>
    <w:rsid w:val="0069037C"/>
    <w:rsid w:val="00690EB0"/>
    <w:rsid w:val="00691062"/>
    <w:rsid w:val="006910C3"/>
    <w:rsid w:val="00691133"/>
    <w:rsid w:val="00691AD0"/>
    <w:rsid w:val="00691BCD"/>
    <w:rsid w:val="00691D8B"/>
    <w:rsid w:val="0069207C"/>
    <w:rsid w:val="00692305"/>
    <w:rsid w:val="006928BA"/>
    <w:rsid w:val="006929A8"/>
    <w:rsid w:val="00692C58"/>
    <w:rsid w:val="0069313E"/>
    <w:rsid w:val="00693C16"/>
    <w:rsid w:val="006941C5"/>
    <w:rsid w:val="006943A3"/>
    <w:rsid w:val="0069492A"/>
    <w:rsid w:val="0069495B"/>
    <w:rsid w:val="00694A7C"/>
    <w:rsid w:val="00694A90"/>
    <w:rsid w:val="00694C07"/>
    <w:rsid w:val="00694CA9"/>
    <w:rsid w:val="0069511F"/>
    <w:rsid w:val="006951A5"/>
    <w:rsid w:val="006954B0"/>
    <w:rsid w:val="0069567D"/>
    <w:rsid w:val="00695E0E"/>
    <w:rsid w:val="00695E85"/>
    <w:rsid w:val="00695F85"/>
    <w:rsid w:val="00696680"/>
    <w:rsid w:val="006967E0"/>
    <w:rsid w:val="00696C25"/>
    <w:rsid w:val="00696FCD"/>
    <w:rsid w:val="0069764B"/>
    <w:rsid w:val="00697D72"/>
    <w:rsid w:val="00697DDD"/>
    <w:rsid w:val="00697F54"/>
    <w:rsid w:val="006A06A3"/>
    <w:rsid w:val="006A0A11"/>
    <w:rsid w:val="006A0C5B"/>
    <w:rsid w:val="006A0EEF"/>
    <w:rsid w:val="006A11A6"/>
    <w:rsid w:val="006A11E4"/>
    <w:rsid w:val="006A121F"/>
    <w:rsid w:val="006A1BC4"/>
    <w:rsid w:val="006A21E5"/>
    <w:rsid w:val="006A21F4"/>
    <w:rsid w:val="006A22C1"/>
    <w:rsid w:val="006A28B6"/>
    <w:rsid w:val="006A2D65"/>
    <w:rsid w:val="006A300A"/>
    <w:rsid w:val="006A359D"/>
    <w:rsid w:val="006A36AE"/>
    <w:rsid w:val="006A38CF"/>
    <w:rsid w:val="006A3B7B"/>
    <w:rsid w:val="006A3DD4"/>
    <w:rsid w:val="006A4A8C"/>
    <w:rsid w:val="006A4F9B"/>
    <w:rsid w:val="006A5031"/>
    <w:rsid w:val="006A5658"/>
    <w:rsid w:val="006A579F"/>
    <w:rsid w:val="006A57FB"/>
    <w:rsid w:val="006A61AA"/>
    <w:rsid w:val="006A6377"/>
    <w:rsid w:val="006A6C5B"/>
    <w:rsid w:val="006A7950"/>
    <w:rsid w:val="006A7D15"/>
    <w:rsid w:val="006B03DF"/>
    <w:rsid w:val="006B0587"/>
    <w:rsid w:val="006B061A"/>
    <w:rsid w:val="006B0F57"/>
    <w:rsid w:val="006B1017"/>
    <w:rsid w:val="006B12A7"/>
    <w:rsid w:val="006B1390"/>
    <w:rsid w:val="006B1499"/>
    <w:rsid w:val="006B157C"/>
    <w:rsid w:val="006B162E"/>
    <w:rsid w:val="006B17AD"/>
    <w:rsid w:val="006B1847"/>
    <w:rsid w:val="006B19C4"/>
    <w:rsid w:val="006B1C99"/>
    <w:rsid w:val="006B1CAE"/>
    <w:rsid w:val="006B204A"/>
    <w:rsid w:val="006B2954"/>
    <w:rsid w:val="006B2A89"/>
    <w:rsid w:val="006B3C78"/>
    <w:rsid w:val="006B40F4"/>
    <w:rsid w:val="006B4337"/>
    <w:rsid w:val="006B4774"/>
    <w:rsid w:val="006B47BE"/>
    <w:rsid w:val="006B4829"/>
    <w:rsid w:val="006B53A4"/>
    <w:rsid w:val="006B5481"/>
    <w:rsid w:val="006B59E3"/>
    <w:rsid w:val="006B5AD5"/>
    <w:rsid w:val="006B5D8F"/>
    <w:rsid w:val="006B61D0"/>
    <w:rsid w:val="006B62D9"/>
    <w:rsid w:val="006B66E9"/>
    <w:rsid w:val="006B6E64"/>
    <w:rsid w:val="006B7096"/>
    <w:rsid w:val="006B767C"/>
    <w:rsid w:val="006B79CB"/>
    <w:rsid w:val="006B7F05"/>
    <w:rsid w:val="006C04E7"/>
    <w:rsid w:val="006C069F"/>
    <w:rsid w:val="006C0907"/>
    <w:rsid w:val="006C10E5"/>
    <w:rsid w:val="006C1FD2"/>
    <w:rsid w:val="006C20D0"/>
    <w:rsid w:val="006C28F0"/>
    <w:rsid w:val="006C2E24"/>
    <w:rsid w:val="006C32D8"/>
    <w:rsid w:val="006C35BE"/>
    <w:rsid w:val="006C39D5"/>
    <w:rsid w:val="006C3B47"/>
    <w:rsid w:val="006C3BDD"/>
    <w:rsid w:val="006C3E21"/>
    <w:rsid w:val="006C44F0"/>
    <w:rsid w:val="006C4525"/>
    <w:rsid w:val="006C4717"/>
    <w:rsid w:val="006C5726"/>
    <w:rsid w:val="006C58DA"/>
    <w:rsid w:val="006C5DC5"/>
    <w:rsid w:val="006C607C"/>
    <w:rsid w:val="006C6147"/>
    <w:rsid w:val="006C6364"/>
    <w:rsid w:val="006C642F"/>
    <w:rsid w:val="006C647D"/>
    <w:rsid w:val="006C668E"/>
    <w:rsid w:val="006C67C5"/>
    <w:rsid w:val="006C67CF"/>
    <w:rsid w:val="006C69B2"/>
    <w:rsid w:val="006C6A64"/>
    <w:rsid w:val="006C730B"/>
    <w:rsid w:val="006C7548"/>
    <w:rsid w:val="006C7B7A"/>
    <w:rsid w:val="006C7FC1"/>
    <w:rsid w:val="006D06D3"/>
    <w:rsid w:val="006D1003"/>
    <w:rsid w:val="006D11D6"/>
    <w:rsid w:val="006D163F"/>
    <w:rsid w:val="006D17AB"/>
    <w:rsid w:val="006D17B1"/>
    <w:rsid w:val="006D209B"/>
    <w:rsid w:val="006D2420"/>
    <w:rsid w:val="006D2602"/>
    <w:rsid w:val="006D2944"/>
    <w:rsid w:val="006D2BB9"/>
    <w:rsid w:val="006D3175"/>
    <w:rsid w:val="006D3280"/>
    <w:rsid w:val="006D3472"/>
    <w:rsid w:val="006D3550"/>
    <w:rsid w:val="006D35A6"/>
    <w:rsid w:val="006D36F5"/>
    <w:rsid w:val="006D374C"/>
    <w:rsid w:val="006D3AC0"/>
    <w:rsid w:val="006D3D8F"/>
    <w:rsid w:val="006D3E5D"/>
    <w:rsid w:val="006D466B"/>
    <w:rsid w:val="006D4759"/>
    <w:rsid w:val="006D48BE"/>
    <w:rsid w:val="006D4B29"/>
    <w:rsid w:val="006D4F5A"/>
    <w:rsid w:val="006D52DC"/>
    <w:rsid w:val="006D5332"/>
    <w:rsid w:val="006D5460"/>
    <w:rsid w:val="006D54F5"/>
    <w:rsid w:val="006D5BAB"/>
    <w:rsid w:val="006D6DD3"/>
    <w:rsid w:val="006D7828"/>
    <w:rsid w:val="006D7FA2"/>
    <w:rsid w:val="006E0038"/>
    <w:rsid w:val="006E0125"/>
    <w:rsid w:val="006E0197"/>
    <w:rsid w:val="006E04C4"/>
    <w:rsid w:val="006E0CFD"/>
    <w:rsid w:val="006E1253"/>
    <w:rsid w:val="006E1338"/>
    <w:rsid w:val="006E1592"/>
    <w:rsid w:val="006E15C8"/>
    <w:rsid w:val="006E1614"/>
    <w:rsid w:val="006E1622"/>
    <w:rsid w:val="006E1BEA"/>
    <w:rsid w:val="006E1E35"/>
    <w:rsid w:val="006E2007"/>
    <w:rsid w:val="006E245B"/>
    <w:rsid w:val="006E249C"/>
    <w:rsid w:val="006E2680"/>
    <w:rsid w:val="006E2822"/>
    <w:rsid w:val="006E2A83"/>
    <w:rsid w:val="006E2E7D"/>
    <w:rsid w:val="006E3CAC"/>
    <w:rsid w:val="006E44EC"/>
    <w:rsid w:val="006E4C29"/>
    <w:rsid w:val="006E4DBD"/>
    <w:rsid w:val="006E4EA2"/>
    <w:rsid w:val="006E5545"/>
    <w:rsid w:val="006E5D4C"/>
    <w:rsid w:val="006E6041"/>
    <w:rsid w:val="006E6049"/>
    <w:rsid w:val="006E6419"/>
    <w:rsid w:val="006E695F"/>
    <w:rsid w:val="006E6ED9"/>
    <w:rsid w:val="006E719C"/>
    <w:rsid w:val="006E7271"/>
    <w:rsid w:val="006E76A3"/>
    <w:rsid w:val="006E7B09"/>
    <w:rsid w:val="006E7ED0"/>
    <w:rsid w:val="006E7FD1"/>
    <w:rsid w:val="006F0138"/>
    <w:rsid w:val="006F0480"/>
    <w:rsid w:val="006F0553"/>
    <w:rsid w:val="006F0583"/>
    <w:rsid w:val="006F0889"/>
    <w:rsid w:val="006F0DD8"/>
    <w:rsid w:val="006F10B6"/>
    <w:rsid w:val="006F10BB"/>
    <w:rsid w:val="006F127E"/>
    <w:rsid w:val="006F15F0"/>
    <w:rsid w:val="006F179F"/>
    <w:rsid w:val="006F1A7B"/>
    <w:rsid w:val="006F2133"/>
    <w:rsid w:val="006F22B9"/>
    <w:rsid w:val="006F2609"/>
    <w:rsid w:val="006F2732"/>
    <w:rsid w:val="006F2B36"/>
    <w:rsid w:val="006F3123"/>
    <w:rsid w:val="006F32E8"/>
    <w:rsid w:val="006F3B98"/>
    <w:rsid w:val="006F446C"/>
    <w:rsid w:val="006F4BAD"/>
    <w:rsid w:val="006F4C36"/>
    <w:rsid w:val="006F51D6"/>
    <w:rsid w:val="006F5232"/>
    <w:rsid w:val="006F59AB"/>
    <w:rsid w:val="006F5B61"/>
    <w:rsid w:val="006F61CA"/>
    <w:rsid w:val="006F658F"/>
    <w:rsid w:val="006F6A40"/>
    <w:rsid w:val="006F6B5E"/>
    <w:rsid w:val="006F6BF0"/>
    <w:rsid w:val="006F6F3F"/>
    <w:rsid w:val="006F70E1"/>
    <w:rsid w:val="006F7301"/>
    <w:rsid w:val="006F7AA6"/>
    <w:rsid w:val="006F7B37"/>
    <w:rsid w:val="006F7BB6"/>
    <w:rsid w:val="00700038"/>
    <w:rsid w:val="0070050E"/>
    <w:rsid w:val="00700CD0"/>
    <w:rsid w:val="00700D7D"/>
    <w:rsid w:val="00701C61"/>
    <w:rsid w:val="00702087"/>
    <w:rsid w:val="007024B9"/>
    <w:rsid w:val="007028BD"/>
    <w:rsid w:val="00702929"/>
    <w:rsid w:val="00702C18"/>
    <w:rsid w:val="00702DC4"/>
    <w:rsid w:val="0070330F"/>
    <w:rsid w:val="00703351"/>
    <w:rsid w:val="00703D71"/>
    <w:rsid w:val="00703DCE"/>
    <w:rsid w:val="00704754"/>
    <w:rsid w:val="00704AA2"/>
    <w:rsid w:val="00704C4A"/>
    <w:rsid w:val="00704EFC"/>
    <w:rsid w:val="0070507B"/>
    <w:rsid w:val="0070543F"/>
    <w:rsid w:val="0070555E"/>
    <w:rsid w:val="00705E66"/>
    <w:rsid w:val="00706047"/>
    <w:rsid w:val="0070633E"/>
    <w:rsid w:val="007073F3"/>
    <w:rsid w:val="00707ABF"/>
    <w:rsid w:val="00707F9A"/>
    <w:rsid w:val="0071061B"/>
    <w:rsid w:val="00710A1C"/>
    <w:rsid w:val="00710AC1"/>
    <w:rsid w:val="00710E84"/>
    <w:rsid w:val="007111FD"/>
    <w:rsid w:val="00711290"/>
    <w:rsid w:val="00711489"/>
    <w:rsid w:val="007114B5"/>
    <w:rsid w:val="0071190A"/>
    <w:rsid w:val="00711B79"/>
    <w:rsid w:val="00711C32"/>
    <w:rsid w:val="00712386"/>
    <w:rsid w:val="0071239A"/>
    <w:rsid w:val="00712607"/>
    <w:rsid w:val="007126C3"/>
    <w:rsid w:val="007129FF"/>
    <w:rsid w:val="00712F71"/>
    <w:rsid w:val="0071309D"/>
    <w:rsid w:val="0071314E"/>
    <w:rsid w:val="0071326B"/>
    <w:rsid w:val="00713717"/>
    <w:rsid w:val="00713CEF"/>
    <w:rsid w:val="00714233"/>
    <w:rsid w:val="007143A4"/>
    <w:rsid w:val="007147E9"/>
    <w:rsid w:val="007149EF"/>
    <w:rsid w:val="00715192"/>
    <w:rsid w:val="007152F9"/>
    <w:rsid w:val="007160C6"/>
    <w:rsid w:val="007162D2"/>
    <w:rsid w:val="00716310"/>
    <w:rsid w:val="007165ED"/>
    <w:rsid w:val="00716CBC"/>
    <w:rsid w:val="00716F0E"/>
    <w:rsid w:val="00716F5A"/>
    <w:rsid w:val="00717404"/>
    <w:rsid w:val="00717F5C"/>
    <w:rsid w:val="007200F4"/>
    <w:rsid w:val="00720508"/>
    <w:rsid w:val="00720CFB"/>
    <w:rsid w:val="00720DBC"/>
    <w:rsid w:val="00720F9E"/>
    <w:rsid w:val="007216AD"/>
    <w:rsid w:val="00721979"/>
    <w:rsid w:val="00721C39"/>
    <w:rsid w:val="00721E0E"/>
    <w:rsid w:val="00721E59"/>
    <w:rsid w:val="00721F48"/>
    <w:rsid w:val="00721FE3"/>
    <w:rsid w:val="007222C0"/>
    <w:rsid w:val="00722492"/>
    <w:rsid w:val="00723718"/>
    <w:rsid w:val="00723804"/>
    <w:rsid w:val="007239DF"/>
    <w:rsid w:val="007239F0"/>
    <w:rsid w:val="00723A5B"/>
    <w:rsid w:val="007240B5"/>
    <w:rsid w:val="00724C16"/>
    <w:rsid w:val="00724DB0"/>
    <w:rsid w:val="00724FFA"/>
    <w:rsid w:val="0072515F"/>
    <w:rsid w:val="00725667"/>
    <w:rsid w:val="00725D10"/>
    <w:rsid w:val="007266AB"/>
    <w:rsid w:val="007266C9"/>
    <w:rsid w:val="00726F37"/>
    <w:rsid w:val="00727412"/>
    <w:rsid w:val="00727574"/>
    <w:rsid w:val="007276AA"/>
    <w:rsid w:val="00727945"/>
    <w:rsid w:val="00727D6A"/>
    <w:rsid w:val="007300AE"/>
    <w:rsid w:val="007307F0"/>
    <w:rsid w:val="007307F6"/>
    <w:rsid w:val="007308A7"/>
    <w:rsid w:val="00730A2B"/>
    <w:rsid w:val="007313DB"/>
    <w:rsid w:val="007314D9"/>
    <w:rsid w:val="007318B3"/>
    <w:rsid w:val="00731F81"/>
    <w:rsid w:val="0073224D"/>
    <w:rsid w:val="00732821"/>
    <w:rsid w:val="00732B14"/>
    <w:rsid w:val="00732BF8"/>
    <w:rsid w:val="00732CB5"/>
    <w:rsid w:val="00732FFC"/>
    <w:rsid w:val="0073324D"/>
    <w:rsid w:val="00733251"/>
    <w:rsid w:val="00733268"/>
    <w:rsid w:val="007335E3"/>
    <w:rsid w:val="007344D8"/>
    <w:rsid w:val="007349B7"/>
    <w:rsid w:val="00734BA5"/>
    <w:rsid w:val="007352A1"/>
    <w:rsid w:val="007355BF"/>
    <w:rsid w:val="0073564E"/>
    <w:rsid w:val="00735AD3"/>
    <w:rsid w:val="00735D01"/>
    <w:rsid w:val="00736681"/>
    <w:rsid w:val="0073687D"/>
    <w:rsid w:val="00736F50"/>
    <w:rsid w:val="00737B4A"/>
    <w:rsid w:val="00737DEF"/>
    <w:rsid w:val="00737F84"/>
    <w:rsid w:val="00740010"/>
    <w:rsid w:val="00740792"/>
    <w:rsid w:val="00740FC8"/>
    <w:rsid w:val="0074116E"/>
    <w:rsid w:val="00741435"/>
    <w:rsid w:val="00741ED9"/>
    <w:rsid w:val="007420DA"/>
    <w:rsid w:val="007428FB"/>
    <w:rsid w:val="00742B09"/>
    <w:rsid w:val="00742EEF"/>
    <w:rsid w:val="0074320A"/>
    <w:rsid w:val="0074324C"/>
    <w:rsid w:val="00743542"/>
    <w:rsid w:val="00743672"/>
    <w:rsid w:val="00743D92"/>
    <w:rsid w:val="0074432D"/>
    <w:rsid w:val="00744734"/>
    <w:rsid w:val="00744952"/>
    <w:rsid w:val="0074506E"/>
    <w:rsid w:val="007452E4"/>
    <w:rsid w:val="007456E9"/>
    <w:rsid w:val="007459DD"/>
    <w:rsid w:val="00745A08"/>
    <w:rsid w:val="00745CDE"/>
    <w:rsid w:val="00745D6A"/>
    <w:rsid w:val="00745E43"/>
    <w:rsid w:val="00745EE1"/>
    <w:rsid w:val="00745F11"/>
    <w:rsid w:val="0074665A"/>
    <w:rsid w:val="00746E70"/>
    <w:rsid w:val="00747176"/>
    <w:rsid w:val="0074747A"/>
    <w:rsid w:val="00747490"/>
    <w:rsid w:val="00750192"/>
    <w:rsid w:val="007504A5"/>
    <w:rsid w:val="007505C2"/>
    <w:rsid w:val="00751158"/>
    <w:rsid w:val="007513C1"/>
    <w:rsid w:val="00751892"/>
    <w:rsid w:val="00751C2D"/>
    <w:rsid w:val="00752816"/>
    <w:rsid w:val="00752D52"/>
    <w:rsid w:val="0075322A"/>
    <w:rsid w:val="0075377E"/>
    <w:rsid w:val="00753CB8"/>
    <w:rsid w:val="007542D4"/>
    <w:rsid w:val="00754CFD"/>
    <w:rsid w:val="00754F18"/>
    <w:rsid w:val="007552AF"/>
    <w:rsid w:val="00755374"/>
    <w:rsid w:val="00755481"/>
    <w:rsid w:val="00755516"/>
    <w:rsid w:val="00755553"/>
    <w:rsid w:val="00755678"/>
    <w:rsid w:val="00755DFE"/>
    <w:rsid w:val="0075625C"/>
    <w:rsid w:val="007565B8"/>
    <w:rsid w:val="00757349"/>
    <w:rsid w:val="007575DC"/>
    <w:rsid w:val="007575E8"/>
    <w:rsid w:val="007602A0"/>
    <w:rsid w:val="007604E1"/>
    <w:rsid w:val="00760725"/>
    <w:rsid w:val="00761385"/>
    <w:rsid w:val="00761730"/>
    <w:rsid w:val="0076181A"/>
    <w:rsid w:val="007619C2"/>
    <w:rsid w:val="007619DE"/>
    <w:rsid w:val="00761B35"/>
    <w:rsid w:val="00761B5A"/>
    <w:rsid w:val="0076201F"/>
    <w:rsid w:val="00762372"/>
    <w:rsid w:val="00762837"/>
    <w:rsid w:val="00762AA6"/>
    <w:rsid w:val="00762D57"/>
    <w:rsid w:val="0076318A"/>
    <w:rsid w:val="007637C1"/>
    <w:rsid w:val="0076397D"/>
    <w:rsid w:val="00763A76"/>
    <w:rsid w:val="0076416B"/>
    <w:rsid w:val="00764E4B"/>
    <w:rsid w:val="007653D8"/>
    <w:rsid w:val="00765643"/>
    <w:rsid w:val="00765708"/>
    <w:rsid w:val="00765917"/>
    <w:rsid w:val="007659BA"/>
    <w:rsid w:val="007659EB"/>
    <w:rsid w:val="00765E87"/>
    <w:rsid w:val="007660E3"/>
    <w:rsid w:val="00766384"/>
    <w:rsid w:val="007664FC"/>
    <w:rsid w:val="00766931"/>
    <w:rsid w:val="007669E5"/>
    <w:rsid w:val="00766EC6"/>
    <w:rsid w:val="00767779"/>
    <w:rsid w:val="007678A0"/>
    <w:rsid w:val="00767A1F"/>
    <w:rsid w:val="00767AE4"/>
    <w:rsid w:val="00767BBB"/>
    <w:rsid w:val="00770172"/>
    <w:rsid w:val="00770D87"/>
    <w:rsid w:val="0077105B"/>
    <w:rsid w:val="00771C67"/>
    <w:rsid w:val="00771FEF"/>
    <w:rsid w:val="0077261B"/>
    <w:rsid w:val="00772C12"/>
    <w:rsid w:val="0077321D"/>
    <w:rsid w:val="007735F8"/>
    <w:rsid w:val="00773854"/>
    <w:rsid w:val="00773DB6"/>
    <w:rsid w:val="007740A5"/>
    <w:rsid w:val="007740F7"/>
    <w:rsid w:val="0077410C"/>
    <w:rsid w:val="0077443C"/>
    <w:rsid w:val="00774746"/>
    <w:rsid w:val="00774C25"/>
    <w:rsid w:val="00774FDB"/>
    <w:rsid w:val="0077559D"/>
    <w:rsid w:val="00775AA8"/>
    <w:rsid w:val="00775B75"/>
    <w:rsid w:val="00775E64"/>
    <w:rsid w:val="00776528"/>
    <w:rsid w:val="00776D2B"/>
    <w:rsid w:val="00776E2C"/>
    <w:rsid w:val="007772EF"/>
    <w:rsid w:val="00777432"/>
    <w:rsid w:val="00777986"/>
    <w:rsid w:val="00777BFE"/>
    <w:rsid w:val="00780897"/>
    <w:rsid w:val="007815ED"/>
    <w:rsid w:val="0078192A"/>
    <w:rsid w:val="00781C68"/>
    <w:rsid w:val="00781E69"/>
    <w:rsid w:val="007821C1"/>
    <w:rsid w:val="00782D62"/>
    <w:rsid w:val="007838FF"/>
    <w:rsid w:val="00783DD4"/>
    <w:rsid w:val="00783EBB"/>
    <w:rsid w:val="0078438B"/>
    <w:rsid w:val="0078451D"/>
    <w:rsid w:val="00784A2B"/>
    <w:rsid w:val="00784CAD"/>
    <w:rsid w:val="00784D68"/>
    <w:rsid w:val="007851A8"/>
    <w:rsid w:val="0078531C"/>
    <w:rsid w:val="0078544D"/>
    <w:rsid w:val="00785788"/>
    <w:rsid w:val="00785862"/>
    <w:rsid w:val="0078649D"/>
    <w:rsid w:val="007864C1"/>
    <w:rsid w:val="007865A6"/>
    <w:rsid w:val="00786A09"/>
    <w:rsid w:val="00786EAA"/>
    <w:rsid w:val="007871CA"/>
    <w:rsid w:val="007874F6"/>
    <w:rsid w:val="00787A69"/>
    <w:rsid w:val="00787EEF"/>
    <w:rsid w:val="0079034C"/>
    <w:rsid w:val="0079040F"/>
    <w:rsid w:val="0079062A"/>
    <w:rsid w:val="00790899"/>
    <w:rsid w:val="00791007"/>
    <w:rsid w:val="007912F9"/>
    <w:rsid w:val="00791DD8"/>
    <w:rsid w:val="00792041"/>
    <w:rsid w:val="00792444"/>
    <w:rsid w:val="007924E3"/>
    <w:rsid w:val="0079273F"/>
    <w:rsid w:val="00792899"/>
    <w:rsid w:val="00792BAF"/>
    <w:rsid w:val="00792D5D"/>
    <w:rsid w:val="007930B2"/>
    <w:rsid w:val="007930F4"/>
    <w:rsid w:val="00793975"/>
    <w:rsid w:val="007943EE"/>
    <w:rsid w:val="00794469"/>
    <w:rsid w:val="00795383"/>
    <w:rsid w:val="007958E8"/>
    <w:rsid w:val="0079692E"/>
    <w:rsid w:val="00796942"/>
    <w:rsid w:val="00796A34"/>
    <w:rsid w:val="00797011"/>
    <w:rsid w:val="007974B5"/>
    <w:rsid w:val="00797AB1"/>
    <w:rsid w:val="00797BC8"/>
    <w:rsid w:val="00797F59"/>
    <w:rsid w:val="007A0036"/>
    <w:rsid w:val="007A0284"/>
    <w:rsid w:val="007A02BC"/>
    <w:rsid w:val="007A05D5"/>
    <w:rsid w:val="007A069F"/>
    <w:rsid w:val="007A08D1"/>
    <w:rsid w:val="007A0C74"/>
    <w:rsid w:val="007A0E8E"/>
    <w:rsid w:val="007A128E"/>
    <w:rsid w:val="007A14A3"/>
    <w:rsid w:val="007A1DCB"/>
    <w:rsid w:val="007A20B9"/>
    <w:rsid w:val="007A235A"/>
    <w:rsid w:val="007A28AB"/>
    <w:rsid w:val="007A28EC"/>
    <w:rsid w:val="007A2A3A"/>
    <w:rsid w:val="007A2D8C"/>
    <w:rsid w:val="007A34AE"/>
    <w:rsid w:val="007A35CD"/>
    <w:rsid w:val="007A3A9B"/>
    <w:rsid w:val="007A3AD9"/>
    <w:rsid w:val="007A3B98"/>
    <w:rsid w:val="007A3E1C"/>
    <w:rsid w:val="007A3F5D"/>
    <w:rsid w:val="007A43DE"/>
    <w:rsid w:val="007A4682"/>
    <w:rsid w:val="007A47C1"/>
    <w:rsid w:val="007A48A3"/>
    <w:rsid w:val="007A4CC8"/>
    <w:rsid w:val="007A4DFF"/>
    <w:rsid w:val="007A54C5"/>
    <w:rsid w:val="007A5B1C"/>
    <w:rsid w:val="007A5D40"/>
    <w:rsid w:val="007A62BB"/>
    <w:rsid w:val="007A63C1"/>
    <w:rsid w:val="007A6501"/>
    <w:rsid w:val="007A65BD"/>
    <w:rsid w:val="007A67B3"/>
    <w:rsid w:val="007A69AB"/>
    <w:rsid w:val="007A6FCF"/>
    <w:rsid w:val="007A736E"/>
    <w:rsid w:val="007A77E8"/>
    <w:rsid w:val="007A7857"/>
    <w:rsid w:val="007B01E9"/>
    <w:rsid w:val="007B0265"/>
    <w:rsid w:val="007B0DAA"/>
    <w:rsid w:val="007B0EF2"/>
    <w:rsid w:val="007B10A8"/>
    <w:rsid w:val="007B1429"/>
    <w:rsid w:val="007B1811"/>
    <w:rsid w:val="007B21C2"/>
    <w:rsid w:val="007B225A"/>
    <w:rsid w:val="007B2492"/>
    <w:rsid w:val="007B2504"/>
    <w:rsid w:val="007B2F5E"/>
    <w:rsid w:val="007B32BA"/>
    <w:rsid w:val="007B3B23"/>
    <w:rsid w:val="007B4164"/>
    <w:rsid w:val="007B42CE"/>
    <w:rsid w:val="007B556F"/>
    <w:rsid w:val="007B55D6"/>
    <w:rsid w:val="007B55E8"/>
    <w:rsid w:val="007B59C2"/>
    <w:rsid w:val="007B5B27"/>
    <w:rsid w:val="007B5D6B"/>
    <w:rsid w:val="007B5F5F"/>
    <w:rsid w:val="007B63FA"/>
    <w:rsid w:val="007B6524"/>
    <w:rsid w:val="007B7166"/>
    <w:rsid w:val="007B7278"/>
    <w:rsid w:val="007B73AA"/>
    <w:rsid w:val="007B7420"/>
    <w:rsid w:val="007B788E"/>
    <w:rsid w:val="007B79E7"/>
    <w:rsid w:val="007B79F1"/>
    <w:rsid w:val="007B7B93"/>
    <w:rsid w:val="007B7F30"/>
    <w:rsid w:val="007C04A5"/>
    <w:rsid w:val="007C07F7"/>
    <w:rsid w:val="007C0FAA"/>
    <w:rsid w:val="007C13BD"/>
    <w:rsid w:val="007C16B2"/>
    <w:rsid w:val="007C1AA6"/>
    <w:rsid w:val="007C2536"/>
    <w:rsid w:val="007C2C3F"/>
    <w:rsid w:val="007C2CAF"/>
    <w:rsid w:val="007C35C9"/>
    <w:rsid w:val="007C3A5D"/>
    <w:rsid w:val="007C3CF5"/>
    <w:rsid w:val="007C4012"/>
    <w:rsid w:val="007C41AC"/>
    <w:rsid w:val="007C4633"/>
    <w:rsid w:val="007C4CA0"/>
    <w:rsid w:val="007C4DF0"/>
    <w:rsid w:val="007C5F2F"/>
    <w:rsid w:val="007C5F78"/>
    <w:rsid w:val="007C6163"/>
    <w:rsid w:val="007C6177"/>
    <w:rsid w:val="007C65F9"/>
    <w:rsid w:val="007C7529"/>
    <w:rsid w:val="007C762F"/>
    <w:rsid w:val="007C7A1B"/>
    <w:rsid w:val="007C7C71"/>
    <w:rsid w:val="007C7CA6"/>
    <w:rsid w:val="007C7D00"/>
    <w:rsid w:val="007C7E05"/>
    <w:rsid w:val="007D008A"/>
    <w:rsid w:val="007D01FD"/>
    <w:rsid w:val="007D0289"/>
    <w:rsid w:val="007D0382"/>
    <w:rsid w:val="007D06B1"/>
    <w:rsid w:val="007D120C"/>
    <w:rsid w:val="007D14CF"/>
    <w:rsid w:val="007D16FA"/>
    <w:rsid w:val="007D1855"/>
    <w:rsid w:val="007D18BF"/>
    <w:rsid w:val="007D193D"/>
    <w:rsid w:val="007D1EA4"/>
    <w:rsid w:val="007D2332"/>
    <w:rsid w:val="007D24BA"/>
    <w:rsid w:val="007D2579"/>
    <w:rsid w:val="007D2656"/>
    <w:rsid w:val="007D2940"/>
    <w:rsid w:val="007D2D22"/>
    <w:rsid w:val="007D3125"/>
    <w:rsid w:val="007D3B5C"/>
    <w:rsid w:val="007D3D59"/>
    <w:rsid w:val="007D4266"/>
    <w:rsid w:val="007D43EC"/>
    <w:rsid w:val="007D4529"/>
    <w:rsid w:val="007D45C3"/>
    <w:rsid w:val="007D46BA"/>
    <w:rsid w:val="007D46FC"/>
    <w:rsid w:val="007D4886"/>
    <w:rsid w:val="007D4971"/>
    <w:rsid w:val="007D4ABA"/>
    <w:rsid w:val="007D4F32"/>
    <w:rsid w:val="007D5037"/>
    <w:rsid w:val="007D54B3"/>
    <w:rsid w:val="007D57E8"/>
    <w:rsid w:val="007D5C6F"/>
    <w:rsid w:val="007D5F20"/>
    <w:rsid w:val="007D6142"/>
    <w:rsid w:val="007D6175"/>
    <w:rsid w:val="007D61F3"/>
    <w:rsid w:val="007D6740"/>
    <w:rsid w:val="007D6ACF"/>
    <w:rsid w:val="007D6BCD"/>
    <w:rsid w:val="007D702F"/>
    <w:rsid w:val="007D73D7"/>
    <w:rsid w:val="007D7D67"/>
    <w:rsid w:val="007E01ED"/>
    <w:rsid w:val="007E0D0E"/>
    <w:rsid w:val="007E0ECB"/>
    <w:rsid w:val="007E1314"/>
    <w:rsid w:val="007E13FF"/>
    <w:rsid w:val="007E1800"/>
    <w:rsid w:val="007E2120"/>
    <w:rsid w:val="007E2130"/>
    <w:rsid w:val="007E237C"/>
    <w:rsid w:val="007E260F"/>
    <w:rsid w:val="007E2FCF"/>
    <w:rsid w:val="007E3C41"/>
    <w:rsid w:val="007E3C8C"/>
    <w:rsid w:val="007E3F39"/>
    <w:rsid w:val="007E418F"/>
    <w:rsid w:val="007E44B7"/>
    <w:rsid w:val="007E47F6"/>
    <w:rsid w:val="007E5EAC"/>
    <w:rsid w:val="007E5EC6"/>
    <w:rsid w:val="007E613A"/>
    <w:rsid w:val="007E6291"/>
    <w:rsid w:val="007E6792"/>
    <w:rsid w:val="007E7408"/>
    <w:rsid w:val="007E7AE8"/>
    <w:rsid w:val="007E7C36"/>
    <w:rsid w:val="007F05D4"/>
    <w:rsid w:val="007F0E97"/>
    <w:rsid w:val="007F109F"/>
    <w:rsid w:val="007F1200"/>
    <w:rsid w:val="007F167E"/>
    <w:rsid w:val="007F16D4"/>
    <w:rsid w:val="007F1A02"/>
    <w:rsid w:val="007F2273"/>
    <w:rsid w:val="007F2285"/>
    <w:rsid w:val="007F261E"/>
    <w:rsid w:val="007F262C"/>
    <w:rsid w:val="007F2B77"/>
    <w:rsid w:val="007F3B8F"/>
    <w:rsid w:val="007F3E5C"/>
    <w:rsid w:val="007F42D1"/>
    <w:rsid w:val="007F45FE"/>
    <w:rsid w:val="007F4AC8"/>
    <w:rsid w:val="007F4BEF"/>
    <w:rsid w:val="007F4C18"/>
    <w:rsid w:val="007F4E4C"/>
    <w:rsid w:val="007F6156"/>
    <w:rsid w:val="007F6379"/>
    <w:rsid w:val="007F648B"/>
    <w:rsid w:val="007F6657"/>
    <w:rsid w:val="007F6805"/>
    <w:rsid w:val="007F6B57"/>
    <w:rsid w:val="007F6C13"/>
    <w:rsid w:val="007F7043"/>
    <w:rsid w:val="007F7190"/>
    <w:rsid w:val="007F7206"/>
    <w:rsid w:val="007F72C9"/>
    <w:rsid w:val="007F744F"/>
    <w:rsid w:val="007F7A92"/>
    <w:rsid w:val="00800A3E"/>
    <w:rsid w:val="00800C44"/>
    <w:rsid w:val="00800CC1"/>
    <w:rsid w:val="00800CDA"/>
    <w:rsid w:val="00800D86"/>
    <w:rsid w:val="00800EA0"/>
    <w:rsid w:val="0080117E"/>
    <w:rsid w:val="008013C4"/>
    <w:rsid w:val="008014E9"/>
    <w:rsid w:val="0080160E"/>
    <w:rsid w:val="00801802"/>
    <w:rsid w:val="00801C6C"/>
    <w:rsid w:val="00801D40"/>
    <w:rsid w:val="00801E11"/>
    <w:rsid w:val="00801EAB"/>
    <w:rsid w:val="00802064"/>
    <w:rsid w:val="008024AA"/>
    <w:rsid w:val="00802FC4"/>
    <w:rsid w:val="00803ADC"/>
    <w:rsid w:val="00803E8D"/>
    <w:rsid w:val="0080410C"/>
    <w:rsid w:val="0080446C"/>
    <w:rsid w:val="008044AA"/>
    <w:rsid w:val="008058D7"/>
    <w:rsid w:val="00805D04"/>
    <w:rsid w:val="00805E7F"/>
    <w:rsid w:val="00806081"/>
    <w:rsid w:val="0080637B"/>
    <w:rsid w:val="00806819"/>
    <w:rsid w:val="00807036"/>
    <w:rsid w:val="0080755F"/>
    <w:rsid w:val="0080760E"/>
    <w:rsid w:val="0080764B"/>
    <w:rsid w:val="008077E2"/>
    <w:rsid w:val="008077E9"/>
    <w:rsid w:val="00807C7C"/>
    <w:rsid w:val="00810386"/>
    <w:rsid w:val="008115DE"/>
    <w:rsid w:val="008118BE"/>
    <w:rsid w:val="00811CCA"/>
    <w:rsid w:val="00811EE5"/>
    <w:rsid w:val="00811EF9"/>
    <w:rsid w:val="008120EE"/>
    <w:rsid w:val="00812296"/>
    <w:rsid w:val="0081272F"/>
    <w:rsid w:val="00812A22"/>
    <w:rsid w:val="00813256"/>
    <w:rsid w:val="00813950"/>
    <w:rsid w:val="008140BB"/>
    <w:rsid w:val="00814138"/>
    <w:rsid w:val="0081419D"/>
    <w:rsid w:val="00814CDB"/>
    <w:rsid w:val="00815261"/>
    <w:rsid w:val="00815348"/>
    <w:rsid w:val="0081564B"/>
    <w:rsid w:val="0081572D"/>
    <w:rsid w:val="00815B1A"/>
    <w:rsid w:val="00815BDA"/>
    <w:rsid w:val="008162D4"/>
    <w:rsid w:val="00816332"/>
    <w:rsid w:val="008167D6"/>
    <w:rsid w:val="00816CA6"/>
    <w:rsid w:val="00816DCD"/>
    <w:rsid w:val="00816FD8"/>
    <w:rsid w:val="00816FFA"/>
    <w:rsid w:val="0081722D"/>
    <w:rsid w:val="00817513"/>
    <w:rsid w:val="00817E9A"/>
    <w:rsid w:val="00817EA6"/>
    <w:rsid w:val="00817EF0"/>
    <w:rsid w:val="008200F3"/>
    <w:rsid w:val="008203CF"/>
    <w:rsid w:val="008205DB"/>
    <w:rsid w:val="0082114F"/>
    <w:rsid w:val="008219AF"/>
    <w:rsid w:val="00821CF6"/>
    <w:rsid w:val="008222E0"/>
    <w:rsid w:val="00822D87"/>
    <w:rsid w:val="008231F9"/>
    <w:rsid w:val="0082356F"/>
    <w:rsid w:val="0082358D"/>
    <w:rsid w:val="008236D2"/>
    <w:rsid w:val="0082374B"/>
    <w:rsid w:val="00823CDA"/>
    <w:rsid w:val="00824072"/>
    <w:rsid w:val="0082413A"/>
    <w:rsid w:val="00824508"/>
    <w:rsid w:val="0082454E"/>
    <w:rsid w:val="0082518B"/>
    <w:rsid w:val="00826469"/>
    <w:rsid w:val="008264C2"/>
    <w:rsid w:val="00826C10"/>
    <w:rsid w:val="00826C96"/>
    <w:rsid w:val="00826DF0"/>
    <w:rsid w:val="008275D0"/>
    <w:rsid w:val="0082772E"/>
    <w:rsid w:val="00830052"/>
    <w:rsid w:val="00830080"/>
    <w:rsid w:val="008302CC"/>
    <w:rsid w:val="00830A0D"/>
    <w:rsid w:val="00830C70"/>
    <w:rsid w:val="008311BD"/>
    <w:rsid w:val="008315B7"/>
    <w:rsid w:val="00831779"/>
    <w:rsid w:val="00831923"/>
    <w:rsid w:val="00831A40"/>
    <w:rsid w:val="00831B61"/>
    <w:rsid w:val="00831CE6"/>
    <w:rsid w:val="00831F58"/>
    <w:rsid w:val="00832044"/>
    <w:rsid w:val="008325B8"/>
    <w:rsid w:val="008326F6"/>
    <w:rsid w:val="0083296B"/>
    <w:rsid w:val="008329A9"/>
    <w:rsid w:val="00833A9F"/>
    <w:rsid w:val="00833D24"/>
    <w:rsid w:val="00833E52"/>
    <w:rsid w:val="00833ED5"/>
    <w:rsid w:val="00834632"/>
    <w:rsid w:val="00834730"/>
    <w:rsid w:val="0083475D"/>
    <w:rsid w:val="008348F3"/>
    <w:rsid w:val="00834C6B"/>
    <w:rsid w:val="008351BD"/>
    <w:rsid w:val="008358BF"/>
    <w:rsid w:val="00835CA0"/>
    <w:rsid w:val="00835D55"/>
    <w:rsid w:val="00835DE8"/>
    <w:rsid w:val="0083603E"/>
    <w:rsid w:val="0083720E"/>
    <w:rsid w:val="008376DB"/>
    <w:rsid w:val="0083774D"/>
    <w:rsid w:val="00837B3C"/>
    <w:rsid w:val="00837E2F"/>
    <w:rsid w:val="008402F2"/>
    <w:rsid w:val="0084050F"/>
    <w:rsid w:val="00840C10"/>
    <w:rsid w:val="00840CF5"/>
    <w:rsid w:val="00840E91"/>
    <w:rsid w:val="00840F0C"/>
    <w:rsid w:val="008410BE"/>
    <w:rsid w:val="00841211"/>
    <w:rsid w:val="008413CD"/>
    <w:rsid w:val="008416DD"/>
    <w:rsid w:val="008419EA"/>
    <w:rsid w:val="00841A8D"/>
    <w:rsid w:val="008422A9"/>
    <w:rsid w:val="00842CC4"/>
    <w:rsid w:val="00842F2F"/>
    <w:rsid w:val="008438AF"/>
    <w:rsid w:val="00843B03"/>
    <w:rsid w:val="00843C94"/>
    <w:rsid w:val="008443E6"/>
    <w:rsid w:val="00844BBD"/>
    <w:rsid w:val="00844C51"/>
    <w:rsid w:val="00845809"/>
    <w:rsid w:val="00845D05"/>
    <w:rsid w:val="008465C4"/>
    <w:rsid w:val="00846694"/>
    <w:rsid w:val="008471EB"/>
    <w:rsid w:val="00847300"/>
    <w:rsid w:val="00847436"/>
    <w:rsid w:val="00847590"/>
    <w:rsid w:val="008475A0"/>
    <w:rsid w:val="008475B5"/>
    <w:rsid w:val="0084769B"/>
    <w:rsid w:val="00847B76"/>
    <w:rsid w:val="00847E48"/>
    <w:rsid w:val="00850CA7"/>
    <w:rsid w:val="00850EF5"/>
    <w:rsid w:val="008517B6"/>
    <w:rsid w:val="00851F99"/>
    <w:rsid w:val="00852428"/>
    <w:rsid w:val="00852858"/>
    <w:rsid w:val="00852B24"/>
    <w:rsid w:val="00852CAE"/>
    <w:rsid w:val="00852D6D"/>
    <w:rsid w:val="00852EDF"/>
    <w:rsid w:val="00853444"/>
    <w:rsid w:val="008534E6"/>
    <w:rsid w:val="008536B8"/>
    <w:rsid w:val="008537D9"/>
    <w:rsid w:val="0085389A"/>
    <w:rsid w:val="00853AF3"/>
    <w:rsid w:val="00854075"/>
    <w:rsid w:val="008549A6"/>
    <w:rsid w:val="008549DE"/>
    <w:rsid w:val="00855A18"/>
    <w:rsid w:val="00855DD9"/>
    <w:rsid w:val="008565A6"/>
    <w:rsid w:val="00856A2D"/>
    <w:rsid w:val="00856AF6"/>
    <w:rsid w:val="00856DC4"/>
    <w:rsid w:val="0085707D"/>
    <w:rsid w:val="008572A0"/>
    <w:rsid w:val="0085730B"/>
    <w:rsid w:val="00857596"/>
    <w:rsid w:val="00857A80"/>
    <w:rsid w:val="00857A96"/>
    <w:rsid w:val="00857B28"/>
    <w:rsid w:val="00860317"/>
    <w:rsid w:val="008603FA"/>
    <w:rsid w:val="00860B89"/>
    <w:rsid w:val="00860D4C"/>
    <w:rsid w:val="0086166B"/>
    <w:rsid w:val="00861A2B"/>
    <w:rsid w:val="00861B19"/>
    <w:rsid w:val="008626D9"/>
    <w:rsid w:val="008628EA"/>
    <w:rsid w:val="00862949"/>
    <w:rsid w:val="0086298D"/>
    <w:rsid w:val="00862DA5"/>
    <w:rsid w:val="008639F3"/>
    <w:rsid w:val="00863DF2"/>
    <w:rsid w:val="00863FB2"/>
    <w:rsid w:val="008641C5"/>
    <w:rsid w:val="00864E63"/>
    <w:rsid w:val="00864EFD"/>
    <w:rsid w:val="0086523C"/>
    <w:rsid w:val="0086535C"/>
    <w:rsid w:val="00865C9B"/>
    <w:rsid w:val="00865DE5"/>
    <w:rsid w:val="0086624C"/>
    <w:rsid w:val="008664B3"/>
    <w:rsid w:val="0086687C"/>
    <w:rsid w:val="00866CC6"/>
    <w:rsid w:val="00866EC0"/>
    <w:rsid w:val="00867047"/>
    <w:rsid w:val="0086711E"/>
    <w:rsid w:val="0086791E"/>
    <w:rsid w:val="008679CB"/>
    <w:rsid w:val="00867EB0"/>
    <w:rsid w:val="008706AE"/>
    <w:rsid w:val="0087171C"/>
    <w:rsid w:val="008718F2"/>
    <w:rsid w:val="00871AD3"/>
    <w:rsid w:val="00872220"/>
    <w:rsid w:val="0087223E"/>
    <w:rsid w:val="008725F3"/>
    <w:rsid w:val="008726B8"/>
    <w:rsid w:val="008733E0"/>
    <w:rsid w:val="00873539"/>
    <w:rsid w:val="008737DA"/>
    <w:rsid w:val="00873827"/>
    <w:rsid w:val="0087419B"/>
    <w:rsid w:val="008743BB"/>
    <w:rsid w:val="00874644"/>
    <w:rsid w:val="00874730"/>
    <w:rsid w:val="00875C0D"/>
    <w:rsid w:val="00875E45"/>
    <w:rsid w:val="00875EF1"/>
    <w:rsid w:val="00875FCC"/>
    <w:rsid w:val="00876025"/>
    <w:rsid w:val="008760F3"/>
    <w:rsid w:val="00876482"/>
    <w:rsid w:val="0087675C"/>
    <w:rsid w:val="00877191"/>
    <w:rsid w:val="008773F4"/>
    <w:rsid w:val="00877421"/>
    <w:rsid w:val="00877433"/>
    <w:rsid w:val="008774A9"/>
    <w:rsid w:val="008774CB"/>
    <w:rsid w:val="008779FF"/>
    <w:rsid w:val="0088039B"/>
    <w:rsid w:val="008803E8"/>
    <w:rsid w:val="00880B6F"/>
    <w:rsid w:val="0088142E"/>
    <w:rsid w:val="00881AFF"/>
    <w:rsid w:val="00881B49"/>
    <w:rsid w:val="00882366"/>
    <w:rsid w:val="0088251A"/>
    <w:rsid w:val="00882692"/>
    <w:rsid w:val="008826D0"/>
    <w:rsid w:val="008828FA"/>
    <w:rsid w:val="00882A68"/>
    <w:rsid w:val="00882C58"/>
    <w:rsid w:val="00882FDE"/>
    <w:rsid w:val="00883035"/>
    <w:rsid w:val="008831BD"/>
    <w:rsid w:val="00883214"/>
    <w:rsid w:val="0088328C"/>
    <w:rsid w:val="008834FB"/>
    <w:rsid w:val="008835A8"/>
    <w:rsid w:val="0088374E"/>
    <w:rsid w:val="00884080"/>
    <w:rsid w:val="00884218"/>
    <w:rsid w:val="0088422E"/>
    <w:rsid w:val="0088425A"/>
    <w:rsid w:val="00884BEA"/>
    <w:rsid w:val="00884C0E"/>
    <w:rsid w:val="00884CB4"/>
    <w:rsid w:val="00884E51"/>
    <w:rsid w:val="00885CAE"/>
    <w:rsid w:val="00885E17"/>
    <w:rsid w:val="00885FC2"/>
    <w:rsid w:val="008860CC"/>
    <w:rsid w:val="00886A8A"/>
    <w:rsid w:val="00886CB7"/>
    <w:rsid w:val="008870B3"/>
    <w:rsid w:val="0088780F"/>
    <w:rsid w:val="00887A91"/>
    <w:rsid w:val="00887CEB"/>
    <w:rsid w:val="0089017C"/>
    <w:rsid w:val="008903FB"/>
    <w:rsid w:val="00890BEB"/>
    <w:rsid w:val="00891346"/>
    <w:rsid w:val="00891CDA"/>
    <w:rsid w:val="00891D6F"/>
    <w:rsid w:val="00892841"/>
    <w:rsid w:val="00892898"/>
    <w:rsid w:val="008928C6"/>
    <w:rsid w:val="008929C9"/>
    <w:rsid w:val="00892B50"/>
    <w:rsid w:val="008930A4"/>
    <w:rsid w:val="00893101"/>
    <w:rsid w:val="00893225"/>
    <w:rsid w:val="00893A94"/>
    <w:rsid w:val="00893B13"/>
    <w:rsid w:val="00893C8C"/>
    <w:rsid w:val="00894417"/>
    <w:rsid w:val="0089449E"/>
    <w:rsid w:val="0089456A"/>
    <w:rsid w:val="0089468A"/>
    <w:rsid w:val="008949EF"/>
    <w:rsid w:val="008952F3"/>
    <w:rsid w:val="0089548F"/>
    <w:rsid w:val="00895527"/>
    <w:rsid w:val="008955A8"/>
    <w:rsid w:val="00895AC7"/>
    <w:rsid w:val="00895E29"/>
    <w:rsid w:val="0089647F"/>
    <w:rsid w:val="00896AE9"/>
    <w:rsid w:val="00896D1E"/>
    <w:rsid w:val="00896FAD"/>
    <w:rsid w:val="0089786D"/>
    <w:rsid w:val="00897936"/>
    <w:rsid w:val="008A00D2"/>
    <w:rsid w:val="008A0357"/>
    <w:rsid w:val="008A03E2"/>
    <w:rsid w:val="008A08FD"/>
    <w:rsid w:val="008A1526"/>
    <w:rsid w:val="008A15DB"/>
    <w:rsid w:val="008A17A1"/>
    <w:rsid w:val="008A1977"/>
    <w:rsid w:val="008A1CA2"/>
    <w:rsid w:val="008A1D4D"/>
    <w:rsid w:val="008A1DD4"/>
    <w:rsid w:val="008A1DD5"/>
    <w:rsid w:val="008A1FDD"/>
    <w:rsid w:val="008A201A"/>
    <w:rsid w:val="008A2465"/>
    <w:rsid w:val="008A256C"/>
    <w:rsid w:val="008A2852"/>
    <w:rsid w:val="008A2AF4"/>
    <w:rsid w:val="008A2C28"/>
    <w:rsid w:val="008A2DD7"/>
    <w:rsid w:val="008A32DB"/>
    <w:rsid w:val="008A351C"/>
    <w:rsid w:val="008A3B35"/>
    <w:rsid w:val="008A40A1"/>
    <w:rsid w:val="008A4139"/>
    <w:rsid w:val="008A4323"/>
    <w:rsid w:val="008A45C1"/>
    <w:rsid w:val="008A46D1"/>
    <w:rsid w:val="008A4964"/>
    <w:rsid w:val="008A4C3C"/>
    <w:rsid w:val="008A4DF9"/>
    <w:rsid w:val="008A4E5C"/>
    <w:rsid w:val="008A517C"/>
    <w:rsid w:val="008A51D1"/>
    <w:rsid w:val="008A52C8"/>
    <w:rsid w:val="008A53AE"/>
    <w:rsid w:val="008A5AEF"/>
    <w:rsid w:val="008A5E56"/>
    <w:rsid w:val="008A63B9"/>
    <w:rsid w:val="008A6684"/>
    <w:rsid w:val="008A7095"/>
    <w:rsid w:val="008A70F4"/>
    <w:rsid w:val="008A7697"/>
    <w:rsid w:val="008A7745"/>
    <w:rsid w:val="008A7B18"/>
    <w:rsid w:val="008A7E9E"/>
    <w:rsid w:val="008A7EB5"/>
    <w:rsid w:val="008B0487"/>
    <w:rsid w:val="008B0646"/>
    <w:rsid w:val="008B0CB1"/>
    <w:rsid w:val="008B0EC4"/>
    <w:rsid w:val="008B18D4"/>
    <w:rsid w:val="008B1940"/>
    <w:rsid w:val="008B1E65"/>
    <w:rsid w:val="008B1FEE"/>
    <w:rsid w:val="008B23DC"/>
    <w:rsid w:val="008B2817"/>
    <w:rsid w:val="008B2867"/>
    <w:rsid w:val="008B2B54"/>
    <w:rsid w:val="008B2CA0"/>
    <w:rsid w:val="008B2CB4"/>
    <w:rsid w:val="008B2DC6"/>
    <w:rsid w:val="008B307A"/>
    <w:rsid w:val="008B3122"/>
    <w:rsid w:val="008B36AD"/>
    <w:rsid w:val="008B4358"/>
    <w:rsid w:val="008B44C4"/>
    <w:rsid w:val="008B468E"/>
    <w:rsid w:val="008B4972"/>
    <w:rsid w:val="008B512F"/>
    <w:rsid w:val="008B517D"/>
    <w:rsid w:val="008B55BE"/>
    <w:rsid w:val="008B57AA"/>
    <w:rsid w:val="008B57E8"/>
    <w:rsid w:val="008B58AF"/>
    <w:rsid w:val="008B597B"/>
    <w:rsid w:val="008B5BC2"/>
    <w:rsid w:val="008B5F6C"/>
    <w:rsid w:val="008B62C9"/>
    <w:rsid w:val="008B6862"/>
    <w:rsid w:val="008B6F06"/>
    <w:rsid w:val="008B70BC"/>
    <w:rsid w:val="008B7E06"/>
    <w:rsid w:val="008B7EF2"/>
    <w:rsid w:val="008C0444"/>
    <w:rsid w:val="008C0588"/>
    <w:rsid w:val="008C0F1A"/>
    <w:rsid w:val="008C102A"/>
    <w:rsid w:val="008C103B"/>
    <w:rsid w:val="008C137C"/>
    <w:rsid w:val="008C157A"/>
    <w:rsid w:val="008C179F"/>
    <w:rsid w:val="008C1B8A"/>
    <w:rsid w:val="008C1D02"/>
    <w:rsid w:val="008C1FD7"/>
    <w:rsid w:val="008C20A0"/>
    <w:rsid w:val="008C21B7"/>
    <w:rsid w:val="008C22F1"/>
    <w:rsid w:val="008C2379"/>
    <w:rsid w:val="008C2575"/>
    <w:rsid w:val="008C2661"/>
    <w:rsid w:val="008C2734"/>
    <w:rsid w:val="008C28F3"/>
    <w:rsid w:val="008C33C8"/>
    <w:rsid w:val="008C3519"/>
    <w:rsid w:val="008C377C"/>
    <w:rsid w:val="008C38C0"/>
    <w:rsid w:val="008C41AD"/>
    <w:rsid w:val="008C4550"/>
    <w:rsid w:val="008C456F"/>
    <w:rsid w:val="008C4E2E"/>
    <w:rsid w:val="008C5555"/>
    <w:rsid w:val="008C5B89"/>
    <w:rsid w:val="008C5E3C"/>
    <w:rsid w:val="008C6B23"/>
    <w:rsid w:val="008C6CE9"/>
    <w:rsid w:val="008C7013"/>
    <w:rsid w:val="008C7394"/>
    <w:rsid w:val="008C73EC"/>
    <w:rsid w:val="008C75A7"/>
    <w:rsid w:val="008C760F"/>
    <w:rsid w:val="008C792A"/>
    <w:rsid w:val="008C7B89"/>
    <w:rsid w:val="008C7EB5"/>
    <w:rsid w:val="008C7F97"/>
    <w:rsid w:val="008D01B9"/>
    <w:rsid w:val="008D03FB"/>
    <w:rsid w:val="008D093F"/>
    <w:rsid w:val="008D0D3F"/>
    <w:rsid w:val="008D0E74"/>
    <w:rsid w:val="008D138C"/>
    <w:rsid w:val="008D146A"/>
    <w:rsid w:val="008D1809"/>
    <w:rsid w:val="008D18B0"/>
    <w:rsid w:val="008D18EA"/>
    <w:rsid w:val="008D1D76"/>
    <w:rsid w:val="008D2747"/>
    <w:rsid w:val="008D2EEC"/>
    <w:rsid w:val="008D390E"/>
    <w:rsid w:val="008D3EF1"/>
    <w:rsid w:val="008D3F17"/>
    <w:rsid w:val="008D426D"/>
    <w:rsid w:val="008D4460"/>
    <w:rsid w:val="008D49CA"/>
    <w:rsid w:val="008D4D53"/>
    <w:rsid w:val="008D530E"/>
    <w:rsid w:val="008D5EF0"/>
    <w:rsid w:val="008D60EF"/>
    <w:rsid w:val="008D62ED"/>
    <w:rsid w:val="008D63BE"/>
    <w:rsid w:val="008D650A"/>
    <w:rsid w:val="008D66EC"/>
    <w:rsid w:val="008D6A94"/>
    <w:rsid w:val="008D6B34"/>
    <w:rsid w:val="008D6DCA"/>
    <w:rsid w:val="008D6DE3"/>
    <w:rsid w:val="008D6F39"/>
    <w:rsid w:val="008D78DE"/>
    <w:rsid w:val="008E015C"/>
    <w:rsid w:val="008E01E0"/>
    <w:rsid w:val="008E02E1"/>
    <w:rsid w:val="008E0610"/>
    <w:rsid w:val="008E0717"/>
    <w:rsid w:val="008E0B8B"/>
    <w:rsid w:val="008E0C83"/>
    <w:rsid w:val="008E0CC2"/>
    <w:rsid w:val="008E0EB6"/>
    <w:rsid w:val="008E10FC"/>
    <w:rsid w:val="008E1D6F"/>
    <w:rsid w:val="008E220F"/>
    <w:rsid w:val="008E267F"/>
    <w:rsid w:val="008E26D6"/>
    <w:rsid w:val="008E27DE"/>
    <w:rsid w:val="008E299C"/>
    <w:rsid w:val="008E2BCC"/>
    <w:rsid w:val="008E3077"/>
    <w:rsid w:val="008E30CF"/>
    <w:rsid w:val="008E369E"/>
    <w:rsid w:val="008E3771"/>
    <w:rsid w:val="008E383B"/>
    <w:rsid w:val="008E3E2C"/>
    <w:rsid w:val="008E4133"/>
    <w:rsid w:val="008E433C"/>
    <w:rsid w:val="008E481B"/>
    <w:rsid w:val="008E4CCB"/>
    <w:rsid w:val="008E4FFA"/>
    <w:rsid w:val="008E577C"/>
    <w:rsid w:val="008E5887"/>
    <w:rsid w:val="008E63E0"/>
    <w:rsid w:val="008E641A"/>
    <w:rsid w:val="008E70F6"/>
    <w:rsid w:val="008E7649"/>
    <w:rsid w:val="008E77F2"/>
    <w:rsid w:val="008E7D20"/>
    <w:rsid w:val="008F0E28"/>
    <w:rsid w:val="008F0F3C"/>
    <w:rsid w:val="008F10F8"/>
    <w:rsid w:val="008F1231"/>
    <w:rsid w:val="008F1300"/>
    <w:rsid w:val="008F1563"/>
    <w:rsid w:val="008F18CA"/>
    <w:rsid w:val="008F1AB0"/>
    <w:rsid w:val="008F1EA4"/>
    <w:rsid w:val="008F2666"/>
    <w:rsid w:val="008F286E"/>
    <w:rsid w:val="008F2B09"/>
    <w:rsid w:val="008F35B5"/>
    <w:rsid w:val="008F3778"/>
    <w:rsid w:val="008F3817"/>
    <w:rsid w:val="008F4146"/>
    <w:rsid w:val="008F45BE"/>
    <w:rsid w:val="008F4B49"/>
    <w:rsid w:val="008F4BE6"/>
    <w:rsid w:val="008F5026"/>
    <w:rsid w:val="008F5345"/>
    <w:rsid w:val="008F5464"/>
    <w:rsid w:val="008F54C1"/>
    <w:rsid w:val="008F54F0"/>
    <w:rsid w:val="008F5A6E"/>
    <w:rsid w:val="008F5CE6"/>
    <w:rsid w:val="008F5DB3"/>
    <w:rsid w:val="008F60D5"/>
    <w:rsid w:val="008F6214"/>
    <w:rsid w:val="008F62A1"/>
    <w:rsid w:val="008F667C"/>
    <w:rsid w:val="008F67C4"/>
    <w:rsid w:val="008F67CF"/>
    <w:rsid w:val="008F6DBC"/>
    <w:rsid w:val="008F6EE6"/>
    <w:rsid w:val="008F71BD"/>
    <w:rsid w:val="008F7378"/>
    <w:rsid w:val="008F773C"/>
    <w:rsid w:val="008F78D6"/>
    <w:rsid w:val="008F79A0"/>
    <w:rsid w:val="0090006C"/>
    <w:rsid w:val="00900B03"/>
    <w:rsid w:val="00901145"/>
    <w:rsid w:val="00901D4A"/>
    <w:rsid w:val="0090234B"/>
    <w:rsid w:val="009023F9"/>
    <w:rsid w:val="0090266F"/>
    <w:rsid w:val="00903515"/>
    <w:rsid w:val="009035B4"/>
    <w:rsid w:val="00903BCA"/>
    <w:rsid w:val="00904598"/>
    <w:rsid w:val="0090527B"/>
    <w:rsid w:val="00905620"/>
    <w:rsid w:val="00905743"/>
    <w:rsid w:val="00905ECE"/>
    <w:rsid w:val="00906333"/>
    <w:rsid w:val="00906371"/>
    <w:rsid w:val="009067C5"/>
    <w:rsid w:val="009067ED"/>
    <w:rsid w:val="00906BCE"/>
    <w:rsid w:val="0090760B"/>
    <w:rsid w:val="00907659"/>
    <w:rsid w:val="0090785F"/>
    <w:rsid w:val="00907923"/>
    <w:rsid w:val="00907EBE"/>
    <w:rsid w:val="009101B1"/>
    <w:rsid w:val="0091063B"/>
    <w:rsid w:val="00911075"/>
    <w:rsid w:val="009113E6"/>
    <w:rsid w:val="0091177F"/>
    <w:rsid w:val="00911945"/>
    <w:rsid w:val="00911DAF"/>
    <w:rsid w:val="00912637"/>
    <w:rsid w:val="00912804"/>
    <w:rsid w:val="00912A27"/>
    <w:rsid w:val="00912A5B"/>
    <w:rsid w:val="00912A6C"/>
    <w:rsid w:val="00912DA6"/>
    <w:rsid w:val="00912DC5"/>
    <w:rsid w:val="009138B1"/>
    <w:rsid w:val="009139C5"/>
    <w:rsid w:val="00913B7D"/>
    <w:rsid w:val="00913CD1"/>
    <w:rsid w:val="00913D57"/>
    <w:rsid w:val="00913DE6"/>
    <w:rsid w:val="009144AF"/>
    <w:rsid w:val="009148D3"/>
    <w:rsid w:val="00914B4C"/>
    <w:rsid w:val="00915595"/>
    <w:rsid w:val="00915752"/>
    <w:rsid w:val="00915B47"/>
    <w:rsid w:val="00915BC4"/>
    <w:rsid w:val="00915D5A"/>
    <w:rsid w:val="00915E0D"/>
    <w:rsid w:val="00916472"/>
    <w:rsid w:val="0091685C"/>
    <w:rsid w:val="00916D7B"/>
    <w:rsid w:val="00916DF0"/>
    <w:rsid w:val="00916E29"/>
    <w:rsid w:val="0091705E"/>
    <w:rsid w:val="00917223"/>
    <w:rsid w:val="0092034C"/>
    <w:rsid w:val="009207A8"/>
    <w:rsid w:val="009207E8"/>
    <w:rsid w:val="00920943"/>
    <w:rsid w:val="0092105F"/>
    <w:rsid w:val="009214A4"/>
    <w:rsid w:val="0092153C"/>
    <w:rsid w:val="009215E6"/>
    <w:rsid w:val="00921E3B"/>
    <w:rsid w:val="009221D3"/>
    <w:rsid w:val="009225DB"/>
    <w:rsid w:val="009230E4"/>
    <w:rsid w:val="0092328E"/>
    <w:rsid w:val="0092330C"/>
    <w:rsid w:val="00923568"/>
    <w:rsid w:val="009237C2"/>
    <w:rsid w:val="0092380A"/>
    <w:rsid w:val="00923902"/>
    <w:rsid w:val="009239E8"/>
    <w:rsid w:val="00923F5A"/>
    <w:rsid w:val="00924235"/>
    <w:rsid w:val="0092476E"/>
    <w:rsid w:val="00925205"/>
    <w:rsid w:val="009253D8"/>
    <w:rsid w:val="009257EF"/>
    <w:rsid w:val="00926664"/>
    <w:rsid w:val="009267EF"/>
    <w:rsid w:val="009268FC"/>
    <w:rsid w:val="00926A7D"/>
    <w:rsid w:val="00926F3B"/>
    <w:rsid w:val="009272DD"/>
    <w:rsid w:val="009278CF"/>
    <w:rsid w:val="00927921"/>
    <w:rsid w:val="009279CD"/>
    <w:rsid w:val="00927A35"/>
    <w:rsid w:val="00927C3C"/>
    <w:rsid w:val="00927E1F"/>
    <w:rsid w:val="00930096"/>
    <w:rsid w:val="00930D87"/>
    <w:rsid w:val="00931089"/>
    <w:rsid w:val="0093111B"/>
    <w:rsid w:val="0093178B"/>
    <w:rsid w:val="00931FD4"/>
    <w:rsid w:val="0093218B"/>
    <w:rsid w:val="00932612"/>
    <w:rsid w:val="0093266A"/>
    <w:rsid w:val="0093278B"/>
    <w:rsid w:val="00932822"/>
    <w:rsid w:val="00932828"/>
    <w:rsid w:val="009332E8"/>
    <w:rsid w:val="00933575"/>
    <w:rsid w:val="009338F8"/>
    <w:rsid w:val="00933DEB"/>
    <w:rsid w:val="00933EF0"/>
    <w:rsid w:val="009346B6"/>
    <w:rsid w:val="009348D9"/>
    <w:rsid w:val="00934C4D"/>
    <w:rsid w:val="00934C4F"/>
    <w:rsid w:val="009350C6"/>
    <w:rsid w:val="00935349"/>
    <w:rsid w:val="009353FA"/>
    <w:rsid w:val="009354D9"/>
    <w:rsid w:val="00935FEA"/>
    <w:rsid w:val="00936532"/>
    <w:rsid w:val="009365A5"/>
    <w:rsid w:val="00936F59"/>
    <w:rsid w:val="009370CE"/>
    <w:rsid w:val="00937272"/>
    <w:rsid w:val="00937317"/>
    <w:rsid w:val="009377C0"/>
    <w:rsid w:val="00937A99"/>
    <w:rsid w:val="009400BF"/>
    <w:rsid w:val="009409B6"/>
    <w:rsid w:val="00940B15"/>
    <w:rsid w:val="00940ED8"/>
    <w:rsid w:val="00941464"/>
    <w:rsid w:val="009414D7"/>
    <w:rsid w:val="009419CD"/>
    <w:rsid w:val="00941CB7"/>
    <w:rsid w:val="00942428"/>
    <w:rsid w:val="009429C4"/>
    <w:rsid w:val="00942C22"/>
    <w:rsid w:val="00942D96"/>
    <w:rsid w:val="00943159"/>
    <w:rsid w:val="009434B9"/>
    <w:rsid w:val="009434CE"/>
    <w:rsid w:val="009435BC"/>
    <w:rsid w:val="00943BC3"/>
    <w:rsid w:val="009444C2"/>
    <w:rsid w:val="00944673"/>
    <w:rsid w:val="00944751"/>
    <w:rsid w:val="009447E3"/>
    <w:rsid w:val="00944A91"/>
    <w:rsid w:val="0094500A"/>
    <w:rsid w:val="0094597B"/>
    <w:rsid w:val="00945F66"/>
    <w:rsid w:val="009462F5"/>
    <w:rsid w:val="0094635A"/>
    <w:rsid w:val="00946462"/>
    <w:rsid w:val="00946606"/>
    <w:rsid w:val="0094682C"/>
    <w:rsid w:val="00946F48"/>
    <w:rsid w:val="009470DE"/>
    <w:rsid w:val="00947464"/>
    <w:rsid w:val="00947777"/>
    <w:rsid w:val="00947907"/>
    <w:rsid w:val="00947A68"/>
    <w:rsid w:val="00947D22"/>
    <w:rsid w:val="00950670"/>
    <w:rsid w:val="00952349"/>
    <w:rsid w:val="009523FF"/>
    <w:rsid w:val="009529A0"/>
    <w:rsid w:val="00952E84"/>
    <w:rsid w:val="009530AE"/>
    <w:rsid w:val="00953574"/>
    <w:rsid w:val="0095371E"/>
    <w:rsid w:val="00953A30"/>
    <w:rsid w:val="0095418D"/>
    <w:rsid w:val="009543FF"/>
    <w:rsid w:val="00954A20"/>
    <w:rsid w:val="009551A2"/>
    <w:rsid w:val="009554F2"/>
    <w:rsid w:val="0095563D"/>
    <w:rsid w:val="0095568E"/>
    <w:rsid w:val="00955C65"/>
    <w:rsid w:val="00955E81"/>
    <w:rsid w:val="009564D1"/>
    <w:rsid w:val="00957622"/>
    <w:rsid w:val="00957CF8"/>
    <w:rsid w:val="00957EC2"/>
    <w:rsid w:val="0096027D"/>
    <w:rsid w:val="0096028C"/>
    <w:rsid w:val="00960563"/>
    <w:rsid w:val="00960791"/>
    <w:rsid w:val="00960A3D"/>
    <w:rsid w:val="00960EA8"/>
    <w:rsid w:val="00960FA5"/>
    <w:rsid w:val="00961218"/>
    <w:rsid w:val="009613C1"/>
    <w:rsid w:val="009614F1"/>
    <w:rsid w:val="0096165E"/>
    <w:rsid w:val="009616E2"/>
    <w:rsid w:val="00961B9C"/>
    <w:rsid w:val="009622F3"/>
    <w:rsid w:val="00962304"/>
    <w:rsid w:val="00962B6C"/>
    <w:rsid w:val="0096301A"/>
    <w:rsid w:val="0096313F"/>
    <w:rsid w:val="00963479"/>
    <w:rsid w:val="00964337"/>
    <w:rsid w:val="00964389"/>
    <w:rsid w:val="00964467"/>
    <w:rsid w:val="00965016"/>
    <w:rsid w:val="009650EF"/>
    <w:rsid w:val="00965331"/>
    <w:rsid w:val="00966052"/>
    <w:rsid w:val="009661D0"/>
    <w:rsid w:val="00966C36"/>
    <w:rsid w:val="00967139"/>
    <w:rsid w:val="0096727A"/>
    <w:rsid w:val="00967773"/>
    <w:rsid w:val="0096781B"/>
    <w:rsid w:val="00967D09"/>
    <w:rsid w:val="00970377"/>
    <w:rsid w:val="00970392"/>
    <w:rsid w:val="00970FC6"/>
    <w:rsid w:val="00971578"/>
    <w:rsid w:val="0097157E"/>
    <w:rsid w:val="00971A21"/>
    <w:rsid w:val="00972054"/>
    <w:rsid w:val="00972C44"/>
    <w:rsid w:val="009733AE"/>
    <w:rsid w:val="00973545"/>
    <w:rsid w:val="00973BCB"/>
    <w:rsid w:val="00973CBA"/>
    <w:rsid w:val="00973F8E"/>
    <w:rsid w:val="0097465C"/>
    <w:rsid w:val="009746F4"/>
    <w:rsid w:val="00975A9A"/>
    <w:rsid w:val="0097673A"/>
    <w:rsid w:val="00976F7F"/>
    <w:rsid w:val="009770A0"/>
    <w:rsid w:val="009770CC"/>
    <w:rsid w:val="009779FB"/>
    <w:rsid w:val="00977ABA"/>
    <w:rsid w:val="00980128"/>
    <w:rsid w:val="009801FC"/>
    <w:rsid w:val="009802E9"/>
    <w:rsid w:val="0098098C"/>
    <w:rsid w:val="00980EBD"/>
    <w:rsid w:val="009826D9"/>
    <w:rsid w:val="00983533"/>
    <w:rsid w:val="0098373B"/>
    <w:rsid w:val="0098393E"/>
    <w:rsid w:val="00983943"/>
    <w:rsid w:val="00983BF4"/>
    <w:rsid w:val="00983EBA"/>
    <w:rsid w:val="00983F8E"/>
    <w:rsid w:val="00984696"/>
    <w:rsid w:val="009846F6"/>
    <w:rsid w:val="00984892"/>
    <w:rsid w:val="00984D31"/>
    <w:rsid w:val="00984D7A"/>
    <w:rsid w:val="00984EE1"/>
    <w:rsid w:val="00984F46"/>
    <w:rsid w:val="009850B8"/>
    <w:rsid w:val="00985C15"/>
    <w:rsid w:val="00985F89"/>
    <w:rsid w:val="00986457"/>
    <w:rsid w:val="00986530"/>
    <w:rsid w:val="00986A78"/>
    <w:rsid w:val="00987332"/>
    <w:rsid w:val="0098777E"/>
    <w:rsid w:val="00987B7F"/>
    <w:rsid w:val="00987C13"/>
    <w:rsid w:val="0099008A"/>
    <w:rsid w:val="00990411"/>
    <w:rsid w:val="00990413"/>
    <w:rsid w:val="009906A4"/>
    <w:rsid w:val="00990EE0"/>
    <w:rsid w:val="00990FC4"/>
    <w:rsid w:val="00991169"/>
    <w:rsid w:val="009911FD"/>
    <w:rsid w:val="0099178E"/>
    <w:rsid w:val="00991CCA"/>
    <w:rsid w:val="00992C96"/>
    <w:rsid w:val="00993226"/>
    <w:rsid w:val="0099322F"/>
    <w:rsid w:val="00993A68"/>
    <w:rsid w:val="00993DE6"/>
    <w:rsid w:val="009945B3"/>
    <w:rsid w:val="00994831"/>
    <w:rsid w:val="00994CC6"/>
    <w:rsid w:val="00995163"/>
    <w:rsid w:val="00995180"/>
    <w:rsid w:val="00995427"/>
    <w:rsid w:val="0099549A"/>
    <w:rsid w:val="00995CEA"/>
    <w:rsid w:val="00995D5B"/>
    <w:rsid w:val="00995F52"/>
    <w:rsid w:val="009964BA"/>
    <w:rsid w:val="0099653D"/>
    <w:rsid w:val="009967CC"/>
    <w:rsid w:val="00996DE6"/>
    <w:rsid w:val="00997235"/>
    <w:rsid w:val="00997540"/>
    <w:rsid w:val="009976BD"/>
    <w:rsid w:val="00997F4F"/>
    <w:rsid w:val="009A09B7"/>
    <w:rsid w:val="009A0ECF"/>
    <w:rsid w:val="009A1119"/>
    <w:rsid w:val="009A1369"/>
    <w:rsid w:val="009A1547"/>
    <w:rsid w:val="009A177E"/>
    <w:rsid w:val="009A1A84"/>
    <w:rsid w:val="009A28BA"/>
    <w:rsid w:val="009A2FDC"/>
    <w:rsid w:val="009A35B0"/>
    <w:rsid w:val="009A35CA"/>
    <w:rsid w:val="009A4096"/>
    <w:rsid w:val="009A4B84"/>
    <w:rsid w:val="009A4E1D"/>
    <w:rsid w:val="009A5151"/>
    <w:rsid w:val="009A58B0"/>
    <w:rsid w:val="009A5D7A"/>
    <w:rsid w:val="009A5F87"/>
    <w:rsid w:val="009A5F8E"/>
    <w:rsid w:val="009A62F4"/>
    <w:rsid w:val="009A6C43"/>
    <w:rsid w:val="009A6F6B"/>
    <w:rsid w:val="009A6FFE"/>
    <w:rsid w:val="009A774C"/>
    <w:rsid w:val="009A7C0B"/>
    <w:rsid w:val="009A7CE0"/>
    <w:rsid w:val="009A7CFC"/>
    <w:rsid w:val="009B008F"/>
    <w:rsid w:val="009B0233"/>
    <w:rsid w:val="009B02D6"/>
    <w:rsid w:val="009B043E"/>
    <w:rsid w:val="009B06CF"/>
    <w:rsid w:val="009B0B9C"/>
    <w:rsid w:val="009B0BCE"/>
    <w:rsid w:val="009B0BD8"/>
    <w:rsid w:val="009B0BF5"/>
    <w:rsid w:val="009B1134"/>
    <w:rsid w:val="009B1990"/>
    <w:rsid w:val="009B377B"/>
    <w:rsid w:val="009B3A98"/>
    <w:rsid w:val="009B3D5F"/>
    <w:rsid w:val="009B446F"/>
    <w:rsid w:val="009B4F17"/>
    <w:rsid w:val="009B4F9E"/>
    <w:rsid w:val="009B4FE5"/>
    <w:rsid w:val="009B5A8F"/>
    <w:rsid w:val="009B5D53"/>
    <w:rsid w:val="009B6113"/>
    <w:rsid w:val="009B6501"/>
    <w:rsid w:val="009B6C22"/>
    <w:rsid w:val="009B6EFC"/>
    <w:rsid w:val="009B73AE"/>
    <w:rsid w:val="009B7771"/>
    <w:rsid w:val="009B7841"/>
    <w:rsid w:val="009B78A4"/>
    <w:rsid w:val="009B7E53"/>
    <w:rsid w:val="009B7F61"/>
    <w:rsid w:val="009C015B"/>
    <w:rsid w:val="009C01BD"/>
    <w:rsid w:val="009C01DD"/>
    <w:rsid w:val="009C06CE"/>
    <w:rsid w:val="009C0729"/>
    <w:rsid w:val="009C1390"/>
    <w:rsid w:val="009C15E8"/>
    <w:rsid w:val="009C16CD"/>
    <w:rsid w:val="009C17E5"/>
    <w:rsid w:val="009C1A1A"/>
    <w:rsid w:val="009C22D6"/>
    <w:rsid w:val="009C2581"/>
    <w:rsid w:val="009C28A4"/>
    <w:rsid w:val="009C2B38"/>
    <w:rsid w:val="009C30CF"/>
    <w:rsid w:val="009C3444"/>
    <w:rsid w:val="009C369C"/>
    <w:rsid w:val="009C385C"/>
    <w:rsid w:val="009C3B80"/>
    <w:rsid w:val="009C3C1A"/>
    <w:rsid w:val="009C4096"/>
    <w:rsid w:val="009C4947"/>
    <w:rsid w:val="009C4C59"/>
    <w:rsid w:val="009C5383"/>
    <w:rsid w:val="009C539A"/>
    <w:rsid w:val="009C53D5"/>
    <w:rsid w:val="009C5643"/>
    <w:rsid w:val="009C5B64"/>
    <w:rsid w:val="009C5E7B"/>
    <w:rsid w:val="009C6040"/>
    <w:rsid w:val="009C6BF6"/>
    <w:rsid w:val="009C6C0E"/>
    <w:rsid w:val="009C6C69"/>
    <w:rsid w:val="009C6D9F"/>
    <w:rsid w:val="009C7264"/>
    <w:rsid w:val="009C72FB"/>
    <w:rsid w:val="009C7783"/>
    <w:rsid w:val="009C7897"/>
    <w:rsid w:val="009C7BC8"/>
    <w:rsid w:val="009D0085"/>
    <w:rsid w:val="009D032A"/>
    <w:rsid w:val="009D04C7"/>
    <w:rsid w:val="009D05F9"/>
    <w:rsid w:val="009D08B1"/>
    <w:rsid w:val="009D0ADE"/>
    <w:rsid w:val="009D0B13"/>
    <w:rsid w:val="009D20E0"/>
    <w:rsid w:val="009D315F"/>
    <w:rsid w:val="009D33C3"/>
    <w:rsid w:val="009D3A1D"/>
    <w:rsid w:val="009D3FF3"/>
    <w:rsid w:val="009D424A"/>
    <w:rsid w:val="009D471A"/>
    <w:rsid w:val="009D4D91"/>
    <w:rsid w:val="009D4EFF"/>
    <w:rsid w:val="009D5361"/>
    <w:rsid w:val="009D564A"/>
    <w:rsid w:val="009D641B"/>
    <w:rsid w:val="009D67EF"/>
    <w:rsid w:val="009D6D1E"/>
    <w:rsid w:val="009D6E84"/>
    <w:rsid w:val="009D73F2"/>
    <w:rsid w:val="009D7B22"/>
    <w:rsid w:val="009D7E09"/>
    <w:rsid w:val="009E00C8"/>
    <w:rsid w:val="009E04C3"/>
    <w:rsid w:val="009E04D4"/>
    <w:rsid w:val="009E0708"/>
    <w:rsid w:val="009E095D"/>
    <w:rsid w:val="009E100C"/>
    <w:rsid w:val="009E1296"/>
    <w:rsid w:val="009E1888"/>
    <w:rsid w:val="009E19E0"/>
    <w:rsid w:val="009E1E01"/>
    <w:rsid w:val="009E22FD"/>
    <w:rsid w:val="009E2416"/>
    <w:rsid w:val="009E2AC9"/>
    <w:rsid w:val="009E2B1B"/>
    <w:rsid w:val="009E2FF5"/>
    <w:rsid w:val="009E3D4A"/>
    <w:rsid w:val="009E4841"/>
    <w:rsid w:val="009E4D8C"/>
    <w:rsid w:val="009E4FC9"/>
    <w:rsid w:val="009E561F"/>
    <w:rsid w:val="009E57B7"/>
    <w:rsid w:val="009E6502"/>
    <w:rsid w:val="009E655A"/>
    <w:rsid w:val="009E6EA2"/>
    <w:rsid w:val="009E79A0"/>
    <w:rsid w:val="009E7ABF"/>
    <w:rsid w:val="009E7B1F"/>
    <w:rsid w:val="009F000F"/>
    <w:rsid w:val="009F0146"/>
    <w:rsid w:val="009F1934"/>
    <w:rsid w:val="009F1B0D"/>
    <w:rsid w:val="009F1EC3"/>
    <w:rsid w:val="009F1F30"/>
    <w:rsid w:val="009F224F"/>
    <w:rsid w:val="009F2467"/>
    <w:rsid w:val="009F2A02"/>
    <w:rsid w:val="009F2A77"/>
    <w:rsid w:val="009F3414"/>
    <w:rsid w:val="009F368A"/>
    <w:rsid w:val="009F3D2F"/>
    <w:rsid w:val="009F3FBC"/>
    <w:rsid w:val="009F446F"/>
    <w:rsid w:val="009F4515"/>
    <w:rsid w:val="009F4BB8"/>
    <w:rsid w:val="009F5231"/>
    <w:rsid w:val="009F587F"/>
    <w:rsid w:val="009F59B1"/>
    <w:rsid w:val="009F5CDC"/>
    <w:rsid w:val="009F5D43"/>
    <w:rsid w:val="009F6020"/>
    <w:rsid w:val="009F6877"/>
    <w:rsid w:val="009F6893"/>
    <w:rsid w:val="009F6DAD"/>
    <w:rsid w:val="009F6FCB"/>
    <w:rsid w:val="009F70F9"/>
    <w:rsid w:val="009F7710"/>
    <w:rsid w:val="009F7833"/>
    <w:rsid w:val="009F7CAC"/>
    <w:rsid w:val="00A002FD"/>
    <w:rsid w:val="00A0046D"/>
    <w:rsid w:val="00A01161"/>
    <w:rsid w:val="00A012BB"/>
    <w:rsid w:val="00A014C3"/>
    <w:rsid w:val="00A0171C"/>
    <w:rsid w:val="00A01A51"/>
    <w:rsid w:val="00A01A6F"/>
    <w:rsid w:val="00A0260A"/>
    <w:rsid w:val="00A0268A"/>
    <w:rsid w:val="00A02AE2"/>
    <w:rsid w:val="00A032D3"/>
    <w:rsid w:val="00A038CC"/>
    <w:rsid w:val="00A03CF1"/>
    <w:rsid w:val="00A044A1"/>
    <w:rsid w:val="00A05136"/>
    <w:rsid w:val="00A05F06"/>
    <w:rsid w:val="00A06219"/>
    <w:rsid w:val="00A0757A"/>
    <w:rsid w:val="00A075A3"/>
    <w:rsid w:val="00A0763F"/>
    <w:rsid w:val="00A07AB9"/>
    <w:rsid w:val="00A07AE9"/>
    <w:rsid w:val="00A07B29"/>
    <w:rsid w:val="00A1024C"/>
    <w:rsid w:val="00A102B1"/>
    <w:rsid w:val="00A1096A"/>
    <w:rsid w:val="00A109A0"/>
    <w:rsid w:val="00A10E5C"/>
    <w:rsid w:val="00A11547"/>
    <w:rsid w:val="00A115E1"/>
    <w:rsid w:val="00A11911"/>
    <w:rsid w:val="00A11A8E"/>
    <w:rsid w:val="00A11DBB"/>
    <w:rsid w:val="00A12169"/>
    <w:rsid w:val="00A122B0"/>
    <w:rsid w:val="00A122BF"/>
    <w:rsid w:val="00A12FAC"/>
    <w:rsid w:val="00A1321B"/>
    <w:rsid w:val="00A133FF"/>
    <w:rsid w:val="00A1393D"/>
    <w:rsid w:val="00A13CA8"/>
    <w:rsid w:val="00A13E0A"/>
    <w:rsid w:val="00A13FEF"/>
    <w:rsid w:val="00A14012"/>
    <w:rsid w:val="00A145A5"/>
    <w:rsid w:val="00A147EB"/>
    <w:rsid w:val="00A14992"/>
    <w:rsid w:val="00A14D22"/>
    <w:rsid w:val="00A14D61"/>
    <w:rsid w:val="00A14DF6"/>
    <w:rsid w:val="00A1576A"/>
    <w:rsid w:val="00A15792"/>
    <w:rsid w:val="00A157AC"/>
    <w:rsid w:val="00A158D2"/>
    <w:rsid w:val="00A161D5"/>
    <w:rsid w:val="00A1660B"/>
    <w:rsid w:val="00A16640"/>
    <w:rsid w:val="00A16855"/>
    <w:rsid w:val="00A168F1"/>
    <w:rsid w:val="00A169B3"/>
    <w:rsid w:val="00A17464"/>
    <w:rsid w:val="00A1783D"/>
    <w:rsid w:val="00A178DB"/>
    <w:rsid w:val="00A2001F"/>
    <w:rsid w:val="00A20098"/>
    <w:rsid w:val="00A200FD"/>
    <w:rsid w:val="00A206A9"/>
    <w:rsid w:val="00A20828"/>
    <w:rsid w:val="00A20D6C"/>
    <w:rsid w:val="00A21058"/>
    <w:rsid w:val="00A21148"/>
    <w:rsid w:val="00A21583"/>
    <w:rsid w:val="00A219FD"/>
    <w:rsid w:val="00A21D83"/>
    <w:rsid w:val="00A2205A"/>
    <w:rsid w:val="00A2239A"/>
    <w:rsid w:val="00A22F58"/>
    <w:rsid w:val="00A23263"/>
    <w:rsid w:val="00A23358"/>
    <w:rsid w:val="00A2369F"/>
    <w:rsid w:val="00A23A9F"/>
    <w:rsid w:val="00A24335"/>
    <w:rsid w:val="00A24529"/>
    <w:rsid w:val="00A247C5"/>
    <w:rsid w:val="00A24BBA"/>
    <w:rsid w:val="00A24CB8"/>
    <w:rsid w:val="00A24E81"/>
    <w:rsid w:val="00A24F45"/>
    <w:rsid w:val="00A252AE"/>
    <w:rsid w:val="00A253AC"/>
    <w:rsid w:val="00A257D1"/>
    <w:rsid w:val="00A25DEF"/>
    <w:rsid w:val="00A26093"/>
    <w:rsid w:val="00A26170"/>
    <w:rsid w:val="00A26177"/>
    <w:rsid w:val="00A26323"/>
    <w:rsid w:val="00A263EB"/>
    <w:rsid w:val="00A26A18"/>
    <w:rsid w:val="00A26A4C"/>
    <w:rsid w:val="00A2709E"/>
    <w:rsid w:val="00A27142"/>
    <w:rsid w:val="00A2752C"/>
    <w:rsid w:val="00A27792"/>
    <w:rsid w:val="00A27896"/>
    <w:rsid w:val="00A30290"/>
    <w:rsid w:val="00A3053B"/>
    <w:rsid w:val="00A30613"/>
    <w:rsid w:val="00A30AA2"/>
    <w:rsid w:val="00A31DBF"/>
    <w:rsid w:val="00A31E63"/>
    <w:rsid w:val="00A32465"/>
    <w:rsid w:val="00A32625"/>
    <w:rsid w:val="00A331C8"/>
    <w:rsid w:val="00A3330A"/>
    <w:rsid w:val="00A3374E"/>
    <w:rsid w:val="00A337C0"/>
    <w:rsid w:val="00A33B0C"/>
    <w:rsid w:val="00A33BD1"/>
    <w:rsid w:val="00A33FED"/>
    <w:rsid w:val="00A3414F"/>
    <w:rsid w:val="00A348A3"/>
    <w:rsid w:val="00A3499F"/>
    <w:rsid w:val="00A3558D"/>
    <w:rsid w:val="00A35BDE"/>
    <w:rsid w:val="00A35E05"/>
    <w:rsid w:val="00A35E90"/>
    <w:rsid w:val="00A35F5A"/>
    <w:rsid w:val="00A35FE9"/>
    <w:rsid w:val="00A369EF"/>
    <w:rsid w:val="00A37007"/>
    <w:rsid w:val="00A37576"/>
    <w:rsid w:val="00A37866"/>
    <w:rsid w:val="00A37999"/>
    <w:rsid w:val="00A379C7"/>
    <w:rsid w:val="00A37C7C"/>
    <w:rsid w:val="00A408C8"/>
    <w:rsid w:val="00A40BAA"/>
    <w:rsid w:val="00A40E07"/>
    <w:rsid w:val="00A40F85"/>
    <w:rsid w:val="00A40F94"/>
    <w:rsid w:val="00A41924"/>
    <w:rsid w:val="00A41A3C"/>
    <w:rsid w:val="00A423B0"/>
    <w:rsid w:val="00A42667"/>
    <w:rsid w:val="00A42F5B"/>
    <w:rsid w:val="00A431BA"/>
    <w:rsid w:val="00A43499"/>
    <w:rsid w:val="00A43EC7"/>
    <w:rsid w:val="00A44216"/>
    <w:rsid w:val="00A44409"/>
    <w:rsid w:val="00A4457E"/>
    <w:rsid w:val="00A44871"/>
    <w:rsid w:val="00A44E6D"/>
    <w:rsid w:val="00A45015"/>
    <w:rsid w:val="00A4505B"/>
    <w:rsid w:val="00A4537B"/>
    <w:rsid w:val="00A453B0"/>
    <w:rsid w:val="00A454FC"/>
    <w:rsid w:val="00A4565F"/>
    <w:rsid w:val="00A45846"/>
    <w:rsid w:val="00A45EF0"/>
    <w:rsid w:val="00A45F6E"/>
    <w:rsid w:val="00A460D1"/>
    <w:rsid w:val="00A46195"/>
    <w:rsid w:val="00A4692B"/>
    <w:rsid w:val="00A46A4C"/>
    <w:rsid w:val="00A46E0B"/>
    <w:rsid w:val="00A4766A"/>
    <w:rsid w:val="00A502BA"/>
    <w:rsid w:val="00A50371"/>
    <w:rsid w:val="00A505C0"/>
    <w:rsid w:val="00A5060F"/>
    <w:rsid w:val="00A50660"/>
    <w:rsid w:val="00A50681"/>
    <w:rsid w:val="00A5082F"/>
    <w:rsid w:val="00A508DC"/>
    <w:rsid w:val="00A510DE"/>
    <w:rsid w:val="00A51B2A"/>
    <w:rsid w:val="00A51B53"/>
    <w:rsid w:val="00A521C1"/>
    <w:rsid w:val="00A522B0"/>
    <w:rsid w:val="00A5235B"/>
    <w:rsid w:val="00A52966"/>
    <w:rsid w:val="00A52B98"/>
    <w:rsid w:val="00A5372B"/>
    <w:rsid w:val="00A545BF"/>
    <w:rsid w:val="00A54B50"/>
    <w:rsid w:val="00A54D6B"/>
    <w:rsid w:val="00A550B8"/>
    <w:rsid w:val="00A55A10"/>
    <w:rsid w:val="00A55DC8"/>
    <w:rsid w:val="00A55ED3"/>
    <w:rsid w:val="00A5632B"/>
    <w:rsid w:val="00A563D3"/>
    <w:rsid w:val="00A56579"/>
    <w:rsid w:val="00A56726"/>
    <w:rsid w:val="00A56765"/>
    <w:rsid w:val="00A56AC5"/>
    <w:rsid w:val="00A574F0"/>
    <w:rsid w:val="00A57755"/>
    <w:rsid w:val="00A57B63"/>
    <w:rsid w:val="00A57BA9"/>
    <w:rsid w:val="00A60132"/>
    <w:rsid w:val="00A60939"/>
    <w:rsid w:val="00A60A0F"/>
    <w:rsid w:val="00A60A69"/>
    <w:rsid w:val="00A617E7"/>
    <w:rsid w:val="00A619F3"/>
    <w:rsid w:val="00A61DC9"/>
    <w:rsid w:val="00A61F1E"/>
    <w:rsid w:val="00A61F43"/>
    <w:rsid w:val="00A62284"/>
    <w:rsid w:val="00A62ED1"/>
    <w:rsid w:val="00A633E0"/>
    <w:rsid w:val="00A63601"/>
    <w:rsid w:val="00A63B2D"/>
    <w:rsid w:val="00A63D29"/>
    <w:rsid w:val="00A6404F"/>
    <w:rsid w:val="00A640B5"/>
    <w:rsid w:val="00A64426"/>
    <w:rsid w:val="00A64468"/>
    <w:rsid w:val="00A64728"/>
    <w:rsid w:val="00A64904"/>
    <w:rsid w:val="00A64C1C"/>
    <w:rsid w:val="00A64CBA"/>
    <w:rsid w:val="00A64E4E"/>
    <w:rsid w:val="00A659D8"/>
    <w:rsid w:val="00A65AFA"/>
    <w:rsid w:val="00A65B38"/>
    <w:rsid w:val="00A65E89"/>
    <w:rsid w:val="00A66603"/>
    <w:rsid w:val="00A66D4C"/>
    <w:rsid w:val="00A67379"/>
    <w:rsid w:val="00A67676"/>
    <w:rsid w:val="00A67BCA"/>
    <w:rsid w:val="00A67CCE"/>
    <w:rsid w:val="00A70EBC"/>
    <w:rsid w:val="00A70FE3"/>
    <w:rsid w:val="00A710D0"/>
    <w:rsid w:val="00A7118D"/>
    <w:rsid w:val="00A71339"/>
    <w:rsid w:val="00A7135B"/>
    <w:rsid w:val="00A71759"/>
    <w:rsid w:val="00A71A83"/>
    <w:rsid w:val="00A72091"/>
    <w:rsid w:val="00A723BF"/>
    <w:rsid w:val="00A72469"/>
    <w:rsid w:val="00A72829"/>
    <w:rsid w:val="00A72BFA"/>
    <w:rsid w:val="00A72CAF"/>
    <w:rsid w:val="00A730EA"/>
    <w:rsid w:val="00A73139"/>
    <w:rsid w:val="00A7374F"/>
    <w:rsid w:val="00A73894"/>
    <w:rsid w:val="00A73993"/>
    <w:rsid w:val="00A73BB9"/>
    <w:rsid w:val="00A73F82"/>
    <w:rsid w:val="00A742B1"/>
    <w:rsid w:val="00A74CDF"/>
    <w:rsid w:val="00A75408"/>
    <w:rsid w:val="00A75598"/>
    <w:rsid w:val="00A756D0"/>
    <w:rsid w:val="00A75BCB"/>
    <w:rsid w:val="00A75CC3"/>
    <w:rsid w:val="00A75F1D"/>
    <w:rsid w:val="00A75F8C"/>
    <w:rsid w:val="00A761CF"/>
    <w:rsid w:val="00A7631D"/>
    <w:rsid w:val="00A7667E"/>
    <w:rsid w:val="00A76867"/>
    <w:rsid w:val="00A76D19"/>
    <w:rsid w:val="00A775E6"/>
    <w:rsid w:val="00A7768F"/>
    <w:rsid w:val="00A7771D"/>
    <w:rsid w:val="00A80BF6"/>
    <w:rsid w:val="00A80E98"/>
    <w:rsid w:val="00A81367"/>
    <w:rsid w:val="00A81694"/>
    <w:rsid w:val="00A817CD"/>
    <w:rsid w:val="00A818A0"/>
    <w:rsid w:val="00A81935"/>
    <w:rsid w:val="00A82113"/>
    <w:rsid w:val="00A825A5"/>
    <w:rsid w:val="00A82899"/>
    <w:rsid w:val="00A82D87"/>
    <w:rsid w:val="00A83251"/>
    <w:rsid w:val="00A83ACB"/>
    <w:rsid w:val="00A844C2"/>
    <w:rsid w:val="00A84BBC"/>
    <w:rsid w:val="00A85698"/>
    <w:rsid w:val="00A859E4"/>
    <w:rsid w:val="00A85BDC"/>
    <w:rsid w:val="00A85C83"/>
    <w:rsid w:val="00A85CBA"/>
    <w:rsid w:val="00A861BB"/>
    <w:rsid w:val="00A8620B"/>
    <w:rsid w:val="00A866EE"/>
    <w:rsid w:val="00A8686B"/>
    <w:rsid w:val="00A875BA"/>
    <w:rsid w:val="00A875BE"/>
    <w:rsid w:val="00A87D9B"/>
    <w:rsid w:val="00A87DB4"/>
    <w:rsid w:val="00A901A1"/>
    <w:rsid w:val="00A9043C"/>
    <w:rsid w:val="00A90BEF"/>
    <w:rsid w:val="00A90D4F"/>
    <w:rsid w:val="00A90DF4"/>
    <w:rsid w:val="00A9166F"/>
    <w:rsid w:val="00A91DEE"/>
    <w:rsid w:val="00A92531"/>
    <w:rsid w:val="00A92A1A"/>
    <w:rsid w:val="00A937D2"/>
    <w:rsid w:val="00A94191"/>
    <w:rsid w:val="00A9428C"/>
    <w:rsid w:val="00A94A38"/>
    <w:rsid w:val="00A94E56"/>
    <w:rsid w:val="00A956DD"/>
    <w:rsid w:val="00A95A68"/>
    <w:rsid w:val="00A95ACC"/>
    <w:rsid w:val="00A95EB5"/>
    <w:rsid w:val="00A95F24"/>
    <w:rsid w:val="00A96451"/>
    <w:rsid w:val="00A96524"/>
    <w:rsid w:val="00A9665E"/>
    <w:rsid w:val="00A96673"/>
    <w:rsid w:val="00A96DEB"/>
    <w:rsid w:val="00A96E97"/>
    <w:rsid w:val="00A96F5F"/>
    <w:rsid w:val="00A97168"/>
    <w:rsid w:val="00A9755C"/>
    <w:rsid w:val="00A978CC"/>
    <w:rsid w:val="00A97A15"/>
    <w:rsid w:val="00A97A3F"/>
    <w:rsid w:val="00A97BF0"/>
    <w:rsid w:val="00AA00E4"/>
    <w:rsid w:val="00AA0275"/>
    <w:rsid w:val="00AA04F7"/>
    <w:rsid w:val="00AA06BA"/>
    <w:rsid w:val="00AA0CBC"/>
    <w:rsid w:val="00AA0E60"/>
    <w:rsid w:val="00AA0E62"/>
    <w:rsid w:val="00AA0EF1"/>
    <w:rsid w:val="00AA15D3"/>
    <w:rsid w:val="00AA1639"/>
    <w:rsid w:val="00AA165D"/>
    <w:rsid w:val="00AA1F49"/>
    <w:rsid w:val="00AA21D3"/>
    <w:rsid w:val="00AA2482"/>
    <w:rsid w:val="00AA25C1"/>
    <w:rsid w:val="00AA2EEE"/>
    <w:rsid w:val="00AA31A5"/>
    <w:rsid w:val="00AA3BB3"/>
    <w:rsid w:val="00AA42BD"/>
    <w:rsid w:val="00AA4F20"/>
    <w:rsid w:val="00AA617C"/>
    <w:rsid w:val="00AA626C"/>
    <w:rsid w:val="00AA65C9"/>
    <w:rsid w:val="00AA6BD8"/>
    <w:rsid w:val="00AA7B21"/>
    <w:rsid w:val="00AA7ED7"/>
    <w:rsid w:val="00AA7EE4"/>
    <w:rsid w:val="00AB0537"/>
    <w:rsid w:val="00AB06EC"/>
    <w:rsid w:val="00AB0845"/>
    <w:rsid w:val="00AB08D7"/>
    <w:rsid w:val="00AB0984"/>
    <w:rsid w:val="00AB0DC4"/>
    <w:rsid w:val="00AB0EFB"/>
    <w:rsid w:val="00AB2511"/>
    <w:rsid w:val="00AB28F6"/>
    <w:rsid w:val="00AB2949"/>
    <w:rsid w:val="00AB2B40"/>
    <w:rsid w:val="00AB2B51"/>
    <w:rsid w:val="00AB2C97"/>
    <w:rsid w:val="00AB304A"/>
    <w:rsid w:val="00AB331C"/>
    <w:rsid w:val="00AB34E3"/>
    <w:rsid w:val="00AB3533"/>
    <w:rsid w:val="00AB354B"/>
    <w:rsid w:val="00AB3576"/>
    <w:rsid w:val="00AB3B1C"/>
    <w:rsid w:val="00AB3B95"/>
    <w:rsid w:val="00AB41FF"/>
    <w:rsid w:val="00AB45BE"/>
    <w:rsid w:val="00AB4670"/>
    <w:rsid w:val="00AB4835"/>
    <w:rsid w:val="00AB4A4E"/>
    <w:rsid w:val="00AB4CB4"/>
    <w:rsid w:val="00AB4DB7"/>
    <w:rsid w:val="00AB4EBF"/>
    <w:rsid w:val="00AB5709"/>
    <w:rsid w:val="00AB57DC"/>
    <w:rsid w:val="00AB592A"/>
    <w:rsid w:val="00AB5C1D"/>
    <w:rsid w:val="00AB5C38"/>
    <w:rsid w:val="00AB5DE1"/>
    <w:rsid w:val="00AB684C"/>
    <w:rsid w:val="00AB6ABA"/>
    <w:rsid w:val="00AB751C"/>
    <w:rsid w:val="00AB7625"/>
    <w:rsid w:val="00AB7910"/>
    <w:rsid w:val="00AB7C8E"/>
    <w:rsid w:val="00AC0214"/>
    <w:rsid w:val="00AC0251"/>
    <w:rsid w:val="00AC0646"/>
    <w:rsid w:val="00AC06D6"/>
    <w:rsid w:val="00AC0996"/>
    <w:rsid w:val="00AC0BA3"/>
    <w:rsid w:val="00AC0E98"/>
    <w:rsid w:val="00AC1341"/>
    <w:rsid w:val="00AC146B"/>
    <w:rsid w:val="00AC1919"/>
    <w:rsid w:val="00AC19A1"/>
    <w:rsid w:val="00AC1FB2"/>
    <w:rsid w:val="00AC24B4"/>
    <w:rsid w:val="00AC2A78"/>
    <w:rsid w:val="00AC2C4C"/>
    <w:rsid w:val="00AC2C5B"/>
    <w:rsid w:val="00AC2D57"/>
    <w:rsid w:val="00AC2DCB"/>
    <w:rsid w:val="00AC3531"/>
    <w:rsid w:val="00AC3665"/>
    <w:rsid w:val="00AC38A9"/>
    <w:rsid w:val="00AC3BC2"/>
    <w:rsid w:val="00AC40CC"/>
    <w:rsid w:val="00AC4122"/>
    <w:rsid w:val="00AC4C3A"/>
    <w:rsid w:val="00AC4DEF"/>
    <w:rsid w:val="00AC4F21"/>
    <w:rsid w:val="00AC4FD5"/>
    <w:rsid w:val="00AC4FF5"/>
    <w:rsid w:val="00AC547E"/>
    <w:rsid w:val="00AC54F6"/>
    <w:rsid w:val="00AC5642"/>
    <w:rsid w:val="00AC61B7"/>
    <w:rsid w:val="00AC6345"/>
    <w:rsid w:val="00AC656B"/>
    <w:rsid w:val="00AC67DD"/>
    <w:rsid w:val="00AC7039"/>
    <w:rsid w:val="00AC7174"/>
    <w:rsid w:val="00AC7595"/>
    <w:rsid w:val="00AC7801"/>
    <w:rsid w:val="00AC79F8"/>
    <w:rsid w:val="00AC7F37"/>
    <w:rsid w:val="00AD004B"/>
    <w:rsid w:val="00AD049F"/>
    <w:rsid w:val="00AD0C1E"/>
    <w:rsid w:val="00AD0E10"/>
    <w:rsid w:val="00AD12B8"/>
    <w:rsid w:val="00AD2D23"/>
    <w:rsid w:val="00AD2DBB"/>
    <w:rsid w:val="00AD2EFE"/>
    <w:rsid w:val="00AD317F"/>
    <w:rsid w:val="00AD4106"/>
    <w:rsid w:val="00AD4620"/>
    <w:rsid w:val="00AD4C1D"/>
    <w:rsid w:val="00AD5BF8"/>
    <w:rsid w:val="00AD5E5E"/>
    <w:rsid w:val="00AD602C"/>
    <w:rsid w:val="00AD6141"/>
    <w:rsid w:val="00AD62A3"/>
    <w:rsid w:val="00AD657D"/>
    <w:rsid w:val="00AD660E"/>
    <w:rsid w:val="00AD6D8B"/>
    <w:rsid w:val="00AD6FA9"/>
    <w:rsid w:val="00AD6FC8"/>
    <w:rsid w:val="00AD739E"/>
    <w:rsid w:val="00AD7C60"/>
    <w:rsid w:val="00AE013C"/>
    <w:rsid w:val="00AE0375"/>
    <w:rsid w:val="00AE044B"/>
    <w:rsid w:val="00AE0618"/>
    <w:rsid w:val="00AE061D"/>
    <w:rsid w:val="00AE06C9"/>
    <w:rsid w:val="00AE0777"/>
    <w:rsid w:val="00AE0879"/>
    <w:rsid w:val="00AE0B80"/>
    <w:rsid w:val="00AE137C"/>
    <w:rsid w:val="00AE13AD"/>
    <w:rsid w:val="00AE1601"/>
    <w:rsid w:val="00AE18EF"/>
    <w:rsid w:val="00AE20B3"/>
    <w:rsid w:val="00AE228C"/>
    <w:rsid w:val="00AE2757"/>
    <w:rsid w:val="00AE2C4F"/>
    <w:rsid w:val="00AE2DB2"/>
    <w:rsid w:val="00AE31F9"/>
    <w:rsid w:val="00AE3435"/>
    <w:rsid w:val="00AE34E1"/>
    <w:rsid w:val="00AE3C76"/>
    <w:rsid w:val="00AE3D00"/>
    <w:rsid w:val="00AE3D7A"/>
    <w:rsid w:val="00AE4060"/>
    <w:rsid w:val="00AE4B0F"/>
    <w:rsid w:val="00AE4F52"/>
    <w:rsid w:val="00AE5F79"/>
    <w:rsid w:val="00AE6AA2"/>
    <w:rsid w:val="00AE6CA7"/>
    <w:rsid w:val="00AE7293"/>
    <w:rsid w:val="00AE761B"/>
    <w:rsid w:val="00AE7B6C"/>
    <w:rsid w:val="00AF0080"/>
    <w:rsid w:val="00AF020A"/>
    <w:rsid w:val="00AF0365"/>
    <w:rsid w:val="00AF0760"/>
    <w:rsid w:val="00AF0B54"/>
    <w:rsid w:val="00AF0D06"/>
    <w:rsid w:val="00AF0F01"/>
    <w:rsid w:val="00AF1227"/>
    <w:rsid w:val="00AF1AF2"/>
    <w:rsid w:val="00AF1E4E"/>
    <w:rsid w:val="00AF22DA"/>
    <w:rsid w:val="00AF306E"/>
    <w:rsid w:val="00AF3538"/>
    <w:rsid w:val="00AF387E"/>
    <w:rsid w:val="00AF39AD"/>
    <w:rsid w:val="00AF3B0A"/>
    <w:rsid w:val="00AF4055"/>
    <w:rsid w:val="00AF40DB"/>
    <w:rsid w:val="00AF4110"/>
    <w:rsid w:val="00AF45F2"/>
    <w:rsid w:val="00AF4672"/>
    <w:rsid w:val="00AF4A64"/>
    <w:rsid w:val="00AF550D"/>
    <w:rsid w:val="00AF5F2C"/>
    <w:rsid w:val="00AF6052"/>
    <w:rsid w:val="00AF614E"/>
    <w:rsid w:val="00AF638E"/>
    <w:rsid w:val="00AF63CB"/>
    <w:rsid w:val="00AF6717"/>
    <w:rsid w:val="00AF715D"/>
    <w:rsid w:val="00AF7FE0"/>
    <w:rsid w:val="00B001A4"/>
    <w:rsid w:val="00B00499"/>
    <w:rsid w:val="00B006BD"/>
    <w:rsid w:val="00B0084A"/>
    <w:rsid w:val="00B01065"/>
    <w:rsid w:val="00B01112"/>
    <w:rsid w:val="00B024DF"/>
    <w:rsid w:val="00B0257E"/>
    <w:rsid w:val="00B02B74"/>
    <w:rsid w:val="00B035BC"/>
    <w:rsid w:val="00B03661"/>
    <w:rsid w:val="00B03856"/>
    <w:rsid w:val="00B042C2"/>
    <w:rsid w:val="00B04665"/>
    <w:rsid w:val="00B04C1F"/>
    <w:rsid w:val="00B04C3B"/>
    <w:rsid w:val="00B04F8B"/>
    <w:rsid w:val="00B057B8"/>
    <w:rsid w:val="00B059B9"/>
    <w:rsid w:val="00B0678A"/>
    <w:rsid w:val="00B06859"/>
    <w:rsid w:val="00B06C77"/>
    <w:rsid w:val="00B072F1"/>
    <w:rsid w:val="00B0744B"/>
    <w:rsid w:val="00B07605"/>
    <w:rsid w:val="00B07B64"/>
    <w:rsid w:val="00B07BB2"/>
    <w:rsid w:val="00B101F3"/>
    <w:rsid w:val="00B10408"/>
    <w:rsid w:val="00B106E2"/>
    <w:rsid w:val="00B1097C"/>
    <w:rsid w:val="00B10DBF"/>
    <w:rsid w:val="00B10E4A"/>
    <w:rsid w:val="00B10FAB"/>
    <w:rsid w:val="00B110B4"/>
    <w:rsid w:val="00B114BF"/>
    <w:rsid w:val="00B116EF"/>
    <w:rsid w:val="00B11861"/>
    <w:rsid w:val="00B126D6"/>
    <w:rsid w:val="00B128F9"/>
    <w:rsid w:val="00B129C4"/>
    <w:rsid w:val="00B12C78"/>
    <w:rsid w:val="00B12EE3"/>
    <w:rsid w:val="00B13500"/>
    <w:rsid w:val="00B1373F"/>
    <w:rsid w:val="00B13C92"/>
    <w:rsid w:val="00B13D65"/>
    <w:rsid w:val="00B14227"/>
    <w:rsid w:val="00B14651"/>
    <w:rsid w:val="00B14738"/>
    <w:rsid w:val="00B14AF7"/>
    <w:rsid w:val="00B14F4E"/>
    <w:rsid w:val="00B15478"/>
    <w:rsid w:val="00B15797"/>
    <w:rsid w:val="00B15A5B"/>
    <w:rsid w:val="00B15B47"/>
    <w:rsid w:val="00B15FC9"/>
    <w:rsid w:val="00B166EB"/>
    <w:rsid w:val="00B168D1"/>
    <w:rsid w:val="00B16D40"/>
    <w:rsid w:val="00B16DA1"/>
    <w:rsid w:val="00B173D9"/>
    <w:rsid w:val="00B1741E"/>
    <w:rsid w:val="00B17F04"/>
    <w:rsid w:val="00B2013D"/>
    <w:rsid w:val="00B20236"/>
    <w:rsid w:val="00B202A7"/>
    <w:rsid w:val="00B20535"/>
    <w:rsid w:val="00B21592"/>
    <w:rsid w:val="00B21CDE"/>
    <w:rsid w:val="00B22497"/>
    <w:rsid w:val="00B22786"/>
    <w:rsid w:val="00B228A5"/>
    <w:rsid w:val="00B22A02"/>
    <w:rsid w:val="00B238C1"/>
    <w:rsid w:val="00B23E9D"/>
    <w:rsid w:val="00B24054"/>
    <w:rsid w:val="00B240CB"/>
    <w:rsid w:val="00B24453"/>
    <w:rsid w:val="00B244B9"/>
    <w:rsid w:val="00B24B62"/>
    <w:rsid w:val="00B24BE1"/>
    <w:rsid w:val="00B2536C"/>
    <w:rsid w:val="00B25A88"/>
    <w:rsid w:val="00B25B16"/>
    <w:rsid w:val="00B25D3C"/>
    <w:rsid w:val="00B2602A"/>
    <w:rsid w:val="00B260A5"/>
    <w:rsid w:val="00B2621D"/>
    <w:rsid w:val="00B26A85"/>
    <w:rsid w:val="00B2708A"/>
    <w:rsid w:val="00B27DD2"/>
    <w:rsid w:val="00B317D1"/>
    <w:rsid w:val="00B31CAC"/>
    <w:rsid w:val="00B31E02"/>
    <w:rsid w:val="00B3330F"/>
    <w:rsid w:val="00B334A7"/>
    <w:rsid w:val="00B3359A"/>
    <w:rsid w:val="00B3372F"/>
    <w:rsid w:val="00B337F4"/>
    <w:rsid w:val="00B33B4C"/>
    <w:rsid w:val="00B34F9E"/>
    <w:rsid w:val="00B35048"/>
    <w:rsid w:val="00B35250"/>
    <w:rsid w:val="00B3582D"/>
    <w:rsid w:val="00B35926"/>
    <w:rsid w:val="00B359DB"/>
    <w:rsid w:val="00B35ABB"/>
    <w:rsid w:val="00B35BA6"/>
    <w:rsid w:val="00B361E0"/>
    <w:rsid w:val="00B3675A"/>
    <w:rsid w:val="00B36927"/>
    <w:rsid w:val="00B373FA"/>
    <w:rsid w:val="00B37963"/>
    <w:rsid w:val="00B37C4D"/>
    <w:rsid w:val="00B37D48"/>
    <w:rsid w:val="00B37E43"/>
    <w:rsid w:val="00B40734"/>
    <w:rsid w:val="00B40D66"/>
    <w:rsid w:val="00B410BA"/>
    <w:rsid w:val="00B41511"/>
    <w:rsid w:val="00B41998"/>
    <w:rsid w:val="00B41F4B"/>
    <w:rsid w:val="00B42035"/>
    <w:rsid w:val="00B4240B"/>
    <w:rsid w:val="00B42525"/>
    <w:rsid w:val="00B42526"/>
    <w:rsid w:val="00B42CB3"/>
    <w:rsid w:val="00B42D7C"/>
    <w:rsid w:val="00B42FED"/>
    <w:rsid w:val="00B4322C"/>
    <w:rsid w:val="00B4324C"/>
    <w:rsid w:val="00B43577"/>
    <w:rsid w:val="00B43E18"/>
    <w:rsid w:val="00B43E91"/>
    <w:rsid w:val="00B444A9"/>
    <w:rsid w:val="00B44AE5"/>
    <w:rsid w:val="00B44D61"/>
    <w:rsid w:val="00B454F3"/>
    <w:rsid w:val="00B45A17"/>
    <w:rsid w:val="00B45E84"/>
    <w:rsid w:val="00B4650D"/>
    <w:rsid w:val="00B46571"/>
    <w:rsid w:val="00B4657C"/>
    <w:rsid w:val="00B4667D"/>
    <w:rsid w:val="00B466D1"/>
    <w:rsid w:val="00B4683D"/>
    <w:rsid w:val="00B46907"/>
    <w:rsid w:val="00B46B38"/>
    <w:rsid w:val="00B46C0D"/>
    <w:rsid w:val="00B46CC8"/>
    <w:rsid w:val="00B46D06"/>
    <w:rsid w:val="00B47381"/>
    <w:rsid w:val="00B47724"/>
    <w:rsid w:val="00B47839"/>
    <w:rsid w:val="00B47991"/>
    <w:rsid w:val="00B47E30"/>
    <w:rsid w:val="00B506D1"/>
    <w:rsid w:val="00B5074D"/>
    <w:rsid w:val="00B50CE6"/>
    <w:rsid w:val="00B510EC"/>
    <w:rsid w:val="00B5160D"/>
    <w:rsid w:val="00B51656"/>
    <w:rsid w:val="00B51745"/>
    <w:rsid w:val="00B51A4C"/>
    <w:rsid w:val="00B51B65"/>
    <w:rsid w:val="00B51E74"/>
    <w:rsid w:val="00B51F5D"/>
    <w:rsid w:val="00B522E0"/>
    <w:rsid w:val="00B52359"/>
    <w:rsid w:val="00B5250D"/>
    <w:rsid w:val="00B5279D"/>
    <w:rsid w:val="00B52894"/>
    <w:rsid w:val="00B52A0A"/>
    <w:rsid w:val="00B5333F"/>
    <w:rsid w:val="00B53506"/>
    <w:rsid w:val="00B5350C"/>
    <w:rsid w:val="00B536C4"/>
    <w:rsid w:val="00B53715"/>
    <w:rsid w:val="00B5382B"/>
    <w:rsid w:val="00B53D25"/>
    <w:rsid w:val="00B53DA1"/>
    <w:rsid w:val="00B53F14"/>
    <w:rsid w:val="00B551C4"/>
    <w:rsid w:val="00B553E8"/>
    <w:rsid w:val="00B554A0"/>
    <w:rsid w:val="00B55A94"/>
    <w:rsid w:val="00B55CD5"/>
    <w:rsid w:val="00B561B3"/>
    <w:rsid w:val="00B57550"/>
    <w:rsid w:val="00B57908"/>
    <w:rsid w:val="00B57CBD"/>
    <w:rsid w:val="00B57DC8"/>
    <w:rsid w:val="00B60447"/>
    <w:rsid w:val="00B60819"/>
    <w:rsid w:val="00B60887"/>
    <w:rsid w:val="00B609E0"/>
    <w:rsid w:val="00B61427"/>
    <w:rsid w:val="00B61C8C"/>
    <w:rsid w:val="00B6294F"/>
    <w:rsid w:val="00B629E7"/>
    <w:rsid w:val="00B62ABF"/>
    <w:rsid w:val="00B62D32"/>
    <w:rsid w:val="00B63594"/>
    <w:rsid w:val="00B6383A"/>
    <w:rsid w:val="00B638C5"/>
    <w:rsid w:val="00B63E7F"/>
    <w:rsid w:val="00B640A0"/>
    <w:rsid w:val="00B6489E"/>
    <w:rsid w:val="00B6494F"/>
    <w:rsid w:val="00B64A1C"/>
    <w:rsid w:val="00B64E53"/>
    <w:rsid w:val="00B64EF0"/>
    <w:rsid w:val="00B658E6"/>
    <w:rsid w:val="00B6599C"/>
    <w:rsid w:val="00B665EE"/>
    <w:rsid w:val="00B666AB"/>
    <w:rsid w:val="00B66B42"/>
    <w:rsid w:val="00B66E89"/>
    <w:rsid w:val="00B6715C"/>
    <w:rsid w:val="00B677F3"/>
    <w:rsid w:val="00B67C95"/>
    <w:rsid w:val="00B7040F"/>
    <w:rsid w:val="00B709AD"/>
    <w:rsid w:val="00B70ED5"/>
    <w:rsid w:val="00B712A1"/>
    <w:rsid w:val="00B7139C"/>
    <w:rsid w:val="00B7171E"/>
    <w:rsid w:val="00B719F8"/>
    <w:rsid w:val="00B720D1"/>
    <w:rsid w:val="00B7220E"/>
    <w:rsid w:val="00B72C03"/>
    <w:rsid w:val="00B72C33"/>
    <w:rsid w:val="00B72EA2"/>
    <w:rsid w:val="00B72EE3"/>
    <w:rsid w:val="00B72FCB"/>
    <w:rsid w:val="00B73A04"/>
    <w:rsid w:val="00B73C01"/>
    <w:rsid w:val="00B73C54"/>
    <w:rsid w:val="00B73FC8"/>
    <w:rsid w:val="00B74070"/>
    <w:rsid w:val="00B74B48"/>
    <w:rsid w:val="00B74C67"/>
    <w:rsid w:val="00B74C8F"/>
    <w:rsid w:val="00B74CC1"/>
    <w:rsid w:val="00B74DBE"/>
    <w:rsid w:val="00B754A2"/>
    <w:rsid w:val="00B7598D"/>
    <w:rsid w:val="00B75DB6"/>
    <w:rsid w:val="00B75E41"/>
    <w:rsid w:val="00B76214"/>
    <w:rsid w:val="00B7631F"/>
    <w:rsid w:val="00B766D8"/>
    <w:rsid w:val="00B76A9D"/>
    <w:rsid w:val="00B77544"/>
    <w:rsid w:val="00B7772A"/>
    <w:rsid w:val="00B77C61"/>
    <w:rsid w:val="00B77DC4"/>
    <w:rsid w:val="00B77F5B"/>
    <w:rsid w:val="00B801B0"/>
    <w:rsid w:val="00B807D8"/>
    <w:rsid w:val="00B8092F"/>
    <w:rsid w:val="00B80F88"/>
    <w:rsid w:val="00B81261"/>
    <w:rsid w:val="00B81987"/>
    <w:rsid w:val="00B81BE4"/>
    <w:rsid w:val="00B81E3B"/>
    <w:rsid w:val="00B81FD8"/>
    <w:rsid w:val="00B8235A"/>
    <w:rsid w:val="00B826F5"/>
    <w:rsid w:val="00B8291A"/>
    <w:rsid w:val="00B82DCD"/>
    <w:rsid w:val="00B83136"/>
    <w:rsid w:val="00B8325C"/>
    <w:rsid w:val="00B83CA3"/>
    <w:rsid w:val="00B83F54"/>
    <w:rsid w:val="00B840C8"/>
    <w:rsid w:val="00B8442C"/>
    <w:rsid w:val="00B855D9"/>
    <w:rsid w:val="00B856BA"/>
    <w:rsid w:val="00B85859"/>
    <w:rsid w:val="00B8600A"/>
    <w:rsid w:val="00B86261"/>
    <w:rsid w:val="00B8639B"/>
    <w:rsid w:val="00B86764"/>
    <w:rsid w:val="00B87561"/>
    <w:rsid w:val="00B87596"/>
    <w:rsid w:val="00B87721"/>
    <w:rsid w:val="00B8772F"/>
    <w:rsid w:val="00B87BA2"/>
    <w:rsid w:val="00B90433"/>
    <w:rsid w:val="00B9061C"/>
    <w:rsid w:val="00B908AA"/>
    <w:rsid w:val="00B90EAE"/>
    <w:rsid w:val="00B90F57"/>
    <w:rsid w:val="00B91894"/>
    <w:rsid w:val="00B91C4A"/>
    <w:rsid w:val="00B91F3B"/>
    <w:rsid w:val="00B9237D"/>
    <w:rsid w:val="00B92E95"/>
    <w:rsid w:val="00B937B5"/>
    <w:rsid w:val="00B938A0"/>
    <w:rsid w:val="00B938BA"/>
    <w:rsid w:val="00B94311"/>
    <w:rsid w:val="00B944CC"/>
    <w:rsid w:val="00B94553"/>
    <w:rsid w:val="00B94B2D"/>
    <w:rsid w:val="00B94D07"/>
    <w:rsid w:val="00B94DDD"/>
    <w:rsid w:val="00B94F7C"/>
    <w:rsid w:val="00B95063"/>
    <w:rsid w:val="00B955DE"/>
    <w:rsid w:val="00B957B1"/>
    <w:rsid w:val="00B95942"/>
    <w:rsid w:val="00B95C5E"/>
    <w:rsid w:val="00B960AA"/>
    <w:rsid w:val="00B96463"/>
    <w:rsid w:val="00B96A98"/>
    <w:rsid w:val="00B96E45"/>
    <w:rsid w:val="00B96F11"/>
    <w:rsid w:val="00BA09EA"/>
    <w:rsid w:val="00BA0A64"/>
    <w:rsid w:val="00BA0AA5"/>
    <w:rsid w:val="00BA0AE1"/>
    <w:rsid w:val="00BA0DBB"/>
    <w:rsid w:val="00BA1359"/>
    <w:rsid w:val="00BA1B39"/>
    <w:rsid w:val="00BA1DD6"/>
    <w:rsid w:val="00BA2187"/>
    <w:rsid w:val="00BA2416"/>
    <w:rsid w:val="00BA30C4"/>
    <w:rsid w:val="00BA326A"/>
    <w:rsid w:val="00BA32CB"/>
    <w:rsid w:val="00BA3D4F"/>
    <w:rsid w:val="00BA3E27"/>
    <w:rsid w:val="00BA3FD8"/>
    <w:rsid w:val="00BA41DC"/>
    <w:rsid w:val="00BA4402"/>
    <w:rsid w:val="00BA44A8"/>
    <w:rsid w:val="00BA4DB5"/>
    <w:rsid w:val="00BA56C3"/>
    <w:rsid w:val="00BA65A9"/>
    <w:rsid w:val="00BA6967"/>
    <w:rsid w:val="00BA6983"/>
    <w:rsid w:val="00BA6B44"/>
    <w:rsid w:val="00BA7251"/>
    <w:rsid w:val="00BA7320"/>
    <w:rsid w:val="00BA7712"/>
    <w:rsid w:val="00BA7C0C"/>
    <w:rsid w:val="00BB0503"/>
    <w:rsid w:val="00BB07B5"/>
    <w:rsid w:val="00BB1143"/>
    <w:rsid w:val="00BB115A"/>
    <w:rsid w:val="00BB1A5C"/>
    <w:rsid w:val="00BB1CCC"/>
    <w:rsid w:val="00BB21AA"/>
    <w:rsid w:val="00BB24DB"/>
    <w:rsid w:val="00BB24FE"/>
    <w:rsid w:val="00BB2777"/>
    <w:rsid w:val="00BB2A1B"/>
    <w:rsid w:val="00BB2D69"/>
    <w:rsid w:val="00BB3F8B"/>
    <w:rsid w:val="00BB429F"/>
    <w:rsid w:val="00BB45B7"/>
    <w:rsid w:val="00BB51AE"/>
    <w:rsid w:val="00BB5BE7"/>
    <w:rsid w:val="00BB6025"/>
    <w:rsid w:val="00BB624A"/>
    <w:rsid w:val="00BB63B6"/>
    <w:rsid w:val="00BB64E2"/>
    <w:rsid w:val="00BB653D"/>
    <w:rsid w:val="00BB6A29"/>
    <w:rsid w:val="00BB6E1A"/>
    <w:rsid w:val="00BB731C"/>
    <w:rsid w:val="00BB7C13"/>
    <w:rsid w:val="00BC0016"/>
    <w:rsid w:val="00BC0399"/>
    <w:rsid w:val="00BC0D47"/>
    <w:rsid w:val="00BC1223"/>
    <w:rsid w:val="00BC1278"/>
    <w:rsid w:val="00BC153B"/>
    <w:rsid w:val="00BC1791"/>
    <w:rsid w:val="00BC1DCC"/>
    <w:rsid w:val="00BC234D"/>
    <w:rsid w:val="00BC2582"/>
    <w:rsid w:val="00BC28E9"/>
    <w:rsid w:val="00BC2C71"/>
    <w:rsid w:val="00BC348F"/>
    <w:rsid w:val="00BC36CF"/>
    <w:rsid w:val="00BC39F8"/>
    <w:rsid w:val="00BC3BA2"/>
    <w:rsid w:val="00BC3CC1"/>
    <w:rsid w:val="00BC47F7"/>
    <w:rsid w:val="00BC4808"/>
    <w:rsid w:val="00BC490A"/>
    <w:rsid w:val="00BC4A08"/>
    <w:rsid w:val="00BC4CE5"/>
    <w:rsid w:val="00BC4CF2"/>
    <w:rsid w:val="00BC4D7B"/>
    <w:rsid w:val="00BC607E"/>
    <w:rsid w:val="00BC637E"/>
    <w:rsid w:val="00BC6401"/>
    <w:rsid w:val="00BC651F"/>
    <w:rsid w:val="00BC6901"/>
    <w:rsid w:val="00BC6A9D"/>
    <w:rsid w:val="00BC6F0A"/>
    <w:rsid w:val="00BC6FD6"/>
    <w:rsid w:val="00BC71B8"/>
    <w:rsid w:val="00BC76B8"/>
    <w:rsid w:val="00BD0A4C"/>
    <w:rsid w:val="00BD0D7D"/>
    <w:rsid w:val="00BD0D96"/>
    <w:rsid w:val="00BD12C4"/>
    <w:rsid w:val="00BD1929"/>
    <w:rsid w:val="00BD2465"/>
    <w:rsid w:val="00BD27E4"/>
    <w:rsid w:val="00BD2DF0"/>
    <w:rsid w:val="00BD31F3"/>
    <w:rsid w:val="00BD368A"/>
    <w:rsid w:val="00BD3ABB"/>
    <w:rsid w:val="00BD3EAE"/>
    <w:rsid w:val="00BD44C2"/>
    <w:rsid w:val="00BD48A2"/>
    <w:rsid w:val="00BD490F"/>
    <w:rsid w:val="00BD4AA1"/>
    <w:rsid w:val="00BD55C2"/>
    <w:rsid w:val="00BD5716"/>
    <w:rsid w:val="00BD59A6"/>
    <w:rsid w:val="00BD59AA"/>
    <w:rsid w:val="00BD5C11"/>
    <w:rsid w:val="00BD5C90"/>
    <w:rsid w:val="00BD5CD1"/>
    <w:rsid w:val="00BD60F0"/>
    <w:rsid w:val="00BD677F"/>
    <w:rsid w:val="00BD6DA7"/>
    <w:rsid w:val="00BD6EF0"/>
    <w:rsid w:val="00BD6F0B"/>
    <w:rsid w:val="00BD7081"/>
    <w:rsid w:val="00BD718A"/>
    <w:rsid w:val="00BD728B"/>
    <w:rsid w:val="00BD761F"/>
    <w:rsid w:val="00BD76EA"/>
    <w:rsid w:val="00BD78A0"/>
    <w:rsid w:val="00BE06B6"/>
    <w:rsid w:val="00BE06E8"/>
    <w:rsid w:val="00BE0BE3"/>
    <w:rsid w:val="00BE12F5"/>
    <w:rsid w:val="00BE14F6"/>
    <w:rsid w:val="00BE15A9"/>
    <w:rsid w:val="00BE1669"/>
    <w:rsid w:val="00BE18D4"/>
    <w:rsid w:val="00BE1BA1"/>
    <w:rsid w:val="00BE27F2"/>
    <w:rsid w:val="00BE290C"/>
    <w:rsid w:val="00BE2963"/>
    <w:rsid w:val="00BE319B"/>
    <w:rsid w:val="00BE3619"/>
    <w:rsid w:val="00BE3B0F"/>
    <w:rsid w:val="00BE4068"/>
    <w:rsid w:val="00BE411F"/>
    <w:rsid w:val="00BE44ED"/>
    <w:rsid w:val="00BE4A38"/>
    <w:rsid w:val="00BE4C8B"/>
    <w:rsid w:val="00BE5A1D"/>
    <w:rsid w:val="00BE5D38"/>
    <w:rsid w:val="00BE5DDA"/>
    <w:rsid w:val="00BE621A"/>
    <w:rsid w:val="00BE670A"/>
    <w:rsid w:val="00BE6B8C"/>
    <w:rsid w:val="00BE6BCE"/>
    <w:rsid w:val="00BE6D6C"/>
    <w:rsid w:val="00BE6DC1"/>
    <w:rsid w:val="00BE72D2"/>
    <w:rsid w:val="00BE72D4"/>
    <w:rsid w:val="00BE7433"/>
    <w:rsid w:val="00BE7618"/>
    <w:rsid w:val="00BE79AB"/>
    <w:rsid w:val="00BE7AFB"/>
    <w:rsid w:val="00BF06B6"/>
    <w:rsid w:val="00BF0A8D"/>
    <w:rsid w:val="00BF0C1D"/>
    <w:rsid w:val="00BF0E00"/>
    <w:rsid w:val="00BF133B"/>
    <w:rsid w:val="00BF1937"/>
    <w:rsid w:val="00BF1A02"/>
    <w:rsid w:val="00BF1A9C"/>
    <w:rsid w:val="00BF1AB6"/>
    <w:rsid w:val="00BF1C3C"/>
    <w:rsid w:val="00BF1FA4"/>
    <w:rsid w:val="00BF2309"/>
    <w:rsid w:val="00BF2597"/>
    <w:rsid w:val="00BF337F"/>
    <w:rsid w:val="00BF380D"/>
    <w:rsid w:val="00BF3867"/>
    <w:rsid w:val="00BF4122"/>
    <w:rsid w:val="00BF41E2"/>
    <w:rsid w:val="00BF43FC"/>
    <w:rsid w:val="00BF4910"/>
    <w:rsid w:val="00BF4E4A"/>
    <w:rsid w:val="00BF5399"/>
    <w:rsid w:val="00BF57D7"/>
    <w:rsid w:val="00BF5E79"/>
    <w:rsid w:val="00BF648C"/>
    <w:rsid w:val="00BF7B16"/>
    <w:rsid w:val="00BF7BBC"/>
    <w:rsid w:val="00BF7C02"/>
    <w:rsid w:val="00BF7C26"/>
    <w:rsid w:val="00C00877"/>
    <w:rsid w:val="00C00BF6"/>
    <w:rsid w:val="00C011A5"/>
    <w:rsid w:val="00C011B1"/>
    <w:rsid w:val="00C011E4"/>
    <w:rsid w:val="00C011EC"/>
    <w:rsid w:val="00C01C82"/>
    <w:rsid w:val="00C01CC5"/>
    <w:rsid w:val="00C01CF9"/>
    <w:rsid w:val="00C01DEF"/>
    <w:rsid w:val="00C01E8D"/>
    <w:rsid w:val="00C020AC"/>
    <w:rsid w:val="00C02954"/>
    <w:rsid w:val="00C02AEA"/>
    <w:rsid w:val="00C03037"/>
    <w:rsid w:val="00C031A5"/>
    <w:rsid w:val="00C03262"/>
    <w:rsid w:val="00C034BB"/>
    <w:rsid w:val="00C034F9"/>
    <w:rsid w:val="00C0368E"/>
    <w:rsid w:val="00C03788"/>
    <w:rsid w:val="00C03AC7"/>
    <w:rsid w:val="00C03D25"/>
    <w:rsid w:val="00C040CF"/>
    <w:rsid w:val="00C0422F"/>
    <w:rsid w:val="00C04588"/>
    <w:rsid w:val="00C046E0"/>
    <w:rsid w:val="00C046EE"/>
    <w:rsid w:val="00C0475C"/>
    <w:rsid w:val="00C04D2A"/>
    <w:rsid w:val="00C0514C"/>
    <w:rsid w:val="00C05298"/>
    <w:rsid w:val="00C054D6"/>
    <w:rsid w:val="00C055A5"/>
    <w:rsid w:val="00C05695"/>
    <w:rsid w:val="00C05D41"/>
    <w:rsid w:val="00C05FAF"/>
    <w:rsid w:val="00C061A5"/>
    <w:rsid w:val="00C064D4"/>
    <w:rsid w:val="00C07572"/>
    <w:rsid w:val="00C0786D"/>
    <w:rsid w:val="00C07FC7"/>
    <w:rsid w:val="00C10FEB"/>
    <w:rsid w:val="00C11239"/>
    <w:rsid w:val="00C1176E"/>
    <w:rsid w:val="00C119CC"/>
    <w:rsid w:val="00C11CE5"/>
    <w:rsid w:val="00C11E5F"/>
    <w:rsid w:val="00C127B2"/>
    <w:rsid w:val="00C12E50"/>
    <w:rsid w:val="00C133B1"/>
    <w:rsid w:val="00C133C1"/>
    <w:rsid w:val="00C1381E"/>
    <w:rsid w:val="00C13858"/>
    <w:rsid w:val="00C1394A"/>
    <w:rsid w:val="00C13DB9"/>
    <w:rsid w:val="00C13F70"/>
    <w:rsid w:val="00C14423"/>
    <w:rsid w:val="00C14E00"/>
    <w:rsid w:val="00C15627"/>
    <w:rsid w:val="00C15696"/>
    <w:rsid w:val="00C1588C"/>
    <w:rsid w:val="00C15932"/>
    <w:rsid w:val="00C15A5A"/>
    <w:rsid w:val="00C15F19"/>
    <w:rsid w:val="00C1624A"/>
    <w:rsid w:val="00C16A8B"/>
    <w:rsid w:val="00C17519"/>
    <w:rsid w:val="00C1790D"/>
    <w:rsid w:val="00C17919"/>
    <w:rsid w:val="00C17C6C"/>
    <w:rsid w:val="00C17F4D"/>
    <w:rsid w:val="00C20121"/>
    <w:rsid w:val="00C202FA"/>
    <w:rsid w:val="00C205E9"/>
    <w:rsid w:val="00C208FE"/>
    <w:rsid w:val="00C20BFC"/>
    <w:rsid w:val="00C20FA0"/>
    <w:rsid w:val="00C21F37"/>
    <w:rsid w:val="00C2260B"/>
    <w:rsid w:val="00C22F97"/>
    <w:rsid w:val="00C22FA7"/>
    <w:rsid w:val="00C23113"/>
    <w:rsid w:val="00C23158"/>
    <w:rsid w:val="00C23666"/>
    <w:rsid w:val="00C24067"/>
    <w:rsid w:val="00C2406D"/>
    <w:rsid w:val="00C241B3"/>
    <w:rsid w:val="00C24E68"/>
    <w:rsid w:val="00C255D8"/>
    <w:rsid w:val="00C256D8"/>
    <w:rsid w:val="00C2572B"/>
    <w:rsid w:val="00C259B2"/>
    <w:rsid w:val="00C25AC1"/>
    <w:rsid w:val="00C26167"/>
    <w:rsid w:val="00C2616C"/>
    <w:rsid w:val="00C2656D"/>
    <w:rsid w:val="00C26E51"/>
    <w:rsid w:val="00C272A8"/>
    <w:rsid w:val="00C273F9"/>
    <w:rsid w:val="00C27DB6"/>
    <w:rsid w:val="00C30029"/>
    <w:rsid w:val="00C3042A"/>
    <w:rsid w:val="00C3065B"/>
    <w:rsid w:val="00C30662"/>
    <w:rsid w:val="00C306EF"/>
    <w:rsid w:val="00C3074E"/>
    <w:rsid w:val="00C30DA4"/>
    <w:rsid w:val="00C3123C"/>
    <w:rsid w:val="00C314C5"/>
    <w:rsid w:val="00C315D6"/>
    <w:rsid w:val="00C316B1"/>
    <w:rsid w:val="00C317B9"/>
    <w:rsid w:val="00C31F2E"/>
    <w:rsid w:val="00C31FCB"/>
    <w:rsid w:val="00C3217F"/>
    <w:rsid w:val="00C3234E"/>
    <w:rsid w:val="00C32473"/>
    <w:rsid w:val="00C32771"/>
    <w:rsid w:val="00C32981"/>
    <w:rsid w:val="00C32D0D"/>
    <w:rsid w:val="00C32E2F"/>
    <w:rsid w:val="00C32E35"/>
    <w:rsid w:val="00C336A0"/>
    <w:rsid w:val="00C337F5"/>
    <w:rsid w:val="00C33A95"/>
    <w:rsid w:val="00C33EE1"/>
    <w:rsid w:val="00C33F24"/>
    <w:rsid w:val="00C33FD7"/>
    <w:rsid w:val="00C33FF1"/>
    <w:rsid w:val="00C34231"/>
    <w:rsid w:val="00C34B4F"/>
    <w:rsid w:val="00C34DA4"/>
    <w:rsid w:val="00C34DBA"/>
    <w:rsid w:val="00C34E58"/>
    <w:rsid w:val="00C34F52"/>
    <w:rsid w:val="00C3515C"/>
    <w:rsid w:val="00C353C6"/>
    <w:rsid w:val="00C35B4B"/>
    <w:rsid w:val="00C35C36"/>
    <w:rsid w:val="00C35F16"/>
    <w:rsid w:val="00C36277"/>
    <w:rsid w:val="00C36907"/>
    <w:rsid w:val="00C37450"/>
    <w:rsid w:val="00C374B9"/>
    <w:rsid w:val="00C37827"/>
    <w:rsid w:val="00C37894"/>
    <w:rsid w:val="00C41021"/>
    <w:rsid w:val="00C41315"/>
    <w:rsid w:val="00C4144B"/>
    <w:rsid w:val="00C4144E"/>
    <w:rsid w:val="00C415D1"/>
    <w:rsid w:val="00C41937"/>
    <w:rsid w:val="00C41DC4"/>
    <w:rsid w:val="00C41F79"/>
    <w:rsid w:val="00C420D9"/>
    <w:rsid w:val="00C42249"/>
    <w:rsid w:val="00C42466"/>
    <w:rsid w:val="00C42525"/>
    <w:rsid w:val="00C430F1"/>
    <w:rsid w:val="00C43331"/>
    <w:rsid w:val="00C4391C"/>
    <w:rsid w:val="00C43B8C"/>
    <w:rsid w:val="00C43DDF"/>
    <w:rsid w:val="00C4407C"/>
    <w:rsid w:val="00C4439D"/>
    <w:rsid w:val="00C443CA"/>
    <w:rsid w:val="00C44643"/>
    <w:rsid w:val="00C44B84"/>
    <w:rsid w:val="00C44BBE"/>
    <w:rsid w:val="00C44C55"/>
    <w:rsid w:val="00C450D9"/>
    <w:rsid w:val="00C45917"/>
    <w:rsid w:val="00C45C22"/>
    <w:rsid w:val="00C45D1F"/>
    <w:rsid w:val="00C46448"/>
    <w:rsid w:val="00C4652B"/>
    <w:rsid w:val="00C46605"/>
    <w:rsid w:val="00C46662"/>
    <w:rsid w:val="00C466BC"/>
    <w:rsid w:val="00C467ED"/>
    <w:rsid w:val="00C46866"/>
    <w:rsid w:val="00C469F0"/>
    <w:rsid w:val="00C46E53"/>
    <w:rsid w:val="00C46F20"/>
    <w:rsid w:val="00C4705F"/>
    <w:rsid w:val="00C47207"/>
    <w:rsid w:val="00C473F7"/>
    <w:rsid w:val="00C476CC"/>
    <w:rsid w:val="00C47864"/>
    <w:rsid w:val="00C50190"/>
    <w:rsid w:val="00C501B3"/>
    <w:rsid w:val="00C502F9"/>
    <w:rsid w:val="00C50307"/>
    <w:rsid w:val="00C5044E"/>
    <w:rsid w:val="00C50646"/>
    <w:rsid w:val="00C508ED"/>
    <w:rsid w:val="00C50ACB"/>
    <w:rsid w:val="00C50C36"/>
    <w:rsid w:val="00C50C44"/>
    <w:rsid w:val="00C50CB1"/>
    <w:rsid w:val="00C511E1"/>
    <w:rsid w:val="00C5176A"/>
    <w:rsid w:val="00C5188E"/>
    <w:rsid w:val="00C5191D"/>
    <w:rsid w:val="00C51F95"/>
    <w:rsid w:val="00C5208F"/>
    <w:rsid w:val="00C5247E"/>
    <w:rsid w:val="00C52F7E"/>
    <w:rsid w:val="00C537A0"/>
    <w:rsid w:val="00C53913"/>
    <w:rsid w:val="00C53BB9"/>
    <w:rsid w:val="00C53EA4"/>
    <w:rsid w:val="00C547C3"/>
    <w:rsid w:val="00C550F7"/>
    <w:rsid w:val="00C553D5"/>
    <w:rsid w:val="00C55BC6"/>
    <w:rsid w:val="00C55FCD"/>
    <w:rsid w:val="00C5625F"/>
    <w:rsid w:val="00C5636F"/>
    <w:rsid w:val="00C568D5"/>
    <w:rsid w:val="00C57248"/>
    <w:rsid w:val="00C57595"/>
    <w:rsid w:val="00C57852"/>
    <w:rsid w:val="00C6021D"/>
    <w:rsid w:val="00C603C5"/>
    <w:rsid w:val="00C60B1F"/>
    <w:rsid w:val="00C60D71"/>
    <w:rsid w:val="00C60D8F"/>
    <w:rsid w:val="00C60E2A"/>
    <w:rsid w:val="00C60E31"/>
    <w:rsid w:val="00C610AB"/>
    <w:rsid w:val="00C6145A"/>
    <w:rsid w:val="00C61CDA"/>
    <w:rsid w:val="00C61F7A"/>
    <w:rsid w:val="00C621D4"/>
    <w:rsid w:val="00C621F6"/>
    <w:rsid w:val="00C623C1"/>
    <w:rsid w:val="00C6279E"/>
    <w:rsid w:val="00C6294E"/>
    <w:rsid w:val="00C62EA3"/>
    <w:rsid w:val="00C635E0"/>
    <w:rsid w:val="00C63701"/>
    <w:rsid w:val="00C63A69"/>
    <w:rsid w:val="00C63A94"/>
    <w:rsid w:val="00C63B07"/>
    <w:rsid w:val="00C647C5"/>
    <w:rsid w:val="00C64989"/>
    <w:rsid w:val="00C659F9"/>
    <w:rsid w:val="00C65D21"/>
    <w:rsid w:val="00C65FDD"/>
    <w:rsid w:val="00C662DB"/>
    <w:rsid w:val="00C66666"/>
    <w:rsid w:val="00C66669"/>
    <w:rsid w:val="00C66DE2"/>
    <w:rsid w:val="00C66E87"/>
    <w:rsid w:val="00C6730B"/>
    <w:rsid w:val="00C67DE5"/>
    <w:rsid w:val="00C70743"/>
    <w:rsid w:val="00C70884"/>
    <w:rsid w:val="00C708E3"/>
    <w:rsid w:val="00C709B9"/>
    <w:rsid w:val="00C70DF7"/>
    <w:rsid w:val="00C70EF3"/>
    <w:rsid w:val="00C711AB"/>
    <w:rsid w:val="00C71469"/>
    <w:rsid w:val="00C717E7"/>
    <w:rsid w:val="00C71CA4"/>
    <w:rsid w:val="00C725D8"/>
    <w:rsid w:val="00C72A4D"/>
    <w:rsid w:val="00C7306C"/>
    <w:rsid w:val="00C733ED"/>
    <w:rsid w:val="00C735CC"/>
    <w:rsid w:val="00C7390B"/>
    <w:rsid w:val="00C739A6"/>
    <w:rsid w:val="00C739FC"/>
    <w:rsid w:val="00C739FF"/>
    <w:rsid w:val="00C73AF8"/>
    <w:rsid w:val="00C74A34"/>
    <w:rsid w:val="00C7537A"/>
    <w:rsid w:val="00C75665"/>
    <w:rsid w:val="00C75E90"/>
    <w:rsid w:val="00C761BD"/>
    <w:rsid w:val="00C761BE"/>
    <w:rsid w:val="00C762F4"/>
    <w:rsid w:val="00C763E3"/>
    <w:rsid w:val="00C7657E"/>
    <w:rsid w:val="00C76591"/>
    <w:rsid w:val="00C766EE"/>
    <w:rsid w:val="00C769DC"/>
    <w:rsid w:val="00C76FF2"/>
    <w:rsid w:val="00C7702F"/>
    <w:rsid w:val="00C77054"/>
    <w:rsid w:val="00C77222"/>
    <w:rsid w:val="00C77EF6"/>
    <w:rsid w:val="00C80278"/>
    <w:rsid w:val="00C808EC"/>
    <w:rsid w:val="00C80A5B"/>
    <w:rsid w:val="00C80A9E"/>
    <w:rsid w:val="00C80D20"/>
    <w:rsid w:val="00C8151C"/>
    <w:rsid w:val="00C8155D"/>
    <w:rsid w:val="00C817C3"/>
    <w:rsid w:val="00C81848"/>
    <w:rsid w:val="00C81E75"/>
    <w:rsid w:val="00C81EB1"/>
    <w:rsid w:val="00C82012"/>
    <w:rsid w:val="00C82387"/>
    <w:rsid w:val="00C82548"/>
    <w:rsid w:val="00C828BA"/>
    <w:rsid w:val="00C82990"/>
    <w:rsid w:val="00C82D95"/>
    <w:rsid w:val="00C835CD"/>
    <w:rsid w:val="00C83787"/>
    <w:rsid w:val="00C8394C"/>
    <w:rsid w:val="00C83C6D"/>
    <w:rsid w:val="00C84400"/>
    <w:rsid w:val="00C8443D"/>
    <w:rsid w:val="00C845E7"/>
    <w:rsid w:val="00C84CDA"/>
    <w:rsid w:val="00C85352"/>
    <w:rsid w:val="00C85938"/>
    <w:rsid w:val="00C860B6"/>
    <w:rsid w:val="00C86B6D"/>
    <w:rsid w:val="00C86EC5"/>
    <w:rsid w:val="00C87072"/>
    <w:rsid w:val="00C870C0"/>
    <w:rsid w:val="00C87E79"/>
    <w:rsid w:val="00C87FCB"/>
    <w:rsid w:val="00C90123"/>
    <w:rsid w:val="00C9022E"/>
    <w:rsid w:val="00C90244"/>
    <w:rsid w:val="00C902C5"/>
    <w:rsid w:val="00C902E5"/>
    <w:rsid w:val="00C903EE"/>
    <w:rsid w:val="00C905F6"/>
    <w:rsid w:val="00C9097A"/>
    <w:rsid w:val="00C9104E"/>
    <w:rsid w:val="00C91554"/>
    <w:rsid w:val="00C91770"/>
    <w:rsid w:val="00C91884"/>
    <w:rsid w:val="00C91F7F"/>
    <w:rsid w:val="00C9218E"/>
    <w:rsid w:val="00C922BB"/>
    <w:rsid w:val="00C927F3"/>
    <w:rsid w:val="00C9308C"/>
    <w:rsid w:val="00C93FDC"/>
    <w:rsid w:val="00C946AC"/>
    <w:rsid w:val="00C95099"/>
    <w:rsid w:val="00C951CA"/>
    <w:rsid w:val="00C95518"/>
    <w:rsid w:val="00C955D2"/>
    <w:rsid w:val="00C95866"/>
    <w:rsid w:val="00C96D33"/>
    <w:rsid w:val="00C96DA8"/>
    <w:rsid w:val="00C96FB2"/>
    <w:rsid w:val="00C97137"/>
    <w:rsid w:val="00C972E0"/>
    <w:rsid w:val="00C972FE"/>
    <w:rsid w:val="00C976C5"/>
    <w:rsid w:val="00C97A1B"/>
    <w:rsid w:val="00CA02CE"/>
    <w:rsid w:val="00CA02CF"/>
    <w:rsid w:val="00CA03EC"/>
    <w:rsid w:val="00CA0984"/>
    <w:rsid w:val="00CA0AC9"/>
    <w:rsid w:val="00CA128F"/>
    <w:rsid w:val="00CA1C89"/>
    <w:rsid w:val="00CA1E33"/>
    <w:rsid w:val="00CA1ED3"/>
    <w:rsid w:val="00CA2AFD"/>
    <w:rsid w:val="00CA2C66"/>
    <w:rsid w:val="00CA2E00"/>
    <w:rsid w:val="00CA3558"/>
    <w:rsid w:val="00CA3950"/>
    <w:rsid w:val="00CA3A6C"/>
    <w:rsid w:val="00CA3B6B"/>
    <w:rsid w:val="00CA3CB8"/>
    <w:rsid w:val="00CA3FEF"/>
    <w:rsid w:val="00CA42E1"/>
    <w:rsid w:val="00CA4BB7"/>
    <w:rsid w:val="00CA4D0F"/>
    <w:rsid w:val="00CA5B68"/>
    <w:rsid w:val="00CA5EBA"/>
    <w:rsid w:val="00CA5F70"/>
    <w:rsid w:val="00CA6488"/>
    <w:rsid w:val="00CA64CB"/>
    <w:rsid w:val="00CA6799"/>
    <w:rsid w:val="00CA69C5"/>
    <w:rsid w:val="00CA6A66"/>
    <w:rsid w:val="00CA6B8F"/>
    <w:rsid w:val="00CA6BD2"/>
    <w:rsid w:val="00CA6C49"/>
    <w:rsid w:val="00CA6CC0"/>
    <w:rsid w:val="00CA777F"/>
    <w:rsid w:val="00CA7CB0"/>
    <w:rsid w:val="00CA7E94"/>
    <w:rsid w:val="00CA7EAF"/>
    <w:rsid w:val="00CB01D3"/>
    <w:rsid w:val="00CB0465"/>
    <w:rsid w:val="00CB04F1"/>
    <w:rsid w:val="00CB0918"/>
    <w:rsid w:val="00CB0E4C"/>
    <w:rsid w:val="00CB1154"/>
    <w:rsid w:val="00CB18E2"/>
    <w:rsid w:val="00CB2789"/>
    <w:rsid w:val="00CB2827"/>
    <w:rsid w:val="00CB2A8C"/>
    <w:rsid w:val="00CB2C72"/>
    <w:rsid w:val="00CB2EA9"/>
    <w:rsid w:val="00CB2FD6"/>
    <w:rsid w:val="00CB3124"/>
    <w:rsid w:val="00CB3DB0"/>
    <w:rsid w:val="00CB3F6E"/>
    <w:rsid w:val="00CB4950"/>
    <w:rsid w:val="00CB4A0E"/>
    <w:rsid w:val="00CB4C8C"/>
    <w:rsid w:val="00CB4FA4"/>
    <w:rsid w:val="00CB55D5"/>
    <w:rsid w:val="00CB5BC1"/>
    <w:rsid w:val="00CB5CB8"/>
    <w:rsid w:val="00CB5DEA"/>
    <w:rsid w:val="00CB6269"/>
    <w:rsid w:val="00CB62F1"/>
    <w:rsid w:val="00CB6344"/>
    <w:rsid w:val="00CB66DE"/>
    <w:rsid w:val="00CB67C5"/>
    <w:rsid w:val="00CB6DA0"/>
    <w:rsid w:val="00CB6FC5"/>
    <w:rsid w:val="00CB7B12"/>
    <w:rsid w:val="00CB7C0A"/>
    <w:rsid w:val="00CB7CB1"/>
    <w:rsid w:val="00CC0827"/>
    <w:rsid w:val="00CC0AB9"/>
    <w:rsid w:val="00CC0CA3"/>
    <w:rsid w:val="00CC112F"/>
    <w:rsid w:val="00CC1466"/>
    <w:rsid w:val="00CC15E9"/>
    <w:rsid w:val="00CC19B8"/>
    <w:rsid w:val="00CC1B9B"/>
    <w:rsid w:val="00CC22BF"/>
    <w:rsid w:val="00CC2BB1"/>
    <w:rsid w:val="00CC2DE3"/>
    <w:rsid w:val="00CC34BB"/>
    <w:rsid w:val="00CC3E5D"/>
    <w:rsid w:val="00CC4261"/>
    <w:rsid w:val="00CC44A5"/>
    <w:rsid w:val="00CC50DB"/>
    <w:rsid w:val="00CC53D9"/>
    <w:rsid w:val="00CC74F6"/>
    <w:rsid w:val="00CD003F"/>
    <w:rsid w:val="00CD021E"/>
    <w:rsid w:val="00CD03EC"/>
    <w:rsid w:val="00CD072C"/>
    <w:rsid w:val="00CD087F"/>
    <w:rsid w:val="00CD0892"/>
    <w:rsid w:val="00CD0DE6"/>
    <w:rsid w:val="00CD1C33"/>
    <w:rsid w:val="00CD27BA"/>
    <w:rsid w:val="00CD2944"/>
    <w:rsid w:val="00CD2986"/>
    <w:rsid w:val="00CD2B5B"/>
    <w:rsid w:val="00CD2DA6"/>
    <w:rsid w:val="00CD2FF2"/>
    <w:rsid w:val="00CD311C"/>
    <w:rsid w:val="00CD32F4"/>
    <w:rsid w:val="00CD3362"/>
    <w:rsid w:val="00CD33AD"/>
    <w:rsid w:val="00CD3806"/>
    <w:rsid w:val="00CD408D"/>
    <w:rsid w:val="00CD4120"/>
    <w:rsid w:val="00CD412E"/>
    <w:rsid w:val="00CD442C"/>
    <w:rsid w:val="00CD48EC"/>
    <w:rsid w:val="00CD4AA5"/>
    <w:rsid w:val="00CD5201"/>
    <w:rsid w:val="00CD5537"/>
    <w:rsid w:val="00CD5682"/>
    <w:rsid w:val="00CD66B3"/>
    <w:rsid w:val="00CD6825"/>
    <w:rsid w:val="00CD6DFF"/>
    <w:rsid w:val="00CD6FAE"/>
    <w:rsid w:val="00CE0076"/>
    <w:rsid w:val="00CE00B5"/>
    <w:rsid w:val="00CE00B7"/>
    <w:rsid w:val="00CE01A8"/>
    <w:rsid w:val="00CE024F"/>
    <w:rsid w:val="00CE06C4"/>
    <w:rsid w:val="00CE0752"/>
    <w:rsid w:val="00CE0962"/>
    <w:rsid w:val="00CE0CA4"/>
    <w:rsid w:val="00CE16BE"/>
    <w:rsid w:val="00CE1774"/>
    <w:rsid w:val="00CE1957"/>
    <w:rsid w:val="00CE1977"/>
    <w:rsid w:val="00CE202D"/>
    <w:rsid w:val="00CE230F"/>
    <w:rsid w:val="00CE2C1E"/>
    <w:rsid w:val="00CE3531"/>
    <w:rsid w:val="00CE3F0B"/>
    <w:rsid w:val="00CE4C99"/>
    <w:rsid w:val="00CE4DCA"/>
    <w:rsid w:val="00CE4DEC"/>
    <w:rsid w:val="00CE5093"/>
    <w:rsid w:val="00CE55D9"/>
    <w:rsid w:val="00CE57A1"/>
    <w:rsid w:val="00CE58A2"/>
    <w:rsid w:val="00CE6002"/>
    <w:rsid w:val="00CE60CA"/>
    <w:rsid w:val="00CE613A"/>
    <w:rsid w:val="00CE6CB6"/>
    <w:rsid w:val="00CE6FBA"/>
    <w:rsid w:val="00CE7321"/>
    <w:rsid w:val="00CE741B"/>
    <w:rsid w:val="00CE7733"/>
    <w:rsid w:val="00CE78C1"/>
    <w:rsid w:val="00CE78D7"/>
    <w:rsid w:val="00CE7CF2"/>
    <w:rsid w:val="00CF0112"/>
    <w:rsid w:val="00CF02FE"/>
    <w:rsid w:val="00CF0788"/>
    <w:rsid w:val="00CF0A9D"/>
    <w:rsid w:val="00CF0D15"/>
    <w:rsid w:val="00CF0D7F"/>
    <w:rsid w:val="00CF0EA2"/>
    <w:rsid w:val="00CF0ED8"/>
    <w:rsid w:val="00CF0F4D"/>
    <w:rsid w:val="00CF11B0"/>
    <w:rsid w:val="00CF134F"/>
    <w:rsid w:val="00CF13CC"/>
    <w:rsid w:val="00CF1788"/>
    <w:rsid w:val="00CF17A6"/>
    <w:rsid w:val="00CF18BA"/>
    <w:rsid w:val="00CF1E64"/>
    <w:rsid w:val="00CF224B"/>
    <w:rsid w:val="00CF2503"/>
    <w:rsid w:val="00CF2889"/>
    <w:rsid w:val="00CF2A7D"/>
    <w:rsid w:val="00CF2C08"/>
    <w:rsid w:val="00CF2C65"/>
    <w:rsid w:val="00CF2CA9"/>
    <w:rsid w:val="00CF2E0D"/>
    <w:rsid w:val="00CF324E"/>
    <w:rsid w:val="00CF3934"/>
    <w:rsid w:val="00CF3986"/>
    <w:rsid w:val="00CF39E8"/>
    <w:rsid w:val="00CF3A14"/>
    <w:rsid w:val="00CF42AF"/>
    <w:rsid w:val="00CF43BA"/>
    <w:rsid w:val="00CF44F4"/>
    <w:rsid w:val="00CF450C"/>
    <w:rsid w:val="00CF472B"/>
    <w:rsid w:val="00CF51DE"/>
    <w:rsid w:val="00CF56B7"/>
    <w:rsid w:val="00CF56D5"/>
    <w:rsid w:val="00CF581C"/>
    <w:rsid w:val="00CF5F3A"/>
    <w:rsid w:val="00CF6092"/>
    <w:rsid w:val="00CF6318"/>
    <w:rsid w:val="00CF6E1B"/>
    <w:rsid w:val="00CF6FF1"/>
    <w:rsid w:val="00CF702F"/>
    <w:rsid w:val="00CF7075"/>
    <w:rsid w:val="00CF724E"/>
    <w:rsid w:val="00CF75A4"/>
    <w:rsid w:val="00CF773E"/>
    <w:rsid w:val="00CF7757"/>
    <w:rsid w:val="00CF7C54"/>
    <w:rsid w:val="00CF7D1F"/>
    <w:rsid w:val="00D000F1"/>
    <w:rsid w:val="00D00297"/>
    <w:rsid w:val="00D0081E"/>
    <w:rsid w:val="00D00C46"/>
    <w:rsid w:val="00D010A1"/>
    <w:rsid w:val="00D013D0"/>
    <w:rsid w:val="00D0148E"/>
    <w:rsid w:val="00D01491"/>
    <w:rsid w:val="00D014BC"/>
    <w:rsid w:val="00D0181A"/>
    <w:rsid w:val="00D0192D"/>
    <w:rsid w:val="00D01F3B"/>
    <w:rsid w:val="00D01FC6"/>
    <w:rsid w:val="00D02280"/>
    <w:rsid w:val="00D0248A"/>
    <w:rsid w:val="00D025B4"/>
    <w:rsid w:val="00D02B3C"/>
    <w:rsid w:val="00D038AC"/>
    <w:rsid w:val="00D03A90"/>
    <w:rsid w:val="00D03E66"/>
    <w:rsid w:val="00D0403D"/>
    <w:rsid w:val="00D04E3E"/>
    <w:rsid w:val="00D05196"/>
    <w:rsid w:val="00D052D5"/>
    <w:rsid w:val="00D05E6C"/>
    <w:rsid w:val="00D062D0"/>
    <w:rsid w:val="00D06335"/>
    <w:rsid w:val="00D06A58"/>
    <w:rsid w:val="00D07354"/>
    <w:rsid w:val="00D076B1"/>
    <w:rsid w:val="00D078CA"/>
    <w:rsid w:val="00D07B7A"/>
    <w:rsid w:val="00D07DF8"/>
    <w:rsid w:val="00D07EE1"/>
    <w:rsid w:val="00D10645"/>
    <w:rsid w:val="00D10E41"/>
    <w:rsid w:val="00D111FB"/>
    <w:rsid w:val="00D11B16"/>
    <w:rsid w:val="00D12872"/>
    <w:rsid w:val="00D12FF9"/>
    <w:rsid w:val="00D132B2"/>
    <w:rsid w:val="00D136E5"/>
    <w:rsid w:val="00D13A0B"/>
    <w:rsid w:val="00D13D58"/>
    <w:rsid w:val="00D14922"/>
    <w:rsid w:val="00D14D14"/>
    <w:rsid w:val="00D14EB4"/>
    <w:rsid w:val="00D150AE"/>
    <w:rsid w:val="00D1540B"/>
    <w:rsid w:val="00D156F3"/>
    <w:rsid w:val="00D15796"/>
    <w:rsid w:val="00D159CF"/>
    <w:rsid w:val="00D15C52"/>
    <w:rsid w:val="00D16628"/>
    <w:rsid w:val="00D16648"/>
    <w:rsid w:val="00D16B48"/>
    <w:rsid w:val="00D16BB4"/>
    <w:rsid w:val="00D16CE7"/>
    <w:rsid w:val="00D170D2"/>
    <w:rsid w:val="00D17228"/>
    <w:rsid w:val="00D1733C"/>
    <w:rsid w:val="00D1753D"/>
    <w:rsid w:val="00D17E7C"/>
    <w:rsid w:val="00D203D0"/>
    <w:rsid w:val="00D20966"/>
    <w:rsid w:val="00D20CDE"/>
    <w:rsid w:val="00D20DB8"/>
    <w:rsid w:val="00D21302"/>
    <w:rsid w:val="00D2167E"/>
    <w:rsid w:val="00D21799"/>
    <w:rsid w:val="00D21C13"/>
    <w:rsid w:val="00D229CF"/>
    <w:rsid w:val="00D22BE6"/>
    <w:rsid w:val="00D22D56"/>
    <w:rsid w:val="00D23356"/>
    <w:rsid w:val="00D234C6"/>
    <w:rsid w:val="00D236FD"/>
    <w:rsid w:val="00D23AF3"/>
    <w:rsid w:val="00D23C83"/>
    <w:rsid w:val="00D23E16"/>
    <w:rsid w:val="00D23E40"/>
    <w:rsid w:val="00D2402E"/>
    <w:rsid w:val="00D242D2"/>
    <w:rsid w:val="00D24C6C"/>
    <w:rsid w:val="00D24D8E"/>
    <w:rsid w:val="00D24FD9"/>
    <w:rsid w:val="00D25395"/>
    <w:rsid w:val="00D25B96"/>
    <w:rsid w:val="00D260F4"/>
    <w:rsid w:val="00D27694"/>
    <w:rsid w:val="00D27BDD"/>
    <w:rsid w:val="00D27F3B"/>
    <w:rsid w:val="00D30031"/>
    <w:rsid w:val="00D30799"/>
    <w:rsid w:val="00D3124C"/>
    <w:rsid w:val="00D31967"/>
    <w:rsid w:val="00D31DE7"/>
    <w:rsid w:val="00D32557"/>
    <w:rsid w:val="00D32F47"/>
    <w:rsid w:val="00D330A5"/>
    <w:rsid w:val="00D33121"/>
    <w:rsid w:val="00D33576"/>
    <w:rsid w:val="00D337C4"/>
    <w:rsid w:val="00D33A99"/>
    <w:rsid w:val="00D33BCB"/>
    <w:rsid w:val="00D33CE4"/>
    <w:rsid w:val="00D3479A"/>
    <w:rsid w:val="00D34A0E"/>
    <w:rsid w:val="00D34BBF"/>
    <w:rsid w:val="00D34E03"/>
    <w:rsid w:val="00D34E47"/>
    <w:rsid w:val="00D358F0"/>
    <w:rsid w:val="00D35CBE"/>
    <w:rsid w:val="00D362D8"/>
    <w:rsid w:val="00D368DE"/>
    <w:rsid w:val="00D369B9"/>
    <w:rsid w:val="00D36CFF"/>
    <w:rsid w:val="00D375EB"/>
    <w:rsid w:val="00D377B1"/>
    <w:rsid w:val="00D400A1"/>
    <w:rsid w:val="00D400C3"/>
    <w:rsid w:val="00D4051E"/>
    <w:rsid w:val="00D40ABC"/>
    <w:rsid w:val="00D40AF0"/>
    <w:rsid w:val="00D410F2"/>
    <w:rsid w:val="00D4169C"/>
    <w:rsid w:val="00D41CC4"/>
    <w:rsid w:val="00D425AC"/>
    <w:rsid w:val="00D42871"/>
    <w:rsid w:val="00D42880"/>
    <w:rsid w:val="00D42F41"/>
    <w:rsid w:val="00D4302F"/>
    <w:rsid w:val="00D430C5"/>
    <w:rsid w:val="00D43176"/>
    <w:rsid w:val="00D43ABD"/>
    <w:rsid w:val="00D43D09"/>
    <w:rsid w:val="00D448EA"/>
    <w:rsid w:val="00D44CFD"/>
    <w:rsid w:val="00D44EC1"/>
    <w:rsid w:val="00D45D49"/>
    <w:rsid w:val="00D45EF7"/>
    <w:rsid w:val="00D45FB6"/>
    <w:rsid w:val="00D46304"/>
    <w:rsid w:val="00D466E5"/>
    <w:rsid w:val="00D46D2E"/>
    <w:rsid w:val="00D46FDC"/>
    <w:rsid w:val="00D47044"/>
    <w:rsid w:val="00D47EE2"/>
    <w:rsid w:val="00D50110"/>
    <w:rsid w:val="00D5046F"/>
    <w:rsid w:val="00D5078E"/>
    <w:rsid w:val="00D50CCB"/>
    <w:rsid w:val="00D511E6"/>
    <w:rsid w:val="00D513BC"/>
    <w:rsid w:val="00D5160C"/>
    <w:rsid w:val="00D516B9"/>
    <w:rsid w:val="00D52135"/>
    <w:rsid w:val="00D521C5"/>
    <w:rsid w:val="00D522A3"/>
    <w:rsid w:val="00D5264F"/>
    <w:rsid w:val="00D526CA"/>
    <w:rsid w:val="00D528B8"/>
    <w:rsid w:val="00D52BCB"/>
    <w:rsid w:val="00D53515"/>
    <w:rsid w:val="00D535C5"/>
    <w:rsid w:val="00D535F7"/>
    <w:rsid w:val="00D536C0"/>
    <w:rsid w:val="00D5397F"/>
    <w:rsid w:val="00D5400D"/>
    <w:rsid w:val="00D549A2"/>
    <w:rsid w:val="00D55016"/>
    <w:rsid w:val="00D55737"/>
    <w:rsid w:val="00D558B1"/>
    <w:rsid w:val="00D55A1B"/>
    <w:rsid w:val="00D55F0A"/>
    <w:rsid w:val="00D56055"/>
    <w:rsid w:val="00D56177"/>
    <w:rsid w:val="00D563D5"/>
    <w:rsid w:val="00D5673E"/>
    <w:rsid w:val="00D56B32"/>
    <w:rsid w:val="00D5745C"/>
    <w:rsid w:val="00D57466"/>
    <w:rsid w:val="00D576FB"/>
    <w:rsid w:val="00D578EC"/>
    <w:rsid w:val="00D60052"/>
    <w:rsid w:val="00D60261"/>
    <w:rsid w:val="00D6038E"/>
    <w:rsid w:val="00D605D4"/>
    <w:rsid w:val="00D60DA1"/>
    <w:rsid w:val="00D610C1"/>
    <w:rsid w:val="00D6149D"/>
    <w:rsid w:val="00D617FE"/>
    <w:rsid w:val="00D61D28"/>
    <w:rsid w:val="00D620C4"/>
    <w:rsid w:val="00D622BD"/>
    <w:rsid w:val="00D625E7"/>
    <w:rsid w:val="00D627F7"/>
    <w:rsid w:val="00D62B05"/>
    <w:rsid w:val="00D62FA1"/>
    <w:rsid w:val="00D6304D"/>
    <w:rsid w:val="00D63380"/>
    <w:rsid w:val="00D633AF"/>
    <w:rsid w:val="00D6360C"/>
    <w:rsid w:val="00D638FC"/>
    <w:rsid w:val="00D63978"/>
    <w:rsid w:val="00D63CA0"/>
    <w:rsid w:val="00D63CE4"/>
    <w:rsid w:val="00D63F75"/>
    <w:rsid w:val="00D640E6"/>
    <w:rsid w:val="00D64961"/>
    <w:rsid w:val="00D6510E"/>
    <w:rsid w:val="00D65371"/>
    <w:rsid w:val="00D6586C"/>
    <w:rsid w:val="00D6598B"/>
    <w:rsid w:val="00D659A4"/>
    <w:rsid w:val="00D66145"/>
    <w:rsid w:val="00D66A8A"/>
    <w:rsid w:val="00D66C1C"/>
    <w:rsid w:val="00D66F0E"/>
    <w:rsid w:val="00D67889"/>
    <w:rsid w:val="00D701B9"/>
    <w:rsid w:val="00D70333"/>
    <w:rsid w:val="00D70460"/>
    <w:rsid w:val="00D7104B"/>
    <w:rsid w:val="00D71280"/>
    <w:rsid w:val="00D71617"/>
    <w:rsid w:val="00D71EB0"/>
    <w:rsid w:val="00D722CF"/>
    <w:rsid w:val="00D72B52"/>
    <w:rsid w:val="00D72F11"/>
    <w:rsid w:val="00D7318B"/>
    <w:rsid w:val="00D73210"/>
    <w:rsid w:val="00D732C3"/>
    <w:rsid w:val="00D737DE"/>
    <w:rsid w:val="00D748E9"/>
    <w:rsid w:val="00D74BF2"/>
    <w:rsid w:val="00D75030"/>
    <w:rsid w:val="00D750A5"/>
    <w:rsid w:val="00D7511C"/>
    <w:rsid w:val="00D755E7"/>
    <w:rsid w:val="00D7587E"/>
    <w:rsid w:val="00D75D40"/>
    <w:rsid w:val="00D760C5"/>
    <w:rsid w:val="00D7695A"/>
    <w:rsid w:val="00D77649"/>
    <w:rsid w:val="00D7788C"/>
    <w:rsid w:val="00D779F9"/>
    <w:rsid w:val="00D77AF0"/>
    <w:rsid w:val="00D77B6D"/>
    <w:rsid w:val="00D77DFF"/>
    <w:rsid w:val="00D80053"/>
    <w:rsid w:val="00D80337"/>
    <w:rsid w:val="00D80462"/>
    <w:rsid w:val="00D80670"/>
    <w:rsid w:val="00D80765"/>
    <w:rsid w:val="00D807B7"/>
    <w:rsid w:val="00D8080B"/>
    <w:rsid w:val="00D80A4F"/>
    <w:rsid w:val="00D80BB3"/>
    <w:rsid w:val="00D80DD3"/>
    <w:rsid w:val="00D80E33"/>
    <w:rsid w:val="00D81386"/>
    <w:rsid w:val="00D81EC5"/>
    <w:rsid w:val="00D81F1F"/>
    <w:rsid w:val="00D8212C"/>
    <w:rsid w:val="00D824D5"/>
    <w:rsid w:val="00D827E2"/>
    <w:rsid w:val="00D82AB8"/>
    <w:rsid w:val="00D830A0"/>
    <w:rsid w:val="00D8347C"/>
    <w:rsid w:val="00D834C4"/>
    <w:rsid w:val="00D83912"/>
    <w:rsid w:val="00D84009"/>
    <w:rsid w:val="00D840BB"/>
    <w:rsid w:val="00D845A3"/>
    <w:rsid w:val="00D847F5"/>
    <w:rsid w:val="00D849DB"/>
    <w:rsid w:val="00D84B46"/>
    <w:rsid w:val="00D85210"/>
    <w:rsid w:val="00D86791"/>
    <w:rsid w:val="00D86A15"/>
    <w:rsid w:val="00D86B32"/>
    <w:rsid w:val="00D86CDD"/>
    <w:rsid w:val="00D86D62"/>
    <w:rsid w:val="00D86D91"/>
    <w:rsid w:val="00D873CC"/>
    <w:rsid w:val="00D8757F"/>
    <w:rsid w:val="00D876DD"/>
    <w:rsid w:val="00D87AA3"/>
    <w:rsid w:val="00D87ADC"/>
    <w:rsid w:val="00D87BEC"/>
    <w:rsid w:val="00D87E58"/>
    <w:rsid w:val="00D9006C"/>
    <w:rsid w:val="00D9024E"/>
    <w:rsid w:val="00D903F4"/>
    <w:rsid w:val="00D90D80"/>
    <w:rsid w:val="00D910D6"/>
    <w:rsid w:val="00D91386"/>
    <w:rsid w:val="00D922E7"/>
    <w:rsid w:val="00D9255F"/>
    <w:rsid w:val="00D92609"/>
    <w:rsid w:val="00D9266C"/>
    <w:rsid w:val="00D92A82"/>
    <w:rsid w:val="00D92E4A"/>
    <w:rsid w:val="00D93267"/>
    <w:rsid w:val="00D94257"/>
    <w:rsid w:val="00D94DF7"/>
    <w:rsid w:val="00D9560C"/>
    <w:rsid w:val="00D95A82"/>
    <w:rsid w:val="00D9625F"/>
    <w:rsid w:val="00D963B5"/>
    <w:rsid w:val="00D96488"/>
    <w:rsid w:val="00D967C8"/>
    <w:rsid w:val="00D968CA"/>
    <w:rsid w:val="00D96B03"/>
    <w:rsid w:val="00D96D60"/>
    <w:rsid w:val="00D96DAA"/>
    <w:rsid w:val="00D9756E"/>
    <w:rsid w:val="00D976C2"/>
    <w:rsid w:val="00D97A49"/>
    <w:rsid w:val="00D97CBD"/>
    <w:rsid w:val="00D97CDE"/>
    <w:rsid w:val="00D97DAB"/>
    <w:rsid w:val="00D97ED6"/>
    <w:rsid w:val="00DA0163"/>
    <w:rsid w:val="00DA098A"/>
    <w:rsid w:val="00DA0C94"/>
    <w:rsid w:val="00DA0F0A"/>
    <w:rsid w:val="00DA1042"/>
    <w:rsid w:val="00DA1332"/>
    <w:rsid w:val="00DA13A0"/>
    <w:rsid w:val="00DA17D0"/>
    <w:rsid w:val="00DA1984"/>
    <w:rsid w:val="00DA1C9F"/>
    <w:rsid w:val="00DA1D64"/>
    <w:rsid w:val="00DA1DFB"/>
    <w:rsid w:val="00DA200D"/>
    <w:rsid w:val="00DA2028"/>
    <w:rsid w:val="00DA2185"/>
    <w:rsid w:val="00DA2297"/>
    <w:rsid w:val="00DA231C"/>
    <w:rsid w:val="00DA235A"/>
    <w:rsid w:val="00DA2395"/>
    <w:rsid w:val="00DA2920"/>
    <w:rsid w:val="00DA2973"/>
    <w:rsid w:val="00DA30B7"/>
    <w:rsid w:val="00DA37FE"/>
    <w:rsid w:val="00DA395C"/>
    <w:rsid w:val="00DA3A22"/>
    <w:rsid w:val="00DA3AF4"/>
    <w:rsid w:val="00DA41B2"/>
    <w:rsid w:val="00DA422C"/>
    <w:rsid w:val="00DA46B2"/>
    <w:rsid w:val="00DA4706"/>
    <w:rsid w:val="00DA4A0E"/>
    <w:rsid w:val="00DA4DD5"/>
    <w:rsid w:val="00DA5B86"/>
    <w:rsid w:val="00DA5EBB"/>
    <w:rsid w:val="00DA6372"/>
    <w:rsid w:val="00DA65B4"/>
    <w:rsid w:val="00DA6D29"/>
    <w:rsid w:val="00DA7003"/>
    <w:rsid w:val="00DA71CF"/>
    <w:rsid w:val="00DA7390"/>
    <w:rsid w:val="00DA7974"/>
    <w:rsid w:val="00DA79C0"/>
    <w:rsid w:val="00DA7BFE"/>
    <w:rsid w:val="00DA7F78"/>
    <w:rsid w:val="00DA7FBB"/>
    <w:rsid w:val="00DA7FEA"/>
    <w:rsid w:val="00DB013B"/>
    <w:rsid w:val="00DB039E"/>
    <w:rsid w:val="00DB03D5"/>
    <w:rsid w:val="00DB0904"/>
    <w:rsid w:val="00DB1851"/>
    <w:rsid w:val="00DB1C06"/>
    <w:rsid w:val="00DB1CD2"/>
    <w:rsid w:val="00DB1D28"/>
    <w:rsid w:val="00DB1FD6"/>
    <w:rsid w:val="00DB2990"/>
    <w:rsid w:val="00DB311E"/>
    <w:rsid w:val="00DB33FD"/>
    <w:rsid w:val="00DB3427"/>
    <w:rsid w:val="00DB36C3"/>
    <w:rsid w:val="00DB3C34"/>
    <w:rsid w:val="00DB3D43"/>
    <w:rsid w:val="00DB3FA3"/>
    <w:rsid w:val="00DB41C2"/>
    <w:rsid w:val="00DB45C2"/>
    <w:rsid w:val="00DB4676"/>
    <w:rsid w:val="00DB4E53"/>
    <w:rsid w:val="00DB5393"/>
    <w:rsid w:val="00DB5B68"/>
    <w:rsid w:val="00DB5E66"/>
    <w:rsid w:val="00DB5EDB"/>
    <w:rsid w:val="00DB61C3"/>
    <w:rsid w:val="00DB691D"/>
    <w:rsid w:val="00DB6A90"/>
    <w:rsid w:val="00DB6C82"/>
    <w:rsid w:val="00DB6CB7"/>
    <w:rsid w:val="00DB7A41"/>
    <w:rsid w:val="00DB7CC3"/>
    <w:rsid w:val="00DB7D2E"/>
    <w:rsid w:val="00DB7E00"/>
    <w:rsid w:val="00DB7E70"/>
    <w:rsid w:val="00DC0252"/>
    <w:rsid w:val="00DC0913"/>
    <w:rsid w:val="00DC0B96"/>
    <w:rsid w:val="00DC1044"/>
    <w:rsid w:val="00DC146A"/>
    <w:rsid w:val="00DC14BE"/>
    <w:rsid w:val="00DC15D0"/>
    <w:rsid w:val="00DC180D"/>
    <w:rsid w:val="00DC180F"/>
    <w:rsid w:val="00DC1B38"/>
    <w:rsid w:val="00DC1B5C"/>
    <w:rsid w:val="00DC1C83"/>
    <w:rsid w:val="00DC1EDE"/>
    <w:rsid w:val="00DC1FAB"/>
    <w:rsid w:val="00DC1FD0"/>
    <w:rsid w:val="00DC208E"/>
    <w:rsid w:val="00DC2104"/>
    <w:rsid w:val="00DC21E0"/>
    <w:rsid w:val="00DC220E"/>
    <w:rsid w:val="00DC2489"/>
    <w:rsid w:val="00DC268A"/>
    <w:rsid w:val="00DC2889"/>
    <w:rsid w:val="00DC296A"/>
    <w:rsid w:val="00DC29D6"/>
    <w:rsid w:val="00DC2B64"/>
    <w:rsid w:val="00DC2BEA"/>
    <w:rsid w:val="00DC2D77"/>
    <w:rsid w:val="00DC2EC1"/>
    <w:rsid w:val="00DC33BF"/>
    <w:rsid w:val="00DC3873"/>
    <w:rsid w:val="00DC38D1"/>
    <w:rsid w:val="00DC393F"/>
    <w:rsid w:val="00DC3969"/>
    <w:rsid w:val="00DC3A76"/>
    <w:rsid w:val="00DC3AEA"/>
    <w:rsid w:val="00DC3B40"/>
    <w:rsid w:val="00DC499D"/>
    <w:rsid w:val="00DC4A9E"/>
    <w:rsid w:val="00DC50B5"/>
    <w:rsid w:val="00DC5135"/>
    <w:rsid w:val="00DC5951"/>
    <w:rsid w:val="00DC5953"/>
    <w:rsid w:val="00DC59C8"/>
    <w:rsid w:val="00DC5DC5"/>
    <w:rsid w:val="00DC5EEA"/>
    <w:rsid w:val="00DD0382"/>
    <w:rsid w:val="00DD0E3B"/>
    <w:rsid w:val="00DD1020"/>
    <w:rsid w:val="00DD1EB5"/>
    <w:rsid w:val="00DD2373"/>
    <w:rsid w:val="00DD24C7"/>
    <w:rsid w:val="00DD2B86"/>
    <w:rsid w:val="00DD2E62"/>
    <w:rsid w:val="00DD2EB6"/>
    <w:rsid w:val="00DD385E"/>
    <w:rsid w:val="00DD3F4A"/>
    <w:rsid w:val="00DD40C1"/>
    <w:rsid w:val="00DD42E4"/>
    <w:rsid w:val="00DD4329"/>
    <w:rsid w:val="00DD4899"/>
    <w:rsid w:val="00DD4914"/>
    <w:rsid w:val="00DD5552"/>
    <w:rsid w:val="00DD5679"/>
    <w:rsid w:val="00DD5DD3"/>
    <w:rsid w:val="00DD6030"/>
    <w:rsid w:val="00DD6199"/>
    <w:rsid w:val="00DD6234"/>
    <w:rsid w:val="00DD64F3"/>
    <w:rsid w:val="00DD6C04"/>
    <w:rsid w:val="00DD6F77"/>
    <w:rsid w:val="00DD70E9"/>
    <w:rsid w:val="00DD7545"/>
    <w:rsid w:val="00DD75BC"/>
    <w:rsid w:val="00DD770D"/>
    <w:rsid w:val="00DD7936"/>
    <w:rsid w:val="00DD7E11"/>
    <w:rsid w:val="00DE08EE"/>
    <w:rsid w:val="00DE0C6A"/>
    <w:rsid w:val="00DE1855"/>
    <w:rsid w:val="00DE1EAB"/>
    <w:rsid w:val="00DE1F2F"/>
    <w:rsid w:val="00DE2061"/>
    <w:rsid w:val="00DE26EE"/>
    <w:rsid w:val="00DE27FA"/>
    <w:rsid w:val="00DE2A82"/>
    <w:rsid w:val="00DE2B6D"/>
    <w:rsid w:val="00DE2E7D"/>
    <w:rsid w:val="00DE3406"/>
    <w:rsid w:val="00DE37E1"/>
    <w:rsid w:val="00DE3814"/>
    <w:rsid w:val="00DE391D"/>
    <w:rsid w:val="00DE39A1"/>
    <w:rsid w:val="00DE3C60"/>
    <w:rsid w:val="00DE3EED"/>
    <w:rsid w:val="00DE4593"/>
    <w:rsid w:val="00DE4A83"/>
    <w:rsid w:val="00DE4AD5"/>
    <w:rsid w:val="00DE5580"/>
    <w:rsid w:val="00DE5B20"/>
    <w:rsid w:val="00DE5DB5"/>
    <w:rsid w:val="00DE5FF3"/>
    <w:rsid w:val="00DE60E5"/>
    <w:rsid w:val="00DE634F"/>
    <w:rsid w:val="00DE664D"/>
    <w:rsid w:val="00DE6A7B"/>
    <w:rsid w:val="00DE6B0F"/>
    <w:rsid w:val="00DE6C09"/>
    <w:rsid w:val="00DE709A"/>
    <w:rsid w:val="00DE7116"/>
    <w:rsid w:val="00DE75F5"/>
    <w:rsid w:val="00DE76B5"/>
    <w:rsid w:val="00DE7866"/>
    <w:rsid w:val="00DE7E07"/>
    <w:rsid w:val="00DF004F"/>
    <w:rsid w:val="00DF052F"/>
    <w:rsid w:val="00DF06CB"/>
    <w:rsid w:val="00DF07BA"/>
    <w:rsid w:val="00DF08F2"/>
    <w:rsid w:val="00DF0A8B"/>
    <w:rsid w:val="00DF0F35"/>
    <w:rsid w:val="00DF0FF5"/>
    <w:rsid w:val="00DF11FA"/>
    <w:rsid w:val="00DF124D"/>
    <w:rsid w:val="00DF1331"/>
    <w:rsid w:val="00DF13F5"/>
    <w:rsid w:val="00DF194D"/>
    <w:rsid w:val="00DF1B3E"/>
    <w:rsid w:val="00DF1D2E"/>
    <w:rsid w:val="00DF1F77"/>
    <w:rsid w:val="00DF24E3"/>
    <w:rsid w:val="00DF2B33"/>
    <w:rsid w:val="00DF493E"/>
    <w:rsid w:val="00DF49B5"/>
    <w:rsid w:val="00DF49FA"/>
    <w:rsid w:val="00DF4FC6"/>
    <w:rsid w:val="00DF4FCB"/>
    <w:rsid w:val="00DF5619"/>
    <w:rsid w:val="00DF5CAB"/>
    <w:rsid w:val="00DF5EDF"/>
    <w:rsid w:val="00DF615A"/>
    <w:rsid w:val="00DF679C"/>
    <w:rsid w:val="00DF6841"/>
    <w:rsid w:val="00DF7114"/>
    <w:rsid w:val="00DF7492"/>
    <w:rsid w:val="00DF75E6"/>
    <w:rsid w:val="00DF7806"/>
    <w:rsid w:val="00DF7D65"/>
    <w:rsid w:val="00DF7F98"/>
    <w:rsid w:val="00DF7FD1"/>
    <w:rsid w:val="00E0005B"/>
    <w:rsid w:val="00E00672"/>
    <w:rsid w:val="00E0077C"/>
    <w:rsid w:val="00E010D7"/>
    <w:rsid w:val="00E011DC"/>
    <w:rsid w:val="00E013E6"/>
    <w:rsid w:val="00E0165C"/>
    <w:rsid w:val="00E016CB"/>
    <w:rsid w:val="00E01775"/>
    <w:rsid w:val="00E01AC9"/>
    <w:rsid w:val="00E01B79"/>
    <w:rsid w:val="00E0200A"/>
    <w:rsid w:val="00E02412"/>
    <w:rsid w:val="00E024E6"/>
    <w:rsid w:val="00E0278D"/>
    <w:rsid w:val="00E02A70"/>
    <w:rsid w:val="00E02BC4"/>
    <w:rsid w:val="00E02DC9"/>
    <w:rsid w:val="00E02F19"/>
    <w:rsid w:val="00E032C0"/>
    <w:rsid w:val="00E0380B"/>
    <w:rsid w:val="00E03AF9"/>
    <w:rsid w:val="00E03B96"/>
    <w:rsid w:val="00E045F6"/>
    <w:rsid w:val="00E04A2D"/>
    <w:rsid w:val="00E04B9A"/>
    <w:rsid w:val="00E04FB9"/>
    <w:rsid w:val="00E05408"/>
    <w:rsid w:val="00E055A1"/>
    <w:rsid w:val="00E05EA7"/>
    <w:rsid w:val="00E0691D"/>
    <w:rsid w:val="00E06C3E"/>
    <w:rsid w:val="00E07667"/>
    <w:rsid w:val="00E0773C"/>
    <w:rsid w:val="00E0798C"/>
    <w:rsid w:val="00E07B89"/>
    <w:rsid w:val="00E07FF0"/>
    <w:rsid w:val="00E1021B"/>
    <w:rsid w:val="00E10344"/>
    <w:rsid w:val="00E10ED5"/>
    <w:rsid w:val="00E112B8"/>
    <w:rsid w:val="00E11449"/>
    <w:rsid w:val="00E11642"/>
    <w:rsid w:val="00E11825"/>
    <w:rsid w:val="00E11BF1"/>
    <w:rsid w:val="00E11C50"/>
    <w:rsid w:val="00E11F29"/>
    <w:rsid w:val="00E11F2D"/>
    <w:rsid w:val="00E1210B"/>
    <w:rsid w:val="00E12139"/>
    <w:rsid w:val="00E122D6"/>
    <w:rsid w:val="00E12A55"/>
    <w:rsid w:val="00E12E22"/>
    <w:rsid w:val="00E12E28"/>
    <w:rsid w:val="00E12F0A"/>
    <w:rsid w:val="00E12F43"/>
    <w:rsid w:val="00E13357"/>
    <w:rsid w:val="00E13ED2"/>
    <w:rsid w:val="00E14132"/>
    <w:rsid w:val="00E14A2D"/>
    <w:rsid w:val="00E15278"/>
    <w:rsid w:val="00E15345"/>
    <w:rsid w:val="00E15770"/>
    <w:rsid w:val="00E1581C"/>
    <w:rsid w:val="00E15F47"/>
    <w:rsid w:val="00E16353"/>
    <w:rsid w:val="00E1693D"/>
    <w:rsid w:val="00E16A5A"/>
    <w:rsid w:val="00E16D36"/>
    <w:rsid w:val="00E16FE5"/>
    <w:rsid w:val="00E17D2A"/>
    <w:rsid w:val="00E203B7"/>
    <w:rsid w:val="00E20632"/>
    <w:rsid w:val="00E208BE"/>
    <w:rsid w:val="00E20BE5"/>
    <w:rsid w:val="00E20D5E"/>
    <w:rsid w:val="00E20F4E"/>
    <w:rsid w:val="00E2144F"/>
    <w:rsid w:val="00E2153E"/>
    <w:rsid w:val="00E215F1"/>
    <w:rsid w:val="00E218D4"/>
    <w:rsid w:val="00E2345B"/>
    <w:rsid w:val="00E2387C"/>
    <w:rsid w:val="00E238D0"/>
    <w:rsid w:val="00E24251"/>
    <w:rsid w:val="00E246E9"/>
    <w:rsid w:val="00E24A0F"/>
    <w:rsid w:val="00E24E9F"/>
    <w:rsid w:val="00E25E5A"/>
    <w:rsid w:val="00E261BF"/>
    <w:rsid w:val="00E2685B"/>
    <w:rsid w:val="00E26987"/>
    <w:rsid w:val="00E26B36"/>
    <w:rsid w:val="00E26DD6"/>
    <w:rsid w:val="00E26E2C"/>
    <w:rsid w:val="00E2707B"/>
    <w:rsid w:val="00E2749F"/>
    <w:rsid w:val="00E27601"/>
    <w:rsid w:val="00E27645"/>
    <w:rsid w:val="00E30031"/>
    <w:rsid w:val="00E304F8"/>
    <w:rsid w:val="00E30702"/>
    <w:rsid w:val="00E3078D"/>
    <w:rsid w:val="00E3173F"/>
    <w:rsid w:val="00E31C45"/>
    <w:rsid w:val="00E31ED9"/>
    <w:rsid w:val="00E322C8"/>
    <w:rsid w:val="00E325E4"/>
    <w:rsid w:val="00E32727"/>
    <w:rsid w:val="00E32D97"/>
    <w:rsid w:val="00E32E4C"/>
    <w:rsid w:val="00E3307E"/>
    <w:rsid w:val="00E335D0"/>
    <w:rsid w:val="00E3374C"/>
    <w:rsid w:val="00E33BB0"/>
    <w:rsid w:val="00E33F91"/>
    <w:rsid w:val="00E343B2"/>
    <w:rsid w:val="00E346DF"/>
    <w:rsid w:val="00E35012"/>
    <w:rsid w:val="00E351EA"/>
    <w:rsid w:val="00E35607"/>
    <w:rsid w:val="00E367E4"/>
    <w:rsid w:val="00E369CC"/>
    <w:rsid w:val="00E36C0B"/>
    <w:rsid w:val="00E36E4A"/>
    <w:rsid w:val="00E37A29"/>
    <w:rsid w:val="00E4018F"/>
    <w:rsid w:val="00E402D6"/>
    <w:rsid w:val="00E4080F"/>
    <w:rsid w:val="00E408BF"/>
    <w:rsid w:val="00E409D7"/>
    <w:rsid w:val="00E40BCB"/>
    <w:rsid w:val="00E40CAD"/>
    <w:rsid w:val="00E40D08"/>
    <w:rsid w:val="00E411E8"/>
    <w:rsid w:val="00E4138F"/>
    <w:rsid w:val="00E41893"/>
    <w:rsid w:val="00E418A4"/>
    <w:rsid w:val="00E41DB1"/>
    <w:rsid w:val="00E42018"/>
    <w:rsid w:val="00E42245"/>
    <w:rsid w:val="00E42CF2"/>
    <w:rsid w:val="00E43329"/>
    <w:rsid w:val="00E43391"/>
    <w:rsid w:val="00E4362C"/>
    <w:rsid w:val="00E438A6"/>
    <w:rsid w:val="00E43EF7"/>
    <w:rsid w:val="00E43FA9"/>
    <w:rsid w:val="00E44075"/>
    <w:rsid w:val="00E4437D"/>
    <w:rsid w:val="00E4446A"/>
    <w:rsid w:val="00E44579"/>
    <w:rsid w:val="00E451D7"/>
    <w:rsid w:val="00E452AC"/>
    <w:rsid w:val="00E4544B"/>
    <w:rsid w:val="00E457EB"/>
    <w:rsid w:val="00E4597D"/>
    <w:rsid w:val="00E45EBE"/>
    <w:rsid w:val="00E463A2"/>
    <w:rsid w:val="00E4650F"/>
    <w:rsid w:val="00E46555"/>
    <w:rsid w:val="00E46EC1"/>
    <w:rsid w:val="00E47325"/>
    <w:rsid w:val="00E4794F"/>
    <w:rsid w:val="00E47D3F"/>
    <w:rsid w:val="00E47DA3"/>
    <w:rsid w:val="00E47FA6"/>
    <w:rsid w:val="00E5062B"/>
    <w:rsid w:val="00E5066E"/>
    <w:rsid w:val="00E50CBB"/>
    <w:rsid w:val="00E50D53"/>
    <w:rsid w:val="00E51A36"/>
    <w:rsid w:val="00E51A61"/>
    <w:rsid w:val="00E51CC1"/>
    <w:rsid w:val="00E520D3"/>
    <w:rsid w:val="00E52385"/>
    <w:rsid w:val="00E529B5"/>
    <w:rsid w:val="00E52FC8"/>
    <w:rsid w:val="00E53335"/>
    <w:rsid w:val="00E5378B"/>
    <w:rsid w:val="00E53CD7"/>
    <w:rsid w:val="00E541AD"/>
    <w:rsid w:val="00E54354"/>
    <w:rsid w:val="00E54BED"/>
    <w:rsid w:val="00E54C5F"/>
    <w:rsid w:val="00E5522B"/>
    <w:rsid w:val="00E556F9"/>
    <w:rsid w:val="00E55844"/>
    <w:rsid w:val="00E55FD5"/>
    <w:rsid w:val="00E56330"/>
    <w:rsid w:val="00E563B1"/>
    <w:rsid w:val="00E56DC3"/>
    <w:rsid w:val="00E56EA4"/>
    <w:rsid w:val="00E570B0"/>
    <w:rsid w:val="00E571B1"/>
    <w:rsid w:val="00E5770B"/>
    <w:rsid w:val="00E57D2F"/>
    <w:rsid w:val="00E6023E"/>
    <w:rsid w:val="00E602E5"/>
    <w:rsid w:val="00E6036E"/>
    <w:rsid w:val="00E603AF"/>
    <w:rsid w:val="00E60991"/>
    <w:rsid w:val="00E60C38"/>
    <w:rsid w:val="00E60C4A"/>
    <w:rsid w:val="00E6120F"/>
    <w:rsid w:val="00E61336"/>
    <w:rsid w:val="00E61727"/>
    <w:rsid w:val="00E61F88"/>
    <w:rsid w:val="00E626B9"/>
    <w:rsid w:val="00E62730"/>
    <w:rsid w:val="00E6284F"/>
    <w:rsid w:val="00E62B8B"/>
    <w:rsid w:val="00E630B8"/>
    <w:rsid w:val="00E63396"/>
    <w:rsid w:val="00E6360A"/>
    <w:rsid w:val="00E636D4"/>
    <w:rsid w:val="00E637AB"/>
    <w:rsid w:val="00E63D29"/>
    <w:rsid w:val="00E64355"/>
    <w:rsid w:val="00E64400"/>
    <w:rsid w:val="00E64567"/>
    <w:rsid w:val="00E645EF"/>
    <w:rsid w:val="00E64615"/>
    <w:rsid w:val="00E6498A"/>
    <w:rsid w:val="00E64A18"/>
    <w:rsid w:val="00E64BB0"/>
    <w:rsid w:val="00E65438"/>
    <w:rsid w:val="00E65979"/>
    <w:rsid w:val="00E65A02"/>
    <w:rsid w:val="00E65B71"/>
    <w:rsid w:val="00E66176"/>
    <w:rsid w:val="00E66452"/>
    <w:rsid w:val="00E66ADA"/>
    <w:rsid w:val="00E67114"/>
    <w:rsid w:val="00E674C1"/>
    <w:rsid w:val="00E6750B"/>
    <w:rsid w:val="00E679EF"/>
    <w:rsid w:val="00E7030D"/>
    <w:rsid w:val="00E70748"/>
    <w:rsid w:val="00E707FE"/>
    <w:rsid w:val="00E70E2D"/>
    <w:rsid w:val="00E70FF1"/>
    <w:rsid w:val="00E7125D"/>
    <w:rsid w:val="00E71723"/>
    <w:rsid w:val="00E71926"/>
    <w:rsid w:val="00E71AAB"/>
    <w:rsid w:val="00E71BB4"/>
    <w:rsid w:val="00E7221E"/>
    <w:rsid w:val="00E722BC"/>
    <w:rsid w:val="00E722C6"/>
    <w:rsid w:val="00E72A2C"/>
    <w:rsid w:val="00E72B09"/>
    <w:rsid w:val="00E72BC5"/>
    <w:rsid w:val="00E72DB8"/>
    <w:rsid w:val="00E7309D"/>
    <w:rsid w:val="00E734CB"/>
    <w:rsid w:val="00E735F2"/>
    <w:rsid w:val="00E73615"/>
    <w:rsid w:val="00E73841"/>
    <w:rsid w:val="00E73976"/>
    <w:rsid w:val="00E742CD"/>
    <w:rsid w:val="00E74FB6"/>
    <w:rsid w:val="00E75356"/>
    <w:rsid w:val="00E7537E"/>
    <w:rsid w:val="00E754BB"/>
    <w:rsid w:val="00E75896"/>
    <w:rsid w:val="00E75DAE"/>
    <w:rsid w:val="00E75F59"/>
    <w:rsid w:val="00E760DB"/>
    <w:rsid w:val="00E76429"/>
    <w:rsid w:val="00E766E3"/>
    <w:rsid w:val="00E76A87"/>
    <w:rsid w:val="00E76FCF"/>
    <w:rsid w:val="00E771F5"/>
    <w:rsid w:val="00E7793F"/>
    <w:rsid w:val="00E77E4B"/>
    <w:rsid w:val="00E80394"/>
    <w:rsid w:val="00E803FE"/>
    <w:rsid w:val="00E806C3"/>
    <w:rsid w:val="00E80C95"/>
    <w:rsid w:val="00E80CC0"/>
    <w:rsid w:val="00E81BB1"/>
    <w:rsid w:val="00E81C2E"/>
    <w:rsid w:val="00E81D02"/>
    <w:rsid w:val="00E81F58"/>
    <w:rsid w:val="00E82145"/>
    <w:rsid w:val="00E82690"/>
    <w:rsid w:val="00E8273A"/>
    <w:rsid w:val="00E82A0E"/>
    <w:rsid w:val="00E82DBE"/>
    <w:rsid w:val="00E82EBA"/>
    <w:rsid w:val="00E82FCA"/>
    <w:rsid w:val="00E83232"/>
    <w:rsid w:val="00E833EC"/>
    <w:rsid w:val="00E8356B"/>
    <w:rsid w:val="00E83CF9"/>
    <w:rsid w:val="00E8417B"/>
    <w:rsid w:val="00E846B8"/>
    <w:rsid w:val="00E84D1C"/>
    <w:rsid w:val="00E84F38"/>
    <w:rsid w:val="00E852DD"/>
    <w:rsid w:val="00E8549B"/>
    <w:rsid w:val="00E859AB"/>
    <w:rsid w:val="00E85E42"/>
    <w:rsid w:val="00E8606E"/>
    <w:rsid w:val="00E86381"/>
    <w:rsid w:val="00E863CE"/>
    <w:rsid w:val="00E86515"/>
    <w:rsid w:val="00E87855"/>
    <w:rsid w:val="00E878EC"/>
    <w:rsid w:val="00E87C3E"/>
    <w:rsid w:val="00E87C51"/>
    <w:rsid w:val="00E87D08"/>
    <w:rsid w:val="00E87F1E"/>
    <w:rsid w:val="00E90436"/>
    <w:rsid w:val="00E908CF"/>
    <w:rsid w:val="00E90A69"/>
    <w:rsid w:val="00E91231"/>
    <w:rsid w:val="00E9138E"/>
    <w:rsid w:val="00E9159C"/>
    <w:rsid w:val="00E91649"/>
    <w:rsid w:val="00E91C5B"/>
    <w:rsid w:val="00E92ADF"/>
    <w:rsid w:val="00E933AC"/>
    <w:rsid w:val="00E9497A"/>
    <w:rsid w:val="00E949D3"/>
    <w:rsid w:val="00E94B22"/>
    <w:rsid w:val="00E94D6A"/>
    <w:rsid w:val="00E94DF0"/>
    <w:rsid w:val="00E95199"/>
    <w:rsid w:val="00E953A5"/>
    <w:rsid w:val="00E95466"/>
    <w:rsid w:val="00E957A2"/>
    <w:rsid w:val="00E9584C"/>
    <w:rsid w:val="00E958F1"/>
    <w:rsid w:val="00E959E8"/>
    <w:rsid w:val="00E96455"/>
    <w:rsid w:val="00E965BC"/>
    <w:rsid w:val="00E965ED"/>
    <w:rsid w:val="00E96634"/>
    <w:rsid w:val="00E96855"/>
    <w:rsid w:val="00E96C63"/>
    <w:rsid w:val="00E975A4"/>
    <w:rsid w:val="00EA0CC4"/>
    <w:rsid w:val="00EA13BF"/>
    <w:rsid w:val="00EA13FD"/>
    <w:rsid w:val="00EA1656"/>
    <w:rsid w:val="00EA1BBB"/>
    <w:rsid w:val="00EA200E"/>
    <w:rsid w:val="00EA2380"/>
    <w:rsid w:val="00EA250D"/>
    <w:rsid w:val="00EA2C30"/>
    <w:rsid w:val="00EA2CB7"/>
    <w:rsid w:val="00EA2DD9"/>
    <w:rsid w:val="00EA3435"/>
    <w:rsid w:val="00EA43FC"/>
    <w:rsid w:val="00EA4E49"/>
    <w:rsid w:val="00EA51C2"/>
    <w:rsid w:val="00EA5582"/>
    <w:rsid w:val="00EA5A2A"/>
    <w:rsid w:val="00EA60EC"/>
    <w:rsid w:val="00EA6374"/>
    <w:rsid w:val="00EA669D"/>
    <w:rsid w:val="00EA6C55"/>
    <w:rsid w:val="00EA7446"/>
    <w:rsid w:val="00EB0679"/>
    <w:rsid w:val="00EB06B1"/>
    <w:rsid w:val="00EB06DD"/>
    <w:rsid w:val="00EB0959"/>
    <w:rsid w:val="00EB0B01"/>
    <w:rsid w:val="00EB0CE3"/>
    <w:rsid w:val="00EB15BE"/>
    <w:rsid w:val="00EB15E4"/>
    <w:rsid w:val="00EB1947"/>
    <w:rsid w:val="00EB1964"/>
    <w:rsid w:val="00EB1DD4"/>
    <w:rsid w:val="00EB2719"/>
    <w:rsid w:val="00EB2801"/>
    <w:rsid w:val="00EB312F"/>
    <w:rsid w:val="00EB33B1"/>
    <w:rsid w:val="00EB35D8"/>
    <w:rsid w:val="00EB367F"/>
    <w:rsid w:val="00EB3716"/>
    <w:rsid w:val="00EB378C"/>
    <w:rsid w:val="00EB3B93"/>
    <w:rsid w:val="00EB3C93"/>
    <w:rsid w:val="00EB3E6F"/>
    <w:rsid w:val="00EB3EF4"/>
    <w:rsid w:val="00EB4056"/>
    <w:rsid w:val="00EB43BA"/>
    <w:rsid w:val="00EB4894"/>
    <w:rsid w:val="00EB4FF7"/>
    <w:rsid w:val="00EB503F"/>
    <w:rsid w:val="00EB50FD"/>
    <w:rsid w:val="00EB575F"/>
    <w:rsid w:val="00EB59A8"/>
    <w:rsid w:val="00EB5AA6"/>
    <w:rsid w:val="00EB693F"/>
    <w:rsid w:val="00EB695C"/>
    <w:rsid w:val="00EB6C89"/>
    <w:rsid w:val="00EB6FA6"/>
    <w:rsid w:val="00EB7233"/>
    <w:rsid w:val="00EB7250"/>
    <w:rsid w:val="00EB7436"/>
    <w:rsid w:val="00EB7D3A"/>
    <w:rsid w:val="00EC005A"/>
    <w:rsid w:val="00EC0167"/>
    <w:rsid w:val="00EC0311"/>
    <w:rsid w:val="00EC0666"/>
    <w:rsid w:val="00EC0B95"/>
    <w:rsid w:val="00EC0CF2"/>
    <w:rsid w:val="00EC12D6"/>
    <w:rsid w:val="00EC20C9"/>
    <w:rsid w:val="00EC2166"/>
    <w:rsid w:val="00EC269F"/>
    <w:rsid w:val="00EC272E"/>
    <w:rsid w:val="00EC273E"/>
    <w:rsid w:val="00EC475D"/>
    <w:rsid w:val="00EC4876"/>
    <w:rsid w:val="00EC4ED4"/>
    <w:rsid w:val="00EC5042"/>
    <w:rsid w:val="00EC50B7"/>
    <w:rsid w:val="00EC5607"/>
    <w:rsid w:val="00EC5899"/>
    <w:rsid w:val="00EC59A2"/>
    <w:rsid w:val="00EC60A2"/>
    <w:rsid w:val="00EC633F"/>
    <w:rsid w:val="00EC6D09"/>
    <w:rsid w:val="00EC70D3"/>
    <w:rsid w:val="00EC739D"/>
    <w:rsid w:val="00EC79AA"/>
    <w:rsid w:val="00EC7DD8"/>
    <w:rsid w:val="00EC7F35"/>
    <w:rsid w:val="00EC7FA3"/>
    <w:rsid w:val="00ED017D"/>
    <w:rsid w:val="00ED02AB"/>
    <w:rsid w:val="00ED02E6"/>
    <w:rsid w:val="00ED0328"/>
    <w:rsid w:val="00ED03AE"/>
    <w:rsid w:val="00ED04FB"/>
    <w:rsid w:val="00ED0516"/>
    <w:rsid w:val="00ED0619"/>
    <w:rsid w:val="00ED163A"/>
    <w:rsid w:val="00ED17E7"/>
    <w:rsid w:val="00ED180B"/>
    <w:rsid w:val="00ED1893"/>
    <w:rsid w:val="00ED1D71"/>
    <w:rsid w:val="00ED2544"/>
    <w:rsid w:val="00ED2B7E"/>
    <w:rsid w:val="00ED36E6"/>
    <w:rsid w:val="00ED3705"/>
    <w:rsid w:val="00ED3B86"/>
    <w:rsid w:val="00ED417C"/>
    <w:rsid w:val="00ED4351"/>
    <w:rsid w:val="00ED47D4"/>
    <w:rsid w:val="00ED4955"/>
    <w:rsid w:val="00ED4971"/>
    <w:rsid w:val="00ED4AD7"/>
    <w:rsid w:val="00ED4C35"/>
    <w:rsid w:val="00ED5075"/>
    <w:rsid w:val="00ED5115"/>
    <w:rsid w:val="00ED5560"/>
    <w:rsid w:val="00ED56CC"/>
    <w:rsid w:val="00ED585E"/>
    <w:rsid w:val="00ED5E81"/>
    <w:rsid w:val="00ED6083"/>
    <w:rsid w:val="00ED613D"/>
    <w:rsid w:val="00ED6C45"/>
    <w:rsid w:val="00ED6EE6"/>
    <w:rsid w:val="00ED7245"/>
    <w:rsid w:val="00ED726E"/>
    <w:rsid w:val="00ED77DC"/>
    <w:rsid w:val="00ED7BB2"/>
    <w:rsid w:val="00ED7E8C"/>
    <w:rsid w:val="00EE0871"/>
    <w:rsid w:val="00EE0D6E"/>
    <w:rsid w:val="00EE0E5A"/>
    <w:rsid w:val="00EE1058"/>
    <w:rsid w:val="00EE1251"/>
    <w:rsid w:val="00EE130E"/>
    <w:rsid w:val="00EE148B"/>
    <w:rsid w:val="00EE16D8"/>
    <w:rsid w:val="00EE17BB"/>
    <w:rsid w:val="00EE19E7"/>
    <w:rsid w:val="00EE1B54"/>
    <w:rsid w:val="00EE1E16"/>
    <w:rsid w:val="00EE2153"/>
    <w:rsid w:val="00EE23B4"/>
    <w:rsid w:val="00EE2930"/>
    <w:rsid w:val="00EE3150"/>
    <w:rsid w:val="00EE3248"/>
    <w:rsid w:val="00EE3FDA"/>
    <w:rsid w:val="00EE4165"/>
    <w:rsid w:val="00EE44B0"/>
    <w:rsid w:val="00EE4BF8"/>
    <w:rsid w:val="00EE4D62"/>
    <w:rsid w:val="00EE5081"/>
    <w:rsid w:val="00EE5325"/>
    <w:rsid w:val="00EE539B"/>
    <w:rsid w:val="00EE5582"/>
    <w:rsid w:val="00EE564E"/>
    <w:rsid w:val="00EE5771"/>
    <w:rsid w:val="00EE5A01"/>
    <w:rsid w:val="00EE5C21"/>
    <w:rsid w:val="00EE602C"/>
    <w:rsid w:val="00EE60A5"/>
    <w:rsid w:val="00EE62E3"/>
    <w:rsid w:val="00EE6483"/>
    <w:rsid w:val="00EE687D"/>
    <w:rsid w:val="00EE6A95"/>
    <w:rsid w:val="00EE6C36"/>
    <w:rsid w:val="00EE6C44"/>
    <w:rsid w:val="00EE7646"/>
    <w:rsid w:val="00EE7AC0"/>
    <w:rsid w:val="00EE7DF4"/>
    <w:rsid w:val="00EE7F49"/>
    <w:rsid w:val="00EF0218"/>
    <w:rsid w:val="00EF03DA"/>
    <w:rsid w:val="00EF0C96"/>
    <w:rsid w:val="00EF0D7F"/>
    <w:rsid w:val="00EF1AEC"/>
    <w:rsid w:val="00EF1B43"/>
    <w:rsid w:val="00EF1BB0"/>
    <w:rsid w:val="00EF1C74"/>
    <w:rsid w:val="00EF29F1"/>
    <w:rsid w:val="00EF2A1B"/>
    <w:rsid w:val="00EF2B0C"/>
    <w:rsid w:val="00EF2D67"/>
    <w:rsid w:val="00EF307C"/>
    <w:rsid w:val="00EF312E"/>
    <w:rsid w:val="00EF33CE"/>
    <w:rsid w:val="00EF3511"/>
    <w:rsid w:val="00EF35D4"/>
    <w:rsid w:val="00EF36DF"/>
    <w:rsid w:val="00EF38BF"/>
    <w:rsid w:val="00EF39A3"/>
    <w:rsid w:val="00EF3F7B"/>
    <w:rsid w:val="00EF4515"/>
    <w:rsid w:val="00EF4594"/>
    <w:rsid w:val="00EF4690"/>
    <w:rsid w:val="00EF476C"/>
    <w:rsid w:val="00EF4921"/>
    <w:rsid w:val="00EF4A7B"/>
    <w:rsid w:val="00EF4B8D"/>
    <w:rsid w:val="00EF4D37"/>
    <w:rsid w:val="00EF5501"/>
    <w:rsid w:val="00EF56FD"/>
    <w:rsid w:val="00EF5AEE"/>
    <w:rsid w:val="00EF5C07"/>
    <w:rsid w:val="00EF5EC7"/>
    <w:rsid w:val="00EF61DB"/>
    <w:rsid w:val="00EF695C"/>
    <w:rsid w:val="00EF6AEE"/>
    <w:rsid w:val="00EF6D9D"/>
    <w:rsid w:val="00EF732C"/>
    <w:rsid w:val="00EF7677"/>
    <w:rsid w:val="00EF7DCB"/>
    <w:rsid w:val="00EF7F83"/>
    <w:rsid w:val="00F0014F"/>
    <w:rsid w:val="00F0016F"/>
    <w:rsid w:val="00F006A7"/>
    <w:rsid w:val="00F006E4"/>
    <w:rsid w:val="00F00776"/>
    <w:rsid w:val="00F00B43"/>
    <w:rsid w:val="00F00C1D"/>
    <w:rsid w:val="00F00D0D"/>
    <w:rsid w:val="00F00EC4"/>
    <w:rsid w:val="00F00F38"/>
    <w:rsid w:val="00F00FBC"/>
    <w:rsid w:val="00F0132F"/>
    <w:rsid w:val="00F01512"/>
    <w:rsid w:val="00F01771"/>
    <w:rsid w:val="00F01A6C"/>
    <w:rsid w:val="00F01CD3"/>
    <w:rsid w:val="00F01EB6"/>
    <w:rsid w:val="00F0232F"/>
    <w:rsid w:val="00F023C6"/>
    <w:rsid w:val="00F02F7E"/>
    <w:rsid w:val="00F0318D"/>
    <w:rsid w:val="00F0321E"/>
    <w:rsid w:val="00F0361C"/>
    <w:rsid w:val="00F03A7B"/>
    <w:rsid w:val="00F03B86"/>
    <w:rsid w:val="00F03C1E"/>
    <w:rsid w:val="00F03D9C"/>
    <w:rsid w:val="00F03DD6"/>
    <w:rsid w:val="00F04214"/>
    <w:rsid w:val="00F043EF"/>
    <w:rsid w:val="00F05678"/>
    <w:rsid w:val="00F0567D"/>
    <w:rsid w:val="00F05BD3"/>
    <w:rsid w:val="00F06022"/>
    <w:rsid w:val="00F06190"/>
    <w:rsid w:val="00F062D7"/>
    <w:rsid w:val="00F06745"/>
    <w:rsid w:val="00F06B3F"/>
    <w:rsid w:val="00F06C4F"/>
    <w:rsid w:val="00F0719A"/>
    <w:rsid w:val="00F072AE"/>
    <w:rsid w:val="00F0730A"/>
    <w:rsid w:val="00F073EA"/>
    <w:rsid w:val="00F07896"/>
    <w:rsid w:val="00F07AC6"/>
    <w:rsid w:val="00F07BA8"/>
    <w:rsid w:val="00F101AC"/>
    <w:rsid w:val="00F1081A"/>
    <w:rsid w:val="00F10C55"/>
    <w:rsid w:val="00F110FA"/>
    <w:rsid w:val="00F11303"/>
    <w:rsid w:val="00F115EC"/>
    <w:rsid w:val="00F11B1C"/>
    <w:rsid w:val="00F12691"/>
    <w:rsid w:val="00F12B40"/>
    <w:rsid w:val="00F13248"/>
    <w:rsid w:val="00F132A4"/>
    <w:rsid w:val="00F1347B"/>
    <w:rsid w:val="00F13564"/>
    <w:rsid w:val="00F136DD"/>
    <w:rsid w:val="00F13A19"/>
    <w:rsid w:val="00F13BB3"/>
    <w:rsid w:val="00F13D7E"/>
    <w:rsid w:val="00F14047"/>
    <w:rsid w:val="00F1490E"/>
    <w:rsid w:val="00F14AC9"/>
    <w:rsid w:val="00F152D6"/>
    <w:rsid w:val="00F1588B"/>
    <w:rsid w:val="00F159B9"/>
    <w:rsid w:val="00F15C7B"/>
    <w:rsid w:val="00F15EA4"/>
    <w:rsid w:val="00F1620C"/>
    <w:rsid w:val="00F17111"/>
    <w:rsid w:val="00F1754F"/>
    <w:rsid w:val="00F1755C"/>
    <w:rsid w:val="00F175FD"/>
    <w:rsid w:val="00F17781"/>
    <w:rsid w:val="00F178BE"/>
    <w:rsid w:val="00F17E1D"/>
    <w:rsid w:val="00F17FF9"/>
    <w:rsid w:val="00F20462"/>
    <w:rsid w:val="00F2065D"/>
    <w:rsid w:val="00F21B8C"/>
    <w:rsid w:val="00F21C72"/>
    <w:rsid w:val="00F21D0B"/>
    <w:rsid w:val="00F2210D"/>
    <w:rsid w:val="00F2216F"/>
    <w:rsid w:val="00F22578"/>
    <w:rsid w:val="00F22C4C"/>
    <w:rsid w:val="00F23134"/>
    <w:rsid w:val="00F238D2"/>
    <w:rsid w:val="00F23AAB"/>
    <w:rsid w:val="00F2405E"/>
    <w:rsid w:val="00F2411C"/>
    <w:rsid w:val="00F24281"/>
    <w:rsid w:val="00F2450A"/>
    <w:rsid w:val="00F2465C"/>
    <w:rsid w:val="00F249D2"/>
    <w:rsid w:val="00F24C32"/>
    <w:rsid w:val="00F24EBD"/>
    <w:rsid w:val="00F25109"/>
    <w:rsid w:val="00F25560"/>
    <w:rsid w:val="00F2581F"/>
    <w:rsid w:val="00F263D9"/>
    <w:rsid w:val="00F26475"/>
    <w:rsid w:val="00F26721"/>
    <w:rsid w:val="00F26865"/>
    <w:rsid w:val="00F26967"/>
    <w:rsid w:val="00F26A5C"/>
    <w:rsid w:val="00F26D11"/>
    <w:rsid w:val="00F27156"/>
    <w:rsid w:val="00F2758F"/>
    <w:rsid w:val="00F279B8"/>
    <w:rsid w:val="00F27B13"/>
    <w:rsid w:val="00F3033A"/>
    <w:rsid w:val="00F3074E"/>
    <w:rsid w:val="00F30936"/>
    <w:rsid w:val="00F3115F"/>
    <w:rsid w:val="00F311BF"/>
    <w:rsid w:val="00F3175A"/>
    <w:rsid w:val="00F31CCE"/>
    <w:rsid w:val="00F31CD9"/>
    <w:rsid w:val="00F32149"/>
    <w:rsid w:val="00F3231E"/>
    <w:rsid w:val="00F32D6D"/>
    <w:rsid w:val="00F33681"/>
    <w:rsid w:val="00F3370B"/>
    <w:rsid w:val="00F33BD9"/>
    <w:rsid w:val="00F34707"/>
    <w:rsid w:val="00F34A91"/>
    <w:rsid w:val="00F34DCE"/>
    <w:rsid w:val="00F34F03"/>
    <w:rsid w:val="00F35039"/>
    <w:rsid w:val="00F35101"/>
    <w:rsid w:val="00F351DC"/>
    <w:rsid w:val="00F35BFD"/>
    <w:rsid w:val="00F35EBE"/>
    <w:rsid w:val="00F364A6"/>
    <w:rsid w:val="00F36EE2"/>
    <w:rsid w:val="00F3726A"/>
    <w:rsid w:val="00F37993"/>
    <w:rsid w:val="00F37DFB"/>
    <w:rsid w:val="00F404A2"/>
    <w:rsid w:val="00F40F05"/>
    <w:rsid w:val="00F41BA7"/>
    <w:rsid w:val="00F42613"/>
    <w:rsid w:val="00F427EB"/>
    <w:rsid w:val="00F42A7B"/>
    <w:rsid w:val="00F42B39"/>
    <w:rsid w:val="00F42C9B"/>
    <w:rsid w:val="00F43160"/>
    <w:rsid w:val="00F4323A"/>
    <w:rsid w:val="00F43817"/>
    <w:rsid w:val="00F43A48"/>
    <w:rsid w:val="00F43A75"/>
    <w:rsid w:val="00F43C2F"/>
    <w:rsid w:val="00F443C7"/>
    <w:rsid w:val="00F4444E"/>
    <w:rsid w:val="00F44657"/>
    <w:rsid w:val="00F44B7B"/>
    <w:rsid w:val="00F455F3"/>
    <w:rsid w:val="00F45CE7"/>
    <w:rsid w:val="00F45E2C"/>
    <w:rsid w:val="00F465B1"/>
    <w:rsid w:val="00F46756"/>
    <w:rsid w:val="00F46788"/>
    <w:rsid w:val="00F46A12"/>
    <w:rsid w:val="00F46A5E"/>
    <w:rsid w:val="00F46E18"/>
    <w:rsid w:val="00F47145"/>
    <w:rsid w:val="00F474C4"/>
    <w:rsid w:val="00F4755B"/>
    <w:rsid w:val="00F47572"/>
    <w:rsid w:val="00F477DE"/>
    <w:rsid w:val="00F47A07"/>
    <w:rsid w:val="00F47E33"/>
    <w:rsid w:val="00F502B4"/>
    <w:rsid w:val="00F50475"/>
    <w:rsid w:val="00F50A4F"/>
    <w:rsid w:val="00F51096"/>
    <w:rsid w:val="00F51413"/>
    <w:rsid w:val="00F515C9"/>
    <w:rsid w:val="00F51781"/>
    <w:rsid w:val="00F517B7"/>
    <w:rsid w:val="00F517FC"/>
    <w:rsid w:val="00F51994"/>
    <w:rsid w:val="00F51EE6"/>
    <w:rsid w:val="00F5247C"/>
    <w:rsid w:val="00F525CC"/>
    <w:rsid w:val="00F52858"/>
    <w:rsid w:val="00F52EC4"/>
    <w:rsid w:val="00F5331A"/>
    <w:rsid w:val="00F5354A"/>
    <w:rsid w:val="00F53720"/>
    <w:rsid w:val="00F53740"/>
    <w:rsid w:val="00F53817"/>
    <w:rsid w:val="00F538D8"/>
    <w:rsid w:val="00F53E5F"/>
    <w:rsid w:val="00F5406D"/>
    <w:rsid w:val="00F540C7"/>
    <w:rsid w:val="00F54129"/>
    <w:rsid w:val="00F5419A"/>
    <w:rsid w:val="00F545E0"/>
    <w:rsid w:val="00F545EE"/>
    <w:rsid w:val="00F546FD"/>
    <w:rsid w:val="00F54E1E"/>
    <w:rsid w:val="00F5501A"/>
    <w:rsid w:val="00F55251"/>
    <w:rsid w:val="00F553C5"/>
    <w:rsid w:val="00F5549C"/>
    <w:rsid w:val="00F55B06"/>
    <w:rsid w:val="00F55CAB"/>
    <w:rsid w:val="00F55DA0"/>
    <w:rsid w:val="00F55DF1"/>
    <w:rsid w:val="00F56007"/>
    <w:rsid w:val="00F564B1"/>
    <w:rsid w:val="00F56502"/>
    <w:rsid w:val="00F566AB"/>
    <w:rsid w:val="00F568AA"/>
    <w:rsid w:val="00F574D8"/>
    <w:rsid w:val="00F575E8"/>
    <w:rsid w:val="00F57956"/>
    <w:rsid w:val="00F57CEB"/>
    <w:rsid w:val="00F57E29"/>
    <w:rsid w:val="00F60330"/>
    <w:rsid w:val="00F6039C"/>
    <w:rsid w:val="00F609A0"/>
    <w:rsid w:val="00F60E04"/>
    <w:rsid w:val="00F61870"/>
    <w:rsid w:val="00F61893"/>
    <w:rsid w:val="00F61E8B"/>
    <w:rsid w:val="00F6288D"/>
    <w:rsid w:val="00F62E6F"/>
    <w:rsid w:val="00F630AF"/>
    <w:rsid w:val="00F632B5"/>
    <w:rsid w:val="00F633CD"/>
    <w:rsid w:val="00F63680"/>
    <w:rsid w:val="00F63A3C"/>
    <w:rsid w:val="00F63D77"/>
    <w:rsid w:val="00F63F6B"/>
    <w:rsid w:val="00F63FDF"/>
    <w:rsid w:val="00F64096"/>
    <w:rsid w:val="00F64964"/>
    <w:rsid w:val="00F64AEE"/>
    <w:rsid w:val="00F64D2F"/>
    <w:rsid w:val="00F6509A"/>
    <w:rsid w:val="00F6608E"/>
    <w:rsid w:val="00F6620B"/>
    <w:rsid w:val="00F6625F"/>
    <w:rsid w:val="00F66631"/>
    <w:rsid w:val="00F66722"/>
    <w:rsid w:val="00F66B82"/>
    <w:rsid w:val="00F66C8A"/>
    <w:rsid w:val="00F676F9"/>
    <w:rsid w:val="00F6775D"/>
    <w:rsid w:val="00F677EA"/>
    <w:rsid w:val="00F679DE"/>
    <w:rsid w:val="00F67D52"/>
    <w:rsid w:val="00F67DD2"/>
    <w:rsid w:val="00F70308"/>
    <w:rsid w:val="00F703BD"/>
    <w:rsid w:val="00F705EC"/>
    <w:rsid w:val="00F70602"/>
    <w:rsid w:val="00F70669"/>
    <w:rsid w:val="00F70F5B"/>
    <w:rsid w:val="00F7165F"/>
    <w:rsid w:val="00F71A12"/>
    <w:rsid w:val="00F71B1C"/>
    <w:rsid w:val="00F71B30"/>
    <w:rsid w:val="00F721F0"/>
    <w:rsid w:val="00F72482"/>
    <w:rsid w:val="00F72977"/>
    <w:rsid w:val="00F73476"/>
    <w:rsid w:val="00F7348B"/>
    <w:rsid w:val="00F73984"/>
    <w:rsid w:val="00F73E97"/>
    <w:rsid w:val="00F73FA8"/>
    <w:rsid w:val="00F740C0"/>
    <w:rsid w:val="00F74539"/>
    <w:rsid w:val="00F74863"/>
    <w:rsid w:val="00F748AA"/>
    <w:rsid w:val="00F74E51"/>
    <w:rsid w:val="00F74F33"/>
    <w:rsid w:val="00F75A67"/>
    <w:rsid w:val="00F76162"/>
    <w:rsid w:val="00F761D4"/>
    <w:rsid w:val="00F764D0"/>
    <w:rsid w:val="00F764E9"/>
    <w:rsid w:val="00F76590"/>
    <w:rsid w:val="00F7665B"/>
    <w:rsid w:val="00F767A4"/>
    <w:rsid w:val="00F7688B"/>
    <w:rsid w:val="00F76C10"/>
    <w:rsid w:val="00F77977"/>
    <w:rsid w:val="00F77A4A"/>
    <w:rsid w:val="00F77A59"/>
    <w:rsid w:val="00F77DB5"/>
    <w:rsid w:val="00F80764"/>
    <w:rsid w:val="00F807EB"/>
    <w:rsid w:val="00F808CE"/>
    <w:rsid w:val="00F80A72"/>
    <w:rsid w:val="00F810C3"/>
    <w:rsid w:val="00F81370"/>
    <w:rsid w:val="00F816C4"/>
    <w:rsid w:val="00F81A28"/>
    <w:rsid w:val="00F81E5A"/>
    <w:rsid w:val="00F81EFD"/>
    <w:rsid w:val="00F81FDD"/>
    <w:rsid w:val="00F821E8"/>
    <w:rsid w:val="00F82A66"/>
    <w:rsid w:val="00F82DD4"/>
    <w:rsid w:val="00F838D2"/>
    <w:rsid w:val="00F83BCA"/>
    <w:rsid w:val="00F83BCC"/>
    <w:rsid w:val="00F84160"/>
    <w:rsid w:val="00F844F2"/>
    <w:rsid w:val="00F846BF"/>
    <w:rsid w:val="00F84799"/>
    <w:rsid w:val="00F84C50"/>
    <w:rsid w:val="00F85925"/>
    <w:rsid w:val="00F85B3C"/>
    <w:rsid w:val="00F85F3E"/>
    <w:rsid w:val="00F865DF"/>
    <w:rsid w:val="00F86F69"/>
    <w:rsid w:val="00F871F7"/>
    <w:rsid w:val="00F8758B"/>
    <w:rsid w:val="00F87700"/>
    <w:rsid w:val="00F87947"/>
    <w:rsid w:val="00F87F06"/>
    <w:rsid w:val="00F900C1"/>
    <w:rsid w:val="00F9096C"/>
    <w:rsid w:val="00F90AC7"/>
    <w:rsid w:val="00F90CEE"/>
    <w:rsid w:val="00F9153D"/>
    <w:rsid w:val="00F91ADB"/>
    <w:rsid w:val="00F92078"/>
    <w:rsid w:val="00F9219F"/>
    <w:rsid w:val="00F924AD"/>
    <w:rsid w:val="00F92F39"/>
    <w:rsid w:val="00F93032"/>
    <w:rsid w:val="00F930BC"/>
    <w:rsid w:val="00F934ED"/>
    <w:rsid w:val="00F93A88"/>
    <w:rsid w:val="00F93D58"/>
    <w:rsid w:val="00F942DB"/>
    <w:rsid w:val="00F94560"/>
    <w:rsid w:val="00F946C9"/>
    <w:rsid w:val="00F94C1F"/>
    <w:rsid w:val="00F94FCA"/>
    <w:rsid w:val="00F9509C"/>
    <w:rsid w:val="00F95449"/>
    <w:rsid w:val="00F9562F"/>
    <w:rsid w:val="00F956D6"/>
    <w:rsid w:val="00F956F9"/>
    <w:rsid w:val="00F957B7"/>
    <w:rsid w:val="00F95A96"/>
    <w:rsid w:val="00F95B1C"/>
    <w:rsid w:val="00F960CD"/>
    <w:rsid w:val="00F96281"/>
    <w:rsid w:val="00F964A1"/>
    <w:rsid w:val="00F9680A"/>
    <w:rsid w:val="00F96869"/>
    <w:rsid w:val="00F9686B"/>
    <w:rsid w:val="00F96A38"/>
    <w:rsid w:val="00F96B17"/>
    <w:rsid w:val="00F96CBA"/>
    <w:rsid w:val="00F96E18"/>
    <w:rsid w:val="00F96E5A"/>
    <w:rsid w:val="00F9701E"/>
    <w:rsid w:val="00F9751F"/>
    <w:rsid w:val="00F97943"/>
    <w:rsid w:val="00F97E6C"/>
    <w:rsid w:val="00FA0351"/>
    <w:rsid w:val="00FA0F6F"/>
    <w:rsid w:val="00FA1134"/>
    <w:rsid w:val="00FA16B9"/>
    <w:rsid w:val="00FA1726"/>
    <w:rsid w:val="00FA1980"/>
    <w:rsid w:val="00FA1D87"/>
    <w:rsid w:val="00FA284D"/>
    <w:rsid w:val="00FA296B"/>
    <w:rsid w:val="00FA2FFA"/>
    <w:rsid w:val="00FA3470"/>
    <w:rsid w:val="00FA3B3A"/>
    <w:rsid w:val="00FA42D5"/>
    <w:rsid w:val="00FA45E6"/>
    <w:rsid w:val="00FA4688"/>
    <w:rsid w:val="00FA48B7"/>
    <w:rsid w:val="00FA5060"/>
    <w:rsid w:val="00FA50F9"/>
    <w:rsid w:val="00FA5574"/>
    <w:rsid w:val="00FA5580"/>
    <w:rsid w:val="00FA558C"/>
    <w:rsid w:val="00FA5B47"/>
    <w:rsid w:val="00FA5C3E"/>
    <w:rsid w:val="00FA6138"/>
    <w:rsid w:val="00FA6649"/>
    <w:rsid w:val="00FA66B1"/>
    <w:rsid w:val="00FA6982"/>
    <w:rsid w:val="00FA6FDB"/>
    <w:rsid w:val="00FA7140"/>
    <w:rsid w:val="00FA7211"/>
    <w:rsid w:val="00FA72E3"/>
    <w:rsid w:val="00FA7CC5"/>
    <w:rsid w:val="00FA7D6D"/>
    <w:rsid w:val="00FA7E55"/>
    <w:rsid w:val="00FA7F80"/>
    <w:rsid w:val="00FB01A0"/>
    <w:rsid w:val="00FB08FC"/>
    <w:rsid w:val="00FB0D95"/>
    <w:rsid w:val="00FB23A3"/>
    <w:rsid w:val="00FB26F2"/>
    <w:rsid w:val="00FB270D"/>
    <w:rsid w:val="00FB2909"/>
    <w:rsid w:val="00FB2C62"/>
    <w:rsid w:val="00FB2F0D"/>
    <w:rsid w:val="00FB32B9"/>
    <w:rsid w:val="00FB34E1"/>
    <w:rsid w:val="00FB38F2"/>
    <w:rsid w:val="00FB3B9A"/>
    <w:rsid w:val="00FB435C"/>
    <w:rsid w:val="00FB45F6"/>
    <w:rsid w:val="00FB4A12"/>
    <w:rsid w:val="00FB4B19"/>
    <w:rsid w:val="00FB4CDD"/>
    <w:rsid w:val="00FB5287"/>
    <w:rsid w:val="00FB5789"/>
    <w:rsid w:val="00FB5B35"/>
    <w:rsid w:val="00FB62AA"/>
    <w:rsid w:val="00FB6858"/>
    <w:rsid w:val="00FB6928"/>
    <w:rsid w:val="00FB6AB1"/>
    <w:rsid w:val="00FB6EB9"/>
    <w:rsid w:val="00FB6ECD"/>
    <w:rsid w:val="00FB6F2E"/>
    <w:rsid w:val="00FB6F82"/>
    <w:rsid w:val="00FB7190"/>
    <w:rsid w:val="00FB731C"/>
    <w:rsid w:val="00FB76C8"/>
    <w:rsid w:val="00FB76E5"/>
    <w:rsid w:val="00FB7A17"/>
    <w:rsid w:val="00FC030F"/>
    <w:rsid w:val="00FC092D"/>
    <w:rsid w:val="00FC0D64"/>
    <w:rsid w:val="00FC137A"/>
    <w:rsid w:val="00FC158F"/>
    <w:rsid w:val="00FC1D68"/>
    <w:rsid w:val="00FC1E65"/>
    <w:rsid w:val="00FC2119"/>
    <w:rsid w:val="00FC37C5"/>
    <w:rsid w:val="00FC3893"/>
    <w:rsid w:val="00FC3BC2"/>
    <w:rsid w:val="00FC3D1F"/>
    <w:rsid w:val="00FC426A"/>
    <w:rsid w:val="00FC4326"/>
    <w:rsid w:val="00FC4B88"/>
    <w:rsid w:val="00FC4C25"/>
    <w:rsid w:val="00FC4F30"/>
    <w:rsid w:val="00FC5426"/>
    <w:rsid w:val="00FC5AD5"/>
    <w:rsid w:val="00FC5BF2"/>
    <w:rsid w:val="00FC5D55"/>
    <w:rsid w:val="00FC5E15"/>
    <w:rsid w:val="00FC5F7A"/>
    <w:rsid w:val="00FC6103"/>
    <w:rsid w:val="00FC6371"/>
    <w:rsid w:val="00FC657E"/>
    <w:rsid w:val="00FC6872"/>
    <w:rsid w:val="00FC6B31"/>
    <w:rsid w:val="00FC6C2F"/>
    <w:rsid w:val="00FC6C40"/>
    <w:rsid w:val="00FC6D65"/>
    <w:rsid w:val="00FC736F"/>
    <w:rsid w:val="00FC7D05"/>
    <w:rsid w:val="00FC7E74"/>
    <w:rsid w:val="00FD020F"/>
    <w:rsid w:val="00FD04E9"/>
    <w:rsid w:val="00FD09EE"/>
    <w:rsid w:val="00FD0BD2"/>
    <w:rsid w:val="00FD1304"/>
    <w:rsid w:val="00FD13FA"/>
    <w:rsid w:val="00FD1421"/>
    <w:rsid w:val="00FD19EA"/>
    <w:rsid w:val="00FD1FF2"/>
    <w:rsid w:val="00FD2359"/>
    <w:rsid w:val="00FD24E5"/>
    <w:rsid w:val="00FD2986"/>
    <w:rsid w:val="00FD31E6"/>
    <w:rsid w:val="00FD3590"/>
    <w:rsid w:val="00FD41D8"/>
    <w:rsid w:val="00FD437B"/>
    <w:rsid w:val="00FD446E"/>
    <w:rsid w:val="00FD4626"/>
    <w:rsid w:val="00FD4881"/>
    <w:rsid w:val="00FD4E64"/>
    <w:rsid w:val="00FD5525"/>
    <w:rsid w:val="00FD5553"/>
    <w:rsid w:val="00FD56F5"/>
    <w:rsid w:val="00FD58D9"/>
    <w:rsid w:val="00FD5B0B"/>
    <w:rsid w:val="00FD5C08"/>
    <w:rsid w:val="00FD5CF6"/>
    <w:rsid w:val="00FD60F3"/>
    <w:rsid w:val="00FD6209"/>
    <w:rsid w:val="00FD6996"/>
    <w:rsid w:val="00FD7798"/>
    <w:rsid w:val="00FD7917"/>
    <w:rsid w:val="00FD7B33"/>
    <w:rsid w:val="00FD7CC4"/>
    <w:rsid w:val="00FD7EC9"/>
    <w:rsid w:val="00FE036D"/>
    <w:rsid w:val="00FE0B2E"/>
    <w:rsid w:val="00FE14EC"/>
    <w:rsid w:val="00FE1887"/>
    <w:rsid w:val="00FE1ECC"/>
    <w:rsid w:val="00FE2122"/>
    <w:rsid w:val="00FE23B6"/>
    <w:rsid w:val="00FE29AA"/>
    <w:rsid w:val="00FE2D10"/>
    <w:rsid w:val="00FE3067"/>
    <w:rsid w:val="00FE3957"/>
    <w:rsid w:val="00FE3A5A"/>
    <w:rsid w:val="00FE3EC2"/>
    <w:rsid w:val="00FE3F6B"/>
    <w:rsid w:val="00FE4003"/>
    <w:rsid w:val="00FE4E99"/>
    <w:rsid w:val="00FE519B"/>
    <w:rsid w:val="00FE53A1"/>
    <w:rsid w:val="00FE5673"/>
    <w:rsid w:val="00FE5866"/>
    <w:rsid w:val="00FE5ED6"/>
    <w:rsid w:val="00FE60CA"/>
    <w:rsid w:val="00FE60D6"/>
    <w:rsid w:val="00FE692B"/>
    <w:rsid w:val="00FE6AC5"/>
    <w:rsid w:val="00FE6D55"/>
    <w:rsid w:val="00FE6E8C"/>
    <w:rsid w:val="00FE6EA1"/>
    <w:rsid w:val="00FE6F14"/>
    <w:rsid w:val="00FE7437"/>
    <w:rsid w:val="00FE799B"/>
    <w:rsid w:val="00FE7EBD"/>
    <w:rsid w:val="00FF09D0"/>
    <w:rsid w:val="00FF0A58"/>
    <w:rsid w:val="00FF0A75"/>
    <w:rsid w:val="00FF0FBF"/>
    <w:rsid w:val="00FF1241"/>
    <w:rsid w:val="00FF14E7"/>
    <w:rsid w:val="00FF1892"/>
    <w:rsid w:val="00FF1915"/>
    <w:rsid w:val="00FF198C"/>
    <w:rsid w:val="00FF1A9B"/>
    <w:rsid w:val="00FF2C6E"/>
    <w:rsid w:val="00FF2E3D"/>
    <w:rsid w:val="00FF32FB"/>
    <w:rsid w:val="00FF3986"/>
    <w:rsid w:val="00FF3A27"/>
    <w:rsid w:val="00FF3AB2"/>
    <w:rsid w:val="00FF3CB7"/>
    <w:rsid w:val="00FF3D95"/>
    <w:rsid w:val="00FF3F46"/>
    <w:rsid w:val="00FF409C"/>
    <w:rsid w:val="00FF43D5"/>
    <w:rsid w:val="00FF4FEE"/>
    <w:rsid w:val="00FF52F7"/>
    <w:rsid w:val="00FF5417"/>
    <w:rsid w:val="00FF5869"/>
    <w:rsid w:val="00FF5ADC"/>
    <w:rsid w:val="00FF5B3D"/>
    <w:rsid w:val="00FF5C6B"/>
    <w:rsid w:val="00FF5CAC"/>
    <w:rsid w:val="00FF5EEB"/>
    <w:rsid w:val="00FF6186"/>
    <w:rsid w:val="00FF65BC"/>
    <w:rsid w:val="00FF6A62"/>
    <w:rsid w:val="00FF6B1B"/>
    <w:rsid w:val="00FF703D"/>
    <w:rsid w:val="00FF711A"/>
    <w:rsid w:val="00FF7128"/>
    <w:rsid w:val="00FF7144"/>
    <w:rsid w:val="00FF7151"/>
    <w:rsid w:val="00FF71DE"/>
    <w:rsid w:val="00FF7592"/>
    <w:rsid w:val="00FF770B"/>
    <w:rsid w:val="00FF78EA"/>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width-relative:margin;mso-height-relative:margin" fill="f" fillcolor="white" stroke="f">
      <v:fill color="white" on="f"/>
      <v:stroke on="f"/>
    </o:shapedefaults>
    <o:shapelayout v:ext="edit">
      <o:idmap v:ext="edit" data="2"/>
    </o:shapelayout>
  </w:shapeDefaults>
  <w:decimalSymbol w:val="."/>
  <w:listSeparator w:val=","/>
  <w14:docId w14:val="2372079A"/>
  <w15:docId w15:val="{6C99048A-F992-4977-AE98-D773F8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21E"/>
    <w:rPr>
      <w:rFonts w:ascii="Arial" w:hAnsi="Arial"/>
      <w:sz w:val="19"/>
      <w:szCs w:val="24"/>
    </w:rPr>
  </w:style>
  <w:style w:type="paragraph" w:styleId="Heading1">
    <w:name w:val="heading 1"/>
    <w:basedOn w:val="Normal"/>
    <w:next w:val="Normal"/>
    <w:link w:val="Heading1Char"/>
    <w:qFormat/>
    <w:rsid w:val="00F9686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9661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16A5A"/>
    <w:pPr>
      <w:tabs>
        <w:tab w:val="center" w:pos="4153"/>
        <w:tab w:val="right" w:pos="8306"/>
      </w:tabs>
    </w:pPr>
  </w:style>
  <w:style w:type="paragraph" w:styleId="Footer">
    <w:name w:val="footer"/>
    <w:basedOn w:val="Normal"/>
    <w:rsid w:val="00E16A5A"/>
    <w:pPr>
      <w:tabs>
        <w:tab w:val="center" w:pos="4153"/>
        <w:tab w:val="right" w:pos="8306"/>
      </w:tabs>
    </w:pPr>
  </w:style>
  <w:style w:type="character" w:styleId="Hyperlink">
    <w:name w:val="Hyperlink"/>
    <w:rsid w:val="00C61CDA"/>
    <w:rPr>
      <w:rFonts w:ascii="Verdana" w:hAnsi="Verdana"/>
      <w:color w:val="000080"/>
      <w:sz w:val="18"/>
      <w:szCs w:val="18"/>
      <w:u w:val="single" w:color="000080"/>
    </w:rPr>
  </w:style>
  <w:style w:type="character" w:styleId="FollowedHyperlink">
    <w:name w:val="FollowedHyperlink"/>
    <w:rsid w:val="00C61CDA"/>
    <w:rPr>
      <w:rFonts w:ascii="Verdana" w:hAnsi="Verdana"/>
      <w:color w:val="800080"/>
      <w:sz w:val="18"/>
      <w:szCs w:val="18"/>
      <w:u w:val="single" w:color="800080"/>
    </w:rPr>
  </w:style>
  <w:style w:type="paragraph" w:styleId="BalloonText">
    <w:name w:val="Balloon Text"/>
    <w:basedOn w:val="Normal"/>
    <w:semiHidden/>
    <w:rsid w:val="00B53715"/>
    <w:rPr>
      <w:rFonts w:ascii="Tahoma" w:hAnsi="Tahoma" w:cs="Tahoma"/>
      <w:sz w:val="16"/>
      <w:szCs w:val="16"/>
    </w:rPr>
  </w:style>
  <w:style w:type="paragraph" w:customStyle="1" w:styleId="Default">
    <w:name w:val="Default"/>
    <w:rsid w:val="0076397D"/>
    <w:pPr>
      <w:autoSpaceDE w:val="0"/>
      <w:autoSpaceDN w:val="0"/>
      <w:adjustRightInd w:val="0"/>
    </w:pPr>
    <w:rPr>
      <w:rFonts w:ascii="Verdana" w:hAnsi="Verdana" w:cs="Verdana"/>
      <w:color w:val="000000"/>
      <w:sz w:val="24"/>
      <w:szCs w:val="24"/>
    </w:rPr>
  </w:style>
  <w:style w:type="character" w:styleId="CommentReference">
    <w:name w:val="annotation reference"/>
    <w:rsid w:val="00C273F9"/>
    <w:rPr>
      <w:sz w:val="16"/>
      <w:szCs w:val="16"/>
    </w:rPr>
  </w:style>
  <w:style w:type="paragraph" w:styleId="CommentText">
    <w:name w:val="annotation text"/>
    <w:basedOn w:val="Normal"/>
    <w:link w:val="CommentTextChar"/>
    <w:rsid w:val="00C273F9"/>
    <w:rPr>
      <w:sz w:val="20"/>
      <w:szCs w:val="20"/>
    </w:rPr>
  </w:style>
  <w:style w:type="character" w:customStyle="1" w:styleId="CommentTextChar">
    <w:name w:val="Comment Text Char"/>
    <w:basedOn w:val="DefaultParagraphFont"/>
    <w:link w:val="CommentText"/>
    <w:rsid w:val="00C273F9"/>
  </w:style>
  <w:style w:type="paragraph" w:styleId="CommentSubject">
    <w:name w:val="annotation subject"/>
    <w:basedOn w:val="CommentText"/>
    <w:next w:val="CommentText"/>
    <w:link w:val="CommentSubjectChar"/>
    <w:rsid w:val="00C273F9"/>
    <w:rPr>
      <w:b/>
      <w:bCs/>
    </w:rPr>
  </w:style>
  <w:style w:type="character" w:customStyle="1" w:styleId="CommentSubjectChar">
    <w:name w:val="Comment Subject Char"/>
    <w:link w:val="CommentSubject"/>
    <w:rsid w:val="00C273F9"/>
    <w:rPr>
      <w:b/>
      <w:bCs/>
    </w:rPr>
  </w:style>
  <w:style w:type="character" w:customStyle="1" w:styleId="Heading3Char">
    <w:name w:val="Heading 3 Char"/>
    <w:link w:val="Heading3"/>
    <w:semiHidden/>
    <w:rsid w:val="009661D0"/>
    <w:rPr>
      <w:rFonts w:ascii="Cambria" w:eastAsia="Times New Roman" w:hAnsi="Cambria" w:cs="Times New Roman"/>
      <w:b/>
      <w:bCs/>
      <w:sz w:val="26"/>
      <w:szCs w:val="26"/>
    </w:rPr>
  </w:style>
  <w:style w:type="character" w:customStyle="1" w:styleId="Heading1Char">
    <w:name w:val="Heading 1 Char"/>
    <w:link w:val="Heading1"/>
    <w:rsid w:val="00F96869"/>
    <w:rPr>
      <w:rFonts w:ascii="Cambria" w:eastAsia="Times New Roman" w:hAnsi="Cambria" w:cs="Times New Roman"/>
      <w:b/>
      <w:bCs/>
      <w:kern w:val="32"/>
      <w:sz w:val="32"/>
      <w:szCs w:val="32"/>
    </w:rPr>
  </w:style>
  <w:style w:type="paragraph" w:customStyle="1" w:styleId="Explanatorytext">
    <w:name w:val="Explanatory text"/>
    <w:basedOn w:val="Normal"/>
    <w:link w:val="ExplanatorytextChar"/>
    <w:qFormat/>
    <w:rsid w:val="00CD021E"/>
    <w:pPr>
      <w:tabs>
        <w:tab w:val="center" w:pos="3152"/>
      </w:tabs>
    </w:pPr>
    <w:rPr>
      <w:rFonts w:cs="Arial"/>
      <w:sz w:val="16"/>
      <w:szCs w:val="19"/>
      <w:lang w:val="en-US"/>
    </w:rPr>
  </w:style>
  <w:style w:type="character" w:customStyle="1" w:styleId="ExplanatorytextChar">
    <w:name w:val="Explanatory text Char"/>
    <w:basedOn w:val="DefaultParagraphFont"/>
    <w:link w:val="Explanatorytext"/>
    <w:rsid w:val="00CD021E"/>
    <w:rPr>
      <w:rFonts w:ascii="Arial" w:hAnsi="Arial" w:cs="Arial"/>
      <w:sz w:val="16"/>
      <w:szCs w:val="19"/>
      <w:lang w:val="en-US"/>
    </w:rPr>
  </w:style>
  <w:style w:type="paragraph" w:styleId="NormalWeb">
    <w:name w:val="Normal (Web)"/>
    <w:basedOn w:val="Normal"/>
    <w:semiHidden/>
    <w:unhideWhenUsed/>
    <w:rsid w:val="00CB5BC1"/>
    <w:rPr>
      <w:rFonts w:ascii="Times New Roman" w:hAnsi="Times New Roman"/>
      <w:sz w:val="24"/>
    </w:rPr>
  </w:style>
  <w:style w:type="character" w:styleId="UnresolvedMention">
    <w:name w:val="Unresolved Mention"/>
    <w:basedOn w:val="DefaultParagraphFont"/>
    <w:uiPriority w:val="99"/>
    <w:semiHidden/>
    <w:unhideWhenUsed/>
    <w:rsid w:val="0069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655">
      <w:bodyDiv w:val="1"/>
      <w:marLeft w:val="0"/>
      <w:marRight w:val="0"/>
      <w:marTop w:val="0"/>
      <w:marBottom w:val="0"/>
      <w:divBdr>
        <w:top w:val="none" w:sz="0" w:space="0" w:color="auto"/>
        <w:left w:val="none" w:sz="0" w:space="0" w:color="auto"/>
        <w:bottom w:val="none" w:sz="0" w:space="0" w:color="auto"/>
        <w:right w:val="none" w:sz="0" w:space="0" w:color="auto"/>
      </w:divBdr>
    </w:div>
    <w:div w:id="18940625">
      <w:bodyDiv w:val="1"/>
      <w:marLeft w:val="0"/>
      <w:marRight w:val="0"/>
      <w:marTop w:val="0"/>
      <w:marBottom w:val="0"/>
      <w:divBdr>
        <w:top w:val="none" w:sz="0" w:space="0" w:color="auto"/>
        <w:left w:val="none" w:sz="0" w:space="0" w:color="auto"/>
        <w:bottom w:val="none" w:sz="0" w:space="0" w:color="auto"/>
        <w:right w:val="none" w:sz="0" w:space="0" w:color="auto"/>
      </w:divBdr>
    </w:div>
    <w:div w:id="36780126">
      <w:bodyDiv w:val="1"/>
      <w:marLeft w:val="0"/>
      <w:marRight w:val="0"/>
      <w:marTop w:val="0"/>
      <w:marBottom w:val="0"/>
      <w:divBdr>
        <w:top w:val="none" w:sz="0" w:space="0" w:color="auto"/>
        <w:left w:val="none" w:sz="0" w:space="0" w:color="auto"/>
        <w:bottom w:val="none" w:sz="0" w:space="0" w:color="auto"/>
        <w:right w:val="none" w:sz="0" w:space="0" w:color="auto"/>
      </w:divBdr>
    </w:div>
    <w:div w:id="44254406">
      <w:bodyDiv w:val="1"/>
      <w:marLeft w:val="0"/>
      <w:marRight w:val="0"/>
      <w:marTop w:val="0"/>
      <w:marBottom w:val="0"/>
      <w:divBdr>
        <w:top w:val="none" w:sz="0" w:space="0" w:color="auto"/>
        <w:left w:val="none" w:sz="0" w:space="0" w:color="auto"/>
        <w:bottom w:val="none" w:sz="0" w:space="0" w:color="auto"/>
        <w:right w:val="none" w:sz="0" w:space="0" w:color="auto"/>
      </w:divBdr>
    </w:div>
    <w:div w:id="49577063">
      <w:bodyDiv w:val="1"/>
      <w:marLeft w:val="0"/>
      <w:marRight w:val="0"/>
      <w:marTop w:val="0"/>
      <w:marBottom w:val="0"/>
      <w:divBdr>
        <w:top w:val="none" w:sz="0" w:space="0" w:color="auto"/>
        <w:left w:val="none" w:sz="0" w:space="0" w:color="auto"/>
        <w:bottom w:val="none" w:sz="0" w:space="0" w:color="auto"/>
        <w:right w:val="none" w:sz="0" w:space="0" w:color="auto"/>
      </w:divBdr>
    </w:div>
    <w:div w:id="50203157">
      <w:bodyDiv w:val="1"/>
      <w:marLeft w:val="0"/>
      <w:marRight w:val="0"/>
      <w:marTop w:val="0"/>
      <w:marBottom w:val="0"/>
      <w:divBdr>
        <w:top w:val="none" w:sz="0" w:space="0" w:color="auto"/>
        <w:left w:val="none" w:sz="0" w:space="0" w:color="auto"/>
        <w:bottom w:val="none" w:sz="0" w:space="0" w:color="auto"/>
        <w:right w:val="none" w:sz="0" w:space="0" w:color="auto"/>
      </w:divBdr>
    </w:div>
    <w:div w:id="75133025">
      <w:bodyDiv w:val="1"/>
      <w:marLeft w:val="0"/>
      <w:marRight w:val="0"/>
      <w:marTop w:val="0"/>
      <w:marBottom w:val="0"/>
      <w:divBdr>
        <w:top w:val="none" w:sz="0" w:space="0" w:color="auto"/>
        <w:left w:val="none" w:sz="0" w:space="0" w:color="auto"/>
        <w:bottom w:val="none" w:sz="0" w:space="0" w:color="auto"/>
        <w:right w:val="none" w:sz="0" w:space="0" w:color="auto"/>
      </w:divBdr>
    </w:div>
    <w:div w:id="105078129">
      <w:bodyDiv w:val="1"/>
      <w:marLeft w:val="0"/>
      <w:marRight w:val="0"/>
      <w:marTop w:val="0"/>
      <w:marBottom w:val="0"/>
      <w:divBdr>
        <w:top w:val="none" w:sz="0" w:space="0" w:color="auto"/>
        <w:left w:val="none" w:sz="0" w:space="0" w:color="auto"/>
        <w:bottom w:val="none" w:sz="0" w:space="0" w:color="auto"/>
        <w:right w:val="none" w:sz="0" w:space="0" w:color="auto"/>
      </w:divBdr>
    </w:div>
    <w:div w:id="166293802">
      <w:bodyDiv w:val="1"/>
      <w:marLeft w:val="0"/>
      <w:marRight w:val="0"/>
      <w:marTop w:val="0"/>
      <w:marBottom w:val="0"/>
      <w:divBdr>
        <w:top w:val="none" w:sz="0" w:space="0" w:color="auto"/>
        <w:left w:val="none" w:sz="0" w:space="0" w:color="auto"/>
        <w:bottom w:val="none" w:sz="0" w:space="0" w:color="auto"/>
        <w:right w:val="none" w:sz="0" w:space="0" w:color="auto"/>
      </w:divBdr>
    </w:div>
    <w:div w:id="182062482">
      <w:bodyDiv w:val="1"/>
      <w:marLeft w:val="0"/>
      <w:marRight w:val="0"/>
      <w:marTop w:val="0"/>
      <w:marBottom w:val="0"/>
      <w:divBdr>
        <w:top w:val="none" w:sz="0" w:space="0" w:color="auto"/>
        <w:left w:val="none" w:sz="0" w:space="0" w:color="auto"/>
        <w:bottom w:val="none" w:sz="0" w:space="0" w:color="auto"/>
        <w:right w:val="none" w:sz="0" w:space="0" w:color="auto"/>
      </w:divBdr>
    </w:div>
    <w:div w:id="188568170">
      <w:bodyDiv w:val="1"/>
      <w:marLeft w:val="0"/>
      <w:marRight w:val="0"/>
      <w:marTop w:val="0"/>
      <w:marBottom w:val="0"/>
      <w:divBdr>
        <w:top w:val="none" w:sz="0" w:space="0" w:color="auto"/>
        <w:left w:val="none" w:sz="0" w:space="0" w:color="auto"/>
        <w:bottom w:val="none" w:sz="0" w:space="0" w:color="auto"/>
        <w:right w:val="none" w:sz="0" w:space="0" w:color="auto"/>
      </w:divBdr>
    </w:div>
    <w:div w:id="196285041">
      <w:bodyDiv w:val="1"/>
      <w:marLeft w:val="0"/>
      <w:marRight w:val="0"/>
      <w:marTop w:val="0"/>
      <w:marBottom w:val="0"/>
      <w:divBdr>
        <w:top w:val="none" w:sz="0" w:space="0" w:color="auto"/>
        <w:left w:val="none" w:sz="0" w:space="0" w:color="auto"/>
        <w:bottom w:val="none" w:sz="0" w:space="0" w:color="auto"/>
        <w:right w:val="none" w:sz="0" w:space="0" w:color="auto"/>
      </w:divBdr>
    </w:div>
    <w:div w:id="205456442">
      <w:bodyDiv w:val="1"/>
      <w:marLeft w:val="0"/>
      <w:marRight w:val="0"/>
      <w:marTop w:val="0"/>
      <w:marBottom w:val="0"/>
      <w:divBdr>
        <w:top w:val="none" w:sz="0" w:space="0" w:color="auto"/>
        <w:left w:val="none" w:sz="0" w:space="0" w:color="auto"/>
        <w:bottom w:val="none" w:sz="0" w:space="0" w:color="auto"/>
        <w:right w:val="none" w:sz="0" w:space="0" w:color="auto"/>
      </w:divBdr>
    </w:div>
    <w:div w:id="225457942">
      <w:bodyDiv w:val="1"/>
      <w:marLeft w:val="0"/>
      <w:marRight w:val="0"/>
      <w:marTop w:val="0"/>
      <w:marBottom w:val="0"/>
      <w:divBdr>
        <w:top w:val="none" w:sz="0" w:space="0" w:color="auto"/>
        <w:left w:val="none" w:sz="0" w:space="0" w:color="auto"/>
        <w:bottom w:val="none" w:sz="0" w:space="0" w:color="auto"/>
        <w:right w:val="none" w:sz="0" w:space="0" w:color="auto"/>
      </w:divBdr>
    </w:div>
    <w:div w:id="241646439">
      <w:bodyDiv w:val="1"/>
      <w:marLeft w:val="0"/>
      <w:marRight w:val="0"/>
      <w:marTop w:val="0"/>
      <w:marBottom w:val="0"/>
      <w:divBdr>
        <w:top w:val="none" w:sz="0" w:space="0" w:color="auto"/>
        <w:left w:val="none" w:sz="0" w:space="0" w:color="auto"/>
        <w:bottom w:val="none" w:sz="0" w:space="0" w:color="auto"/>
        <w:right w:val="none" w:sz="0" w:space="0" w:color="auto"/>
      </w:divBdr>
    </w:div>
    <w:div w:id="262612622">
      <w:bodyDiv w:val="1"/>
      <w:marLeft w:val="0"/>
      <w:marRight w:val="0"/>
      <w:marTop w:val="0"/>
      <w:marBottom w:val="0"/>
      <w:divBdr>
        <w:top w:val="none" w:sz="0" w:space="0" w:color="auto"/>
        <w:left w:val="none" w:sz="0" w:space="0" w:color="auto"/>
        <w:bottom w:val="none" w:sz="0" w:space="0" w:color="auto"/>
        <w:right w:val="none" w:sz="0" w:space="0" w:color="auto"/>
      </w:divBdr>
    </w:div>
    <w:div w:id="268316975">
      <w:bodyDiv w:val="1"/>
      <w:marLeft w:val="0"/>
      <w:marRight w:val="0"/>
      <w:marTop w:val="0"/>
      <w:marBottom w:val="0"/>
      <w:divBdr>
        <w:top w:val="none" w:sz="0" w:space="0" w:color="auto"/>
        <w:left w:val="none" w:sz="0" w:space="0" w:color="auto"/>
        <w:bottom w:val="none" w:sz="0" w:space="0" w:color="auto"/>
        <w:right w:val="none" w:sz="0" w:space="0" w:color="auto"/>
      </w:divBdr>
    </w:div>
    <w:div w:id="271980019">
      <w:bodyDiv w:val="1"/>
      <w:marLeft w:val="0"/>
      <w:marRight w:val="0"/>
      <w:marTop w:val="0"/>
      <w:marBottom w:val="0"/>
      <w:divBdr>
        <w:top w:val="none" w:sz="0" w:space="0" w:color="auto"/>
        <w:left w:val="none" w:sz="0" w:space="0" w:color="auto"/>
        <w:bottom w:val="none" w:sz="0" w:space="0" w:color="auto"/>
        <w:right w:val="none" w:sz="0" w:space="0" w:color="auto"/>
      </w:divBdr>
    </w:div>
    <w:div w:id="281309733">
      <w:bodyDiv w:val="1"/>
      <w:marLeft w:val="0"/>
      <w:marRight w:val="0"/>
      <w:marTop w:val="0"/>
      <w:marBottom w:val="0"/>
      <w:divBdr>
        <w:top w:val="none" w:sz="0" w:space="0" w:color="auto"/>
        <w:left w:val="none" w:sz="0" w:space="0" w:color="auto"/>
        <w:bottom w:val="none" w:sz="0" w:space="0" w:color="auto"/>
        <w:right w:val="none" w:sz="0" w:space="0" w:color="auto"/>
      </w:divBdr>
    </w:div>
    <w:div w:id="299922167">
      <w:bodyDiv w:val="1"/>
      <w:marLeft w:val="0"/>
      <w:marRight w:val="0"/>
      <w:marTop w:val="0"/>
      <w:marBottom w:val="0"/>
      <w:divBdr>
        <w:top w:val="none" w:sz="0" w:space="0" w:color="auto"/>
        <w:left w:val="none" w:sz="0" w:space="0" w:color="auto"/>
        <w:bottom w:val="none" w:sz="0" w:space="0" w:color="auto"/>
        <w:right w:val="none" w:sz="0" w:space="0" w:color="auto"/>
      </w:divBdr>
    </w:div>
    <w:div w:id="301160891">
      <w:bodyDiv w:val="1"/>
      <w:marLeft w:val="0"/>
      <w:marRight w:val="0"/>
      <w:marTop w:val="0"/>
      <w:marBottom w:val="0"/>
      <w:divBdr>
        <w:top w:val="none" w:sz="0" w:space="0" w:color="auto"/>
        <w:left w:val="none" w:sz="0" w:space="0" w:color="auto"/>
        <w:bottom w:val="none" w:sz="0" w:space="0" w:color="auto"/>
        <w:right w:val="none" w:sz="0" w:space="0" w:color="auto"/>
      </w:divBdr>
    </w:div>
    <w:div w:id="304697955">
      <w:bodyDiv w:val="1"/>
      <w:marLeft w:val="0"/>
      <w:marRight w:val="0"/>
      <w:marTop w:val="0"/>
      <w:marBottom w:val="0"/>
      <w:divBdr>
        <w:top w:val="none" w:sz="0" w:space="0" w:color="auto"/>
        <w:left w:val="none" w:sz="0" w:space="0" w:color="auto"/>
        <w:bottom w:val="none" w:sz="0" w:space="0" w:color="auto"/>
        <w:right w:val="none" w:sz="0" w:space="0" w:color="auto"/>
      </w:divBdr>
    </w:div>
    <w:div w:id="313025055">
      <w:bodyDiv w:val="1"/>
      <w:marLeft w:val="0"/>
      <w:marRight w:val="0"/>
      <w:marTop w:val="0"/>
      <w:marBottom w:val="0"/>
      <w:divBdr>
        <w:top w:val="none" w:sz="0" w:space="0" w:color="auto"/>
        <w:left w:val="none" w:sz="0" w:space="0" w:color="auto"/>
        <w:bottom w:val="none" w:sz="0" w:space="0" w:color="auto"/>
        <w:right w:val="none" w:sz="0" w:space="0" w:color="auto"/>
      </w:divBdr>
    </w:div>
    <w:div w:id="329790941">
      <w:bodyDiv w:val="1"/>
      <w:marLeft w:val="0"/>
      <w:marRight w:val="0"/>
      <w:marTop w:val="0"/>
      <w:marBottom w:val="0"/>
      <w:divBdr>
        <w:top w:val="none" w:sz="0" w:space="0" w:color="auto"/>
        <w:left w:val="none" w:sz="0" w:space="0" w:color="auto"/>
        <w:bottom w:val="none" w:sz="0" w:space="0" w:color="auto"/>
        <w:right w:val="none" w:sz="0" w:space="0" w:color="auto"/>
      </w:divBdr>
    </w:div>
    <w:div w:id="350422774">
      <w:bodyDiv w:val="1"/>
      <w:marLeft w:val="0"/>
      <w:marRight w:val="0"/>
      <w:marTop w:val="0"/>
      <w:marBottom w:val="0"/>
      <w:divBdr>
        <w:top w:val="none" w:sz="0" w:space="0" w:color="auto"/>
        <w:left w:val="none" w:sz="0" w:space="0" w:color="auto"/>
        <w:bottom w:val="none" w:sz="0" w:space="0" w:color="auto"/>
        <w:right w:val="none" w:sz="0" w:space="0" w:color="auto"/>
      </w:divBdr>
    </w:div>
    <w:div w:id="353506112">
      <w:bodyDiv w:val="1"/>
      <w:marLeft w:val="0"/>
      <w:marRight w:val="0"/>
      <w:marTop w:val="0"/>
      <w:marBottom w:val="0"/>
      <w:divBdr>
        <w:top w:val="none" w:sz="0" w:space="0" w:color="auto"/>
        <w:left w:val="none" w:sz="0" w:space="0" w:color="auto"/>
        <w:bottom w:val="none" w:sz="0" w:space="0" w:color="auto"/>
        <w:right w:val="none" w:sz="0" w:space="0" w:color="auto"/>
      </w:divBdr>
    </w:div>
    <w:div w:id="357661603">
      <w:bodyDiv w:val="1"/>
      <w:marLeft w:val="0"/>
      <w:marRight w:val="0"/>
      <w:marTop w:val="0"/>
      <w:marBottom w:val="0"/>
      <w:divBdr>
        <w:top w:val="none" w:sz="0" w:space="0" w:color="auto"/>
        <w:left w:val="none" w:sz="0" w:space="0" w:color="auto"/>
        <w:bottom w:val="none" w:sz="0" w:space="0" w:color="auto"/>
        <w:right w:val="none" w:sz="0" w:space="0" w:color="auto"/>
      </w:divBdr>
    </w:div>
    <w:div w:id="410395297">
      <w:bodyDiv w:val="1"/>
      <w:marLeft w:val="0"/>
      <w:marRight w:val="0"/>
      <w:marTop w:val="0"/>
      <w:marBottom w:val="0"/>
      <w:divBdr>
        <w:top w:val="none" w:sz="0" w:space="0" w:color="auto"/>
        <w:left w:val="none" w:sz="0" w:space="0" w:color="auto"/>
        <w:bottom w:val="none" w:sz="0" w:space="0" w:color="auto"/>
        <w:right w:val="none" w:sz="0" w:space="0" w:color="auto"/>
      </w:divBdr>
    </w:div>
    <w:div w:id="440492896">
      <w:bodyDiv w:val="1"/>
      <w:marLeft w:val="0"/>
      <w:marRight w:val="0"/>
      <w:marTop w:val="0"/>
      <w:marBottom w:val="0"/>
      <w:divBdr>
        <w:top w:val="none" w:sz="0" w:space="0" w:color="auto"/>
        <w:left w:val="none" w:sz="0" w:space="0" w:color="auto"/>
        <w:bottom w:val="none" w:sz="0" w:space="0" w:color="auto"/>
        <w:right w:val="none" w:sz="0" w:space="0" w:color="auto"/>
      </w:divBdr>
    </w:div>
    <w:div w:id="470828134">
      <w:bodyDiv w:val="1"/>
      <w:marLeft w:val="0"/>
      <w:marRight w:val="0"/>
      <w:marTop w:val="0"/>
      <w:marBottom w:val="0"/>
      <w:divBdr>
        <w:top w:val="none" w:sz="0" w:space="0" w:color="auto"/>
        <w:left w:val="none" w:sz="0" w:space="0" w:color="auto"/>
        <w:bottom w:val="none" w:sz="0" w:space="0" w:color="auto"/>
        <w:right w:val="none" w:sz="0" w:space="0" w:color="auto"/>
      </w:divBdr>
    </w:div>
    <w:div w:id="480464002">
      <w:bodyDiv w:val="1"/>
      <w:marLeft w:val="0"/>
      <w:marRight w:val="0"/>
      <w:marTop w:val="0"/>
      <w:marBottom w:val="0"/>
      <w:divBdr>
        <w:top w:val="none" w:sz="0" w:space="0" w:color="auto"/>
        <w:left w:val="none" w:sz="0" w:space="0" w:color="auto"/>
        <w:bottom w:val="none" w:sz="0" w:space="0" w:color="auto"/>
        <w:right w:val="none" w:sz="0" w:space="0" w:color="auto"/>
      </w:divBdr>
    </w:div>
    <w:div w:id="496532464">
      <w:bodyDiv w:val="1"/>
      <w:marLeft w:val="0"/>
      <w:marRight w:val="0"/>
      <w:marTop w:val="0"/>
      <w:marBottom w:val="0"/>
      <w:divBdr>
        <w:top w:val="none" w:sz="0" w:space="0" w:color="auto"/>
        <w:left w:val="none" w:sz="0" w:space="0" w:color="auto"/>
        <w:bottom w:val="none" w:sz="0" w:space="0" w:color="auto"/>
        <w:right w:val="none" w:sz="0" w:space="0" w:color="auto"/>
      </w:divBdr>
    </w:div>
    <w:div w:id="505635167">
      <w:bodyDiv w:val="1"/>
      <w:marLeft w:val="0"/>
      <w:marRight w:val="0"/>
      <w:marTop w:val="0"/>
      <w:marBottom w:val="0"/>
      <w:divBdr>
        <w:top w:val="none" w:sz="0" w:space="0" w:color="auto"/>
        <w:left w:val="none" w:sz="0" w:space="0" w:color="auto"/>
        <w:bottom w:val="none" w:sz="0" w:space="0" w:color="auto"/>
        <w:right w:val="none" w:sz="0" w:space="0" w:color="auto"/>
      </w:divBdr>
    </w:div>
    <w:div w:id="526722528">
      <w:bodyDiv w:val="1"/>
      <w:marLeft w:val="0"/>
      <w:marRight w:val="0"/>
      <w:marTop w:val="0"/>
      <w:marBottom w:val="0"/>
      <w:divBdr>
        <w:top w:val="none" w:sz="0" w:space="0" w:color="auto"/>
        <w:left w:val="none" w:sz="0" w:space="0" w:color="auto"/>
        <w:bottom w:val="none" w:sz="0" w:space="0" w:color="auto"/>
        <w:right w:val="none" w:sz="0" w:space="0" w:color="auto"/>
      </w:divBdr>
    </w:div>
    <w:div w:id="546260429">
      <w:bodyDiv w:val="1"/>
      <w:marLeft w:val="0"/>
      <w:marRight w:val="0"/>
      <w:marTop w:val="0"/>
      <w:marBottom w:val="0"/>
      <w:divBdr>
        <w:top w:val="none" w:sz="0" w:space="0" w:color="auto"/>
        <w:left w:val="none" w:sz="0" w:space="0" w:color="auto"/>
        <w:bottom w:val="none" w:sz="0" w:space="0" w:color="auto"/>
        <w:right w:val="none" w:sz="0" w:space="0" w:color="auto"/>
      </w:divBdr>
    </w:div>
    <w:div w:id="576134585">
      <w:bodyDiv w:val="1"/>
      <w:marLeft w:val="0"/>
      <w:marRight w:val="0"/>
      <w:marTop w:val="0"/>
      <w:marBottom w:val="0"/>
      <w:divBdr>
        <w:top w:val="none" w:sz="0" w:space="0" w:color="auto"/>
        <w:left w:val="none" w:sz="0" w:space="0" w:color="auto"/>
        <w:bottom w:val="none" w:sz="0" w:space="0" w:color="auto"/>
        <w:right w:val="none" w:sz="0" w:space="0" w:color="auto"/>
      </w:divBdr>
    </w:div>
    <w:div w:id="596445269">
      <w:bodyDiv w:val="1"/>
      <w:marLeft w:val="0"/>
      <w:marRight w:val="0"/>
      <w:marTop w:val="0"/>
      <w:marBottom w:val="0"/>
      <w:divBdr>
        <w:top w:val="none" w:sz="0" w:space="0" w:color="auto"/>
        <w:left w:val="none" w:sz="0" w:space="0" w:color="auto"/>
        <w:bottom w:val="none" w:sz="0" w:space="0" w:color="auto"/>
        <w:right w:val="none" w:sz="0" w:space="0" w:color="auto"/>
      </w:divBdr>
    </w:div>
    <w:div w:id="604581575">
      <w:bodyDiv w:val="1"/>
      <w:marLeft w:val="0"/>
      <w:marRight w:val="0"/>
      <w:marTop w:val="0"/>
      <w:marBottom w:val="0"/>
      <w:divBdr>
        <w:top w:val="none" w:sz="0" w:space="0" w:color="auto"/>
        <w:left w:val="none" w:sz="0" w:space="0" w:color="auto"/>
        <w:bottom w:val="none" w:sz="0" w:space="0" w:color="auto"/>
        <w:right w:val="none" w:sz="0" w:space="0" w:color="auto"/>
      </w:divBdr>
    </w:div>
    <w:div w:id="641154061">
      <w:bodyDiv w:val="1"/>
      <w:marLeft w:val="0"/>
      <w:marRight w:val="0"/>
      <w:marTop w:val="0"/>
      <w:marBottom w:val="0"/>
      <w:divBdr>
        <w:top w:val="none" w:sz="0" w:space="0" w:color="auto"/>
        <w:left w:val="none" w:sz="0" w:space="0" w:color="auto"/>
        <w:bottom w:val="none" w:sz="0" w:space="0" w:color="auto"/>
        <w:right w:val="none" w:sz="0" w:space="0" w:color="auto"/>
      </w:divBdr>
    </w:div>
    <w:div w:id="651788207">
      <w:bodyDiv w:val="1"/>
      <w:marLeft w:val="0"/>
      <w:marRight w:val="0"/>
      <w:marTop w:val="0"/>
      <w:marBottom w:val="0"/>
      <w:divBdr>
        <w:top w:val="none" w:sz="0" w:space="0" w:color="auto"/>
        <w:left w:val="none" w:sz="0" w:space="0" w:color="auto"/>
        <w:bottom w:val="none" w:sz="0" w:space="0" w:color="auto"/>
        <w:right w:val="none" w:sz="0" w:space="0" w:color="auto"/>
      </w:divBdr>
    </w:div>
    <w:div w:id="686950297">
      <w:bodyDiv w:val="1"/>
      <w:marLeft w:val="0"/>
      <w:marRight w:val="0"/>
      <w:marTop w:val="0"/>
      <w:marBottom w:val="0"/>
      <w:divBdr>
        <w:top w:val="none" w:sz="0" w:space="0" w:color="auto"/>
        <w:left w:val="none" w:sz="0" w:space="0" w:color="auto"/>
        <w:bottom w:val="none" w:sz="0" w:space="0" w:color="auto"/>
        <w:right w:val="none" w:sz="0" w:space="0" w:color="auto"/>
      </w:divBdr>
    </w:div>
    <w:div w:id="716705382">
      <w:bodyDiv w:val="1"/>
      <w:marLeft w:val="0"/>
      <w:marRight w:val="0"/>
      <w:marTop w:val="0"/>
      <w:marBottom w:val="0"/>
      <w:divBdr>
        <w:top w:val="none" w:sz="0" w:space="0" w:color="auto"/>
        <w:left w:val="none" w:sz="0" w:space="0" w:color="auto"/>
        <w:bottom w:val="none" w:sz="0" w:space="0" w:color="auto"/>
        <w:right w:val="none" w:sz="0" w:space="0" w:color="auto"/>
      </w:divBdr>
    </w:div>
    <w:div w:id="719551592">
      <w:bodyDiv w:val="1"/>
      <w:marLeft w:val="0"/>
      <w:marRight w:val="0"/>
      <w:marTop w:val="0"/>
      <w:marBottom w:val="0"/>
      <w:divBdr>
        <w:top w:val="none" w:sz="0" w:space="0" w:color="auto"/>
        <w:left w:val="none" w:sz="0" w:space="0" w:color="auto"/>
        <w:bottom w:val="none" w:sz="0" w:space="0" w:color="auto"/>
        <w:right w:val="none" w:sz="0" w:space="0" w:color="auto"/>
      </w:divBdr>
    </w:div>
    <w:div w:id="768159267">
      <w:bodyDiv w:val="1"/>
      <w:marLeft w:val="0"/>
      <w:marRight w:val="0"/>
      <w:marTop w:val="0"/>
      <w:marBottom w:val="0"/>
      <w:divBdr>
        <w:top w:val="none" w:sz="0" w:space="0" w:color="auto"/>
        <w:left w:val="none" w:sz="0" w:space="0" w:color="auto"/>
        <w:bottom w:val="none" w:sz="0" w:space="0" w:color="auto"/>
        <w:right w:val="none" w:sz="0" w:space="0" w:color="auto"/>
      </w:divBdr>
    </w:div>
    <w:div w:id="775758363">
      <w:bodyDiv w:val="1"/>
      <w:marLeft w:val="0"/>
      <w:marRight w:val="0"/>
      <w:marTop w:val="0"/>
      <w:marBottom w:val="0"/>
      <w:divBdr>
        <w:top w:val="none" w:sz="0" w:space="0" w:color="auto"/>
        <w:left w:val="none" w:sz="0" w:space="0" w:color="auto"/>
        <w:bottom w:val="none" w:sz="0" w:space="0" w:color="auto"/>
        <w:right w:val="none" w:sz="0" w:space="0" w:color="auto"/>
      </w:divBdr>
    </w:div>
    <w:div w:id="775835043">
      <w:bodyDiv w:val="1"/>
      <w:marLeft w:val="0"/>
      <w:marRight w:val="0"/>
      <w:marTop w:val="0"/>
      <w:marBottom w:val="0"/>
      <w:divBdr>
        <w:top w:val="none" w:sz="0" w:space="0" w:color="auto"/>
        <w:left w:val="none" w:sz="0" w:space="0" w:color="auto"/>
        <w:bottom w:val="none" w:sz="0" w:space="0" w:color="auto"/>
        <w:right w:val="none" w:sz="0" w:space="0" w:color="auto"/>
      </w:divBdr>
    </w:div>
    <w:div w:id="812259928">
      <w:bodyDiv w:val="1"/>
      <w:marLeft w:val="0"/>
      <w:marRight w:val="0"/>
      <w:marTop w:val="0"/>
      <w:marBottom w:val="0"/>
      <w:divBdr>
        <w:top w:val="none" w:sz="0" w:space="0" w:color="auto"/>
        <w:left w:val="none" w:sz="0" w:space="0" w:color="auto"/>
        <w:bottom w:val="none" w:sz="0" w:space="0" w:color="auto"/>
        <w:right w:val="none" w:sz="0" w:space="0" w:color="auto"/>
      </w:divBdr>
    </w:div>
    <w:div w:id="836308796">
      <w:bodyDiv w:val="1"/>
      <w:marLeft w:val="0"/>
      <w:marRight w:val="0"/>
      <w:marTop w:val="0"/>
      <w:marBottom w:val="0"/>
      <w:divBdr>
        <w:top w:val="none" w:sz="0" w:space="0" w:color="auto"/>
        <w:left w:val="none" w:sz="0" w:space="0" w:color="auto"/>
        <w:bottom w:val="none" w:sz="0" w:space="0" w:color="auto"/>
        <w:right w:val="none" w:sz="0" w:space="0" w:color="auto"/>
      </w:divBdr>
    </w:div>
    <w:div w:id="845486405">
      <w:bodyDiv w:val="1"/>
      <w:marLeft w:val="0"/>
      <w:marRight w:val="0"/>
      <w:marTop w:val="0"/>
      <w:marBottom w:val="0"/>
      <w:divBdr>
        <w:top w:val="none" w:sz="0" w:space="0" w:color="auto"/>
        <w:left w:val="none" w:sz="0" w:space="0" w:color="auto"/>
        <w:bottom w:val="none" w:sz="0" w:space="0" w:color="auto"/>
        <w:right w:val="none" w:sz="0" w:space="0" w:color="auto"/>
      </w:divBdr>
    </w:div>
    <w:div w:id="850342537">
      <w:bodyDiv w:val="1"/>
      <w:marLeft w:val="0"/>
      <w:marRight w:val="0"/>
      <w:marTop w:val="0"/>
      <w:marBottom w:val="0"/>
      <w:divBdr>
        <w:top w:val="none" w:sz="0" w:space="0" w:color="auto"/>
        <w:left w:val="none" w:sz="0" w:space="0" w:color="auto"/>
        <w:bottom w:val="none" w:sz="0" w:space="0" w:color="auto"/>
        <w:right w:val="none" w:sz="0" w:space="0" w:color="auto"/>
      </w:divBdr>
    </w:div>
    <w:div w:id="893154804">
      <w:bodyDiv w:val="1"/>
      <w:marLeft w:val="0"/>
      <w:marRight w:val="0"/>
      <w:marTop w:val="0"/>
      <w:marBottom w:val="0"/>
      <w:divBdr>
        <w:top w:val="none" w:sz="0" w:space="0" w:color="auto"/>
        <w:left w:val="none" w:sz="0" w:space="0" w:color="auto"/>
        <w:bottom w:val="none" w:sz="0" w:space="0" w:color="auto"/>
        <w:right w:val="none" w:sz="0" w:space="0" w:color="auto"/>
      </w:divBdr>
    </w:div>
    <w:div w:id="901251177">
      <w:bodyDiv w:val="1"/>
      <w:marLeft w:val="0"/>
      <w:marRight w:val="0"/>
      <w:marTop w:val="0"/>
      <w:marBottom w:val="0"/>
      <w:divBdr>
        <w:top w:val="none" w:sz="0" w:space="0" w:color="auto"/>
        <w:left w:val="none" w:sz="0" w:space="0" w:color="auto"/>
        <w:bottom w:val="none" w:sz="0" w:space="0" w:color="auto"/>
        <w:right w:val="none" w:sz="0" w:space="0" w:color="auto"/>
      </w:divBdr>
    </w:div>
    <w:div w:id="937711592">
      <w:bodyDiv w:val="1"/>
      <w:marLeft w:val="0"/>
      <w:marRight w:val="0"/>
      <w:marTop w:val="0"/>
      <w:marBottom w:val="0"/>
      <w:divBdr>
        <w:top w:val="none" w:sz="0" w:space="0" w:color="auto"/>
        <w:left w:val="none" w:sz="0" w:space="0" w:color="auto"/>
        <w:bottom w:val="none" w:sz="0" w:space="0" w:color="auto"/>
        <w:right w:val="none" w:sz="0" w:space="0" w:color="auto"/>
      </w:divBdr>
    </w:div>
    <w:div w:id="960039579">
      <w:bodyDiv w:val="1"/>
      <w:marLeft w:val="0"/>
      <w:marRight w:val="0"/>
      <w:marTop w:val="0"/>
      <w:marBottom w:val="0"/>
      <w:divBdr>
        <w:top w:val="none" w:sz="0" w:space="0" w:color="auto"/>
        <w:left w:val="none" w:sz="0" w:space="0" w:color="auto"/>
        <w:bottom w:val="none" w:sz="0" w:space="0" w:color="auto"/>
        <w:right w:val="none" w:sz="0" w:space="0" w:color="auto"/>
      </w:divBdr>
    </w:div>
    <w:div w:id="990794495">
      <w:bodyDiv w:val="1"/>
      <w:marLeft w:val="0"/>
      <w:marRight w:val="0"/>
      <w:marTop w:val="0"/>
      <w:marBottom w:val="0"/>
      <w:divBdr>
        <w:top w:val="none" w:sz="0" w:space="0" w:color="auto"/>
        <w:left w:val="none" w:sz="0" w:space="0" w:color="auto"/>
        <w:bottom w:val="none" w:sz="0" w:space="0" w:color="auto"/>
        <w:right w:val="none" w:sz="0" w:space="0" w:color="auto"/>
      </w:divBdr>
    </w:div>
    <w:div w:id="1000737428">
      <w:bodyDiv w:val="1"/>
      <w:marLeft w:val="0"/>
      <w:marRight w:val="0"/>
      <w:marTop w:val="0"/>
      <w:marBottom w:val="0"/>
      <w:divBdr>
        <w:top w:val="none" w:sz="0" w:space="0" w:color="auto"/>
        <w:left w:val="none" w:sz="0" w:space="0" w:color="auto"/>
        <w:bottom w:val="none" w:sz="0" w:space="0" w:color="auto"/>
        <w:right w:val="none" w:sz="0" w:space="0" w:color="auto"/>
      </w:divBdr>
    </w:div>
    <w:div w:id="1011302341">
      <w:bodyDiv w:val="1"/>
      <w:marLeft w:val="0"/>
      <w:marRight w:val="0"/>
      <w:marTop w:val="0"/>
      <w:marBottom w:val="0"/>
      <w:divBdr>
        <w:top w:val="none" w:sz="0" w:space="0" w:color="auto"/>
        <w:left w:val="none" w:sz="0" w:space="0" w:color="auto"/>
        <w:bottom w:val="none" w:sz="0" w:space="0" w:color="auto"/>
        <w:right w:val="none" w:sz="0" w:space="0" w:color="auto"/>
      </w:divBdr>
    </w:div>
    <w:div w:id="1037196896">
      <w:bodyDiv w:val="1"/>
      <w:marLeft w:val="0"/>
      <w:marRight w:val="0"/>
      <w:marTop w:val="0"/>
      <w:marBottom w:val="0"/>
      <w:divBdr>
        <w:top w:val="none" w:sz="0" w:space="0" w:color="auto"/>
        <w:left w:val="none" w:sz="0" w:space="0" w:color="auto"/>
        <w:bottom w:val="none" w:sz="0" w:space="0" w:color="auto"/>
        <w:right w:val="none" w:sz="0" w:space="0" w:color="auto"/>
      </w:divBdr>
    </w:div>
    <w:div w:id="1043209617">
      <w:bodyDiv w:val="1"/>
      <w:marLeft w:val="0"/>
      <w:marRight w:val="0"/>
      <w:marTop w:val="0"/>
      <w:marBottom w:val="0"/>
      <w:divBdr>
        <w:top w:val="none" w:sz="0" w:space="0" w:color="auto"/>
        <w:left w:val="none" w:sz="0" w:space="0" w:color="auto"/>
        <w:bottom w:val="none" w:sz="0" w:space="0" w:color="auto"/>
        <w:right w:val="none" w:sz="0" w:space="0" w:color="auto"/>
      </w:divBdr>
    </w:div>
    <w:div w:id="1095320843">
      <w:bodyDiv w:val="1"/>
      <w:marLeft w:val="0"/>
      <w:marRight w:val="0"/>
      <w:marTop w:val="0"/>
      <w:marBottom w:val="0"/>
      <w:divBdr>
        <w:top w:val="none" w:sz="0" w:space="0" w:color="auto"/>
        <w:left w:val="none" w:sz="0" w:space="0" w:color="auto"/>
        <w:bottom w:val="none" w:sz="0" w:space="0" w:color="auto"/>
        <w:right w:val="none" w:sz="0" w:space="0" w:color="auto"/>
      </w:divBdr>
    </w:div>
    <w:div w:id="1115445023">
      <w:bodyDiv w:val="1"/>
      <w:marLeft w:val="0"/>
      <w:marRight w:val="0"/>
      <w:marTop w:val="0"/>
      <w:marBottom w:val="0"/>
      <w:divBdr>
        <w:top w:val="none" w:sz="0" w:space="0" w:color="auto"/>
        <w:left w:val="none" w:sz="0" w:space="0" w:color="auto"/>
        <w:bottom w:val="none" w:sz="0" w:space="0" w:color="auto"/>
        <w:right w:val="none" w:sz="0" w:space="0" w:color="auto"/>
      </w:divBdr>
    </w:div>
    <w:div w:id="1154033411">
      <w:bodyDiv w:val="1"/>
      <w:marLeft w:val="0"/>
      <w:marRight w:val="0"/>
      <w:marTop w:val="0"/>
      <w:marBottom w:val="0"/>
      <w:divBdr>
        <w:top w:val="none" w:sz="0" w:space="0" w:color="auto"/>
        <w:left w:val="none" w:sz="0" w:space="0" w:color="auto"/>
        <w:bottom w:val="none" w:sz="0" w:space="0" w:color="auto"/>
        <w:right w:val="none" w:sz="0" w:space="0" w:color="auto"/>
      </w:divBdr>
    </w:div>
    <w:div w:id="1185905074">
      <w:bodyDiv w:val="1"/>
      <w:marLeft w:val="0"/>
      <w:marRight w:val="0"/>
      <w:marTop w:val="0"/>
      <w:marBottom w:val="0"/>
      <w:divBdr>
        <w:top w:val="none" w:sz="0" w:space="0" w:color="auto"/>
        <w:left w:val="none" w:sz="0" w:space="0" w:color="auto"/>
        <w:bottom w:val="none" w:sz="0" w:space="0" w:color="auto"/>
        <w:right w:val="none" w:sz="0" w:space="0" w:color="auto"/>
      </w:divBdr>
    </w:div>
    <w:div w:id="1198087235">
      <w:bodyDiv w:val="1"/>
      <w:marLeft w:val="0"/>
      <w:marRight w:val="0"/>
      <w:marTop w:val="0"/>
      <w:marBottom w:val="0"/>
      <w:divBdr>
        <w:top w:val="none" w:sz="0" w:space="0" w:color="auto"/>
        <w:left w:val="none" w:sz="0" w:space="0" w:color="auto"/>
        <w:bottom w:val="none" w:sz="0" w:space="0" w:color="auto"/>
        <w:right w:val="none" w:sz="0" w:space="0" w:color="auto"/>
      </w:divBdr>
    </w:div>
    <w:div w:id="1207252199">
      <w:bodyDiv w:val="1"/>
      <w:marLeft w:val="0"/>
      <w:marRight w:val="0"/>
      <w:marTop w:val="0"/>
      <w:marBottom w:val="0"/>
      <w:divBdr>
        <w:top w:val="none" w:sz="0" w:space="0" w:color="auto"/>
        <w:left w:val="none" w:sz="0" w:space="0" w:color="auto"/>
        <w:bottom w:val="none" w:sz="0" w:space="0" w:color="auto"/>
        <w:right w:val="none" w:sz="0" w:space="0" w:color="auto"/>
      </w:divBdr>
    </w:div>
    <w:div w:id="1234967197">
      <w:bodyDiv w:val="1"/>
      <w:marLeft w:val="0"/>
      <w:marRight w:val="0"/>
      <w:marTop w:val="0"/>
      <w:marBottom w:val="0"/>
      <w:divBdr>
        <w:top w:val="none" w:sz="0" w:space="0" w:color="auto"/>
        <w:left w:val="none" w:sz="0" w:space="0" w:color="auto"/>
        <w:bottom w:val="none" w:sz="0" w:space="0" w:color="auto"/>
        <w:right w:val="none" w:sz="0" w:space="0" w:color="auto"/>
      </w:divBdr>
    </w:div>
    <w:div w:id="1242712888">
      <w:bodyDiv w:val="1"/>
      <w:marLeft w:val="0"/>
      <w:marRight w:val="0"/>
      <w:marTop w:val="0"/>
      <w:marBottom w:val="0"/>
      <w:divBdr>
        <w:top w:val="none" w:sz="0" w:space="0" w:color="auto"/>
        <w:left w:val="none" w:sz="0" w:space="0" w:color="auto"/>
        <w:bottom w:val="none" w:sz="0" w:space="0" w:color="auto"/>
        <w:right w:val="none" w:sz="0" w:space="0" w:color="auto"/>
      </w:divBdr>
    </w:div>
    <w:div w:id="1265074049">
      <w:bodyDiv w:val="1"/>
      <w:marLeft w:val="0"/>
      <w:marRight w:val="0"/>
      <w:marTop w:val="0"/>
      <w:marBottom w:val="0"/>
      <w:divBdr>
        <w:top w:val="none" w:sz="0" w:space="0" w:color="auto"/>
        <w:left w:val="none" w:sz="0" w:space="0" w:color="auto"/>
        <w:bottom w:val="none" w:sz="0" w:space="0" w:color="auto"/>
        <w:right w:val="none" w:sz="0" w:space="0" w:color="auto"/>
      </w:divBdr>
    </w:div>
    <w:div w:id="1282154651">
      <w:bodyDiv w:val="1"/>
      <w:marLeft w:val="0"/>
      <w:marRight w:val="0"/>
      <w:marTop w:val="0"/>
      <w:marBottom w:val="0"/>
      <w:divBdr>
        <w:top w:val="none" w:sz="0" w:space="0" w:color="auto"/>
        <w:left w:val="none" w:sz="0" w:space="0" w:color="auto"/>
        <w:bottom w:val="none" w:sz="0" w:space="0" w:color="auto"/>
        <w:right w:val="none" w:sz="0" w:space="0" w:color="auto"/>
      </w:divBdr>
    </w:div>
    <w:div w:id="1294480727">
      <w:bodyDiv w:val="1"/>
      <w:marLeft w:val="0"/>
      <w:marRight w:val="0"/>
      <w:marTop w:val="0"/>
      <w:marBottom w:val="0"/>
      <w:divBdr>
        <w:top w:val="none" w:sz="0" w:space="0" w:color="auto"/>
        <w:left w:val="none" w:sz="0" w:space="0" w:color="auto"/>
        <w:bottom w:val="none" w:sz="0" w:space="0" w:color="auto"/>
        <w:right w:val="none" w:sz="0" w:space="0" w:color="auto"/>
      </w:divBdr>
    </w:div>
    <w:div w:id="1296526062">
      <w:bodyDiv w:val="1"/>
      <w:marLeft w:val="0"/>
      <w:marRight w:val="0"/>
      <w:marTop w:val="0"/>
      <w:marBottom w:val="0"/>
      <w:divBdr>
        <w:top w:val="none" w:sz="0" w:space="0" w:color="auto"/>
        <w:left w:val="none" w:sz="0" w:space="0" w:color="auto"/>
        <w:bottom w:val="none" w:sz="0" w:space="0" w:color="auto"/>
        <w:right w:val="none" w:sz="0" w:space="0" w:color="auto"/>
      </w:divBdr>
    </w:div>
    <w:div w:id="1389257293">
      <w:bodyDiv w:val="1"/>
      <w:marLeft w:val="0"/>
      <w:marRight w:val="0"/>
      <w:marTop w:val="0"/>
      <w:marBottom w:val="0"/>
      <w:divBdr>
        <w:top w:val="none" w:sz="0" w:space="0" w:color="auto"/>
        <w:left w:val="none" w:sz="0" w:space="0" w:color="auto"/>
        <w:bottom w:val="none" w:sz="0" w:space="0" w:color="auto"/>
        <w:right w:val="none" w:sz="0" w:space="0" w:color="auto"/>
      </w:divBdr>
    </w:div>
    <w:div w:id="1392968968">
      <w:bodyDiv w:val="1"/>
      <w:marLeft w:val="0"/>
      <w:marRight w:val="0"/>
      <w:marTop w:val="0"/>
      <w:marBottom w:val="0"/>
      <w:divBdr>
        <w:top w:val="none" w:sz="0" w:space="0" w:color="auto"/>
        <w:left w:val="none" w:sz="0" w:space="0" w:color="auto"/>
        <w:bottom w:val="none" w:sz="0" w:space="0" w:color="auto"/>
        <w:right w:val="none" w:sz="0" w:space="0" w:color="auto"/>
      </w:divBdr>
    </w:div>
    <w:div w:id="1397703627">
      <w:bodyDiv w:val="1"/>
      <w:marLeft w:val="0"/>
      <w:marRight w:val="0"/>
      <w:marTop w:val="0"/>
      <w:marBottom w:val="0"/>
      <w:divBdr>
        <w:top w:val="none" w:sz="0" w:space="0" w:color="auto"/>
        <w:left w:val="none" w:sz="0" w:space="0" w:color="auto"/>
        <w:bottom w:val="none" w:sz="0" w:space="0" w:color="auto"/>
        <w:right w:val="none" w:sz="0" w:space="0" w:color="auto"/>
      </w:divBdr>
    </w:div>
    <w:div w:id="1404990067">
      <w:bodyDiv w:val="1"/>
      <w:marLeft w:val="0"/>
      <w:marRight w:val="0"/>
      <w:marTop w:val="0"/>
      <w:marBottom w:val="0"/>
      <w:divBdr>
        <w:top w:val="none" w:sz="0" w:space="0" w:color="auto"/>
        <w:left w:val="none" w:sz="0" w:space="0" w:color="auto"/>
        <w:bottom w:val="none" w:sz="0" w:space="0" w:color="auto"/>
        <w:right w:val="none" w:sz="0" w:space="0" w:color="auto"/>
      </w:divBdr>
    </w:div>
    <w:div w:id="1429694291">
      <w:bodyDiv w:val="1"/>
      <w:marLeft w:val="0"/>
      <w:marRight w:val="0"/>
      <w:marTop w:val="0"/>
      <w:marBottom w:val="0"/>
      <w:divBdr>
        <w:top w:val="none" w:sz="0" w:space="0" w:color="auto"/>
        <w:left w:val="none" w:sz="0" w:space="0" w:color="auto"/>
        <w:bottom w:val="none" w:sz="0" w:space="0" w:color="auto"/>
        <w:right w:val="none" w:sz="0" w:space="0" w:color="auto"/>
      </w:divBdr>
    </w:div>
    <w:div w:id="1430420429">
      <w:bodyDiv w:val="1"/>
      <w:marLeft w:val="0"/>
      <w:marRight w:val="0"/>
      <w:marTop w:val="0"/>
      <w:marBottom w:val="0"/>
      <w:divBdr>
        <w:top w:val="none" w:sz="0" w:space="0" w:color="auto"/>
        <w:left w:val="none" w:sz="0" w:space="0" w:color="auto"/>
        <w:bottom w:val="none" w:sz="0" w:space="0" w:color="auto"/>
        <w:right w:val="none" w:sz="0" w:space="0" w:color="auto"/>
      </w:divBdr>
    </w:div>
    <w:div w:id="1461341093">
      <w:bodyDiv w:val="1"/>
      <w:marLeft w:val="0"/>
      <w:marRight w:val="0"/>
      <w:marTop w:val="0"/>
      <w:marBottom w:val="0"/>
      <w:divBdr>
        <w:top w:val="none" w:sz="0" w:space="0" w:color="auto"/>
        <w:left w:val="none" w:sz="0" w:space="0" w:color="auto"/>
        <w:bottom w:val="none" w:sz="0" w:space="0" w:color="auto"/>
        <w:right w:val="none" w:sz="0" w:space="0" w:color="auto"/>
      </w:divBdr>
    </w:div>
    <w:div w:id="1468546754">
      <w:bodyDiv w:val="1"/>
      <w:marLeft w:val="0"/>
      <w:marRight w:val="0"/>
      <w:marTop w:val="0"/>
      <w:marBottom w:val="0"/>
      <w:divBdr>
        <w:top w:val="none" w:sz="0" w:space="0" w:color="auto"/>
        <w:left w:val="none" w:sz="0" w:space="0" w:color="auto"/>
        <w:bottom w:val="none" w:sz="0" w:space="0" w:color="auto"/>
        <w:right w:val="none" w:sz="0" w:space="0" w:color="auto"/>
      </w:divBdr>
    </w:div>
    <w:div w:id="1493332429">
      <w:bodyDiv w:val="1"/>
      <w:marLeft w:val="0"/>
      <w:marRight w:val="0"/>
      <w:marTop w:val="0"/>
      <w:marBottom w:val="0"/>
      <w:divBdr>
        <w:top w:val="none" w:sz="0" w:space="0" w:color="auto"/>
        <w:left w:val="none" w:sz="0" w:space="0" w:color="auto"/>
        <w:bottom w:val="none" w:sz="0" w:space="0" w:color="auto"/>
        <w:right w:val="none" w:sz="0" w:space="0" w:color="auto"/>
      </w:divBdr>
    </w:div>
    <w:div w:id="1507793962">
      <w:bodyDiv w:val="1"/>
      <w:marLeft w:val="0"/>
      <w:marRight w:val="0"/>
      <w:marTop w:val="0"/>
      <w:marBottom w:val="0"/>
      <w:divBdr>
        <w:top w:val="none" w:sz="0" w:space="0" w:color="auto"/>
        <w:left w:val="none" w:sz="0" w:space="0" w:color="auto"/>
        <w:bottom w:val="none" w:sz="0" w:space="0" w:color="auto"/>
        <w:right w:val="none" w:sz="0" w:space="0" w:color="auto"/>
      </w:divBdr>
    </w:div>
    <w:div w:id="1594124303">
      <w:bodyDiv w:val="1"/>
      <w:marLeft w:val="0"/>
      <w:marRight w:val="0"/>
      <w:marTop w:val="0"/>
      <w:marBottom w:val="0"/>
      <w:divBdr>
        <w:top w:val="none" w:sz="0" w:space="0" w:color="auto"/>
        <w:left w:val="none" w:sz="0" w:space="0" w:color="auto"/>
        <w:bottom w:val="none" w:sz="0" w:space="0" w:color="auto"/>
        <w:right w:val="none" w:sz="0" w:space="0" w:color="auto"/>
      </w:divBdr>
    </w:div>
    <w:div w:id="1611013285">
      <w:bodyDiv w:val="1"/>
      <w:marLeft w:val="0"/>
      <w:marRight w:val="0"/>
      <w:marTop w:val="0"/>
      <w:marBottom w:val="0"/>
      <w:divBdr>
        <w:top w:val="none" w:sz="0" w:space="0" w:color="auto"/>
        <w:left w:val="none" w:sz="0" w:space="0" w:color="auto"/>
        <w:bottom w:val="none" w:sz="0" w:space="0" w:color="auto"/>
        <w:right w:val="none" w:sz="0" w:space="0" w:color="auto"/>
      </w:divBdr>
    </w:div>
    <w:div w:id="1615209440">
      <w:bodyDiv w:val="1"/>
      <w:marLeft w:val="0"/>
      <w:marRight w:val="0"/>
      <w:marTop w:val="0"/>
      <w:marBottom w:val="0"/>
      <w:divBdr>
        <w:top w:val="none" w:sz="0" w:space="0" w:color="auto"/>
        <w:left w:val="none" w:sz="0" w:space="0" w:color="auto"/>
        <w:bottom w:val="none" w:sz="0" w:space="0" w:color="auto"/>
        <w:right w:val="none" w:sz="0" w:space="0" w:color="auto"/>
      </w:divBdr>
    </w:div>
    <w:div w:id="1639795843">
      <w:bodyDiv w:val="1"/>
      <w:marLeft w:val="0"/>
      <w:marRight w:val="0"/>
      <w:marTop w:val="0"/>
      <w:marBottom w:val="0"/>
      <w:divBdr>
        <w:top w:val="none" w:sz="0" w:space="0" w:color="auto"/>
        <w:left w:val="none" w:sz="0" w:space="0" w:color="auto"/>
        <w:bottom w:val="none" w:sz="0" w:space="0" w:color="auto"/>
        <w:right w:val="none" w:sz="0" w:space="0" w:color="auto"/>
      </w:divBdr>
    </w:div>
    <w:div w:id="1645811258">
      <w:bodyDiv w:val="1"/>
      <w:marLeft w:val="0"/>
      <w:marRight w:val="0"/>
      <w:marTop w:val="0"/>
      <w:marBottom w:val="0"/>
      <w:divBdr>
        <w:top w:val="none" w:sz="0" w:space="0" w:color="auto"/>
        <w:left w:val="none" w:sz="0" w:space="0" w:color="auto"/>
        <w:bottom w:val="none" w:sz="0" w:space="0" w:color="auto"/>
        <w:right w:val="none" w:sz="0" w:space="0" w:color="auto"/>
      </w:divBdr>
    </w:div>
    <w:div w:id="1651712236">
      <w:bodyDiv w:val="1"/>
      <w:marLeft w:val="0"/>
      <w:marRight w:val="0"/>
      <w:marTop w:val="0"/>
      <w:marBottom w:val="0"/>
      <w:divBdr>
        <w:top w:val="none" w:sz="0" w:space="0" w:color="auto"/>
        <w:left w:val="none" w:sz="0" w:space="0" w:color="auto"/>
        <w:bottom w:val="none" w:sz="0" w:space="0" w:color="auto"/>
        <w:right w:val="none" w:sz="0" w:space="0" w:color="auto"/>
      </w:divBdr>
    </w:div>
    <w:div w:id="1674604773">
      <w:bodyDiv w:val="1"/>
      <w:marLeft w:val="0"/>
      <w:marRight w:val="0"/>
      <w:marTop w:val="0"/>
      <w:marBottom w:val="0"/>
      <w:divBdr>
        <w:top w:val="none" w:sz="0" w:space="0" w:color="auto"/>
        <w:left w:val="none" w:sz="0" w:space="0" w:color="auto"/>
        <w:bottom w:val="none" w:sz="0" w:space="0" w:color="auto"/>
        <w:right w:val="none" w:sz="0" w:space="0" w:color="auto"/>
      </w:divBdr>
    </w:div>
    <w:div w:id="1694334174">
      <w:bodyDiv w:val="1"/>
      <w:marLeft w:val="0"/>
      <w:marRight w:val="0"/>
      <w:marTop w:val="0"/>
      <w:marBottom w:val="0"/>
      <w:divBdr>
        <w:top w:val="none" w:sz="0" w:space="0" w:color="auto"/>
        <w:left w:val="none" w:sz="0" w:space="0" w:color="auto"/>
        <w:bottom w:val="none" w:sz="0" w:space="0" w:color="auto"/>
        <w:right w:val="none" w:sz="0" w:space="0" w:color="auto"/>
      </w:divBdr>
    </w:div>
    <w:div w:id="1702977027">
      <w:bodyDiv w:val="1"/>
      <w:marLeft w:val="0"/>
      <w:marRight w:val="0"/>
      <w:marTop w:val="0"/>
      <w:marBottom w:val="0"/>
      <w:divBdr>
        <w:top w:val="none" w:sz="0" w:space="0" w:color="auto"/>
        <w:left w:val="none" w:sz="0" w:space="0" w:color="auto"/>
        <w:bottom w:val="none" w:sz="0" w:space="0" w:color="auto"/>
        <w:right w:val="none" w:sz="0" w:space="0" w:color="auto"/>
      </w:divBdr>
    </w:div>
    <w:div w:id="1714771540">
      <w:bodyDiv w:val="1"/>
      <w:marLeft w:val="0"/>
      <w:marRight w:val="0"/>
      <w:marTop w:val="0"/>
      <w:marBottom w:val="0"/>
      <w:divBdr>
        <w:top w:val="none" w:sz="0" w:space="0" w:color="auto"/>
        <w:left w:val="none" w:sz="0" w:space="0" w:color="auto"/>
        <w:bottom w:val="none" w:sz="0" w:space="0" w:color="auto"/>
        <w:right w:val="none" w:sz="0" w:space="0" w:color="auto"/>
      </w:divBdr>
    </w:div>
    <w:div w:id="1717970674">
      <w:bodyDiv w:val="1"/>
      <w:marLeft w:val="0"/>
      <w:marRight w:val="0"/>
      <w:marTop w:val="0"/>
      <w:marBottom w:val="0"/>
      <w:divBdr>
        <w:top w:val="none" w:sz="0" w:space="0" w:color="auto"/>
        <w:left w:val="none" w:sz="0" w:space="0" w:color="auto"/>
        <w:bottom w:val="none" w:sz="0" w:space="0" w:color="auto"/>
        <w:right w:val="none" w:sz="0" w:space="0" w:color="auto"/>
      </w:divBdr>
    </w:div>
    <w:div w:id="1718627999">
      <w:bodyDiv w:val="1"/>
      <w:marLeft w:val="0"/>
      <w:marRight w:val="0"/>
      <w:marTop w:val="0"/>
      <w:marBottom w:val="0"/>
      <w:divBdr>
        <w:top w:val="none" w:sz="0" w:space="0" w:color="auto"/>
        <w:left w:val="none" w:sz="0" w:space="0" w:color="auto"/>
        <w:bottom w:val="none" w:sz="0" w:space="0" w:color="auto"/>
        <w:right w:val="none" w:sz="0" w:space="0" w:color="auto"/>
      </w:divBdr>
    </w:div>
    <w:div w:id="1760364207">
      <w:bodyDiv w:val="1"/>
      <w:marLeft w:val="0"/>
      <w:marRight w:val="0"/>
      <w:marTop w:val="0"/>
      <w:marBottom w:val="0"/>
      <w:divBdr>
        <w:top w:val="none" w:sz="0" w:space="0" w:color="auto"/>
        <w:left w:val="none" w:sz="0" w:space="0" w:color="auto"/>
        <w:bottom w:val="none" w:sz="0" w:space="0" w:color="auto"/>
        <w:right w:val="none" w:sz="0" w:space="0" w:color="auto"/>
      </w:divBdr>
    </w:div>
    <w:div w:id="1788500207">
      <w:bodyDiv w:val="1"/>
      <w:marLeft w:val="0"/>
      <w:marRight w:val="0"/>
      <w:marTop w:val="0"/>
      <w:marBottom w:val="0"/>
      <w:divBdr>
        <w:top w:val="none" w:sz="0" w:space="0" w:color="auto"/>
        <w:left w:val="none" w:sz="0" w:space="0" w:color="auto"/>
        <w:bottom w:val="none" w:sz="0" w:space="0" w:color="auto"/>
        <w:right w:val="none" w:sz="0" w:space="0" w:color="auto"/>
      </w:divBdr>
    </w:div>
    <w:div w:id="1791583748">
      <w:bodyDiv w:val="1"/>
      <w:marLeft w:val="0"/>
      <w:marRight w:val="0"/>
      <w:marTop w:val="0"/>
      <w:marBottom w:val="0"/>
      <w:divBdr>
        <w:top w:val="none" w:sz="0" w:space="0" w:color="auto"/>
        <w:left w:val="none" w:sz="0" w:space="0" w:color="auto"/>
        <w:bottom w:val="none" w:sz="0" w:space="0" w:color="auto"/>
        <w:right w:val="none" w:sz="0" w:space="0" w:color="auto"/>
      </w:divBdr>
    </w:div>
    <w:div w:id="1820268103">
      <w:bodyDiv w:val="1"/>
      <w:marLeft w:val="0"/>
      <w:marRight w:val="0"/>
      <w:marTop w:val="0"/>
      <w:marBottom w:val="0"/>
      <w:divBdr>
        <w:top w:val="none" w:sz="0" w:space="0" w:color="auto"/>
        <w:left w:val="none" w:sz="0" w:space="0" w:color="auto"/>
        <w:bottom w:val="none" w:sz="0" w:space="0" w:color="auto"/>
        <w:right w:val="none" w:sz="0" w:space="0" w:color="auto"/>
      </w:divBdr>
    </w:div>
    <w:div w:id="1865365934">
      <w:bodyDiv w:val="1"/>
      <w:marLeft w:val="0"/>
      <w:marRight w:val="0"/>
      <w:marTop w:val="0"/>
      <w:marBottom w:val="0"/>
      <w:divBdr>
        <w:top w:val="none" w:sz="0" w:space="0" w:color="auto"/>
        <w:left w:val="none" w:sz="0" w:space="0" w:color="auto"/>
        <w:bottom w:val="none" w:sz="0" w:space="0" w:color="auto"/>
        <w:right w:val="none" w:sz="0" w:space="0" w:color="auto"/>
      </w:divBdr>
    </w:div>
    <w:div w:id="1870605754">
      <w:bodyDiv w:val="1"/>
      <w:marLeft w:val="0"/>
      <w:marRight w:val="0"/>
      <w:marTop w:val="0"/>
      <w:marBottom w:val="0"/>
      <w:divBdr>
        <w:top w:val="none" w:sz="0" w:space="0" w:color="auto"/>
        <w:left w:val="none" w:sz="0" w:space="0" w:color="auto"/>
        <w:bottom w:val="none" w:sz="0" w:space="0" w:color="auto"/>
        <w:right w:val="none" w:sz="0" w:space="0" w:color="auto"/>
      </w:divBdr>
    </w:div>
    <w:div w:id="1871601511">
      <w:bodyDiv w:val="1"/>
      <w:marLeft w:val="0"/>
      <w:marRight w:val="0"/>
      <w:marTop w:val="0"/>
      <w:marBottom w:val="0"/>
      <w:divBdr>
        <w:top w:val="none" w:sz="0" w:space="0" w:color="auto"/>
        <w:left w:val="none" w:sz="0" w:space="0" w:color="auto"/>
        <w:bottom w:val="none" w:sz="0" w:space="0" w:color="auto"/>
        <w:right w:val="none" w:sz="0" w:space="0" w:color="auto"/>
      </w:divBdr>
    </w:div>
    <w:div w:id="1914509998">
      <w:bodyDiv w:val="1"/>
      <w:marLeft w:val="0"/>
      <w:marRight w:val="0"/>
      <w:marTop w:val="0"/>
      <w:marBottom w:val="0"/>
      <w:divBdr>
        <w:top w:val="none" w:sz="0" w:space="0" w:color="auto"/>
        <w:left w:val="none" w:sz="0" w:space="0" w:color="auto"/>
        <w:bottom w:val="none" w:sz="0" w:space="0" w:color="auto"/>
        <w:right w:val="none" w:sz="0" w:space="0" w:color="auto"/>
      </w:divBdr>
    </w:div>
    <w:div w:id="1919703644">
      <w:bodyDiv w:val="1"/>
      <w:marLeft w:val="0"/>
      <w:marRight w:val="0"/>
      <w:marTop w:val="0"/>
      <w:marBottom w:val="0"/>
      <w:divBdr>
        <w:top w:val="none" w:sz="0" w:space="0" w:color="auto"/>
        <w:left w:val="none" w:sz="0" w:space="0" w:color="auto"/>
        <w:bottom w:val="none" w:sz="0" w:space="0" w:color="auto"/>
        <w:right w:val="none" w:sz="0" w:space="0" w:color="auto"/>
      </w:divBdr>
    </w:div>
    <w:div w:id="1927305741">
      <w:bodyDiv w:val="1"/>
      <w:marLeft w:val="0"/>
      <w:marRight w:val="0"/>
      <w:marTop w:val="0"/>
      <w:marBottom w:val="0"/>
      <w:divBdr>
        <w:top w:val="none" w:sz="0" w:space="0" w:color="auto"/>
        <w:left w:val="none" w:sz="0" w:space="0" w:color="auto"/>
        <w:bottom w:val="none" w:sz="0" w:space="0" w:color="auto"/>
        <w:right w:val="none" w:sz="0" w:space="0" w:color="auto"/>
      </w:divBdr>
    </w:div>
    <w:div w:id="1963149470">
      <w:bodyDiv w:val="1"/>
      <w:marLeft w:val="0"/>
      <w:marRight w:val="0"/>
      <w:marTop w:val="0"/>
      <w:marBottom w:val="0"/>
      <w:divBdr>
        <w:top w:val="none" w:sz="0" w:space="0" w:color="auto"/>
        <w:left w:val="none" w:sz="0" w:space="0" w:color="auto"/>
        <w:bottom w:val="none" w:sz="0" w:space="0" w:color="auto"/>
        <w:right w:val="none" w:sz="0" w:space="0" w:color="auto"/>
      </w:divBdr>
    </w:div>
    <w:div w:id="1981298860">
      <w:bodyDiv w:val="1"/>
      <w:marLeft w:val="0"/>
      <w:marRight w:val="0"/>
      <w:marTop w:val="0"/>
      <w:marBottom w:val="0"/>
      <w:divBdr>
        <w:top w:val="none" w:sz="0" w:space="0" w:color="auto"/>
        <w:left w:val="none" w:sz="0" w:space="0" w:color="auto"/>
        <w:bottom w:val="none" w:sz="0" w:space="0" w:color="auto"/>
        <w:right w:val="none" w:sz="0" w:space="0" w:color="auto"/>
      </w:divBdr>
    </w:div>
    <w:div w:id="2027242316">
      <w:bodyDiv w:val="1"/>
      <w:marLeft w:val="0"/>
      <w:marRight w:val="0"/>
      <w:marTop w:val="0"/>
      <w:marBottom w:val="0"/>
      <w:divBdr>
        <w:top w:val="none" w:sz="0" w:space="0" w:color="auto"/>
        <w:left w:val="none" w:sz="0" w:space="0" w:color="auto"/>
        <w:bottom w:val="none" w:sz="0" w:space="0" w:color="auto"/>
        <w:right w:val="none" w:sz="0" w:space="0" w:color="auto"/>
      </w:divBdr>
    </w:div>
    <w:div w:id="2029721901">
      <w:bodyDiv w:val="1"/>
      <w:marLeft w:val="0"/>
      <w:marRight w:val="0"/>
      <w:marTop w:val="0"/>
      <w:marBottom w:val="0"/>
      <w:divBdr>
        <w:top w:val="none" w:sz="0" w:space="0" w:color="auto"/>
        <w:left w:val="none" w:sz="0" w:space="0" w:color="auto"/>
        <w:bottom w:val="none" w:sz="0" w:space="0" w:color="auto"/>
        <w:right w:val="none" w:sz="0" w:space="0" w:color="auto"/>
      </w:divBdr>
    </w:div>
    <w:div w:id="2135370551">
      <w:bodyDiv w:val="1"/>
      <w:marLeft w:val="0"/>
      <w:marRight w:val="0"/>
      <w:marTop w:val="0"/>
      <w:marBottom w:val="0"/>
      <w:divBdr>
        <w:top w:val="none" w:sz="0" w:space="0" w:color="auto"/>
        <w:left w:val="none" w:sz="0" w:space="0" w:color="auto"/>
        <w:bottom w:val="none" w:sz="0" w:space="0" w:color="auto"/>
        <w:right w:val="none" w:sz="0" w:space="0" w:color="auto"/>
      </w:divBdr>
      <w:divsChild>
        <w:div w:id="48204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roducts.mhra.gov.uk/search/?search=qletli&amp;page=1"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wmedinfo@nhs.net?subject=New%20Medicines%20Newslet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s.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www.ukmi.nhs.uk/nd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www.sps.nhs.uk/articles/sps-horizon-scanning/" TargetMode="External"/><Relationship Id="rId2" Type="http://schemas.openxmlformats.org/officeDocument/2006/relationships/image" Target="media/image5.png"/><Relationship Id="rId1" Type="http://schemas.openxmlformats.org/officeDocument/2006/relationships/image" Target="media/image3.jpeg"/><Relationship Id="rId4" Type="http://schemas.openxmlformats.org/officeDocument/2006/relationships/hyperlink" Target="https://www.sps.nhs.uk/home/planning/annual-medicines-planning/"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Entee\Digital%20Liverpool\Medicines%20Advice%20-%20Horizon%20Scanning\SPS%20HS%20publications\New%20Medicines%20News%20(incl%20Clinical%20Pharmacist)\Admin\New%20Medicines%20News%20template%202025%20new%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9F8181707A014BAADECFD0EF2EB9F0" ma:contentTypeVersion="17" ma:contentTypeDescription="Create a new document." ma:contentTypeScope="" ma:versionID="3ecb877c8b7cc426ca68cb3cbaafa65f">
  <xsd:schema xmlns:xsd="http://www.w3.org/2001/XMLSchema" xmlns:xs="http://www.w3.org/2001/XMLSchema" xmlns:p="http://schemas.microsoft.com/office/2006/metadata/properties" xmlns:ns2="bc6437e3-65b5-4a7b-a123-cc0b1a712dbe" xmlns:ns3="9930fb2e-2b64-4524-8d19-1f206af19760" targetNamespace="http://schemas.microsoft.com/office/2006/metadata/properties" ma:root="true" ma:fieldsID="c0effaa16b3fe9ce4232a51191173541" ns2:_="" ns3:_="">
    <xsd:import namespace="bc6437e3-65b5-4a7b-a123-cc0b1a712dbe"/>
    <xsd:import namespace="9930fb2e-2b64-4524-8d19-1f206af19760"/>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Checke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437e3-65b5-4a7b-a123-cc0b1a712dbe"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complete"/>
          <xsd:enumeration value="Draft screened"/>
          <xsd:enumeration value="Draft ready for check"/>
          <xsd:enumeration value="Draft checked"/>
          <xsd:enumeration value="Draft finali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hecker" ma:index="13" nillable="true" ma:displayName="Checker" ma:format="Dropdown" ma:list="UserInfo" ma:SharePointGroup="0" ma:internalName="Chec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0fb2e-2b64-4524-8d19-1f206af197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974dfa-c764-4829-9cd5-f0d2f4cc9654}" ma:internalName="TaxCatchAll" ma:showField="CatchAllData" ma:web="9930fb2e-2b64-4524-8d19-1f206af19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bc6437e3-65b5-4a7b-a123-cc0b1a712dbe" xsi:nil="true"/>
    <Checker xmlns="bc6437e3-65b5-4a7b-a123-cc0b1a712dbe">
      <UserInfo>
        <DisplayName/>
        <AccountId xsi:nil="true"/>
        <AccountType/>
      </UserInfo>
    </Checker>
    <TaxCatchAll xmlns="9930fb2e-2b64-4524-8d19-1f206af19760" xsi:nil="true"/>
    <lcf76f155ced4ddcb4097134ff3c332f xmlns="bc6437e3-65b5-4a7b-a123-cc0b1a712dbe">
      <Terms xmlns="http://schemas.microsoft.com/office/infopath/2007/PartnerControls"/>
    </lcf76f155ced4ddcb4097134ff3c332f>
    <_Flow_SignoffStatus xmlns="bc6437e3-65b5-4a7b-a123-cc0b1a712dbe" xsi:nil="true"/>
  </documentManagement>
</p:properties>
</file>

<file path=customXml/itemProps1.xml><?xml version="1.0" encoding="utf-8"?>
<ds:datastoreItem xmlns:ds="http://schemas.openxmlformats.org/officeDocument/2006/customXml" ds:itemID="{4D491869-6A80-4380-B4C8-BDFECDE465A6}">
  <ds:schemaRefs>
    <ds:schemaRef ds:uri="http://schemas.microsoft.com/sharepoint/v3/contenttype/forms"/>
  </ds:schemaRefs>
</ds:datastoreItem>
</file>

<file path=customXml/itemProps2.xml><?xml version="1.0" encoding="utf-8"?>
<ds:datastoreItem xmlns:ds="http://schemas.openxmlformats.org/officeDocument/2006/customXml" ds:itemID="{A8142215-1418-4C92-9ED7-BAC778335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437e3-65b5-4a7b-a123-cc0b1a712dbe"/>
    <ds:schemaRef ds:uri="9930fb2e-2b64-4524-8d19-1f206af1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6E074-DAC3-464B-8E55-384774156C3A}">
  <ds:schemaRefs>
    <ds:schemaRef ds:uri="http://schemas.openxmlformats.org/officeDocument/2006/bibliography"/>
  </ds:schemaRefs>
</ds:datastoreItem>
</file>

<file path=customXml/itemProps4.xml><?xml version="1.0" encoding="utf-8"?>
<ds:datastoreItem xmlns:ds="http://schemas.openxmlformats.org/officeDocument/2006/customXml" ds:itemID="{1EB4F6B2-13C0-4835-BE83-75A0D0B4856D}">
  <ds:schemaRefs>
    <ds:schemaRef ds:uri="http://purl.org/dc/elements/1.1/"/>
    <ds:schemaRef ds:uri="http://schemas.microsoft.com/office/2006/metadata/properties"/>
    <ds:schemaRef ds:uri="9930fb2e-2b64-4524-8d19-1f206af19760"/>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bc6437e3-65b5-4a7b-a123-cc0b1a712dbe"/>
  </ds:schemaRefs>
</ds:datastoreItem>
</file>

<file path=docProps/app.xml><?xml version="1.0" encoding="utf-8"?>
<Properties xmlns="http://schemas.openxmlformats.org/officeDocument/2006/extended-properties" xmlns:vt="http://schemas.openxmlformats.org/officeDocument/2006/docPropsVTypes">
  <Template>New Medicines News template 2025 new logo</Template>
  <TotalTime>3293</TotalTime>
  <Pages>9</Pages>
  <Words>4398</Words>
  <Characters>28283</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NDO home | Contact | Register for NDO access</vt:lpstr>
    </vt:vector>
  </TitlesOfParts>
  <Company>NMHIS</Company>
  <LinksUpToDate>false</LinksUpToDate>
  <CharactersWithSpaces>32616</CharactersWithSpaces>
  <SharedDoc>false</SharedDoc>
  <HLinks>
    <vt:vector size="498" baseType="variant">
      <vt:variant>
        <vt:i4>458841</vt:i4>
      </vt:variant>
      <vt:variant>
        <vt:i4>228</vt:i4>
      </vt:variant>
      <vt:variant>
        <vt:i4>0</vt:i4>
      </vt:variant>
      <vt:variant>
        <vt:i4>5</vt:i4>
      </vt:variant>
      <vt:variant>
        <vt:lpwstr>https://www.sps.nhs.uk/medicines/zuranolone/</vt:lpwstr>
      </vt:variant>
      <vt:variant>
        <vt:lpwstr/>
      </vt:variant>
      <vt:variant>
        <vt:i4>7602219</vt:i4>
      </vt:variant>
      <vt:variant>
        <vt:i4>225</vt:i4>
      </vt:variant>
      <vt:variant>
        <vt:i4>0</vt:i4>
      </vt:variant>
      <vt:variant>
        <vt:i4>5</vt:i4>
      </vt:variant>
      <vt:variant>
        <vt:lpwstr>https://www.sps.nhs.uk/medicines/zoliflodacin/</vt:lpwstr>
      </vt:variant>
      <vt:variant>
        <vt:lpwstr/>
      </vt:variant>
      <vt:variant>
        <vt:i4>8323111</vt:i4>
      </vt:variant>
      <vt:variant>
        <vt:i4>222</vt:i4>
      </vt:variant>
      <vt:variant>
        <vt:i4>0</vt:i4>
      </vt:variant>
      <vt:variant>
        <vt:i4>5</vt:i4>
      </vt:variant>
      <vt:variant>
        <vt:lpwstr>https://www.sps.nhs.uk/medicines/upadacitinib/</vt:lpwstr>
      </vt:variant>
      <vt:variant>
        <vt:lpwstr/>
      </vt:variant>
      <vt:variant>
        <vt:i4>5570648</vt:i4>
      </vt:variant>
      <vt:variant>
        <vt:i4>219</vt:i4>
      </vt:variant>
      <vt:variant>
        <vt:i4>0</vt:i4>
      </vt:variant>
      <vt:variant>
        <vt:i4>5</vt:i4>
      </vt:variant>
      <vt:variant>
        <vt:lpwstr>https://www.sps.nhs.uk/medicines/sep-363856/</vt:lpwstr>
      </vt:variant>
      <vt:variant>
        <vt:lpwstr/>
      </vt:variant>
      <vt:variant>
        <vt:i4>131160</vt:i4>
      </vt:variant>
      <vt:variant>
        <vt:i4>216</vt:i4>
      </vt:variant>
      <vt:variant>
        <vt:i4>0</vt:i4>
      </vt:variant>
      <vt:variant>
        <vt:i4>5</vt:i4>
      </vt:variant>
      <vt:variant>
        <vt:lpwstr>https://www.sps.nhs.uk/medicines/padesvonil/</vt:lpwstr>
      </vt:variant>
      <vt:variant>
        <vt:lpwstr/>
      </vt:variant>
      <vt:variant>
        <vt:i4>4456520</vt:i4>
      </vt:variant>
      <vt:variant>
        <vt:i4>213</vt:i4>
      </vt:variant>
      <vt:variant>
        <vt:i4>0</vt:i4>
      </vt:variant>
      <vt:variant>
        <vt:i4>5</vt:i4>
      </vt:variant>
      <vt:variant>
        <vt:lpwstr>https://www.sps.nhs.uk/medicines/opiranserin/</vt:lpwstr>
      </vt:variant>
      <vt:variant>
        <vt:lpwstr/>
      </vt:variant>
      <vt:variant>
        <vt:i4>2555944</vt:i4>
      </vt:variant>
      <vt:variant>
        <vt:i4>210</vt:i4>
      </vt:variant>
      <vt:variant>
        <vt:i4>0</vt:i4>
      </vt:variant>
      <vt:variant>
        <vt:i4>5</vt:i4>
      </vt:variant>
      <vt:variant>
        <vt:lpwstr>https://www.sps.nhs.uk/medicines/mitapivat/</vt:lpwstr>
      </vt:variant>
      <vt:variant>
        <vt:lpwstr/>
      </vt:variant>
      <vt:variant>
        <vt:i4>393288</vt:i4>
      </vt:variant>
      <vt:variant>
        <vt:i4>207</vt:i4>
      </vt:variant>
      <vt:variant>
        <vt:i4>0</vt:i4>
      </vt:variant>
      <vt:variant>
        <vt:i4>5</vt:i4>
      </vt:variant>
      <vt:variant>
        <vt:lpwstr>https://www.sps.nhs.uk/medicines/linzagolix/</vt:lpwstr>
      </vt:variant>
      <vt:variant>
        <vt:lpwstr/>
      </vt:variant>
      <vt:variant>
        <vt:i4>3604520</vt:i4>
      </vt:variant>
      <vt:variant>
        <vt:i4>204</vt:i4>
      </vt:variant>
      <vt:variant>
        <vt:i4>0</vt:i4>
      </vt:variant>
      <vt:variant>
        <vt:i4>5</vt:i4>
      </vt:variant>
      <vt:variant>
        <vt:lpwstr>https://www.sps.nhs.uk/medicines/leriglitazone/</vt:lpwstr>
      </vt:variant>
      <vt:variant>
        <vt:lpwstr/>
      </vt:variant>
      <vt:variant>
        <vt:i4>7929889</vt:i4>
      </vt:variant>
      <vt:variant>
        <vt:i4>201</vt:i4>
      </vt:variant>
      <vt:variant>
        <vt:i4>0</vt:i4>
      </vt:variant>
      <vt:variant>
        <vt:i4>5</vt:i4>
      </vt:variant>
      <vt:variant>
        <vt:lpwstr>https://www.sps.nhs.uk/medicines/lebrikizumab/</vt:lpwstr>
      </vt:variant>
      <vt:variant>
        <vt:lpwstr/>
      </vt:variant>
      <vt:variant>
        <vt:i4>524381</vt:i4>
      </vt:variant>
      <vt:variant>
        <vt:i4>198</vt:i4>
      </vt:variant>
      <vt:variant>
        <vt:i4>0</vt:i4>
      </vt:variant>
      <vt:variant>
        <vt:i4>5</vt:i4>
      </vt:variant>
      <vt:variant>
        <vt:lpwstr>https://www.sps.nhs.uk/medicines/glatiramer/</vt:lpwstr>
      </vt:variant>
      <vt:variant>
        <vt:lpwstr/>
      </vt:variant>
      <vt:variant>
        <vt:i4>5832790</vt:i4>
      </vt:variant>
      <vt:variant>
        <vt:i4>195</vt:i4>
      </vt:variant>
      <vt:variant>
        <vt:i4>0</vt:i4>
      </vt:variant>
      <vt:variant>
        <vt:i4>5</vt:i4>
      </vt:variant>
      <vt:variant>
        <vt:lpwstr>https://www.sps.nhs.uk/medicines/fcr-001/</vt:lpwstr>
      </vt:variant>
      <vt:variant>
        <vt:lpwstr/>
      </vt:variant>
      <vt:variant>
        <vt:i4>3080232</vt:i4>
      </vt:variant>
      <vt:variant>
        <vt:i4>192</vt:i4>
      </vt:variant>
      <vt:variant>
        <vt:i4>0</vt:i4>
      </vt:variant>
      <vt:variant>
        <vt:i4>5</vt:i4>
      </vt:variant>
      <vt:variant>
        <vt:lpwstr>https://www.sps.nhs.uk/medicines/empagliflozin/</vt:lpwstr>
      </vt:variant>
      <vt:variant>
        <vt:lpwstr/>
      </vt:variant>
      <vt:variant>
        <vt:i4>2752551</vt:i4>
      </vt:variant>
      <vt:variant>
        <vt:i4>189</vt:i4>
      </vt:variant>
      <vt:variant>
        <vt:i4>0</vt:i4>
      </vt:variant>
      <vt:variant>
        <vt:i4>5</vt:i4>
      </vt:variant>
      <vt:variant>
        <vt:lpwstr>https://www.sps.nhs.uk/medicines/diazoxide/</vt:lpwstr>
      </vt:variant>
      <vt:variant>
        <vt:lpwstr/>
      </vt:variant>
      <vt:variant>
        <vt:i4>6815782</vt:i4>
      </vt:variant>
      <vt:variant>
        <vt:i4>186</vt:i4>
      </vt:variant>
      <vt:variant>
        <vt:i4>0</vt:i4>
      </vt:variant>
      <vt:variant>
        <vt:i4>5</vt:i4>
      </vt:variant>
      <vt:variant>
        <vt:lpwstr>https://www.sps.nhs.uk/medicines/dasiglucagon/</vt:lpwstr>
      </vt:variant>
      <vt:variant>
        <vt:lpwstr/>
      </vt:variant>
      <vt:variant>
        <vt:i4>4194380</vt:i4>
      </vt:variant>
      <vt:variant>
        <vt:i4>183</vt:i4>
      </vt:variant>
      <vt:variant>
        <vt:i4>0</vt:i4>
      </vt:variant>
      <vt:variant>
        <vt:i4>5</vt:i4>
      </vt:variant>
      <vt:variant>
        <vt:lpwstr>https://www.sps.nhs.uk/medicines/cyclobenzaprine/</vt:lpwstr>
      </vt:variant>
      <vt:variant>
        <vt:lpwstr/>
      </vt:variant>
      <vt:variant>
        <vt:i4>1179733</vt:i4>
      </vt:variant>
      <vt:variant>
        <vt:i4>180</vt:i4>
      </vt:variant>
      <vt:variant>
        <vt:i4>0</vt:i4>
      </vt:variant>
      <vt:variant>
        <vt:i4>5</vt:i4>
      </vt:variant>
      <vt:variant>
        <vt:lpwstr>https://www.sps.nhs.uk/medicines/bumetanide/</vt:lpwstr>
      </vt:variant>
      <vt:variant>
        <vt:lpwstr/>
      </vt:variant>
      <vt:variant>
        <vt:i4>1835099</vt:i4>
      </vt:variant>
      <vt:variant>
        <vt:i4>177</vt:i4>
      </vt:variant>
      <vt:variant>
        <vt:i4>0</vt:i4>
      </vt:variant>
      <vt:variant>
        <vt:i4>5</vt:i4>
      </vt:variant>
      <vt:variant>
        <vt:lpwstr>https://www.sps.nhs.uk/medicines/budesonide/</vt:lpwstr>
      </vt:variant>
      <vt:variant>
        <vt:lpwstr/>
      </vt:variant>
      <vt:variant>
        <vt:i4>1638427</vt:i4>
      </vt:variant>
      <vt:variant>
        <vt:i4>174</vt:i4>
      </vt:variant>
      <vt:variant>
        <vt:i4>0</vt:i4>
      </vt:variant>
      <vt:variant>
        <vt:i4>5</vt:i4>
      </vt:variant>
      <vt:variant>
        <vt:lpwstr>https://www.sps.nhs.uk/medicines/bardoxolone-methyl/</vt:lpwstr>
      </vt:variant>
      <vt:variant>
        <vt:lpwstr/>
      </vt:variant>
      <vt:variant>
        <vt:i4>5767195</vt:i4>
      </vt:variant>
      <vt:variant>
        <vt:i4>171</vt:i4>
      </vt:variant>
      <vt:variant>
        <vt:i4>0</vt:i4>
      </vt:variant>
      <vt:variant>
        <vt:i4>5</vt:i4>
      </vt:variant>
      <vt:variant>
        <vt:lpwstr>https://www.sps.nhs.uk/medicines/autologous-bm-derived-stem-cell-therapy/</vt:lpwstr>
      </vt:variant>
      <vt:variant>
        <vt:lpwstr/>
      </vt:variant>
      <vt:variant>
        <vt:i4>4587591</vt:i4>
      </vt:variant>
      <vt:variant>
        <vt:i4>168</vt:i4>
      </vt:variant>
      <vt:variant>
        <vt:i4>0</vt:i4>
      </vt:variant>
      <vt:variant>
        <vt:i4>5</vt:i4>
      </vt:variant>
      <vt:variant>
        <vt:lpwstr>https://www.sps.nhs.uk/medicines/at-gtx-501/</vt:lpwstr>
      </vt:variant>
      <vt:variant>
        <vt:lpwstr/>
      </vt:variant>
      <vt:variant>
        <vt:i4>7864359</vt:i4>
      </vt:variant>
      <vt:variant>
        <vt:i4>165</vt:i4>
      </vt:variant>
      <vt:variant>
        <vt:i4>0</vt:i4>
      </vt:variant>
      <vt:variant>
        <vt:i4>5</vt:i4>
      </vt:variant>
      <vt:variant>
        <vt:lpwstr>https://www.sps.nhs.uk/medicines/telapristone/</vt:lpwstr>
      </vt:variant>
      <vt:variant>
        <vt:lpwstr/>
      </vt:variant>
      <vt:variant>
        <vt:i4>7864359</vt:i4>
      </vt:variant>
      <vt:variant>
        <vt:i4>162</vt:i4>
      </vt:variant>
      <vt:variant>
        <vt:i4>0</vt:i4>
      </vt:variant>
      <vt:variant>
        <vt:i4>5</vt:i4>
      </vt:variant>
      <vt:variant>
        <vt:lpwstr>https://www.sps.nhs.uk/medicines/telapristone/</vt:lpwstr>
      </vt:variant>
      <vt:variant>
        <vt:lpwstr/>
      </vt:variant>
      <vt:variant>
        <vt:i4>1769490</vt:i4>
      </vt:variant>
      <vt:variant>
        <vt:i4>159</vt:i4>
      </vt:variant>
      <vt:variant>
        <vt:i4>0</vt:i4>
      </vt:variant>
      <vt:variant>
        <vt:i4>5</vt:i4>
      </vt:variant>
      <vt:variant>
        <vt:lpwstr>https://www.sps.nhs.uk/medicines/t-cell-replacement-therapy/</vt:lpwstr>
      </vt:variant>
      <vt:variant>
        <vt:lpwstr/>
      </vt:variant>
      <vt:variant>
        <vt:i4>1245262</vt:i4>
      </vt:variant>
      <vt:variant>
        <vt:i4>156</vt:i4>
      </vt:variant>
      <vt:variant>
        <vt:i4>0</vt:i4>
      </vt:variant>
      <vt:variant>
        <vt:i4>5</vt:i4>
      </vt:variant>
      <vt:variant>
        <vt:lpwstr>https://www.sps.nhs.uk/medicines/salmeterol/</vt:lpwstr>
      </vt:variant>
      <vt:variant>
        <vt:lpwstr/>
      </vt:variant>
      <vt:variant>
        <vt:i4>1966174</vt:i4>
      </vt:variant>
      <vt:variant>
        <vt:i4>153</vt:i4>
      </vt:variant>
      <vt:variant>
        <vt:i4>0</vt:i4>
      </vt:variant>
      <vt:variant>
        <vt:i4>5</vt:i4>
      </vt:variant>
      <vt:variant>
        <vt:lpwstr>https://www.sps.nhs.uk/medicines/rapastinel/</vt:lpwstr>
      </vt:variant>
      <vt:variant>
        <vt:lpwstr/>
      </vt:variant>
      <vt:variant>
        <vt:i4>3276927</vt:i4>
      </vt:variant>
      <vt:variant>
        <vt:i4>150</vt:i4>
      </vt:variant>
      <vt:variant>
        <vt:i4>0</vt:i4>
      </vt:variant>
      <vt:variant>
        <vt:i4>5</vt:i4>
      </vt:variant>
      <vt:variant>
        <vt:lpwstr>https://www.sps.nhs.uk/medicines/pegylated-recombinant-human-hyaluronidase/</vt:lpwstr>
      </vt:variant>
      <vt:variant>
        <vt:lpwstr/>
      </vt:variant>
      <vt:variant>
        <vt:i4>4849741</vt:i4>
      </vt:variant>
      <vt:variant>
        <vt:i4>147</vt:i4>
      </vt:variant>
      <vt:variant>
        <vt:i4>0</vt:i4>
      </vt:variant>
      <vt:variant>
        <vt:i4>5</vt:i4>
      </vt:variant>
      <vt:variant>
        <vt:lpwstr>https://www.sps.nhs.uk/medicines/nilvadipine/</vt:lpwstr>
      </vt:variant>
      <vt:variant>
        <vt:lpwstr/>
      </vt:variant>
      <vt:variant>
        <vt:i4>7798828</vt:i4>
      </vt:variant>
      <vt:variant>
        <vt:i4>144</vt:i4>
      </vt:variant>
      <vt:variant>
        <vt:i4>0</vt:i4>
      </vt:variant>
      <vt:variant>
        <vt:i4>5</vt:i4>
      </vt:variant>
      <vt:variant>
        <vt:lpwstr>https://www.sps.nhs.uk/medicines/naloxone/</vt:lpwstr>
      </vt:variant>
      <vt:variant>
        <vt:lpwstr/>
      </vt:variant>
      <vt:variant>
        <vt:i4>1441887</vt:i4>
      </vt:variant>
      <vt:variant>
        <vt:i4>141</vt:i4>
      </vt:variant>
      <vt:variant>
        <vt:i4>0</vt:i4>
      </vt:variant>
      <vt:variant>
        <vt:i4>5</vt:i4>
      </vt:variant>
      <vt:variant>
        <vt:lpwstr>https://www.sps.nhs.uk/medicines/macitentan/</vt:lpwstr>
      </vt:variant>
      <vt:variant>
        <vt:lpwstr/>
      </vt:variant>
      <vt:variant>
        <vt:i4>6225993</vt:i4>
      </vt:variant>
      <vt:variant>
        <vt:i4>138</vt:i4>
      </vt:variant>
      <vt:variant>
        <vt:i4>0</vt:i4>
      </vt:variant>
      <vt:variant>
        <vt:i4>5</vt:i4>
      </vt:variant>
      <vt:variant>
        <vt:lpwstr>https://www.sps.nhs.uk/medicines/hydroxyprogesterone/</vt:lpwstr>
      </vt:variant>
      <vt:variant>
        <vt:lpwstr/>
      </vt:variant>
      <vt:variant>
        <vt:i4>2687026</vt:i4>
      </vt:variant>
      <vt:variant>
        <vt:i4>135</vt:i4>
      </vt:variant>
      <vt:variant>
        <vt:i4>0</vt:i4>
      </vt:variant>
      <vt:variant>
        <vt:i4>5</vt:i4>
      </vt:variant>
      <vt:variant>
        <vt:lpwstr>https://www.sps.nhs.uk/medicines/ciprofloxacin/</vt:lpwstr>
      </vt:variant>
      <vt:variant>
        <vt:lpwstr/>
      </vt:variant>
      <vt:variant>
        <vt:i4>196702</vt:i4>
      </vt:variant>
      <vt:variant>
        <vt:i4>132</vt:i4>
      </vt:variant>
      <vt:variant>
        <vt:i4>0</vt:i4>
      </vt:variant>
      <vt:variant>
        <vt:i4>5</vt:i4>
      </vt:variant>
      <vt:variant>
        <vt:lpwstr>https://www.sps.nhs.uk/medicines/calcitonin/</vt:lpwstr>
      </vt:variant>
      <vt:variant>
        <vt:lpwstr/>
      </vt:variant>
      <vt:variant>
        <vt:i4>7667749</vt:i4>
      </vt:variant>
      <vt:variant>
        <vt:i4>129</vt:i4>
      </vt:variant>
      <vt:variant>
        <vt:i4>0</vt:i4>
      </vt:variant>
      <vt:variant>
        <vt:i4>5</vt:i4>
      </vt:variant>
      <vt:variant>
        <vt:lpwstr>https://www.sps.nhs.uk/medicines/c1-esterase-inhibitor/</vt:lpwstr>
      </vt:variant>
      <vt:variant>
        <vt:lpwstr/>
      </vt:variant>
      <vt:variant>
        <vt:i4>2490478</vt:i4>
      </vt:variant>
      <vt:variant>
        <vt:i4>126</vt:i4>
      </vt:variant>
      <vt:variant>
        <vt:i4>0</vt:i4>
      </vt:variant>
      <vt:variant>
        <vt:i4>5</vt:i4>
      </vt:variant>
      <vt:variant>
        <vt:lpwstr>https://www.sps.nhs.uk/medicines/buprenorphine-samidorphan/</vt:lpwstr>
      </vt:variant>
      <vt:variant>
        <vt:lpwstr/>
      </vt:variant>
      <vt:variant>
        <vt:i4>2621493</vt:i4>
      </vt:variant>
      <vt:variant>
        <vt:i4>123</vt:i4>
      </vt:variant>
      <vt:variant>
        <vt:i4>0</vt:i4>
      </vt:variant>
      <vt:variant>
        <vt:i4>5</vt:i4>
      </vt:variant>
      <vt:variant>
        <vt:lpwstr>https://www.sps.nhs.uk/medicines/buprenorphine/</vt:lpwstr>
      </vt:variant>
      <vt:variant>
        <vt:lpwstr/>
      </vt:variant>
      <vt:variant>
        <vt:i4>3538984</vt:i4>
      </vt:variant>
      <vt:variant>
        <vt:i4>120</vt:i4>
      </vt:variant>
      <vt:variant>
        <vt:i4>0</vt:i4>
      </vt:variant>
      <vt:variant>
        <vt:i4>5</vt:i4>
      </vt:variant>
      <vt:variant>
        <vt:lpwstr>https://www.sps.nhs.uk/medicines/botulinum-a-toxin/</vt:lpwstr>
      </vt:variant>
      <vt:variant>
        <vt:lpwstr/>
      </vt:variant>
      <vt:variant>
        <vt:i4>458843</vt:i4>
      </vt:variant>
      <vt:variant>
        <vt:i4>117</vt:i4>
      </vt:variant>
      <vt:variant>
        <vt:i4>0</vt:i4>
      </vt:variant>
      <vt:variant>
        <vt:i4>5</vt:i4>
      </vt:variant>
      <vt:variant>
        <vt:lpwstr>https://www.sps.nhs.uk/medicines/biotin/</vt:lpwstr>
      </vt:variant>
      <vt:variant>
        <vt:lpwstr/>
      </vt:variant>
      <vt:variant>
        <vt:i4>3145761</vt:i4>
      </vt:variant>
      <vt:variant>
        <vt:i4>114</vt:i4>
      </vt:variant>
      <vt:variant>
        <vt:i4>0</vt:i4>
      </vt:variant>
      <vt:variant>
        <vt:i4>5</vt:i4>
      </vt:variant>
      <vt:variant>
        <vt:lpwstr>https://www.sps.nhs.uk/medicines/arbaclofen-placarbil/</vt:lpwstr>
      </vt:variant>
      <vt:variant>
        <vt:lpwstr/>
      </vt:variant>
      <vt:variant>
        <vt:i4>1572889</vt:i4>
      </vt:variant>
      <vt:variant>
        <vt:i4>111</vt:i4>
      </vt:variant>
      <vt:variant>
        <vt:i4>0</vt:i4>
      </vt:variant>
      <vt:variant>
        <vt:i4>5</vt:i4>
      </vt:variant>
      <vt:variant>
        <vt:lpwstr>https://www.sps.nhs.uk/medicines/valoctocogene-roxaparvovec/</vt:lpwstr>
      </vt:variant>
      <vt:variant>
        <vt:lpwstr/>
      </vt:variant>
      <vt:variant>
        <vt:i4>2031697</vt:i4>
      </vt:variant>
      <vt:variant>
        <vt:i4>108</vt:i4>
      </vt:variant>
      <vt:variant>
        <vt:i4>0</vt:i4>
      </vt:variant>
      <vt:variant>
        <vt:i4>5</vt:i4>
      </vt:variant>
      <vt:variant>
        <vt:lpwstr>https://www.sps.nhs.uk/medicines/meningococcal-groups-a-c-w135-y-vaccine/</vt:lpwstr>
      </vt:variant>
      <vt:variant>
        <vt:lpwstr/>
      </vt:variant>
      <vt:variant>
        <vt:i4>5374020</vt:i4>
      </vt:variant>
      <vt:variant>
        <vt:i4>105</vt:i4>
      </vt:variant>
      <vt:variant>
        <vt:i4>0</vt:i4>
      </vt:variant>
      <vt:variant>
        <vt:i4>5</vt:i4>
      </vt:variant>
      <vt:variant>
        <vt:lpwstr>https://www.sps.nhs.uk/medicines/encorafenib/</vt:lpwstr>
      </vt:variant>
      <vt:variant>
        <vt:lpwstr/>
      </vt:variant>
      <vt:variant>
        <vt:i4>7209001</vt:i4>
      </vt:variant>
      <vt:variant>
        <vt:i4>102</vt:i4>
      </vt:variant>
      <vt:variant>
        <vt:i4>0</vt:i4>
      </vt:variant>
      <vt:variant>
        <vt:i4>5</vt:i4>
      </vt:variant>
      <vt:variant>
        <vt:lpwstr>https://www.sps.nhs.uk/medicines/elexacaftor-ivacaftor-tezacaftor/</vt:lpwstr>
      </vt:variant>
      <vt:variant>
        <vt:lpwstr/>
      </vt:variant>
      <vt:variant>
        <vt:i4>4849729</vt:i4>
      </vt:variant>
      <vt:variant>
        <vt:i4>99</vt:i4>
      </vt:variant>
      <vt:variant>
        <vt:i4>0</vt:i4>
      </vt:variant>
      <vt:variant>
        <vt:i4>5</vt:i4>
      </vt:variant>
      <vt:variant>
        <vt:lpwstr>https://www.sps.nhs.uk/medicines/bulevirtide/</vt:lpwstr>
      </vt:variant>
      <vt:variant>
        <vt:lpwstr/>
      </vt:variant>
      <vt:variant>
        <vt:i4>5570637</vt:i4>
      </vt:variant>
      <vt:variant>
        <vt:i4>96</vt:i4>
      </vt:variant>
      <vt:variant>
        <vt:i4>0</vt:i4>
      </vt:variant>
      <vt:variant>
        <vt:i4>5</vt:i4>
      </vt:variant>
      <vt:variant>
        <vt:lpwstr>https://www.sps.nhs.uk/medicines/binimetinib/</vt:lpwstr>
      </vt:variant>
      <vt:variant>
        <vt:lpwstr/>
      </vt:variant>
      <vt:variant>
        <vt:i4>4128817</vt:i4>
      </vt:variant>
      <vt:variant>
        <vt:i4>93</vt:i4>
      </vt:variant>
      <vt:variant>
        <vt:i4>0</vt:i4>
      </vt:variant>
      <vt:variant>
        <vt:i4>5</vt:i4>
      </vt:variant>
      <vt:variant>
        <vt:lpwstr>https://www.sps.nhs.uk/medicines/ad26-ebov-vaccine/</vt:lpwstr>
      </vt:variant>
      <vt:variant>
        <vt:lpwstr/>
      </vt:variant>
      <vt:variant>
        <vt:i4>2555952</vt:i4>
      </vt:variant>
      <vt:variant>
        <vt:i4>90</vt:i4>
      </vt:variant>
      <vt:variant>
        <vt:i4>0</vt:i4>
      </vt:variant>
      <vt:variant>
        <vt:i4>5</vt:i4>
      </vt:variant>
      <vt:variant>
        <vt:lpwstr>https://www.sps.nhs.uk/medicines/acalabrutinib/</vt:lpwstr>
      </vt:variant>
      <vt:variant>
        <vt:lpwstr/>
      </vt:variant>
      <vt:variant>
        <vt:i4>2818164</vt:i4>
      </vt:variant>
      <vt:variant>
        <vt:i4>87</vt:i4>
      </vt:variant>
      <vt:variant>
        <vt:i4>0</vt:i4>
      </vt:variant>
      <vt:variant>
        <vt:i4>5</vt:i4>
      </vt:variant>
      <vt:variant>
        <vt:lpwstr>https://www.sps.nhs.uk/medicines/trastuzumab-emtansine/</vt:lpwstr>
      </vt:variant>
      <vt:variant>
        <vt:lpwstr/>
      </vt:variant>
      <vt:variant>
        <vt:i4>7471146</vt:i4>
      </vt:variant>
      <vt:variant>
        <vt:i4>84</vt:i4>
      </vt:variant>
      <vt:variant>
        <vt:i4>0</vt:i4>
      </vt:variant>
      <vt:variant>
        <vt:i4>5</vt:i4>
      </vt:variant>
      <vt:variant>
        <vt:lpwstr>https://www.sps.nhs.uk/medicines/solriamfetol/</vt:lpwstr>
      </vt:variant>
      <vt:variant>
        <vt:lpwstr/>
      </vt:variant>
      <vt:variant>
        <vt:i4>2621480</vt:i4>
      </vt:variant>
      <vt:variant>
        <vt:i4>81</vt:i4>
      </vt:variant>
      <vt:variant>
        <vt:i4>0</vt:i4>
      </vt:variant>
      <vt:variant>
        <vt:i4>5</vt:i4>
      </vt:variant>
      <vt:variant>
        <vt:lpwstr>https://www.sps.nhs.uk/medicines/siponimod/</vt:lpwstr>
      </vt:variant>
      <vt:variant>
        <vt:lpwstr/>
      </vt:variant>
      <vt:variant>
        <vt:i4>5308487</vt:i4>
      </vt:variant>
      <vt:variant>
        <vt:i4>78</vt:i4>
      </vt:variant>
      <vt:variant>
        <vt:i4>0</vt:i4>
      </vt:variant>
      <vt:variant>
        <vt:i4>5</vt:i4>
      </vt:variant>
      <vt:variant>
        <vt:lpwstr>https://www.sps.nhs.uk/medicines/polatuzumab/</vt:lpwstr>
      </vt:variant>
      <vt:variant>
        <vt:lpwstr/>
      </vt:variant>
      <vt:variant>
        <vt:i4>6946876</vt:i4>
      </vt:variant>
      <vt:variant>
        <vt:i4>75</vt:i4>
      </vt:variant>
      <vt:variant>
        <vt:i4>0</vt:i4>
      </vt:variant>
      <vt:variant>
        <vt:i4>5</vt:i4>
      </vt:variant>
      <vt:variant>
        <vt:lpwstr>https://www.sps.nhs.uk/medicines/osilodrostat/</vt:lpwstr>
      </vt:variant>
      <vt:variant>
        <vt:lpwstr/>
      </vt:variant>
      <vt:variant>
        <vt:i4>6291494</vt:i4>
      </vt:variant>
      <vt:variant>
        <vt:i4>72</vt:i4>
      </vt:variant>
      <vt:variant>
        <vt:i4>0</vt:i4>
      </vt:variant>
      <vt:variant>
        <vt:i4>5</vt:i4>
      </vt:variant>
      <vt:variant>
        <vt:lpwstr>https://www.sps.nhs.uk/medicines/lenalidomide/</vt:lpwstr>
      </vt:variant>
      <vt:variant>
        <vt:lpwstr/>
      </vt:variant>
      <vt:variant>
        <vt:i4>7733280</vt:i4>
      </vt:variant>
      <vt:variant>
        <vt:i4>69</vt:i4>
      </vt:variant>
      <vt:variant>
        <vt:i4>0</vt:i4>
      </vt:variant>
      <vt:variant>
        <vt:i4>5</vt:i4>
      </vt:variant>
      <vt:variant>
        <vt:lpwstr>https://www.sps.nhs.uk/medicines/fostamatinib-disodium/</vt:lpwstr>
      </vt:variant>
      <vt:variant>
        <vt:lpwstr/>
      </vt:variant>
      <vt:variant>
        <vt:i4>3342373</vt:i4>
      </vt:variant>
      <vt:variant>
        <vt:i4>66</vt:i4>
      </vt:variant>
      <vt:variant>
        <vt:i4>0</vt:i4>
      </vt:variant>
      <vt:variant>
        <vt:i4>5</vt:i4>
      </vt:variant>
      <vt:variant>
        <vt:lpwstr>https://www.sps.nhs.uk/medicines/trientine/</vt:lpwstr>
      </vt:variant>
      <vt:variant>
        <vt:lpwstr/>
      </vt:variant>
      <vt:variant>
        <vt:i4>1900625</vt:i4>
      </vt:variant>
      <vt:variant>
        <vt:i4>63</vt:i4>
      </vt:variant>
      <vt:variant>
        <vt:i4>0</vt:i4>
      </vt:variant>
      <vt:variant>
        <vt:i4>5</vt:i4>
      </vt:variant>
      <vt:variant>
        <vt:lpwstr>https://www.sps.nhs.uk/medicines/netarsudil-mesilate/</vt:lpwstr>
      </vt:variant>
      <vt:variant>
        <vt:lpwstr/>
      </vt:variant>
      <vt:variant>
        <vt:i4>7143468</vt:i4>
      </vt:variant>
      <vt:variant>
        <vt:i4>60</vt:i4>
      </vt:variant>
      <vt:variant>
        <vt:i4>0</vt:i4>
      </vt:variant>
      <vt:variant>
        <vt:i4>5</vt:i4>
      </vt:variant>
      <vt:variant>
        <vt:lpwstr>https://www.sps.nhs.uk/medicines/levodopa/</vt:lpwstr>
      </vt:variant>
      <vt:variant>
        <vt:lpwstr/>
      </vt:variant>
      <vt:variant>
        <vt:i4>852061</vt:i4>
      </vt:variant>
      <vt:variant>
        <vt:i4>57</vt:i4>
      </vt:variant>
      <vt:variant>
        <vt:i4>0</vt:i4>
      </vt:variant>
      <vt:variant>
        <vt:i4>5</vt:i4>
      </vt:variant>
      <vt:variant>
        <vt:lpwstr>https://www.sps.nhs.uk/medicines/infliximab/</vt:lpwstr>
      </vt:variant>
      <vt:variant>
        <vt:lpwstr/>
      </vt:variant>
      <vt:variant>
        <vt:i4>4063335</vt:i4>
      </vt:variant>
      <vt:variant>
        <vt:i4>54</vt:i4>
      </vt:variant>
      <vt:variant>
        <vt:i4>0</vt:i4>
      </vt:variant>
      <vt:variant>
        <vt:i4>5</vt:i4>
      </vt:variant>
      <vt:variant>
        <vt:lpwstr>https://www.sps.nhs.uk/medicines/ebola-vaccine/</vt:lpwstr>
      </vt:variant>
      <vt:variant>
        <vt:lpwstr/>
      </vt:variant>
      <vt:variant>
        <vt:i4>2621493</vt:i4>
      </vt:variant>
      <vt:variant>
        <vt:i4>51</vt:i4>
      </vt:variant>
      <vt:variant>
        <vt:i4>0</vt:i4>
      </vt:variant>
      <vt:variant>
        <vt:i4>5</vt:i4>
      </vt:variant>
      <vt:variant>
        <vt:lpwstr>https://www.sps.nhs.uk/medicines/buprenorphine/</vt:lpwstr>
      </vt:variant>
      <vt:variant>
        <vt:lpwstr/>
      </vt:variant>
      <vt:variant>
        <vt:i4>1179726</vt:i4>
      </vt:variant>
      <vt:variant>
        <vt:i4>48</vt:i4>
      </vt:variant>
      <vt:variant>
        <vt:i4>0</vt:i4>
      </vt:variant>
      <vt:variant>
        <vt:i4>5</vt:i4>
      </vt:variant>
      <vt:variant>
        <vt:lpwstr>https://www.sps.nhs.uk/medicines/arginine-lysine/</vt:lpwstr>
      </vt:variant>
      <vt:variant>
        <vt:lpwstr/>
      </vt:variant>
      <vt:variant>
        <vt:i4>7798824</vt:i4>
      </vt:variant>
      <vt:variant>
        <vt:i4>45</vt:i4>
      </vt:variant>
      <vt:variant>
        <vt:i4>0</vt:i4>
      </vt:variant>
      <vt:variant>
        <vt:i4>5</vt:i4>
      </vt:variant>
      <vt:variant>
        <vt:lpwstr>https://www.sps.nhs.uk/medicines/teriparatide/</vt:lpwstr>
      </vt:variant>
      <vt:variant>
        <vt:lpwstr/>
      </vt:variant>
      <vt:variant>
        <vt:i4>5767235</vt:i4>
      </vt:variant>
      <vt:variant>
        <vt:i4>42</vt:i4>
      </vt:variant>
      <vt:variant>
        <vt:i4>0</vt:i4>
      </vt:variant>
      <vt:variant>
        <vt:i4>5</vt:i4>
      </vt:variant>
      <vt:variant>
        <vt:lpwstr>https://www.sps.nhs.uk/medicines/paracetamol/</vt:lpwstr>
      </vt:variant>
      <vt:variant>
        <vt:lpwstr/>
      </vt:variant>
      <vt:variant>
        <vt:i4>2162736</vt:i4>
      </vt:variant>
      <vt:variant>
        <vt:i4>39</vt:i4>
      </vt:variant>
      <vt:variant>
        <vt:i4>0</vt:i4>
      </vt:variant>
      <vt:variant>
        <vt:i4>5</vt:i4>
      </vt:variant>
      <vt:variant>
        <vt:lpwstr>https://www.sps.nhs.uk/articles/ukmi-product-safety-assessments-2/</vt:lpwstr>
      </vt:variant>
      <vt:variant>
        <vt:lpwstr/>
      </vt:variant>
      <vt:variant>
        <vt:i4>5767196</vt:i4>
      </vt:variant>
      <vt:variant>
        <vt:i4>36</vt:i4>
      </vt:variant>
      <vt:variant>
        <vt:i4>0</vt:i4>
      </vt:variant>
      <vt:variant>
        <vt:i4>5</vt:i4>
      </vt:variant>
      <vt:variant>
        <vt:lpwstr>https://www.sps.nhs.uk/articles/prioritising-new-products-for-a-ukmi-product-safety-assessment-a-resource-for-ukmi-patient-safety-working-group/</vt:lpwstr>
      </vt:variant>
      <vt:variant>
        <vt:lpwstr/>
      </vt:variant>
      <vt:variant>
        <vt:i4>3211304</vt:i4>
      </vt:variant>
      <vt:variant>
        <vt:i4>33</vt:i4>
      </vt:variant>
      <vt:variant>
        <vt:i4>0</vt:i4>
      </vt:variant>
      <vt:variant>
        <vt:i4>5</vt:i4>
      </vt:variant>
      <vt:variant>
        <vt:lpwstr>https://www.sps.nhs.uk/medicines/zanamivir/</vt:lpwstr>
      </vt:variant>
      <vt:variant>
        <vt:lpwstr/>
      </vt:variant>
      <vt:variant>
        <vt:i4>5111887</vt:i4>
      </vt:variant>
      <vt:variant>
        <vt:i4>30</vt:i4>
      </vt:variant>
      <vt:variant>
        <vt:i4>0</vt:i4>
      </vt:variant>
      <vt:variant>
        <vt:i4>5</vt:i4>
      </vt:variant>
      <vt:variant>
        <vt:lpwstr>https://www.sps.nhs.uk/medicines/talazoparib/</vt:lpwstr>
      </vt:variant>
      <vt:variant>
        <vt:lpwstr/>
      </vt:variant>
      <vt:variant>
        <vt:i4>4653149</vt:i4>
      </vt:variant>
      <vt:variant>
        <vt:i4>27</vt:i4>
      </vt:variant>
      <vt:variant>
        <vt:i4>0</vt:i4>
      </vt:variant>
      <vt:variant>
        <vt:i4>5</vt:i4>
      </vt:variant>
      <vt:variant>
        <vt:lpwstr>https://www.sps.nhs.uk/medicines/ranibizumab/</vt:lpwstr>
      </vt:variant>
      <vt:variant>
        <vt:lpwstr/>
      </vt:variant>
      <vt:variant>
        <vt:i4>3801149</vt:i4>
      </vt:variant>
      <vt:variant>
        <vt:i4>24</vt:i4>
      </vt:variant>
      <vt:variant>
        <vt:i4>0</vt:i4>
      </vt:variant>
      <vt:variant>
        <vt:i4>5</vt:i4>
      </vt:variant>
      <vt:variant>
        <vt:lpwstr>https://www.sps.nhs.uk/medicines/pembrolizumab/</vt:lpwstr>
      </vt:variant>
      <vt:variant>
        <vt:lpwstr/>
      </vt:variant>
      <vt:variant>
        <vt:i4>7602210</vt:i4>
      </vt:variant>
      <vt:variant>
        <vt:i4>21</vt:i4>
      </vt:variant>
      <vt:variant>
        <vt:i4>0</vt:i4>
      </vt:variant>
      <vt:variant>
        <vt:i4>5</vt:i4>
      </vt:variant>
      <vt:variant>
        <vt:lpwstr>https://www.sps.nhs.uk/medicines/nicotine/</vt:lpwstr>
      </vt:variant>
      <vt:variant>
        <vt:lpwstr/>
      </vt:variant>
      <vt:variant>
        <vt:i4>4063329</vt:i4>
      </vt:variant>
      <vt:variant>
        <vt:i4>18</vt:i4>
      </vt:variant>
      <vt:variant>
        <vt:i4>0</vt:i4>
      </vt:variant>
      <vt:variant>
        <vt:i4>5</vt:i4>
      </vt:variant>
      <vt:variant>
        <vt:lpwstr>https://www.sps.nhs.uk/medicines/meropenem-vaborbactam/</vt:lpwstr>
      </vt:variant>
      <vt:variant>
        <vt:lpwstr/>
      </vt:variant>
      <vt:variant>
        <vt:i4>4980828</vt:i4>
      </vt:variant>
      <vt:variant>
        <vt:i4>15</vt:i4>
      </vt:variant>
      <vt:variant>
        <vt:i4>0</vt:i4>
      </vt:variant>
      <vt:variant>
        <vt:i4>5</vt:i4>
      </vt:variant>
      <vt:variant>
        <vt:lpwstr>https://www.sps.nhs.uk/medicines/liraglutide/</vt:lpwstr>
      </vt:variant>
      <vt:variant>
        <vt:lpwstr/>
      </vt:variant>
      <vt:variant>
        <vt:i4>6553663</vt:i4>
      </vt:variant>
      <vt:variant>
        <vt:i4>12</vt:i4>
      </vt:variant>
      <vt:variant>
        <vt:i4>0</vt:i4>
      </vt:variant>
      <vt:variant>
        <vt:i4>5</vt:i4>
      </vt:variant>
      <vt:variant>
        <vt:lpwstr>https://www.sps.nhs.uk/medicines/gilteritinib/</vt:lpwstr>
      </vt:variant>
      <vt:variant>
        <vt:lpwstr/>
      </vt:variant>
      <vt:variant>
        <vt:i4>4980809</vt:i4>
      </vt:variant>
      <vt:variant>
        <vt:i4>9</vt:i4>
      </vt:variant>
      <vt:variant>
        <vt:i4>0</vt:i4>
      </vt:variant>
      <vt:variant>
        <vt:i4>5</vt:i4>
      </vt:variant>
      <vt:variant>
        <vt:lpwstr>https://www.sps.nhs.uk/medicines/daratumumab/</vt:lpwstr>
      </vt:variant>
      <vt:variant>
        <vt:lpwstr/>
      </vt:variant>
      <vt:variant>
        <vt:i4>2883621</vt:i4>
      </vt:variant>
      <vt:variant>
        <vt:i4>6</vt:i4>
      </vt:variant>
      <vt:variant>
        <vt:i4>0</vt:i4>
      </vt:variant>
      <vt:variant>
        <vt:i4>5</vt:i4>
      </vt:variant>
      <vt:variant>
        <vt:lpwstr>https://www.sps.nhs.uk/medicines/beclometasone/</vt:lpwstr>
      </vt:variant>
      <vt:variant>
        <vt:lpwstr/>
      </vt:variant>
      <vt:variant>
        <vt:i4>589864</vt:i4>
      </vt:variant>
      <vt:variant>
        <vt:i4>3</vt:i4>
      </vt:variant>
      <vt:variant>
        <vt:i4>0</vt:i4>
      </vt:variant>
      <vt:variant>
        <vt:i4>5</vt:i4>
      </vt:variant>
      <vt:variant>
        <vt:lpwstr>mailto:nwmedinfo@nhs.net?subject=New%20Medicines%20Newsletter</vt:lpwstr>
      </vt:variant>
      <vt:variant>
        <vt:lpwstr/>
      </vt:variant>
      <vt:variant>
        <vt:i4>7077923</vt:i4>
      </vt:variant>
      <vt:variant>
        <vt:i4>0</vt:i4>
      </vt:variant>
      <vt:variant>
        <vt:i4>0</vt:i4>
      </vt:variant>
      <vt:variant>
        <vt:i4>5</vt:i4>
      </vt:variant>
      <vt:variant>
        <vt:lpwstr>http://www.sps.nhs.uk/</vt:lpwstr>
      </vt:variant>
      <vt:variant>
        <vt:lpwstr/>
      </vt:variant>
      <vt:variant>
        <vt:i4>589864</vt:i4>
      </vt:variant>
      <vt:variant>
        <vt:i4>18</vt:i4>
      </vt:variant>
      <vt:variant>
        <vt:i4>0</vt:i4>
      </vt:variant>
      <vt:variant>
        <vt:i4>5</vt:i4>
      </vt:variant>
      <vt:variant>
        <vt:lpwstr>mailto:nwmedinfo@nhs.net?subject=New%20Medicines%20Newsletter</vt:lpwstr>
      </vt:variant>
      <vt:variant>
        <vt:lpwstr/>
      </vt:variant>
      <vt:variant>
        <vt:i4>7929901</vt:i4>
      </vt:variant>
      <vt:variant>
        <vt:i4>15</vt:i4>
      </vt:variant>
      <vt:variant>
        <vt:i4>0</vt:i4>
      </vt:variant>
      <vt:variant>
        <vt:i4>5</vt:i4>
      </vt:variant>
      <vt:variant>
        <vt:lpwstr>https://www.sps.nhs.uk/wp-login.php?action=register</vt:lpwstr>
      </vt:variant>
      <vt:variant>
        <vt:lpwstr/>
      </vt:variant>
      <vt:variant>
        <vt:i4>7077923</vt:i4>
      </vt:variant>
      <vt:variant>
        <vt:i4>12</vt:i4>
      </vt:variant>
      <vt:variant>
        <vt:i4>0</vt:i4>
      </vt:variant>
      <vt:variant>
        <vt:i4>5</vt:i4>
      </vt:variant>
      <vt:variant>
        <vt:lpwstr>http://www.sps.nhs.uk/</vt:lpwstr>
      </vt:variant>
      <vt:variant>
        <vt:lpwstr/>
      </vt:variant>
      <vt:variant>
        <vt:i4>3211377</vt:i4>
      </vt:variant>
      <vt:variant>
        <vt:i4>9</vt:i4>
      </vt:variant>
      <vt:variant>
        <vt:i4>0</vt:i4>
      </vt:variant>
      <vt:variant>
        <vt:i4>5</vt:i4>
      </vt:variant>
      <vt:variant>
        <vt:lpwstr>http://www.ukmi.nhs.uk/ndo</vt:lpwstr>
      </vt:variant>
      <vt:variant>
        <vt:lpwstr/>
      </vt:variant>
      <vt:variant>
        <vt:i4>1638407</vt:i4>
      </vt:variant>
      <vt:variant>
        <vt:i4>6</vt:i4>
      </vt:variant>
      <vt:variant>
        <vt:i4>0</vt:i4>
      </vt:variant>
      <vt:variant>
        <vt:i4>5</vt:i4>
      </vt:variant>
      <vt:variant>
        <vt:lpwstr>https://www.sps.nhs.uk/prescribing-outlook-2019/</vt:lpwstr>
      </vt:variant>
      <vt:variant>
        <vt:lpwstr/>
      </vt:variant>
      <vt:variant>
        <vt:i4>7405691</vt:i4>
      </vt:variant>
      <vt:variant>
        <vt:i4>3</vt:i4>
      </vt:variant>
      <vt:variant>
        <vt:i4>0</vt:i4>
      </vt:variant>
      <vt:variant>
        <vt:i4>5</vt:i4>
      </vt:variant>
      <vt:variant>
        <vt:lpwstr>https://www.sps.nhs.uk/category/new-medicines/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NDO home | Contact | Register for NDO access</dc:title>
  <dc:creator>McEntee Joanne (RQ6) RLBUHT</dc:creator>
  <cp:lastModifiedBy>Joanne McEntee</cp:lastModifiedBy>
  <cp:revision>399</cp:revision>
  <cp:lastPrinted>2019-12-09T12:59:00Z</cp:lastPrinted>
  <dcterms:created xsi:type="dcterms:W3CDTF">2025-09-20T06:39:00Z</dcterms:created>
  <dcterms:modified xsi:type="dcterms:W3CDTF">2025-10-08T20:40:00Z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0x010100EF9F8181707A014BAADECFD0EF2EB9F0</vt:lpwstr>
  </property>
  <property fmtid="{D5CDD505-2E9C-101B-9397-08002B2CF9AE}" pid="4" name="MediaServiceImageTags">
    <vt:lpwstr/>
  </property>
  <property fmtid="{D5CDD505-2E9C-101B-9397-08002B2CF9AE}" pid="5" name="docLang">
    <vt:lpwstr>en</vt:lpwstr>
  </property>
</Properties>
</file>