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8C8C" w14:textId="342B5C20" w:rsidR="00B85859" w:rsidRPr="001C32F4" w:rsidRDefault="001C32F4" w:rsidP="001C32F4">
      <w:pPr>
        <w:jc w:val="right"/>
        <w:rPr>
          <w:rFonts w:cs="Arial"/>
          <w:b/>
          <w:bCs/>
          <w:iCs/>
          <w:color w:val="0070C0"/>
          <w:sz w:val="15"/>
          <w:szCs w:val="15"/>
          <w:lang w:val="en-US"/>
        </w:rPr>
      </w:pPr>
      <w:r>
        <w:rPr>
          <w:rFonts w:cs="Arial"/>
          <w:b/>
          <w:bCs/>
          <w:iCs/>
          <w:color w:val="333399"/>
          <w:sz w:val="15"/>
          <w:szCs w:val="15"/>
          <w:lang w:val="en-US"/>
        </w:rPr>
        <w:t xml:space="preserve">   </w:t>
      </w:r>
      <w:r w:rsidRPr="00862949">
        <w:rPr>
          <w:rFonts w:cs="Arial"/>
          <w:b/>
          <w:bCs/>
          <w:iCs/>
          <w:color w:val="333399"/>
          <w:sz w:val="15"/>
          <w:szCs w:val="15"/>
          <w:lang w:val="en-US"/>
        </w:rPr>
        <w:t xml:space="preserve">  </w:t>
      </w:r>
      <w:hyperlink r:id="rId8" w:tgtFrame="_blank" w:history="1">
        <w:r w:rsidRPr="009B0BCE">
          <w:rPr>
            <w:rStyle w:val="Hyperlink"/>
            <w:rFonts w:ascii="Arial" w:hAnsi="Arial" w:cs="Arial"/>
            <w:b/>
            <w:bCs/>
            <w:iCs/>
            <w:color w:val="0070C0"/>
            <w:sz w:val="20"/>
            <w:szCs w:val="15"/>
            <w:lang w:val="en-US"/>
          </w:rPr>
          <w:t>SPS home</w:t>
        </w:r>
      </w:hyperlink>
      <w:r w:rsidRPr="009B0BCE">
        <w:rPr>
          <w:rFonts w:cs="Arial"/>
          <w:b/>
          <w:bCs/>
          <w:iCs/>
          <w:color w:val="0070C0"/>
          <w:sz w:val="20"/>
          <w:szCs w:val="15"/>
          <w:lang w:val="en-US"/>
        </w:rPr>
        <w:t xml:space="preserve"> | </w:t>
      </w:r>
      <w:hyperlink r:id="rId9" w:history="1">
        <w:r w:rsidRPr="009B0BCE">
          <w:rPr>
            <w:rStyle w:val="Hyperlink"/>
            <w:rFonts w:ascii="Arial" w:hAnsi="Arial" w:cs="Arial"/>
            <w:b/>
            <w:bCs/>
            <w:iCs/>
            <w:color w:val="0070C0"/>
            <w:sz w:val="20"/>
            <w:szCs w:val="15"/>
            <w:lang w:val="en-US"/>
          </w:rPr>
          <w:t>Contact</w:t>
        </w:r>
      </w:hyperlink>
    </w:p>
    <w:p w14:paraId="0E1DA2F3" w14:textId="2200E9D2" w:rsidR="001C32F4" w:rsidRDefault="001C32F4" w:rsidP="00727945">
      <w:pPr>
        <w:rPr>
          <w:rFonts w:ascii="Latha" w:hAnsi="Latha" w:cs="Latha"/>
          <w:sz w:val="8"/>
          <w:szCs w:val="8"/>
        </w:rPr>
      </w:pPr>
    </w:p>
    <w:p w14:paraId="1816D0D8" w14:textId="77777777" w:rsidR="001C32F4" w:rsidRDefault="001C32F4" w:rsidP="00727945">
      <w:pPr>
        <w:rPr>
          <w:rFonts w:ascii="Latha" w:hAnsi="Latha" w:cs="Latha"/>
          <w:sz w:val="8"/>
          <w:szCs w:val="8"/>
        </w:rPr>
      </w:pPr>
    </w:p>
    <w:tbl>
      <w:tblPr>
        <w:tblW w:w="5170" w:type="pct"/>
        <w:tblInd w:w="-176" w:type="dxa"/>
        <w:tblLayout w:type="fixed"/>
        <w:tblLook w:val="01E0" w:firstRow="1" w:lastRow="1" w:firstColumn="1" w:lastColumn="1" w:noHBand="0" w:noVBand="0"/>
      </w:tblPr>
      <w:tblGrid>
        <w:gridCol w:w="3153"/>
        <w:gridCol w:w="7398"/>
      </w:tblGrid>
      <w:tr w:rsidR="0020101A" w:rsidRPr="00862949" w14:paraId="0F42D802" w14:textId="77777777" w:rsidTr="002772ED">
        <w:tc>
          <w:tcPr>
            <w:tcW w:w="5000" w:type="pct"/>
            <w:gridSpan w:val="2"/>
            <w:shd w:val="clear" w:color="auto" w:fill="0070C0"/>
            <w:tcMar>
              <w:top w:w="85" w:type="dxa"/>
              <w:bottom w:w="85" w:type="dxa"/>
            </w:tcMar>
            <w:vAlign w:val="bottom"/>
          </w:tcPr>
          <w:p w14:paraId="6B3C9C3E" w14:textId="77777777" w:rsidR="0020101A" w:rsidRPr="00862949" w:rsidRDefault="0020101A" w:rsidP="00720F9E">
            <w:pPr>
              <w:rPr>
                <w:rFonts w:cs="Arial"/>
                <w:color w:val="FFFFFF"/>
                <w:sz w:val="15"/>
                <w:szCs w:val="15"/>
              </w:rPr>
            </w:pPr>
            <w:r>
              <w:rPr>
                <w:rFonts w:cs="Arial"/>
                <w:b/>
                <w:bCs/>
                <w:iCs/>
                <w:color w:val="FFFFFF"/>
                <w:sz w:val="28"/>
                <w:szCs w:val="28"/>
                <w:lang w:val="en-US"/>
              </w:rPr>
              <w:t>New product information</w:t>
            </w:r>
            <w:r w:rsidRPr="00862949">
              <w:rPr>
                <w:rFonts w:cs="Arial"/>
                <w:b/>
                <w:bCs/>
                <w:iCs/>
                <w:color w:val="FFFFFF"/>
                <w:sz w:val="28"/>
                <w:szCs w:val="28"/>
                <w:lang w:val="en-US"/>
              </w:rPr>
              <w:tab/>
            </w:r>
          </w:p>
        </w:tc>
      </w:tr>
      <w:tr w:rsidR="0020101A" w:rsidRPr="00862949" w14:paraId="5B92DF9C" w14:textId="77777777" w:rsidTr="002772ED">
        <w:tc>
          <w:tcPr>
            <w:tcW w:w="5000" w:type="pct"/>
            <w:gridSpan w:val="2"/>
            <w:shd w:val="clear" w:color="auto" w:fill="DAEEF3"/>
            <w:tcMar>
              <w:top w:w="0" w:type="dxa"/>
              <w:bottom w:w="0" w:type="dxa"/>
            </w:tcMar>
          </w:tcPr>
          <w:p w14:paraId="12658458" w14:textId="77777777" w:rsidR="0020101A" w:rsidRPr="00862949" w:rsidRDefault="0020101A" w:rsidP="00720F9E">
            <w:pPr>
              <w:rPr>
                <w:rFonts w:cs="Arial"/>
                <w:b/>
                <w:bCs/>
                <w:i/>
                <w:iCs/>
                <w:color w:val="000000"/>
                <w:sz w:val="8"/>
                <w:szCs w:val="8"/>
                <w:lang w:val="en-US"/>
              </w:rPr>
            </w:pPr>
          </w:p>
        </w:tc>
      </w:tr>
      <w:tr w:rsidR="0020101A" w:rsidRPr="00862949" w14:paraId="1137F578" w14:textId="77777777" w:rsidTr="002772ED">
        <w:tc>
          <w:tcPr>
            <w:tcW w:w="5000" w:type="pct"/>
            <w:gridSpan w:val="2"/>
            <w:shd w:val="clear" w:color="auto" w:fill="00B050"/>
            <w:tcMar>
              <w:top w:w="57" w:type="dxa"/>
              <w:bottom w:w="57" w:type="dxa"/>
            </w:tcMar>
          </w:tcPr>
          <w:p w14:paraId="2C9953FE" w14:textId="77777777" w:rsidR="0020101A" w:rsidRPr="00433D3E" w:rsidRDefault="0020101A" w:rsidP="00720F9E">
            <w:pPr>
              <w:rPr>
                <w:rFonts w:cs="Arial"/>
                <w:color w:val="FFFFFF"/>
                <w:sz w:val="20"/>
                <w:szCs w:val="20"/>
              </w:rPr>
            </w:pPr>
            <w:r w:rsidRPr="00433D3E">
              <w:rPr>
                <w:rFonts w:cs="Arial"/>
                <w:b/>
                <w:bCs/>
                <w:i/>
                <w:iCs/>
                <w:color w:val="FFFFFF"/>
                <w:sz w:val="22"/>
                <w:szCs w:val="20"/>
                <w:lang w:val="en-US"/>
              </w:rPr>
              <w:t>Launched in the UK (or licence change for existing products)</w:t>
            </w:r>
          </w:p>
        </w:tc>
      </w:tr>
      <w:tr w:rsidR="00BE15A9" w:rsidRPr="00131D4C" w14:paraId="2F8B9E59" w14:textId="77777777" w:rsidTr="004F4B63">
        <w:tc>
          <w:tcPr>
            <w:tcW w:w="1494" w:type="pct"/>
            <w:shd w:val="clear" w:color="auto" w:fill="auto"/>
            <w:tcMar>
              <w:top w:w="57" w:type="dxa"/>
              <w:left w:w="170" w:type="dxa"/>
              <w:bottom w:w="57" w:type="dxa"/>
              <w:right w:w="170" w:type="dxa"/>
            </w:tcMar>
          </w:tcPr>
          <w:p w14:paraId="0FFCEE90" w14:textId="77777777" w:rsidR="00BE15A9" w:rsidRDefault="006C2D0E" w:rsidP="0070555E">
            <w:pPr>
              <w:rPr>
                <w:rFonts w:cs="Arial"/>
                <w:szCs w:val="19"/>
              </w:rPr>
            </w:pPr>
            <w:r w:rsidRPr="006C2D0E">
              <w:rPr>
                <w:rFonts w:cs="Arial"/>
                <w:szCs w:val="19"/>
              </w:rPr>
              <w:t>Anastrozole</w:t>
            </w:r>
            <w:r>
              <w:rPr>
                <w:rFonts w:cs="Arial"/>
                <w:szCs w:val="19"/>
              </w:rPr>
              <w:t xml:space="preserve"> </w:t>
            </w:r>
          </w:p>
          <w:p w14:paraId="2AD0A6EE" w14:textId="4277EF2F" w:rsidR="006C2D0E" w:rsidRPr="0011452F" w:rsidRDefault="006C2D0E" w:rsidP="0070555E">
            <w:pPr>
              <w:rPr>
                <w:rFonts w:cs="Arial"/>
                <w:szCs w:val="19"/>
              </w:rPr>
            </w:pPr>
            <w:r w:rsidRPr="006C2D0E">
              <w:rPr>
                <w:rFonts w:cs="Arial"/>
                <w:sz w:val="16"/>
                <w:szCs w:val="16"/>
              </w:rPr>
              <w:t>1mg tablet</w:t>
            </w:r>
          </w:p>
        </w:tc>
        <w:tc>
          <w:tcPr>
            <w:tcW w:w="3506" w:type="pct"/>
            <w:shd w:val="clear" w:color="auto" w:fill="auto"/>
            <w:tcMar>
              <w:top w:w="57" w:type="dxa"/>
              <w:left w:w="170" w:type="dxa"/>
              <w:bottom w:w="57" w:type="dxa"/>
              <w:right w:w="170" w:type="dxa"/>
            </w:tcMar>
          </w:tcPr>
          <w:p w14:paraId="21A0C3FE" w14:textId="35984F42" w:rsidR="00BE15A9" w:rsidRPr="006C2D0E" w:rsidRDefault="006C2D0E" w:rsidP="0011452F">
            <w:pPr>
              <w:tabs>
                <w:tab w:val="center" w:pos="3152"/>
              </w:tabs>
              <w:rPr>
                <w:rFonts w:cs="Arial"/>
                <w:i/>
                <w:iCs/>
                <w:szCs w:val="19"/>
                <w:lang w:val="en-US"/>
              </w:rPr>
            </w:pPr>
            <w:r w:rsidRPr="006C2D0E">
              <w:rPr>
                <w:rFonts w:cs="Arial"/>
                <w:szCs w:val="19"/>
                <w:lang w:val="en-US"/>
              </w:rPr>
              <w:t>Primary prevention of breast cancer in postmenopausal women at moderate or high risk</w:t>
            </w:r>
            <w:r>
              <w:rPr>
                <w:rFonts w:cs="Arial"/>
                <w:szCs w:val="19"/>
                <w:lang w:val="en-US"/>
              </w:rPr>
              <w:t xml:space="preserve"> </w:t>
            </w:r>
            <w:r w:rsidRPr="006C2D0E">
              <w:rPr>
                <w:rFonts w:cs="Arial"/>
                <w:sz w:val="16"/>
                <w:szCs w:val="16"/>
                <w:lang w:val="en-US"/>
              </w:rPr>
              <w:t xml:space="preserve">[new indication </w:t>
            </w:r>
            <w:r>
              <w:rPr>
                <w:rFonts w:cs="Arial"/>
                <w:sz w:val="16"/>
                <w:szCs w:val="16"/>
                <w:lang w:val="en-US"/>
              </w:rPr>
              <w:t xml:space="preserve">initially </w:t>
            </w:r>
            <w:r w:rsidRPr="006C2D0E">
              <w:rPr>
                <w:rFonts w:cs="Arial"/>
                <w:sz w:val="16"/>
                <w:szCs w:val="16"/>
                <w:lang w:val="en-US"/>
              </w:rPr>
              <w:t>for Ac</w:t>
            </w:r>
            <w:r w:rsidR="003B33EB">
              <w:rPr>
                <w:rFonts w:cs="Arial"/>
                <w:sz w:val="16"/>
                <w:szCs w:val="16"/>
                <w:lang w:val="en-US"/>
              </w:rPr>
              <w:t>cord</w:t>
            </w:r>
            <w:r w:rsidRPr="006C2D0E">
              <w:rPr>
                <w:rFonts w:cs="Arial"/>
                <w:sz w:val="16"/>
                <w:szCs w:val="16"/>
                <w:lang w:val="en-US"/>
              </w:rPr>
              <w:t xml:space="preserve"> brand</w:t>
            </w:r>
            <w:r w:rsidR="006F4643">
              <w:rPr>
                <w:rFonts w:cs="Arial"/>
                <w:sz w:val="16"/>
                <w:szCs w:val="16"/>
                <w:lang w:val="en-US"/>
              </w:rPr>
              <w:t xml:space="preserve"> only</w:t>
            </w:r>
            <w:r w:rsidRPr="006C2D0E">
              <w:rPr>
                <w:rFonts w:cs="Arial"/>
                <w:sz w:val="16"/>
                <w:szCs w:val="16"/>
                <w:lang w:val="en-US"/>
              </w:rPr>
              <w:t>]</w:t>
            </w:r>
            <w:r>
              <w:rPr>
                <w:rFonts w:cs="Arial"/>
                <w:sz w:val="16"/>
                <w:szCs w:val="16"/>
                <w:lang w:val="en-US"/>
              </w:rPr>
              <w:t xml:space="preserve"> </w:t>
            </w:r>
            <w:r>
              <w:rPr>
                <w:rFonts w:cs="Arial"/>
                <w:i/>
                <w:iCs/>
                <w:sz w:val="16"/>
                <w:szCs w:val="16"/>
                <w:lang w:val="en-US"/>
              </w:rPr>
              <w:t xml:space="preserve">For more details, see NHS England </w:t>
            </w:r>
            <w:hyperlink r:id="rId10" w:history="1">
              <w:r w:rsidRPr="006C2D0E">
                <w:rPr>
                  <w:rStyle w:val="Hyperlink"/>
                  <w:rFonts w:ascii="Arial" w:hAnsi="Arial" w:cs="Arial"/>
                  <w:i/>
                  <w:iCs/>
                  <w:sz w:val="16"/>
                  <w:szCs w:val="16"/>
                  <w:lang w:val="en-US"/>
                </w:rPr>
                <w:t>news article</w:t>
              </w:r>
            </w:hyperlink>
          </w:p>
        </w:tc>
      </w:tr>
      <w:tr w:rsidR="00EB367F" w:rsidRPr="00131D4C" w14:paraId="7F5C4B14" w14:textId="77777777" w:rsidTr="004F4B63">
        <w:tc>
          <w:tcPr>
            <w:tcW w:w="1494" w:type="pct"/>
            <w:shd w:val="clear" w:color="auto" w:fill="auto"/>
            <w:tcMar>
              <w:top w:w="57" w:type="dxa"/>
              <w:left w:w="170" w:type="dxa"/>
              <w:bottom w:w="57" w:type="dxa"/>
              <w:right w:w="170" w:type="dxa"/>
            </w:tcMar>
          </w:tcPr>
          <w:p w14:paraId="2F580505" w14:textId="77777777" w:rsidR="00134051" w:rsidRDefault="00134051" w:rsidP="00412813">
            <w:pPr>
              <w:rPr>
                <w:rFonts w:cs="Arial"/>
                <w:szCs w:val="19"/>
              </w:rPr>
            </w:pPr>
            <w:r w:rsidRPr="00134051">
              <w:rPr>
                <w:rFonts w:cs="Arial"/>
                <w:szCs w:val="19"/>
              </w:rPr>
              <w:t>Azelastine</w:t>
            </w:r>
            <w:r>
              <w:rPr>
                <w:rFonts w:cs="Arial"/>
                <w:szCs w:val="19"/>
              </w:rPr>
              <w:t xml:space="preserve"> (</w:t>
            </w:r>
            <w:proofErr w:type="spellStart"/>
            <w:r>
              <w:rPr>
                <w:rFonts w:cs="Arial"/>
                <w:i/>
                <w:iCs/>
                <w:szCs w:val="19"/>
              </w:rPr>
              <w:t>Azelair</w:t>
            </w:r>
            <w:proofErr w:type="spellEnd"/>
            <w:r>
              <w:rPr>
                <w:rFonts w:cs="Arial"/>
                <w:szCs w:val="19"/>
              </w:rPr>
              <w:t xml:space="preserve">) </w:t>
            </w:r>
          </w:p>
          <w:p w14:paraId="1A468338" w14:textId="11B6DD64" w:rsidR="00EB367F" w:rsidRPr="00134051" w:rsidRDefault="00134051" w:rsidP="00412813">
            <w:pPr>
              <w:rPr>
                <w:rFonts w:cs="Arial"/>
                <w:szCs w:val="19"/>
              </w:rPr>
            </w:pPr>
            <w:r w:rsidRPr="00134051">
              <w:rPr>
                <w:rFonts w:cs="Arial"/>
                <w:sz w:val="16"/>
                <w:szCs w:val="16"/>
              </w:rPr>
              <w:t>0.15% nasal spray</w:t>
            </w:r>
          </w:p>
        </w:tc>
        <w:tc>
          <w:tcPr>
            <w:tcW w:w="3506" w:type="pct"/>
            <w:shd w:val="clear" w:color="auto" w:fill="auto"/>
            <w:tcMar>
              <w:top w:w="57" w:type="dxa"/>
              <w:left w:w="170" w:type="dxa"/>
              <w:bottom w:w="57" w:type="dxa"/>
              <w:right w:w="170" w:type="dxa"/>
            </w:tcMar>
          </w:tcPr>
          <w:p w14:paraId="1E24A861" w14:textId="4C11B3E7" w:rsidR="00EB367F" w:rsidRDefault="00134051" w:rsidP="00EB367F">
            <w:pPr>
              <w:tabs>
                <w:tab w:val="center" w:pos="3152"/>
              </w:tabs>
              <w:rPr>
                <w:rFonts w:cs="Arial"/>
                <w:bCs/>
                <w:szCs w:val="19"/>
              </w:rPr>
            </w:pPr>
            <w:r w:rsidRPr="00134051">
              <w:rPr>
                <w:rFonts w:cs="Arial"/>
                <w:bCs/>
                <w:szCs w:val="19"/>
              </w:rPr>
              <w:t xml:space="preserve">Symptomatic treatment of allergic rhinitis in adults, adolescents and children </w:t>
            </w:r>
            <w:r>
              <w:rPr>
                <w:rFonts w:cs="Arial"/>
                <w:bCs/>
                <w:szCs w:val="19"/>
              </w:rPr>
              <w:t>aged ≥</w:t>
            </w:r>
            <w:r w:rsidRPr="00134051">
              <w:rPr>
                <w:rFonts w:cs="Arial"/>
                <w:bCs/>
                <w:szCs w:val="19"/>
              </w:rPr>
              <w:t xml:space="preserve">6 years </w:t>
            </w:r>
            <w:r w:rsidRPr="00134051">
              <w:rPr>
                <w:rFonts w:cs="Arial"/>
                <w:bCs/>
                <w:sz w:val="16"/>
                <w:szCs w:val="16"/>
              </w:rPr>
              <w:t>[new formulation]</w:t>
            </w:r>
          </w:p>
        </w:tc>
      </w:tr>
      <w:tr w:rsidR="007B2FD5" w:rsidRPr="00131D4C" w14:paraId="7F42129C" w14:textId="77777777" w:rsidTr="004F4B63">
        <w:tc>
          <w:tcPr>
            <w:tcW w:w="1494" w:type="pct"/>
            <w:shd w:val="clear" w:color="auto" w:fill="auto"/>
            <w:tcMar>
              <w:top w:w="57" w:type="dxa"/>
              <w:left w:w="170" w:type="dxa"/>
              <w:bottom w:w="57" w:type="dxa"/>
              <w:right w:w="170" w:type="dxa"/>
            </w:tcMar>
          </w:tcPr>
          <w:p w14:paraId="46CD950C" w14:textId="77777777" w:rsidR="007B2FD5" w:rsidRDefault="007B2FD5" w:rsidP="007B2FD5">
            <w:pPr>
              <w:tabs>
                <w:tab w:val="left" w:pos="1380"/>
              </w:tabs>
              <w:rPr>
                <w:rFonts w:cs="Arial"/>
                <w:szCs w:val="19"/>
              </w:rPr>
            </w:pPr>
            <w:proofErr w:type="spellStart"/>
            <w:r w:rsidRPr="00CB60AA">
              <w:rPr>
                <w:rFonts w:cs="Arial"/>
                <w:szCs w:val="19"/>
              </w:rPr>
              <w:t>Glofitamab</w:t>
            </w:r>
            <w:proofErr w:type="spellEnd"/>
            <w:r>
              <w:rPr>
                <w:rFonts w:cs="Arial"/>
                <w:szCs w:val="19"/>
              </w:rPr>
              <w:t xml:space="preserve"> (</w:t>
            </w:r>
            <w:proofErr w:type="spellStart"/>
            <w:r>
              <w:rPr>
                <w:rFonts w:cs="Arial"/>
                <w:i/>
                <w:iCs/>
                <w:szCs w:val="19"/>
              </w:rPr>
              <w:t>Columvi</w:t>
            </w:r>
            <w:proofErr w:type="spellEnd"/>
            <w:r>
              <w:rPr>
                <w:rFonts w:cs="Arial"/>
                <w:szCs w:val="19"/>
              </w:rPr>
              <w:t>)</w:t>
            </w:r>
          </w:p>
          <w:p w14:paraId="765BF55A" w14:textId="57DBD9A1" w:rsidR="007B2FD5" w:rsidRPr="00A075A3" w:rsidRDefault="007B2FD5" w:rsidP="007B2FD5">
            <w:pPr>
              <w:rPr>
                <w:rFonts w:cs="Arial"/>
                <w:szCs w:val="19"/>
              </w:rPr>
            </w:pPr>
            <w:r w:rsidRPr="007E429F">
              <w:rPr>
                <w:rFonts w:cs="Arial"/>
                <w:sz w:val="16"/>
                <w:szCs w:val="16"/>
              </w:rPr>
              <w:t>10mg in 10mL vial</w:t>
            </w:r>
          </w:p>
        </w:tc>
        <w:tc>
          <w:tcPr>
            <w:tcW w:w="3506" w:type="pct"/>
            <w:shd w:val="clear" w:color="auto" w:fill="auto"/>
            <w:tcMar>
              <w:top w:w="57" w:type="dxa"/>
              <w:left w:w="170" w:type="dxa"/>
              <w:bottom w:w="57" w:type="dxa"/>
              <w:right w:w="170" w:type="dxa"/>
            </w:tcMar>
          </w:tcPr>
          <w:p w14:paraId="40E07DAC" w14:textId="2838E163" w:rsidR="007B2FD5" w:rsidRPr="009B0BCE" w:rsidRDefault="007B2FD5" w:rsidP="007B2FD5">
            <w:pPr>
              <w:tabs>
                <w:tab w:val="center" w:pos="3152"/>
              </w:tabs>
              <w:rPr>
                <w:rFonts w:cs="Arial"/>
                <w:color w:val="000000"/>
                <w:sz w:val="20"/>
                <w:szCs w:val="18"/>
                <w:lang w:val="en-US"/>
              </w:rPr>
            </w:pPr>
            <w:r>
              <w:rPr>
                <w:rFonts w:cs="Arial"/>
                <w:szCs w:val="19"/>
                <w:lang w:val="en-US"/>
              </w:rPr>
              <w:t>M</w:t>
            </w:r>
            <w:r w:rsidRPr="007E429F">
              <w:rPr>
                <w:rFonts w:cs="Arial"/>
                <w:szCs w:val="19"/>
                <w:lang w:val="en-US"/>
              </w:rPr>
              <w:t>onotherapy for the treatment of adult</w:t>
            </w:r>
            <w:r>
              <w:rPr>
                <w:rFonts w:cs="Arial"/>
                <w:szCs w:val="19"/>
                <w:lang w:val="en-US"/>
              </w:rPr>
              <w:t>s</w:t>
            </w:r>
            <w:r w:rsidRPr="007E429F">
              <w:rPr>
                <w:rFonts w:cs="Arial"/>
                <w:szCs w:val="19"/>
                <w:lang w:val="en-US"/>
              </w:rPr>
              <w:t xml:space="preserve"> with relapsed or refractory diffuse large B-cell lymphoma, after two or more lines of systemic therapy</w:t>
            </w:r>
          </w:p>
        </w:tc>
      </w:tr>
      <w:tr w:rsidR="004F4B63" w:rsidRPr="00131D4C" w14:paraId="44D3F706" w14:textId="77777777" w:rsidTr="004F4B63">
        <w:tc>
          <w:tcPr>
            <w:tcW w:w="1494" w:type="pct"/>
            <w:shd w:val="clear" w:color="auto" w:fill="auto"/>
            <w:tcMar>
              <w:top w:w="57" w:type="dxa"/>
              <w:left w:w="170" w:type="dxa"/>
              <w:bottom w:w="57" w:type="dxa"/>
              <w:right w:w="170" w:type="dxa"/>
            </w:tcMar>
          </w:tcPr>
          <w:p w14:paraId="45537625" w14:textId="1BE7B3AF" w:rsidR="004F4B63" w:rsidRPr="00723718" w:rsidRDefault="004F4B63" w:rsidP="004F4B63">
            <w:pPr>
              <w:rPr>
                <w:rFonts w:cs="Arial"/>
                <w:szCs w:val="19"/>
              </w:rPr>
            </w:pPr>
            <w:proofErr w:type="spellStart"/>
            <w:r w:rsidRPr="00B171D0">
              <w:rPr>
                <w:rFonts w:cs="Arial"/>
                <w:szCs w:val="19"/>
              </w:rPr>
              <w:t>Pegunigalsidase</w:t>
            </w:r>
            <w:proofErr w:type="spellEnd"/>
            <w:r w:rsidRPr="00B171D0">
              <w:rPr>
                <w:rFonts w:cs="Arial"/>
                <w:szCs w:val="19"/>
              </w:rPr>
              <w:t xml:space="preserve"> alfa</w:t>
            </w:r>
            <w:r>
              <w:rPr>
                <w:rFonts w:cs="Arial"/>
                <w:szCs w:val="19"/>
              </w:rPr>
              <w:t xml:space="preserve"> (</w:t>
            </w:r>
            <w:proofErr w:type="spellStart"/>
            <w:r>
              <w:rPr>
                <w:rFonts w:cs="Arial"/>
                <w:i/>
                <w:iCs/>
                <w:szCs w:val="19"/>
              </w:rPr>
              <w:t>Elfabrio</w:t>
            </w:r>
            <w:proofErr w:type="spellEnd"/>
            <w:r>
              <w:rPr>
                <w:rFonts w:cs="Arial"/>
                <w:szCs w:val="19"/>
              </w:rPr>
              <w:t xml:space="preserve">) </w:t>
            </w:r>
            <w:r w:rsidRPr="00B171D0">
              <w:rPr>
                <w:rFonts w:cs="Arial"/>
                <w:sz w:val="16"/>
                <w:szCs w:val="16"/>
              </w:rPr>
              <w:t>20mg in 10mL vial</w:t>
            </w:r>
          </w:p>
        </w:tc>
        <w:tc>
          <w:tcPr>
            <w:tcW w:w="3506" w:type="pct"/>
            <w:shd w:val="clear" w:color="auto" w:fill="auto"/>
            <w:tcMar>
              <w:top w:w="57" w:type="dxa"/>
              <w:left w:w="170" w:type="dxa"/>
              <w:bottom w:w="57" w:type="dxa"/>
              <w:right w:w="170" w:type="dxa"/>
            </w:tcMar>
          </w:tcPr>
          <w:p w14:paraId="2DE85364" w14:textId="6ECE6F61" w:rsidR="004F4B63" w:rsidRPr="001D7849" w:rsidRDefault="004F4B63" w:rsidP="004F4B63">
            <w:pPr>
              <w:tabs>
                <w:tab w:val="center" w:pos="3152"/>
              </w:tabs>
              <w:rPr>
                <w:rFonts w:cs="Arial"/>
                <w:szCs w:val="19"/>
              </w:rPr>
            </w:pPr>
            <w:r w:rsidRPr="00B171D0">
              <w:rPr>
                <w:rFonts w:cs="Arial"/>
                <w:color w:val="000000"/>
                <w:szCs w:val="19"/>
                <w:lang w:val="en-US"/>
              </w:rPr>
              <w:t>Long-term enzyme replacement therapy in adults with a confirmed diagnosis of Fabry disease (deficiency of alpha-galactosidase)</w:t>
            </w:r>
          </w:p>
        </w:tc>
      </w:tr>
      <w:tr w:rsidR="004F4B63" w:rsidRPr="00131D4C" w14:paraId="6C1A14D0" w14:textId="77777777" w:rsidTr="004F4B63">
        <w:tc>
          <w:tcPr>
            <w:tcW w:w="1494" w:type="pct"/>
            <w:shd w:val="clear" w:color="auto" w:fill="auto"/>
            <w:tcMar>
              <w:top w:w="57" w:type="dxa"/>
              <w:left w:w="170" w:type="dxa"/>
              <w:bottom w:w="57" w:type="dxa"/>
              <w:right w:w="170" w:type="dxa"/>
            </w:tcMar>
          </w:tcPr>
          <w:p w14:paraId="359CBD3E" w14:textId="77777777" w:rsidR="004F4B63" w:rsidRDefault="004F4B63" w:rsidP="004F4B63">
            <w:pPr>
              <w:rPr>
                <w:rFonts w:cs="Arial"/>
                <w:szCs w:val="19"/>
              </w:rPr>
            </w:pPr>
            <w:r>
              <w:rPr>
                <w:rFonts w:cs="Arial"/>
                <w:szCs w:val="19"/>
              </w:rPr>
              <w:t>Pembrolizumab (</w:t>
            </w:r>
            <w:r>
              <w:rPr>
                <w:rFonts w:cs="Arial"/>
                <w:i/>
                <w:iCs/>
                <w:szCs w:val="19"/>
              </w:rPr>
              <w:t>Keytruda</w:t>
            </w:r>
            <w:r>
              <w:rPr>
                <w:rFonts w:cs="Arial"/>
                <w:szCs w:val="19"/>
              </w:rPr>
              <w:t xml:space="preserve">) </w:t>
            </w:r>
          </w:p>
          <w:p w14:paraId="12B876E7" w14:textId="0CF53270" w:rsidR="004F4B63" w:rsidRPr="00CA52C9" w:rsidRDefault="004F4B63" w:rsidP="004F4B63">
            <w:pPr>
              <w:rPr>
                <w:rFonts w:cs="Arial"/>
                <w:szCs w:val="19"/>
              </w:rPr>
            </w:pPr>
            <w:r w:rsidRPr="00CA52C9">
              <w:rPr>
                <w:rFonts w:cs="Arial"/>
                <w:sz w:val="16"/>
                <w:szCs w:val="16"/>
              </w:rPr>
              <w:t>100mg in 4mL vial</w:t>
            </w:r>
          </w:p>
        </w:tc>
        <w:tc>
          <w:tcPr>
            <w:tcW w:w="3506" w:type="pct"/>
            <w:shd w:val="clear" w:color="auto" w:fill="auto"/>
            <w:tcMar>
              <w:top w:w="57" w:type="dxa"/>
              <w:left w:w="170" w:type="dxa"/>
              <w:bottom w:w="57" w:type="dxa"/>
              <w:right w:w="170" w:type="dxa"/>
            </w:tcMar>
          </w:tcPr>
          <w:p w14:paraId="49B6279A" w14:textId="3058C9EE" w:rsidR="004F4B63" w:rsidRPr="00A075A3" w:rsidRDefault="004F4B63" w:rsidP="004F4B63">
            <w:pPr>
              <w:tabs>
                <w:tab w:val="num" w:pos="720"/>
                <w:tab w:val="center" w:pos="3152"/>
              </w:tabs>
              <w:rPr>
                <w:rFonts w:cs="Arial"/>
                <w:szCs w:val="19"/>
                <w:lang w:val="en-US"/>
              </w:rPr>
            </w:pPr>
            <w:r>
              <w:rPr>
                <w:rFonts w:cs="Arial"/>
                <w:szCs w:val="19"/>
                <w:lang w:val="en-US"/>
              </w:rPr>
              <w:t xml:space="preserve">Use </w:t>
            </w:r>
            <w:r w:rsidRPr="00CA52C9">
              <w:rPr>
                <w:rFonts w:cs="Arial"/>
                <w:szCs w:val="19"/>
                <w:lang w:val="en-US"/>
              </w:rPr>
              <w:t>in combination with trastuzumab, fluoropyrimidine and platinum</w:t>
            </w:r>
            <w:r>
              <w:rPr>
                <w:rFonts w:cs="Arial"/>
                <w:szCs w:val="19"/>
                <w:lang w:val="en-US"/>
              </w:rPr>
              <w:t>-</w:t>
            </w:r>
            <w:r w:rsidRPr="00CA52C9">
              <w:rPr>
                <w:rFonts w:cs="Arial"/>
                <w:szCs w:val="19"/>
                <w:lang w:val="en-US"/>
              </w:rPr>
              <w:t>containing chemotherapy</w:t>
            </w:r>
            <w:r>
              <w:rPr>
                <w:rFonts w:cs="Arial"/>
                <w:szCs w:val="19"/>
                <w:lang w:val="en-US"/>
              </w:rPr>
              <w:t xml:space="preserve"> </w:t>
            </w:r>
            <w:r w:rsidRPr="00CA52C9">
              <w:rPr>
                <w:rFonts w:cs="Arial"/>
                <w:szCs w:val="19"/>
                <w:lang w:val="en-US"/>
              </w:rPr>
              <w:t>for the first-line treatment of locally advanced</w:t>
            </w:r>
            <w:r>
              <w:rPr>
                <w:rFonts w:cs="Arial"/>
                <w:szCs w:val="19"/>
                <w:lang w:val="en-US"/>
              </w:rPr>
              <w:t xml:space="preserve"> </w:t>
            </w:r>
            <w:r w:rsidRPr="00CA52C9">
              <w:rPr>
                <w:rFonts w:cs="Arial"/>
                <w:szCs w:val="19"/>
                <w:lang w:val="en-US"/>
              </w:rPr>
              <w:t>unresectable or metastatic HER2-positive gastric or gastro-oesophageal junction</w:t>
            </w:r>
            <w:r>
              <w:rPr>
                <w:rFonts w:cs="Arial"/>
                <w:szCs w:val="19"/>
                <w:lang w:val="en-US"/>
              </w:rPr>
              <w:t xml:space="preserve"> </w:t>
            </w:r>
            <w:r w:rsidRPr="00CA52C9">
              <w:rPr>
                <w:rFonts w:cs="Arial"/>
                <w:szCs w:val="19"/>
                <w:lang w:val="en-US"/>
              </w:rPr>
              <w:t>adenocarcinoma in adults whose tumours express PD-L1 with a CPS ≥1</w:t>
            </w:r>
            <w:r>
              <w:rPr>
                <w:rFonts w:cs="Arial"/>
                <w:szCs w:val="19"/>
                <w:lang w:val="en-US"/>
              </w:rPr>
              <w:t xml:space="preserve"> </w:t>
            </w:r>
            <w:r w:rsidRPr="00CA52C9">
              <w:rPr>
                <w:rFonts w:cs="Arial"/>
                <w:sz w:val="16"/>
                <w:szCs w:val="16"/>
                <w:lang w:val="en-US"/>
              </w:rPr>
              <w:t>[new indication]</w:t>
            </w:r>
          </w:p>
        </w:tc>
      </w:tr>
      <w:tr w:rsidR="004F4B63" w14:paraId="00EE04A7" w14:textId="77777777" w:rsidTr="004F4B63">
        <w:tc>
          <w:tcPr>
            <w:tcW w:w="1494" w:type="pct"/>
            <w:shd w:val="clear" w:color="auto" w:fill="auto"/>
            <w:tcMar>
              <w:top w:w="57" w:type="dxa"/>
              <w:left w:w="170" w:type="dxa"/>
              <w:bottom w:w="57" w:type="dxa"/>
              <w:right w:w="170" w:type="dxa"/>
            </w:tcMar>
          </w:tcPr>
          <w:p w14:paraId="21CC5DCE" w14:textId="77777777" w:rsidR="00B9144A" w:rsidRDefault="004F4B63" w:rsidP="004F4B63">
            <w:pPr>
              <w:rPr>
                <w:rFonts w:cs="Arial"/>
                <w:szCs w:val="19"/>
              </w:rPr>
            </w:pPr>
            <w:r w:rsidRPr="00D62D8A">
              <w:rPr>
                <w:rFonts w:cs="Arial"/>
                <w:szCs w:val="19"/>
              </w:rPr>
              <w:t>Sapropterin</w:t>
            </w:r>
            <w:r>
              <w:rPr>
                <w:rFonts w:cs="Arial"/>
                <w:szCs w:val="19"/>
              </w:rPr>
              <w:t xml:space="preserve"> </w:t>
            </w:r>
          </w:p>
          <w:p w14:paraId="2CF90825" w14:textId="1995C5A7" w:rsidR="004F4B63" w:rsidRDefault="004F4B63" w:rsidP="004F4B63">
            <w:pPr>
              <w:rPr>
                <w:rFonts w:cs="Arial"/>
                <w:szCs w:val="19"/>
              </w:rPr>
            </w:pPr>
            <w:r>
              <w:rPr>
                <w:rFonts w:cs="Arial"/>
                <w:szCs w:val="19"/>
              </w:rPr>
              <w:t>(</w:t>
            </w:r>
            <w:r w:rsidRPr="00D62D8A">
              <w:rPr>
                <w:rFonts w:cs="Arial"/>
                <w:i/>
                <w:iCs/>
                <w:szCs w:val="19"/>
              </w:rPr>
              <w:t>Sapropterin Dihydrochloride</w:t>
            </w:r>
            <w:r>
              <w:rPr>
                <w:rFonts w:cs="Arial"/>
                <w:szCs w:val="19"/>
              </w:rPr>
              <w:t>)</w:t>
            </w:r>
          </w:p>
          <w:p w14:paraId="3F9D4F8C" w14:textId="68BA4A6E" w:rsidR="004F4B63" w:rsidRPr="00CA0AC9" w:rsidRDefault="004F4B63" w:rsidP="004F4B63">
            <w:pPr>
              <w:rPr>
                <w:rFonts w:cs="Arial"/>
                <w:szCs w:val="19"/>
              </w:rPr>
            </w:pPr>
            <w:r w:rsidRPr="00D62D8A">
              <w:rPr>
                <w:rFonts w:cs="Arial"/>
                <w:sz w:val="16"/>
                <w:szCs w:val="16"/>
              </w:rPr>
              <w:t>100mg and 500mg powder for oral solution in sachets</w:t>
            </w:r>
          </w:p>
        </w:tc>
        <w:tc>
          <w:tcPr>
            <w:tcW w:w="3506" w:type="pct"/>
            <w:shd w:val="clear" w:color="auto" w:fill="auto"/>
            <w:tcMar>
              <w:top w:w="57" w:type="dxa"/>
              <w:left w:w="170" w:type="dxa"/>
              <w:bottom w:w="57" w:type="dxa"/>
              <w:right w:w="170" w:type="dxa"/>
            </w:tcMar>
          </w:tcPr>
          <w:p w14:paraId="11017B90" w14:textId="4DC659BE" w:rsidR="004F4B63" w:rsidRPr="00A075A3" w:rsidRDefault="004F4B63" w:rsidP="004F4B63">
            <w:pPr>
              <w:tabs>
                <w:tab w:val="center" w:pos="3152"/>
              </w:tabs>
              <w:rPr>
                <w:rFonts w:cs="Arial"/>
                <w:bCs/>
                <w:szCs w:val="19"/>
              </w:rPr>
            </w:pPr>
            <w:r w:rsidRPr="00D62D8A">
              <w:rPr>
                <w:rFonts w:cs="Arial"/>
                <w:szCs w:val="19"/>
                <w:lang w:val="en-US"/>
              </w:rPr>
              <w:t xml:space="preserve">Treatment of </w:t>
            </w:r>
            <w:proofErr w:type="spellStart"/>
            <w:r w:rsidRPr="00D62D8A">
              <w:rPr>
                <w:rFonts w:cs="Arial"/>
                <w:szCs w:val="19"/>
                <w:lang w:val="en-US"/>
              </w:rPr>
              <w:t>hyperphenylalaninaemia</w:t>
            </w:r>
            <w:proofErr w:type="spellEnd"/>
            <w:r w:rsidRPr="00D62D8A">
              <w:rPr>
                <w:rFonts w:cs="Arial"/>
                <w:szCs w:val="19"/>
                <w:lang w:val="en-US"/>
              </w:rPr>
              <w:t xml:space="preserve"> (HPA) in adults and paediatric patients of all ages with phenylketonuria who have been shown to be responsive to such treatment. </w:t>
            </w:r>
            <w:r>
              <w:rPr>
                <w:rFonts w:cs="Arial"/>
                <w:szCs w:val="19"/>
                <w:lang w:val="en-US"/>
              </w:rPr>
              <w:t>A</w:t>
            </w:r>
            <w:r w:rsidRPr="00D62D8A">
              <w:rPr>
                <w:rFonts w:cs="Arial"/>
                <w:szCs w:val="19"/>
                <w:lang w:val="en-US"/>
              </w:rPr>
              <w:t>lso licensed for the treatment of HPA in adults and paediatric patients of all ages with tetrahydrobiopterin deficiency who have been shown to be responsive to such treatment</w:t>
            </w:r>
            <w:r>
              <w:rPr>
                <w:rFonts w:cs="Arial"/>
                <w:szCs w:val="19"/>
                <w:lang w:val="en-US"/>
              </w:rPr>
              <w:t xml:space="preserve"> </w:t>
            </w:r>
            <w:r w:rsidRPr="00D62D8A">
              <w:rPr>
                <w:rFonts w:cs="Arial"/>
                <w:sz w:val="16"/>
                <w:szCs w:val="16"/>
                <w:lang w:val="en-US"/>
              </w:rPr>
              <w:t>[new powder for oral solution formulation]</w:t>
            </w:r>
          </w:p>
        </w:tc>
      </w:tr>
      <w:tr w:rsidR="004F4B63" w14:paraId="0644DE86" w14:textId="77777777" w:rsidTr="004F4B63">
        <w:tc>
          <w:tcPr>
            <w:tcW w:w="1494" w:type="pct"/>
            <w:shd w:val="clear" w:color="auto" w:fill="auto"/>
            <w:tcMar>
              <w:top w:w="57" w:type="dxa"/>
              <w:left w:w="170" w:type="dxa"/>
              <w:bottom w:w="57" w:type="dxa"/>
              <w:right w:w="170" w:type="dxa"/>
            </w:tcMar>
          </w:tcPr>
          <w:p w14:paraId="59684641" w14:textId="77777777" w:rsidR="004F4B63" w:rsidRDefault="004F4B63" w:rsidP="004F4B63">
            <w:pPr>
              <w:rPr>
                <w:rFonts w:cs="Arial"/>
                <w:szCs w:val="19"/>
              </w:rPr>
            </w:pPr>
            <w:proofErr w:type="spellStart"/>
            <w:r>
              <w:rPr>
                <w:rFonts w:cs="Arial"/>
                <w:szCs w:val="19"/>
              </w:rPr>
              <w:t>Talquetamab</w:t>
            </w:r>
            <w:proofErr w:type="spellEnd"/>
            <w:r>
              <w:rPr>
                <w:rFonts w:cs="Arial"/>
                <w:szCs w:val="19"/>
              </w:rPr>
              <w:t xml:space="preserve"> (</w:t>
            </w:r>
            <w:proofErr w:type="spellStart"/>
            <w:r>
              <w:rPr>
                <w:rFonts w:cs="Arial"/>
                <w:i/>
                <w:iCs/>
                <w:szCs w:val="19"/>
              </w:rPr>
              <w:t>Talvey</w:t>
            </w:r>
            <w:proofErr w:type="spellEnd"/>
            <w:r>
              <w:rPr>
                <w:rFonts w:cs="Arial"/>
                <w:szCs w:val="19"/>
              </w:rPr>
              <w:t xml:space="preserve">) </w:t>
            </w:r>
          </w:p>
          <w:p w14:paraId="46353D21" w14:textId="105C1FD5" w:rsidR="004F4B63" w:rsidRPr="00A075A3" w:rsidRDefault="004F4B63" w:rsidP="004F4B63">
            <w:pPr>
              <w:rPr>
                <w:rFonts w:cs="Arial"/>
                <w:szCs w:val="19"/>
              </w:rPr>
            </w:pPr>
            <w:r w:rsidRPr="00F335EA">
              <w:rPr>
                <w:rFonts w:cs="Arial"/>
                <w:sz w:val="16"/>
                <w:szCs w:val="16"/>
              </w:rPr>
              <w:t>3mg in 1.5mL and 40mg in 1mL vials</w:t>
            </w:r>
          </w:p>
        </w:tc>
        <w:tc>
          <w:tcPr>
            <w:tcW w:w="3506" w:type="pct"/>
            <w:shd w:val="clear" w:color="auto" w:fill="auto"/>
            <w:tcMar>
              <w:top w:w="57" w:type="dxa"/>
              <w:left w:w="170" w:type="dxa"/>
              <w:bottom w:w="57" w:type="dxa"/>
              <w:right w:w="170" w:type="dxa"/>
            </w:tcMar>
          </w:tcPr>
          <w:p w14:paraId="0376F941" w14:textId="393DD74A" w:rsidR="004F4B63" w:rsidRPr="00A075A3" w:rsidRDefault="004F4B63" w:rsidP="004F4B63">
            <w:pPr>
              <w:tabs>
                <w:tab w:val="center" w:pos="3152"/>
              </w:tabs>
              <w:rPr>
                <w:rFonts w:cs="Arial"/>
                <w:szCs w:val="19"/>
                <w:lang w:val="en-US"/>
              </w:rPr>
            </w:pPr>
            <w:r w:rsidRPr="00F335EA">
              <w:rPr>
                <w:rFonts w:cs="Arial"/>
                <w:szCs w:val="19"/>
                <w:lang w:val="en-US"/>
              </w:rPr>
              <w:t>Monotherapy for the treatment of adult</w:t>
            </w:r>
            <w:r>
              <w:rPr>
                <w:rFonts w:cs="Arial"/>
                <w:szCs w:val="19"/>
                <w:lang w:val="en-US"/>
              </w:rPr>
              <w:t xml:space="preserve">s </w:t>
            </w:r>
            <w:r w:rsidRPr="00F335EA">
              <w:rPr>
                <w:rFonts w:cs="Arial"/>
                <w:szCs w:val="19"/>
                <w:lang w:val="en-US"/>
              </w:rPr>
              <w:t xml:space="preserve">with relapsed and refractory multiple myeloma, who have received at least </w:t>
            </w:r>
            <w:r>
              <w:rPr>
                <w:rFonts w:cs="Arial"/>
                <w:szCs w:val="19"/>
                <w:lang w:val="en-US"/>
              </w:rPr>
              <w:t>three</w:t>
            </w:r>
            <w:r w:rsidRPr="00F335EA">
              <w:rPr>
                <w:rFonts w:cs="Arial"/>
                <w:szCs w:val="19"/>
                <w:lang w:val="en-US"/>
              </w:rPr>
              <w:t xml:space="preserve"> prior therapies, including an immunomodulatory agent, a proteasome inhibitor, and an anti-CD38 antibody and have demonstrated disease progression on the last therapy</w:t>
            </w:r>
          </w:p>
        </w:tc>
      </w:tr>
      <w:tr w:rsidR="004F4B63" w14:paraId="35210D92" w14:textId="77777777" w:rsidTr="004F4B63">
        <w:tc>
          <w:tcPr>
            <w:tcW w:w="1494" w:type="pct"/>
            <w:shd w:val="clear" w:color="auto" w:fill="auto"/>
            <w:tcMar>
              <w:top w:w="57" w:type="dxa"/>
              <w:left w:w="170" w:type="dxa"/>
              <w:bottom w:w="57" w:type="dxa"/>
              <w:right w:w="170" w:type="dxa"/>
            </w:tcMar>
          </w:tcPr>
          <w:p w14:paraId="44C16701" w14:textId="77777777" w:rsidR="004F4B63" w:rsidRDefault="004F4B63" w:rsidP="004F4B63">
            <w:pPr>
              <w:rPr>
                <w:rFonts w:cs="Arial"/>
                <w:szCs w:val="19"/>
              </w:rPr>
            </w:pPr>
            <w:r w:rsidRPr="005D39E9">
              <w:rPr>
                <w:rFonts w:cs="Arial"/>
                <w:szCs w:val="19"/>
              </w:rPr>
              <w:t xml:space="preserve">Trifluridine + </w:t>
            </w:r>
            <w:proofErr w:type="spellStart"/>
            <w:r w:rsidRPr="005D39E9">
              <w:rPr>
                <w:rFonts w:cs="Arial"/>
                <w:szCs w:val="19"/>
              </w:rPr>
              <w:t>tipiracil</w:t>
            </w:r>
            <w:proofErr w:type="spellEnd"/>
            <w:r w:rsidRPr="005D39E9">
              <w:rPr>
                <w:rFonts w:cs="Arial"/>
                <w:szCs w:val="19"/>
              </w:rPr>
              <w:t> </w:t>
            </w:r>
          </w:p>
          <w:p w14:paraId="4D325415" w14:textId="77777777" w:rsidR="004F4B63" w:rsidRDefault="004F4B63" w:rsidP="004F4B63">
            <w:pPr>
              <w:rPr>
                <w:rFonts w:cs="Arial"/>
                <w:szCs w:val="19"/>
              </w:rPr>
            </w:pPr>
            <w:r>
              <w:rPr>
                <w:rFonts w:cs="Arial"/>
                <w:szCs w:val="19"/>
              </w:rPr>
              <w:t>(</w:t>
            </w:r>
            <w:proofErr w:type="spellStart"/>
            <w:r>
              <w:rPr>
                <w:rFonts w:cs="Arial"/>
                <w:i/>
                <w:iCs/>
                <w:szCs w:val="19"/>
              </w:rPr>
              <w:t>Lonsurf</w:t>
            </w:r>
            <w:proofErr w:type="spellEnd"/>
            <w:r>
              <w:rPr>
                <w:rFonts w:cs="Arial"/>
                <w:szCs w:val="19"/>
              </w:rPr>
              <w:t xml:space="preserve">) </w:t>
            </w:r>
          </w:p>
          <w:p w14:paraId="1B197F18" w14:textId="0FA1CC96" w:rsidR="004F4B63" w:rsidRPr="005D39E9" w:rsidRDefault="004F4B63" w:rsidP="004F4B63">
            <w:pPr>
              <w:rPr>
                <w:rFonts w:cs="Arial"/>
                <w:szCs w:val="19"/>
              </w:rPr>
            </w:pPr>
            <w:r w:rsidRPr="005D39E9">
              <w:rPr>
                <w:rFonts w:cs="Arial"/>
                <w:sz w:val="16"/>
                <w:szCs w:val="16"/>
              </w:rPr>
              <w:t>15mg/6.14mg and 20mg/8.19mg tablets</w:t>
            </w:r>
          </w:p>
        </w:tc>
        <w:tc>
          <w:tcPr>
            <w:tcW w:w="3506" w:type="pct"/>
            <w:shd w:val="clear" w:color="auto" w:fill="auto"/>
            <w:tcMar>
              <w:top w:w="57" w:type="dxa"/>
              <w:left w:w="170" w:type="dxa"/>
              <w:bottom w:w="57" w:type="dxa"/>
              <w:right w:w="170" w:type="dxa"/>
            </w:tcMar>
          </w:tcPr>
          <w:p w14:paraId="3C2D68FA" w14:textId="36A05425" w:rsidR="004F4B63" w:rsidRDefault="004F4B63" w:rsidP="004F4B63">
            <w:pPr>
              <w:tabs>
                <w:tab w:val="center" w:pos="3152"/>
              </w:tabs>
              <w:rPr>
                <w:rFonts w:cs="Arial"/>
                <w:color w:val="000000"/>
                <w:sz w:val="18"/>
                <w:szCs w:val="18"/>
                <w:lang w:val="en-US"/>
              </w:rPr>
            </w:pPr>
            <w:r>
              <w:rPr>
                <w:rFonts w:cs="Arial"/>
                <w:color w:val="000000"/>
                <w:sz w:val="18"/>
                <w:szCs w:val="18"/>
                <w:lang w:val="en-US"/>
              </w:rPr>
              <w:t>U</w:t>
            </w:r>
            <w:r w:rsidRPr="005D39E9">
              <w:rPr>
                <w:rFonts w:cs="Arial"/>
                <w:color w:val="000000"/>
                <w:sz w:val="18"/>
                <w:szCs w:val="18"/>
                <w:lang w:val="en-US"/>
              </w:rPr>
              <w:t xml:space="preserve">se in combination with bevacizumab for the treatment of adults with metastatic </w:t>
            </w:r>
            <w:r>
              <w:rPr>
                <w:rFonts w:cs="Arial"/>
                <w:color w:val="000000"/>
                <w:sz w:val="18"/>
                <w:szCs w:val="18"/>
                <w:lang w:val="en-US"/>
              </w:rPr>
              <w:t xml:space="preserve">colorectal cancer </w:t>
            </w:r>
            <w:r w:rsidRPr="005D39E9">
              <w:rPr>
                <w:rFonts w:cs="Arial"/>
                <w:color w:val="000000"/>
                <w:sz w:val="18"/>
                <w:szCs w:val="18"/>
                <w:lang w:val="en-US"/>
              </w:rPr>
              <w:t>who have received two prior anticancer treatment regimens including fluoropyrimidine-, oxaliplatin- and irinotecan-based chemotherapies, anti-VEGF agents, and/or anti-EGFR agents</w:t>
            </w:r>
            <w:r>
              <w:rPr>
                <w:rFonts w:cs="Arial"/>
                <w:color w:val="000000"/>
                <w:sz w:val="18"/>
                <w:szCs w:val="18"/>
                <w:lang w:val="en-US"/>
              </w:rPr>
              <w:t xml:space="preserve"> </w:t>
            </w:r>
            <w:r w:rsidRPr="00CA52C9">
              <w:rPr>
                <w:rFonts w:cs="Arial"/>
                <w:sz w:val="16"/>
                <w:szCs w:val="16"/>
                <w:lang w:val="en-US"/>
              </w:rPr>
              <w:t>[new indication]</w:t>
            </w:r>
          </w:p>
        </w:tc>
      </w:tr>
      <w:tr w:rsidR="004F4B63" w:rsidRPr="00862949" w14:paraId="6E6776BF" w14:textId="77777777" w:rsidTr="002772ED">
        <w:tc>
          <w:tcPr>
            <w:tcW w:w="5000" w:type="pct"/>
            <w:gridSpan w:val="2"/>
            <w:shd w:val="clear" w:color="auto" w:fill="auto"/>
            <w:tcMar>
              <w:top w:w="0" w:type="dxa"/>
              <w:bottom w:w="0" w:type="dxa"/>
            </w:tcMar>
          </w:tcPr>
          <w:p w14:paraId="50127035" w14:textId="77777777" w:rsidR="004F4B63" w:rsidRPr="00862949" w:rsidRDefault="004F4B63" w:rsidP="004F4B63">
            <w:pPr>
              <w:rPr>
                <w:rFonts w:cs="Arial"/>
                <w:b/>
                <w:noProof/>
                <w:sz w:val="8"/>
                <w:szCs w:val="8"/>
              </w:rPr>
            </w:pPr>
          </w:p>
        </w:tc>
      </w:tr>
      <w:tr w:rsidR="004F4B63" w:rsidRPr="00862949" w14:paraId="3DE8ED0F" w14:textId="77777777" w:rsidTr="002772ED">
        <w:tc>
          <w:tcPr>
            <w:tcW w:w="5000" w:type="pct"/>
            <w:gridSpan w:val="2"/>
            <w:shd w:val="clear" w:color="auto" w:fill="DAEEF3"/>
            <w:tcMar>
              <w:top w:w="0" w:type="dxa"/>
              <w:bottom w:w="0" w:type="dxa"/>
            </w:tcMar>
          </w:tcPr>
          <w:p w14:paraId="124360E5" w14:textId="77777777" w:rsidR="004F4B63" w:rsidRPr="00862949" w:rsidRDefault="004F4B63" w:rsidP="004F4B63">
            <w:pPr>
              <w:rPr>
                <w:rFonts w:cs="Arial"/>
                <w:b/>
                <w:i/>
                <w:noProof/>
                <w:sz w:val="8"/>
                <w:szCs w:val="8"/>
              </w:rPr>
            </w:pPr>
          </w:p>
        </w:tc>
      </w:tr>
    </w:tbl>
    <w:p w14:paraId="2BDB374F" w14:textId="77777777" w:rsidR="00797F59" w:rsidRDefault="00797F59" w:rsidP="00727945">
      <w:pPr>
        <w:rPr>
          <w:rFonts w:ascii="Latha" w:hAnsi="Latha" w:cs="Latha"/>
          <w:sz w:val="8"/>
          <w:szCs w:val="8"/>
        </w:rPr>
      </w:pPr>
    </w:p>
    <w:p w14:paraId="13E5A9E5" w14:textId="77777777" w:rsidR="0022269C" w:rsidRDefault="0022269C" w:rsidP="00727945">
      <w:pPr>
        <w:rPr>
          <w:rFonts w:ascii="Latha" w:hAnsi="Latha" w:cs="Latha"/>
          <w:sz w:val="8"/>
          <w:szCs w:val="8"/>
        </w:rPr>
      </w:pPr>
    </w:p>
    <w:p w14:paraId="6CB361A6" w14:textId="77777777" w:rsidR="0022269C" w:rsidRDefault="0022269C" w:rsidP="00727945">
      <w:pPr>
        <w:rPr>
          <w:rFonts w:ascii="Latha" w:hAnsi="Latha" w:cs="Latha"/>
          <w:sz w:val="8"/>
          <w:szCs w:val="8"/>
        </w:rPr>
      </w:pPr>
    </w:p>
    <w:p w14:paraId="38B604A2" w14:textId="77777777" w:rsidR="0022269C" w:rsidRDefault="0022269C" w:rsidP="00727945">
      <w:pPr>
        <w:rPr>
          <w:rFonts w:ascii="Latha" w:hAnsi="Latha" w:cs="Latha"/>
          <w:sz w:val="8"/>
          <w:szCs w:val="8"/>
        </w:rPr>
      </w:pPr>
    </w:p>
    <w:p w14:paraId="39DC80E9" w14:textId="77777777" w:rsidR="001A42CE" w:rsidRPr="00727945" w:rsidRDefault="001A42CE" w:rsidP="00727945">
      <w:pPr>
        <w:rPr>
          <w:rFonts w:ascii="Latha" w:hAnsi="Latha" w:cs="Latha"/>
          <w:sz w:val="8"/>
          <w:szCs w:val="8"/>
        </w:rPr>
        <w:sectPr w:rsidR="001A42CE" w:rsidRPr="00727945" w:rsidSect="002772ED">
          <w:headerReference w:type="even" r:id="rId11"/>
          <w:headerReference w:type="default" r:id="rId12"/>
          <w:footerReference w:type="even" r:id="rId13"/>
          <w:footerReference w:type="default" r:id="rId14"/>
          <w:headerReference w:type="first" r:id="rId15"/>
          <w:pgSz w:w="11906" w:h="16838" w:code="9"/>
          <w:pgMar w:top="680" w:right="851" w:bottom="680" w:left="851" w:header="567" w:footer="227" w:gutter="0"/>
          <w:cols w:space="708"/>
          <w:docGrid w:linePitch="360"/>
        </w:sectPr>
      </w:pPr>
    </w:p>
    <w:p w14:paraId="4DFED0C9" w14:textId="6B3B778E" w:rsidR="00A81694" w:rsidRDefault="00A81694" w:rsidP="00EB3E6F">
      <w:pPr>
        <w:tabs>
          <w:tab w:val="left" w:pos="2087"/>
        </w:tabs>
      </w:pPr>
    </w:p>
    <w:tbl>
      <w:tblPr>
        <w:tblW w:w="5170" w:type="pct"/>
        <w:tblInd w:w="-176" w:type="dxa"/>
        <w:tblLayout w:type="fixed"/>
        <w:tblLook w:val="01E0" w:firstRow="1" w:lastRow="1" w:firstColumn="1" w:lastColumn="1" w:noHBand="0" w:noVBand="0"/>
      </w:tblPr>
      <w:tblGrid>
        <w:gridCol w:w="2431"/>
        <w:gridCol w:w="439"/>
        <w:gridCol w:w="7681"/>
      </w:tblGrid>
      <w:tr w:rsidR="005A7E09" w:rsidRPr="00862949" w14:paraId="69BC34C0" w14:textId="77777777" w:rsidTr="005A7E09">
        <w:tc>
          <w:tcPr>
            <w:tcW w:w="5000" w:type="pct"/>
            <w:gridSpan w:val="3"/>
            <w:shd w:val="clear" w:color="auto" w:fill="0070C0"/>
            <w:tcMar>
              <w:top w:w="85" w:type="dxa"/>
              <w:bottom w:w="85" w:type="dxa"/>
            </w:tcMar>
            <w:vAlign w:val="bottom"/>
          </w:tcPr>
          <w:p w14:paraId="439C9991" w14:textId="77777777" w:rsidR="005A7E09" w:rsidRPr="00862949" w:rsidRDefault="005A7E09" w:rsidP="005A7E09">
            <w:pPr>
              <w:rPr>
                <w:rFonts w:cs="Arial"/>
                <w:color w:val="FFFFFF"/>
                <w:sz w:val="15"/>
                <w:szCs w:val="15"/>
              </w:rPr>
            </w:pPr>
            <w:r w:rsidRPr="00862949">
              <w:rPr>
                <w:rFonts w:cs="Arial"/>
                <w:b/>
                <w:bCs/>
                <w:iCs/>
                <w:color w:val="FFFFFF"/>
                <w:sz w:val="28"/>
                <w:szCs w:val="28"/>
                <w:lang w:val="en-US"/>
              </w:rPr>
              <w:t xml:space="preserve">Regulatory changes in the </w:t>
            </w:r>
            <w:r w:rsidR="00AA1F49">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5A7E09" w:rsidRPr="00862949" w14:paraId="6FF5A51D" w14:textId="77777777" w:rsidTr="005A7E09">
        <w:tc>
          <w:tcPr>
            <w:tcW w:w="5000" w:type="pct"/>
            <w:gridSpan w:val="3"/>
            <w:shd w:val="clear" w:color="auto" w:fill="DAEEF3"/>
            <w:tcMar>
              <w:top w:w="0" w:type="dxa"/>
              <w:bottom w:w="0" w:type="dxa"/>
            </w:tcMar>
          </w:tcPr>
          <w:p w14:paraId="7440AB39" w14:textId="77777777" w:rsidR="005A7E09" w:rsidRPr="00862949" w:rsidRDefault="005A7E09" w:rsidP="005A7E09">
            <w:pPr>
              <w:rPr>
                <w:rFonts w:cs="Arial"/>
                <w:b/>
                <w:bCs/>
                <w:i/>
                <w:iCs/>
                <w:color w:val="000000"/>
                <w:sz w:val="8"/>
                <w:szCs w:val="8"/>
                <w:lang w:val="en-US"/>
              </w:rPr>
            </w:pPr>
          </w:p>
        </w:tc>
      </w:tr>
      <w:tr w:rsidR="005A7E09" w:rsidRPr="00862949" w14:paraId="5C6760C2" w14:textId="77777777" w:rsidTr="005A7E09">
        <w:tc>
          <w:tcPr>
            <w:tcW w:w="5000" w:type="pct"/>
            <w:gridSpan w:val="3"/>
            <w:shd w:val="clear" w:color="auto" w:fill="00B050"/>
            <w:tcMar>
              <w:top w:w="57" w:type="dxa"/>
              <w:bottom w:w="57" w:type="dxa"/>
            </w:tcMar>
          </w:tcPr>
          <w:p w14:paraId="3DCC29AB" w14:textId="77777777" w:rsidR="005A7E09" w:rsidRPr="00433D3E" w:rsidRDefault="005A7E09" w:rsidP="00EB3E6F">
            <w:pPr>
              <w:rPr>
                <w:rFonts w:cs="Arial"/>
                <w:color w:val="FFFFFF"/>
                <w:sz w:val="20"/>
                <w:szCs w:val="20"/>
              </w:rPr>
            </w:pPr>
            <w:r w:rsidRPr="00433D3E">
              <w:rPr>
                <w:rFonts w:cs="Arial"/>
                <w:b/>
                <w:bCs/>
                <w:i/>
                <w:iCs/>
                <w:color w:val="FFFFFF"/>
                <w:sz w:val="22"/>
                <w:szCs w:val="20"/>
                <w:lang w:val="en-US"/>
              </w:rPr>
              <w:t xml:space="preserve">Approved in the </w:t>
            </w:r>
            <w:r w:rsidR="0048777D">
              <w:rPr>
                <w:rFonts w:cs="Arial"/>
                <w:b/>
                <w:bCs/>
                <w:i/>
                <w:iCs/>
                <w:color w:val="FFFFFF"/>
                <w:sz w:val="22"/>
                <w:szCs w:val="20"/>
                <w:lang w:val="en-US"/>
              </w:rPr>
              <w:t>UK</w:t>
            </w:r>
          </w:p>
        </w:tc>
      </w:tr>
      <w:tr w:rsidR="00247547" w14:paraId="024BCB46" w14:textId="77777777" w:rsidTr="00120ADD">
        <w:tc>
          <w:tcPr>
            <w:tcW w:w="1360" w:type="pct"/>
            <w:gridSpan w:val="2"/>
            <w:shd w:val="clear" w:color="auto" w:fill="auto"/>
            <w:tcMar>
              <w:top w:w="57" w:type="dxa"/>
              <w:bottom w:w="57" w:type="dxa"/>
            </w:tcMar>
          </w:tcPr>
          <w:p w14:paraId="15B53A4D" w14:textId="77777777" w:rsidR="002C6F43" w:rsidRDefault="004C6C05" w:rsidP="007D01FD">
            <w:pPr>
              <w:rPr>
                <w:rFonts w:cs="Arial"/>
                <w:szCs w:val="19"/>
              </w:rPr>
            </w:pPr>
            <w:proofErr w:type="spellStart"/>
            <w:r w:rsidRPr="004C6C05">
              <w:rPr>
                <w:rFonts w:cs="Arial"/>
                <w:szCs w:val="19"/>
              </w:rPr>
              <w:t>Adagrasib</w:t>
            </w:r>
            <w:proofErr w:type="spellEnd"/>
            <w:r>
              <w:rPr>
                <w:rFonts w:cs="Arial"/>
                <w:szCs w:val="19"/>
              </w:rPr>
              <w:t xml:space="preserve"> (</w:t>
            </w:r>
            <w:proofErr w:type="spellStart"/>
            <w:r>
              <w:rPr>
                <w:rFonts w:cs="Arial"/>
                <w:i/>
                <w:iCs/>
                <w:szCs w:val="19"/>
              </w:rPr>
              <w:t>Krazati</w:t>
            </w:r>
            <w:proofErr w:type="spellEnd"/>
            <w:r>
              <w:rPr>
                <w:rFonts w:cs="Arial"/>
                <w:szCs w:val="19"/>
              </w:rPr>
              <w:t>)</w:t>
            </w:r>
            <w:r w:rsidR="002C6F43">
              <w:rPr>
                <w:rFonts w:cs="Arial"/>
                <w:szCs w:val="19"/>
              </w:rPr>
              <w:t xml:space="preserve"> </w:t>
            </w:r>
          </w:p>
          <w:p w14:paraId="04F7D1F0" w14:textId="4141D5D6" w:rsidR="00247547" w:rsidRPr="004C6C05" w:rsidRDefault="002C6F43" w:rsidP="007D01FD">
            <w:pPr>
              <w:rPr>
                <w:rFonts w:cs="Arial"/>
                <w:szCs w:val="19"/>
              </w:rPr>
            </w:pPr>
            <w:r w:rsidRPr="002C6F43">
              <w:rPr>
                <w:rFonts w:cs="Arial"/>
                <w:sz w:val="16"/>
                <w:szCs w:val="16"/>
              </w:rPr>
              <w:t>200mg tablet</w:t>
            </w:r>
          </w:p>
        </w:tc>
        <w:tc>
          <w:tcPr>
            <w:tcW w:w="3640" w:type="pct"/>
            <w:shd w:val="clear" w:color="auto" w:fill="auto"/>
            <w:tcMar>
              <w:top w:w="57" w:type="dxa"/>
              <w:bottom w:w="57" w:type="dxa"/>
            </w:tcMar>
          </w:tcPr>
          <w:p w14:paraId="323DA766" w14:textId="443DA95F" w:rsidR="00247547" w:rsidRPr="002B10C1" w:rsidRDefault="002C6F43" w:rsidP="007D01FD">
            <w:pPr>
              <w:tabs>
                <w:tab w:val="center" w:pos="3152"/>
              </w:tabs>
              <w:rPr>
                <w:rFonts w:cs="Arial"/>
                <w:szCs w:val="19"/>
                <w:lang w:val="en-US"/>
              </w:rPr>
            </w:pPr>
            <w:r w:rsidRPr="002C6F43">
              <w:rPr>
                <w:rFonts w:cs="Arial"/>
                <w:szCs w:val="19"/>
                <w:lang w:val="en-US"/>
              </w:rPr>
              <w:t>Use as monotherapy for the treatment of adults with advanced non-small cell lung cancer with KRAS G12C mutation and have progressive disease after prior therapy with, or intolerance to, platinum-based chemotherapy and/or anti-PD-1/PD-L1 immunotherapy</w:t>
            </w:r>
          </w:p>
        </w:tc>
      </w:tr>
      <w:tr w:rsidR="00DC560D" w14:paraId="5E2E7517" w14:textId="77777777" w:rsidTr="00120ADD">
        <w:tc>
          <w:tcPr>
            <w:tcW w:w="1360" w:type="pct"/>
            <w:gridSpan w:val="2"/>
            <w:shd w:val="clear" w:color="auto" w:fill="auto"/>
            <w:tcMar>
              <w:top w:w="57" w:type="dxa"/>
              <w:bottom w:w="57" w:type="dxa"/>
            </w:tcMar>
          </w:tcPr>
          <w:p w14:paraId="11096206" w14:textId="75B9F7BB" w:rsidR="00DC560D" w:rsidRPr="00DC560D" w:rsidRDefault="00DC560D" w:rsidP="007D01FD">
            <w:pPr>
              <w:rPr>
                <w:rFonts w:cs="Arial"/>
                <w:szCs w:val="19"/>
              </w:rPr>
            </w:pPr>
            <w:r>
              <w:rPr>
                <w:rFonts w:cs="Arial"/>
                <w:szCs w:val="19"/>
              </w:rPr>
              <w:t>Aflibercept biosimilar (</w:t>
            </w:r>
            <w:proofErr w:type="spellStart"/>
            <w:r>
              <w:rPr>
                <w:rFonts w:cs="Arial"/>
                <w:i/>
                <w:iCs/>
                <w:szCs w:val="19"/>
              </w:rPr>
              <w:t>Yesafili</w:t>
            </w:r>
            <w:proofErr w:type="spellEnd"/>
            <w:r>
              <w:rPr>
                <w:rFonts w:cs="Arial"/>
                <w:szCs w:val="19"/>
              </w:rPr>
              <w:t xml:space="preserve">) </w:t>
            </w:r>
            <w:r w:rsidRPr="00DC560D">
              <w:rPr>
                <w:rFonts w:cs="Arial"/>
                <w:sz w:val="16"/>
                <w:szCs w:val="16"/>
              </w:rPr>
              <w:t>4mg in 0.1mL vial</w:t>
            </w:r>
          </w:p>
        </w:tc>
        <w:tc>
          <w:tcPr>
            <w:tcW w:w="3640" w:type="pct"/>
            <w:shd w:val="clear" w:color="auto" w:fill="auto"/>
            <w:tcMar>
              <w:top w:w="57" w:type="dxa"/>
              <w:bottom w:w="57" w:type="dxa"/>
            </w:tcMar>
          </w:tcPr>
          <w:p w14:paraId="30022ABE" w14:textId="4BEB05C9" w:rsidR="00DC560D" w:rsidRPr="00200CBF" w:rsidRDefault="00DC560D" w:rsidP="007D01FD">
            <w:pPr>
              <w:tabs>
                <w:tab w:val="center" w:pos="3152"/>
              </w:tabs>
              <w:rPr>
                <w:rFonts w:cs="Arial"/>
                <w:szCs w:val="19"/>
                <w:lang w:val="en-US"/>
              </w:rPr>
            </w:pPr>
            <w:r w:rsidRPr="00DC560D">
              <w:rPr>
                <w:rFonts w:cs="Arial"/>
                <w:szCs w:val="19"/>
                <w:lang w:val="en-US"/>
              </w:rPr>
              <w:t>Use in adults for the treatment of neovascular (wet) age-related macular degeneration, visual impairment due to macular oedema secondary to retinal vein occlusion</w:t>
            </w:r>
            <w:r w:rsidR="00B9144A">
              <w:rPr>
                <w:rFonts w:cs="Arial"/>
                <w:szCs w:val="19"/>
                <w:lang w:val="en-US"/>
              </w:rPr>
              <w:t xml:space="preserve"> (</w:t>
            </w:r>
            <w:r w:rsidRPr="00DC560D">
              <w:rPr>
                <w:rFonts w:cs="Arial"/>
                <w:szCs w:val="19"/>
                <w:lang w:val="en-US"/>
              </w:rPr>
              <w:t xml:space="preserve">branch RVO or central RVO), visual impairment due to diabetic macular oedema and visual impairment due to myopic choroidal </w:t>
            </w:r>
            <w:proofErr w:type="spellStart"/>
            <w:r w:rsidRPr="00DC560D">
              <w:rPr>
                <w:rFonts w:cs="Arial"/>
                <w:szCs w:val="19"/>
                <w:lang w:val="en-US"/>
              </w:rPr>
              <w:t>neovascularisation</w:t>
            </w:r>
            <w:proofErr w:type="spellEnd"/>
          </w:p>
        </w:tc>
      </w:tr>
      <w:tr w:rsidR="00200CBF" w14:paraId="2D25A86D" w14:textId="77777777" w:rsidTr="00120ADD">
        <w:tc>
          <w:tcPr>
            <w:tcW w:w="1360" w:type="pct"/>
            <w:gridSpan w:val="2"/>
            <w:shd w:val="clear" w:color="auto" w:fill="auto"/>
            <w:tcMar>
              <w:top w:w="57" w:type="dxa"/>
              <w:bottom w:w="57" w:type="dxa"/>
            </w:tcMar>
          </w:tcPr>
          <w:p w14:paraId="0F8F8B7D" w14:textId="77777777" w:rsidR="00200CBF" w:rsidRDefault="00200CBF" w:rsidP="007D01FD">
            <w:pPr>
              <w:rPr>
                <w:rFonts w:cs="Arial"/>
                <w:szCs w:val="19"/>
              </w:rPr>
            </w:pPr>
            <w:r w:rsidRPr="00200CBF">
              <w:rPr>
                <w:rFonts w:cs="Arial"/>
                <w:szCs w:val="19"/>
              </w:rPr>
              <w:t>Exagamglogene autotemcel (</w:t>
            </w:r>
            <w:r w:rsidRPr="00200CBF">
              <w:rPr>
                <w:rFonts w:cs="Arial"/>
                <w:i/>
                <w:iCs/>
                <w:szCs w:val="19"/>
              </w:rPr>
              <w:t>Casgevy</w:t>
            </w:r>
            <w:r w:rsidRPr="00200CBF">
              <w:rPr>
                <w:rFonts w:cs="Arial"/>
                <w:szCs w:val="19"/>
              </w:rPr>
              <w:t>)</w:t>
            </w:r>
          </w:p>
          <w:p w14:paraId="3480028B" w14:textId="1249C5F7" w:rsidR="00200CBF" w:rsidRPr="004C6C05" w:rsidRDefault="00200CBF" w:rsidP="007D01FD">
            <w:pPr>
              <w:rPr>
                <w:rFonts w:cs="Arial"/>
                <w:szCs w:val="19"/>
              </w:rPr>
            </w:pPr>
            <w:r>
              <w:rPr>
                <w:rFonts w:cs="Arial"/>
                <w:sz w:val="16"/>
                <w:szCs w:val="16"/>
              </w:rPr>
              <w:t>4 to 13</w:t>
            </w:r>
            <w:r w:rsidRPr="009D77D7">
              <w:rPr>
                <w:rFonts w:cs="Arial"/>
                <w:sz w:val="16"/>
                <w:szCs w:val="16"/>
              </w:rPr>
              <w:t>×10</w:t>
            </w:r>
            <w:r w:rsidRPr="009D77D7">
              <w:rPr>
                <w:rFonts w:cs="Arial"/>
                <w:sz w:val="16"/>
                <w:szCs w:val="16"/>
                <w:vertAlign w:val="superscript"/>
              </w:rPr>
              <w:t>x</w:t>
            </w:r>
            <w:r w:rsidR="00CC5E1C">
              <w:rPr>
                <w:rFonts w:cs="Arial"/>
                <w:sz w:val="16"/>
                <w:szCs w:val="16"/>
                <w:vertAlign w:val="superscript"/>
              </w:rPr>
              <w:t>6</w:t>
            </w:r>
            <w:r w:rsidRPr="009D77D7">
              <w:rPr>
                <w:rFonts w:cs="Arial"/>
                <w:sz w:val="16"/>
                <w:szCs w:val="16"/>
              </w:rPr>
              <w:t xml:space="preserve"> </w:t>
            </w:r>
            <w:r w:rsidR="00CC5E1C">
              <w:rPr>
                <w:rFonts w:cs="Arial"/>
                <w:sz w:val="16"/>
                <w:szCs w:val="16"/>
              </w:rPr>
              <w:t>cells/mL</w:t>
            </w:r>
            <w:r w:rsidRPr="009D77D7">
              <w:rPr>
                <w:rFonts w:cs="Arial"/>
                <w:sz w:val="16"/>
                <w:szCs w:val="16"/>
              </w:rPr>
              <w:t xml:space="preserve"> in </w:t>
            </w:r>
            <w:r w:rsidR="00CC5E1C">
              <w:rPr>
                <w:rFonts w:cs="Arial"/>
                <w:sz w:val="16"/>
                <w:szCs w:val="16"/>
              </w:rPr>
              <w:t>one or more 1</w:t>
            </w:r>
            <w:r w:rsidRPr="009D77D7">
              <w:rPr>
                <w:rFonts w:cs="Arial"/>
                <w:sz w:val="16"/>
                <w:szCs w:val="16"/>
              </w:rPr>
              <w:t>.5mL</w:t>
            </w:r>
            <w:r w:rsidR="00CC5E1C">
              <w:rPr>
                <w:rFonts w:cs="Arial"/>
                <w:sz w:val="16"/>
                <w:szCs w:val="16"/>
              </w:rPr>
              <w:t xml:space="preserve"> to 20mL</w:t>
            </w:r>
            <w:r w:rsidRPr="009D77D7">
              <w:rPr>
                <w:rFonts w:cs="Arial"/>
                <w:sz w:val="16"/>
                <w:szCs w:val="16"/>
              </w:rPr>
              <w:t xml:space="preserve"> vial</w:t>
            </w:r>
            <w:r w:rsidR="00CC5E1C">
              <w:rPr>
                <w:rFonts w:cs="Arial"/>
                <w:sz w:val="16"/>
                <w:szCs w:val="16"/>
              </w:rPr>
              <w:t>s</w:t>
            </w:r>
          </w:p>
        </w:tc>
        <w:tc>
          <w:tcPr>
            <w:tcW w:w="3640" w:type="pct"/>
            <w:shd w:val="clear" w:color="auto" w:fill="auto"/>
            <w:tcMar>
              <w:top w:w="57" w:type="dxa"/>
              <w:bottom w:w="57" w:type="dxa"/>
            </w:tcMar>
          </w:tcPr>
          <w:p w14:paraId="2DEE61AB" w14:textId="2FF5A1A1" w:rsidR="00200CBF" w:rsidRPr="002C6F43" w:rsidRDefault="00200CBF" w:rsidP="007D01FD">
            <w:pPr>
              <w:tabs>
                <w:tab w:val="center" w:pos="3152"/>
              </w:tabs>
              <w:rPr>
                <w:rFonts w:cs="Arial"/>
                <w:szCs w:val="19"/>
                <w:lang w:val="en-US"/>
              </w:rPr>
            </w:pPr>
            <w:r w:rsidRPr="00200CBF">
              <w:rPr>
                <w:rFonts w:cs="Arial"/>
                <w:szCs w:val="19"/>
                <w:lang w:val="en-US"/>
              </w:rPr>
              <w:t>Treatment of sickle cell disease in p</w:t>
            </w:r>
            <w:r>
              <w:rPr>
                <w:rFonts w:cs="Arial"/>
                <w:szCs w:val="19"/>
                <w:lang w:val="en-US"/>
              </w:rPr>
              <w:t>atients aged ≥</w:t>
            </w:r>
            <w:r w:rsidRPr="00200CBF">
              <w:rPr>
                <w:rFonts w:cs="Arial"/>
                <w:szCs w:val="19"/>
                <w:lang w:val="en-US"/>
              </w:rPr>
              <w:t xml:space="preserve">12 years with recurrent </w:t>
            </w:r>
            <w:proofErr w:type="spellStart"/>
            <w:r w:rsidRPr="00200CBF">
              <w:rPr>
                <w:rFonts w:cs="Arial"/>
                <w:szCs w:val="19"/>
                <w:lang w:val="en-US"/>
              </w:rPr>
              <w:t>vaso</w:t>
            </w:r>
            <w:proofErr w:type="spellEnd"/>
            <w:r w:rsidRPr="00200CBF">
              <w:rPr>
                <w:rFonts w:cs="Arial"/>
                <w:szCs w:val="19"/>
                <w:lang w:val="en-US"/>
              </w:rPr>
              <w:t xml:space="preserve">-occlusive crises who have the βS/βS, βS/β+ or βS/β0 genotype, for whom a </w:t>
            </w:r>
            <w:proofErr w:type="spellStart"/>
            <w:r w:rsidRPr="00200CBF">
              <w:rPr>
                <w:rFonts w:cs="Arial"/>
                <w:szCs w:val="19"/>
                <w:lang w:val="en-US"/>
              </w:rPr>
              <w:t>haematopoeitic</w:t>
            </w:r>
            <w:proofErr w:type="spellEnd"/>
            <w:r w:rsidRPr="00200CBF">
              <w:rPr>
                <w:rFonts w:cs="Arial"/>
                <w:szCs w:val="19"/>
                <w:lang w:val="en-US"/>
              </w:rPr>
              <w:t xml:space="preserve"> stem cell transplantation is </w:t>
            </w:r>
            <w:proofErr w:type="gramStart"/>
            <w:r w:rsidRPr="00200CBF">
              <w:rPr>
                <w:rFonts w:cs="Arial"/>
                <w:szCs w:val="19"/>
                <w:lang w:val="en-US"/>
              </w:rPr>
              <w:t>appropriate</w:t>
            </w:r>
            <w:proofErr w:type="gramEnd"/>
            <w:r w:rsidRPr="00200CBF">
              <w:rPr>
                <w:rFonts w:cs="Arial"/>
                <w:szCs w:val="19"/>
                <w:lang w:val="en-US"/>
              </w:rPr>
              <w:t xml:space="preserve"> and a human leukocyte antigen matched related </w:t>
            </w:r>
            <w:proofErr w:type="spellStart"/>
            <w:r w:rsidRPr="00200CBF">
              <w:rPr>
                <w:rFonts w:cs="Arial"/>
                <w:szCs w:val="19"/>
                <w:lang w:val="en-US"/>
              </w:rPr>
              <w:t>haematopoietic</w:t>
            </w:r>
            <w:proofErr w:type="spellEnd"/>
            <w:r w:rsidRPr="00200CBF">
              <w:rPr>
                <w:rFonts w:cs="Arial"/>
                <w:szCs w:val="19"/>
                <w:lang w:val="en-US"/>
              </w:rPr>
              <w:t xml:space="preserve"> stem cell donor is not available</w:t>
            </w:r>
          </w:p>
        </w:tc>
      </w:tr>
      <w:tr w:rsidR="00200CBF" w14:paraId="4F584AE6" w14:textId="77777777" w:rsidTr="00120ADD">
        <w:tc>
          <w:tcPr>
            <w:tcW w:w="1360" w:type="pct"/>
            <w:gridSpan w:val="2"/>
            <w:shd w:val="clear" w:color="auto" w:fill="auto"/>
            <w:tcMar>
              <w:top w:w="57" w:type="dxa"/>
              <w:bottom w:w="57" w:type="dxa"/>
            </w:tcMar>
          </w:tcPr>
          <w:p w14:paraId="6376D2D5" w14:textId="77777777" w:rsidR="00CC5E1C" w:rsidRDefault="00CC5E1C" w:rsidP="00CC5E1C">
            <w:pPr>
              <w:rPr>
                <w:rFonts w:cs="Arial"/>
                <w:szCs w:val="19"/>
              </w:rPr>
            </w:pPr>
            <w:r w:rsidRPr="00200CBF">
              <w:rPr>
                <w:rFonts w:cs="Arial"/>
                <w:szCs w:val="19"/>
              </w:rPr>
              <w:t>Exagamglogene autotemcel (</w:t>
            </w:r>
            <w:r w:rsidRPr="00200CBF">
              <w:rPr>
                <w:rFonts w:cs="Arial"/>
                <w:i/>
                <w:iCs/>
                <w:szCs w:val="19"/>
              </w:rPr>
              <w:t>Casgevy</w:t>
            </w:r>
            <w:r w:rsidRPr="00200CBF">
              <w:rPr>
                <w:rFonts w:cs="Arial"/>
                <w:szCs w:val="19"/>
              </w:rPr>
              <w:t>)</w:t>
            </w:r>
          </w:p>
          <w:p w14:paraId="03C73712" w14:textId="333C5552" w:rsidR="00200CBF" w:rsidRPr="004C6C05" w:rsidRDefault="00CC5E1C" w:rsidP="00CC5E1C">
            <w:pPr>
              <w:rPr>
                <w:rFonts w:cs="Arial"/>
                <w:szCs w:val="19"/>
              </w:rPr>
            </w:pPr>
            <w:r>
              <w:rPr>
                <w:rFonts w:cs="Arial"/>
                <w:sz w:val="16"/>
                <w:szCs w:val="16"/>
              </w:rPr>
              <w:t>4 to 13</w:t>
            </w:r>
            <w:r w:rsidRPr="009D77D7">
              <w:rPr>
                <w:rFonts w:cs="Arial"/>
                <w:sz w:val="16"/>
                <w:szCs w:val="16"/>
              </w:rPr>
              <w:t>×10</w:t>
            </w:r>
            <w:r w:rsidRPr="009D77D7">
              <w:rPr>
                <w:rFonts w:cs="Arial"/>
                <w:sz w:val="16"/>
                <w:szCs w:val="16"/>
                <w:vertAlign w:val="superscript"/>
              </w:rPr>
              <w:t>x</w:t>
            </w:r>
            <w:r>
              <w:rPr>
                <w:rFonts w:cs="Arial"/>
                <w:sz w:val="16"/>
                <w:szCs w:val="16"/>
                <w:vertAlign w:val="superscript"/>
              </w:rPr>
              <w:t>6</w:t>
            </w:r>
            <w:r w:rsidRPr="009D77D7">
              <w:rPr>
                <w:rFonts w:cs="Arial"/>
                <w:sz w:val="16"/>
                <w:szCs w:val="16"/>
              </w:rPr>
              <w:t xml:space="preserve"> </w:t>
            </w:r>
            <w:r>
              <w:rPr>
                <w:rFonts w:cs="Arial"/>
                <w:sz w:val="16"/>
                <w:szCs w:val="16"/>
              </w:rPr>
              <w:t>cells/mL</w:t>
            </w:r>
            <w:r w:rsidRPr="009D77D7">
              <w:rPr>
                <w:rFonts w:cs="Arial"/>
                <w:sz w:val="16"/>
                <w:szCs w:val="16"/>
              </w:rPr>
              <w:t xml:space="preserve"> in </w:t>
            </w:r>
            <w:r>
              <w:rPr>
                <w:rFonts w:cs="Arial"/>
                <w:sz w:val="16"/>
                <w:szCs w:val="16"/>
              </w:rPr>
              <w:t>one or more 1</w:t>
            </w:r>
            <w:r w:rsidRPr="009D77D7">
              <w:rPr>
                <w:rFonts w:cs="Arial"/>
                <w:sz w:val="16"/>
                <w:szCs w:val="16"/>
              </w:rPr>
              <w:t>.5mL</w:t>
            </w:r>
            <w:r>
              <w:rPr>
                <w:rFonts w:cs="Arial"/>
                <w:sz w:val="16"/>
                <w:szCs w:val="16"/>
              </w:rPr>
              <w:t xml:space="preserve"> to 20mL</w:t>
            </w:r>
            <w:r w:rsidRPr="009D77D7">
              <w:rPr>
                <w:rFonts w:cs="Arial"/>
                <w:sz w:val="16"/>
                <w:szCs w:val="16"/>
              </w:rPr>
              <w:t xml:space="preserve"> vial</w:t>
            </w:r>
            <w:r>
              <w:rPr>
                <w:rFonts w:cs="Arial"/>
                <w:sz w:val="16"/>
                <w:szCs w:val="16"/>
              </w:rPr>
              <w:t>s</w:t>
            </w:r>
          </w:p>
        </w:tc>
        <w:tc>
          <w:tcPr>
            <w:tcW w:w="3640" w:type="pct"/>
            <w:shd w:val="clear" w:color="auto" w:fill="auto"/>
            <w:tcMar>
              <w:top w:w="57" w:type="dxa"/>
              <w:bottom w:w="57" w:type="dxa"/>
            </w:tcMar>
          </w:tcPr>
          <w:p w14:paraId="0C9871F4" w14:textId="2FC99549" w:rsidR="00200CBF" w:rsidRPr="002C6F43" w:rsidRDefault="004E155E" w:rsidP="007D01FD">
            <w:pPr>
              <w:tabs>
                <w:tab w:val="center" w:pos="3152"/>
              </w:tabs>
              <w:rPr>
                <w:rFonts w:cs="Arial"/>
                <w:szCs w:val="19"/>
                <w:lang w:val="en-US"/>
              </w:rPr>
            </w:pPr>
            <w:r w:rsidRPr="004E155E">
              <w:rPr>
                <w:rFonts w:cs="Arial"/>
                <w:szCs w:val="19"/>
                <w:lang w:val="en-US"/>
              </w:rPr>
              <w:t xml:space="preserve">Treatment of transfusion-dependent β-thalassemia in patients </w:t>
            </w:r>
            <w:r>
              <w:rPr>
                <w:rFonts w:cs="Arial"/>
                <w:szCs w:val="19"/>
                <w:lang w:val="en-US"/>
              </w:rPr>
              <w:t>aged ≥</w:t>
            </w:r>
            <w:r w:rsidRPr="004E155E">
              <w:rPr>
                <w:rFonts w:cs="Arial"/>
                <w:szCs w:val="19"/>
                <w:lang w:val="en-US"/>
              </w:rPr>
              <w:t xml:space="preserve">12 years for whom a human leukocyte antigen-matched related </w:t>
            </w:r>
            <w:proofErr w:type="spellStart"/>
            <w:r w:rsidRPr="004E155E">
              <w:rPr>
                <w:rFonts w:cs="Arial"/>
                <w:szCs w:val="19"/>
                <w:lang w:val="en-US"/>
              </w:rPr>
              <w:t>haematopoietic</w:t>
            </w:r>
            <w:proofErr w:type="spellEnd"/>
            <w:r w:rsidRPr="004E155E">
              <w:rPr>
                <w:rFonts w:cs="Arial"/>
                <w:szCs w:val="19"/>
                <w:lang w:val="en-US"/>
              </w:rPr>
              <w:t xml:space="preserve"> stem cell donor is </w:t>
            </w:r>
            <w:proofErr w:type="gramStart"/>
            <w:r w:rsidRPr="004E155E">
              <w:rPr>
                <w:rFonts w:cs="Arial"/>
                <w:szCs w:val="19"/>
                <w:lang w:val="en-US"/>
              </w:rPr>
              <w:t>appropriate</w:t>
            </w:r>
            <w:proofErr w:type="gramEnd"/>
            <w:r w:rsidRPr="004E155E">
              <w:rPr>
                <w:rFonts w:cs="Arial"/>
                <w:szCs w:val="19"/>
                <w:lang w:val="en-US"/>
              </w:rPr>
              <w:t xml:space="preserve"> and a human leukocyte antigen matched related </w:t>
            </w:r>
            <w:proofErr w:type="spellStart"/>
            <w:r w:rsidRPr="004E155E">
              <w:rPr>
                <w:rFonts w:cs="Arial"/>
                <w:szCs w:val="19"/>
                <w:lang w:val="en-US"/>
              </w:rPr>
              <w:t>haematopoietic</w:t>
            </w:r>
            <w:proofErr w:type="spellEnd"/>
            <w:r w:rsidRPr="004E155E">
              <w:rPr>
                <w:rFonts w:cs="Arial"/>
                <w:szCs w:val="19"/>
                <w:lang w:val="en-US"/>
              </w:rPr>
              <w:t xml:space="preserve"> stem cell donor is not available</w:t>
            </w:r>
          </w:p>
        </w:tc>
      </w:tr>
      <w:tr w:rsidR="00B356E5" w14:paraId="56443494" w14:textId="77777777" w:rsidTr="00120ADD">
        <w:tc>
          <w:tcPr>
            <w:tcW w:w="1360" w:type="pct"/>
            <w:gridSpan w:val="2"/>
            <w:shd w:val="clear" w:color="auto" w:fill="auto"/>
            <w:tcMar>
              <w:top w:w="57" w:type="dxa"/>
              <w:bottom w:w="57" w:type="dxa"/>
            </w:tcMar>
          </w:tcPr>
          <w:p w14:paraId="630FD8E4" w14:textId="77777777" w:rsidR="00B356E5" w:rsidRDefault="00B356E5" w:rsidP="00B356E5">
            <w:pPr>
              <w:rPr>
                <w:rFonts w:cs="Arial"/>
                <w:szCs w:val="19"/>
              </w:rPr>
            </w:pPr>
            <w:r>
              <w:rPr>
                <w:rFonts w:cs="Arial"/>
                <w:szCs w:val="19"/>
              </w:rPr>
              <w:t>Ivacaftor (</w:t>
            </w:r>
            <w:r>
              <w:rPr>
                <w:rFonts w:cs="Arial"/>
                <w:i/>
                <w:iCs/>
                <w:szCs w:val="19"/>
              </w:rPr>
              <w:t>Kalydeco</w:t>
            </w:r>
            <w:r>
              <w:rPr>
                <w:rFonts w:cs="Arial"/>
                <w:szCs w:val="19"/>
              </w:rPr>
              <w:t>)</w:t>
            </w:r>
          </w:p>
          <w:p w14:paraId="51A706F9" w14:textId="18E5622C" w:rsidR="00B356E5" w:rsidRDefault="00B356E5" w:rsidP="00B356E5">
            <w:pPr>
              <w:rPr>
                <w:rFonts w:cs="Arial"/>
                <w:szCs w:val="19"/>
              </w:rPr>
            </w:pPr>
            <w:r>
              <w:rPr>
                <w:rFonts w:cs="Arial"/>
                <w:sz w:val="16"/>
                <w:szCs w:val="16"/>
              </w:rPr>
              <w:t>13.4</w:t>
            </w:r>
            <w:r w:rsidRPr="005F14E1">
              <w:rPr>
                <w:rFonts w:cs="Arial"/>
                <w:sz w:val="16"/>
                <w:szCs w:val="16"/>
              </w:rPr>
              <w:t>mg granules in sachet</w:t>
            </w:r>
          </w:p>
        </w:tc>
        <w:tc>
          <w:tcPr>
            <w:tcW w:w="3640" w:type="pct"/>
            <w:shd w:val="clear" w:color="auto" w:fill="auto"/>
            <w:tcMar>
              <w:top w:w="57" w:type="dxa"/>
              <w:bottom w:w="57" w:type="dxa"/>
            </w:tcMar>
          </w:tcPr>
          <w:p w14:paraId="0FC3669C" w14:textId="42D33EF6" w:rsidR="00B356E5" w:rsidRDefault="001108F9" w:rsidP="00B356E5">
            <w:pPr>
              <w:tabs>
                <w:tab w:val="center" w:pos="3152"/>
              </w:tabs>
              <w:rPr>
                <w:rFonts w:cs="Arial"/>
                <w:szCs w:val="19"/>
                <w:lang w:val="en-US"/>
              </w:rPr>
            </w:pPr>
            <w:r w:rsidRPr="001108F9">
              <w:rPr>
                <w:rFonts w:cs="Arial"/>
                <w:szCs w:val="19"/>
                <w:lang w:val="en-US"/>
              </w:rPr>
              <w:t xml:space="preserve">Use as monotherapy for the treatment of infants aged </w:t>
            </w:r>
            <w:r w:rsidR="00EA2CDE">
              <w:rPr>
                <w:rFonts w:cs="Arial"/>
                <w:szCs w:val="19"/>
                <w:lang w:val="en-US"/>
              </w:rPr>
              <w:t>≥</w:t>
            </w:r>
            <w:r w:rsidRPr="001108F9">
              <w:rPr>
                <w:rFonts w:cs="Arial"/>
                <w:szCs w:val="19"/>
                <w:lang w:val="en-US"/>
              </w:rPr>
              <w:t xml:space="preserve">1 month, toddlers and children weighing 3kg to </w:t>
            </w:r>
            <w:r w:rsidR="00EA2CDE">
              <w:rPr>
                <w:rFonts w:cs="Arial"/>
                <w:szCs w:val="19"/>
                <w:lang w:val="en-US"/>
              </w:rPr>
              <w:t>&lt;</w:t>
            </w:r>
            <w:r w:rsidRPr="001108F9">
              <w:rPr>
                <w:rFonts w:cs="Arial"/>
                <w:szCs w:val="19"/>
                <w:lang w:val="en-US"/>
              </w:rPr>
              <w:t xml:space="preserve">25kg with cystic fibrosis </w:t>
            </w:r>
            <w:r w:rsidR="00D537BC">
              <w:rPr>
                <w:rFonts w:cs="Arial"/>
                <w:szCs w:val="19"/>
                <w:lang w:val="en-US"/>
              </w:rPr>
              <w:t xml:space="preserve">(CF) </w:t>
            </w:r>
            <w:r w:rsidRPr="001108F9">
              <w:rPr>
                <w:rFonts w:cs="Arial"/>
                <w:szCs w:val="19"/>
                <w:lang w:val="en-US"/>
              </w:rPr>
              <w:t xml:space="preserve">who have an R117H CFTR mutation or one of the following gating (class III) mutations in the </w:t>
            </w:r>
            <w:r w:rsidR="00D537BC">
              <w:rPr>
                <w:rFonts w:cs="Arial"/>
                <w:szCs w:val="19"/>
                <w:lang w:val="en-US"/>
              </w:rPr>
              <w:t>CF</w:t>
            </w:r>
            <w:r w:rsidR="00D537BC" w:rsidRPr="00D537BC">
              <w:rPr>
                <w:rFonts w:cs="Arial"/>
                <w:szCs w:val="19"/>
                <w:lang w:val="en-US"/>
              </w:rPr>
              <w:t xml:space="preserve"> transmembrane conductance regulator </w:t>
            </w:r>
            <w:r w:rsidRPr="001108F9">
              <w:rPr>
                <w:rFonts w:cs="Arial"/>
                <w:szCs w:val="19"/>
                <w:lang w:val="en-US"/>
              </w:rPr>
              <w:t>gene: G551D, G1244E, G1349D, G178R, G551S, S1251N, S1255P, S549N or S549R</w:t>
            </w:r>
            <w:r w:rsidR="00EA2CDE">
              <w:rPr>
                <w:rFonts w:cs="Arial"/>
                <w:szCs w:val="19"/>
                <w:lang w:val="en-US"/>
              </w:rPr>
              <w:t xml:space="preserve"> </w:t>
            </w:r>
            <w:r w:rsidR="00EA2CDE" w:rsidRPr="00EA2CDE">
              <w:rPr>
                <w:rFonts w:cs="Arial"/>
                <w:sz w:val="16"/>
                <w:szCs w:val="16"/>
                <w:lang w:val="en-US"/>
              </w:rPr>
              <w:t>[new lower strength formulation]</w:t>
            </w:r>
          </w:p>
        </w:tc>
      </w:tr>
      <w:tr w:rsidR="001E16FA" w14:paraId="5C519232" w14:textId="77777777" w:rsidTr="00120ADD">
        <w:tc>
          <w:tcPr>
            <w:tcW w:w="1360" w:type="pct"/>
            <w:gridSpan w:val="2"/>
            <w:shd w:val="clear" w:color="auto" w:fill="auto"/>
            <w:tcMar>
              <w:top w:w="57" w:type="dxa"/>
              <w:bottom w:w="57" w:type="dxa"/>
            </w:tcMar>
          </w:tcPr>
          <w:p w14:paraId="2979B339" w14:textId="77777777" w:rsidR="001E16FA" w:rsidRDefault="001E16FA" w:rsidP="001E16FA">
            <w:pPr>
              <w:rPr>
                <w:rFonts w:cs="Arial"/>
                <w:szCs w:val="19"/>
              </w:rPr>
            </w:pPr>
            <w:r>
              <w:rPr>
                <w:rFonts w:cs="Arial"/>
                <w:szCs w:val="19"/>
              </w:rPr>
              <w:t>Ivacaftor (</w:t>
            </w:r>
            <w:r>
              <w:rPr>
                <w:rFonts w:cs="Arial"/>
                <w:i/>
                <w:iCs/>
                <w:szCs w:val="19"/>
              </w:rPr>
              <w:t>Kalydeco</w:t>
            </w:r>
            <w:r>
              <w:rPr>
                <w:rFonts w:cs="Arial"/>
                <w:szCs w:val="19"/>
              </w:rPr>
              <w:t>)</w:t>
            </w:r>
          </w:p>
          <w:p w14:paraId="5327B3C2" w14:textId="16E3618D" w:rsidR="001E16FA" w:rsidRDefault="001E16FA" w:rsidP="001E16FA">
            <w:pPr>
              <w:rPr>
                <w:rFonts w:cs="Arial"/>
                <w:szCs w:val="19"/>
              </w:rPr>
            </w:pPr>
            <w:r>
              <w:rPr>
                <w:rFonts w:cs="Arial"/>
                <w:sz w:val="16"/>
                <w:szCs w:val="16"/>
              </w:rPr>
              <w:t>25</w:t>
            </w:r>
            <w:r w:rsidRPr="005F14E1">
              <w:rPr>
                <w:rFonts w:cs="Arial"/>
                <w:sz w:val="16"/>
                <w:szCs w:val="16"/>
              </w:rPr>
              <w:t>mg</w:t>
            </w:r>
            <w:r>
              <w:rPr>
                <w:rFonts w:cs="Arial"/>
                <w:sz w:val="16"/>
                <w:szCs w:val="16"/>
              </w:rPr>
              <w:t>, 50mg and 75mg</w:t>
            </w:r>
            <w:r w:rsidRPr="005F14E1">
              <w:rPr>
                <w:rFonts w:cs="Arial"/>
                <w:sz w:val="16"/>
                <w:szCs w:val="16"/>
              </w:rPr>
              <w:t xml:space="preserve"> granules in sachet</w:t>
            </w:r>
          </w:p>
        </w:tc>
        <w:tc>
          <w:tcPr>
            <w:tcW w:w="3640" w:type="pct"/>
            <w:shd w:val="clear" w:color="auto" w:fill="auto"/>
            <w:tcMar>
              <w:top w:w="57" w:type="dxa"/>
              <w:bottom w:w="57" w:type="dxa"/>
            </w:tcMar>
          </w:tcPr>
          <w:p w14:paraId="0FA06237" w14:textId="77777777" w:rsidR="00120ADD" w:rsidRDefault="001E16FA" w:rsidP="00120ADD">
            <w:pPr>
              <w:tabs>
                <w:tab w:val="center" w:pos="3152"/>
              </w:tabs>
              <w:rPr>
                <w:rFonts w:cs="Arial"/>
                <w:szCs w:val="19"/>
                <w:lang w:val="en-US"/>
              </w:rPr>
            </w:pPr>
            <w:r w:rsidRPr="001108F9">
              <w:rPr>
                <w:rFonts w:cs="Arial"/>
                <w:szCs w:val="19"/>
                <w:lang w:val="en-US"/>
              </w:rPr>
              <w:t xml:space="preserve">Use as monotherapy for the treatment of infants aged </w:t>
            </w:r>
            <w:r>
              <w:rPr>
                <w:rFonts w:cs="Arial"/>
                <w:szCs w:val="19"/>
                <w:lang w:val="en-US"/>
              </w:rPr>
              <w:t>≥</w:t>
            </w:r>
            <w:r w:rsidRPr="001108F9">
              <w:rPr>
                <w:rFonts w:cs="Arial"/>
                <w:szCs w:val="19"/>
                <w:lang w:val="en-US"/>
              </w:rPr>
              <w:t xml:space="preserve">1 month, toddlers and children weighing 3kg to </w:t>
            </w:r>
            <w:r>
              <w:rPr>
                <w:rFonts w:cs="Arial"/>
                <w:szCs w:val="19"/>
                <w:lang w:val="en-US"/>
              </w:rPr>
              <w:t>&lt;</w:t>
            </w:r>
            <w:r w:rsidRPr="001108F9">
              <w:rPr>
                <w:rFonts w:cs="Arial"/>
                <w:szCs w:val="19"/>
                <w:lang w:val="en-US"/>
              </w:rPr>
              <w:t xml:space="preserve">25kg with cystic fibrosis </w:t>
            </w:r>
            <w:r w:rsidR="00D537BC">
              <w:rPr>
                <w:rFonts w:cs="Arial"/>
                <w:szCs w:val="19"/>
                <w:lang w:val="en-US"/>
              </w:rPr>
              <w:t xml:space="preserve">(CF) </w:t>
            </w:r>
            <w:r w:rsidRPr="001108F9">
              <w:rPr>
                <w:rFonts w:cs="Arial"/>
                <w:szCs w:val="19"/>
                <w:lang w:val="en-US"/>
              </w:rPr>
              <w:t xml:space="preserve">who have an R117H CFTR mutation or one of the following gating (class III) mutations in the </w:t>
            </w:r>
            <w:r w:rsidR="00D537BC">
              <w:rPr>
                <w:rFonts w:cs="Arial"/>
                <w:szCs w:val="19"/>
                <w:lang w:val="en-US"/>
              </w:rPr>
              <w:t>CF</w:t>
            </w:r>
            <w:r w:rsidR="00D537BC" w:rsidRPr="00D537BC">
              <w:rPr>
                <w:rFonts w:cs="Arial"/>
                <w:szCs w:val="19"/>
                <w:lang w:val="en-US"/>
              </w:rPr>
              <w:t xml:space="preserve"> transmembrane conductance regulator </w:t>
            </w:r>
            <w:r w:rsidRPr="001108F9">
              <w:rPr>
                <w:rFonts w:cs="Arial"/>
                <w:szCs w:val="19"/>
                <w:lang w:val="en-US"/>
              </w:rPr>
              <w:t>gene: G551D, G1244E, G1349D, G178R, G551S, S1251N, S1255P, S549N or S549R</w:t>
            </w:r>
            <w:r>
              <w:rPr>
                <w:rFonts w:cs="Arial"/>
                <w:szCs w:val="19"/>
                <w:lang w:val="en-US"/>
              </w:rPr>
              <w:t xml:space="preserve"> </w:t>
            </w:r>
          </w:p>
          <w:p w14:paraId="35280B98" w14:textId="2CA6A1F8" w:rsidR="001E16FA" w:rsidRDefault="001E16FA" w:rsidP="00120ADD">
            <w:pPr>
              <w:tabs>
                <w:tab w:val="center" w:pos="3152"/>
              </w:tabs>
              <w:rPr>
                <w:rFonts w:cs="Arial"/>
                <w:szCs w:val="19"/>
                <w:lang w:val="en-US"/>
              </w:rPr>
            </w:pPr>
            <w:r w:rsidRPr="00EA2CDE">
              <w:rPr>
                <w:rFonts w:cs="Arial"/>
                <w:sz w:val="16"/>
                <w:szCs w:val="16"/>
                <w:lang w:val="en-US"/>
              </w:rPr>
              <w:t>[</w:t>
            </w:r>
            <w:r>
              <w:rPr>
                <w:rFonts w:cs="Arial"/>
                <w:sz w:val="16"/>
                <w:szCs w:val="16"/>
                <w:lang w:val="en-US"/>
              </w:rPr>
              <w:t xml:space="preserve">licence change from use only in </w:t>
            </w:r>
            <w:r w:rsidRPr="001E16FA">
              <w:rPr>
                <w:rFonts w:cs="Arial"/>
                <w:sz w:val="16"/>
                <w:szCs w:val="16"/>
                <w:lang w:val="en-US"/>
              </w:rPr>
              <w:t xml:space="preserve">infants aged </w:t>
            </w:r>
            <w:r>
              <w:rPr>
                <w:rFonts w:cs="Arial"/>
                <w:sz w:val="16"/>
                <w:szCs w:val="16"/>
                <w:lang w:val="en-US"/>
              </w:rPr>
              <w:t>≥</w:t>
            </w:r>
            <w:r w:rsidRPr="001E16FA">
              <w:rPr>
                <w:rFonts w:cs="Arial"/>
                <w:sz w:val="16"/>
                <w:szCs w:val="16"/>
                <w:lang w:val="en-US"/>
              </w:rPr>
              <w:t>4 months, toddlers and children weighing 5kg to</w:t>
            </w:r>
            <w:r>
              <w:rPr>
                <w:rFonts w:cs="Arial"/>
                <w:sz w:val="16"/>
                <w:szCs w:val="16"/>
                <w:lang w:val="en-US"/>
              </w:rPr>
              <w:t xml:space="preserve"> &lt;</w:t>
            </w:r>
            <w:r w:rsidRPr="001E16FA">
              <w:rPr>
                <w:rFonts w:cs="Arial"/>
                <w:sz w:val="16"/>
                <w:szCs w:val="16"/>
                <w:lang w:val="en-US"/>
              </w:rPr>
              <w:t>25kg</w:t>
            </w:r>
            <w:r w:rsidRPr="00EA2CDE">
              <w:rPr>
                <w:rFonts w:cs="Arial"/>
                <w:sz w:val="16"/>
                <w:szCs w:val="16"/>
                <w:lang w:val="en-US"/>
              </w:rPr>
              <w:t>]</w:t>
            </w:r>
          </w:p>
        </w:tc>
      </w:tr>
      <w:tr w:rsidR="001E16FA" w14:paraId="3BB81642" w14:textId="77777777" w:rsidTr="00120ADD">
        <w:tc>
          <w:tcPr>
            <w:tcW w:w="1360" w:type="pct"/>
            <w:gridSpan w:val="2"/>
            <w:shd w:val="clear" w:color="auto" w:fill="auto"/>
            <w:tcMar>
              <w:top w:w="57" w:type="dxa"/>
              <w:bottom w:w="57" w:type="dxa"/>
            </w:tcMar>
          </w:tcPr>
          <w:p w14:paraId="693BE3AD" w14:textId="77777777" w:rsidR="001E16FA" w:rsidRDefault="001E16FA" w:rsidP="001E16FA">
            <w:pPr>
              <w:rPr>
                <w:rFonts w:cs="Arial"/>
                <w:szCs w:val="19"/>
              </w:rPr>
            </w:pPr>
            <w:r>
              <w:rPr>
                <w:rFonts w:cs="Arial"/>
                <w:szCs w:val="19"/>
              </w:rPr>
              <w:t>Ivacaftor (</w:t>
            </w:r>
            <w:r>
              <w:rPr>
                <w:rFonts w:cs="Arial"/>
                <w:i/>
                <w:iCs/>
                <w:szCs w:val="19"/>
              </w:rPr>
              <w:t>Kalydeco</w:t>
            </w:r>
            <w:r>
              <w:rPr>
                <w:rFonts w:cs="Arial"/>
                <w:szCs w:val="19"/>
              </w:rPr>
              <w:t>)</w:t>
            </w:r>
          </w:p>
          <w:p w14:paraId="30A6ADF8" w14:textId="11A21A49" w:rsidR="001E16FA" w:rsidRPr="005F14E1" w:rsidRDefault="001E16FA" w:rsidP="001E16FA">
            <w:pPr>
              <w:rPr>
                <w:rFonts w:cs="Arial"/>
                <w:szCs w:val="19"/>
              </w:rPr>
            </w:pPr>
            <w:r>
              <w:rPr>
                <w:rFonts w:cs="Arial"/>
                <w:sz w:val="16"/>
                <w:szCs w:val="16"/>
              </w:rPr>
              <w:t xml:space="preserve">13.4mg, </w:t>
            </w:r>
            <w:r w:rsidRPr="005F14E1">
              <w:rPr>
                <w:rFonts w:cs="Arial"/>
                <w:sz w:val="16"/>
                <w:szCs w:val="16"/>
              </w:rPr>
              <w:t>25mg, 50mg and 75mg granules in sachet</w:t>
            </w:r>
          </w:p>
        </w:tc>
        <w:tc>
          <w:tcPr>
            <w:tcW w:w="3640" w:type="pct"/>
            <w:shd w:val="clear" w:color="auto" w:fill="auto"/>
            <w:tcMar>
              <w:top w:w="57" w:type="dxa"/>
              <w:bottom w:w="57" w:type="dxa"/>
            </w:tcMar>
          </w:tcPr>
          <w:p w14:paraId="056CD871" w14:textId="1AEB6EF2" w:rsidR="001E16FA" w:rsidRPr="002C6F43" w:rsidRDefault="001E16FA" w:rsidP="001E16FA">
            <w:pPr>
              <w:tabs>
                <w:tab w:val="center" w:pos="3152"/>
              </w:tabs>
              <w:rPr>
                <w:rFonts w:cs="Arial"/>
                <w:szCs w:val="19"/>
                <w:lang w:val="en-US"/>
              </w:rPr>
            </w:pPr>
            <w:r>
              <w:rPr>
                <w:rFonts w:cs="Arial"/>
                <w:szCs w:val="19"/>
                <w:lang w:val="en-US"/>
              </w:rPr>
              <w:t xml:space="preserve">Use in </w:t>
            </w:r>
            <w:r w:rsidRPr="005857ED">
              <w:rPr>
                <w:rFonts w:cs="Arial"/>
                <w:szCs w:val="19"/>
                <w:lang w:val="en-US"/>
              </w:rPr>
              <w:t>a combination regimen with ivacaftor/tezacaftor/elexacaftor for the</w:t>
            </w:r>
            <w:r>
              <w:rPr>
                <w:rFonts w:cs="Arial"/>
                <w:szCs w:val="19"/>
                <w:lang w:val="en-US"/>
              </w:rPr>
              <w:t xml:space="preserve"> </w:t>
            </w:r>
            <w:r w:rsidRPr="005857ED">
              <w:rPr>
                <w:rFonts w:cs="Arial"/>
                <w:szCs w:val="19"/>
                <w:lang w:val="en-US"/>
              </w:rPr>
              <w:t>treatment of cystic fibrosis</w:t>
            </w:r>
            <w:r w:rsidR="00D537BC">
              <w:rPr>
                <w:rFonts w:cs="Arial"/>
                <w:szCs w:val="19"/>
                <w:lang w:val="en-US"/>
              </w:rPr>
              <w:t xml:space="preserve"> (CF)</w:t>
            </w:r>
            <w:r w:rsidRPr="005857ED">
              <w:rPr>
                <w:rFonts w:cs="Arial"/>
                <w:szCs w:val="19"/>
                <w:lang w:val="en-US"/>
              </w:rPr>
              <w:t xml:space="preserve"> in paediatric patients aged 2 to </w:t>
            </w:r>
            <w:r>
              <w:rPr>
                <w:rFonts w:cs="Arial"/>
                <w:szCs w:val="19"/>
                <w:lang w:val="en-US"/>
              </w:rPr>
              <w:t>&lt;</w:t>
            </w:r>
            <w:r w:rsidRPr="005857ED">
              <w:rPr>
                <w:rFonts w:cs="Arial"/>
                <w:szCs w:val="19"/>
                <w:lang w:val="en-US"/>
              </w:rPr>
              <w:t>6</w:t>
            </w:r>
            <w:r>
              <w:rPr>
                <w:rFonts w:cs="Arial"/>
                <w:szCs w:val="19"/>
                <w:lang w:val="en-US"/>
              </w:rPr>
              <w:t xml:space="preserve"> </w:t>
            </w:r>
            <w:r w:rsidRPr="005857ED">
              <w:rPr>
                <w:rFonts w:cs="Arial"/>
                <w:szCs w:val="19"/>
                <w:lang w:val="en-US"/>
              </w:rPr>
              <w:t xml:space="preserve">years who have at least one F508del mutation in the </w:t>
            </w:r>
            <w:r w:rsidR="00D537BC">
              <w:rPr>
                <w:rFonts w:cs="Arial"/>
                <w:szCs w:val="19"/>
                <w:lang w:val="en-US"/>
              </w:rPr>
              <w:t>CF</w:t>
            </w:r>
            <w:r w:rsidR="00D537BC" w:rsidRPr="00D537BC">
              <w:rPr>
                <w:rFonts w:cs="Arial"/>
                <w:szCs w:val="19"/>
                <w:lang w:val="en-US"/>
              </w:rPr>
              <w:t xml:space="preserve"> transmembrane conductance regulator</w:t>
            </w:r>
            <w:r w:rsidRPr="005857ED">
              <w:rPr>
                <w:rFonts w:cs="Arial"/>
                <w:szCs w:val="19"/>
                <w:lang w:val="en-US"/>
              </w:rPr>
              <w:t xml:space="preserve"> gene</w:t>
            </w:r>
            <w:r>
              <w:rPr>
                <w:rFonts w:cs="Arial"/>
                <w:szCs w:val="19"/>
                <w:lang w:val="en-US"/>
              </w:rPr>
              <w:t xml:space="preserve"> </w:t>
            </w:r>
            <w:r w:rsidRPr="005857ED">
              <w:rPr>
                <w:rFonts w:cs="Arial"/>
                <w:sz w:val="16"/>
                <w:szCs w:val="16"/>
                <w:lang w:val="en-US"/>
              </w:rPr>
              <w:t>[new indication]</w:t>
            </w:r>
          </w:p>
        </w:tc>
      </w:tr>
      <w:tr w:rsidR="001E16FA" w14:paraId="16D348FB" w14:textId="77777777" w:rsidTr="00120ADD">
        <w:tc>
          <w:tcPr>
            <w:tcW w:w="1360" w:type="pct"/>
            <w:gridSpan w:val="2"/>
            <w:shd w:val="clear" w:color="auto" w:fill="auto"/>
            <w:tcMar>
              <w:top w:w="57" w:type="dxa"/>
              <w:bottom w:w="57" w:type="dxa"/>
            </w:tcMar>
          </w:tcPr>
          <w:p w14:paraId="5DC7FB35" w14:textId="77777777" w:rsidR="001E16FA" w:rsidRDefault="001E16FA" w:rsidP="001E16FA">
            <w:pPr>
              <w:rPr>
                <w:rFonts w:cs="Arial"/>
                <w:szCs w:val="19"/>
              </w:rPr>
            </w:pPr>
            <w:r>
              <w:rPr>
                <w:rFonts w:cs="Arial"/>
                <w:szCs w:val="19"/>
              </w:rPr>
              <w:t>Ivacaftor (</w:t>
            </w:r>
            <w:r>
              <w:rPr>
                <w:rFonts w:cs="Arial"/>
                <w:i/>
                <w:iCs/>
                <w:szCs w:val="19"/>
              </w:rPr>
              <w:t>Kalydeco</w:t>
            </w:r>
            <w:r>
              <w:rPr>
                <w:rFonts w:cs="Arial"/>
                <w:szCs w:val="19"/>
              </w:rPr>
              <w:t xml:space="preserve">) </w:t>
            </w:r>
          </w:p>
          <w:p w14:paraId="30C20064" w14:textId="5BFD05DB" w:rsidR="001E16FA" w:rsidRPr="001C1086" w:rsidRDefault="001E16FA" w:rsidP="001E16FA">
            <w:pPr>
              <w:rPr>
                <w:rFonts w:cs="Arial"/>
                <w:szCs w:val="19"/>
              </w:rPr>
            </w:pPr>
            <w:r w:rsidRPr="005F14E1">
              <w:rPr>
                <w:rFonts w:cs="Arial"/>
                <w:sz w:val="16"/>
                <w:szCs w:val="16"/>
              </w:rPr>
              <w:t>59.5mg granules in sachet</w:t>
            </w:r>
          </w:p>
        </w:tc>
        <w:tc>
          <w:tcPr>
            <w:tcW w:w="3640" w:type="pct"/>
            <w:shd w:val="clear" w:color="auto" w:fill="auto"/>
            <w:tcMar>
              <w:top w:w="57" w:type="dxa"/>
              <w:bottom w:w="57" w:type="dxa"/>
            </w:tcMar>
          </w:tcPr>
          <w:p w14:paraId="1D95CC82" w14:textId="36042F92" w:rsidR="001E16FA" w:rsidRDefault="001E16FA" w:rsidP="00D537BC">
            <w:pPr>
              <w:tabs>
                <w:tab w:val="center" w:pos="3152"/>
              </w:tabs>
              <w:rPr>
                <w:rFonts w:cs="Arial"/>
                <w:sz w:val="18"/>
                <w:szCs w:val="18"/>
                <w:lang w:val="en-US"/>
              </w:rPr>
            </w:pPr>
            <w:r>
              <w:rPr>
                <w:rFonts w:cs="Arial"/>
                <w:szCs w:val="19"/>
                <w:lang w:val="en-US"/>
              </w:rPr>
              <w:t>Use a</w:t>
            </w:r>
            <w:r w:rsidRPr="00004488">
              <w:rPr>
                <w:rFonts w:cs="Arial"/>
                <w:szCs w:val="19"/>
                <w:lang w:val="en-US"/>
              </w:rPr>
              <w:t xml:space="preserve">s monotherapy for the treatment of infants aged </w:t>
            </w:r>
            <w:r>
              <w:rPr>
                <w:rFonts w:cs="Arial"/>
                <w:szCs w:val="19"/>
                <w:lang w:val="en-US"/>
              </w:rPr>
              <w:t>≥</w:t>
            </w:r>
            <w:r w:rsidRPr="00004488">
              <w:rPr>
                <w:rFonts w:cs="Arial"/>
                <w:szCs w:val="19"/>
                <w:lang w:val="en-US"/>
              </w:rPr>
              <w:t>1 month, toddlers</w:t>
            </w:r>
            <w:r>
              <w:rPr>
                <w:rFonts w:cs="Arial"/>
                <w:szCs w:val="19"/>
                <w:lang w:val="en-US"/>
              </w:rPr>
              <w:t xml:space="preserve"> </w:t>
            </w:r>
            <w:r w:rsidRPr="00004488">
              <w:rPr>
                <w:rFonts w:cs="Arial"/>
                <w:szCs w:val="19"/>
                <w:lang w:val="en-US"/>
              </w:rPr>
              <w:t>and children weighing 3kg to</w:t>
            </w:r>
            <w:r>
              <w:rPr>
                <w:rFonts w:cs="Arial"/>
                <w:szCs w:val="19"/>
                <w:lang w:val="en-US"/>
              </w:rPr>
              <w:t xml:space="preserve"> &lt;</w:t>
            </w:r>
            <w:r w:rsidRPr="00004488">
              <w:rPr>
                <w:rFonts w:cs="Arial"/>
                <w:szCs w:val="19"/>
                <w:lang w:val="en-US"/>
              </w:rPr>
              <w:t xml:space="preserve">25kg with cystic fibrosis </w:t>
            </w:r>
            <w:r>
              <w:rPr>
                <w:rFonts w:cs="Arial"/>
                <w:szCs w:val="19"/>
                <w:lang w:val="en-US"/>
              </w:rPr>
              <w:t xml:space="preserve">(CF) </w:t>
            </w:r>
            <w:r w:rsidRPr="00004488">
              <w:rPr>
                <w:rFonts w:cs="Arial"/>
                <w:szCs w:val="19"/>
                <w:lang w:val="en-US"/>
              </w:rPr>
              <w:t>who</w:t>
            </w:r>
            <w:r>
              <w:rPr>
                <w:rFonts w:cs="Arial"/>
                <w:szCs w:val="19"/>
                <w:lang w:val="en-US"/>
              </w:rPr>
              <w:t xml:space="preserve"> </w:t>
            </w:r>
            <w:r w:rsidRPr="00004488">
              <w:rPr>
                <w:rFonts w:cs="Arial"/>
                <w:szCs w:val="19"/>
                <w:lang w:val="en-US"/>
              </w:rPr>
              <w:t>have an R117H CFTR mutation or one of the following gating (class III)</w:t>
            </w:r>
            <w:r>
              <w:rPr>
                <w:rFonts w:cs="Arial"/>
                <w:szCs w:val="19"/>
                <w:lang w:val="en-US"/>
              </w:rPr>
              <w:t xml:space="preserve"> </w:t>
            </w:r>
            <w:r w:rsidRPr="00004488">
              <w:rPr>
                <w:rFonts w:cs="Arial"/>
                <w:szCs w:val="19"/>
                <w:lang w:val="en-US"/>
              </w:rPr>
              <w:t xml:space="preserve">mutations in the </w:t>
            </w:r>
            <w:r w:rsidR="00D537BC">
              <w:rPr>
                <w:rFonts w:cs="Arial"/>
                <w:szCs w:val="19"/>
                <w:lang w:val="en-US"/>
              </w:rPr>
              <w:t>CF</w:t>
            </w:r>
            <w:r w:rsidR="00D537BC" w:rsidRPr="00D537BC">
              <w:rPr>
                <w:rFonts w:cs="Arial"/>
                <w:szCs w:val="19"/>
                <w:lang w:val="en-US"/>
              </w:rPr>
              <w:t xml:space="preserve"> transmembrane conductance regulator </w:t>
            </w:r>
            <w:r w:rsidR="00D537BC">
              <w:rPr>
                <w:rFonts w:cs="Arial"/>
                <w:szCs w:val="19"/>
                <w:lang w:val="en-US"/>
              </w:rPr>
              <w:t xml:space="preserve">(CFTR) </w:t>
            </w:r>
            <w:r w:rsidRPr="00004488">
              <w:rPr>
                <w:rFonts w:cs="Arial"/>
                <w:szCs w:val="19"/>
                <w:lang w:val="en-US"/>
              </w:rPr>
              <w:t>gene: G551D, G1244E, G1349D, G178R, G551S,</w:t>
            </w:r>
            <w:r>
              <w:rPr>
                <w:rFonts w:cs="Arial"/>
                <w:szCs w:val="19"/>
                <w:lang w:val="en-US"/>
              </w:rPr>
              <w:t xml:space="preserve"> </w:t>
            </w:r>
            <w:r w:rsidRPr="00004488">
              <w:rPr>
                <w:rFonts w:cs="Arial"/>
                <w:szCs w:val="19"/>
                <w:lang w:val="en-US"/>
              </w:rPr>
              <w:t>S1251N, S1255P, S549N or S549R</w:t>
            </w:r>
            <w:r>
              <w:rPr>
                <w:rFonts w:cs="Arial"/>
                <w:szCs w:val="19"/>
                <w:lang w:val="en-US"/>
              </w:rPr>
              <w:t xml:space="preserve">. Also use in </w:t>
            </w:r>
            <w:r w:rsidRPr="005857ED">
              <w:rPr>
                <w:rFonts w:cs="Arial"/>
                <w:szCs w:val="19"/>
                <w:lang w:val="en-US"/>
              </w:rPr>
              <w:t>a combination regimen with ivacaftor/tezacaftor/</w:t>
            </w:r>
            <w:r w:rsidR="00120ADD">
              <w:rPr>
                <w:rFonts w:cs="Arial"/>
                <w:szCs w:val="19"/>
                <w:lang w:val="en-US"/>
              </w:rPr>
              <w:t xml:space="preserve"> </w:t>
            </w:r>
            <w:r w:rsidRPr="005857ED">
              <w:rPr>
                <w:rFonts w:cs="Arial"/>
                <w:szCs w:val="19"/>
                <w:lang w:val="en-US"/>
              </w:rPr>
              <w:t>elexacaftor for the</w:t>
            </w:r>
            <w:r>
              <w:rPr>
                <w:rFonts w:cs="Arial"/>
                <w:szCs w:val="19"/>
                <w:lang w:val="en-US"/>
              </w:rPr>
              <w:t xml:space="preserve"> </w:t>
            </w:r>
            <w:r w:rsidRPr="005857ED">
              <w:rPr>
                <w:rFonts w:cs="Arial"/>
                <w:szCs w:val="19"/>
                <w:lang w:val="en-US"/>
              </w:rPr>
              <w:t xml:space="preserve">treatment of </w:t>
            </w:r>
            <w:r>
              <w:rPr>
                <w:rFonts w:cs="Arial"/>
                <w:szCs w:val="19"/>
                <w:lang w:val="en-US"/>
              </w:rPr>
              <w:t>CF</w:t>
            </w:r>
            <w:r w:rsidRPr="005857ED">
              <w:rPr>
                <w:rFonts w:cs="Arial"/>
                <w:szCs w:val="19"/>
                <w:lang w:val="en-US"/>
              </w:rPr>
              <w:t xml:space="preserve"> in paediatric patients aged 2 to </w:t>
            </w:r>
            <w:r>
              <w:rPr>
                <w:rFonts w:cs="Arial"/>
                <w:szCs w:val="19"/>
                <w:lang w:val="en-US"/>
              </w:rPr>
              <w:t>&lt;</w:t>
            </w:r>
            <w:r w:rsidRPr="005857ED">
              <w:rPr>
                <w:rFonts w:cs="Arial"/>
                <w:szCs w:val="19"/>
                <w:lang w:val="en-US"/>
              </w:rPr>
              <w:t>6</w:t>
            </w:r>
            <w:r>
              <w:rPr>
                <w:rFonts w:cs="Arial"/>
                <w:szCs w:val="19"/>
                <w:lang w:val="en-US"/>
              </w:rPr>
              <w:t xml:space="preserve"> </w:t>
            </w:r>
            <w:r w:rsidRPr="005857ED">
              <w:rPr>
                <w:rFonts w:cs="Arial"/>
                <w:szCs w:val="19"/>
                <w:lang w:val="en-US"/>
              </w:rPr>
              <w:t>years who have at least one F508del mutation in the CFTR gene</w:t>
            </w:r>
            <w:r>
              <w:rPr>
                <w:rFonts w:cs="Arial"/>
                <w:szCs w:val="19"/>
                <w:lang w:val="en-US"/>
              </w:rPr>
              <w:t xml:space="preserve"> </w:t>
            </w:r>
            <w:r w:rsidRPr="005857ED">
              <w:rPr>
                <w:rFonts w:cs="Arial"/>
                <w:sz w:val="16"/>
                <w:szCs w:val="16"/>
                <w:lang w:val="en-US"/>
              </w:rPr>
              <w:t>[new strength formulation]</w:t>
            </w:r>
          </w:p>
        </w:tc>
      </w:tr>
      <w:tr w:rsidR="001E16FA" w14:paraId="112B1C75" w14:textId="77777777" w:rsidTr="00120ADD">
        <w:tc>
          <w:tcPr>
            <w:tcW w:w="1360" w:type="pct"/>
            <w:gridSpan w:val="2"/>
            <w:shd w:val="clear" w:color="auto" w:fill="auto"/>
            <w:tcMar>
              <w:top w:w="57" w:type="dxa"/>
              <w:bottom w:w="57" w:type="dxa"/>
            </w:tcMar>
          </w:tcPr>
          <w:p w14:paraId="617046B6" w14:textId="77777777" w:rsidR="001E16FA" w:rsidRDefault="001E16FA" w:rsidP="001E16FA">
            <w:pPr>
              <w:rPr>
                <w:rFonts w:cs="Arial"/>
                <w:szCs w:val="19"/>
              </w:rPr>
            </w:pPr>
            <w:r w:rsidRPr="001C1086">
              <w:rPr>
                <w:rFonts w:cs="Arial"/>
                <w:szCs w:val="19"/>
              </w:rPr>
              <w:t xml:space="preserve">Ivacaftor + tezacaftor + elexacaftor </w:t>
            </w:r>
            <w:r>
              <w:rPr>
                <w:rFonts w:cs="Arial"/>
                <w:szCs w:val="19"/>
              </w:rPr>
              <w:t>(</w:t>
            </w:r>
            <w:r>
              <w:rPr>
                <w:rFonts w:cs="Arial"/>
                <w:i/>
                <w:iCs/>
                <w:szCs w:val="19"/>
              </w:rPr>
              <w:t>Kaftrio</w:t>
            </w:r>
            <w:r>
              <w:rPr>
                <w:rFonts w:cs="Arial"/>
                <w:szCs w:val="19"/>
              </w:rPr>
              <w:t>)</w:t>
            </w:r>
          </w:p>
          <w:p w14:paraId="42A3900A" w14:textId="0CF13EC5" w:rsidR="001E16FA" w:rsidRPr="001C1086" w:rsidRDefault="001E16FA" w:rsidP="001E16FA">
            <w:pPr>
              <w:rPr>
                <w:rFonts w:cs="Arial"/>
                <w:szCs w:val="19"/>
              </w:rPr>
            </w:pPr>
            <w:r w:rsidRPr="005A7E18">
              <w:rPr>
                <w:rFonts w:cs="Arial"/>
                <w:sz w:val="16"/>
                <w:szCs w:val="16"/>
              </w:rPr>
              <w:t>60mg/40mg/80mg and 75mg/50mg/100mg granules in sachet</w:t>
            </w:r>
          </w:p>
        </w:tc>
        <w:tc>
          <w:tcPr>
            <w:tcW w:w="3640" w:type="pct"/>
            <w:shd w:val="clear" w:color="auto" w:fill="auto"/>
            <w:tcMar>
              <w:top w:w="57" w:type="dxa"/>
              <w:bottom w:w="57" w:type="dxa"/>
            </w:tcMar>
          </w:tcPr>
          <w:p w14:paraId="17D994B8" w14:textId="49DD4195" w:rsidR="001E16FA" w:rsidRPr="00A075A3" w:rsidRDefault="00D537BC" w:rsidP="00DB5937">
            <w:pPr>
              <w:tabs>
                <w:tab w:val="center" w:pos="3152"/>
              </w:tabs>
              <w:rPr>
                <w:rFonts w:cs="Arial"/>
                <w:szCs w:val="19"/>
                <w:lang w:val="en-US"/>
              </w:rPr>
            </w:pPr>
            <w:r>
              <w:rPr>
                <w:rFonts w:cs="Arial"/>
                <w:szCs w:val="19"/>
                <w:lang w:val="en-US"/>
              </w:rPr>
              <w:t>Use i</w:t>
            </w:r>
            <w:r w:rsidRPr="00D537BC">
              <w:rPr>
                <w:rFonts w:cs="Arial"/>
                <w:szCs w:val="19"/>
                <w:lang w:val="en-US"/>
              </w:rPr>
              <w:t xml:space="preserve">n a combination regimen with ivacaftor for the treatment of cystic fibrosis </w:t>
            </w:r>
            <w:r>
              <w:rPr>
                <w:rFonts w:cs="Arial"/>
                <w:szCs w:val="19"/>
                <w:lang w:val="en-US"/>
              </w:rPr>
              <w:t xml:space="preserve">(CF) </w:t>
            </w:r>
            <w:r w:rsidRPr="00D537BC">
              <w:rPr>
                <w:rFonts w:cs="Arial"/>
                <w:szCs w:val="19"/>
                <w:lang w:val="en-US"/>
              </w:rPr>
              <w:t xml:space="preserve">in paediatric patients aged 2 to </w:t>
            </w:r>
            <w:r>
              <w:rPr>
                <w:rFonts w:cs="Arial"/>
                <w:szCs w:val="19"/>
                <w:lang w:val="en-US"/>
              </w:rPr>
              <w:t>&lt;</w:t>
            </w:r>
            <w:r w:rsidRPr="00D537BC">
              <w:rPr>
                <w:rFonts w:cs="Arial"/>
                <w:szCs w:val="19"/>
                <w:lang w:val="en-US"/>
              </w:rPr>
              <w:t xml:space="preserve">6 years who have at least one F508del mutation in the </w:t>
            </w:r>
            <w:r>
              <w:rPr>
                <w:rFonts w:cs="Arial"/>
                <w:szCs w:val="19"/>
                <w:lang w:val="en-US"/>
              </w:rPr>
              <w:t xml:space="preserve">CF </w:t>
            </w:r>
            <w:r w:rsidRPr="00D537BC">
              <w:rPr>
                <w:rFonts w:cs="Arial"/>
                <w:szCs w:val="19"/>
                <w:lang w:val="en-US"/>
              </w:rPr>
              <w:t>transmembrane conductance regulator gene</w:t>
            </w:r>
            <w:r>
              <w:rPr>
                <w:rFonts w:cs="Arial"/>
                <w:szCs w:val="19"/>
                <w:lang w:val="en-US"/>
              </w:rPr>
              <w:t xml:space="preserve"> </w:t>
            </w:r>
            <w:r w:rsidRPr="00D537BC">
              <w:rPr>
                <w:rFonts w:cs="Arial"/>
                <w:sz w:val="16"/>
                <w:szCs w:val="16"/>
                <w:lang w:val="en-US"/>
              </w:rPr>
              <w:t>[</w:t>
            </w:r>
            <w:r w:rsidR="00DB5937">
              <w:rPr>
                <w:rFonts w:cs="Arial"/>
                <w:sz w:val="16"/>
                <w:szCs w:val="16"/>
                <w:lang w:val="en-US"/>
              </w:rPr>
              <w:t>new granule formulations with new indication</w:t>
            </w:r>
            <w:r w:rsidRPr="00D537BC">
              <w:rPr>
                <w:rFonts w:cs="Arial"/>
                <w:sz w:val="16"/>
                <w:szCs w:val="16"/>
                <w:lang w:val="en-US"/>
              </w:rPr>
              <w:t>]</w:t>
            </w:r>
          </w:p>
        </w:tc>
      </w:tr>
      <w:tr w:rsidR="001E16FA" w14:paraId="43CE5045" w14:textId="77777777" w:rsidTr="00120ADD">
        <w:tc>
          <w:tcPr>
            <w:tcW w:w="1360" w:type="pct"/>
            <w:gridSpan w:val="2"/>
            <w:shd w:val="clear" w:color="auto" w:fill="auto"/>
            <w:tcMar>
              <w:top w:w="57" w:type="dxa"/>
              <w:bottom w:w="57" w:type="dxa"/>
            </w:tcMar>
          </w:tcPr>
          <w:p w14:paraId="111362A8" w14:textId="77777777" w:rsidR="001E16FA" w:rsidRDefault="001E16FA" w:rsidP="001E16FA">
            <w:pPr>
              <w:rPr>
                <w:rFonts w:cs="Arial"/>
                <w:szCs w:val="19"/>
              </w:rPr>
            </w:pPr>
            <w:proofErr w:type="spellStart"/>
            <w:r w:rsidRPr="008C10C8">
              <w:rPr>
                <w:rFonts w:cs="Arial"/>
                <w:szCs w:val="19"/>
              </w:rPr>
              <w:t>Lisocabtagene</w:t>
            </w:r>
            <w:proofErr w:type="spellEnd"/>
            <w:r w:rsidRPr="008C10C8">
              <w:rPr>
                <w:rFonts w:cs="Arial"/>
                <w:szCs w:val="19"/>
              </w:rPr>
              <w:t xml:space="preserve"> </w:t>
            </w:r>
            <w:proofErr w:type="spellStart"/>
            <w:r w:rsidRPr="008C10C8">
              <w:rPr>
                <w:rFonts w:cs="Arial"/>
                <w:szCs w:val="19"/>
              </w:rPr>
              <w:t>maraleucel</w:t>
            </w:r>
            <w:proofErr w:type="spellEnd"/>
            <w:r w:rsidRPr="008C10C8">
              <w:rPr>
                <w:rFonts w:cs="Arial"/>
                <w:szCs w:val="19"/>
              </w:rPr>
              <w:t> </w:t>
            </w:r>
          </w:p>
          <w:p w14:paraId="2548416D" w14:textId="77777777" w:rsidR="001E16FA" w:rsidRDefault="001E16FA" w:rsidP="001E16FA">
            <w:r>
              <w:rPr>
                <w:rFonts w:cs="Arial"/>
                <w:szCs w:val="19"/>
              </w:rPr>
              <w:t>(</w:t>
            </w:r>
            <w:proofErr w:type="spellStart"/>
            <w:r>
              <w:rPr>
                <w:rFonts w:cs="Arial"/>
                <w:i/>
                <w:iCs/>
                <w:szCs w:val="19"/>
              </w:rPr>
              <w:t>Breyanzi</w:t>
            </w:r>
            <w:proofErr w:type="spellEnd"/>
            <w:r>
              <w:rPr>
                <w:rFonts w:cs="Arial"/>
                <w:szCs w:val="19"/>
              </w:rPr>
              <w:t>)</w:t>
            </w:r>
            <w:r>
              <w:t xml:space="preserve"> </w:t>
            </w:r>
          </w:p>
          <w:p w14:paraId="3DEF5E2A" w14:textId="4EDD7A04" w:rsidR="001E16FA" w:rsidRPr="008C10C8" w:rsidRDefault="001E16FA" w:rsidP="001E16FA">
            <w:pPr>
              <w:rPr>
                <w:rFonts w:cs="Arial"/>
                <w:szCs w:val="19"/>
              </w:rPr>
            </w:pPr>
            <w:r w:rsidRPr="008C10C8">
              <w:rPr>
                <w:rFonts w:cs="Arial"/>
                <w:sz w:val="16"/>
                <w:szCs w:val="16"/>
              </w:rPr>
              <w:t>5.1</w:t>
            </w:r>
            <w:r w:rsidR="00120ADD">
              <w:rPr>
                <w:rFonts w:cs="Arial"/>
                <w:sz w:val="16"/>
                <w:szCs w:val="16"/>
              </w:rPr>
              <w:t xml:space="preserve"> to </w:t>
            </w:r>
            <w:r w:rsidRPr="008C10C8">
              <w:rPr>
                <w:rFonts w:cs="Arial"/>
                <w:sz w:val="16"/>
                <w:szCs w:val="16"/>
              </w:rPr>
              <w:t>322 × 10</w:t>
            </w:r>
            <w:r w:rsidRPr="008C10C8">
              <w:rPr>
                <w:rFonts w:cs="Arial"/>
                <w:sz w:val="16"/>
                <w:szCs w:val="16"/>
                <w:vertAlign w:val="superscript"/>
              </w:rPr>
              <w:t xml:space="preserve">6 </w:t>
            </w:r>
            <w:r w:rsidRPr="008C10C8">
              <w:rPr>
                <w:rFonts w:cs="Arial"/>
                <w:sz w:val="16"/>
                <w:szCs w:val="16"/>
              </w:rPr>
              <w:t>CAR+ viable T cells</w:t>
            </w:r>
            <w:r>
              <w:rPr>
                <w:rFonts w:cs="Arial"/>
                <w:sz w:val="16"/>
                <w:szCs w:val="16"/>
              </w:rPr>
              <w:t xml:space="preserve"> in 4.6mL vials (CD4+ and CD8+ cell components in separate vials)</w:t>
            </w:r>
          </w:p>
        </w:tc>
        <w:tc>
          <w:tcPr>
            <w:tcW w:w="3640" w:type="pct"/>
            <w:shd w:val="clear" w:color="auto" w:fill="auto"/>
            <w:tcMar>
              <w:top w:w="57" w:type="dxa"/>
              <w:bottom w:w="57" w:type="dxa"/>
            </w:tcMar>
          </w:tcPr>
          <w:p w14:paraId="22FC4ACD" w14:textId="6A2CE8E4" w:rsidR="001E16FA" w:rsidRPr="00A075A3" w:rsidRDefault="001E16FA" w:rsidP="001E16FA">
            <w:pPr>
              <w:tabs>
                <w:tab w:val="num" w:pos="720"/>
                <w:tab w:val="center" w:pos="3152"/>
              </w:tabs>
              <w:rPr>
                <w:rFonts w:cs="Arial"/>
                <w:szCs w:val="19"/>
                <w:lang w:val="en-US"/>
              </w:rPr>
            </w:pPr>
            <w:r>
              <w:rPr>
                <w:rFonts w:cs="Arial"/>
                <w:szCs w:val="19"/>
                <w:lang w:val="en-US"/>
              </w:rPr>
              <w:t>Tr</w:t>
            </w:r>
            <w:r w:rsidRPr="008C10C8">
              <w:rPr>
                <w:rFonts w:cs="Arial"/>
                <w:szCs w:val="19"/>
                <w:lang w:val="en-US"/>
              </w:rPr>
              <w:t>eatment of adults with relapsed or refractory</w:t>
            </w:r>
            <w:r>
              <w:rPr>
                <w:rFonts w:cs="Arial"/>
                <w:szCs w:val="19"/>
                <w:lang w:val="en-US"/>
              </w:rPr>
              <w:t xml:space="preserve"> </w:t>
            </w:r>
            <w:r w:rsidRPr="008C10C8">
              <w:rPr>
                <w:rFonts w:cs="Arial"/>
                <w:szCs w:val="19"/>
                <w:lang w:val="en-US"/>
              </w:rPr>
              <w:t xml:space="preserve">diffuse large B-cell lymphoma, primary mediastinal large B-cell </w:t>
            </w:r>
            <w:proofErr w:type="gramStart"/>
            <w:r w:rsidRPr="008C10C8">
              <w:rPr>
                <w:rFonts w:cs="Arial"/>
                <w:szCs w:val="19"/>
                <w:lang w:val="en-US"/>
              </w:rPr>
              <w:t>lymphoma</w:t>
            </w:r>
            <w:proofErr w:type="gramEnd"/>
            <w:r w:rsidRPr="008C10C8">
              <w:rPr>
                <w:rFonts w:cs="Arial"/>
                <w:szCs w:val="19"/>
                <w:lang w:val="en-US"/>
              </w:rPr>
              <w:t xml:space="preserve"> and follicular lymphoma grade 3B after two or more lines of</w:t>
            </w:r>
            <w:r>
              <w:rPr>
                <w:rFonts w:cs="Arial"/>
                <w:szCs w:val="19"/>
                <w:lang w:val="en-US"/>
              </w:rPr>
              <w:t xml:space="preserve"> </w:t>
            </w:r>
            <w:r w:rsidRPr="008C10C8">
              <w:rPr>
                <w:rFonts w:cs="Arial"/>
                <w:szCs w:val="19"/>
                <w:lang w:val="en-US"/>
              </w:rPr>
              <w:t>systemic therapy</w:t>
            </w:r>
          </w:p>
        </w:tc>
      </w:tr>
      <w:tr w:rsidR="001E16FA" w:rsidRPr="00862949" w14:paraId="7E4CD982" w14:textId="77777777" w:rsidTr="005A7E09">
        <w:tc>
          <w:tcPr>
            <w:tcW w:w="5000" w:type="pct"/>
            <w:gridSpan w:val="3"/>
            <w:shd w:val="clear" w:color="auto" w:fill="auto"/>
            <w:tcMar>
              <w:top w:w="0" w:type="dxa"/>
              <w:bottom w:w="0" w:type="dxa"/>
            </w:tcMar>
          </w:tcPr>
          <w:p w14:paraId="2B051D96" w14:textId="77777777" w:rsidR="001E16FA" w:rsidRPr="00862949" w:rsidRDefault="001E16FA" w:rsidP="001E16FA">
            <w:pPr>
              <w:jc w:val="center"/>
              <w:rPr>
                <w:rFonts w:cs="Arial"/>
                <w:noProof/>
                <w:sz w:val="8"/>
                <w:szCs w:val="8"/>
              </w:rPr>
            </w:pPr>
          </w:p>
        </w:tc>
      </w:tr>
      <w:tr w:rsidR="001E16FA" w:rsidRPr="000F19E1" w14:paraId="1B75DBCB" w14:textId="77777777" w:rsidTr="00155BD9">
        <w:tc>
          <w:tcPr>
            <w:tcW w:w="1152" w:type="pct"/>
            <w:shd w:val="clear" w:color="auto" w:fill="DAEEF3"/>
            <w:tcMar>
              <w:top w:w="0" w:type="dxa"/>
              <w:bottom w:w="0" w:type="dxa"/>
            </w:tcMar>
          </w:tcPr>
          <w:p w14:paraId="65413E25" w14:textId="77777777" w:rsidR="001E16FA" w:rsidRPr="000F19E1" w:rsidRDefault="001E16FA" w:rsidP="001E16FA">
            <w:pPr>
              <w:rPr>
                <w:rFonts w:cs="Arial"/>
                <w:bCs/>
                <w:sz w:val="8"/>
                <w:szCs w:val="8"/>
              </w:rPr>
            </w:pPr>
          </w:p>
        </w:tc>
        <w:tc>
          <w:tcPr>
            <w:tcW w:w="3848" w:type="pct"/>
            <w:gridSpan w:val="2"/>
            <w:shd w:val="clear" w:color="auto" w:fill="DAEEF3"/>
            <w:tcMar>
              <w:top w:w="0" w:type="dxa"/>
              <w:bottom w:w="0" w:type="dxa"/>
            </w:tcMar>
          </w:tcPr>
          <w:p w14:paraId="12F9FD44" w14:textId="77777777" w:rsidR="001E16FA" w:rsidRPr="000F19E1" w:rsidRDefault="001E16FA" w:rsidP="001E16FA">
            <w:pPr>
              <w:tabs>
                <w:tab w:val="center" w:pos="3152"/>
              </w:tabs>
              <w:rPr>
                <w:rFonts w:cs="Arial"/>
                <w:sz w:val="8"/>
                <w:szCs w:val="8"/>
                <w:lang w:val="en-US"/>
              </w:rPr>
            </w:pPr>
          </w:p>
        </w:tc>
      </w:tr>
    </w:tbl>
    <w:p w14:paraId="4036CBBF" w14:textId="160A77B8" w:rsidR="00101A41" w:rsidRDefault="00101A41"/>
    <w:p w14:paraId="2A9F8EF6" w14:textId="463C2C6D" w:rsidR="00101A41" w:rsidRDefault="00101A41"/>
    <w:p w14:paraId="0D812482" w14:textId="2E62555C" w:rsidR="00101A41" w:rsidRDefault="00101A41"/>
    <w:p w14:paraId="0D7184DD" w14:textId="712514E7" w:rsidR="001108F9" w:rsidRDefault="001108F9">
      <w:r>
        <w:br w:type="page"/>
      </w:r>
    </w:p>
    <w:p w14:paraId="7670CA2F" w14:textId="77777777" w:rsidR="00101A41" w:rsidRDefault="00101A41"/>
    <w:tbl>
      <w:tblPr>
        <w:tblW w:w="5170" w:type="pct"/>
        <w:tblInd w:w="-176" w:type="dxa"/>
        <w:tblLayout w:type="fixed"/>
        <w:tblLook w:val="01E0" w:firstRow="1" w:lastRow="1" w:firstColumn="1" w:lastColumn="1" w:noHBand="0" w:noVBand="0"/>
      </w:tblPr>
      <w:tblGrid>
        <w:gridCol w:w="2430"/>
        <w:gridCol w:w="298"/>
        <w:gridCol w:w="7823"/>
      </w:tblGrid>
      <w:tr w:rsidR="00101A41" w:rsidRPr="00862949" w14:paraId="6610BEC3" w14:textId="77777777" w:rsidTr="002E7604">
        <w:tc>
          <w:tcPr>
            <w:tcW w:w="5000" w:type="pct"/>
            <w:gridSpan w:val="3"/>
            <w:shd w:val="clear" w:color="auto" w:fill="0070C0"/>
            <w:tcMar>
              <w:top w:w="85" w:type="dxa"/>
              <w:bottom w:w="85" w:type="dxa"/>
            </w:tcMar>
            <w:vAlign w:val="bottom"/>
          </w:tcPr>
          <w:p w14:paraId="6009766B" w14:textId="77777777" w:rsidR="00101A41" w:rsidRPr="00862949" w:rsidRDefault="00101A41" w:rsidP="002E7604">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101A41" w:rsidRPr="00862949" w14:paraId="79E5789D" w14:textId="77777777" w:rsidTr="002E7604">
        <w:tc>
          <w:tcPr>
            <w:tcW w:w="5000" w:type="pct"/>
            <w:gridSpan w:val="3"/>
            <w:shd w:val="clear" w:color="auto" w:fill="DAEEF3"/>
            <w:tcMar>
              <w:top w:w="0" w:type="dxa"/>
              <w:bottom w:w="0" w:type="dxa"/>
            </w:tcMar>
          </w:tcPr>
          <w:p w14:paraId="2B731B27" w14:textId="77777777" w:rsidR="00101A41" w:rsidRPr="00862949" w:rsidRDefault="00101A41" w:rsidP="002E7604">
            <w:pPr>
              <w:rPr>
                <w:rFonts w:cs="Arial"/>
                <w:b/>
                <w:bCs/>
                <w:i/>
                <w:iCs/>
                <w:color w:val="000000"/>
                <w:sz w:val="8"/>
                <w:szCs w:val="8"/>
                <w:lang w:val="en-US"/>
              </w:rPr>
            </w:pPr>
          </w:p>
        </w:tc>
      </w:tr>
      <w:tr w:rsidR="00101A41" w:rsidRPr="00862949" w14:paraId="06F4FDD8" w14:textId="77777777" w:rsidTr="002E7604">
        <w:tc>
          <w:tcPr>
            <w:tcW w:w="5000" w:type="pct"/>
            <w:gridSpan w:val="3"/>
            <w:shd w:val="clear" w:color="auto" w:fill="00B050"/>
            <w:tcMar>
              <w:top w:w="57" w:type="dxa"/>
              <w:bottom w:w="57" w:type="dxa"/>
            </w:tcMar>
          </w:tcPr>
          <w:p w14:paraId="735109E1" w14:textId="2EE9439C" w:rsidR="00101A41" w:rsidRPr="00433D3E" w:rsidRDefault="00101A41" w:rsidP="002E7604">
            <w:pPr>
              <w:rPr>
                <w:rFonts w:cs="Arial"/>
                <w:color w:val="FFFFFF"/>
                <w:sz w:val="20"/>
                <w:szCs w:val="20"/>
              </w:rPr>
            </w:pPr>
            <w:r w:rsidRPr="00433D3E">
              <w:rPr>
                <w:rFonts w:cs="Arial"/>
                <w:b/>
                <w:bCs/>
                <w:i/>
                <w:iCs/>
                <w:color w:val="FFFFFF"/>
                <w:sz w:val="22"/>
                <w:szCs w:val="20"/>
                <w:lang w:val="en-US"/>
              </w:rPr>
              <w:t xml:space="preserve">Approved in the </w:t>
            </w:r>
            <w:r>
              <w:rPr>
                <w:rFonts w:cs="Arial"/>
                <w:b/>
                <w:bCs/>
                <w:i/>
                <w:iCs/>
                <w:color w:val="FFFFFF"/>
                <w:sz w:val="22"/>
                <w:szCs w:val="20"/>
                <w:lang w:val="en-US"/>
              </w:rPr>
              <w:t xml:space="preserve">UK </w:t>
            </w:r>
            <w:r w:rsidRPr="0021490D">
              <w:rPr>
                <w:rFonts w:cs="Arial"/>
                <w:b/>
                <w:bCs/>
                <w:color w:val="FFFFFF"/>
                <w:sz w:val="16"/>
                <w:szCs w:val="14"/>
                <w:lang w:val="en-US"/>
              </w:rPr>
              <w:t>(continued)</w:t>
            </w:r>
          </w:p>
        </w:tc>
      </w:tr>
      <w:tr w:rsidR="00C548D8" w14:paraId="49E120D7" w14:textId="77777777" w:rsidTr="002E7604">
        <w:tc>
          <w:tcPr>
            <w:tcW w:w="1293" w:type="pct"/>
            <w:gridSpan w:val="2"/>
            <w:shd w:val="clear" w:color="auto" w:fill="auto"/>
            <w:tcMar>
              <w:top w:w="57" w:type="dxa"/>
              <w:bottom w:w="57" w:type="dxa"/>
            </w:tcMar>
          </w:tcPr>
          <w:p w14:paraId="2C8D9BF3" w14:textId="77777777" w:rsidR="00C548D8" w:rsidRDefault="00C548D8" w:rsidP="00C548D8">
            <w:pPr>
              <w:rPr>
                <w:rFonts w:cs="Arial"/>
                <w:szCs w:val="19"/>
              </w:rPr>
            </w:pPr>
            <w:r w:rsidRPr="00A64246">
              <w:rPr>
                <w:rFonts w:cs="Arial"/>
                <w:szCs w:val="19"/>
              </w:rPr>
              <w:t>Respiratory syncytial virus vaccine (</w:t>
            </w:r>
            <w:proofErr w:type="spellStart"/>
            <w:r w:rsidRPr="00A64246">
              <w:rPr>
                <w:rFonts w:cs="Arial"/>
                <w:i/>
                <w:iCs/>
                <w:szCs w:val="19"/>
              </w:rPr>
              <w:t>Abrysvo</w:t>
            </w:r>
            <w:proofErr w:type="spellEnd"/>
            <w:r w:rsidRPr="00A64246">
              <w:rPr>
                <w:rFonts w:cs="Arial"/>
                <w:szCs w:val="19"/>
              </w:rPr>
              <w:t>)</w:t>
            </w:r>
          </w:p>
          <w:p w14:paraId="52E040CB" w14:textId="4A170271" w:rsidR="00C548D8" w:rsidRDefault="00C548D8" w:rsidP="00C548D8">
            <w:pPr>
              <w:rPr>
                <w:rFonts w:cs="Arial"/>
                <w:szCs w:val="19"/>
              </w:rPr>
            </w:pPr>
            <w:r w:rsidRPr="00C548D8">
              <w:rPr>
                <w:rFonts w:cs="Arial"/>
                <w:sz w:val="16"/>
                <w:szCs w:val="16"/>
              </w:rPr>
              <w:t>Single-dose vial</w:t>
            </w:r>
          </w:p>
        </w:tc>
        <w:tc>
          <w:tcPr>
            <w:tcW w:w="3707" w:type="pct"/>
            <w:shd w:val="clear" w:color="auto" w:fill="auto"/>
            <w:tcMar>
              <w:top w:w="57" w:type="dxa"/>
              <w:bottom w:w="57" w:type="dxa"/>
            </w:tcMar>
          </w:tcPr>
          <w:p w14:paraId="00229600" w14:textId="1D512616" w:rsidR="00C548D8" w:rsidRPr="0030047D" w:rsidRDefault="00C548D8" w:rsidP="00C548D8">
            <w:pPr>
              <w:tabs>
                <w:tab w:val="center" w:pos="3152"/>
              </w:tabs>
              <w:rPr>
                <w:rFonts w:cs="Arial"/>
                <w:color w:val="000000"/>
                <w:szCs w:val="19"/>
                <w:lang w:val="en-US"/>
              </w:rPr>
            </w:pPr>
            <w:r w:rsidRPr="00A64246">
              <w:rPr>
                <w:rFonts w:cs="Arial"/>
                <w:szCs w:val="19"/>
                <w:lang w:val="en-US"/>
              </w:rPr>
              <w:t xml:space="preserve">Active immunisation of individuals </w:t>
            </w:r>
            <w:r>
              <w:rPr>
                <w:rFonts w:cs="Arial"/>
                <w:szCs w:val="19"/>
                <w:lang w:val="en-US"/>
              </w:rPr>
              <w:t>aged ≥</w:t>
            </w:r>
            <w:r w:rsidRPr="00A64246">
              <w:rPr>
                <w:rFonts w:cs="Arial"/>
                <w:szCs w:val="19"/>
                <w:lang w:val="en-US"/>
              </w:rPr>
              <w:t xml:space="preserve">60 years for the prevention of lower respiratory tract disease caused by </w:t>
            </w:r>
            <w:r>
              <w:rPr>
                <w:rFonts w:cs="Arial"/>
                <w:szCs w:val="19"/>
                <w:lang w:val="en-US"/>
              </w:rPr>
              <w:t>respiratory syncytial virus</w:t>
            </w:r>
          </w:p>
        </w:tc>
      </w:tr>
      <w:tr w:rsidR="00C548D8" w14:paraId="0E5BF42F" w14:textId="77777777" w:rsidTr="002E7604">
        <w:tc>
          <w:tcPr>
            <w:tcW w:w="1293" w:type="pct"/>
            <w:gridSpan w:val="2"/>
            <w:shd w:val="clear" w:color="auto" w:fill="auto"/>
            <w:tcMar>
              <w:top w:w="57" w:type="dxa"/>
              <w:bottom w:w="57" w:type="dxa"/>
            </w:tcMar>
          </w:tcPr>
          <w:p w14:paraId="16B4AFE0" w14:textId="77777777" w:rsidR="00C548D8" w:rsidRDefault="00C548D8" w:rsidP="00C548D8">
            <w:pPr>
              <w:rPr>
                <w:rFonts w:cs="Arial"/>
                <w:szCs w:val="19"/>
              </w:rPr>
            </w:pPr>
            <w:r w:rsidRPr="00A64246">
              <w:rPr>
                <w:rFonts w:cs="Arial"/>
                <w:szCs w:val="19"/>
              </w:rPr>
              <w:t>Respiratory syncytial virus vaccine (</w:t>
            </w:r>
            <w:proofErr w:type="spellStart"/>
            <w:r w:rsidRPr="00A64246">
              <w:rPr>
                <w:rFonts w:cs="Arial"/>
                <w:i/>
                <w:iCs/>
                <w:szCs w:val="19"/>
              </w:rPr>
              <w:t>Abrysvo</w:t>
            </w:r>
            <w:proofErr w:type="spellEnd"/>
            <w:r w:rsidRPr="00A64246">
              <w:rPr>
                <w:rFonts w:cs="Arial"/>
                <w:szCs w:val="19"/>
              </w:rPr>
              <w:t>)</w:t>
            </w:r>
          </w:p>
          <w:p w14:paraId="0CE08C6B" w14:textId="2CCBD049" w:rsidR="00C548D8" w:rsidRDefault="00C548D8" w:rsidP="00C548D8">
            <w:pPr>
              <w:rPr>
                <w:rFonts w:cs="Arial"/>
                <w:szCs w:val="19"/>
              </w:rPr>
            </w:pPr>
            <w:r w:rsidRPr="00C548D8">
              <w:rPr>
                <w:rFonts w:cs="Arial"/>
                <w:sz w:val="16"/>
                <w:szCs w:val="16"/>
              </w:rPr>
              <w:t>Single-dose vial</w:t>
            </w:r>
          </w:p>
        </w:tc>
        <w:tc>
          <w:tcPr>
            <w:tcW w:w="3707" w:type="pct"/>
            <w:shd w:val="clear" w:color="auto" w:fill="auto"/>
            <w:tcMar>
              <w:top w:w="57" w:type="dxa"/>
              <w:bottom w:w="57" w:type="dxa"/>
            </w:tcMar>
          </w:tcPr>
          <w:p w14:paraId="1D778CA9" w14:textId="4C67E69D" w:rsidR="00C548D8" w:rsidRPr="0030047D" w:rsidRDefault="00C548D8" w:rsidP="00C548D8">
            <w:pPr>
              <w:tabs>
                <w:tab w:val="center" w:pos="3152"/>
              </w:tabs>
              <w:rPr>
                <w:rFonts w:cs="Arial"/>
                <w:color w:val="000000"/>
                <w:szCs w:val="19"/>
                <w:lang w:val="en-US"/>
              </w:rPr>
            </w:pPr>
            <w:r w:rsidRPr="00A64246">
              <w:rPr>
                <w:rFonts w:cs="Arial"/>
                <w:szCs w:val="19"/>
                <w:lang w:val="en-US"/>
              </w:rPr>
              <w:t>Passive protection against lower respiratory tract disease caused by respiratory syncytial virus in infants from birth through 6 months of age following maternal immunisation during pregnancy</w:t>
            </w:r>
          </w:p>
        </w:tc>
      </w:tr>
      <w:tr w:rsidR="00C548D8" w14:paraId="1A0B12DD" w14:textId="77777777" w:rsidTr="002E7604">
        <w:tc>
          <w:tcPr>
            <w:tcW w:w="1293" w:type="pct"/>
            <w:gridSpan w:val="2"/>
            <w:shd w:val="clear" w:color="auto" w:fill="auto"/>
            <w:tcMar>
              <w:top w:w="57" w:type="dxa"/>
              <w:bottom w:w="57" w:type="dxa"/>
            </w:tcMar>
          </w:tcPr>
          <w:p w14:paraId="46DD2F12" w14:textId="77777777" w:rsidR="00C548D8" w:rsidRDefault="00C548D8" w:rsidP="00C548D8">
            <w:pPr>
              <w:rPr>
                <w:rFonts w:cs="Arial"/>
                <w:szCs w:val="19"/>
              </w:rPr>
            </w:pPr>
            <w:proofErr w:type="spellStart"/>
            <w:r>
              <w:rPr>
                <w:rFonts w:cs="Arial"/>
                <w:szCs w:val="19"/>
              </w:rPr>
              <w:t>Ritlectinib</w:t>
            </w:r>
            <w:proofErr w:type="spellEnd"/>
            <w:r>
              <w:rPr>
                <w:rFonts w:cs="Arial"/>
                <w:szCs w:val="19"/>
              </w:rPr>
              <w:t xml:space="preserve"> (</w:t>
            </w:r>
            <w:proofErr w:type="spellStart"/>
            <w:r>
              <w:rPr>
                <w:rFonts w:cs="Arial"/>
                <w:i/>
                <w:iCs/>
                <w:szCs w:val="19"/>
              </w:rPr>
              <w:t>Litfulo</w:t>
            </w:r>
            <w:proofErr w:type="spellEnd"/>
            <w:r>
              <w:rPr>
                <w:rFonts w:cs="Arial"/>
                <w:szCs w:val="19"/>
              </w:rPr>
              <w:t xml:space="preserve">) </w:t>
            </w:r>
          </w:p>
          <w:p w14:paraId="048AEF7E" w14:textId="2E63B123" w:rsidR="00C548D8" w:rsidRDefault="00C548D8" w:rsidP="00C548D8">
            <w:pPr>
              <w:rPr>
                <w:rFonts w:cs="Arial"/>
                <w:szCs w:val="19"/>
              </w:rPr>
            </w:pPr>
            <w:r w:rsidRPr="00BE0451">
              <w:rPr>
                <w:rFonts w:cs="Arial"/>
                <w:sz w:val="16"/>
                <w:szCs w:val="16"/>
              </w:rPr>
              <w:t>5</w:t>
            </w:r>
            <w:r>
              <w:rPr>
                <w:rFonts w:cs="Arial"/>
                <w:sz w:val="16"/>
                <w:szCs w:val="16"/>
              </w:rPr>
              <w:t>0</w:t>
            </w:r>
            <w:r w:rsidRPr="00BE0451">
              <w:rPr>
                <w:rFonts w:cs="Arial"/>
                <w:sz w:val="16"/>
                <w:szCs w:val="16"/>
              </w:rPr>
              <w:t xml:space="preserve">mg </w:t>
            </w:r>
            <w:r>
              <w:rPr>
                <w:rFonts w:cs="Arial"/>
                <w:sz w:val="16"/>
                <w:szCs w:val="16"/>
              </w:rPr>
              <w:t>capsule</w:t>
            </w:r>
          </w:p>
        </w:tc>
        <w:tc>
          <w:tcPr>
            <w:tcW w:w="3707" w:type="pct"/>
            <w:shd w:val="clear" w:color="auto" w:fill="auto"/>
            <w:tcMar>
              <w:top w:w="57" w:type="dxa"/>
              <w:bottom w:w="57" w:type="dxa"/>
            </w:tcMar>
          </w:tcPr>
          <w:p w14:paraId="61126720" w14:textId="418F5F43" w:rsidR="00C548D8" w:rsidRPr="0030047D" w:rsidRDefault="00C548D8" w:rsidP="00C548D8">
            <w:pPr>
              <w:tabs>
                <w:tab w:val="center" w:pos="3152"/>
              </w:tabs>
              <w:rPr>
                <w:rFonts w:cs="Arial"/>
                <w:color w:val="000000"/>
                <w:szCs w:val="19"/>
                <w:lang w:val="en-US"/>
              </w:rPr>
            </w:pPr>
            <w:r w:rsidRPr="0030047D">
              <w:rPr>
                <w:rFonts w:cs="Arial"/>
                <w:color w:val="000000"/>
                <w:szCs w:val="19"/>
                <w:lang w:val="en-US"/>
              </w:rPr>
              <w:t>Treatment of severe alopecia areata in adults and adolescents aged ≥12 years</w:t>
            </w:r>
          </w:p>
        </w:tc>
      </w:tr>
      <w:tr w:rsidR="00C548D8" w14:paraId="486795C8" w14:textId="77777777" w:rsidTr="002E7604">
        <w:tc>
          <w:tcPr>
            <w:tcW w:w="1293" w:type="pct"/>
            <w:gridSpan w:val="2"/>
            <w:shd w:val="clear" w:color="auto" w:fill="auto"/>
            <w:tcMar>
              <w:top w:w="57" w:type="dxa"/>
              <w:bottom w:w="57" w:type="dxa"/>
            </w:tcMar>
          </w:tcPr>
          <w:p w14:paraId="0B52AA36" w14:textId="77777777" w:rsidR="00C548D8" w:rsidRDefault="00C548D8" w:rsidP="00C548D8">
            <w:pPr>
              <w:rPr>
                <w:rFonts w:cs="Arial"/>
                <w:szCs w:val="19"/>
              </w:rPr>
            </w:pPr>
            <w:proofErr w:type="spellStart"/>
            <w:r>
              <w:rPr>
                <w:rFonts w:cs="Arial"/>
                <w:szCs w:val="19"/>
              </w:rPr>
              <w:t>Satralizumab</w:t>
            </w:r>
            <w:proofErr w:type="spellEnd"/>
            <w:r>
              <w:rPr>
                <w:rFonts w:cs="Arial"/>
                <w:szCs w:val="19"/>
              </w:rPr>
              <w:t xml:space="preserve"> (</w:t>
            </w:r>
            <w:proofErr w:type="spellStart"/>
            <w:r>
              <w:rPr>
                <w:rFonts w:cs="Arial"/>
                <w:i/>
                <w:iCs/>
                <w:szCs w:val="19"/>
              </w:rPr>
              <w:t>Enspryng</w:t>
            </w:r>
            <w:proofErr w:type="spellEnd"/>
            <w:r>
              <w:rPr>
                <w:rFonts w:cs="Arial"/>
                <w:szCs w:val="19"/>
              </w:rPr>
              <w:t>)</w:t>
            </w:r>
          </w:p>
          <w:p w14:paraId="4EEFA983" w14:textId="7D588AEB" w:rsidR="00C548D8" w:rsidRDefault="00C548D8" w:rsidP="00C548D8">
            <w:pPr>
              <w:rPr>
                <w:rFonts w:cs="Arial"/>
                <w:szCs w:val="19"/>
              </w:rPr>
            </w:pPr>
            <w:r w:rsidRPr="00626C90">
              <w:rPr>
                <w:rFonts w:cs="Arial"/>
                <w:sz w:val="16"/>
                <w:szCs w:val="16"/>
              </w:rPr>
              <w:t>120mg in 1mL prefilled syringe</w:t>
            </w:r>
          </w:p>
        </w:tc>
        <w:tc>
          <w:tcPr>
            <w:tcW w:w="3707" w:type="pct"/>
            <w:shd w:val="clear" w:color="auto" w:fill="auto"/>
            <w:tcMar>
              <w:top w:w="57" w:type="dxa"/>
              <w:bottom w:w="57" w:type="dxa"/>
            </w:tcMar>
          </w:tcPr>
          <w:p w14:paraId="5B46DBB5" w14:textId="48D64724" w:rsidR="00C548D8" w:rsidRDefault="00C548D8" w:rsidP="00C548D8">
            <w:pPr>
              <w:tabs>
                <w:tab w:val="center" w:pos="3152"/>
              </w:tabs>
              <w:rPr>
                <w:rFonts w:cs="Arial"/>
                <w:szCs w:val="19"/>
                <w:lang w:val="en-US"/>
              </w:rPr>
            </w:pPr>
            <w:r w:rsidRPr="0030047D">
              <w:rPr>
                <w:rFonts w:cs="Arial"/>
                <w:color w:val="000000"/>
                <w:szCs w:val="19"/>
                <w:lang w:val="en-US"/>
              </w:rPr>
              <w:t xml:space="preserve">Use as a monotherapy or in combination with immunosuppressive therapy for the treatment of neuromyelitis </w:t>
            </w:r>
            <w:proofErr w:type="spellStart"/>
            <w:r w:rsidRPr="0030047D">
              <w:rPr>
                <w:rFonts w:cs="Arial"/>
                <w:color w:val="000000"/>
                <w:szCs w:val="19"/>
                <w:lang w:val="en-US"/>
              </w:rPr>
              <w:t>optica</w:t>
            </w:r>
            <w:proofErr w:type="spellEnd"/>
            <w:r w:rsidRPr="0030047D">
              <w:rPr>
                <w:rFonts w:cs="Arial"/>
                <w:color w:val="000000"/>
                <w:szCs w:val="19"/>
                <w:lang w:val="en-US"/>
              </w:rPr>
              <w:t xml:space="preserve"> spectrum disorders in adult</w:t>
            </w:r>
            <w:r>
              <w:rPr>
                <w:rFonts w:cs="Arial"/>
                <w:color w:val="000000"/>
                <w:szCs w:val="19"/>
                <w:lang w:val="en-US"/>
              </w:rPr>
              <w:t>s</w:t>
            </w:r>
            <w:r w:rsidRPr="0030047D">
              <w:rPr>
                <w:rFonts w:cs="Arial"/>
                <w:color w:val="000000"/>
                <w:szCs w:val="19"/>
                <w:lang w:val="en-US"/>
              </w:rPr>
              <w:t xml:space="preserve"> and adolescents</w:t>
            </w:r>
            <w:r>
              <w:rPr>
                <w:rFonts w:cs="Arial"/>
                <w:color w:val="000000"/>
                <w:szCs w:val="19"/>
                <w:lang w:val="en-US"/>
              </w:rPr>
              <w:t xml:space="preserve"> aged ≥</w:t>
            </w:r>
            <w:r w:rsidRPr="0030047D">
              <w:rPr>
                <w:rFonts w:cs="Arial"/>
                <w:color w:val="000000"/>
                <w:szCs w:val="19"/>
                <w:lang w:val="en-US"/>
              </w:rPr>
              <w:t>12 years who are anti-aquaporin-4 IgG seropositive</w:t>
            </w:r>
          </w:p>
        </w:tc>
      </w:tr>
      <w:tr w:rsidR="00C548D8" w14:paraId="3170970D" w14:textId="77777777" w:rsidTr="002E7604">
        <w:tc>
          <w:tcPr>
            <w:tcW w:w="1293" w:type="pct"/>
            <w:gridSpan w:val="2"/>
            <w:shd w:val="clear" w:color="auto" w:fill="auto"/>
            <w:tcMar>
              <w:top w:w="57" w:type="dxa"/>
              <w:bottom w:w="57" w:type="dxa"/>
            </w:tcMar>
          </w:tcPr>
          <w:p w14:paraId="607CA31A" w14:textId="77777777" w:rsidR="00C548D8" w:rsidRDefault="00C548D8" w:rsidP="00C548D8">
            <w:proofErr w:type="spellStart"/>
            <w:r>
              <w:rPr>
                <w:rFonts w:cs="Arial"/>
                <w:szCs w:val="19"/>
              </w:rPr>
              <w:t>Tirzepatide</w:t>
            </w:r>
            <w:proofErr w:type="spellEnd"/>
            <w:r>
              <w:rPr>
                <w:rFonts w:cs="Arial"/>
                <w:szCs w:val="19"/>
              </w:rPr>
              <w:t xml:space="preserve"> (</w:t>
            </w:r>
            <w:proofErr w:type="spellStart"/>
            <w:r>
              <w:rPr>
                <w:rFonts w:cs="Arial"/>
                <w:i/>
                <w:iCs/>
                <w:szCs w:val="19"/>
              </w:rPr>
              <w:t>Mounjaro</w:t>
            </w:r>
            <w:proofErr w:type="spellEnd"/>
            <w:r>
              <w:rPr>
                <w:rFonts w:cs="Arial"/>
                <w:szCs w:val="19"/>
              </w:rPr>
              <w:t>)</w:t>
            </w:r>
            <w:r>
              <w:t xml:space="preserve"> </w:t>
            </w:r>
          </w:p>
          <w:p w14:paraId="023563D9" w14:textId="2889F9E2" w:rsidR="00C548D8" w:rsidRDefault="00C548D8" w:rsidP="00C548D8">
            <w:pPr>
              <w:rPr>
                <w:rFonts w:cs="Arial"/>
                <w:szCs w:val="19"/>
              </w:rPr>
            </w:pPr>
            <w:r w:rsidRPr="0055040B">
              <w:rPr>
                <w:rFonts w:cs="Arial"/>
                <w:sz w:val="16"/>
                <w:szCs w:val="16"/>
              </w:rPr>
              <w:t>2.5mg, 5mg, 7.5mg, 10mg, 12.5mg and 15mg</w:t>
            </w:r>
            <w:r>
              <w:rPr>
                <w:rFonts w:cs="Arial"/>
                <w:sz w:val="16"/>
                <w:szCs w:val="16"/>
              </w:rPr>
              <w:t xml:space="preserve"> single-dose prefilled pens</w:t>
            </w:r>
          </w:p>
        </w:tc>
        <w:tc>
          <w:tcPr>
            <w:tcW w:w="3707" w:type="pct"/>
            <w:shd w:val="clear" w:color="auto" w:fill="auto"/>
            <w:tcMar>
              <w:top w:w="57" w:type="dxa"/>
              <w:bottom w:w="57" w:type="dxa"/>
            </w:tcMar>
          </w:tcPr>
          <w:p w14:paraId="55441F46" w14:textId="1F131B6E" w:rsidR="00C548D8" w:rsidRPr="00C97006" w:rsidRDefault="00C548D8" w:rsidP="00C548D8">
            <w:pPr>
              <w:tabs>
                <w:tab w:val="center" w:pos="3152"/>
              </w:tabs>
              <w:rPr>
                <w:rFonts w:cs="Arial"/>
                <w:szCs w:val="19"/>
                <w:lang w:val="en-US"/>
              </w:rPr>
            </w:pPr>
            <w:r>
              <w:rPr>
                <w:rFonts w:cs="Arial"/>
                <w:szCs w:val="19"/>
                <w:lang w:val="en-US"/>
              </w:rPr>
              <w:t>F</w:t>
            </w:r>
            <w:r w:rsidRPr="0055040B">
              <w:rPr>
                <w:rFonts w:cs="Arial"/>
                <w:szCs w:val="19"/>
                <w:lang w:val="en-US"/>
              </w:rPr>
              <w:t xml:space="preserve">or weight management, including weight loss and weight maintenance, as an adjunct to a reduced-calorie diet and increased physical activity in adults with an initial </w:t>
            </w:r>
            <w:r>
              <w:rPr>
                <w:rFonts w:cs="Arial"/>
                <w:szCs w:val="19"/>
                <w:lang w:val="en-US"/>
              </w:rPr>
              <w:t>b</w:t>
            </w:r>
            <w:r w:rsidRPr="0055040B">
              <w:rPr>
                <w:rFonts w:cs="Arial"/>
                <w:szCs w:val="19"/>
                <w:lang w:val="en-US"/>
              </w:rPr>
              <w:t xml:space="preserve">ody </w:t>
            </w:r>
            <w:r>
              <w:rPr>
                <w:rFonts w:cs="Arial"/>
                <w:szCs w:val="19"/>
                <w:lang w:val="en-US"/>
              </w:rPr>
              <w:t>m</w:t>
            </w:r>
            <w:r w:rsidRPr="0055040B">
              <w:rPr>
                <w:rFonts w:cs="Arial"/>
                <w:szCs w:val="19"/>
                <w:lang w:val="en-US"/>
              </w:rPr>
              <w:t xml:space="preserve">ass </w:t>
            </w:r>
            <w:r>
              <w:rPr>
                <w:rFonts w:cs="Arial"/>
                <w:szCs w:val="19"/>
                <w:lang w:val="en-US"/>
              </w:rPr>
              <w:t>i</w:t>
            </w:r>
            <w:r w:rsidRPr="0055040B">
              <w:rPr>
                <w:rFonts w:cs="Arial"/>
                <w:szCs w:val="19"/>
                <w:lang w:val="en-US"/>
              </w:rPr>
              <w:t>ndex (BMI) of ≥30kg/m</w:t>
            </w:r>
            <w:r w:rsidRPr="00120ADD">
              <w:rPr>
                <w:rFonts w:cs="Arial"/>
                <w:szCs w:val="19"/>
                <w:vertAlign w:val="superscript"/>
                <w:lang w:val="en-US"/>
              </w:rPr>
              <w:t>2</w:t>
            </w:r>
            <w:r w:rsidRPr="0055040B">
              <w:rPr>
                <w:rFonts w:cs="Arial"/>
                <w:szCs w:val="19"/>
                <w:lang w:val="en-US"/>
              </w:rPr>
              <w:t xml:space="preserve"> (obesity) or ≥27kg/m</w:t>
            </w:r>
            <w:r w:rsidRPr="00120ADD">
              <w:rPr>
                <w:rFonts w:cs="Arial"/>
                <w:szCs w:val="19"/>
                <w:vertAlign w:val="superscript"/>
                <w:lang w:val="en-US"/>
              </w:rPr>
              <w:t>2</w:t>
            </w:r>
            <w:r w:rsidRPr="0055040B">
              <w:rPr>
                <w:rFonts w:cs="Arial"/>
                <w:szCs w:val="19"/>
                <w:lang w:val="en-US"/>
              </w:rPr>
              <w:t xml:space="preserve"> to &lt;30kg/m</w:t>
            </w:r>
            <w:r w:rsidRPr="00120ADD">
              <w:rPr>
                <w:rFonts w:cs="Arial"/>
                <w:szCs w:val="19"/>
                <w:vertAlign w:val="superscript"/>
                <w:lang w:val="en-US"/>
              </w:rPr>
              <w:t>2</w:t>
            </w:r>
            <w:r w:rsidRPr="0055040B">
              <w:rPr>
                <w:rFonts w:cs="Arial"/>
                <w:szCs w:val="19"/>
                <w:lang w:val="en-US"/>
              </w:rPr>
              <w:t xml:space="preserve"> (overweight) in the presence of at least one weight-related comorbid condition (e.g., hypertension, </w:t>
            </w:r>
            <w:proofErr w:type="spellStart"/>
            <w:r w:rsidRPr="0055040B">
              <w:rPr>
                <w:rFonts w:cs="Arial"/>
                <w:szCs w:val="19"/>
                <w:lang w:val="en-US"/>
              </w:rPr>
              <w:t>dyslipidaemia</w:t>
            </w:r>
            <w:proofErr w:type="spellEnd"/>
            <w:r w:rsidRPr="0055040B">
              <w:rPr>
                <w:rFonts w:cs="Arial"/>
                <w:szCs w:val="19"/>
                <w:lang w:val="en-US"/>
              </w:rPr>
              <w:t xml:space="preserve">, obstructive sleep </w:t>
            </w:r>
            <w:proofErr w:type="spellStart"/>
            <w:r w:rsidRPr="0055040B">
              <w:rPr>
                <w:rFonts w:cs="Arial"/>
                <w:szCs w:val="19"/>
                <w:lang w:val="en-US"/>
              </w:rPr>
              <w:t>apnoea</w:t>
            </w:r>
            <w:proofErr w:type="spellEnd"/>
            <w:r w:rsidRPr="0055040B">
              <w:rPr>
                <w:rFonts w:cs="Arial"/>
                <w:szCs w:val="19"/>
                <w:lang w:val="en-US"/>
              </w:rPr>
              <w:t>, cardiovascular disease, prediabetes or type 2 diabetes mellitus)</w:t>
            </w:r>
            <w:r>
              <w:rPr>
                <w:rFonts w:cs="Arial"/>
                <w:szCs w:val="19"/>
                <w:lang w:val="en-US"/>
              </w:rPr>
              <w:t xml:space="preserve"> </w:t>
            </w:r>
            <w:r w:rsidRPr="0055040B">
              <w:rPr>
                <w:rFonts w:cs="Arial"/>
                <w:sz w:val="16"/>
                <w:szCs w:val="16"/>
                <w:lang w:val="en-US"/>
              </w:rPr>
              <w:t>[new indication]</w:t>
            </w:r>
          </w:p>
        </w:tc>
      </w:tr>
      <w:tr w:rsidR="00C548D8" w14:paraId="71369976" w14:textId="77777777" w:rsidTr="002E7604">
        <w:tc>
          <w:tcPr>
            <w:tcW w:w="1293" w:type="pct"/>
            <w:gridSpan w:val="2"/>
            <w:shd w:val="clear" w:color="auto" w:fill="auto"/>
            <w:tcMar>
              <w:top w:w="57" w:type="dxa"/>
              <w:bottom w:w="57" w:type="dxa"/>
            </w:tcMar>
          </w:tcPr>
          <w:p w14:paraId="44273FCB" w14:textId="77777777" w:rsidR="00C548D8" w:rsidRDefault="00C548D8" w:rsidP="00C548D8">
            <w:pPr>
              <w:rPr>
                <w:rFonts w:cs="Arial"/>
                <w:szCs w:val="19"/>
              </w:rPr>
            </w:pPr>
            <w:r>
              <w:rPr>
                <w:rFonts w:cs="Arial"/>
                <w:szCs w:val="19"/>
              </w:rPr>
              <w:t>Tocilizuma</w:t>
            </w:r>
            <w:r w:rsidRPr="003E4E61">
              <w:rPr>
                <w:rFonts w:cs="Arial"/>
                <w:szCs w:val="19"/>
              </w:rPr>
              <w:t>b biosimilar (</w:t>
            </w:r>
            <w:proofErr w:type="spellStart"/>
            <w:r>
              <w:rPr>
                <w:rFonts w:cs="Arial"/>
                <w:i/>
                <w:iCs/>
                <w:szCs w:val="19"/>
              </w:rPr>
              <w:t>Tyenne</w:t>
            </w:r>
            <w:proofErr w:type="spellEnd"/>
            <w:r>
              <w:rPr>
                <w:rFonts w:cs="Arial"/>
                <w:szCs w:val="19"/>
              </w:rPr>
              <w:t xml:space="preserve">) </w:t>
            </w:r>
          </w:p>
          <w:p w14:paraId="410FFDDD" w14:textId="30C71C13" w:rsidR="00C548D8" w:rsidRDefault="00C548D8" w:rsidP="00C548D8">
            <w:pPr>
              <w:rPr>
                <w:rFonts w:cs="Arial"/>
                <w:szCs w:val="19"/>
              </w:rPr>
            </w:pPr>
            <w:r w:rsidRPr="00C97006">
              <w:rPr>
                <w:rFonts w:cs="Arial"/>
                <w:sz w:val="16"/>
                <w:szCs w:val="16"/>
              </w:rPr>
              <w:t>162mg in 0.9mL prefilled pen and syringe, and 80mg in 4mL, 200mg in 10mL and 400mg in 20mL vials</w:t>
            </w:r>
          </w:p>
        </w:tc>
        <w:tc>
          <w:tcPr>
            <w:tcW w:w="3707" w:type="pct"/>
            <w:shd w:val="clear" w:color="auto" w:fill="auto"/>
            <w:tcMar>
              <w:top w:w="57" w:type="dxa"/>
              <w:bottom w:w="57" w:type="dxa"/>
            </w:tcMar>
          </w:tcPr>
          <w:p w14:paraId="1D8ACF12" w14:textId="32986CA3" w:rsidR="00C548D8" w:rsidRPr="00C8151D" w:rsidRDefault="00C548D8" w:rsidP="00C548D8">
            <w:pPr>
              <w:tabs>
                <w:tab w:val="center" w:pos="3152"/>
              </w:tabs>
              <w:rPr>
                <w:rFonts w:cs="Arial"/>
                <w:szCs w:val="19"/>
              </w:rPr>
            </w:pPr>
            <w:r w:rsidRPr="00C97006">
              <w:rPr>
                <w:rFonts w:cs="Arial"/>
                <w:szCs w:val="19"/>
                <w:lang w:val="en-US"/>
              </w:rPr>
              <w:t>Use in combination with methotrexate (MTX), for treatment of severe, active and progressive rheumatoid arthritis (RA) in adults not previously treated with MTX</w:t>
            </w:r>
            <w:r w:rsidR="00120ADD">
              <w:rPr>
                <w:rFonts w:cs="Arial"/>
                <w:szCs w:val="19"/>
                <w:lang w:val="en-US"/>
              </w:rPr>
              <w:t>;</w:t>
            </w:r>
            <w:r w:rsidRPr="00C97006">
              <w:rPr>
                <w:rFonts w:cs="Arial"/>
                <w:szCs w:val="19"/>
                <w:lang w:val="en-US"/>
              </w:rPr>
              <w:t xml:space="preserve"> treatment of moderate to severe active RA in adults who have either responded inadequately to, or who were intolerant to, previous therapy with one or more disease-modifying anti-rheumatic drugs or </w:t>
            </w:r>
            <w:proofErr w:type="spellStart"/>
            <w:r w:rsidRPr="00C97006">
              <w:rPr>
                <w:rFonts w:cs="Arial"/>
                <w:szCs w:val="19"/>
                <w:lang w:val="en-US"/>
              </w:rPr>
              <w:t>tumour</w:t>
            </w:r>
            <w:proofErr w:type="spellEnd"/>
            <w:r w:rsidRPr="00C97006">
              <w:rPr>
                <w:rFonts w:cs="Arial"/>
                <w:szCs w:val="19"/>
                <w:lang w:val="en-US"/>
              </w:rPr>
              <w:t xml:space="preserve"> necrosis factor antagonists</w:t>
            </w:r>
            <w:r w:rsidR="00120ADD">
              <w:rPr>
                <w:rFonts w:cs="Arial"/>
                <w:szCs w:val="19"/>
                <w:lang w:val="en-US"/>
              </w:rPr>
              <w:t>;</w:t>
            </w:r>
            <w:r w:rsidRPr="00C97006">
              <w:rPr>
                <w:rFonts w:cs="Arial"/>
                <w:szCs w:val="19"/>
                <w:lang w:val="en-US"/>
              </w:rPr>
              <w:t xml:space="preserve"> treatment of active systemic juvenile idiopathic arthritis in patients </w:t>
            </w:r>
            <w:r>
              <w:rPr>
                <w:rFonts w:cs="Arial"/>
                <w:szCs w:val="19"/>
                <w:lang w:val="en-US"/>
              </w:rPr>
              <w:t>aged ≥</w:t>
            </w:r>
            <w:r w:rsidRPr="00C97006">
              <w:rPr>
                <w:rFonts w:cs="Arial"/>
                <w:szCs w:val="19"/>
                <w:lang w:val="en-US"/>
              </w:rPr>
              <w:t xml:space="preserve">1 year who have responded inadequately to previous therapy with NSAIDs and systemic corticosteroids, for use in combination with MTX for treatment of juvenile idiopathic polyarthritis (rheumatoid factor positive or negative and extended </w:t>
            </w:r>
            <w:proofErr w:type="spellStart"/>
            <w:r w:rsidRPr="00C97006">
              <w:rPr>
                <w:rFonts w:cs="Arial"/>
                <w:szCs w:val="19"/>
                <w:lang w:val="en-US"/>
              </w:rPr>
              <w:t>oligoarthritis</w:t>
            </w:r>
            <w:proofErr w:type="spellEnd"/>
            <w:r w:rsidRPr="00C97006">
              <w:rPr>
                <w:rFonts w:cs="Arial"/>
                <w:szCs w:val="19"/>
                <w:lang w:val="en-US"/>
              </w:rPr>
              <w:t xml:space="preserve">) in patients </w:t>
            </w:r>
            <w:r>
              <w:rPr>
                <w:rFonts w:cs="Arial"/>
                <w:szCs w:val="19"/>
                <w:lang w:val="en-US"/>
              </w:rPr>
              <w:t>aged ≥</w:t>
            </w:r>
            <w:r w:rsidRPr="00C97006">
              <w:rPr>
                <w:rFonts w:cs="Arial"/>
                <w:szCs w:val="19"/>
                <w:lang w:val="en-US"/>
              </w:rPr>
              <w:t>2 years who have responded inadequately to previous therapy with MTX</w:t>
            </w:r>
            <w:r w:rsidR="00120ADD">
              <w:rPr>
                <w:rFonts w:cs="Arial"/>
                <w:szCs w:val="19"/>
                <w:lang w:val="en-US"/>
              </w:rPr>
              <w:t>;</w:t>
            </w:r>
            <w:r w:rsidRPr="00C97006">
              <w:rPr>
                <w:rFonts w:cs="Arial"/>
                <w:szCs w:val="19"/>
                <w:lang w:val="en-US"/>
              </w:rPr>
              <w:t xml:space="preserve"> and for treatment of giant cell arteritis in adults</w:t>
            </w:r>
          </w:p>
        </w:tc>
      </w:tr>
      <w:tr w:rsidR="00C548D8" w14:paraId="21DCAC66" w14:textId="77777777" w:rsidTr="002E7604">
        <w:tc>
          <w:tcPr>
            <w:tcW w:w="1293" w:type="pct"/>
            <w:gridSpan w:val="2"/>
            <w:shd w:val="clear" w:color="auto" w:fill="auto"/>
            <w:tcMar>
              <w:top w:w="57" w:type="dxa"/>
              <w:bottom w:w="57" w:type="dxa"/>
            </w:tcMar>
          </w:tcPr>
          <w:p w14:paraId="42120CCA" w14:textId="77777777" w:rsidR="00C548D8" w:rsidRDefault="00C548D8" w:rsidP="00C548D8">
            <w:pPr>
              <w:rPr>
                <w:rFonts w:cs="Arial"/>
                <w:szCs w:val="19"/>
              </w:rPr>
            </w:pPr>
            <w:r>
              <w:rPr>
                <w:rFonts w:cs="Arial"/>
                <w:szCs w:val="19"/>
              </w:rPr>
              <w:t>Tezepelumab (</w:t>
            </w:r>
            <w:proofErr w:type="spellStart"/>
            <w:r>
              <w:rPr>
                <w:rFonts w:cs="Arial"/>
                <w:i/>
                <w:iCs/>
                <w:szCs w:val="19"/>
              </w:rPr>
              <w:t>Tezspire</w:t>
            </w:r>
            <w:proofErr w:type="spellEnd"/>
            <w:r>
              <w:rPr>
                <w:rFonts w:cs="Arial"/>
                <w:szCs w:val="19"/>
              </w:rPr>
              <w:t>)</w:t>
            </w:r>
          </w:p>
          <w:p w14:paraId="3BE6E478" w14:textId="49816BF0" w:rsidR="00C548D8" w:rsidRPr="0098517C" w:rsidRDefault="00C548D8" w:rsidP="00C548D8">
            <w:pPr>
              <w:rPr>
                <w:rFonts w:cs="Arial"/>
                <w:szCs w:val="19"/>
              </w:rPr>
            </w:pPr>
            <w:r w:rsidRPr="00C8151D">
              <w:rPr>
                <w:rFonts w:cs="Arial"/>
                <w:sz w:val="16"/>
                <w:szCs w:val="16"/>
              </w:rPr>
              <w:t>210mg in 1.91mL prefilled pen</w:t>
            </w:r>
          </w:p>
        </w:tc>
        <w:tc>
          <w:tcPr>
            <w:tcW w:w="3707" w:type="pct"/>
            <w:shd w:val="clear" w:color="auto" w:fill="auto"/>
            <w:tcMar>
              <w:top w:w="57" w:type="dxa"/>
              <w:bottom w:w="57" w:type="dxa"/>
            </w:tcMar>
          </w:tcPr>
          <w:p w14:paraId="23D79E32" w14:textId="0516A5C4" w:rsidR="00C548D8" w:rsidRPr="0098517C" w:rsidRDefault="00C548D8" w:rsidP="00C548D8">
            <w:pPr>
              <w:tabs>
                <w:tab w:val="center" w:pos="3152"/>
              </w:tabs>
              <w:rPr>
                <w:rFonts w:cs="Arial"/>
                <w:szCs w:val="19"/>
                <w:lang w:val="en-US"/>
              </w:rPr>
            </w:pPr>
            <w:r w:rsidRPr="00C8151D">
              <w:rPr>
                <w:rFonts w:cs="Arial"/>
                <w:szCs w:val="19"/>
              </w:rPr>
              <w:t xml:space="preserve">Use as an add-on maintenance treatment in adults and adolescents </w:t>
            </w:r>
            <w:r>
              <w:rPr>
                <w:rFonts w:cs="Arial"/>
                <w:szCs w:val="19"/>
              </w:rPr>
              <w:t>aged ≥</w:t>
            </w:r>
            <w:r w:rsidRPr="00C8151D">
              <w:rPr>
                <w:rFonts w:cs="Arial"/>
                <w:szCs w:val="19"/>
              </w:rPr>
              <w:t>12 years with severe asthma who are inadequately controlled despite high dose inhaled corticosteroids plus another medicinal product for maintenance treatment</w:t>
            </w:r>
            <w:r>
              <w:rPr>
                <w:rFonts w:cs="Arial"/>
                <w:szCs w:val="19"/>
              </w:rPr>
              <w:t xml:space="preserve"> </w:t>
            </w:r>
            <w:r w:rsidRPr="00C8151D">
              <w:rPr>
                <w:rFonts w:cs="Arial"/>
                <w:sz w:val="16"/>
                <w:szCs w:val="16"/>
              </w:rPr>
              <w:t>[new prefilled pen formulation]</w:t>
            </w:r>
          </w:p>
        </w:tc>
      </w:tr>
      <w:tr w:rsidR="00C548D8" w14:paraId="53B95757" w14:textId="77777777" w:rsidTr="002E7604">
        <w:tc>
          <w:tcPr>
            <w:tcW w:w="1293" w:type="pct"/>
            <w:gridSpan w:val="2"/>
            <w:shd w:val="clear" w:color="auto" w:fill="auto"/>
            <w:tcMar>
              <w:top w:w="57" w:type="dxa"/>
              <w:bottom w:w="57" w:type="dxa"/>
            </w:tcMar>
          </w:tcPr>
          <w:p w14:paraId="44490203" w14:textId="77777777" w:rsidR="00C548D8" w:rsidRDefault="00C548D8" w:rsidP="00C548D8">
            <w:pPr>
              <w:rPr>
                <w:rFonts w:cs="Arial"/>
                <w:szCs w:val="19"/>
              </w:rPr>
            </w:pPr>
            <w:proofErr w:type="spellStart"/>
            <w:r w:rsidRPr="0098517C">
              <w:rPr>
                <w:rFonts w:cs="Arial"/>
                <w:szCs w:val="19"/>
              </w:rPr>
              <w:t>Ublituximab</w:t>
            </w:r>
            <w:proofErr w:type="spellEnd"/>
            <w:r>
              <w:rPr>
                <w:rFonts w:cs="Arial"/>
                <w:szCs w:val="19"/>
              </w:rPr>
              <w:t xml:space="preserve"> (</w:t>
            </w:r>
            <w:proofErr w:type="spellStart"/>
            <w:r>
              <w:rPr>
                <w:rFonts w:cs="Arial"/>
                <w:i/>
                <w:iCs/>
                <w:szCs w:val="19"/>
              </w:rPr>
              <w:t>Briumvi</w:t>
            </w:r>
            <w:proofErr w:type="spellEnd"/>
            <w:r>
              <w:rPr>
                <w:rFonts w:cs="Arial"/>
                <w:szCs w:val="19"/>
              </w:rPr>
              <w:t xml:space="preserve">) </w:t>
            </w:r>
          </w:p>
          <w:p w14:paraId="0AD08552" w14:textId="3FDF097A" w:rsidR="00C548D8" w:rsidRDefault="00C548D8" w:rsidP="00C548D8">
            <w:pPr>
              <w:rPr>
                <w:rFonts w:cs="Arial"/>
                <w:szCs w:val="19"/>
              </w:rPr>
            </w:pPr>
            <w:r w:rsidRPr="00C155A5">
              <w:rPr>
                <w:rFonts w:cs="Arial"/>
                <w:sz w:val="16"/>
                <w:szCs w:val="16"/>
              </w:rPr>
              <w:t>150mg in 6mL vial</w:t>
            </w:r>
          </w:p>
        </w:tc>
        <w:tc>
          <w:tcPr>
            <w:tcW w:w="3707" w:type="pct"/>
            <w:shd w:val="clear" w:color="auto" w:fill="auto"/>
            <w:tcMar>
              <w:top w:w="57" w:type="dxa"/>
              <w:bottom w:w="57" w:type="dxa"/>
            </w:tcMar>
          </w:tcPr>
          <w:p w14:paraId="7C974EDC" w14:textId="6A7B65BC" w:rsidR="00C548D8" w:rsidRDefault="00C548D8" w:rsidP="00C548D8">
            <w:pPr>
              <w:tabs>
                <w:tab w:val="center" w:pos="3152"/>
              </w:tabs>
              <w:rPr>
                <w:rFonts w:cs="Arial"/>
                <w:szCs w:val="19"/>
                <w:lang w:val="en-US"/>
              </w:rPr>
            </w:pPr>
            <w:r w:rsidRPr="0098517C">
              <w:rPr>
                <w:rFonts w:cs="Arial"/>
                <w:szCs w:val="19"/>
                <w:lang w:val="en-US"/>
              </w:rPr>
              <w:t>Treatment of adults with relapsing forms of multiple sclerosis with active disease defined by clinical or imaging features</w:t>
            </w:r>
          </w:p>
        </w:tc>
      </w:tr>
      <w:tr w:rsidR="00C548D8" w14:paraId="6197EED2" w14:textId="77777777" w:rsidTr="002E7604">
        <w:tc>
          <w:tcPr>
            <w:tcW w:w="1293" w:type="pct"/>
            <w:gridSpan w:val="2"/>
            <w:shd w:val="clear" w:color="auto" w:fill="auto"/>
            <w:tcMar>
              <w:top w:w="57" w:type="dxa"/>
              <w:bottom w:w="57" w:type="dxa"/>
            </w:tcMar>
          </w:tcPr>
          <w:p w14:paraId="36A10E65" w14:textId="77777777" w:rsidR="00C548D8" w:rsidRDefault="00C548D8" w:rsidP="00C548D8">
            <w:pPr>
              <w:rPr>
                <w:rFonts w:cs="Arial"/>
                <w:szCs w:val="19"/>
              </w:rPr>
            </w:pPr>
            <w:r>
              <w:rPr>
                <w:rFonts w:cs="Arial"/>
                <w:szCs w:val="19"/>
              </w:rPr>
              <w:t>Ustekinumab (</w:t>
            </w:r>
            <w:r>
              <w:rPr>
                <w:rFonts w:cs="Arial"/>
                <w:i/>
                <w:iCs/>
                <w:szCs w:val="19"/>
              </w:rPr>
              <w:t>Stelara</w:t>
            </w:r>
            <w:r>
              <w:rPr>
                <w:rFonts w:cs="Arial"/>
                <w:szCs w:val="19"/>
              </w:rPr>
              <w:t>)</w:t>
            </w:r>
          </w:p>
          <w:p w14:paraId="430BE9A8" w14:textId="2424B5F0" w:rsidR="00C548D8" w:rsidRPr="00101A41" w:rsidRDefault="00C548D8" w:rsidP="00C548D8">
            <w:pPr>
              <w:rPr>
                <w:rFonts w:cs="Arial"/>
                <w:szCs w:val="19"/>
              </w:rPr>
            </w:pPr>
            <w:r w:rsidRPr="00101A41">
              <w:rPr>
                <w:rFonts w:cs="Arial"/>
                <w:sz w:val="16"/>
                <w:szCs w:val="16"/>
              </w:rPr>
              <w:t>45mg and 90mg prefilled pens</w:t>
            </w:r>
          </w:p>
        </w:tc>
        <w:tc>
          <w:tcPr>
            <w:tcW w:w="3707" w:type="pct"/>
            <w:shd w:val="clear" w:color="auto" w:fill="auto"/>
            <w:tcMar>
              <w:top w:w="57" w:type="dxa"/>
              <w:bottom w:w="57" w:type="dxa"/>
            </w:tcMar>
          </w:tcPr>
          <w:p w14:paraId="3B0FA0C8" w14:textId="58BD9462" w:rsidR="00C548D8" w:rsidRPr="002B10C1" w:rsidRDefault="00C548D8" w:rsidP="00C548D8">
            <w:pPr>
              <w:tabs>
                <w:tab w:val="center" w:pos="3152"/>
              </w:tabs>
              <w:rPr>
                <w:rFonts w:cs="Arial"/>
                <w:szCs w:val="19"/>
                <w:lang w:val="en-US"/>
              </w:rPr>
            </w:pPr>
            <w:r>
              <w:rPr>
                <w:rFonts w:cs="Arial"/>
                <w:szCs w:val="19"/>
                <w:lang w:val="en-US"/>
              </w:rPr>
              <w:t>T</w:t>
            </w:r>
            <w:r w:rsidRPr="00101A41">
              <w:rPr>
                <w:rFonts w:cs="Arial"/>
                <w:szCs w:val="19"/>
                <w:lang w:val="en-US"/>
              </w:rPr>
              <w:t>reatment of moderate to severe plaque psoriasis in adults who failed to respond to, or who have a contraindication to, or are intolerant to other systemic therapies including ciclosporin, methotrexate (MTX) or PUVA (psoralen and ultraviolet A); use alone or in combination with MTX, for treatment of active psoriatic arthritis in adults when the response to previous non-biological disease-modifying anti-rheumatic drug (DMARD) therapy has been inadequate; treatment of adults with moderately to severely active Crohn´s disease who have had an inadequate response with, lost response to, or were intolerant to either conventional therapy or a TNFα antagonist or have medical contraindications to such therapies; treatment of adults with moderately to severely active ulcerative colitis who have had an inadequate response with, lost response to, or were intolerant to either conventional therapy or a biologic or have medical contraindications to such therapies</w:t>
            </w:r>
            <w:r>
              <w:rPr>
                <w:rFonts w:cs="Arial"/>
                <w:szCs w:val="19"/>
                <w:lang w:val="en-US"/>
              </w:rPr>
              <w:t xml:space="preserve"> </w:t>
            </w:r>
            <w:r w:rsidRPr="00101A41">
              <w:rPr>
                <w:rFonts w:cs="Arial"/>
                <w:sz w:val="16"/>
                <w:szCs w:val="16"/>
                <w:lang w:val="en-US"/>
              </w:rPr>
              <w:t>[new prefilled pen formulations]</w:t>
            </w:r>
          </w:p>
        </w:tc>
      </w:tr>
      <w:tr w:rsidR="00C548D8" w:rsidRPr="00862949" w14:paraId="0556E38B" w14:textId="77777777" w:rsidTr="002E7604">
        <w:tc>
          <w:tcPr>
            <w:tcW w:w="5000" w:type="pct"/>
            <w:gridSpan w:val="3"/>
            <w:shd w:val="clear" w:color="auto" w:fill="auto"/>
            <w:tcMar>
              <w:top w:w="0" w:type="dxa"/>
              <w:bottom w:w="0" w:type="dxa"/>
            </w:tcMar>
          </w:tcPr>
          <w:p w14:paraId="462B4730" w14:textId="77777777" w:rsidR="00C548D8" w:rsidRPr="00862949" w:rsidRDefault="00C548D8" w:rsidP="00C548D8">
            <w:pPr>
              <w:jc w:val="center"/>
              <w:rPr>
                <w:rFonts w:cs="Arial"/>
                <w:noProof/>
                <w:sz w:val="8"/>
                <w:szCs w:val="8"/>
              </w:rPr>
            </w:pPr>
          </w:p>
        </w:tc>
      </w:tr>
      <w:tr w:rsidR="00C548D8" w:rsidRPr="000F19E1" w14:paraId="008F5708" w14:textId="77777777" w:rsidTr="002E7604">
        <w:tc>
          <w:tcPr>
            <w:tcW w:w="1152" w:type="pct"/>
            <w:shd w:val="clear" w:color="auto" w:fill="DAEEF3"/>
            <w:tcMar>
              <w:top w:w="0" w:type="dxa"/>
              <w:bottom w:w="0" w:type="dxa"/>
            </w:tcMar>
          </w:tcPr>
          <w:p w14:paraId="7163FC92" w14:textId="77777777" w:rsidR="00C548D8" w:rsidRPr="000F19E1" w:rsidRDefault="00C548D8" w:rsidP="00C548D8">
            <w:pPr>
              <w:rPr>
                <w:rFonts w:cs="Arial"/>
                <w:bCs/>
                <w:sz w:val="8"/>
                <w:szCs w:val="8"/>
              </w:rPr>
            </w:pPr>
          </w:p>
        </w:tc>
        <w:tc>
          <w:tcPr>
            <w:tcW w:w="3848" w:type="pct"/>
            <w:gridSpan w:val="2"/>
            <w:shd w:val="clear" w:color="auto" w:fill="DAEEF3"/>
            <w:tcMar>
              <w:top w:w="0" w:type="dxa"/>
              <w:bottom w:w="0" w:type="dxa"/>
            </w:tcMar>
          </w:tcPr>
          <w:p w14:paraId="23DD6C45" w14:textId="77777777" w:rsidR="00C548D8" w:rsidRPr="000F19E1" w:rsidRDefault="00C548D8" w:rsidP="00C548D8">
            <w:pPr>
              <w:tabs>
                <w:tab w:val="center" w:pos="3152"/>
              </w:tabs>
              <w:rPr>
                <w:rFonts w:cs="Arial"/>
                <w:sz w:val="8"/>
                <w:szCs w:val="8"/>
                <w:lang w:val="en-US"/>
              </w:rPr>
            </w:pPr>
          </w:p>
        </w:tc>
      </w:tr>
    </w:tbl>
    <w:p w14:paraId="78DE2AF6" w14:textId="113341D2" w:rsidR="007B0B8B" w:rsidRDefault="007B0B8B">
      <w:r>
        <w:br w:type="page"/>
      </w:r>
    </w:p>
    <w:p w14:paraId="2439F8E4" w14:textId="5F0E1313" w:rsidR="007B0B8B" w:rsidRDefault="007B0B8B"/>
    <w:tbl>
      <w:tblPr>
        <w:tblW w:w="5170" w:type="pct"/>
        <w:tblInd w:w="-176" w:type="dxa"/>
        <w:tblLayout w:type="fixed"/>
        <w:tblLook w:val="01E0" w:firstRow="1" w:lastRow="1" w:firstColumn="1" w:lastColumn="1" w:noHBand="0" w:noVBand="0"/>
      </w:tblPr>
      <w:tblGrid>
        <w:gridCol w:w="2430"/>
        <w:gridCol w:w="298"/>
        <w:gridCol w:w="7823"/>
      </w:tblGrid>
      <w:tr w:rsidR="007B0B8B" w:rsidRPr="00862949" w14:paraId="6ACB2D63" w14:textId="77777777" w:rsidTr="002E7604">
        <w:tc>
          <w:tcPr>
            <w:tcW w:w="5000" w:type="pct"/>
            <w:gridSpan w:val="3"/>
            <w:shd w:val="clear" w:color="auto" w:fill="0070C0"/>
            <w:tcMar>
              <w:top w:w="85" w:type="dxa"/>
              <w:bottom w:w="85" w:type="dxa"/>
            </w:tcMar>
            <w:vAlign w:val="bottom"/>
          </w:tcPr>
          <w:p w14:paraId="48010936" w14:textId="77777777" w:rsidR="007B0B8B" w:rsidRPr="00862949" w:rsidRDefault="007B0B8B" w:rsidP="002E7604">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7B0B8B" w:rsidRPr="00862949" w14:paraId="0199A30C" w14:textId="77777777" w:rsidTr="002E7604">
        <w:tc>
          <w:tcPr>
            <w:tcW w:w="5000" w:type="pct"/>
            <w:gridSpan w:val="3"/>
            <w:shd w:val="clear" w:color="auto" w:fill="DAEEF3"/>
            <w:tcMar>
              <w:top w:w="0" w:type="dxa"/>
              <w:bottom w:w="0" w:type="dxa"/>
            </w:tcMar>
          </w:tcPr>
          <w:p w14:paraId="0F9927D4" w14:textId="77777777" w:rsidR="007B0B8B" w:rsidRPr="00862949" w:rsidRDefault="007B0B8B" w:rsidP="002E7604">
            <w:pPr>
              <w:rPr>
                <w:rFonts w:cs="Arial"/>
                <w:b/>
                <w:bCs/>
                <w:i/>
                <w:iCs/>
                <w:color w:val="000000"/>
                <w:sz w:val="8"/>
                <w:szCs w:val="8"/>
                <w:lang w:val="en-US"/>
              </w:rPr>
            </w:pPr>
          </w:p>
        </w:tc>
      </w:tr>
      <w:tr w:rsidR="005F14E1" w:rsidRPr="00831779" w14:paraId="58C244AB" w14:textId="77777777" w:rsidTr="00D6452A">
        <w:tc>
          <w:tcPr>
            <w:tcW w:w="5000" w:type="pct"/>
            <w:gridSpan w:val="3"/>
            <w:shd w:val="clear" w:color="auto" w:fill="00B050"/>
            <w:tcMar>
              <w:top w:w="57" w:type="dxa"/>
              <w:bottom w:w="57" w:type="dxa"/>
            </w:tcMar>
          </w:tcPr>
          <w:p w14:paraId="137DB62B" w14:textId="77777777" w:rsidR="005F14E1" w:rsidRPr="00831779" w:rsidRDefault="005F14E1" w:rsidP="005F14E1">
            <w:pPr>
              <w:rPr>
                <w:rFonts w:cs="Arial"/>
                <w:noProof/>
                <w:color w:val="FFFFFF"/>
                <w:sz w:val="16"/>
                <w:szCs w:val="16"/>
              </w:rPr>
            </w:pPr>
            <w:r>
              <w:rPr>
                <w:rFonts w:cs="Arial"/>
                <w:b/>
                <w:bCs/>
                <w:i/>
                <w:iCs/>
                <w:color w:val="FFFFFF"/>
                <w:sz w:val="22"/>
                <w:szCs w:val="20"/>
                <w:lang w:val="en-US"/>
              </w:rPr>
              <w:t xml:space="preserve">Recommended for approval in </w:t>
            </w:r>
            <w:r w:rsidRPr="00433D3E">
              <w:rPr>
                <w:rFonts w:cs="Arial"/>
                <w:b/>
                <w:bCs/>
                <w:i/>
                <w:iCs/>
                <w:color w:val="FFFFFF"/>
                <w:sz w:val="22"/>
                <w:szCs w:val="20"/>
                <w:lang w:val="en-US"/>
              </w:rPr>
              <w:t xml:space="preserve">the </w:t>
            </w:r>
            <w:r>
              <w:rPr>
                <w:rFonts w:cs="Arial"/>
                <w:b/>
                <w:bCs/>
                <w:i/>
                <w:iCs/>
                <w:color w:val="FFFFFF"/>
                <w:sz w:val="22"/>
                <w:szCs w:val="20"/>
                <w:lang w:val="en-US"/>
              </w:rPr>
              <w:t xml:space="preserve">UK or </w:t>
            </w:r>
            <w:r w:rsidRPr="00433D3E">
              <w:rPr>
                <w:rFonts w:cs="Arial"/>
                <w:b/>
                <w:bCs/>
                <w:i/>
                <w:iCs/>
                <w:color w:val="FFFFFF"/>
                <w:sz w:val="22"/>
                <w:szCs w:val="20"/>
                <w:lang w:val="en-US"/>
              </w:rPr>
              <w:t>EU</w:t>
            </w:r>
          </w:p>
        </w:tc>
      </w:tr>
      <w:tr w:rsidR="005F14E1" w:rsidRPr="00A075A3" w14:paraId="1541A759" w14:textId="77777777" w:rsidTr="008C10C8">
        <w:tc>
          <w:tcPr>
            <w:tcW w:w="1293" w:type="pct"/>
            <w:gridSpan w:val="2"/>
            <w:shd w:val="clear" w:color="auto" w:fill="auto"/>
            <w:tcMar>
              <w:top w:w="57" w:type="dxa"/>
              <w:bottom w:w="57" w:type="dxa"/>
            </w:tcMar>
          </w:tcPr>
          <w:p w14:paraId="2FD1450A" w14:textId="6841F30A" w:rsidR="005F14E1" w:rsidRPr="0041138B" w:rsidRDefault="005F14E1" w:rsidP="005F14E1">
            <w:pPr>
              <w:rPr>
                <w:rFonts w:cs="Arial"/>
                <w:szCs w:val="19"/>
              </w:rPr>
            </w:pPr>
            <w:proofErr w:type="spellStart"/>
            <w:r w:rsidRPr="0041138B">
              <w:rPr>
                <w:rFonts w:cs="Arial"/>
                <w:szCs w:val="19"/>
              </w:rPr>
              <w:t>Adagrasib</w:t>
            </w:r>
            <w:proofErr w:type="spellEnd"/>
            <w:r>
              <w:rPr>
                <w:rFonts w:cs="Arial"/>
                <w:szCs w:val="19"/>
              </w:rPr>
              <w:t xml:space="preserve"> (</w:t>
            </w:r>
            <w:proofErr w:type="spellStart"/>
            <w:r>
              <w:rPr>
                <w:rFonts w:cs="Arial"/>
                <w:i/>
                <w:iCs/>
                <w:szCs w:val="19"/>
              </w:rPr>
              <w:t>Krazati</w:t>
            </w:r>
            <w:proofErr w:type="spellEnd"/>
            <w:r>
              <w:rPr>
                <w:rFonts w:cs="Arial"/>
                <w:szCs w:val="19"/>
              </w:rPr>
              <w:t>)</w:t>
            </w:r>
          </w:p>
        </w:tc>
        <w:tc>
          <w:tcPr>
            <w:tcW w:w="3707" w:type="pct"/>
            <w:shd w:val="clear" w:color="auto" w:fill="auto"/>
            <w:tcMar>
              <w:top w:w="57" w:type="dxa"/>
              <w:bottom w:w="57" w:type="dxa"/>
            </w:tcMar>
          </w:tcPr>
          <w:p w14:paraId="0A526036" w14:textId="216B9E78" w:rsidR="005F14E1" w:rsidRPr="0041138B" w:rsidRDefault="005F14E1" w:rsidP="005F14E1">
            <w:pPr>
              <w:tabs>
                <w:tab w:val="center" w:pos="3152"/>
              </w:tabs>
              <w:rPr>
                <w:rFonts w:cs="Arial"/>
                <w:i/>
                <w:iCs/>
                <w:szCs w:val="19"/>
                <w:lang w:val="en-US"/>
              </w:rPr>
            </w:pPr>
            <w:r>
              <w:rPr>
                <w:rFonts w:cs="Arial"/>
                <w:szCs w:val="19"/>
                <w:lang w:val="en-US"/>
              </w:rPr>
              <w:t xml:space="preserve">Use </w:t>
            </w:r>
            <w:r w:rsidRPr="0041138B">
              <w:rPr>
                <w:rFonts w:cs="Arial"/>
                <w:szCs w:val="19"/>
                <w:lang w:val="en-US"/>
              </w:rPr>
              <w:t>as monotherapy for the treatment of adults with advanced non-small cell lung cancer with KRAS G12C mutation and disease progression after at least one prior systemic therapy</w:t>
            </w:r>
            <w:r>
              <w:rPr>
                <w:rFonts w:cs="Arial"/>
                <w:szCs w:val="19"/>
                <w:lang w:val="en-US"/>
              </w:rPr>
              <w:t xml:space="preserve"> </w:t>
            </w:r>
            <w:r w:rsidRPr="0041138B">
              <w:rPr>
                <w:rFonts w:cs="Arial"/>
                <w:sz w:val="16"/>
                <w:szCs w:val="16"/>
                <w:lang w:val="en-US"/>
              </w:rPr>
              <w:t xml:space="preserve">[EU] </w:t>
            </w:r>
            <w:r w:rsidRPr="0041138B">
              <w:rPr>
                <w:rFonts w:cs="Arial"/>
                <w:i/>
                <w:iCs/>
                <w:sz w:val="16"/>
                <w:szCs w:val="16"/>
                <w:lang w:val="en-US"/>
              </w:rPr>
              <w:t>Note: Already approved in the UK</w:t>
            </w:r>
          </w:p>
        </w:tc>
      </w:tr>
      <w:tr w:rsidR="0012702E" w:rsidRPr="00A075A3" w14:paraId="434D425B" w14:textId="77777777" w:rsidTr="008C10C8">
        <w:tc>
          <w:tcPr>
            <w:tcW w:w="1293" w:type="pct"/>
            <w:gridSpan w:val="2"/>
            <w:shd w:val="clear" w:color="auto" w:fill="auto"/>
            <w:tcMar>
              <w:top w:w="57" w:type="dxa"/>
              <w:bottom w:w="57" w:type="dxa"/>
            </w:tcMar>
          </w:tcPr>
          <w:p w14:paraId="1158FB3C" w14:textId="75EC5B5B" w:rsidR="0012702E" w:rsidRPr="0012702E" w:rsidRDefault="0012702E" w:rsidP="005F14E1">
            <w:pPr>
              <w:rPr>
                <w:rFonts w:cs="Arial"/>
                <w:szCs w:val="19"/>
              </w:rPr>
            </w:pPr>
            <w:r w:rsidRPr="0012702E">
              <w:rPr>
                <w:rFonts w:cs="Arial"/>
                <w:szCs w:val="19"/>
              </w:rPr>
              <w:t>Aflibercept</w:t>
            </w:r>
            <w:r>
              <w:rPr>
                <w:rFonts w:cs="Arial"/>
                <w:szCs w:val="19"/>
              </w:rPr>
              <w:t xml:space="preserve"> (</w:t>
            </w:r>
            <w:r>
              <w:rPr>
                <w:rFonts w:cs="Arial"/>
                <w:i/>
                <w:iCs/>
                <w:szCs w:val="19"/>
              </w:rPr>
              <w:t>Eylea 8mg</w:t>
            </w:r>
            <w:r>
              <w:rPr>
                <w:rFonts w:cs="Arial"/>
                <w:szCs w:val="19"/>
              </w:rPr>
              <w:t>)</w:t>
            </w:r>
          </w:p>
        </w:tc>
        <w:tc>
          <w:tcPr>
            <w:tcW w:w="3707" w:type="pct"/>
            <w:shd w:val="clear" w:color="auto" w:fill="auto"/>
            <w:tcMar>
              <w:top w:w="57" w:type="dxa"/>
              <w:bottom w:w="57" w:type="dxa"/>
            </w:tcMar>
          </w:tcPr>
          <w:p w14:paraId="1DAAFA33" w14:textId="7B68CA10" w:rsidR="0012702E" w:rsidRPr="001A3EEC" w:rsidRDefault="0012702E" w:rsidP="0012702E">
            <w:pPr>
              <w:tabs>
                <w:tab w:val="center" w:pos="3152"/>
              </w:tabs>
              <w:rPr>
                <w:rFonts w:cs="Arial"/>
                <w:szCs w:val="19"/>
                <w:lang w:val="en-US"/>
              </w:rPr>
            </w:pPr>
            <w:r w:rsidRPr="0012702E">
              <w:rPr>
                <w:rFonts w:cs="Arial"/>
                <w:szCs w:val="19"/>
                <w:lang w:val="en-US"/>
              </w:rPr>
              <w:t>Treatment of</w:t>
            </w:r>
            <w:r>
              <w:rPr>
                <w:rFonts w:cs="Arial"/>
                <w:szCs w:val="19"/>
                <w:lang w:val="en-US"/>
              </w:rPr>
              <w:t xml:space="preserve"> adults with </w:t>
            </w:r>
            <w:r w:rsidRPr="0012702E">
              <w:rPr>
                <w:rFonts w:cs="Arial"/>
                <w:szCs w:val="19"/>
                <w:lang w:val="en-US"/>
              </w:rPr>
              <w:t xml:space="preserve">neovascular (wet) age-related macular degeneration </w:t>
            </w:r>
            <w:r>
              <w:rPr>
                <w:rFonts w:cs="Arial"/>
                <w:szCs w:val="19"/>
                <w:lang w:val="en-US"/>
              </w:rPr>
              <w:t>and</w:t>
            </w:r>
            <w:r w:rsidRPr="0012702E">
              <w:rPr>
                <w:rFonts w:cs="Arial"/>
                <w:szCs w:val="19"/>
                <w:lang w:val="en-US"/>
              </w:rPr>
              <w:t xml:space="preserve"> visual impairment due to diabetic macular oedema</w:t>
            </w:r>
            <w:r>
              <w:rPr>
                <w:rFonts w:cs="Arial"/>
                <w:szCs w:val="19"/>
                <w:lang w:val="en-US"/>
              </w:rPr>
              <w:t xml:space="preserve"> </w:t>
            </w:r>
            <w:r w:rsidRPr="0012702E">
              <w:rPr>
                <w:rFonts w:cs="Arial"/>
                <w:sz w:val="16"/>
                <w:szCs w:val="16"/>
                <w:lang w:val="en-US"/>
              </w:rPr>
              <w:t>[EU] [new high-dose</w:t>
            </w:r>
            <w:r>
              <w:rPr>
                <w:rFonts w:cs="Arial"/>
                <w:sz w:val="16"/>
                <w:szCs w:val="16"/>
                <w:lang w:val="en-US"/>
              </w:rPr>
              <w:t xml:space="preserve"> extended-interval</w:t>
            </w:r>
            <w:r w:rsidRPr="0012702E">
              <w:rPr>
                <w:rFonts w:cs="Arial"/>
                <w:sz w:val="16"/>
                <w:szCs w:val="16"/>
                <w:lang w:val="en-US"/>
              </w:rPr>
              <w:t xml:space="preserve"> formulation]</w:t>
            </w:r>
          </w:p>
        </w:tc>
      </w:tr>
      <w:tr w:rsidR="005F14E1" w:rsidRPr="00A075A3" w14:paraId="0E00A8EF" w14:textId="77777777" w:rsidTr="008C10C8">
        <w:tc>
          <w:tcPr>
            <w:tcW w:w="1293" w:type="pct"/>
            <w:gridSpan w:val="2"/>
            <w:shd w:val="clear" w:color="auto" w:fill="auto"/>
            <w:tcMar>
              <w:top w:w="57" w:type="dxa"/>
              <w:bottom w:w="57" w:type="dxa"/>
            </w:tcMar>
          </w:tcPr>
          <w:p w14:paraId="12BDCFDC" w14:textId="5DF4ED9C" w:rsidR="005F14E1" w:rsidRPr="0024077E" w:rsidRDefault="005F14E1" w:rsidP="005F14E1">
            <w:pPr>
              <w:rPr>
                <w:rFonts w:cs="Arial"/>
                <w:szCs w:val="19"/>
              </w:rPr>
            </w:pPr>
            <w:r w:rsidRPr="006877E7">
              <w:rPr>
                <w:rFonts w:cs="Arial"/>
                <w:szCs w:val="19"/>
              </w:rPr>
              <w:t>Atezolizumab</w:t>
            </w:r>
            <w:r>
              <w:rPr>
                <w:rFonts w:cs="Arial"/>
                <w:szCs w:val="19"/>
              </w:rPr>
              <w:t xml:space="preserve"> (</w:t>
            </w:r>
            <w:proofErr w:type="spellStart"/>
            <w:r>
              <w:rPr>
                <w:rFonts w:cs="Arial"/>
                <w:i/>
                <w:iCs/>
                <w:szCs w:val="19"/>
              </w:rPr>
              <w:t>Tecentriq</w:t>
            </w:r>
            <w:proofErr w:type="spellEnd"/>
            <w:r>
              <w:rPr>
                <w:rFonts w:cs="Arial"/>
                <w:szCs w:val="19"/>
              </w:rPr>
              <w:t>)</w:t>
            </w:r>
          </w:p>
        </w:tc>
        <w:tc>
          <w:tcPr>
            <w:tcW w:w="3707" w:type="pct"/>
            <w:shd w:val="clear" w:color="auto" w:fill="auto"/>
            <w:tcMar>
              <w:top w:w="57" w:type="dxa"/>
              <w:bottom w:w="57" w:type="dxa"/>
            </w:tcMar>
          </w:tcPr>
          <w:p w14:paraId="72302C84" w14:textId="77777777" w:rsidR="005F14E1" w:rsidRDefault="005F14E1" w:rsidP="005F14E1">
            <w:pPr>
              <w:tabs>
                <w:tab w:val="center" w:pos="3152"/>
              </w:tabs>
              <w:rPr>
                <w:rFonts w:cs="Arial"/>
                <w:sz w:val="16"/>
                <w:szCs w:val="16"/>
                <w:lang w:val="en-US"/>
              </w:rPr>
            </w:pPr>
            <w:r w:rsidRPr="001A3EEC">
              <w:rPr>
                <w:rFonts w:cs="Arial"/>
                <w:szCs w:val="19"/>
                <w:lang w:val="en-US"/>
              </w:rPr>
              <w:t>Breast cancer</w:t>
            </w:r>
            <w:r>
              <w:rPr>
                <w:rFonts w:cs="Arial"/>
                <w:szCs w:val="19"/>
                <w:lang w:val="en-US"/>
              </w:rPr>
              <w:t>,</w:t>
            </w:r>
            <w:r w:rsidRPr="001A3EEC">
              <w:rPr>
                <w:rFonts w:cs="Arial"/>
                <w:szCs w:val="19"/>
                <w:lang w:val="en-US"/>
              </w:rPr>
              <w:t xml:space="preserve"> hepatocellular carcinoma</w:t>
            </w:r>
            <w:r>
              <w:rPr>
                <w:rFonts w:cs="Arial"/>
                <w:szCs w:val="19"/>
                <w:lang w:val="en-US"/>
              </w:rPr>
              <w:t xml:space="preserve">, </w:t>
            </w:r>
            <w:r w:rsidRPr="001A3EEC">
              <w:rPr>
                <w:rFonts w:cs="Arial"/>
                <w:szCs w:val="19"/>
                <w:lang w:val="en-US"/>
              </w:rPr>
              <w:t>non-small cell lung cancer</w:t>
            </w:r>
            <w:r>
              <w:rPr>
                <w:rFonts w:cs="Arial"/>
                <w:szCs w:val="19"/>
                <w:lang w:val="en-US"/>
              </w:rPr>
              <w:t xml:space="preserve">, </w:t>
            </w:r>
            <w:r w:rsidRPr="001A3EEC">
              <w:rPr>
                <w:rFonts w:cs="Arial"/>
                <w:szCs w:val="19"/>
                <w:lang w:val="en-US"/>
              </w:rPr>
              <w:t xml:space="preserve">small cell lung </w:t>
            </w:r>
            <w:r>
              <w:rPr>
                <w:rFonts w:cs="Arial"/>
                <w:szCs w:val="19"/>
                <w:lang w:val="en-US"/>
              </w:rPr>
              <w:t>c</w:t>
            </w:r>
            <w:r w:rsidRPr="001A3EEC">
              <w:rPr>
                <w:rFonts w:cs="Arial"/>
                <w:szCs w:val="19"/>
                <w:lang w:val="en-US"/>
              </w:rPr>
              <w:t>ancer</w:t>
            </w:r>
            <w:r>
              <w:rPr>
                <w:rFonts w:cs="Arial"/>
                <w:szCs w:val="19"/>
                <w:lang w:val="en-US"/>
              </w:rPr>
              <w:t xml:space="preserve"> and u</w:t>
            </w:r>
            <w:r w:rsidRPr="001A3EEC">
              <w:rPr>
                <w:rFonts w:cs="Arial"/>
                <w:szCs w:val="19"/>
                <w:lang w:val="en-US"/>
              </w:rPr>
              <w:t>rothelial carcinoma</w:t>
            </w:r>
            <w:r>
              <w:rPr>
                <w:rFonts w:cs="Arial"/>
                <w:szCs w:val="19"/>
                <w:lang w:val="en-US"/>
              </w:rPr>
              <w:t xml:space="preserve"> </w:t>
            </w:r>
            <w:r w:rsidRPr="001A3EEC">
              <w:rPr>
                <w:rFonts w:cs="Arial"/>
                <w:sz w:val="16"/>
                <w:szCs w:val="16"/>
                <w:lang w:val="en-US"/>
              </w:rPr>
              <w:t>[</w:t>
            </w:r>
            <w:r>
              <w:rPr>
                <w:rFonts w:cs="Arial"/>
                <w:sz w:val="16"/>
                <w:szCs w:val="16"/>
                <w:lang w:val="en-US"/>
              </w:rPr>
              <w:t>EU] [</w:t>
            </w:r>
            <w:r w:rsidRPr="001A3EEC">
              <w:rPr>
                <w:rFonts w:cs="Arial"/>
                <w:sz w:val="16"/>
                <w:szCs w:val="16"/>
                <w:lang w:val="en-US"/>
              </w:rPr>
              <w:t>new subcutaneous formulation]</w:t>
            </w:r>
            <w:r>
              <w:rPr>
                <w:rFonts w:cs="Arial"/>
                <w:sz w:val="16"/>
                <w:szCs w:val="16"/>
                <w:lang w:val="en-US"/>
              </w:rPr>
              <w:t xml:space="preserve"> </w:t>
            </w:r>
          </w:p>
          <w:p w14:paraId="16DBEC30" w14:textId="0E6FCDA0" w:rsidR="005F14E1" w:rsidRPr="00A075A3" w:rsidRDefault="005F14E1" w:rsidP="005F14E1">
            <w:pPr>
              <w:tabs>
                <w:tab w:val="center" w:pos="3152"/>
              </w:tabs>
              <w:rPr>
                <w:rFonts w:cs="Arial"/>
                <w:szCs w:val="19"/>
                <w:lang w:val="en-US"/>
              </w:rPr>
            </w:pPr>
            <w:r w:rsidRPr="0041138B">
              <w:rPr>
                <w:rFonts w:cs="Arial"/>
                <w:i/>
                <w:iCs/>
                <w:sz w:val="16"/>
                <w:szCs w:val="16"/>
                <w:lang w:val="en-US"/>
              </w:rPr>
              <w:t>Note: Already approved in the UK</w:t>
            </w:r>
          </w:p>
        </w:tc>
      </w:tr>
      <w:tr w:rsidR="007B0B8B" w:rsidRPr="00A075A3" w14:paraId="5C896444" w14:textId="77777777" w:rsidTr="008C10C8">
        <w:tc>
          <w:tcPr>
            <w:tcW w:w="1293" w:type="pct"/>
            <w:gridSpan w:val="2"/>
            <w:shd w:val="clear" w:color="auto" w:fill="auto"/>
            <w:tcMar>
              <w:top w:w="57" w:type="dxa"/>
              <w:bottom w:w="57" w:type="dxa"/>
            </w:tcMar>
          </w:tcPr>
          <w:p w14:paraId="7AF80775" w14:textId="53D96E69" w:rsidR="007B0B8B" w:rsidRPr="006877E7" w:rsidRDefault="007B0B8B" w:rsidP="007B0B8B">
            <w:pPr>
              <w:rPr>
                <w:rFonts w:cs="Arial"/>
                <w:szCs w:val="19"/>
              </w:rPr>
            </w:pPr>
            <w:proofErr w:type="spellStart"/>
            <w:r>
              <w:rPr>
                <w:rFonts w:cs="Arial"/>
                <w:szCs w:val="19"/>
              </w:rPr>
              <w:t>Avapritinib</w:t>
            </w:r>
            <w:proofErr w:type="spellEnd"/>
            <w:r>
              <w:rPr>
                <w:rFonts w:cs="Arial"/>
                <w:szCs w:val="19"/>
              </w:rPr>
              <w:t xml:space="preserve"> (</w:t>
            </w:r>
            <w:proofErr w:type="spellStart"/>
            <w:r w:rsidRPr="007E60D0">
              <w:rPr>
                <w:rFonts w:cs="Arial"/>
                <w:i/>
                <w:iCs/>
                <w:szCs w:val="19"/>
              </w:rPr>
              <w:t>Ayvakyt</w:t>
            </w:r>
            <w:proofErr w:type="spellEnd"/>
            <w:r>
              <w:rPr>
                <w:rFonts w:cs="Arial"/>
                <w:szCs w:val="19"/>
              </w:rPr>
              <w:t>)</w:t>
            </w:r>
          </w:p>
        </w:tc>
        <w:tc>
          <w:tcPr>
            <w:tcW w:w="3707" w:type="pct"/>
            <w:shd w:val="clear" w:color="auto" w:fill="auto"/>
            <w:tcMar>
              <w:top w:w="57" w:type="dxa"/>
              <w:bottom w:w="57" w:type="dxa"/>
            </w:tcMar>
          </w:tcPr>
          <w:p w14:paraId="1842FA4F" w14:textId="576D822B" w:rsidR="007B0B8B" w:rsidRPr="001A3EEC" w:rsidRDefault="007B0B8B" w:rsidP="007B0B8B">
            <w:pPr>
              <w:tabs>
                <w:tab w:val="center" w:pos="3152"/>
              </w:tabs>
              <w:rPr>
                <w:rFonts w:cs="Arial"/>
                <w:szCs w:val="19"/>
                <w:lang w:val="en-US"/>
              </w:rPr>
            </w:pPr>
            <w:r w:rsidRPr="007E60D0">
              <w:rPr>
                <w:rFonts w:cs="Arial"/>
                <w:szCs w:val="19"/>
                <w:lang w:val="en-US"/>
              </w:rPr>
              <w:t xml:space="preserve">Treatment of adults with indolent systemic </w:t>
            </w:r>
            <w:proofErr w:type="spellStart"/>
            <w:r w:rsidRPr="007E60D0">
              <w:rPr>
                <w:rFonts w:cs="Arial"/>
                <w:szCs w:val="19"/>
                <w:lang w:val="en-US"/>
              </w:rPr>
              <w:t>mastocytosis</w:t>
            </w:r>
            <w:proofErr w:type="spellEnd"/>
            <w:r w:rsidRPr="007E60D0">
              <w:rPr>
                <w:rFonts w:cs="Arial"/>
                <w:szCs w:val="19"/>
                <w:lang w:val="en-US"/>
              </w:rPr>
              <w:t xml:space="preserve"> with moderate to severe symptoms inadequately controlled on symptomatic treatment</w:t>
            </w:r>
            <w:r>
              <w:rPr>
                <w:rFonts w:cs="Arial"/>
                <w:szCs w:val="19"/>
                <w:lang w:val="en-US"/>
              </w:rPr>
              <w:t xml:space="preserve"> </w:t>
            </w:r>
            <w:r w:rsidRPr="007E60D0">
              <w:rPr>
                <w:rFonts w:cs="Arial"/>
                <w:sz w:val="16"/>
                <w:szCs w:val="16"/>
                <w:lang w:val="en-US"/>
              </w:rPr>
              <w:t>[EU] [new indication]</w:t>
            </w:r>
          </w:p>
        </w:tc>
      </w:tr>
      <w:tr w:rsidR="007B0B8B" w:rsidRPr="00A075A3" w14:paraId="6E280660" w14:textId="77777777" w:rsidTr="008C10C8">
        <w:tc>
          <w:tcPr>
            <w:tcW w:w="1293" w:type="pct"/>
            <w:gridSpan w:val="2"/>
            <w:shd w:val="clear" w:color="auto" w:fill="auto"/>
            <w:tcMar>
              <w:top w:w="57" w:type="dxa"/>
              <w:bottom w:w="57" w:type="dxa"/>
            </w:tcMar>
          </w:tcPr>
          <w:p w14:paraId="1DD86E0E" w14:textId="1F27852A" w:rsidR="007B0B8B" w:rsidRPr="006877E7" w:rsidRDefault="007B0B8B" w:rsidP="007B0B8B">
            <w:pPr>
              <w:rPr>
                <w:rFonts w:cs="Arial"/>
                <w:szCs w:val="19"/>
              </w:rPr>
            </w:pPr>
            <w:r w:rsidRPr="00ED719F">
              <w:rPr>
                <w:rFonts w:cs="Arial"/>
                <w:szCs w:val="19"/>
              </w:rPr>
              <w:t>Concentrate of proteolytic enzymes enriched in bromelain</w:t>
            </w:r>
            <w:r>
              <w:rPr>
                <w:rFonts w:cs="Arial"/>
                <w:szCs w:val="19"/>
              </w:rPr>
              <w:t xml:space="preserve"> (</w:t>
            </w:r>
            <w:proofErr w:type="spellStart"/>
            <w:r>
              <w:rPr>
                <w:rFonts w:cs="Arial"/>
                <w:i/>
                <w:iCs/>
                <w:szCs w:val="19"/>
              </w:rPr>
              <w:t>NexoBrid</w:t>
            </w:r>
            <w:proofErr w:type="spellEnd"/>
            <w:r>
              <w:rPr>
                <w:rFonts w:cs="Arial"/>
                <w:szCs w:val="19"/>
              </w:rPr>
              <w:t>)</w:t>
            </w:r>
          </w:p>
        </w:tc>
        <w:tc>
          <w:tcPr>
            <w:tcW w:w="3707" w:type="pct"/>
            <w:shd w:val="clear" w:color="auto" w:fill="auto"/>
            <w:tcMar>
              <w:top w:w="57" w:type="dxa"/>
              <w:bottom w:w="57" w:type="dxa"/>
            </w:tcMar>
          </w:tcPr>
          <w:p w14:paraId="1302D167" w14:textId="4A2C520E" w:rsidR="007B0B8B" w:rsidRPr="001A3EEC" w:rsidRDefault="007B0B8B" w:rsidP="007B0B8B">
            <w:pPr>
              <w:tabs>
                <w:tab w:val="center" w:pos="3152"/>
              </w:tabs>
              <w:rPr>
                <w:rFonts w:cs="Arial"/>
                <w:szCs w:val="19"/>
                <w:lang w:val="en-US"/>
              </w:rPr>
            </w:pPr>
            <w:r>
              <w:rPr>
                <w:rFonts w:cs="Arial"/>
                <w:szCs w:val="19"/>
                <w:lang w:val="en-US"/>
              </w:rPr>
              <w:t xml:space="preserve">Use </w:t>
            </w:r>
            <w:r w:rsidRPr="00ED719F">
              <w:rPr>
                <w:rFonts w:cs="Arial"/>
                <w:szCs w:val="19"/>
                <w:lang w:val="en-US"/>
              </w:rPr>
              <w:t>in all age groups for removal of eschar in patients with deep partial- and full-thickness thermal burns</w:t>
            </w:r>
            <w:r>
              <w:rPr>
                <w:rFonts w:cs="Arial"/>
                <w:szCs w:val="19"/>
                <w:lang w:val="en-US"/>
              </w:rPr>
              <w:t xml:space="preserve"> </w:t>
            </w:r>
            <w:r w:rsidRPr="00C26A13">
              <w:rPr>
                <w:rFonts w:cs="Arial"/>
                <w:sz w:val="16"/>
                <w:szCs w:val="16"/>
                <w:lang w:val="en-US"/>
              </w:rPr>
              <w:t>[EU] [licence change from use only in adults]</w:t>
            </w:r>
          </w:p>
        </w:tc>
      </w:tr>
      <w:tr w:rsidR="007B0B8B" w:rsidRPr="00A075A3" w14:paraId="4F55F72B" w14:textId="77777777" w:rsidTr="008C10C8">
        <w:tc>
          <w:tcPr>
            <w:tcW w:w="1293" w:type="pct"/>
            <w:gridSpan w:val="2"/>
            <w:shd w:val="clear" w:color="auto" w:fill="auto"/>
            <w:tcMar>
              <w:top w:w="57" w:type="dxa"/>
              <w:bottom w:w="57" w:type="dxa"/>
            </w:tcMar>
          </w:tcPr>
          <w:p w14:paraId="7C468930" w14:textId="2154CCF6" w:rsidR="007B0B8B" w:rsidRPr="006877E7" w:rsidRDefault="007B0B8B" w:rsidP="007B0B8B">
            <w:pPr>
              <w:rPr>
                <w:rFonts w:cs="Arial"/>
                <w:szCs w:val="19"/>
              </w:rPr>
            </w:pPr>
            <w:r>
              <w:rPr>
                <w:rFonts w:cs="Arial"/>
                <w:szCs w:val="19"/>
              </w:rPr>
              <w:t>Dabigatran (</w:t>
            </w:r>
            <w:r>
              <w:rPr>
                <w:rFonts w:cs="Arial"/>
                <w:i/>
                <w:iCs/>
                <w:szCs w:val="19"/>
              </w:rPr>
              <w:t>Pradaxa</w:t>
            </w:r>
            <w:r>
              <w:rPr>
                <w:rFonts w:cs="Arial"/>
                <w:szCs w:val="19"/>
              </w:rPr>
              <w:t>)</w:t>
            </w:r>
          </w:p>
        </w:tc>
        <w:tc>
          <w:tcPr>
            <w:tcW w:w="3707" w:type="pct"/>
            <w:shd w:val="clear" w:color="auto" w:fill="auto"/>
            <w:tcMar>
              <w:top w:w="57" w:type="dxa"/>
              <w:bottom w:w="57" w:type="dxa"/>
            </w:tcMar>
          </w:tcPr>
          <w:p w14:paraId="3909FDAF" w14:textId="4D47C618" w:rsidR="007B0B8B" w:rsidRPr="001A3EEC" w:rsidRDefault="007B0B8B" w:rsidP="007B0B8B">
            <w:pPr>
              <w:tabs>
                <w:tab w:val="center" w:pos="3152"/>
              </w:tabs>
              <w:rPr>
                <w:rFonts w:cs="Arial"/>
                <w:szCs w:val="19"/>
                <w:lang w:val="en-US"/>
              </w:rPr>
            </w:pPr>
            <w:r w:rsidRPr="0057694C">
              <w:rPr>
                <w:rFonts w:cs="Arial"/>
                <w:szCs w:val="19"/>
                <w:lang w:val="en-US"/>
              </w:rPr>
              <w:t xml:space="preserve">Treatment of </w:t>
            </w:r>
            <w:r>
              <w:rPr>
                <w:rFonts w:cs="Arial"/>
                <w:szCs w:val="19"/>
                <w:lang w:val="en-US"/>
              </w:rPr>
              <w:t>venous thromboembolism (</w:t>
            </w:r>
            <w:r w:rsidRPr="0057694C">
              <w:rPr>
                <w:rFonts w:cs="Arial"/>
                <w:szCs w:val="19"/>
                <w:lang w:val="en-US"/>
              </w:rPr>
              <w:t>VTE</w:t>
            </w:r>
            <w:r>
              <w:rPr>
                <w:rFonts w:cs="Arial"/>
                <w:szCs w:val="19"/>
                <w:lang w:val="en-US"/>
              </w:rPr>
              <w:t>)</w:t>
            </w:r>
            <w:r w:rsidRPr="0057694C">
              <w:rPr>
                <w:rFonts w:cs="Arial"/>
                <w:szCs w:val="19"/>
                <w:lang w:val="en-US"/>
              </w:rPr>
              <w:t xml:space="preserve"> and prevention of recurrent VTE in paediatric patients from the time the child </w:t>
            </w:r>
            <w:proofErr w:type="gramStart"/>
            <w:r w:rsidRPr="0057694C">
              <w:rPr>
                <w:rFonts w:cs="Arial"/>
                <w:szCs w:val="19"/>
                <w:lang w:val="en-US"/>
              </w:rPr>
              <w:t>is able to</w:t>
            </w:r>
            <w:proofErr w:type="gramEnd"/>
            <w:r w:rsidRPr="0057694C">
              <w:rPr>
                <w:rFonts w:cs="Arial"/>
                <w:szCs w:val="19"/>
                <w:lang w:val="en-US"/>
              </w:rPr>
              <w:t xml:space="preserve"> swallow soft food to </w:t>
            </w:r>
            <w:r>
              <w:rPr>
                <w:rFonts w:cs="Arial"/>
                <w:szCs w:val="19"/>
                <w:lang w:val="en-US"/>
              </w:rPr>
              <w:t>&lt;</w:t>
            </w:r>
            <w:r w:rsidRPr="0057694C">
              <w:rPr>
                <w:rFonts w:cs="Arial"/>
                <w:szCs w:val="19"/>
                <w:lang w:val="en-US"/>
              </w:rPr>
              <w:t>18 years of age</w:t>
            </w:r>
            <w:r>
              <w:rPr>
                <w:rFonts w:cs="Arial"/>
                <w:szCs w:val="19"/>
                <w:lang w:val="en-US"/>
              </w:rPr>
              <w:t xml:space="preserve"> </w:t>
            </w:r>
            <w:r w:rsidRPr="0057694C">
              <w:rPr>
                <w:rFonts w:cs="Arial"/>
                <w:sz w:val="16"/>
                <w:szCs w:val="16"/>
                <w:lang w:val="en-US"/>
              </w:rPr>
              <w:t>[EU] [licence change from use from birth and removal of the powder and solvent for oral solution formulation]</w:t>
            </w:r>
          </w:p>
        </w:tc>
      </w:tr>
      <w:tr w:rsidR="007B0B8B" w:rsidRPr="00A075A3" w14:paraId="2C8E0B7A" w14:textId="77777777" w:rsidTr="008C10C8">
        <w:tc>
          <w:tcPr>
            <w:tcW w:w="1293" w:type="pct"/>
            <w:gridSpan w:val="2"/>
            <w:shd w:val="clear" w:color="auto" w:fill="auto"/>
            <w:tcMar>
              <w:top w:w="57" w:type="dxa"/>
              <w:bottom w:w="57" w:type="dxa"/>
            </w:tcMar>
          </w:tcPr>
          <w:p w14:paraId="2FF8093C" w14:textId="5587608F" w:rsidR="007B0B8B" w:rsidRPr="006877E7" w:rsidRDefault="007B0B8B" w:rsidP="007B0B8B">
            <w:pPr>
              <w:rPr>
                <w:rFonts w:cs="Arial"/>
                <w:szCs w:val="19"/>
              </w:rPr>
            </w:pPr>
            <w:r w:rsidRPr="00C26A13">
              <w:rPr>
                <w:rFonts w:cs="Arial"/>
                <w:szCs w:val="19"/>
              </w:rPr>
              <w:t>Empagliflozin</w:t>
            </w:r>
            <w:r>
              <w:rPr>
                <w:rFonts w:cs="Arial"/>
                <w:szCs w:val="19"/>
              </w:rPr>
              <w:t xml:space="preserve"> (</w:t>
            </w:r>
            <w:r>
              <w:rPr>
                <w:rFonts w:cs="Arial"/>
                <w:i/>
                <w:iCs/>
                <w:szCs w:val="19"/>
              </w:rPr>
              <w:t>Jardiance</w:t>
            </w:r>
            <w:r>
              <w:rPr>
                <w:rFonts w:cs="Arial"/>
                <w:szCs w:val="19"/>
              </w:rPr>
              <w:t>)</w:t>
            </w:r>
          </w:p>
        </w:tc>
        <w:tc>
          <w:tcPr>
            <w:tcW w:w="3707" w:type="pct"/>
            <w:shd w:val="clear" w:color="auto" w:fill="auto"/>
            <w:tcMar>
              <w:top w:w="57" w:type="dxa"/>
              <w:bottom w:w="57" w:type="dxa"/>
            </w:tcMar>
          </w:tcPr>
          <w:p w14:paraId="598709C1" w14:textId="1C8C7498" w:rsidR="007B0B8B" w:rsidRPr="001A3EEC" w:rsidRDefault="007B0B8B" w:rsidP="007B0B8B">
            <w:pPr>
              <w:tabs>
                <w:tab w:val="center" w:pos="3152"/>
              </w:tabs>
              <w:rPr>
                <w:rFonts w:cs="Arial"/>
                <w:szCs w:val="19"/>
                <w:lang w:val="en-US"/>
              </w:rPr>
            </w:pPr>
            <w:r w:rsidRPr="00C26A13">
              <w:rPr>
                <w:rFonts w:cs="Arial"/>
                <w:szCs w:val="19"/>
                <w:lang w:val="en-US"/>
              </w:rPr>
              <w:t xml:space="preserve">Use in adults and children aged </w:t>
            </w:r>
            <w:r>
              <w:rPr>
                <w:rFonts w:cs="Arial"/>
                <w:szCs w:val="19"/>
                <w:lang w:val="en-US"/>
              </w:rPr>
              <w:t>≥</w:t>
            </w:r>
            <w:r w:rsidRPr="00C26A13">
              <w:rPr>
                <w:rFonts w:cs="Arial"/>
                <w:szCs w:val="19"/>
                <w:lang w:val="en-US"/>
              </w:rPr>
              <w:t>10 years</w:t>
            </w:r>
            <w:r>
              <w:rPr>
                <w:rFonts w:cs="Arial"/>
                <w:szCs w:val="19"/>
                <w:lang w:val="en-US"/>
              </w:rPr>
              <w:t xml:space="preserve"> </w:t>
            </w:r>
            <w:r w:rsidRPr="00C26A13">
              <w:rPr>
                <w:rFonts w:cs="Arial"/>
                <w:szCs w:val="19"/>
                <w:lang w:val="en-US"/>
              </w:rPr>
              <w:t>for treatment of insufficiently controlled type 2 diabetes mellitus as an adjunct to diet and exercise</w:t>
            </w:r>
            <w:r>
              <w:rPr>
                <w:rFonts w:cs="Arial"/>
                <w:szCs w:val="19"/>
                <w:lang w:val="en-US"/>
              </w:rPr>
              <w:t>,</w:t>
            </w:r>
            <w:r w:rsidRPr="00C26A13">
              <w:rPr>
                <w:rFonts w:cs="Arial"/>
                <w:szCs w:val="19"/>
                <w:lang w:val="en-US"/>
              </w:rPr>
              <w:t xml:space="preserve"> as monotherapy when metformin is considered inappropriate due to intolerance</w:t>
            </w:r>
            <w:r>
              <w:rPr>
                <w:rFonts w:cs="Arial"/>
                <w:szCs w:val="19"/>
                <w:lang w:val="en-US"/>
              </w:rPr>
              <w:t xml:space="preserve"> or</w:t>
            </w:r>
            <w:r w:rsidRPr="00C26A13">
              <w:rPr>
                <w:rFonts w:cs="Arial"/>
                <w:szCs w:val="19"/>
                <w:lang w:val="en-US"/>
              </w:rPr>
              <w:t xml:space="preserve"> in addition to other medicinal products for the treatment of diabetes</w:t>
            </w:r>
            <w:r>
              <w:rPr>
                <w:rFonts w:cs="Arial"/>
                <w:szCs w:val="19"/>
                <w:lang w:val="en-US"/>
              </w:rPr>
              <w:t xml:space="preserve"> </w:t>
            </w:r>
            <w:r w:rsidRPr="00C26A13">
              <w:rPr>
                <w:rFonts w:cs="Arial"/>
                <w:sz w:val="16"/>
                <w:szCs w:val="16"/>
                <w:lang w:val="en-US"/>
              </w:rPr>
              <w:t>[EU] [licence change from use only in adults]</w:t>
            </w:r>
          </w:p>
        </w:tc>
      </w:tr>
      <w:tr w:rsidR="00B929D8" w:rsidRPr="00A075A3" w14:paraId="58C920FA" w14:textId="77777777" w:rsidTr="008C10C8">
        <w:tc>
          <w:tcPr>
            <w:tcW w:w="1293" w:type="pct"/>
            <w:gridSpan w:val="2"/>
            <w:shd w:val="clear" w:color="auto" w:fill="auto"/>
            <w:tcMar>
              <w:top w:w="57" w:type="dxa"/>
              <w:bottom w:w="57" w:type="dxa"/>
            </w:tcMar>
          </w:tcPr>
          <w:p w14:paraId="221A0E46" w14:textId="1F63A4EF" w:rsidR="00B929D8" w:rsidRPr="00B929D8" w:rsidRDefault="00B929D8" w:rsidP="007B0B8B">
            <w:pPr>
              <w:rPr>
                <w:rFonts w:cs="Arial"/>
                <w:szCs w:val="19"/>
              </w:rPr>
            </w:pPr>
            <w:proofErr w:type="spellStart"/>
            <w:r>
              <w:rPr>
                <w:rFonts w:cs="Arial"/>
                <w:szCs w:val="19"/>
              </w:rPr>
              <w:t>Evinacumab</w:t>
            </w:r>
            <w:proofErr w:type="spellEnd"/>
            <w:r>
              <w:rPr>
                <w:rFonts w:cs="Arial"/>
                <w:szCs w:val="19"/>
              </w:rPr>
              <w:t xml:space="preserve"> (</w:t>
            </w:r>
            <w:proofErr w:type="spellStart"/>
            <w:r>
              <w:rPr>
                <w:rFonts w:cs="Arial"/>
                <w:i/>
                <w:iCs/>
                <w:szCs w:val="19"/>
              </w:rPr>
              <w:t>Evkeeza</w:t>
            </w:r>
            <w:proofErr w:type="spellEnd"/>
            <w:r>
              <w:rPr>
                <w:rFonts w:cs="Arial"/>
                <w:szCs w:val="19"/>
              </w:rPr>
              <w:t>)</w:t>
            </w:r>
          </w:p>
        </w:tc>
        <w:tc>
          <w:tcPr>
            <w:tcW w:w="3707" w:type="pct"/>
            <w:shd w:val="clear" w:color="auto" w:fill="auto"/>
            <w:tcMar>
              <w:top w:w="57" w:type="dxa"/>
              <w:bottom w:w="57" w:type="dxa"/>
            </w:tcMar>
          </w:tcPr>
          <w:p w14:paraId="5CA248A1" w14:textId="5361BAB8" w:rsidR="00B929D8" w:rsidRPr="004D6BC7" w:rsidRDefault="00B929D8" w:rsidP="007B0B8B">
            <w:pPr>
              <w:tabs>
                <w:tab w:val="center" w:pos="3152"/>
              </w:tabs>
              <w:rPr>
                <w:rFonts w:cs="Arial"/>
                <w:szCs w:val="19"/>
                <w:lang w:val="en-US"/>
              </w:rPr>
            </w:pPr>
            <w:r>
              <w:rPr>
                <w:rFonts w:cs="Arial"/>
                <w:szCs w:val="19"/>
                <w:lang w:val="en-US"/>
              </w:rPr>
              <w:t xml:space="preserve">Use </w:t>
            </w:r>
            <w:r w:rsidRPr="00B929D8">
              <w:rPr>
                <w:rFonts w:cs="Arial"/>
                <w:szCs w:val="19"/>
                <w:lang w:val="en-US"/>
              </w:rPr>
              <w:t xml:space="preserve">as an adjunct to diet and other low-density lipoprotein-cholesterol lowering therapies for treatment of adult and paediatric patients aged </w:t>
            </w:r>
            <w:r>
              <w:rPr>
                <w:rFonts w:cs="Arial"/>
                <w:szCs w:val="19"/>
                <w:lang w:val="en-US"/>
              </w:rPr>
              <w:t>≥</w:t>
            </w:r>
            <w:r w:rsidRPr="00B929D8">
              <w:rPr>
                <w:rFonts w:cs="Arial"/>
                <w:szCs w:val="19"/>
                <w:lang w:val="en-US"/>
              </w:rPr>
              <w:t>5 years with homozygous familial hypercholesterolaemia</w:t>
            </w:r>
            <w:r>
              <w:rPr>
                <w:rFonts w:cs="Arial"/>
                <w:szCs w:val="19"/>
                <w:lang w:val="en-US"/>
              </w:rPr>
              <w:t xml:space="preserve"> </w:t>
            </w:r>
            <w:r w:rsidRPr="00C26A13">
              <w:rPr>
                <w:rFonts w:cs="Arial"/>
                <w:sz w:val="16"/>
                <w:szCs w:val="16"/>
                <w:lang w:val="en-US"/>
              </w:rPr>
              <w:t>[EU] [licence change from use only in adults</w:t>
            </w:r>
            <w:r>
              <w:rPr>
                <w:rFonts w:cs="Arial"/>
                <w:sz w:val="16"/>
                <w:szCs w:val="16"/>
                <w:lang w:val="en-US"/>
              </w:rPr>
              <w:t xml:space="preserve"> and children aged ≥12 years</w:t>
            </w:r>
            <w:r w:rsidRPr="00C26A13">
              <w:rPr>
                <w:rFonts w:cs="Arial"/>
                <w:sz w:val="16"/>
                <w:szCs w:val="16"/>
                <w:lang w:val="en-US"/>
              </w:rPr>
              <w:t>]</w:t>
            </w:r>
          </w:p>
        </w:tc>
      </w:tr>
      <w:tr w:rsidR="007B0B8B" w:rsidRPr="00A075A3" w14:paraId="3BB443C9" w14:textId="77777777" w:rsidTr="008C10C8">
        <w:tc>
          <w:tcPr>
            <w:tcW w:w="1293" w:type="pct"/>
            <w:gridSpan w:val="2"/>
            <w:shd w:val="clear" w:color="auto" w:fill="auto"/>
            <w:tcMar>
              <w:top w:w="57" w:type="dxa"/>
              <w:bottom w:w="57" w:type="dxa"/>
            </w:tcMar>
          </w:tcPr>
          <w:p w14:paraId="77933CCF" w14:textId="77777777" w:rsidR="00B929D8" w:rsidRDefault="007B0B8B" w:rsidP="007B0B8B">
            <w:pPr>
              <w:rPr>
                <w:rFonts w:cs="Arial"/>
                <w:szCs w:val="19"/>
              </w:rPr>
            </w:pPr>
            <w:r>
              <w:rPr>
                <w:rFonts w:cs="Arial"/>
                <w:szCs w:val="19"/>
              </w:rPr>
              <w:t xml:space="preserve">Influenza vaccine </w:t>
            </w:r>
          </w:p>
          <w:p w14:paraId="605B2368" w14:textId="0E3A8F2C" w:rsidR="007B0B8B" w:rsidRPr="006877E7" w:rsidRDefault="007B0B8B" w:rsidP="007B0B8B">
            <w:pPr>
              <w:rPr>
                <w:rFonts w:cs="Arial"/>
                <w:szCs w:val="19"/>
              </w:rPr>
            </w:pPr>
            <w:r>
              <w:rPr>
                <w:rFonts w:cs="Arial"/>
                <w:szCs w:val="19"/>
              </w:rPr>
              <w:t>(</w:t>
            </w:r>
            <w:proofErr w:type="spellStart"/>
            <w:r>
              <w:rPr>
                <w:rFonts w:cs="Arial"/>
                <w:i/>
                <w:iCs/>
                <w:szCs w:val="19"/>
              </w:rPr>
              <w:t>Fluad</w:t>
            </w:r>
            <w:proofErr w:type="spellEnd"/>
            <w:r>
              <w:rPr>
                <w:rFonts w:cs="Arial"/>
                <w:i/>
                <w:iCs/>
                <w:szCs w:val="19"/>
              </w:rPr>
              <w:t xml:space="preserve"> Tetra</w:t>
            </w:r>
            <w:r>
              <w:rPr>
                <w:rFonts w:cs="Arial"/>
                <w:szCs w:val="19"/>
              </w:rPr>
              <w:t>)</w:t>
            </w:r>
          </w:p>
        </w:tc>
        <w:tc>
          <w:tcPr>
            <w:tcW w:w="3707" w:type="pct"/>
            <w:shd w:val="clear" w:color="auto" w:fill="auto"/>
            <w:tcMar>
              <w:top w:w="57" w:type="dxa"/>
              <w:bottom w:w="57" w:type="dxa"/>
            </w:tcMar>
          </w:tcPr>
          <w:p w14:paraId="314390EA" w14:textId="77777777" w:rsidR="00120ADD" w:rsidRDefault="007B0B8B" w:rsidP="00120ADD">
            <w:pPr>
              <w:tabs>
                <w:tab w:val="center" w:pos="3152"/>
              </w:tabs>
              <w:rPr>
                <w:rFonts w:cs="Arial"/>
                <w:sz w:val="16"/>
                <w:szCs w:val="16"/>
                <w:lang w:val="en-US"/>
              </w:rPr>
            </w:pPr>
            <w:r w:rsidRPr="004D6BC7">
              <w:rPr>
                <w:rFonts w:cs="Arial"/>
                <w:szCs w:val="19"/>
                <w:lang w:val="en-US"/>
              </w:rPr>
              <w:t xml:space="preserve">Prophylaxis of influenza in adults </w:t>
            </w:r>
            <w:r>
              <w:rPr>
                <w:rFonts w:cs="Arial"/>
                <w:szCs w:val="19"/>
                <w:lang w:val="en-US"/>
              </w:rPr>
              <w:t>aged ≥</w:t>
            </w:r>
            <w:r w:rsidRPr="004D6BC7">
              <w:rPr>
                <w:rFonts w:cs="Arial"/>
                <w:szCs w:val="19"/>
                <w:lang w:val="en-US"/>
              </w:rPr>
              <w:t xml:space="preserve">50 </w:t>
            </w:r>
            <w:r w:rsidRPr="004D6BC7">
              <w:rPr>
                <w:rFonts w:cs="Arial"/>
                <w:sz w:val="16"/>
                <w:szCs w:val="16"/>
                <w:lang w:val="en-US"/>
              </w:rPr>
              <w:t xml:space="preserve">years [EU] </w:t>
            </w:r>
          </w:p>
          <w:p w14:paraId="236A2FB0" w14:textId="5B5043BD" w:rsidR="007B0B8B" w:rsidRPr="001A3EEC" w:rsidRDefault="007B0B8B" w:rsidP="00120ADD">
            <w:pPr>
              <w:tabs>
                <w:tab w:val="center" w:pos="3152"/>
              </w:tabs>
              <w:rPr>
                <w:rFonts w:cs="Arial"/>
                <w:szCs w:val="19"/>
                <w:lang w:val="en-US"/>
              </w:rPr>
            </w:pPr>
            <w:r w:rsidRPr="004D6BC7">
              <w:rPr>
                <w:rFonts w:cs="Arial"/>
                <w:sz w:val="16"/>
                <w:szCs w:val="16"/>
                <w:lang w:val="en-US"/>
              </w:rPr>
              <w:t>[licence change from use only in adults aged ≥65 years]</w:t>
            </w:r>
          </w:p>
        </w:tc>
      </w:tr>
      <w:tr w:rsidR="007B0B8B" w:rsidRPr="00A075A3" w14:paraId="6CED9B27" w14:textId="77777777" w:rsidTr="008C10C8">
        <w:tc>
          <w:tcPr>
            <w:tcW w:w="1293" w:type="pct"/>
            <w:gridSpan w:val="2"/>
            <w:shd w:val="clear" w:color="auto" w:fill="auto"/>
            <w:tcMar>
              <w:top w:w="57" w:type="dxa"/>
              <w:bottom w:w="57" w:type="dxa"/>
            </w:tcMar>
          </w:tcPr>
          <w:p w14:paraId="0D994F7D" w14:textId="66CB5D64" w:rsidR="007B0B8B" w:rsidRPr="006877E7" w:rsidRDefault="007B0B8B" w:rsidP="007B0B8B">
            <w:pPr>
              <w:rPr>
                <w:rFonts w:cs="Arial"/>
                <w:szCs w:val="19"/>
              </w:rPr>
            </w:pPr>
            <w:proofErr w:type="spellStart"/>
            <w:r>
              <w:rPr>
                <w:rFonts w:cs="Arial"/>
                <w:szCs w:val="19"/>
              </w:rPr>
              <w:t>Momelotinib</w:t>
            </w:r>
            <w:proofErr w:type="spellEnd"/>
            <w:r>
              <w:rPr>
                <w:rFonts w:cs="Arial"/>
                <w:szCs w:val="19"/>
              </w:rPr>
              <w:t xml:space="preserve"> (</w:t>
            </w:r>
            <w:proofErr w:type="spellStart"/>
            <w:r>
              <w:rPr>
                <w:rFonts w:cs="Arial"/>
                <w:i/>
                <w:iCs/>
                <w:szCs w:val="19"/>
              </w:rPr>
              <w:t>Omjjara</w:t>
            </w:r>
            <w:proofErr w:type="spellEnd"/>
            <w:r>
              <w:rPr>
                <w:rFonts w:cs="Arial"/>
                <w:szCs w:val="19"/>
              </w:rPr>
              <w:t>)</w:t>
            </w:r>
          </w:p>
        </w:tc>
        <w:tc>
          <w:tcPr>
            <w:tcW w:w="3707" w:type="pct"/>
            <w:shd w:val="clear" w:color="auto" w:fill="auto"/>
            <w:tcMar>
              <w:top w:w="57" w:type="dxa"/>
              <w:bottom w:w="57" w:type="dxa"/>
            </w:tcMar>
          </w:tcPr>
          <w:p w14:paraId="4D8B1D3D" w14:textId="22CAA636" w:rsidR="007B0B8B" w:rsidRPr="001A3EEC" w:rsidRDefault="007B0B8B" w:rsidP="007B0B8B">
            <w:pPr>
              <w:tabs>
                <w:tab w:val="center" w:pos="3152"/>
              </w:tabs>
              <w:rPr>
                <w:rFonts w:cs="Arial"/>
                <w:szCs w:val="19"/>
                <w:lang w:val="en-US"/>
              </w:rPr>
            </w:pPr>
            <w:r w:rsidRPr="00D240D5">
              <w:rPr>
                <w:rFonts w:cs="Arial"/>
                <w:szCs w:val="19"/>
                <w:lang w:val="en-US"/>
              </w:rPr>
              <w:t xml:space="preserve">Treatment of disease-related splenomegaly or symptoms in adults with moderate to severe anaemia who have primary myelofibrosis, post </w:t>
            </w:r>
            <w:proofErr w:type="spellStart"/>
            <w:r w:rsidRPr="00D240D5">
              <w:rPr>
                <w:rFonts w:cs="Arial"/>
                <w:szCs w:val="19"/>
                <w:lang w:val="en-US"/>
              </w:rPr>
              <w:t>polycythaemia</w:t>
            </w:r>
            <w:proofErr w:type="spellEnd"/>
            <w:r w:rsidRPr="00D240D5">
              <w:rPr>
                <w:rFonts w:cs="Arial"/>
                <w:szCs w:val="19"/>
                <w:lang w:val="en-US"/>
              </w:rPr>
              <w:t xml:space="preserve"> vera myelofibrosis or post essential </w:t>
            </w:r>
            <w:proofErr w:type="spellStart"/>
            <w:r w:rsidRPr="00D240D5">
              <w:rPr>
                <w:rFonts w:cs="Arial"/>
                <w:szCs w:val="19"/>
                <w:lang w:val="en-US"/>
              </w:rPr>
              <w:t>thrombocythaemia</w:t>
            </w:r>
            <w:proofErr w:type="spellEnd"/>
            <w:r w:rsidRPr="00D240D5">
              <w:rPr>
                <w:rFonts w:cs="Arial"/>
                <w:szCs w:val="19"/>
                <w:lang w:val="en-US"/>
              </w:rPr>
              <w:t xml:space="preserve"> myelofibrosis and who are Janus Kinase inhibitor naïve or have been treated with </w:t>
            </w:r>
            <w:proofErr w:type="spellStart"/>
            <w:r w:rsidRPr="00D240D5">
              <w:rPr>
                <w:rFonts w:cs="Arial"/>
                <w:szCs w:val="19"/>
                <w:lang w:val="en-US"/>
              </w:rPr>
              <w:t>ruxolitinib</w:t>
            </w:r>
            <w:proofErr w:type="spellEnd"/>
            <w:r>
              <w:rPr>
                <w:rFonts w:cs="Arial"/>
                <w:szCs w:val="19"/>
                <w:lang w:val="en-US"/>
              </w:rPr>
              <w:t xml:space="preserve"> </w:t>
            </w:r>
            <w:r w:rsidRPr="0055040B">
              <w:rPr>
                <w:rFonts w:cs="Arial"/>
                <w:sz w:val="16"/>
                <w:szCs w:val="16"/>
                <w:lang w:val="en-US"/>
              </w:rPr>
              <w:t>[</w:t>
            </w:r>
            <w:r>
              <w:rPr>
                <w:rFonts w:cs="Arial"/>
                <w:sz w:val="16"/>
                <w:szCs w:val="16"/>
                <w:lang w:val="en-US"/>
              </w:rPr>
              <w:t>EU]</w:t>
            </w:r>
          </w:p>
        </w:tc>
      </w:tr>
      <w:tr w:rsidR="00A913B0" w:rsidRPr="00A075A3" w14:paraId="0F9B7506" w14:textId="77777777" w:rsidTr="008C10C8">
        <w:tc>
          <w:tcPr>
            <w:tcW w:w="1293" w:type="pct"/>
            <w:gridSpan w:val="2"/>
            <w:shd w:val="clear" w:color="auto" w:fill="auto"/>
            <w:tcMar>
              <w:top w:w="57" w:type="dxa"/>
              <w:bottom w:w="57" w:type="dxa"/>
            </w:tcMar>
          </w:tcPr>
          <w:p w14:paraId="3AF26280" w14:textId="11544084" w:rsidR="00A913B0" w:rsidRDefault="00A913B0" w:rsidP="00A913B0">
            <w:pPr>
              <w:rPr>
                <w:rFonts w:cs="Arial"/>
                <w:szCs w:val="19"/>
              </w:rPr>
            </w:pPr>
            <w:proofErr w:type="spellStart"/>
            <w:r>
              <w:rPr>
                <w:rFonts w:cs="Arial"/>
                <w:szCs w:val="19"/>
              </w:rPr>
              <w:t>Patiromer</w:t>
            </w:r>
            <w:proofErr w:type="spellEnd"/>
            <w:r>
              <w:rPr>
                <w:rFonts w:cs="Arial"/>
                <w:szCs w:val="19"/>
              </w:rPr>
              <w:t xml:space="preserve"> (</w:t>
            </w:r>
            <w:proofErr w:type="spellStart"/>
            <w:r>
              <w:rPr>
                <w:rFonts w:cs="Arial"/>
                <w:i/>
                <w:iCs/>
                <w:szCs w:val="19"/>
              </w:rPr>
              <w:t>Veltassa</w:t>
            </w:r>
            <w:proofErr w:type="spellEnd"/>
            <w:r>
              <w:rPr>
                <w:rFonts w:cs="Arial"/>
                <w:szCs w:val="19"/>
              </w:rPr>
              <w:t>)</w:t>
            </w:r>
          </w:p>
        </w:tc>
        <w:tc>
          <w:tcPr>
            <w:tcW w:w="3707" w:type="pct"/>
            <w:shd w:val="clear" w:color="auto" w:fill="auto"/>
            <w:tcMar>
              <w:top w:w="57" w:type="dxa"/>
              <w:bottom w:w="57" w:type="dxa"/>
            </w:tcMar>
          </w:tcPr>
          <w:p w14:paraId="683BB98E" w14:textId="77777777" w:rsidR="00A913B0" w:rsidRDefault="00A913B0" w:rsidP="00A913B0">
            <w:pPr>
              <w:tabs>
                <w:tab w:val="center" w:pos="3152"/>
              </w:tabs>
              <w:rPr>
                <w:rFonts w:cs="Arial"/>
                <w:sz w:val="16"/>
                <w:szCs w:val="16"/>
                <w:lang w:val="en-US"/>
              </w:rPr>
            </w:pPr>
            <w:r w:rsidRPr="00200CBF">
              <w:rPr>
                <w:rFonts w:cs="Arial"/>
                <w:szCs w:val="19"/>
                <w:lang w:val="en-US"/>
              </w:rPr>
              <w:t xml:space="preserve">Treatment of </w:t>
            </w:r>
            <w:proofErr w:type="spellStart"/>
            <w:r w:rsidRPr="00200CBF">
              <w:rPr>
                <w:rFonts w:cs="Arial"/>
                <w:szCs w:val="19"/>
                <w:lang w:val="en-US"/>
              </w:rPr>
              <w:t>hyperkalaemia</w:t>
            </w:r>
            <w:proofErr w:type="spellEnd"/>
            <w:r w:rsidRPr="00200CBF">
              <w:rPr>
                <w:rFonts w:cs="Arial"/>
                <w:szCs w:val="19"/>
                <w:lang w:val="en-US"/>
              </w:rPr>
              <w:t xml:space="preserve"> in adults and adolescents aged 12 to 17 years</w:t>
            </w:r>
            <w:r>
              <w:rPr>
                <w:rFonts w:cs="Arial"/>
                <w:szCs w:val="19"/>
                <w:lang w:val="en-US"/>
              </w:rPr>
              <w:t xml:space="preserve"> </w:t>
            </w:r>
            <w:r w:rsidRPr="00C26A13">
              <w:rPr>
                <w:rFonts w:cs="Arial"/>
                <w:sz w:val="16"/>
                <w:szCs w:val="16"/>
                <w:lang w:val="en-US"/>
              </w:rPr>
              <w:t xml:space="preserve">[EU] </w:t>
            </w:r>
          </w:p>
          <w:p w14:paraId="7FB9A27C" w14:textId="564A5FDD" w:rsidR="00A913B0" w:rsidRPr="00D240D5" w:rsidRDefault="00A913B0" w:rsidP="00A913B0">
            <w:pPr>
              <w:tabs>
                <w:tab w:val="center" w:pos="3152"/>
              </w:tabs>
              <w:rPr>
                <w:rFonts w:cs="Arial"/>
                <w:szCs w:val="19"/>
                <w:lang w:val="en-US"/>
              </w:rPr>
            </w:pPr>
            <w:r w:rsidRPr="00C26A13">
              <w:rPr>
                <w:rFonts w:cs="Arial"/>
                <w:sz w:val="16"/>
                <w:szCs w:val="16"/>
                <w:lang w:val="en-US"/>
              </w:rPr>
              <w:t>[licence change from use only in adults</w:t>
            </w:r>
            <w:r>
              <w:rPr>
                <w:rFonts w:cs="Arial"/>
                <w:sz w:val="16"/>
                <w:szCs w:val="16"/>
                <w:lang w:val="en-US"/>
              </w:rPr>
              <w:t xml:space="preserve"> and new powder for oral suspension formulation</w:t>
            </w:r>
            <w:r w:rsidRPr="00C26A13">
              <w:rPr>
                <w:rFonts w:cs="Arial"/>
                <w:sz w:val="16"/>
                <w:szCs w:val="16"/>
                <w:lang w:val="en-US"/>
              </w:rPr>
              <w:t>]</w:t>
            </w:r>
          </w:p>
        </w:tc>
      </w:tr>
      <w:tr w:rsidR="00A913B0" w:rsidRPr="00A075A3" w14:paraId="42D48777" w14:textId="77777777" w:rsidTr="008C10C8">
        <w:tc>
          <w:tcPr>
            <w:tcW w:w="1293" w:type="pct"/>
            <w:gridSpan w:val="2"/>
            <w:shd w:val="clear" w:color="auto" w:fill="auto"/>
            <w:tcMar>
              <w:top w:w="57" w:type="dxa"/>
              <w:bottom w:w="57" w:type="dxa"/>
            </w:tcMar>
          </w:tcPr>
          <w:p w14:paraId="59E511F6" w14:textId="7E4C94F9" w:rsidR="00A913B0" w:rsidRDefault="00A913B0" w:rsidP="00A913B0">
            <w:pPr>
              <w:rPr>
                <w:rFonts w:cs="Arial"/>
                <w:szCs w:val="19"/>
              </w:rPr>
            </w:pPr>
            <w:r>
              <w:rPr>
                <w:rFonts w:cs="Arial"/>
                <w:szCs w:val="19"/>
              </w:rPr>
              <w:t>Pembrolizumab (</w:t>
            </w:r>
            <w:r>
              <w:rPr>
                <w:rFonts w:cs="Arial"/>
                <w:i/>
                <w:iCs/>
                <w:szCs w:val="19"/>
              </w:rPr>
              <w:t>Keytruda</w:t>
            </w:r>
            <w:r>
              <w:rPr>
                <w:rFonts w:cs="Arial"/>
                <w:szCs w:val="19"/>
              </w:rPr>
              <w:t>)</w:t>
            </w:r>
          </w:p>
        </w:tc>
        <w:tc>
          <w:tcPr>
            <w:tcW w:w="3707" w:type="pct"/>
            <w:shd w:val="clear" w:color="auto" w:fill="auto"/>
            <w:tcMar>
              <w:top w:w="57" w:type="dxa"/>
              <w:bottom w:w="57" w:type="dxa"/>
            </w:tcMar>
          </w:tcPr>
          <w:p w14:paraId="43EEFFB4" w14:textId="081B2007" w:rsidR="00A913B0" w:rsidRPr="00D240D5" w:rsidRDefault="00A913B0" w:rsidP="00A913B0">
            <w:pPr>
              <w:tabs>
                <w:tab w:val="center" w:pos="3152"/>
              </w:tabs>
              <w:rPr>
                <w:rFonts w:cs="Arial"/>
                <w:szCs w:val="19"/>
                <w:lang w:val="en-US"/>
              </w:rPr>
            </w:pPr>
            <w:r>
              <w:rPr>
                <w:rFonts w:cs="Arial"/>
                <w:szCs w:val="19"/>
                <w:lang w:val="en-US"/>
              </w:rPr>
              <w:t xml:space="preserve">Use </w:t>
            </w:r>
            <w:r w:rsidRPr="00701E66">
              <w:rPr>
                <w:rFonts w:cs="Arial"/>
                <w:szCs w:val="19"/>
                <w:lang w:val="en-US"/>
              </w:rPr>
              <w:t>in combination with gemcitabine and cisplatin</w:t>
            </w:r>
            <w:r>
              <w:rPr>
                <w:rFonts w:cs="Arial"/>
                <w:szCs w:val="19"/>
                <w:lang w:val="en-US"/>
              </w:rPr>
              <w:t xml:space="preserve"> </w:t>
            </w:r>
            <w:r w:rsidRPr="00701E66">
              <w:rPr>
                <w:rFonts w:cs="Arial"/>
                <w:szCs w:val="19"/>
                <w:lang w:val="en-US"/>
              </w:rPr>
              <w:t>for first-line treatment of locally advanced unresectable or metastatic biliary tract carcinoma in adults</w:t>
            </w:r>
            <w:r>
              <w:rPr>
                <w:rFonts w:cs="Arial"/>
                <w:szCs w:val="19"/>
                <w:lang w:val="en-US"/>
              </w:rPr>
              <w:t xml:space="preserve"> </w:t>
            </w:r>
            <w:r w:rsidRPr="007E60D0">
              <w:rPr>
                <w:rFonts w:cs="Arial"/>
                <w:sz w:val="16"/>
                <w:szCs w:val="16"/>
                <w:lang w:val="en-US"/>
              </w:rPr>
              <w:t>[EU] [new indication]</w:t>
            </w:r>
          </w:p>
        </w:tc>
      </w:tr>
      <w:tr w:rsidR="00A913B0" w:rsidRPr="00A075A3" w14:paraId="4DE2B177" w14:textId="77777777" w:rsidTr="008C10C8">
        <w:tc>
          <w:tcPr>
            <w:tcW w:w="1293" w:type="pct"/>
            <w:gridSpan w:val="2"/>
            <w:shd w:val="clear" w:color="auto" w:fill="auto"/>
            <w:tcMar>
              <w:top w:w="57" w:type="dxa"/>
              <w:bottom w:w="57" w:type="dxa"/>
            </w:tcMar>
          </w:tcPr>
          <w:p w14:paraId="6E5DA95C" w14:textId="108C8D5B" w:rsidR="00A913B0" w:rsidRDefault="00A913B0" w:rsidP="00A913B0">
            <w:pPr>
              <w:rPr>
                <w:rFonts w:cs="Arial"/>
                <w:szCs w:val="19"/>
              </w:rPr>
            </w:pPr>
            <w:r>
              <w:rPr>
                <w:rFonts w:cs="Arial"/>
                <w:szCs w:val="19"/>
              </w:rPr>
              <w:t>Ranibizumab biosimilar (</w:t>
            </w:r>
            <w:proofErr w:type="spellStart"/>
            <w:r w:rsidRPr="00966B08">
              <w:rPr>
                <w:rFonts w:cs="Arial"/>
                <w:i/>
                <w:iCs/>
                <w:szCs w:val="19"/>
              </w:rPr>
              <w:t>Rimmyrah</w:t>
            </w:r>
            <w:proofErr w:type="spellEnd"/>
            <w:r>
              <w:rPr>
                <w:rFonts w:cs="Arial"/>
                <w:szCs w:val="19"/>
              </w:rPr>
              <w:t>)</w:t>
            </w:r>
          </w:p>
        </w:tc>
        <w:tc>
          <w:tcPr>
            <w:tcW w:w="3707" w:type="pct"/>
            <w:shd w:val="clear" w:color="auto" w:fill="auto"/>
            <w:tcMar>
              <w:top w:w="57" w:type="dxa"/>
              <w:bottom w:w="57" w:type="dxa"/>
            </w:tcMar>
          </w:tcPr>
          <w:p w14:paraId="1A37130E" w14:textId="13A856CE" w:rsidR="00A913B0" w:rsidRPr="00D240D5" w:rsidRDefault="00A913B0" w:rsidP="00A913B0">
            <w:pPr>
              <w:tabs>
                <w:tab w:val="center" w:pos="3152"/>
              </w:tabs>
              <w:rPr>
                <w:rFonts w:cs="Arial"/>
                <w:szCs w:val="19"/>
                <w:lang w:val="en-US"/>
              </w:rPr>
            </w:pPr>
            <w:r>
              <w:rPr>
                <w:rFonts w:cs="Arial"/>
                <w:szCs w:val="19"/>
                <w:lang w:val="en-US"/>
              </w:rPr>
              <w:t xml:space="preserve">Use </w:t>
            </w:r>
            <w:r w:rsidRPr="00966B08">
              <w:rPr>
                <w:rFonts w:cs="Arial"/>
                <w:szCs w:val="19"/>
                <w:lang w:val="en-US"/>
              </w:rPr>
              <w:t>in adults for</w:t>
            </w:r>
            <w:r>
              <w:rPr>
                <w:rFonts w:cs="Arial"/>
                <w:szCs w:val="19"/>
                <w:lang w:val="en-US"/>
              </w:rPr>
              <w:t xml:space="preserve"> </w:t>
            </w:r>
            <w:r w:rsidRPr="00966B08">
              <w:rPr>
                <w:rFonts w:cs="Arial"/>
                <w:szCs w:val="19"/>
                <w:lang w:val="en-US"/>
              </w:rPr>
              <w:t>treatment of neovascular (wet) age-related macular degeneration</w:t>
            </w:r>
            <w:r>
              <w:rPr>
                <w:rFonts w:cs="Arial"/>
                <w:szCs w:val="19"/>
                <w:lang w:val="en-US"/>
              </w:rPr>
              <w:t xml:space="preserve">, treatment of </w:t>
            </w:r>
            <w:r w:rsidRPr="00966B08">
              <w:rPr>
                <w:rFonts w:cs="Arial"/>
                <w:szCs w:val="19"/>
                <w:lang w:val="en-US"/>
              </w:rPr>
              <w:t>visual impairment due to diabetic macular oedema</w:t>
            </w:r>
            <w:r>
              <w:rPr>
                <w:rFonts w:cs="Arial"/>
                <w:szCs w:val="19"/>
                <w:lang w:val="en-US"/>
              </w:rPr>
              <w:t xml:space="preserve">, treatment of </w:t>
            </w:r>
            <w:r w:rsidRPr="00966B08">
              <w:rPr>
                <w:rFonts w:cs="Arial"/>
                <w:szCs w:val="19"/>
                <w:lang w:val="en-US"/>
              </w:rPr>
              <w:t>proliferative diabetic retinopathy</w:t>
            </w:r>
            <w:r>
              <w:rPr>
                <w:rFonts w:cs="Arial"/>
                <w:szCs w:val="19"/>
                <w:lang w:val="en-US"/>
              </w:rPr>
              <w:t xml:space="preserve">, treatment of </w:t>
            </w:r>
            <w:r w:rsidRPr="00966B08">
              <w:rPr>
                <w:rFonts w:cs="Arial"/>
                <w:szCs w:val="19"/>
                <w:lang w:val="en-US"/>
              </w:rPr>
              <w:t>visual impairment due to macular oedema secondary to retinal vein occlusion (branch RVO or central RVO)</w:t>
            </w:r>
            <w:r>
              <w:rPr>
                <w:rFonts w:cs="Arial"/>
                <w:szCs w:val="19"/>
                <w:lang w:val="en-US"/>
              </w:rPr>
              <w:t xml:space="preserve"> and treatment of </w:t>
            </w:r>
            <w:r w:rsidRPr="00966B08">
              <w:rPr>
                <w:rFonts w:cs="Arial"/>
                <w:szCs w:val="19"/>
                <w:lang w:val="en-US"/>
              </w:rPr>
              <w:t xml:space="preserve">visual impairment due to choroidal </w:t>
            </w:r>
            <w:proofErr w:type="spellStart"/>
            <w:r>
              <w:rPr>
                <w:rFonts w:cs="Arial"/>
                <w:szCs w:val="19"/>
                <w:lang w:val="en-US"/>
              </w:rPr>
              <w:t>neovascularisation</w:t>
            </w:r>
            <w:proofErr w:type="spellEnd"/>
            <w:r>
              <w:rPr>
                <w:rFonts w:cs="Arial"/>
                <w:szCs w:val="19"/>
                <w:lang w:val="en-US"/>
              </w:rPr>
              <w:t xml:space="preserve"> </w:t>
            </w:r>
            <w:r w:rsidRPr="0055040B">
              <w:rPr>
                <w:rFonts w:cs="Arial"/>
                <w:sz w:val="16"/>
                <w:szCs w:val="16"/>
                <w:lang w:val="en-US"/>
              </w:rPr>
              <w:t>[</w:t>
            </w:r>
            <w:r>
              <w:rPr>
                <w:rFonts w:cs="Arial"/>
                <w:sz w:val="16"/>
                <w:szCs w:val="16"/>
                <w:lang w:val="en-US"/>
              </w:rPr>
              <w:t>EU]</w:t>
            </w:r>
          </w:p>
        </w:tc>
      </w:tr>
      <w:tr w:rsidR="00A913B0" w:rsidRPr="00A075A3" w14:paraId="5B3A77BC" w14:textId="77777777" w:rsidTr="008C10C8">
        <w:tc>
          <w:tcPr>
            <w:tcW w:w="1293" w:type="pct"/>
            <w:gridSpan w:val="2"/>
            <w:shd w:val="clear" w:color="auto" w:fill="auto"/>
            <w:tcMar>
              <w:top w:w="57" w:type="dxa"/>
              <w:bottom w:w="57" w:type="dxa"/>
            </w:tcMar>
          </w:tcPr>
          <w:p w14:paraId="0CBEF09C" w14:textId="53575C04" w:rsidR="00A913B0" w:rsidRDefault="00A913B0" w:rsidP="00A913B0">
            <w:pPr>
              <w:rPr>
                <w:rFonts w:cs="Arial"/>
                <w:szCs w:val="19"/>
              </w:rPr>
            </w:pPr>
            <w:proofErr w:type="spellStart"/>
            <w:r w:rsidRPr="000131A0">
              <w:rPr>
                <w:rFonts w:cs="Arial"/>
                <w:szCs w:val="19"/>
              </w:rPr>
              <w:t>Rozanolixizumab</w:t>
            </w:r>
            <w:proofErr w:type="spellEnd"/>
            <w:r>
              <w:rPr>
                <w:rFonts w:cs="Arial"/>
                <w:szCs w:val="19"/>
              </w:rPr>
              <w:t xml:space="preserve"> (</w:t>
            </w:r>
            <w:proofErr w:type="spellStart"/>
            <w:r>
              <w:rPr>
                <w:rFonts w:cs="Arial"/>
                <w:i/>
                <w:iCs/>
                <w:szCs w:val="19"/>
              </w:rPr>
              <w:t>Rystiggo</w:t>
            </w:r>
            <w:proofErr w:type="spellEnd"/>
            <w:r>
              <w:rPr>
                <w:rFonts w:cs="Arial"/>
                <w:szCs w:val="19"/>
              </w:rPr>
              <w:t>)</w:t>
            </w:r>
          </w:p>
        </w:tc>
        <w:tc>
          <w:tcPr>
            <w:tcW w:w="3707" w:type="pct"/>
            <w:shd w:val="clear" w:color="auto" w:fill="auto"/>
            <w:tcMar>
              <w:top w:w="57" w:type="dxa"/>
              <w:bottom w:w="57" w:type="dxa"/>
            </w:tcMar>
          </w:tcPr>
          <w:p w14:paraId="14214400" w14:textId="3C16E165" w:rsidR="00A913B0" w:rsidRPr="00D240D5" w:rsidRDefault="00A913B0" w:rsidP="00A913B0">
            <w:pPr>
              <w:tabs>
                <w:tab w:val="center" w:pos="3152"/>
              </w:tabs>
              <w:rPr>
                <w:rFonts w:cs="Arial"/>
                <w:szCs w:val="19"/>
                <w:lang w:val="en-US"/>
              </w:rPr>
            </w:pPr>
            <w:r>
              <w:rPr>
                <w:rFonts w:cs="Arial"/>
                <w:szCs w:val="19"/>
                <w:lang w:val="en-US"/>
              </w:rPr>
              <w:t xml:space="preserve">Use </w:t>
            </w:r>
            <w:r w:rsidRPr="000131A0">
              <w:rPr>
                <w:rFonts w:cs="Arial"/>
                <w:szCs w:val="19"/>
                <w:lang w:val="en-US"/>
              </w:rPr>
              <w:t>as an add-on to standard therapy for treatment of generalised myasthenia gravis in adults who are anti-acetylcholine receptor or anti-muscle-specific tyrosine kinase antibody positive</w:t>
            </w:r>
            <w:r>
              <w:rPr>
                <w:rFonts w:cs="Arial"/>
                <w:szCs w:val="19"/>
                <w:lang w:val="en-US"/>
              </w:rPr>
              <w:t xml:space="preserve"> </w:t>
            </w:r>
            <w:r w:rsidRPr="0055040B">
              <w:rPr>
                <w:rFonts w:cs="Arial"/>
                <w:sz w:val="16"/>
                <w:szCs w:val="16"/>
                <w:lang w:val="en-US"/>
              </w:rPr>
              <w:t>[</w:t>
            </w:r>
            <w:r>
              <w:rPr>
                <w:rFonts w:cs="Arial"/>
                <w:sz w:val="16"/>
                <w:szCs w:val="16"/>
                <w:lang w:val="en-US"/>
              </w:rPr>
              <w:t>EU]</w:t>
            </w:r>
          </w:p>
        </w:tc>
      </w:tr>
      <w:tr w:rsidR="00F2746A" w:rsidRPr="00A075A3" w14:paraId="0C668D23" w14:textId="77777777" w:rsidTr="008C10C8">
        <w:tc>
          <w:tcPr>
            <w:tcW w:w="1293" w:type="pct"/>
            <w:gridSpan w:val="2"/>
            <w:shd w:val="clear" w:color="auto" w:fill="auto"/>
            <w:tcMar>
              <w:top w:w="57" w:type="dxa"/>
              <w:bottom w:w="57" w:type="dxa"/>
            </w:tcMar>
          </w:tcPr>
          <w:p w14:paraId="6D1048ED" w14:textId="25D15EFB" w:rsidR="00F2746A" w:rsidRDefault="00F2746A" w:rsidP="00F2746A">
            <w:pPr>
              <w:rPr>
                <w:rFonts w:cs="Arial"/>
                <w:szCs w:val="19"/>
              </w:rPr>
            </w:pPr>
            <w:proofErr w:type="spellStart"/>
            <w:r w:rsidRPr="003D6F89">
              <w:rPr>
                <w:rFonts w:cs="Arial"/>
                <w:szCs w:val="19"/>
              </w:rPr>
              <w:t>Talazoparib</w:t>
            </w:r>
            <w:proofErr w:type="spellEnd"/>
            <w:r>
              <w:rPr>
                <w:rFonts w:cs="Arial"/>
                <w:szCs w:val="19"/>
              </w:rPr>
              <w:t xml:space="preserve"> (</w:t>
            </w:r>
            <w:proofErr w:type="spellStart"/>
            <w:r>
              <w:rPr>
                <w:rFonts w:cs="Arial"/>
                <w:i/>
                <w:iCs/>
                <w:szCs w:val="19"/>
              </w:rPr>
              <w:t>Talzenna</w:t>
            </w:r>
            <w:proofErr w:type="spellEnd"/>
            <w:r>
              <w:rPr>
                <w:rFonts w:cs="Arial"/>
                <w:szCs w:val="19"/>
              </w:rPr>
              <w:t>)</w:t>
            </w:r>
          </w:p>
        </w:tc>
        <w:tc>
          <w:tcPr>
            <w:tcW w:w="3707" w:type="pct"/>
            <w:shd w:val="clear" w:color="auto" w:fill="auto"/>
            <w:tcMar>
              <w:top w:w="57" w:type="dxa"/>
              <w:bottom w:w="57" w:type="dxa"/>
            </w:tcMar>
          </w:tcPr>
          <w:p w14:paraId="41B9C995" w14:textId="77777777" w:rsidR="001761BF" w:rsidRDefault="00F2746A" w:rsidP="00F2746A">
            <w:pPr>
              <w:tabs>
                <w:tab w:val="center" w:pos="3152"/>
              </w:tabs>
              <w:rPr>
                <w:rFonts w:cs="Arial"/>
                <w:sz w:val="16"/>
                <w:szCs w:val="16"/>
                <w:lang w:val="en-US"/>
              </w:rPr>
            </w:pPr>
            <w:r>
              <w:rPr>
                <w:rFonts w:cs="Arial"/>
                <w:szCs w:val="19"/>
                <w:lang w:val="en-US"/>
              </w:rPr>
              <w:t xml:space="preserve">Use </w:t>
            </w:r>
            <w:r w:rsidRPr="003D6F89">
              <w:rPr>
                <w:rFonts w:cs="Arial"/>
                <w:szCs w:val="19"/>
                <w:lang w:val="en-US"/>
              </w:rPr>
              <w:t>in combination with enzalutamide for treatment of adults with metastatic castration-resistant prostate cancer in whom chemotherapy is not clinically indicated</w:t>
            </w:r>
            <w:r>
              <w:rPr>
                <w:rFonts w:cs="Arial"/>
                <w:szCs w:val="19"/>
                <w:lang w:val="en-US"/>
              </w:rPr>
              <w:t xml:space="preserve"> </w:t>
            </w:r>
            <w:r w:rsidRPr="007E60D0">
              <w:rPr>
                <w:rFonts w:cs="Arial"/>
                <w:sz w:val="16"/>
                <w:szCs w:val="16"/>
                <w:lang w:val="en-US"/>
              </w:rPr>
              <w:t xml:space="preserve">[EU] </w:t>
            </w:r>
          </w:p>
          <w:p w14:paraId="24CA9FF0" w14:textId="11CEB31B" w:rsidR="00F2746A" w:rsidRPr="00D240D5" w:rsidRDefault="00F2746A" w:rsidP="00F2746A">
            <w:pPr>
              <w:tabs>
                <w:tab w:val="center" w:pos="3152"/>
              </w:tabs>
              <w:rPr>
                <w:rFonts w:cs="Arial"/>
                <w:szCs w:val="19"/>
                <w:lang w:val="en-US"/>
              </w:rPr>
            </w:pPr>
            <w:r w:rsidRPr="007E60D0">
              <w:rPr>
                <w:rFonts w:cs="Arial"/>
                <w:sz w:val="16"/>
                <w:szCs w:val="16"/>
                <w:lang w:val="en-US"/>
              </w:rPr>
              <w:t>[new indication]</w:t>
            </w:r>
          </w:p>
        </w:tc>
      </w:tr>
      <w:tr w:rsidR="00F2746A" w:rsidRPr="000F19E1" w14:paraId="23C4E17A" w14:textId="77777777" w:rsidTr="008C10C8">
        <w:tc>
          <w:tcPr>
            <w:tcW w:w="1293" w:type="pct"/>
            <w:gridSpan w:val="2"/>
            <w:shd w:val="clear" w:color="auto" w:fill="auto"/>
            <w:tcMar>
              <w:top w:w="0" w:type="dxa"/>
              <w:bottom w:w="0" w:type="dxa"/>
            </w:tcMar>
          </w:tcPr>
          <w:p w14:paraId="14C7CAD5" w14:textId="77777777" w:rsidR="00F2746A" w:rsidRPr="000F19E1" w:rsidRDefault="00F2746A" w:rsidP="00F2746A">
            <w:pPr>
              <w:rPr>
                <w:rFonts w:cs="Arial"/>
                <w:bCs/>
                <w:sz w:val="8"/>
                <w:szCs w:val="8"/>
              </w:rPr>
            </w:pPr>
          </w:p>
        </w:tc>
        <w:tc>
          <w:tcPr>
            <w:tcW w:w="3707" w:type="pct"/>
            <w:shd w:val="clear" w:color="auto" w:fill="auto"/>
            <w:tcMar>
              <w:top w:w="0" w:type="dxa"/>
              <w:bottom w:w="0" w:type="dxa"/>
            </w:tcMar>
          </w:tcPr>
          <w:p w14:paraId="4FBD1469" w14:textId="77777777" w:rsidR="00F2746A" w:rsidRPr="000F19E1" w:rsidRDefault="00F2746A" w:rsidP="00F2746A">
            <w:pPr>
              <w:tabs>
                <w:tab w:val="center" w:pos="3152"/>
              </w:tabs>
              <w:rPr>
                <w:rFonts w:cs="Arial"/>
                <w:sz w:val="8"/>
                <w:szCs w:val="8"/>
                <w:lang w:val="en-US"/>
              </w:rPr>
            </w:pPr>
          </w:p>
        </w:tc>
      </w:tr>
      <w:tr w:rsidR="00F2746A" w:rsidRPr="000F19E1" w14:paraId="17D5B1CD" w14:textId="77777777" w:rsidTr="00D6452A">
        <w:tc>
          <w:tcPr>
            <w:tcW w:w="1152" w:type="pct"/>
            <w:shd w:val="clear" w:color="auto" w:fill="DAEEF3"/>
            <w:tcMar>
              <w:top w:w="0" w:type="dxa"/>
              <w:bottom w:w="0" w:type="dxa"/>
            </w:tcMar>
          </w:tcPr>
          <w:p w14:paraId="530ADD49" w14:textId="77777777" w:rsidR="00F2746A" w:rsidRPr="000F19E1" w:rsidRDefault="00F2746A" w:rsidP="00F2746A">
            <w:pPr>
              <w:rPr>
                <w:rFonts w:cs="Arial"/>
                <w:bCs/>
                <w:sz w:val="8"/>
                <w:szCs w:val="8"/>
              </w:rPr>
            </w:pPr>
          </w:p>
        </w:tc>
        <w:tc>
          <w:tcPr>
            <w:tcW w:w="3848" w:type="pct"/>
            <w:gridSpan w:val="2"/>
            <w:shd w:val="clear" w:color="auto" w:fill="DAEEF3"/>
            <w:tcMar>
              <w:top w:w="0" w:type="dxa"/>
              <w:bottom w:w="0" w:type="dxa"/>
            </w:tcMar>
          </w:tcPr>
          <w:p w14:paraId="62D81CCC" w14:textId="77777777" w:rsidR="00F2746A" w:rsidRPr="000F19E1" w:rsidRDefault="00F2746A" w:rsidP="00F2746A">
            <w:pPr>
              <w:tabs>
                <w:tab w:val="center" w:pos="3152"/>
              </w:tabs>
              <w:rPr>
                <w:rFonts w:cs="Arial"/>
                <w:sz w:val="8"/>
                <w:szCs w:val="8"/>
                <w:lang w:val="en-US"/>
              </w:rPr>
            </w:pPr>
          </w:p>
        </w:tc>
      </w:tr>
    </w:tbl>
    <w:p w14:paraId="7C12CA54" w14:textId="2F791B29" w:rsidR="00BC3010" w:rsidRDefault="00BC3010"/>
    <w:p w14:paraId="5413B12F" w14:textId="77777777" w:rsidR="00BC3010" w:rsidRDefault="00BC3010">
      <w:r>
        <w:br w:type="page"/>
      </w:r>
    </w:p>
    <w:p w14:paraId="3F302173" w14:textId="77777777" w:rsidR="0048777D" w:rsidRDefault="0048777D"/>
    <w:tbl>
      <w:tblPr>
        <w:tblW w:w="5170" w:type="pct"/>
        <w:tblInd w:w="-176" w:type="dxa"/>
        <w:tblLayout w:type="fixed"/>
        <w:tblLook w:val="01E0" w:firstRow="1" w:lastRow="1" w:firstColumn="1" w:lastColumn="1" w:noHBand="0" w:noVBand="0"/>
      </w:tblPr>
      <w:tblGrid>
        <w:gridCol w:w="2431"/>
        <w:gridCol w:w="439"/>
        <w:gridCol w:w="7681"/>
      </w:tblGrid>
      <w:tr w:rsidR="0021490D" w:rsidRPr="00862949" w14:paraId="3239F358" w14:textId="77777777" w:rsidTr="00D6452A">
        <w:tc>
          <w:tcPr>
            <w:tcW w:w="5000" w:type="pct"/>
            <w:gridSpan w:val="3"/>
            <w:shd w:val="clear" w:color="auto" w:fill="0070C0"/>
            <w:tcMar>
              <w:top w:w="85" w:type="dxa"/>
              <w:bottom w:w="85" w:type="dxa"/>
            </w:tcMar>
            <w:vAlign w:val="bottom"/>
          </w:tcPr>
          <w:p w14:paraId="34801F35" w14:textId="77777777" w:rsidR="0021490D" w:rsidRPr="00862949" w:rsidRDefault="0021490D" w:rsidP="00D6452A">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1C3A55" w:rsidRPr="000F19E1" w14:paraId="50AE69AE" w14:textId="77777777" w:rsidTr="00155BD9">
        <w:tc>
          <w:tcPr>
            <w:tcW w:w="1152" w:type="pct"/>
            <w:shd w:val="clear" w:color="auto" w:fill="DAEEF3"/>
            <w:tcMar>
              <w:top w:w="0" w:type="dxa"/>
              <w:bottom w:w="0" w:type="dxa"/>
            </w:tcMar>
          </w:tcPr>
          <w:p w14:paraId="74394E8F" w14:textId="77777777" w:rsidR="001C3A55" w:rsidRPr="000F19E1" w:rsidRDefault="001C3A55" w:rsidP="00510003">
            <w:pPr>
              <w:rPr>
                <w:rFonts w:cs="Arial"/>
                <w:bCs/>
                <w:sz w:val="8"/>
                <w:szCs w:val="8"/>
              </w:rPr>
            </w:pPr>
          </w:p>
        </w:tc>
        <w:tc>
          <w:tcPr>
            <w:tcW w:w="3848" w:type="pct"/>
            <w:gridSpan w:val="2"/>
            <w:shd w:val="clear" w:color="auto" w:fill="DAEEF3"/>
            <w:tcMar>
              <w:top w:w="0" w:type="dxa"/>
              <w:bottom w:w="0" w:type="dxa"/>
            </w:tcMar>
          </w:tcPr>
          <w:p w14:paraId="5587AAC0" w14:textId="77777777" w:rsidR="001C3A55" w:rsidRPr="000F19E1" w:rsidRDefault="001C3A55" w:rsidP="00510003">
            <w:pPr>
              <w:tabs>
                <w:tab w:val="center" w:pos="3152"/>
              </w:tabs>
              <w:rPr>
                <w:rFonts w:cs="Arial"/>
                <w:sz w:val="8"/>
                <w:szCs w:val="8"/>
                <w:lang w:val="en-US"/>
              </w:rPr>
            </w:pPr>
          </w:p>
        </w:tc>
      </w:tr>
      <w:tr w:rsidR="001C3A55" w:rsidRPr="00433D3E" w14:paraId="352953A0" w14:textId="77777777" w:rsidTr="00155BD9">
        <w:tc>
          <w:tcPr>
            <w:tcW w:w="5000" w:type="pct"/>
            <w:gridSpan w:val="3"/>
            <w:shd w:val="clear" w:color="auto" w:fill="00B050"/>
            <w:tcMar>
              <w:top w:w="57" w:type="dxa"/>
              <w:bottom w:w="57" w:type="dxa"/>
            </w:tcMar>
          </w:tcPr>
          <w:p w14:paraId="4E19218F" w14:textId="77777777" w:rsidR="001C3A55" w:rsidRPr="0021490D" w:rsidRDefault="001C3A55" w:rsidP="00B94311">
            <w:pPr>
              <w:rPr>
                <w:rFonts w:cs="Arial"/>
                <w:noProof/>
                <w:color w:val="FFFFFF"/>
                <w:sz w:val="16"/>
                <w:szCs w:val="16"/>
              </w:rPr>
            </w:pPr>
            <w:r>
              <w:rPr>
                <w:rFonts w:cs="Arial"/>
                <w:b/>
                <w:bCs/>
                <w:i/>
                <w:iCs/>
                <w:color w:val="FFFFFF"/>
                <w:sz w:val="22"/>
                <w:szCs w:val="20"/>
                <w:lang w:val="en-US"/>
              </w:rPr>
              <w:t xml:space="preserve">Recommended for approval in </w:t>
            </w:r>
            <w:r w:rsidRPr="00433D3E">
              <w:rPr>
                <w:rFonts w:cs="Arial"/>
                <w:b/>
                <w:bCs/>
                <w:i/>
                <w:iCs/>
                <w:color w:val="FFFFFF"/>
                <w:sz w:val="22"/>
                <w:szCs w:val="20"/>
                <w:lang w:val="en-US"/>
              </w:rPr>
              <w:t xml:space="preserve">the </w:t>
            </w:r>
            <w:r w:rsidR="0048777D">
              <w:rPr>
                <w:rFonts w:cs="Arial"/>
                <w:b/>
                <w:bCs/>
                <w:i/>
                <w:iCs/>
                <w:color w:val="FFFFFF"/>
                <w:sz w:val="22"/>
                <w:szCs w:val="20"/>
                <w:lang w:val="en-US"/>
              </w:rPr>
              <w:t>UK</w:t>
            </w:r>
            <w:r w:rsidR="00B94311">
              <w:rPr>
                <w:rFonts w:cs="Arial"/>
                <w:b/>
                <w:bCs/>
                <w:i/>
                <w:iCs/>
                <w:color w:val="FFFFFF"/>
                <w:sz w:val="22"/>
                <w:szCs w:val="20"/>
                <w:lang w:val="en-US"/>
              </w:rPr>
              <w:t xml:space="preserve"> or </w:t>
            </w:r>
            <w:r w:rsidRPr="00433D3E">
              <w:rPr>
                <w:rFonts w:cs="Arial"/>
                <w:b/>
                <w:bCs/>
                <w:i/>
                <w:iCs/>
                <w:color w:val="FFFFFF"/>
                <w:sz w:val="22"/>
                <w:szCs w:val="20"/>
                <w:lang w:val="en-US"/>
              </w:rPr>
              <w:t>EU</w:t>
            </w:r>
            <w:r w:rsidR="0021490D">
              <w:rPr>
                <w:rFonts w:cs="Arial"/>
                <w:b/>
                <w:bCs/>
                <w:i/>
                <w:iCs/>
                <w:color w:val="FFFFFF"/>
                <w:sz w:val="22"/>
                <w:szCs w:val="20"/>
                <w:lang w:val="en-US"/>
              </w:rPr>
              <w:t xml:space="preserve"> </w:t>
            </w:r>
            <w:r w:rsidR="0021490D" w:rsidRPr="0021490D">
              <w:rPr>
                <w:rFonts w:cs="Arial"/>
                <w:b/>
                <w:bCs/>
                <w:color w:val="FFFFFF"/>
                <w:sz w:val="16"/>
                <w:szCs w:val="14"/>
                <w:lang w:val="en-US"/>
              </w:rPr>
              <w:t>(continued)</w:t>
            </w:r>
          </w:p>
        </w:tc>
      </w:tr>
      <w:tr w:rsidR="00BC3010" w:rsidRPr="00A075A3" w14:paraId="5DBF2B9A" w14:textId="77777777" w:rsidTr="001268AB">
        <w:tc>
          <w:tcPr>
            <w:tcW w:w="1360" w:type="pct"/>
            <w:gridSpan w:val="2"/>
            <w:shd w:val="clear" w:color="auto" w:fill="auto"/>
            <w:tcMar>
              <w:top w:w="57" w:type="dxa"/>
              <w:bottom w:w="57" w:type="dxa"/>
            </w:tcMar>
          </w:tcPr>
          <w:p w14:paraId="163785C3" w14:textId="57DEF1BC" w:rsidR="00BC3010" w:rsidRDefault="00BC3010" w:rsidP="00BC3010">
            <w:proofErr w:type="spellStart"/>
            <w:r>
              <w:rPr>
                <w:rFonts w:cs="Arial"/>
                <w:szCs w:val="19"/>
              </w:rPr>
              <w:t>Tirzepatide</w:t>
            </w:r>
            <w:proofErr w:type="spellEnd"/>
            <w:r>
              <w:rPr>
                <w:rFonts w:cs="Arial"/>
                <w:szCs w:val="19"/>
              </w:rPr>
              <w:t xml:space="preserve"> (</w:t>
            </w:r>
            <w:proofErr w:type="spellStart"/>
            <w:r>
              <w:rPr>
                <w:rFonts w:cs="Arial"/>
                <w:i/>
                <w:iCs/>
                <w:szCs w:val="19"/>
              </w:rPr>
              <w:t>Mounjaro</w:t>
            </w:r>
            <w:proofErr w:type="spellEnd"/>
            <w:r>
              <w:rPr>
                <w:rFonts w:cs="Arial"/>
                <w:szCs w:val="19"/>
              </w:rPr>
              <w:t>)</w:t>
            </w:r>
          </w:p>
        </w:tc>
        <w:tc>
          <w:tcPr>
            <w:tcW w:w="3640" w:type="pct"/>
            <w:shd w:val="clear" w:color="auto" w:fill="auto"/>
            <w:tcMar>
              <w:top w:w="57" w:type="dxa"/>
              <w:bottom w:w="57" w:type="dxa"/>
            </w:tcMar>
          </w:tcPr>
          <w:p w14:paraId="6B134807" w14:textId="1EEC9BE8" w:rsidR="00BC3010" w:rsidRDefault="00BC3010" w:rsidP="00BC3010">
            <w:pPr>
              <w:tabs>
                <w:tab w:val="num" w:pos="720"/>
                <w:tab w:val="center" w:pos="3152"/>
              </w:tabs>
              <w:rPr>
                <w:rFonts w:cs="Arial"/>
                <w:szCs w:val="19"/>
                <w:lang w:val="en-US"/>
              </w:rPr>
            </w:pPr>
            <w:r>
              <w:rPr>
                <w:rFonts w:cs="Arial"/>
                <w:szCs w:val="19"/>
                <w:lang w:val="en-US"/>
              </w:rPr>
              <w:t>F</w:t>
            </w:r>
            <w:r w:rsidRPr="0055040B">
              <w:rPr>
                <w:rFonts w:cs="Arial"/>
                <w:szCs w:val="19"/>
                <w:lang w:val="en-US"/>
              </w:rPr>
              <w:t xml:space="preserve">or weight management, including weight loss and weight maintenance, as an adjunct to a reduced-calorie diet and increased physical activity in adults with an initial </w:t>
            </w:r>
            <w:r>
              <w:rPr>
                <w:rFonts w:cs="Arial"/>
                <w:szCs w:val="19"/>
                <w:lang w:val="en-US"/>
              </w:rPr>
              <w:t>b</w:t>
            </w:r>
            <w:r w:rsidRPr="0055040B">
              <w:rPr>
                <w:rFonts w:cs="Arial"/>
                <w:szCs w:val="19"/>
                <w:lang w:val="en-US"/>
              </w:rPr>
              <w:t xml:space="preserve">ody </w:t>
            </w:r>
            <w:r>
              <w:rPr>
                <w:rFonts w:cs="Arial"/>
                <w:szCs w:val="19"/>
                <w:lang w:val="en-US"/>
              </w:rPr>
              <w:t>m</w:t>
            </w:r>
            <w:r w:rsidRPr="0055040B">
              <w:rPr>
                <w:rFonts w:cs="Arial"/>
                <w:szCs w:val="19"/>
                <w:lang w:val="en-US"/>
              </w:rPr>
              <w:t xml:space="preserve">ass </w:t>
            </w:r>
            <w:r>
              <w:rPr>
                <w:rFonts w:cs="Arial"/>
                <w:szCs w:val="19"/>
                <w:lang w:val="en-US"/>
              </w:rPr>
              <w:t>i</w:t>
            </w:r>
            <w:r w:rsidRPr="0055040B">
              <w:rPr>
                <w:rFonts w:cs="Arial"/>
                <w:szCs w:val="19"/>
                <w:lang w:val="en-US"/>
              </w:rPr>
              <w:t>ndex (BMI) of ≥30kg/m</w:t>
            </w:r>
            <w:r w:rsidRPr="001268AB">
              <w:rPr>
                <w:rFonts w:cs="Arial"/>
                <w:szCs w:val="19"/>
                <w:vertAlign w:val="superscript"/>
                <w:lang w:val="en-US"/>
              </w:rPr>
              <w:t>2</w:t>
            </w:r>
            <w:r w:rsidRPr="0055040B">
              <w:rPr>
                <w:rFonts w:cs="Arial"/>
                <w:szCs w:val="19"/>
                <w:lang w:val="en-US"/>
              </w:rPr>
              <w:t xml:space="preserve"> (obesity) or ≥27kg/m</w:t>
            </w:r>
            <w:r w:rsidRPr="001268AB">
              <w:rPr>
                <w:rFonts w:cs="Arial"/>
                <w:szCs w:val="19"/>
                <w:vertAlign w:val="superscript"/>
                <w:lang w:val="en-US"/>
              </w:rPr>
              <w:t>2</w:t>
            </w:r>
            <w:r w:rsidRPr="0055040B">
              <w:rPr>
                <w:rFonts w:cs="Arial"/>
                <w:szCs w:val="19"/>
                <w:lang w:val="en-US"/>
              </w:rPr>
              <w:t xml:space="preserve"> to &lt;30kg/m</w:t>
            </w:r>
            <w:r w:rsidRPr="001268AB">
              <w:rPr>
                <w:rFonts w:cs="Arial"/>
                <w:szCs w:val="19"/>
                <w:vertAlign w:val="superscript"/>
                <w:lang w:val="en-US"/>
              </w:rPr>
              <w:t>2</w:t>
            </w:r>
            <w:r w:rsidRPr="0055040B">
              <w:rPr>
                <w:rFonts w:cs="Arial"/>
                <w:szCs w:val="19"/>
                <w:lang w:val="en-US"/>
              </w:rPr>
              <w:t xml:space="preserve"> (overweight) in the presence of at least one weight-related comorbid condition (e.g., hypertension, </w:t>
            </w:r>
            <w:proofErr w:type="spellStart"/>
            <w:r w:rsidRPr="0055040B">
              <w:rPr>
                <w:rFonts w:cs="Arial"/>
                <w:szCs w:val="19"/>
                <w:lang w:val="en-US"/>
              </w:rPr>
              <w:t>dyslipidaemia</w:t>
            </w:r>
            <w:proofErr w:type="spellEnd"/>
            <w:r w:rsidRPr="0055040B">
              <w:rPr>
                <w:rFonts w:cs="Arial"/>
                <w:szCs w:val="19"/>
                <w:lang w:val="en-US"/>
              </w:rPr>
              <w:t xml:space="preserve">, obstructive sleep </w:t>
            </w:r>
            <w:proofErr w:type="spellStart"/>
            <w:r w:rsidRPr="0055040B">
              <w:rPr>
                <w:rFonts w:cs="Arial"/>
                <w:szCs w:val="19"/>
                <w:lang w:val="en-US"/>
              </w:rPr>
              <w:t>apnoea</w:t>
            </w:r>
            <w:proofErr w:type="spellEnd"/>
            <w:r w:rsidRPr="0055040B">
              <w:rPr>
                <w:rFonts w:cs="Arial"/>
                <w:szCs w:val="19"/>
                <w:lang w:val="en-US"/>
              </w:rPr>
              <w:t>, cardiovascular disease, prediabetes, or type 2 diabetes mellitus)</w:t>
            </w:r>
            <w:r>
              <w:rPr>
                <w:rFonts w:cs="Arial"/>
                <w:szCs w:val="19"/>
                <w:lang w:val="en-US"/>
              </w:rPr>
              <w:t xml:space="preserve"> </w:t>
            </w:r>
            <w:r w:rsidRPr="0055040B">
              <w:rPr>
                <w:rFonts w:cs="Arial"/>
                <w:sz w:val="16"/>
                <w:szCs w:val="16"/>
                <w:lang w:val="en-US"/>
              </w:rPr>
              <w:t>[</w:t>
            </w:r>
            <w:r>
              <w:rPr>
                <w:rFonts w:cs="Arial"/>
                <w:sz w:val="16"/>
                <w:szCs w:val="16"/>
                <w:lang w:val="en-US"/>
              </w:rPr>
              <w:t>EU] [</w:t>
            </w:r>
            <w:r w:rsidRPr="0055040B">
              <w:rPr>
                <w:rFonts w:cs="Arial"/>
                <w:sz w:val="16"/>
                <w:szCs w:val="16"/>
                <w:lang w:val="en-US"/>
              </w:rPr>
              <w:t>new indication]</w:t>
            </w:r>
            <w:r>
              <w:rPr>
                <w:rFonts w:cs="Arial"/>
                <w:sz w:val="16"/>
                <w:szCs w:val="16"/>
                <w:lang w:val="en-US"/>
              </w:rPr>
              <w:t xml:space="preserve"> </w:t>
            </w:r>
            <w:r>
              <w:rPr>
                <w:rFonts w:cs="Arial"/>
                <w:i/>
                <w:iCs/>
                <w:sz w:val="16"/>
                <w:szCs w:val="16"/>
                <w:lang w:val="en-US"/>
              </w:rPr>
              <w:t>Note: Already approved in the UK</w:t>
            </w:r>
          </w:p>
        </w:tc>
      </w:tr>
      <w:tr w:rsidR="00BC3010" w:rsidRPr="00A075A3" w14:paraId="75926BE1" w14:textId="77777777" w:rsidTr="001268AB">
        <w:tc>
          <w:tcPr>
            <w:tcW w:w="1360" w:type="pct"/>
            <w:gridSpan w:val="2"/>
            <w:shd w:val="clear" w:color="auto" w:fill="auto"/>
            <w:tcMar>
              <w:top w:w="57" w:type="dxa"/>
              <w:bottom w:w="57" w:type="dxa"/>
            </w:tcMar>
          </w:tcPr>
          <w:p w14:paraId="7F6CD5A8" w14:textId="651574AC" w:rsidR="00BC3010" w:rsidRPr="00301869" w:rsidRDefault="00BC3010" w:rsidP="00BC3010">
            <w:r>
              <w:t>Trametinib (</w:t>
            </w:r>
            <w:proofErr w:type="spellStart"/>
            <w:r>
              <w:rPr>
                <w:i/>
                <w:iCs/>
              </w:rPr>
              <w:t>Spexotras</w:t>
            </w:r>
            <w:proofErr w:type="spellEnd"/>
            <w:r>
              <w:t>)</w:t>
            </w:r>
          </w:p>
        </w:tc>
        <w:tc>
          <w:tcPr>
            <w:tcW w:w="3640" w:type="pct"/>
            <w:shd w:val="clear" w:color="auto" w:fill="auto"/>
            <w:tcMar>
              <w:top w:w="57" w:type="dxa"/>
              <w:bottom w:w="57" w:type="dxa"/>
            </w:tcMar>
          </w:tcPr>
          <w:p w14:paraId="0D4D9D26" w14:textId="69A65461" w:rsidR="00BC3010" w:rsidRPr="00301869" w:rsidRDefault="00BC3010" w:rsidP="00BC3010">
            <w:pPr>
              <w:tabs>
                <w:tab w:val="num" w:pos="720"/>
                <w:tab w:val="center" w:pos="3152"/>
              </w:tabs>
              <w:rPr>
                <w:rFonts w:cs="Arial"/>
                <w:szCs w:val="19"/>
                <w:lang w:val="en-US"/>
              </w:rPr>
            </w:pPr>
            <w:r>
              <w:rPr>
                <w:rFonts w:cs="Arial"/>
                <w:szCs w:val="19"/>
                <w:lang w:val="en-US"/>
              </w:rPr>
              <w:t xml:space="preserve">Use </w:t>
            </w:r>
            <w:r w:rsidRPr="00301869">
              <w:rPr>
                <w:rFonts w:cs="Arial"/>
                <w:szCs w:val="19"/>
                <w:lang w:val="en-US"/>
              </w:rPr>
              <w:t xml:space="preserve">in combination with dabrafenib for treatment of paediatric patients aged </w:t>
            </w:r>
            <w:r>
              <w:rPr>
                <w:rFonts w:cs="Arial"/>
                <w:szCs w:val="19"/>
                <w:lang w:val="en-US"/>
              </w:rPr>
              <w:t>≥</w:t>
            </w:r>
            <w:r w:rsidRPr="00301869">
              <w:rPr>
                <w:rFonts w:cs="Arial"/>
                <w:szCs w:val="19"/>
                <w:lang w:val="en-US"/>
              </w:rPr>
              <w:t xml:space="preserve">1 year with low-grade glioma with a BRAF V600E mutation who require systemic therapy, and </w:t>
            </w:r>
            <w:r>
              <w:rPr>
                <w:rFonts w:cs="Arial"/>
                <w:szCs w:val="19"/>
                <w:lang w:val="en-US"/>
              </w:rPr>
              <w:t>use</w:t>
            </w:r>
            <w:r w:rsidRPr="00301869">
              <w:rPr>
                <w:rFonts w:cs="Arial"/>
                <w:szCs w:val="19"/>
                <w:lang w:val="en-US"/>
              </w:rPr>
              <w:t xml:space="preserve"> in combination with dabrafenib for treatment of paediatric patients aged </w:t>
            </w:r>
            <w:r>
              <w:rPr>
                <w:rFonts w:cs="Arial"/>
                <w:szCs w:val="19"/>
                <w:lang w:val="en-US"/>
              </w:rPr>
              <w:t>≥</w:t>
            </w:r>
            <w:r w:rsidRPr="00301869">
              <w:rPr>
                <w:rFonts w:cs="Arial"/>
                <w:szCs w:val="19"/>
                <w:lang w:val="en-US"/>
              </w:rPr>
              <w:t>1 year with high-grade glioma with a BRAF V600E mutation who have received at least one prior radiation and/or chemotherapy treatment</w:t>
            </w:r>
            <w:r>
              <w:rPr>
                <w:rFonts w:cs="Arial"/>
                <w:szCs w:val="19"/>
                <w:lang w:val="en-US"/>
              </w:rPr>
              <w:t xml:space="preserve"> </w:t>
            </w:r>
            <w:r w:rsidRPr="0055040B">
              <w:rPr>
                <w:rFonts w:cs="Arial"/>
                <w:sz w:val="16"/>
                <w:szCs w:val="16"/>
                <w:lang w:val="en-US"/>
              </w:rPr>
              <w:t>[</w:t>
            </w:r>
            <w:r>
              <w:rPr>
                <w:rFonts w:cs="Arial"/>
                <w:sz w:val="16"/>
                <w:szCs w:val="16"/>
                <w:lang w:val="en-US"/>
              </w:rPr>
              <w:t>EU]</w:t>
            </w:r>
          </w:p>
        </w:tc>
      </w:tr>
      <w:tr w:rsidR="00BC3010" w:rsidRPr="00A075A3" w14:paraId="3A7E96E1" w14:textId="77777777" w:rsidTr="001268AB">
        <w:tc>
          <w:tcPr>
            <w:tcW w:w="1360" w:type="pct"/>
            <w:gridSpan w:val="2"/>
            <w:shd w:val="clear" w:color="auto" w:fill="auto"/>
            <w:tcMar>
              <w:top w:w="57" w:type="dxa"/>
              <w:bottom w:w="57" w:type="dxa"/>
            </w:tcMar>
          </w:tcPr>
          <w:p w14:paraId="74EB2D27" w14:textId="43875A9A" w:rsidR="00BC3010" w:rsidRPr="00691BD7" w:rsidRDefault="00BC3010" w:rsidP="00BC3010">
            <w:r>
              <w:t>Ustekinumab biosimilar (</w:t>
            </w:r>
            <w:proofErr w:type="spellStart"/>
            <w:r>
              <w:rPr>
                <w:i/>
                <w:iCs/>
              </w:rPr>
              <w:t>Uzpruvo</w:t>
            </w:r>
            <w:proofErr w:type="spellEnd"/>
            <w:r>
              <w:t>)</w:t>
            </w:r>
          </w:p>
        </w:tc>
        <w:tc>
          <w:tcPr>
            <w:tcW w:w="3640" w:type="pct"/>
            <w:shd w:val="clear" w:color="auto" w:fill="auto"/>
            <w:tcMar>
              <w:top w:w="57" w:type="dxa"/>
              <w:bottom w:w="57" w:type="dxa"/>
            </w:tcMar>
          </w:tcPr>
          <w:p w14:paraId="7D302168" w14:textId="40D243A5" w:rsidR="00BC3010" w:rsidRDefault="00BC3010" w:rsidP="00BC3010">
            <w:pPr>
              <w:tabs>
                <w:tab w:val="num" w:pos="720"/>
                <w:tab w:val="center" w:pos="3152"/>
              </w:tabs>
              <w:rPr>
                <w:rFonts w:cs="Arial"/>
                <w:szCs w:val="19"/>
                <w:lang w:val="en-US"/>
              </w:rPr>
            </w:pPr>
            <w:r w:rsidRPr="00691BD7">
              <w:rPr>
                <w:rFonts w:cs="Arial"/>
                <w:szCs w:val="19"/>
                <w:lang w:val="en-US"/>
              </w:rPr>
              <w:t>Treatment of moderate to severe plaque psoriasis in adults who failed to respond to, or who have a contraindication to, or are intolerant to other systemic therapies including ciclosporin, methotrexate (MTX) or PUVA (psoralen and ultraviolet A)</w:t>
            </w:r>
            <w:r w:rsidR="001761BF">
              <w:rPr>
                <w:rFonts w:cs="Arial"/>
                <w:szCs w:val="19"/>
                <w:lang w:val="en-US"/>
              </w:rPr>
              <w:t>;</w:t>
            </w:r>
            <w:r w:rsidRPr="00691BD7">
              <w:rPr>
                <w:rFonts w:cs="Arial"/>
                <w:szCs w:val="19"/>
                <w:lang w:val="en-US"/>
              </w:rPr>
              <w:t xml:space="preserve"> treatment of moderate to severe plaque psoriasis in children and adolescent patients </w:t>
            </w:r>
            <w:r>
              <w:rPr>
                <w:rFonts w:cs="Arial"/>
                <w:szCs w:val="19"/>
                <w:lang w:val="en-US"/>
              </w:rPr>
              <w:t>aged ≥6</w:t>
            </w:r>
            <w:r w:rsidRPr="00691BD7">
              <w:rPr>
                <w:rFonts w:cs="Arial"/>
                <w:szCs w:val="19"/>
                <w:lang w:val="en-US"/>
              </w:rPr>
              <w:t xml:space="preserve"> years who are inadequately controlled by, or are intolerant to, other systemic therapies or phototherapies</w:t>
            </w:r>
            <w:r w:rsidR="001761BF">
              <w:rPr>
                <w:rFonts w:cs="Arial"/>
                <w:szCs w:val="19"/>
                <w:lang w:val="en-US"/>
              </w:rPr>
              <w:t>;</w:t>
            </w:r>
            <w:r>
              <w:rPr>
                <w:rFonts w:cs="Arial"/>
                <w:szCs w:val="19"/>
                <w:lang w:val="en-US"/>
              </w:rPr>
              <w:t xml:space="preserve"> use</w:t>
            </w:r>
            <w:r w:rsidRPr="00691BD7">
              <w:rPr>
                <w:rFonts w:cs="Arial"/>
                <w:szCs w:val="19"/>
                <w:lang w:val="en-US"/>
              </w:rPr>
              <w:t xml:space="preserve"> alone or in combination with MTX</w:t>
            </w:r>
            <w:r>
              <w:rPr>
                <w:rFonts w:cs="Arial"/>
                <w:szCs w:val="19"/>
                <w:lang w:val="en-US"/>
              </w:rPr>
              <w:t xml:space="preserve"> </w:t>
            </w:r>
            <w:r w:rsidRPr="00691BD7">
              <w:rPr>
                <w:rFonts w:cs="Arial"/>
                <w:szCs w:val="19"/>
                <w:lang w:val="en-US"/>
              </w:rPr>
              <w:t>for treatment of active psoriatic arthritis in adults when the response to previous non-biological disease-modifying anti-rheumatic drug therapy has been inadequate</w:t>
            </w:r>
            <w:r w:rsidR="001761BF">
              <w:rPr>
                <w:rFonts w:cs="Arial"/>
                <w:szCs w:val="19"/>
                <w:lang w:val="en-US"/>
              </w:rPr>
              <w:t>;</w:t>
            </w:r>
            <w:r>
              <w:rPr>
                <w:rFonts w:cs="Arial"/>
                <w:szCs w:val="19"/>
                <w:lang w:val="en-US"/>
              </w:rPr>
              <w:t xml:space="preserve"> and </w:t>
            </w:r>
            <w:r w:rsidRPr="00691BD7">
              <w:rPr>
                <w:rFonts w:cs="Arial"/>
                <w:szCs w:val="19"/>
                <w:lang w:val="en-US"/>
              </w:rPr>
              <w:t>treatment of adult</w:t>
            </w:r>
            <w:r>
              <w:rPr>
                <w:rFonts w:cs="Arial"/>
                <w:szCs w:val="19"/>
                <w:lang w:val="en-US"/>
              </w:rPr>
              <w:t>s</w:t>
            </w:r>
            <w:r w:rsidRPr="00691BD7">
              <w:rPr>
                <w:rFonts w:cs="Arial"/>
                <w:szCs w:val="19"/>
                <w:lang w:val="en-US"/>
              </w:rPr>
              <w:t xml:space="preserve"> with moderately to severely active Crohn’s disease who have had an inadequate response with, lost response to, or were intolerant to either conventional therapy or a TNFα antagonist or have medical contraindications to such therapies</w:t>
            </w:r>
            <w:r>
              <w:rPr>
                <w:rFonts w:cs="Arial"/>
                <w:szCs w:val="19"/>
                <w:lang w:val="en-US"/>
              </w:rPr>
              <w:t xml:space="preserve"> </w:t>
            </w:r>
            <w:r w:rsidRPr="0055040B">
              <w:rPr>
                <w:rFonts w:cs="Arial"/>
                <w:sz w:val="16"/>
                <w:szCs w:val="16"/>
                <w:lang w:val="en-US"/>
              </w:rPr>
              <w:t>[</w:t>
            </w:r>
            <w:r>
              <w:rPr>
                <w:rFonts w:cs="Arial"/>
                <w:sz w:val="16"/>
                <w:szCs w:val="16"/>
                <w:lang w:val="en-US"/>
              </w:rPr>
              <w:t>EU]</w:t>
            </w:r>
          </w:p>
        </w:tc>
      </w:tr>
      <w:tr w:rsidR="00BC3010" w:rsidRPr="000F19E1" w14:paraId="64055C42" w14:textId="77777777" w:rsidTr="001268AB">
        <w:tc>
          <w:tcPr>
            <w:tcW w:w="1360" w:type="pct"/>
            <w:gridSpan w:val="2"/>
            <w:shd w:val="clear" w:color="auto" w:fill="auto"/>
            <w:tcMar>
              <w:top w:w="0" w:type="dxa"/>
              <w:bottom w:w="0" w:type="dxa"/>
            </w:tcMar>
          </w:tcPr>
          <w:p w14:paraId="0D4195F8" w14:textId="77777777" w:rsidR="00BC3010" w:rsidRPr="000F19E1" w:rsidRDefault="00BC3010" w:rsidP="00BC3010">
            <w:pPr>
              <w:rPr>
                <w:rFonts w:cs="Arial"/>
                <w:bCs/>
                <w:sz w:val="8"/>
                <w:szCs w:val="8"/>
              </w:rPr>
            </w:pPr>
          </w:p>
        </w:tc>
        <w:tc>
          <w:tcPr>
            <w:tcW w:w="3640" w:type="pct"/>
            <w:shd w:val="clear" w:color="auto" w:fill="auto"/>
            <w:tcMar>
              <w:top w:w="0" w:type="dxa"/>
              <w:bottom w:w="0" w:type="dxa"/>
            </w:tcMar>
          </w:tcPr>
          <w:p w14:paraId="28230F0E" w14:textId="77777777" w:rsidR="00BC3010" w:rsidRPr="000F19E1" w:rsidRDefault="00BC3010" w:rsidP="00BC3010">
            <w:pPr>
              <w:tabs>
                <w:tab w:val="center" w:pos="3152"/>
              </w:tabs>
              <w:rPr>
                <w:rFonts w:cs="Arial"/>
                <w:sz w:val="8"/>
                <w:szCs w:val="8"/>
                <w:lang w:val="en-US"/>
              </w:rPr>
            </w:pPr>
          </w:p>
        </w:tc>
      </w:tr>
      <w:tr w:rsidR="00BC3010" w:rsidRPr="000F19E1" w14:paraId="76CBF712" w14:textId="77777777" w:rsidTr="00155BD9">
        <w:tc>
          <w:tcPr>
            <w:tcW w:w="1152" w:type="pct"/>
            <w:shd w:val="clear" w:color="auto" w:fill="DAEEF3"/>
            <w:tcMar>
              <w:top w:w="0" w:type="dxa"/>
              <w:bottom w:w="0" w:type="dxa"/>
            </w:tcMar>
          </w:tcPr>
          <w:p w14:paraId="3CB13774" w14:textId="77777777" w:rsidR="00BC3010" w:rsidRPr="000F19E1" w:rsidRDefault="00BC3010" w:rsidP="00BC3010">
            <w:pPr>
              <w:rPr>
                <w:rFonts w:cs="Arial"/>
                <w:bCs/>
                <w:sz w:val="8"/>
                <w:szCs w:val="8"/>
              </w:rPr>
            </w:pPr>
          </w:p>
        </w:tc>
        <w:tc>
          <w:tcPr>
            <w:tcW w:w="3848" w:type="pct"/>
            <w:gridSpan w:val="2"/>
            <w:shd w:val="clear" w:color="auto" w:fill="DAEEF3"/>
            <w:tcMar>
              <w:top w:w="0" w:type="dxa"/>
              <w:bottom w:w="0" w:type="dxa"/>
            </w:tcMar>
          </w:tcPr>
          <w:p w14:paraId="75A9310F" w14:textId="77777777" w:rsidR="00BC3010" w:rsidRPr="000F19E1" w:rsidRDefault="00BC3010" w:rsidP="00BC3010">
            <w:pPr>
              <w:tabs>
                <w:tab w:val="center" w:pos="3152"/>
              </w:tabs>
              <w:rPr>
                <w:rFonts w:cs="Arial"/>
                <w:sz w:val="8"/>
                <w:szCs w:val="8"/>
                <w:lang w:val="en-US"/>
              </w:rPr>
            </w:pPr>
          </w:p>
        </w:tc>
      </w:tr>
      <w:tr w:rsidR="00BC3010" w:rsidRPr="00433D3E" w14:paraId="65C6866D" w14:textId="77777777" w:rsidTr="00155BD9">
        <w:tc>
          <w:tcPr>
            <w:tcW w:w="5000" w:type="pct"/>
            <w:gridSpan w:val="3"/>
            <w:shd w:val="clear" w:color="auto" w:fill="00B050"/>
            <w:tcMar>
              <w:top w:w="57" w:type="dxa"/>
              <w:bottom w:w="57" w:type="dxa"/>
            </w:tcMar>
          </w:tcPr>
          <w:p w14:paraId="09D259AA" w14:textId="77777777" w:rsidR="00BC3010" w:rsidRPr="00433D3E" w:rsidRDefault="00BC3010" w:rsidP="00BC3010">
            <w:pPr>
              <w:rPr>
                <w:rFonts w:cs="Arial"/>
                <w:noProof/>
                <w:color w:val="FFFFFF"/>
                <w:sz w:val="16"/>
                <w:szCs w:val="16"/>
              </w:rPr>
            </w:pPr>
            <w:r w:rsidRPr="00433D3E">
              <w:rPr>
                <w:rFonts w:cs="Arial"/>
                <w:b/>
                <w:bCs/>
                <w:i/>
                <w:iCs/>
                <w:color w:val="FFFFFF"/>
                <w:sz w:val="22"/>
                <w:szCs w:val="20"/>
                <w:lang w:val="en-US"/>
              </w:rPr>
              <w:t xml:space="preserve">Filed for approval in the </w:t>
            </w:r>
            <w:r>
              <w:rPr>
                <w:rFonts w:cs="Arial"/>
                <w:b/>
                <w:bCs/>
                <w:i/>
                <w:iCs/>
                <w:color w:val="FFFFFF"/>
                <w:sz w:val="22"/>
                <w:szCs w:val="20"/>
                <w:lang w:val="en-US"/>
              </w:rPr>
              <w:t xml:space="preserve">UK or </w:t>
            </w:r>
            <w:r w:rsidRPr="00433D3E">
              <w:rPr>
                <w:rFonts w:cs="Arial"/>
                <w:b/>
                <w:bCs/>
                <w:i/>
                <w:iCs/>
                <w:color w:val="FFFFFF"/>
                <w:sz w:val="22"/>
                <w:szCs w:val="20"/>
                <w:lang w:val="en-US"/>
              </w:rPr>
              <w:t>EU</w:t>
            </w:r>
          </w:p>
        </w:tc>
      </w:tr>
      <w:tr w:rsidR="00BC3010" w:rsidRPr="00A075A3" w14:paraId="48F23220" w14:textId="77777777" w:rsidTr="001268AB">
        <w:tc>
          <w:tcPr>
            <w:tcW w:w="1360" w:type="pct"/>
            <w:gridSpan w:val="2"/>
            <w:shd w:val="clear" w:color="auto" w:fill="auto"/>
            <w:tcMar>
              <w:top w:w="57" w:type="dxa"/>
              <w:bottom w:w="57" w:type="dxa"/>
            </w:tcMar>
          </w:tcPr>
          <w:p w14:paraId="0C20023B" w14:textId="16889649" w:rsidR="00BC3010" w:rsidRPr="00C466BC" w:rsidRDefault="00BC3010" w:rsidP="00BC3010">
            <w:pPr>
              <w:rPr>
                <w:rFonts w:cs="Arial"/>
                <w:szCs w:val="19"/>
              </w:rPr>
            </w:pPr>
            <w:r w:rsidRPr="002D191E">
              <w:rPr>
                <w:rFonts w:cs="Arial"/>
                <w:szCs w:val="19"/>
              </w:rPr>
              <w:t>Amino acids </w:t>
            </w:r>
          </w:p>
        </w:tc>
        <w:tc>
          <w:tcPr>
            <w:tcW w:w="3640" w:type="pct"/>
            <w:shd w:val="clear" w:color="auto" w:fill="auto"/>
            <w:tcMar>
              <w:top w:w="57" w:type="dxa"/>
              <w:bottom w:w="57" w:type="dxa"/>
            </w:tcMar>
          </w:tcPr>
          <w:p w14:paraId="430243DC" w14:textId="517CF41A" w:rsidR="00BC3010" w:rsidRPr="00A075A3" w:rsidRDefault="00BC3010" w:rsidP="00BC3010">
            <w:pPr>
              <w:tabs>
                <w:tab w:val="center" w:pos="3152"/>
              </w:tabs>
              <w:rPr>
                <w:rFonts w:cs="Arial"/>
                <w:szCs w:val="19"/>
                <w:lang w:val="en-US"/>
              </w:rPr>
            </w:pPr>
            <w:r>
              <w:rPr>
                <w:rFonts w:cs="Arial"/>
                <w:szCs w:val="19"/>
                <w:lang w:val="en-US"/>
              </w:rPr>
              <w:t>T</w:t>
            </w:r>
            <w:r w:rsidRPr="002D191E">
              <w:rPr>
                <w:rFonts w:cs="Arial"/>
                <w:szCs w:val="19"/>
                <w:lang w:val="en-US"/>
              </w:rPr>
              <w:t xml:space="preserve">reatment of decompensation episodes in </w:t>
            </w:r>
            <w:r>
              <w:rPr>
                <w:rFonts w:cs="Arial"/>
                <w:szCs w:val="19"/>
                <w:lang w:val="en-US"/>
              </w:rPr>
              <w:t>m</w:t>
            </w:r>
            <w:r w:rsidRPr="002D191E">
              <w:rPr>
                <w:rFonts w:cs="Arial"/>
                <w:szCs w:val="19"/>
                <w:lang w:val="en-US"/>
              </w:rPr>
              <w:t>aple syrup urine disease patients</w:t>
            </w:r>
            <w:r>
              <w:rPr>
                <w:rFonts w:cs="Arial"/>
                <w:szCs w:val="19"/>
                <w:lang w:val="en-US"/>
              </w:rPr>
              <w:t xml:space="preserve"> </w:t>
            </w:r>
            <w:r w:rsidRPr="00B92CDA">
              <w:rPr>
                <w:rFonts w:cs="Arial"/>
                <w:sz w:val="16"/>
                <w:szCs w:val="16"/>
                <w:lang w:val="en-US"/>
              </w:rPr>
              <w:t>[EU]</w:t>
            </w:r>
          </w:p>
        </w:tc>
      </w:tr>
      <w:tr w:rsidR="00BC3010" w:rsidRPr="00A075A3" w14:paraId="0177EA09" w14:textId="77777777" w:rsidTr="001268AB">
        <w:tc>
          <w:tcPr>
            <w:tcW w:w="1360" w:type="pct"/>
            <w:gridSpan w:val="2"/>
            <w:shd w:val="clear" w:color="auto" w:fill="auto"/>
            <w:tcMar>
              <w:top w:w="57" w:type="dxa"/>
              <w:bottom w:w="57" w:type="dxa"/>
            </w:tcMar>
          </w:tcPr>
          <w:p w14:paraId="078A8CB3" w14:textId="491E27F3" w:rsidR="00BC3010" w:rsidRDefault="00BC3010" w:rsidP="00BC3010">
            <w:pPr>
              <w:rPr>
                <w:rFonts w:cs="Arial"/>
                <w:szCs w:val="19"/>
              </w:rPr>
            </w:pPr>
            <w:r w:rsidRPr="00A40717">
              <w:rPr>
                <w:rFonts w:cs="Arial"/>
                <w:szCs w:val="19"/>
              </w:rPr>
              <w:t>Aztreonam + avibactam</w:t>
            </w:r>
          </w:p>
        </w:tc>
        <w:tc>
          <w:tcPr>
            <w:tcW w:w="3640" w:type="pct"/>
            <w:shd w:val="clear" w:color="auto" w:fill="auto"/>
            <w:tcMar>
              <w:top w:w="57" w:type="dxa"/>
              <w:bottom w:w="57" w:type="dxa"/>
            </w:tcMar>
          </w:tcPr>
          <w:p w14:paraId="69446F8A" w14:textId="36EFE57D" w:rsidR="00BC3010" w:rsidRPr="004340DD" w:rsidRDefault="00BC3010" w:rsidP="00BC3010">
            <w:pPr>
              <w:tabs>
                <w:tab w:val="center" w:pos="3152"/>
              </w:tabs>
              <w:rPr>
                <w:rFonts w:cs="Arial"/>
                <w:szCs w:val="19"/>
                <w:lang w:val="en-US"/>
              </w:rPr>
            </w:pPr>
            <w:r>
              <w:rPr>
                <w:rFonts w:cs="Arial"/>
                <w:szCs w:val="19"/>
                <w:lang w:val="en-US"/>
              </w:rPr>
              <w:t>Serious b</w:t>
            </w:r>
            <w:r w:rsidRPr="00F92BB5">
              <w:rPr>
                <w:rFonts w:cs="Arial"/>
                <w:szCs w:val="19"/>
                <w:lang w:val="en-US"/>
              </w:rPr>
              <w:t xml:space="preserve">acterial infections due to gram-negative </w:t>
            </w:r>
            <w:r>
              <w:rPr>
                <w:rFonts w:cs="Arial"/>
                <w:szCs w:val="19"/>
                <w:lang w:val="en-US"/>
              </w:rPr>
              <w:t xml:space="preserve">bacteria </w:t>
            </w:r>
            <w:r w:rsidRPr="00F92BB5">
              <w:rPr>
                <w:rFonts w:cs="Arial"/>
                <w:szCs w:val="19"/>
                <w:lang w:val="en-US"/>
              </w:rPr>
              <w:t xml:space="preserve">in adults </w:t>
            </w:r>
            <w:r w:rsidRPr="00B92CDA">
              <w:rPr>
                <w:rFonts w:cs="Arial"/>
                <w:sz w:val="16"/>
                <w:szCs w:val="16"/>
                <w:lang w:val="en-US"/>
              </w:rPr>
              <w:t>[EU]</w:t>
            </w:r>
            <w:r>
              <w:rPr>
                <w:rFonts w:cs="Arial"/>
                <w:sz w:val="16"/>
                <w:szCs w:val="16"/>
                <w:lang w:val="en-US"/>
              </w:rPr>
              <w:t xml:space="preserve"> [new formulation]</w:t>
            </w:r>
          </w:p>
        </w:tc>
      </w:tr>
      <w:tr w:rsidR="00BC3010" w:rsidRPr="00A075A3" w14:paraId="6C39661F" w14:textId="77777777" w:rsidTr="001268AB">
        <w:tc>
          <w:tcPr>
            <w:tcW w:w="1360" w:type="pct"/>
            <w:gridSpan w:val="2"/>
            <w:shd w:val="clear" w:color="auto" w:fill="auto"/>
            <w:tcMar>
              <w:top w:w="57" w:type="dxa"/>
              <w:bottom w:w="57" w:type="dxa"/>
            </w:tcMar>
          </w:tcPr>
          <w:p w14:paraId="726D12A5" w14:textId="77777777" w:rsidR="00BC3010" w:rsidRDefault="00BC3010" w:rsidP="00BC3010">
            <w:pPr>
              <w:rPr>
                <w:rFonts w:cs="Arial"/>
                <w:szCs w:val="19"/>
              </w:rPr>
            </w:pPr>
            <w:proofErr w:type="spellStart"/>
            <w:r w:rsidRPr="00FF115F">
              <w:rPr>
                <w:rFonts w:cs="Arial"/>
                <w:szCs w:val="19"/>
              </w:rPr>
              <w:t>Beremagene</w:t>
            </w:r>
            <w:proofErr w:type="spellEnd"/>
            <w:r w:rsidRPr="00FF115F">
              <w:rPr>
                <w:rFonts w:cs="Arial"/>
                <w:szCs w:val="19"/>
              </w:rPr>
              <w:t xml:space="preserve"> </w:t>
            </w:r>
            <w:proofErr w:type="spellStart"/>
            <w:r w:rsidRPr="00FF115F">
              <w:rPr>
                <w:rFonts w:cs="Arial"/>
                <w:szCs w:val="19"/>
              </w:rPr>
              <w:t>geperpavec</w:t>
            </w:r>
            <w:proofErr w:type="spellEnd"/>
            <w:r w:rsidRPr="00FF115F">
              <w:rPr>
                <w:rFonts w:cs="Arial"/>
                <w:szCs w:val="19"/>
              </w:rPr>
              <w:t> </w:t>
            </w:r>
          </w:p>
          <w:p w14:paraId="200EAAA8" w14:textId="4958E59A" w:rsidR="00BC3010" w:rsidRPr="00FF115F" w:rsidRDefault="00BC3010" w:rsidP="00BC3010">
            <w:pPr>
              <w:rPr>
                <w:rFonts w:cs="Arial"/>
                <w:szCs w:val="19"/>
              </w:rPr>
            </w:pPr>
            <w:r>
              <w:rPr>
                <w:rFonts w:cs="Arial"/>
                <w:szCs w:val="19"/>
              </w:rPr>
              <w:t>(</w:t>
            </w:r>
            <w:proofErr w:type="spellStart"/>
            <w:r>
              <w:rPr>
                <w:rFonts w:cs="Arial"/>
                <w:i/>
                <w:iCs/>
                <w:szCs w:val="19"/>
              </w:rPr>
              <w:t>Vyjuvek</w:t>
            </w:r>
            <w:proofErr w:type="spellEnd"/>
            <w:r>
              <w:rPr>
                <w:rFonts w:cs="Arial"/>
                <w:szCs w:val="19"/>
              </w:rPr>
              <w:t>)</w:t>
            </w:r>
          </w:p>
        </w:tc>
        <w:tc>
          <w:tcPr>
            <w:tcW w:w="3640" w:type="pct"/>
            <w:shd w:val="clear" w:color="auto" w:fill="auto"/>
            <w:tcMar>
              <w:top w:w="57" w:type="dxa"/>
              <w:bottom w:w="57" w:type="dxa"/>
            </w:tcMar>
          </w:tcPr>
          <w:p w14:paraId="6DB5A2F4" w14:textId="01ACD46C" w:rsidR="00BC3010" w:rsidRPr="004340DD" w:rsidRDefault="00BC3010" w:rsidP="00BC3010">
            <w:pPr>
              <w:tabs>
                <w:tab w:val="center" w:pos="3152"/>
              </w:tabs>
              <w:rPr>
                <w:rFonts w:cs="Arial"/>
                <w:szCs w:val="19"/>
                <w:lang w:val="en-US"/>
              </w:rPr>
            </w:pPr>
            <w:r>
              <w:rPr>
                <w:rFonts w:cs="Arial"/>
                <w:szCs w:val="19"/>
                <w:lang w:val="en-US"/>
              </w:rPr>
              <w:t xml:space="preserve">Treatment of skin wounds associated with </w:t>
            </w:r>
            <w:r w:rsidRPr="007A786E">
              <w:rPr>
                <w:rFonts w:cs="Arial"/>
                <w:szCs w:val="19"/>
                <w:lang w:val="en-US"/>
              </w:rPr>
              <w:t xml:space="preserve">dystrophic epidermolysis bullosa </w:t>
            </w:r>
            <w:r w:rsidRPr="007A786E">
              <w:rPr>
                <w:rFonts w:cs="Arial"/>
                <w:sz w:val="16"/>
                <w:szCs w:val="16"/>
                <w:lang w:val="en-US"/>
              </w:rPr>
              <w:t>[EU]</w:t>
            </w:r>
          </w:p>
        </w:tc>
      </w:tr>
      <w:tr w:rsidR="00BC3010" w:rsidRPr="00A075A3" w14:paraId="4BBC88C1" w14:textId="77777777" w:rsidTr="001268AB">
        <w:tc>
          <w:tcPr>
            <w:tcW w:w="1360" w:type="pct"/>
            <w:gridSpan w:val="2"/>
            <w:shd w:val="clear" w:color="auto" w:fill="auto"/>
            <w:tcMar>
              <w:top w:w="57" w:type="dxa"/>
              <w:bottom w:w="57" w:type="dxa"/>
            </w:tcMar>
          </w:tcPr>
          <w:p w14:paraId="0E79E259" w14:textId="69FC64E4" w:rsidR="00BC3010" w:rsidRPr="004340DD" w:rsidRDefault="00BC3010" w:rsidP="00BC3010">
            <w:pPr>
              <w:rPr>
                <w:rFonts w:cs="Arial"/>
                <w:i/>
                <w:iCs/>
                <w:szCs w:val="19"/>
              </w:rPr>
            </w:pPr>
            <w:proofErr w:type="spellStart"/>
            <w:r>
              <w:rPr>
                <w:rFonts w:cs="Arial"/>
                <w:szCs w:val="19"/>
              </w:rPr>
              <w:t>Bimekizumab</w:t>
            </w:r>
            <w:proofErr w:type="spellEnd"/>
            <w:r>
              <w:rPr>
                <w:rFonts w:cs="Arial"/>
                <w:szCs w:val="19"/>
              </w:rPr>
              <w:t xml:space="preserve"> (</w:t>
            </w:r>
            <w:proofErr w:type="spellStart"/>
            <w:r>
              <w:rPr>
                <w:rFonts w:cs="Arial"/>
                <w:i/>
                <w:iCs/>
                <w:szCs w:val="19"/>
              </w:rPr>
              <w:t>Bimzelx</w:t>
            </w:r>
            <w:proofErr w:type="spellEnd"/>
            <w:r>
              <w:rPr>
                <w:rFonts w:cs="Arial"/>
                <w:i/>
                <w:iCs/>
                <w:szCs w:val="19"/>
              </w:rPr>
              <w:t>)</w:t>
            </w:r>
          </w:p>
        </w:tc>
        <w:tc>
          <w:tcPr>
            <w:tcW w:w="3640" w:type="pct"/>
            <w:shd w:val="clear" w:color="auto" w:fill="auto"/>
            <w:tcMar>
              <w:top w:w="57" w:type="dxa"/>
              <w:bottom w:w="57" w:type="dxa"/>
            </w:tcMar>
          </w:tcPr>
          <w:p w14:paraId="74ED394F" w14:textId="3BD74C37" w:rsidR="00BC3010" w:rsidRPr="00A075A3" w:rsidRDefault="00BC3010" w:rsidP="00BC3010">
            <w:pPr>
              <w:tabs>
                <w:tab w:val="center" w:pos="3152"/>
              </w:tabs>
              <w:rPr>
                <w:rFonts w:cs="Arial"/>
                <w:szCs w:val="19"/>
                <w:lang w:val="en-US"/>
              </w:rPr>
            </w:pPr>
            <w:r w:rsidRPr="004340DD">
              <w:rPr>
                <w:rFonts w:cs="Arial"/>
                <w:szCs w:val="19"/>
                <w:lang w:val="en-US"/>
              </w:rPr>
              <w:t>Treatment of moderate to severe plaque psoriasis in adults who are candidates for systemic therapy</w:t>
            </w:r>
            <w:r>
              <w:rPr>
                <w:rFonts w:cs="Arial"/>
                <w:szCs w:val="19"/>
                <w:lang w:val="en-US"/>
              </w:rPr>
              <w:t xml:space="preserve"> </w:t>
            </w:r>
            <w:r w:rsidRPr="00B92CDA">
              <w:rPr>
                <w:rFonts w:cs="Arial"/>
                <w:sz w:val="16"/>
                <w:szCs w:val="16"/>
                <w:lang w:val="en-US"/>
              </w:rPr>
              <w:t>[EU]</w:t>
            </w:r>
            <w:r>
              <w:rPr>
                <w:rFonts w:cs="Arial"/>
                <w:sz w:val="16"/>
                <w:szCs w:val="16"/>
                <w:lang w:val="en-US"/>
              </w:rPr>
              <w:t xml:space="preserve"> [new 320mg prefilled pen and syringe formulations]</w:t>
            </w:r>
          </w:p>
        </w:tc>
      </w:tr>
      <w:tr w:rsidR="00BC3010" w:rsidRPr="00A075A3" w14:paraId="078624E2" w14:textId="77777777" w:rsidTr="001268AB">
        <w:tc>
          <w:tcPr>
            <w:tcW w:w="1360" w:type="pct"/>
            <w:gridSpan w:val="2"/>
            <w:shd w:val="clear" w:color="auto" w:fill="auto"/>
            <w:tcMar>
              <w:top w:w="57" w:type="dxa"/>
              <w:bottom w:w="57" w:type="dxa"/>
            </w:tcMar>
          </w:tcPr>
          <w:p w14:paraId="421D5109" w14:textId="5AB98393" w:rsidR="00BC3010" w:rsidRDefault="00BC3010" w:rsidP="00BC3010">
            <w:pPr>
              <w:rPr>
                <w:rFonts w:cs="Arial"/>
                <w:szCs w:val="19"/>
              </w:rPr>
            </w:pPr>
            <w:proofErr w:type="spellStart"/>
            <w:r>
              <w:rPr>
                <w:rFonts w:cs="Arial"/>
                <w:szCs w:val="19"/>
              </w:rPr>
              <w:t>Binimetinib</w:t>
            </w:r>
            <w:proofErr w:type="spellEnd"/>
            <w:r>
              <w:rPr>
                <w:rFonts w:cs="Arial"/>
                <w:szCs w:val="19"/>
              </w:rPr>
              <w:t xml:space="preserve"> (</w:t>
            </w:r>
            <w:proofErr w:type="spellStart"/>
            <w:r>
              <w:rPr>
                <w:rFonts w:cs="Arial"/>
                <w:i/>
                <w:iCs/>
                <w:szCs w:val="19"/>
              </w:rPr>
              <w:t>Mektovi</w:t>
            </w:r>
            <w:proofErr w:type="spellEnd"/>
            <w:r>
              <w:rPr>
                <w:rFonts w:cs="Arial"/>
                <w:szCs w:val="19"/>
              </w:rPr>
              <w:t>)</w:t>
            </w:r>
          </w:p>
        </w:tc>
        <w:tc>
          <w:tcPr>
            <w:tcW w:w="3640" w:type="pct"/>
            <w:shd w:val="clear" w:color="auto" w:fill="auto"/>
            <w:tcMar>
              <w:top w:w="57" w:type="dxa"/>
              <w:bottom w:w="57" w:type="dxa"/>
            </w:tcMar>
          </w:tcPr>
          <w:p w14:paraId="79BA9F82" w14:textId="5D79E4C9" w:rsidR="00BC3010" w:rsidRDefault="00BC3010" w:rsidP="00BC3010">
            <w:pPr>
              <w:tabs>
                <w:tab w:val="center" w:pos="3152"/>
              </w:tabs>
              <w:rPr>
                <w:rFonts w:cs="Arial"/>
                <w:szCs w:val="19"/>
                <w:lang w:val="en-US"/>
              </w:rPr>
            </w:pPr>
            <w:r>
              <w:rPr>
                <w:rFonts w:cs="Arial"/>
                <w:szCs w:val="19"/>
                <w:lang w:val="en-US"/>
              </w:rPr>
              <w:t xml:space="preserve">Use </w:t>
            </w:r>
            <w:r w:rsidRPr="00E30D55">
              <w:rPr>
                <w:rFonts w:cs="Arial"/>
                <w:szCs w:val="19"/>
                <w:lang w:val="en-US"/>
              </w:rPr>
              <w:t xml:space="preserve">in combination with </w:t>
            </w:r>
            <w:proofErr w:type="spellStart"/>
            <w:r w:rsidRPr="00E30D55">
              <w:rPr>
                <w:rFonts w:cs="Arial"/>
                <w:szCs w:val="19"/>
                <w:lang w:val="en-US"/>
              </w:rPr>
              <w:t>encorafenib</w:t>
            </w:r>
            <w:proofErr w:type="spellEnd"/>
            <w:r w:rsidRPr="00E30D55">
              <w:rPr>
                <w:rFonts w:cs="Arial"/>
                <w:szCs w:val="19"/>
                <w:lang w:val="en-US"/>
              </w:rPr>
              <w:t xml:space="preserve"> for treatment of adults with advanced non-small cell lung cancer with a BRAF V600 mutation</w:t>
            </w:r>
            <w:r>
              <w:rPr>
                <w:rFonts w:cs="Arial"/>
                <w:szCs w:val="19"/>
                <w:lang w:val="en-US"/>
              </w:rPr>
              <w:t xml:space="preserve"> </w:t>
            </w:r>
            <w:r w:rsidRPr="004C13F1">
              <w:rPr>
                <w:rFonts w:cs="Arial"/>
                <w:sz w:val="16"/>
                <w:szCs w:val="16"/>
                <w:lang w:val="en-US"/>
              </w:rPr>
              <w:t>[EU] [new indication]</w:t>
            </w:r>
          </w:p>
        </w:tc>
      </w:tr>
      <w:tr w:rsidR="00BC3010" w:rsidRPr="00A075A3" w14:paraId="5108B251" w14:textId="77777777" w:rsidTr="001268AB">
        <w:tc>
          <w:tcPr>
            <w:tcW w:w="1360" w:type="pct"/>
            <w:gridSpan w:val="2"/>
            <w:shd w:val="clear" w:color="auto" w:fill="auto"/>
            <w:tcMar>
              <w:top w:w="57" w:type="dxa"/>
              <w:bottom w:w="57" w:type="dxa"/>
            </w:tcMar>
          </w:tcPr>
          <w:p w14:paraId="2D77B6CE" w14:textId="0EF6C2C8" w:rsidR="00BC3010" w:rsidRPr="00133D16" w:rsidRDefault="00BC3010" w:rsidP="00BC3010">
            <w:pPr>
              <w:rPr>
                <w:rFonts w:cs="Arial"/>
                <w:szCs w:val="19"/>
              </w:rPr>
            </w:pPr>
            <w:proofErr w:type="spellStart"/>
            <w:r>
              <w:rPr>
                <w:rFonts w:cs="Arial"/>
                <w:szCs w:val="19"/>
              </w:rPr>
              <w:t>Binimetinib</w:t>
            </w:r>
            <w:proofErr w:type="spellEnd"/>
            <w:r>
              <w:rPr>
                <w:rFonts w:cs="Arial"/>
                <w:szCs w:val="19"/>
              </w:rPr>
              <w:t xml:space="preserve"> (</w:t>
            </w:r>
            <w:proofErr w:type="spellStart"/>
            <w:r>
              <w:rPr>
                <w:rFonts w:cs="Arial"/>
                <w:i/>
                <w:iCs/>
                <w:szCs w:val="19"/>
              </w:rPr>
              <w:t>Mektovi</w:t>
            </w:r>
            <w:proofErr w:type="spellEnd"/>
            <w:r>
              <w:rPr>
                <w:rFonts w:cs="Arial"/>
                <w:szCs w:val="19"/>
              </w:rPr>
              <w:t>)</w:t>
            </w:r>
          </w:p>
        </w:tc>
        <w:tc>
          <w:tcPr>
            <w:tcW w:w="3640" w:type="pct"/>
            <w:shd w:val="clear" w:color="auto" w:fill="auto"/>
            <w:tcMar>
              <w:top w:w="57" w:type="dxa"/>
              <w:bottom w:w="57" w:type="dxa"/>
            </w:tcMar>
          </w:tcPr>
          <w:p w14:paraId="64ACB781" w14:textId="284AD6AD" w:rsidR="00BC3010" w:rsidRDefault="00BC3010" w:rsidP="00BC3010">
            <w:pPr>
              <w:tabs>
                <w:tab w:val="center" w:pos="3152"/>
              </w:tabs>
              <w:rPr>
                <w:rFonts w:cs="Arial"/>
                <w:szCs w:val="19"/>
                <w:lang w:val="en-US"/>
              </w:rPr>
            </w:pPr>
            <w:r>
              <w:rPr>
                <w:rFonts w:cs="Arial"/>
                <w:szCs w:val="19"/>
                <w:lang w:val="en-US"/>
              </w:rPr>
              <w:t xml:space="preserve">Use </w:t>
            </w:r>
            <w:r w:rsidRPr="00133D16">
              <w:rPr>
                <w:rFonts w:cs="Arial"/>
                <w:szCs w:val="19"/>
                <w:lang w:val="en-US"/>
              </w:rPr>
              <w:t xml:space="preserve">in combination with </w:t>
            </w:r>
            <w:proofErr w:type="spellStart"/>
            <w:r w:rsidRPr="00133D16">
              <w:rPr>
                <w:rFonts w:cs="Arial"/>
                <w:szCs w:val="19"/>
                <w:lang w:val="en-US"/>
              </w:rPr>
              <w:t>encorafenib</w:t>
            </w:r>
            <w:proofErr w:type="spellEnd"/>
            <w:r w:rsidRPr="00133D16">
              <w:rPr>
                <w:rFonts w:cs="Arial"/>
                <w:szCs w:val="19"/>
                <w:lang w:val="en-US"/>
              </w:rPr>
              <w:t xml:space="preserve"> for treatment of adult</w:t>
            </w:r>
            <w:r>
              <w:rPr>
                <w:rFonts w:cs="Arial"/>
                <w:szCs w:val="19"/>
                <w:lang w:val="en-US"/>
              </w:rPr>
              <w:t>s</w:t>
            </w:r>
            <w:r w:rsidRPr="00133D16">
              <w:rPr>
                <w:rFonts w:cs="Arial"/>
                <w:szCs w:val="19"/>
                <w:lang w:val="en-US"/>
              </w:rPr>
              <w:t xml:space="preserve"> with unresectable or metastatic melanoma with a BRAF V600 mutation</w:t>
            </w:r>
            <w:r>
              <w:rPr>
                <w:rFonts w:cs="Arial"/>
                <w:szCs w:val="19"/>
                <w:lang w:val="en-US"/>
              </w:rPr>
              <w:t xml:space="preserve"> </w:t>
            </w:r>
            <w:r w:rsidRPr="00B92CDA">
              <w:rPr>
                <w:rFonts w:cs="Arial"/>
                <w:sz w:val="16"/>
                <w:szCs w:val="16"/>
                <w:lang w:val="en-US"/>
              </w:rPr>
              <w:t>[EU]</w:t>
            </w:r>
            <w:r>
              <w:rPr>
                <w:rFonts w:cs="Arial"/>
                <w:sz w:val="16"/>
                <w:szCs w:val="16"/>
                <w:lang w:val="en-US"/>
              </w:rPr>
              <w:t xml:space="preserve"> [new 45mg tablet</w:t>
            </w:r>
            <w:r w:rsidRPr="00B92CDA">
              <w:rPr>
                <w:rFonts w:cs="Arial"/>
                <w:sz w:val="16"/>
                <w:szCs w:val="16"/>
                <w:lang w:val="en-US"/>
              </w:rPr>
              <w:t xml:space="preserve"> formulation]</w:t>
            </w:r>
          </w:p>
        </w:tc>
      </w:tr>
      <w:tr w:rsidR="00BC3010" w:rsidRPr="00A075A3" w14:paraId="6491CABA" w14:textId="77777777" w:rsidTr="001268AB">
        <w:tc>
          <w:tcPr>
            <w:tcW w:w="1360" w:type="pct"/>
            <w:gridSpan w:val="2"/>
            <w:shd w:val="clear" w:color="auto" w:fill="auto"/>
            <w:tcMar>
              <w:top w:w="57" w:type="dxa"/>
              <w:bottom w:w="57" w:type="dxa"/>
            </w:tcMar>
          </w:tcPr>
          <w:p w14:paraId="283642BB" w14:textId="51C143C8" w:rsidR="00BC3010" w:rsidRDefault="00BC3010" w:rsidP="00BC3010">
            <w:pPr>
              <w:rPr>
                <w:rFonts w:cs="Arial"/>
                <w:szCs w:val="19"/>
              </w:rPr>
            </w:pPr>
            <w:proofErr w:type="spellStart"/>
            <w:r w:rsidRPr="00E02AC8">
              <w:rPr>
                <w:rFonts w:cs="Arial"/>
                <w:szCs w:val="19"/>
              </w:rPr>
              <w:t>Blarcamesine</w:t>
            </w:r>
            <w:proofErr w:type="spellEnd"/>
            <w:r>
              <w:rPr>
                <w:rFonts w:cs="Arial"/>
                <w:szCs w:val="19"/>
              </w:rPr>
              <w:t xml:space="preserve"> </w:t>
            </w:r>
          </w:p>
        </w:tc>
        <w:tc>
          <w:tcPr>
            <w:tcW w:w="3640" w:type="pct"/>
            <w:shd w:val="clear" w:color="auto" w:fill="auto"/>
            <w:tcMar>
              <w:top w:w="57" w:type="dxa"/>
              <w:bottom w:w="57" w:type="dxa"/>
            </w:tcMar>
          </w:tcPr>
          <w:p w14:paraId="44AAB941" w14:textId="1CD2322D" w:rsidR="00BC3010" w:rsidRPr="00DD62E5" w:rsidRDefault="00BC3010" w:rsidP="00BC3010">
            <w:pPr>
              <w:tabs>
                <w:tab w:val="center" w:pos="3152"/>
              </w:tabs>
              <w:rPr>
                <w:rFonts w:cs="Arial"/>
                <w:szCs w:val="19"/>
                <w:lang w:val="en-US"/>
              </w:rPr>
            </w:pPr>
            <w:r>
              <w:rPr>
                <w:rFonts w:cs="Arial"/>
                <w:szCs w:val="19"/>
                <w:lang w:val="en-US"/>
              </w:rPr>
              <w:t xml:space="preserve">Treatment of early </w:t>
            </w:r>
            <w:r w:rsidRPr="00E02AC8">
              <w:rPr>
                <w:rFonts w:cs="Arial"/>
                <w:szCs w:val="19"/>
                <w:lang w:val="en-US"/>
              </w:rPr>
              <w:t>Alzheimer's disease</w:t>
            </w:r>
            <w:r>
              <w:rPr>
                <w:rFonts w:cs="Arial"/>
                <w:szCs w:val="19"/>
                <w:lang w:val="en-US"/>
              </w:rPr>
              <w:t xml:space="preserve"> </w:t>
            </w:r>
            <w:r w:rsidRPr="00C007ED">
              <w:rPr>
                <w:rFonts w:cs="Arial"/>
                <w:sz w:val="16"/>
                <w:szCs w:val="16"/>
                <w:lang w:val="en-US"/>
              </w:rPr>
              <w:t>[EU]</w:t>
            </w:r>
          </w:p>
        </w:tc>
      </w:tr>
      <w:tr w:rsidR="00BC3010" w:rsidRPr="00A075A3" w14:paraId="5FA008E5" w14:textId="77777777" w:rsidTr="001268AB">
        <w:tc>
          <w:tcPr>
            <w:tcW w:w="1360" w:type="pct"/>
            <w:gridSpan w:val="2"/>
            <w:shd w:val="clear" w:color="auto" w:fill="auto"/>
            <w:tcMar>
              <w:top w:w="57" w:type="dxa"/>
              <w:bottom w:w="57" w:type="dxa"/>
            </w:tcMar>
          </w:tcPr>
          <w:p w14:paraId="70E76EDC" w14:textId="2CA74DA1" w:rsidR="00BC3010" w:rsidRPr="00DD62E5" w:rsidRDefault="00BC3010" w:rsidP="00BC3010">
            <w:pPr>
              <w:rPr>
                <w:rFonts w:cs="Arial"/>
                <w:szCs w:val="19"/>
              </w:rPr>
            </w:pPr>
            <w:r>
              <w:rPr>
                <w:rFonts w:cs="Arial"/>
                <w:szCs w:val="19"/>
              </w:rPr>
              <w:t>Budesonide (</w:t>
            </w:r>
            <w:proofErr w:type="spellStart"/>
            <w:r>
              <w:rPr>
                <w:rFonts w:cs="Arial"/>
                <w:i/>
                <w:iCs/>
                <w:szCs w:val="19"/>
              </w:rPr>
              <w:t>Kinpeygo</w:t>
            </w:r>
            <w:proofErr w:type="spellEnd"/>
            <w:r>
              <w:rPr>
                <w:rFonts w:cs="Arial"/>
                <w:szCs w:val="19"/>
              </w:rPr>
              <w:t>)</w:t>
            </w:r>
          </w:p>
        </w:tc>
        <w:tc>
          <w:tcPr>
            <w:tcW w:w="3640" w:type="pct"/>
            <w:shd w:val="clear" w:color="auto" w:fill="auto"/>
            <w:tcMar>
              <w:top w:w="57" w:type="dxa"/>
              <w:bottom w:w="57" w:type="dxa"/>
            </w:tcMar>
          </w:tcPr>
          <w:p w14:paraId="73AABBAD" w14:textId="7DBF29F7" w:rsidR="00BC3010" w:rsidRDefault="00BC3010" w:rsidP="00BC3010">
            <w:pPr>
              <w:tabs>
                <w:tab w:val="center" w:pos="3152"/>
              </w:tabs>
              <w:rPr>
                <w:rFonts w:cs="Arial"/>
                <w:sz w:val="16"/>
                <w:szCs w:val="16"/>
                <w:lang w:val="en-US"/>
              </w:rPr>
            </w:pPr>
            <w:r w:rsidRPr="00DD62E5">
              <w:rPr>
                <w:rFonts w:cs="Arial"/>
                <w:szCs w:val="19"/>
                <w:lang w:val="en-US"/>
              </w:rPr>
              <w:t>Treatment of primary immunoglobulin A nephropathy in adults at risk of rapid disease progression with a urine protein</w:t>
            </w:r>
            <w:r w:rsidR="001761BF">
              <w:rPr>
                <w:rFonts w:cs="Arial"/>
                <w:szCs w:val="19"/>
                <w:lang w:val="en-US"/>
              </w:rPr>
              <w:t>-</w:t>
            </w:r>
            <w:r w:rsidRPr="00DD62E5">
              <w:rPr>
                <w:rFonts w:cs="Arial"/>
                <w:szCs w:val="19"/>
                <w:lang w:val="en-US"/>
              </w:rPr>
              <w:t>to-creatinine ratio ≥1.5g/gram</w:t>
            </w:r>
            <w:r>
              <w:rPr>
                <w:rFonts w:cs="Arial"/>
                <w:szCs w:val="19"/>
                <w:lang w:val="en-US"/>
              </w:rPr>
              <w:t xml:space="preserve"> </w:t>
            </w:r>
            <w:r w:rsidRPr="00DD62E5">
              <w:rPr>
                <w:rFonts w:cs="Arial"/>
                <w:sz w:val="16"/>
                <w:szCs w:val="16"/>
                <w:lang w:val="en-US"/>
              </w:rPr>
              <w:t xml:space="preserve">[EU] </w:t>
            </w:r>
          </w:p>
          <w:p w14:paraId="7994E19C" w14:textId="3EC055DC" w:rsidR="00BC3010" w:rsidRPr="00DD62E5" w:rsidRDefault="00BC3010" w:rsidP="00BC3010">
            <w:pPr>
              <w:tabs>
                <w:tab w:val="center" w:pos="3152"/>
              </w:tabs>
              <w:rPr>
                <w:rFonts w:cs="Arial"/>
                <w:i/>
                <w:iCs/>
                <w:szCs w:val="19"/>
                <w:lang w:val="en-US"/>
              </w:rPr>
            </w:pPr>
            <w:r w:rsidRPr="00DD62E5">
              <w:rPr>
                <w:rFonts w:cs="Arial"/>
                <w:i/>
                <w:iCs/>
                <w:sz w:val="16"/>
                <w:szCs w:val="16"/>
                <w:lang w:val="en-US"/>
              </w:rPr>
              <w:t>Note: Filed for full approval; already has conditional approval</w:t>
            </w:r>
          </w:p>
        </w:tc>
      </w:tr>
      <w:tr w:rsidR="00BC3010" w:rsidRPr="00A075A3" w14:paraId="4E90E47E" w14:textId="77777777" w:rsidTr="001268AB">
        <w:tc>
          <w:tcPr>
            <w:tcW w:w="1360" w:type="pct"/>
            <w:gridSpan w:val="2"/>
            <w:shd w:val="clear" w:color="auto" w:fill="auto"/>
            <w:tcMar>
              <w:top w:w="57" w:type="dxa"/>
              <w:bottom w:w="57" w:type="dxa"/>
            </w:tcMar>
          </w:tcPr>
          <w:p w14:paraId="41C7DEA2" w14:textId="5D51DBE4" w:rsidR="00BC3010" w:rsidRDefault="00BC3010" w:rsidP="00BC3010">
            <w:pPr>
              <w:rPr>
                <w:rFonts w:cs="Arial"/>
                <w:szCs w:val="19"/>
              </w:rPr>
            </w:pPr>
            <w:proofErr w:type="spellStart"/>
            <w:r w:rsidRPr="005B3A19">
              <w:rPr>
                <w:rFonts w:cs="Arial"/>
                <w:szCs w:val="19"/>
              </w:rPr>
              <w:t>Capivasertib</w:t>
            </w:r>
            <w:proofErr w:type="spellEnd"/>
            <w:r>
              <w:rPr>
                <w:rFonts w:cs="Arial"/>
                <w:szCs w:val="19"/>
              </w:rPr>
              <w:t xml:space="preserve"> (</w:t>
            </w:r>
            <w:proofErr w:type="spellStart"/>
            <w:r>
              <w:rPr>
                <w:rFonts w:cs="Arial"/>
                <w:i/>
                <w:iCs/>
                <w:szCs w:val="19"/>
              </w:rPr>
              <w:t>Truqap</w:t>
            </w:r>
            <w:proofErr w:type="spellEnd"/>
            <w:r>
              <w:rPr>
                <w:rFonts w:cs="Arial"/>
                <w:szCs w:val="19"/>
              </w:rPr>
              <w:t>)</w:t>
            </w:r>
            <w:r w:rsidRPr="005B3A19">
              <w:rPr>
                <w:rFonts w:cs="Arial"/>
                <w:szCs w:val="19"/>
              </w:rPr>
              <w:t> </w:t>
            </w:r>
          </w:p>
        </w:tc>
        <w:tc>
          <w:tcPr>
            <w:tcW w:w="3640" w:type="pct"/>
            <w:shd w:val="clear" w:color="auto" w:fill="auto"/>
            <w:tcMar>
              <w:top w:w="57" w:type="dxa"/>
              <w:bottom w:w="57" w:type="dxa"/>
            </w:tcMar>
          </w:tcPr>
          <w:p w14:paraId="2BB4B502" w14:textId="29B9D813" w:rsidR="00BC3010" w:rsidRPr="00CE3D36" w:rsidRDefault="00BC3010" w:rsidP="00BC3010">
            <w:pPr>
              <w:tabs>
                <w:tab w:val="center" w:pos="3152"/>
              </w:tabs>
              <w:rPr>
                <w:rFonts w:cs="Arial"/>
                <w:szCs w:val="19"/>
                <w:lang w:val="en-US"/>
              </w:rPr>
            </w:pPr>
            <w:r>
              <w:rPr>
                <w:rFonts w:cs="Arial"/>
                <w:szCs w:val="19"/>
                <w:lang w:val="en-US"/>
              </w:rPr>
              <w:t xml:space="preserve">Use </w:t>
            </w:r>
            <w:r w:rsidRPr="005B3A19">
              <w:rPr>
                <w:rFonts w:cs="Arial"/>
                <w:szCs w:val="19"/>
                <w:lang w:val="en-US"/>
              </w:rPr>
              <w:t xml:space="preserve">in combination with </w:t>
            </w:r>
            <w:proofErr w:type="spellStart"/>
            <w:r w:rsidRPr="005B3A19">
              <w:rPr>
                <w:rFonts w:cs="Arial"/>
                <w:szCs w:val="19"/>
                <w:lang w:val="en-US"/>
              </w:rPr>
              <w:t>fulvestrant</w:t>
            </w:r>
            <w:proofErr w:type="spellEnd"/>
            <w:r w:rsidRPr="005B3A19">
              <w:rPr>
                <w:rFonts w:cs="Arial"/>
                <w:szCs w:val="19"/>
                <w:lang w:val="en-US"/>
              </w:rPr>
              <w:t xml:space="preserve"> for treatment of locally advanced or metastatic HR</w:t>
            </w:r>
            <w:r>
              <w:rPr>
                <w:rFonts w:cs="Arial"/>
                <w:szCs w:val="19"/>
                <w:lang w:val="en-US"/>
              </w:rPr>
              <w:t xml:space="preserve">-positive, </w:t>
            </w:r>
            <w:r w:rsidRPr="005B3A19">
              <w:rPr>
                <w:rFonts w:cs="Arial"/>
                <w:szCs w:val="19"/>
                <w:lang w:val="en-US"/>
              </w:rPr>
              <w:t>HER2-</w:t>
            </w:r>
            <w:r>
              <w:rPr>
                <w:rFonts w:cs="Arial"/>
                <w:szCs w:val="19"/>
                <w:lang w:val="en-US"/>
              </w:rPr>
              <w:t>negative</w:t>
            </w:r>
            <w:r w:rsidRPr="005B3A19">
              <w:rPr>
                <w:rFonts w:cs="Arial"/>
                <w:szCs w:val="19"/>
                <w:lang w:val="en-US"/>
              </w:rPr>
              <w:t xml:space="preserve"> </w:t>
            </w:r>
            <w:r>
              <w:rPr>
                <w:rFonts w:cs="Arial"/>
                <w:szCs w:val="19"/>
                <w:lang w:val="en-US"/>
              </w:rPr>
              <w:t>b</w:t>
            </w:r>
            <w:r w:rsidRPr="005B3A19">
              <w:rPr>
                <w:rFonts w:cs="Arial"/>
                <w:szCs w:val="19"/>
                <w:lang w:val="en-US"/>
              </w:rPr>
              <w:t xml:space="preserve">reast </w:t>
            </w:r>
            <w:r>
              <w:rPr>
                <w:rFonts w:cs="Arial"/>
                <w:szCs w:val="19"/>
                <w:lang w:val="en-US"/>
              </w:rPr>
              <w:t>c</w:t>
            </w:r>
            <w:r w:rsidRPr="005B3A19">
              <w:rPr>
                <w:rFonts w:cs="Arial"/>
                <w:szCs w:val="19"/>
                <w:lang w:val="en-US"/>
              </w:rPr>
              <w:t>ancer</w:t>
            </w:r>
            <w:r>
              <w:rPr>
                <w:rFonts w:cs="Arial"/>
                <w:szCs w:val="19"/>
                <w:lang w:val="en-US"/>
              </w:rPr>
              <w:t xml:space="preserve"> </w:t>
            </w:r>
            <w:r w:rsidRPr="005B3A19">
              <w:rPr>
                <w:rFonts w:cs="Arial"/>
                <w:sz w:val="16"/>
                <w:szCs w:val="16"/>
                <w:lang w:val="en-US"/>
              </w:rPr>
              <w:t>[UK]</w:t>
            </w:r>
          </w:p>
        </w:tc>
      </w:tr>
      <w:tr w:rsidR="00BC3010" w:rsidRPr="00A075A3" w14:paraId="20F7ECC5" w14:textId="77777777" w:rsidTr="001268AB">
        <w:tc>
          <w:tcPr>
            <w:tcW w:w="1360" w:type="pct"/>
            <w:gridSpan w:val="2"/>
            <w:shd w:val="clear" w:color="auto" w:fill="auto"/>
            <w:tcMar>
              <w:top w:w="57" w:type="dxa"/>
              <w:bottom w:w="57" w:type="dxa"/>
            </w:tcMar>
          </w:tcPr>
          <w:p w14:paraId="1AF08DC2" w14:textId="424E3D8C" w:rsidR="00BC3010" w:rsidRPr="00CE3D36" w:rsidRDefault="00BC3010" w:rsidP="00BC3010">
            <w:pPr>
              <w:rPr>
                <w:rFonts w:cs="Arial"/>
                <w:szCs w:val="19"/>
              </w:rPr>
            </w:pPr>
            <w:proofErr w:type="spellStart"/>
            <w:r>
              <w:rPr>
                <w:rFonts w:cs="Arial"/>
                <w:szCs w:val="19"/>
              </w:rPr>
              <w:t>Clascoterone</w:t>
            </w:r>
            <w:proofErr w:type="spellEnd"/>
            <w:r>
              <w:rPr>
                <w:rFonts w:cs="Arial"/>
                <w:szCs w:val="19"/>
              </w:rPr>
              <w:t xml:space="preserve"> (</w:t>
            </w:r>
            <w:proofErr w:type="spellStart"/>
            <w:r>
              <w:rPr>
                <w:rFonts w:cs="Arial"/>
                <w:i/>
                <w:iCs/>
                <w:szCs w:val="19"/>
              </w:rPr>
              <w:t>Winlevi</w:t>
            </w:r>
            <w:proofErr w:type="spellEnd"/>
            <w:r>
              <w:rPr>
                <w:rFonts w:cs="Arial"/>
                <w:szCs w:val="19"/>
              </w:rPr>
              <w:t>)</w:t>
            </w:r>
          </w:p>
        </w:tc>
        <w:tc>
          <w:tcPr>
            <w:tcW w:w="3640" w:type="pct"/>
            <w:shd w:val="clear" w:color="auto" w:fill="auto"/>
            <w:tcMar>
              <w:top w:w="57" w:type="dxa"/>
              <w:bottom w:w="57" w:type="dxa"/>
            </w:tcMar>
          </w:tcPr>
          <w:p w14:paraId="197B0EEA" w14:textId="3AAE98A2" w:rsidR="00BC3010" w:rsidRPr="00FF5B3F" w:rsidRDefault="00BC3010" w:rsidP="00BC3010">
            <w:pPr>
              <w:tabs>
                <w:tab w:val="center" w:pos="3152"/>
              </w:tabs>
              <w:rPr>
                <w:rFonts w:cs="Arial"/>
                <w:szCs w:val="19"/>
                <w:lang w:val="en-US"/>
              </w:rPr>
            </w:pPr>
            <w:r w:rsidRPr="00CE3D36">
              <w:rPr>
                <w:rFonts w:cs="Arial"/>
                <w:szCs w:val="19"/>
                <w:lang w:val="en-US"/>
              </w:rPr>
              <w:t>Treatment of acne vulgaris</w:t>
            </w:r>
            <w:r>
              <w:rPr>
                <w:rFonts w:cs="Arial"/>
                <w:szCs w:val="19"/>
                <w:lang w:val="en-US"/>
              </w:rPr>
              <w:t xml:space="preserve"> </w:t>
            </w:r>
            <w:r w:rsidRPr="00B92CDA">
              <w:rPr>
                <w:rFonts w:cs="Arial"/>
                <w:sz w:val="16"/>
                <w:szCs w:val="16"/>
                <w:lang w:val="en-US"/>
              </w:rPr>
              <w:t>[EU]</w:t>
            </w:r>
          </w:p>
        </w:tc>
      </w:tr>
      <w:tr w:rsidR="00BC3010" w:rsidRPr="00A075A3" w14:paraId="1F8CDF8B" w14:textId="77777777" w:rsidTr="001268AB">
        <w:tc>
          <w:tcPr>
            <w:tcW w:w="1360" w:type="pct"/>
            <w:gridSpan w:val="2"/>
            <w:shd w:val="clear" w:color="auto" w:fill="auto"/>
            <w:tcMar>
              <w:top w:w="57" w:type="dxa"/>
              <w:bottom w:w="57" w:type="dxa"/>
            </w:tcMar>
          </w:tcPr>
          <w:p w14:paraId="53EB8087" w14:textId="426FF179" w:rsidR="00BC3010" w:rsidRPr="005F4189" w:rsidRDefault="00BC3010" w:rsidP="00BC3010">
            <w:pPr>
              <w:rPr>
                <w:rFonts w:cs="Arial"/>
                <w:szCs w:val="19"/>
              </w:rPr>
            </w:pPr>
            <w:r w:rsidRPr="005F4189">
              <w:rPr>
                <w:rFonts w:cs="Arial"/>
                <w:szCs w:val="19"/>
              </w:rPr>
              <w:t>Dolutegravir + abacavir + lamivudine</w:t>
            </w:r>
            <w:r>
              <w:rPr>
                <w:rFonts w:cs="Arial"/>
                <w:szCs w:val="19"/>
              </w:rPr>
              <w:t xml:space="preserve"> (</w:t>
            </w:r>
            <w:proofErr w:type="spellStart"/>
            <w:r>
              <w:rPr>
                <w:rFonts w:cs="Arial"/>
                <w:i/>
                <w:iCs/>
                <w:szCs w:val="19"/>
              </w:rPr>
              <w:t>Triumeq</w:t>
            </w:r>
            <w:proofErr w:type="spellEnd"/>
            <w:r>
              <w:rPr>
                <w:rFonts w:cs="Arial"/>
                <w:szCs w:val="19"/>
              </w:rPr>
              <w:t>)</w:t>
            </w:r>
          </w:p>
        </w:tc>
        <w:tc>
          <w:tcPr>
            <w:tcW w:w="3640" w:type="pct"/>
            <w:shd w:val="clear" w:color="auto" w:fill="auto"/>
            <w:tcMar>
              <w:top w:w="57" w:type="dxa"/>
              <w:bottom w:w="57" w:type="dxa"/>
            </w:tcMar>
          </w:tcPr>
          <w:p w14:paraId="0CAE8E11" w14:textId="4745D090" w:rsidR="00BC3010" w:rsidRPr="004C13F1" w:rsidRDefault="00BC3010" w:rsidP="00BC3010">
            <w:pPr>
              <w:tabs>
                <w:tab w:val="center" w:pos="3152"/>
              </w:tabs>
              <w:rPr>
                <w:rFonts w:cs="Arial"/>
                <w:szCs w:val="19"/>
                <w:lang w:val="en-US"/>
              </w:rPr>
            </w:pPr>
            <w:r w:rsidRPr="005F4189">
              <w:rPr>
                <w:rFonts w:cs="Arial"/>
                <w:szCs w:val="19"/>
                <w:lang w:val="en-US"/>
              </w:rPr>
              <w:t xml:space="preserve">Treatment of </w:t>
            </w:r>
            <w:r>
              <w:rPr>
                <w:rFonts w:cs="Arial"/>
                <w:szCs w:val="19"/>
                <w:lang w:val="en-US"/>
              </w:rPr>
              <w:t>h</w:t>
            </w:r>
            <w:r w:rsidRPr="005F4189">
              <w:rPr>
                <w:rFonts w:cs="Arial"/>
                <w:szCs w:val="19"/>
                <w:lang w:val="en-US"/>
              </w:rPr>
              <w:t xml:space="preserve">uman </w:t>
            </w:r>
            <w:r>
              <w:rPr>
                <w:rFonts w:cs="Arial"/>
                <w:szCs w:val="19"/>
                <w:lang w:val="en-US"/>
              </w:rPr>
              <w:t>i</w:t>
            </w:r>
            <w:r w:rsidRPr="005F4189">
              <w:rPr>
                <w:rFonts w:cs="Arial"/>
                <w:szCs w:val="19"/>
                <w:lang w:val="en-US"/>
              </w:rPr>
              <w:t xml:space="preserve">mmunodeficiency </w:t>
            </w:r>
            <w:r>
              <w:rPr>
                <w:rFonts w:cs="Arial"/>
                <w:szCs w:val="19"/>
                <w:lang w:val="en-US"/>
              </w:rPr>
              <w:t>v</w:t>
            </w:r>
            <w:r w:rsidRPr="005F4189">
              <w:rPr>
                <w:rFonts w:cs="Arial"/>
                <w:szCs w:val="19"/>
                <w:lang w:val="en-US"/>
              </w:rPr>
              <w:t>irus</w:t>
            </w:r>
            <w:r>
              <w:rPr>
                <w:rFonts w:cs="Arial"/>
                <w:szCs w:val="19"/>
                <w:lang w:val="en-US"/>
              </w:rPr>
              <w:t>-</w:t>
            </w:r>
            <w:r w:rsidRPr="005F4189">
              <w:rPr>
                <w:rFonts w:cs="Arial"/>
                <w:szCs w:val="19"/>
                <w:lang w:val="en-US"/>
              </w:rPr>
              <w:t xml:space="preserve">infected children weighing </w:t>
            </w:r>
            <w:r>
              <w:rPr>
                <w:rFonts w:cs="Arial"/>
                <w:szCs w:val="19"/>
                <w:lang w:val="en-US"/>
              </w:rPr>
              <w:t xml:space="preserve">6kg to &lt;25kg </w:t>
            </w:r>
            <w:r w:rsidRPr="005F4189">
              <w:rPr>
                <w:rFonts w:cs="Arial"/>
                <w:sz w:val="16"/>
                <w:szCs w:val="16"/>
                <w:lang w:val="en-US"/>
              </w:rPr>
              <w:t>[EU] [</w:t>
            </w:r>
            <w:r>
              <w:rPr>
                <w:rFonts w:cs="Arial"/>
                <w:sz w:val="16"/>
                <w:szCs w:val="16"/>
                <w:lang w:val="en-US"/>
              </w:rPr>
              <w:t>licence change from use only in children weighing ≥25kg</w:t>
            </w:r>
            <w:r w:rsidRPr="005F4189">
              <w:rPr>
                <w:rFonts w:cs="Arial"/>
                <w:sz w:val="16"/>
                <w:szCs w:val="16"/>
                <w:lang w:val="en-US"/>
              </w:rPr>
              <w:t>]</w:t>
            </w:r>
          </w:p>
        </w:tc>
      </w:tr>
      <w:tr w:rsidR="00BC3010" w:rsidRPr="00A075A3" w14:paraId="31FBD172" w14:textId="77777777" w:rsidTr="001268AB">
        <w:tc>
          <w:tcPr>
            <w:tcW w:w="1360" w:type="pct"/>
            <w:gridSpan w:val="2"/>
            <w:shd w:val="clear" w:color="auto" w:fill="auto"/>
            <w:tcMar>
              <w:top w:w="57" w:type="dxa"/>
              <w:bottom w:w="57" w:type="dxa"/>
            </w:tcMar>
          </w:tcPr>
          <w:p w14:paraId="67611BEE" w14:textId="4606243E" w:rsidR="00BC3010" w:rsidRPr="004C13F1" w:rsidRDefault="00BC3010" w:rsidP="00BC3010">
            <w:pPr>
              <w:rPr>
                <w:rFonts w:cs="Arial"/>
                <w:szCs w:val="19"/>
              </w:rPr>
            </w:pPr>
            <w:r>
              <w:rPr>
                <w:rFonts w:cs="Arial"/>
                <w:szCs w:val="19"/>
              </w:rPr>
              <w:t>Dupilumab (</w:t>
            </w:r>
            <w:r>
              <w:rPr>
                <w:rFonts w:cs="Arial"/>
                <w:i/>
                <w:iCs/>
                <w:szCs w:val="19"/>
              </w:rPr>
              <w:t>Dupixent</w:t>
            </w:r>
            <w:r>
              <w:rPr>
                <w:rFonts w:cs="Arial"/>
                <w:szCs w:val="19"/>
              </w:rPr>
              <w:t>)</w:t>
            </w:r>
          </w:p>
        </w:tc>
        <w:tc>
          <w:tcPr>
            <w:tcW w:w="3640" w:type="pct"/>
            <w:shd w:val="clear" w:color="auto" w:fill="auto"/>
            <w:tcMar>
              <w:top w:w="57" w:type="dxa"/>
              <w:bottom w:w="57" w:type="dxa"/>
            </w:tcMar>
          </w:tcPr>
          <w:p w14:paraId="13795D45" w14:textId="731C3FD1" w:rsidR="00BC3010" w:rsidRPr="00FF5B3F" w:rsidRDefault="00BC3010" w:rsidP="00BC3010">
            <w:pPr>
              <w:tabs>
                <w:tab w:val="center" w:pos="3152"/>
              </w:tabs>
              <w:rPr>
                <w:rFonts w:cs="Arial"/>
                <w:szCs w:val="19"/>
                <w:lang w:val="en-US"/>
              </w:rPr>
            </w:pPr>
            <w:r w:rsidRPr="004C13F1">
              <w:rPr>
                <w:rFonts w:cs="Arial"/>
                <w:szCs w:val="19"/>
                <w:lang w:val="en-US"/>
              </w:rPr>
              <w:t>Treatment of adults as add-on maintenance treatment for uncontrolled chronic obstructive pulmonary disease with type 2 inflammation on triple therapy or double therapy if inhaled corticosteroids are contraindicated</w:t>
            </w:r>
            <w:r>
              <w:rPr>
                <w:rFonts w:cs="Arial"/>
                <w:szCs w:val="19"/>
                <w:lang w:val="en-US"/>
              </w:rPr>
              <w:t xml:space="preserve"> </w:t>
            </w:r>
            <w:r w:rsidRPr="004C13F1">
              <w:rPr>
                <w:rFonts w:cs="Arial"/>
                <w:sz w:val="16"/>
                <w:szCs w:val="16"/>
                <w:lang w:val="en-US"/>
              </w:rPr>
              <w:t>[EU] [new indication]</w:t>
            </w:r>
          </w:p>
        </w:tc>
      </w:tr>
      <w:tr w:rsidR="00BC3010" w:rsidRPr="000F19E1" w14:paraId="7C6BFED2" w14:textId="77777777" w:rsidTr="001268AB">
        <w:tc>
          <w:tcPr>
            <w:tcW w:w="1360" w:type="pct"/>
            <w:gridSpan w:val="2"/>
            <w:shd w:val="clear" w:color="auto" w:fill="auto"/>
            <w:tcMar>
              <w:top w:w="0" w:type="dxa"/>
              <w:bottom w:w="0" w:type="dxa"/>
            </w:tcMar>
          </w:tcPr>
          <w:p w14:paraId="2CA49E1F" w14:textId="77777777" w:rsidR="00BC3010" w:rsidRPr="000F19E1" w:rsidRDefault="00BC3010" w:rsidP="00BC3010">
            <w:pPr>
              <w:rPr>
                <w:rFonts w:cs="Arial"/>
                <w:bCs/>
                <w:sz w:val="8"/>
                <w:szCs w:val="8"/>
              </w:rPr>
            </w:pPr>
          </w:p>
        </w:tc>
        <w:tc>
          <w:tcPr>
            <w:tcW w:w="3640" w:type="pct"/>
            <w:shd w:val="clear" w:color="auto" w:fill="auto"/>
            <w:tcMar>
              <w:top w:w="0" w:type="dxa"/>
              <w:bottom w:w="0" w:type="dxa"/>
            </w:tcMar>
          </w:tcPr>
          <w:p w14:paraId="4252C568" w14:textId="77777777" w:rsidR="00BC3010" w:rsidRPr="000F19E1" w:rsidRDefault="00BC3010" w:rsidP="00BC3010">
            <w:pPr>
              <w:tabs>
                <w:tab w:val="center" w:pos="3152"/>
              </w:tabs>
              <w:rPr>
                <w:rFonts w:cs="Arial"/>
                <w:sz w:val="8"/>
                <w:szCs w:val="8"/>
                <w:lang w:val="en-US"/>
              </w:rPr>
            </w:pPr>
          </w:p>
        </w:tc>
      </w:tr>
      <w:tr w:rsidR="00BC3010" w:rsidRPr="000F19E1" w14:paraId="4CB0B195" w14:textId="77777777" w:rsidTr="00155BD9">
        <w:tc>
          <w:tcPr>
            <w:tcW w:w="1152" w:type="pct"/>
            <w:shd w:val="clear" w:color="auto" w:fill="DAEEF3"/>
            <w:tcMar>
              <w:top w:w="0" w:type="dxa"/>
              <w:bottom w:w="0" w:type="dxa"/>
            </w:tcMar>
          </w:tcPr>
          <w:p w14:paraId="561BA889" w14:textId="77777777" w:rsidR="00BC3010" w:rsidRPr="000F19E1" w:rsidRDefault="00BC3010" w:rsidP="00BC3010">
            <w:pPr>
              <w:rPr>
                <w:rFonts w:cs="Arial"/>
                <w:bCs/>
                <w:sz w:val="8"/>
                <w:szCs w:val="8"/>
              </w:rPr>
            </w:pPr>
          </w:p>
        </w:tc>
        <w:tc>
          <w:tcPr>
            <w:tcW w:w="3848" w:type="pct"/>
            <w:gridSpan w:val="2"/>
            <w:shd w:val="clear" w:color="auto" w:fill="DAEEF3"/>
            <w:tcMar>
              <w:top w:w="0" w:type="dxa"/>
              <w:bottom w:w="0" w:type="dxa"/>
            </w:tcMar>
          </w:tcPr>
          <w:p w14:paraId="7E1D7F7C" w14:textId="77777777" w:rsidR="00BC3010" w:rsidRPr="000F19E1" w:rsidRDefault="00BC3010" w:rsidP="00BC3010">
            <w:pPr>
              <w:tabs>
                <w:tab w:val="center" w:pos="3152"/>
              </w:tabs>
              <w:rPr>
                <w:rFonts w:cs="Arial"/>
                <w:sz w:val="8"/>
                <w:szCs w:val="8"/>
                <w:lang w:val="en-US"/>
              </w:rPr>
            </w:pPr>
          </w:p>
        </w:tc>
      </w:tr>
    </w:tbl>
    <w:p w14:paraId="12C26268" w14:textId="40BCE264" w:rsidR="00F2746A" w:rsidRDefault="00F2746A"/>
    <w:p w14:paraId="2945F676" w14:textId="5BC61AA0" w:rsidR="00F2746A" w:rsidRDefault="00F2746A"/>
    <w:p w14:paraId="59F85F5E" w14:textId="77777777" w:rsidR="00BC3010" w:rsidRDefault="00BC3010"/>
    <w:p w14:paraId="773CC99E" w14:textId="720FBAD7" w:rsidR="00F2746A" w:rsidRDefault="00F2746A"/>
    <w:tbl>
      <w:tblPr>
        <w:tblW w:w="5170" w:type="pct"/>
        <w:tblInd w:w="-176" w:type="dxa"/>
        <w:tblLayout w:type="fixed"/>
        <w:tblLook w:val="01E0" w:firstRow="1" w:lastRow="1" w:firstColumn="1" w:lastColumn="1" w:noHBand="0" w:noVBand="0"/>
      </w:tblPr>
      <w:tblGrid>
        <w:gridCol w:w="2431"/>
        <w:gridCol w:w="439"/>
        <w:gridCol w:w="7681"/>
      </w:tblGrid>
      <w:tr w:rsidR="00F2746A" w:rsidRPr="00862949" w14:paraId="6D7E0DD9" w14:textId="77777777" w:rsidTr="002E7604">
        <w:tc>
          <w:tcPr>
            <w:tcW w:w="5000" w:type="pct"/>
            <w:gridSpan w:val="3"/>
            <w:shd w:val="clear" w:color="auto" w:fill="0070C0"/>
            <w:tcMar>
              <w:top w:w="85" w:type="dxa"/>
              <w:bottom w:w="85" w:type="dxa"/>
            </w:tcMar>
            <w:vAlign w:val="bottom"/>
          </w:tcPr>
          <w:p w14:paraId="4ECB6F6A" w14:textId="77777777" w:rsidR="00F2746A" w:rsidRPr="00862949" w:rsidRDefault="00F2746A" w:rsidP="002E7604">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F2746A" w:rsidRPr="000F19E1" w14:paraId="1DA86E75" w14:textId="77777777" w:rsidTr="002E7604">
        <w:tc>
          <w:tcPr>
            <w:tcW w:w="1152" w:type="pct"/>
            <w:shd w:val="clear" w:color="auto" w:fill="DAEEF3"/>
            <w:tcMar>
              <w:top w:w="0" w:type="dxa"/>
              <w:bottom w:w="0" w:type="dxa"/>
            </w:tcMar>
          </w:tcPr>
          <w:p w14:paraId="07215D08" w14:textId="77777777" w:rsidR="00F2746A" w:rsidRPr="000F19E1" w:rsidRDefault="00F2746A" w:rsidP="002E7604">
            <w:pPr>
              <w:rPr>
                <w:rFonts w:cs="Arial"/>
                <w:bCs/>
                <w:sz w:val="8"/>
                <w:szCs w:val="8"/>
              </w:rPr>
            </w:pPr>
          </w:p>
        </w:tc>
        <w:tc>
          <w:tcPr>
            <w:tcW w:w="3848" w:type="pct"/>
            <w:gridSpan w:val="2"/>
            <w:shd w:val="clear" w:color="auto" w:fill="DAEEF3"/>
            <w:tcMar>
              <w:top w:w="0" w:type="dxa"/>
              <w:bottom w:w="0" w:type="dxa"/>
            </w:tcMar>
          </w:tcPr>
          <w:p w14:paraId="25FAB2C1" w14:textId="77777777" w:rsidR="00F2746A" w:rsidRPr="000F19E1" w:rsidRDefault="00F2746A" w:rsidP="002E7604">
            <w:pPr>
              <w:tabs>
                <w:tab w:val="center" w:pos="3152"/>
              </w:tabs>
              <w:rPr>
                <w:rFonts w:cs="Arial"/>
                <w:sz w:val="8"/>
                <w:szCs w:val="8"/>
                <w:lang w:val="en-US"/>
              </w:rPr>
            </w:pPr>
          </w:p>
        </w:tc>
      </w:tr>
      <w:tr w:rsidR="00F2746A" w:rsidRPr="00433D3E" w14:paraId="274751A4" w14:textId="77777777" w:rsidTr="002E7604">
        <w:tc>
          <w:tcPr>
            <w:tcW w:w="5000" w:type="pct"/>
            <w:gridSpan w:val="3"/>
            <w:shd w:val="clear" w:color="auto" w:fill="00B050"/>
            <w:tcMar>
              <w:top w:w="57" w:type="dxa"/>
              <w:bottom w:w="57" w:type="dxa"/>
            </w:tcMar>
          </w:tcPr>
          <w:p w14:paraId="61A237E6" w14:textId="0ECB1D9C" w:rsidR="00F2746A" w:rsidRPr="00433D3E" w:rsidRDefault="00F2746A" w:rsidP="002E7604">
            <w:pPr>
              <w:rPr>
                <w:rFonts w:cs="Arial"/>
                <w:noProof/>
                <w:color w:val="FFFFFF"/>
                <w:sz w:val="16"/>
                <w:szCs w:val="16"/>
              </w:rPr>
            </w:pPr>
            <w:r w:rsidRPr="00433D3E">
              <w:rPr>
                <w:rFonts w:cs="Arial"/>
                <w:b/>
                <w:bCs/>
                <w:i/>
                <w:iCs/>
                <w:color w:val="FFFFFF"/>
                <w:sz w:val="22"/>
                <w:szCs w:val="20"/>
                <w:lang w:val="en-US"/>
              </w:rPr>
              <w:t xml:space="preserve">Filed for approval in the </w:t>
            </w:r>
            <w:r>
              <w:rPr>
                <w:rFonts w:cs="Arial"/>
                <w:b/>
                <w:bCs/>
                <w:i/>
                <w:iCs/>
                <w:color w:val="FFFFFF"/>
                <w:sz w:val="22"/>
                <w:szCs w:val="20"/>
                <w:lang w:val="en-US"/>
              </w:rPr>
              <w:t xml:space="preserve">UK or </w:t>
            </w:r>
            <w:r w:rsidRPr="00433D3E">
              <w:rPr>
                <w:rFonts w:cs="Arial"/>
                <w:b/>
                <w:bCs/>
                <w:i/>
                <w:iCs/>
                <w:color w:val="FFFFFF"/>
                <w:sz w:val="22"/>
                <w:szCs w:val="20"/>
                <w:lang w:val="en-US"/>
              </w:rPr>
              <w:t>EU</w:t>
            </w:r>
            <w:r>
              <w:rPr>
                <w:rFonts w:cs="Arial"/>
                <w:b/>
                <w:bCs/>
                <w:i/>
                <w:iCs/>
                <w:color w:val="FFFFFF"/>
                <w:sz w:val="22"/>
                <w:szCs w:val="20"/>
                <w:lang w:val="en-US"/>
              </w:rPr>
              <w:t xml:space="preserve"> </w:t>
            </w:r>
            <w:r w:rsidRPr="0021490D">
              <w:rPr>
                <w:rFonts w:cs="Arial"/>
                <w:b/>
                <w:bCs/>
                <w:color w:val="FFFFFF"/>
                <w:sz w:val="16"/>
                <w:szCs w:val="14"/>
                <w:lang w:val="en-US"/>
              </w:rPr>
              <w:t>(continued)</w:t>
            </w:r>
          </w:p>
        </w:tc>
      </w:tr>
      <w:tr w:rsidR="00BC3010" w:rsidRPr="00A075A3" w14:paraId="5102C02D" w14:textId="77777777" w:rsidTr="002E7604">
        <w:tc>
          <w:tcPr>
            <w:tcW w:w="1360" w:type="pct"/>
            <w:gridSpan w:val="2"/>
            <w:shd w:val="clear" w:color="auto" w:fill="auto"/>
            <w:tcMar>
              <w:top w:w="57" w:type="dxa"/>
              <w:bottom w:w="57" w:type="dxa"/>
            </w:tcMar>
          </w:tcPr>
          <w:p w14:paraId="68564DAD" w14:textId="6D20180A" w:rsidR="00BC3010" w:rsidRPr="005E44DE" w:rsidRDefault="00BC3010" w:rsidP="00BC3010">
            <w:pPr>
              <w:rPr>
                <w:rFonts w:cs="Arial"/>
                <w:szCs w:val="19"/>
              </w:rPr>
            </w:pPr>
            <w:proofErr w:type="spellStart"/>
            <w:r>
              <w:rPr>
                <w:rFonts w:cs="Arial"/>
                <w:szCs w:val="19"/>
              </w:rPr>
              <w:t>Durvaluamb</w:t>
            </w:r>
            <w:proofErr w:type="spellEnd"/>
            <w:r>
              <w:rPr>
                <w:rFonts w:cs="Arial"/>
                <w:szCs w:val="19"/>
              </w:rPr>
              <w:t xml:space="preserve"> (</w:t>
            </w:r>
            <w:r>
              <w:rPr>
                <w:rFonts w:cs="Arial"/>
                <w:i/>
                <w:iCs/>
                <w:szCs w:val="19"/>
              </w:rPr>
              <w:t>Imfinzi</w:t>
            </w:r>
            <w:r>
              <w:rPr>
                <w:rFonts w:cs="Arial"/>
                <w:szCs w:val="19"/>
              </w:rPr>
              <w:t>)</w:t>
            </w:r>
          </w:p>
        </w:tc>
        <w:tc>
          <w:tcPr>
            <w:tcW w:w="3640" w:type="pct"/>
            <w:shd w:val="clear" w:color="auto" w:fill="auto"/>
            <w:tcMar>
              <w:top w:w="57" w:type="dxa"/>
              <w:bottom w:w="57" w:type="dxa"/>
            </w:tcMar>
          </w:tcPr>
          <w:p w14:paraId="51EECB86" w14:textId="59A327BE" w:rsidR="00BC3010" w:rsidRPr="00FF5B3F" w:rsidRDefault="00BC3010" w:rsidP="00BC3010">
            <w:pPr>
              <w:tabs>
                <w:tab w:val="center" w:pos="3152"/>
              </w:tabs>
              <w:rPr>
                <w:rFonts w:cs="Arial"/>
                <w:szCs w:val="19"/>
                <w:lang w:val="en-US"/>
              </w:rPr>
            </w:pPr>
            <w:r>
              <w:rPr>
                <w:rFonts w:cs="Arial"/>
                <w:szCs w:val="19"/>
                <w:lang w:val="en-US"/>
              </w:rPr>
              <w:t>Use i</w:t>
            </w:r>
            <w:r w:rsidRPr="00791DBB">
              <w:rPr>
                <w:rFonts w:cs="Arial"/>
                <w:szCs w:val="19"/>
                <w:lang w:val="en-US"/>
              </w:rPr>
              <w:t xml:space="preserve">n combination with </w:t>
            </w:r>
            <w:proofErr w:type="spellStart"/>
            <w:r>
              <w:rPr>
                <w:rFonts w:cs="Arial"/>
                <w:szCs w:val="19"/>
                <w:lang w:val="en-US"/>
              </w:rPr>
              <w:t>olaparib</w:t>
            </w:r>
            <w:proofErr w:type="spellEnd"/>
            <w:r w:rsidRPr="00791DBB">
              <w:rPr>
                <w:rFonts w:cs="Arial"/>
                <w:szCs w:val="19"/>
                <w:lang w:val="en-US"/>
              </w:rPr>
              <w:t xml:space="preserve"> for maintenance treatment of adults with newly diagnosed advanced or recurrent endometrial cancer following treatment with durvalumab and platinum-based chemotherapy</w:t>
            </w:r>
            <w:r>
              <w:rPr>
                <w:rFonts w:cs="Arial"/>
                <w:szCs w:val="19"/>
                <w:lang w:val="en-US"/>
              </w:rPr>
              <w:t xml:space="preserve"> </w:t>
            </w:r>
            <w:r w:rsidRPr="00DC7B78">
              <w:rPr>
                <w:rFonts w:cs="Arial"/>
                <w:sz w:val="16"/>
                <w:szCs w:val="16"/>
                <w:lang w:val="en-US"/>
              </w:rPr>
              <w:t>[EU] [new indication]</w:t>
            </w:r>
          </w:p>
        </w:tc>
      </w:tr>
      <w:tr w:rsidR="00BC3010" w:rsidRPr="00A075A3" w14:paraId="5856792E" w14:textId="77777777" w:rsidTr="002E7604">
        <w:tc>
          <w:tcPr>
            <w:tcW w:w="1360" w:type="pct"/>
            <w:gridSpan w:val="2"/>
            <w:shd w:val="clear" w:color="auto" w:fill="auto"/>
            <w:tcMar>
              <w:top w:w="57" w:type="dxa"/>
              <w:bottom w:w="57" w:type="dxa"/>
            </w:tcMar>
          </w:tcPr>
          <w:p w14:paraId="12C8672B" w14:textId="36C6FCE2" w:rsidR="00BC3010" w:rsidRPr="00C007ED" w:rsidRDefault="00BC3010" w:rsidP="00BC3010">
            <w:pPr>
              <w:rPr>
                <w:rFonts w:cs="Arial"/>
                <w:szCs w:val="19"/>
              </w:rPr>
            </w:pPr>
            <w:proofErr w:type="spellStart"/>
            <w:r w:rsidRPr="005E44DE">
              <w:rPr>
                <w:rFonts w:cs="Arial"/>
                <w:szCs w:val="19"/>
              </w:rPr>
              <w:t>Elafibranor</w:t>
            </w:r>
            <w:proofErr w:type="spellEnd"/>
            <w:r>
              <w:rPr>
                <w:rFonts w:cs="Arial"/>
                <w:szCs w:val="19"/>
              </w:rPr>
              <w:t xml:space="preserve"> </w:t>
            </w:r>
          </w:p>
        </w:tc>
        <w:tc>
          <w:tcPr>
            <w:tcW w:w="3640" w:type="pct"/>
            <w:shd w:val="clear" w:color="auto" w:fill="auto"/>
            <w:tcMar>
              <w:top w:w="57" w:type="dxa"/>
              <w:bottom w:w="57" w:type="dxa"/>
            </w:tcMar>
          </w:tcPr>
          <w:p w14:paraId="2D2AA707" w14:textId="0AE03DA6" w:rsidR="00BC3010" w:rsidRPr="00C007ED" w:rsidRDefault="00BC3010" w:rsidP="00BC3010">
            <w:pPr>
              <w:tabs>
                <w:tab w:val="center" w:pos="3152"/>
              </w:tabs>
              <w:rPr>
                <w:rFonts w:cs="Arial"/>
                <w:szCs w:val="19"/>
                <w:lang w:val="en-US"/>
              </w:rPr>
            </w:pPr>
            <w:r w:rsidRPr="00FF5B3F">
              <w:rPr>
                <w:rFonts w:cs="Arial"/>
                <w:szCs w:val="19"/>
                <w:lang w:val="en-US"/>
              </w:rPr>
              <w:t>Treatment of primary biliary cholangitis</w:t>
            </w:r>
            <w:r>
              <w:rPr>
                <w:rFonts w:cs="Arial"/>
                <w:szCs w:val="19"/>
                <w:lang w:val="en-US"/>
              </w:rPr>
              <w:t xml:space="preserve"> </w:t>
            </w:r>
            <w:r w:rsidRPr="00B92CDA">
              <w:rPr>
                <w:rFonts w:cs="Arial"/>
                <w:sz w:val="16"/>
                <w:szCs w:val="16"/>
                <w:lang w:val="en-US"/>
              </w:rPr>
              <w:t>[EU]</w:t>
            </w:r>
          </w:p>
        </w:tc>
      </w:tr>
      <w:tr w:rsidR="00BC3010" w:rsidRPr="00A075A3" w14:paraId="105DE8DA" w14:textId="77777777" w:rsidTr="002E7604">
        <w:tc>
          <w:tcPr>
            <w:tcW w:w="1360" w:type="pct"/>
            <w:gridSpan w:val="2"/>
            <w:shd w:val="clear" w:color="auto" w:fill="auto"/>
            <w:tcMar>
              <w:top w:w="57" w:type="dxa"/>
              <w:bottom w:w="57" w:type="dxa"/>
            </w:tcMar>
          </w:tcPr>
          <w:p w14:paraId="6CABC304" w14:textId="57A9D116" w:rsidR="00BC3010" w:rsidRPr="00C007ED" w:rsidRDefault="00BC3010" w:rsidP="00BC3010">
            <w:pPr>
              <w:rPr>
                <w:rFonts w:cs="Arial"/>
                <w:szCs w:val="19"/>
              </w:rPr>
            </w:pPr>
            <w:proofErr w:type="spellStart"/>
            <w:r>
              <w:rPr>
                <w:rFonts w:cs="Arial"/>
                <w:szCs w:val="19"/>
              </w:rPr>
              <w:t>Encorafenib</w:t>
            </w:r>
            <w:proofErr w:type="spellEnd"/>
            <w:r>
              <w:rPr>
                <w:rFonts w:cs="Arial"/>
                <w:szCs w:val="19"/>
              </w:rPr>
              <w:t xml:space="preserve"> (</w:t>
            </w:r>
            <w:proofErr w:type="spellStart"/>
            <w:r>
              <w:rPr>
                <w:rFonts w:cs="Arial"/>
                <w:i/>
                <w:iCs/>
                <w:szCs w:val="19"/>
              </w:rPr>
              <w:t>Braftovi</w:t>
            </w:r>
            <w:proofErr w:type="spellEnd"/>
            <w:r>
              <w:rPr>
                <w:rFonts w:cs="Arial"/>
                <w:szCs w:val="19"/>
              </w:rPr>
              <w:t>)</w:t>
            </w:r>
          </w:p>
        </w:tc>
        <w:tc>
          <w:tcPr>
            <w:tcW w:w="3640" w:type="pct"/>
            <w:shd w:val="clear" w:color="auto" w:fill="auto"/>
            <w:tcMar>
              <w:top w:w="57" w:type="dxa"/>
              <w:bottom w:w="57" w:type="dxa"/>
            </w:tcMar>
          </w:tcPr>
          <w:p w14:paraId="14656199" w14:textId="633891DE" w:rsidR="00BC3010" w:rsidRPr="00C007ED" w:rsidRDefault="00BC3010" w:rsidP="00BC3010">
            <w:pPr>
              <w:tabs>
                <w:tab w:val="center" w:pos="3152"/>
              </w:tabs>
              <w:rPr>
                <w:rFonts w:cs="Arial"/>
                <w:szCs w:val="19"/>
                <w:lang w:val="en-US"/>
              </w:rPr>
            </w:pPr>
            <w:r>
              <w:rPr>
                <w:rFonts w:cs="Arial"/>
                <w:szCs w:val="19"/>
                <w:lang w:val="en-US"/>
              </w:rPr>
              <w:t xml:space="preserve">Use </w:t>
            </w:r>
            <w:r w:rsidRPr="00E30D55">
              <w:rPr>
                <w:rFonts w:cs="Arial"/>
                <w:szCs w:val="19"/>
                <w:lang w:val="en-US"/>
              </w:rPr>
              <w:t xml:space="preserve">in combination with </w:t>
            </w:r>
            <w:proofErr w:type="spellStart"/>
            <w:r>
              <w:rPr>
                <w:rFonts w:cs="Arial"/>
                <w:szCs w:val="19"/>
                <w:lang w:val="en-US"/>
              </w:rPr>
              <w:t>binimetinib</w:t>
            </w:r>
            <w:proofErr w:type="spellEnd"/>
            <w:r w:rsidRPr="00E30D55">
              <w:rPr>
                <w:rFonts w:cs="Arial"/>
                <w:szCs w:val="19"/>
                <w:lang w:val="en-US"/>
              </w:rPr>
              <w:t xml:space="preserve"> for treatment of adults with advanced non-small cell lung cancer with a BRAF V600 mutation</w:t>
            </w:r>
            <w:r>
              <w:rPr>
                <w:rFonts w:cs="Arial"/>
                <w:szCs w:val="19"/>
                <w:lang w:val="en-US"/>
              </w:rPr>
              <w:t xml:space="preserve"> </w:t>
            </w:r>
            <w:r w:rsidRPr="004C13F1">
              <w:rPr>
                <w:rFonts w:cs="Arial"/>
                <w:sz w:val="16"/>
                <w:szCs w:val="16"/>
                <w:lang w:val="en-US"/>
              </w:rPr>
              <w:t>[EU] [new indication]</w:t>
            </w:r>
          </w:p>
        </w:tc>
      </w:tr>
      <w:tr w:rsidR="00BC3010" w:rsidRPr="00A075A3" w14:paraId="3BFBD26D" w14:textId="77777777" w:rsidTr="002E7604">
        <w:tc>
          <w:tcPr>
            <w:tcW w:w="1360" w:type="pct"/>
            <w:gridSpan w:val="2"/>
            <w:shd w:val="clear" w:color="auto" w:fill="auto"/>
            <w:tcMar>
              <w:top w:w="57" w:type="dxa"/>
              <w:bottom w:w="57" w:type="dxa"/>
            </w:tcMar>
          </w:tcPr>
          <w:p w14:paraId="5FD4D373" w14:textId="579A87FD" w:rsidR="00BC3010" w:rsidRPr="00C007ED" w:rsidRDefault="00BC3010" w:rsidP="00BC3010">
            <w:pPr>
              <w:rPr>
                <w:rFonts w:cs="Arial"/>
                <w:szCs w:val="19"/>
              </w:rPr>
            </w:pPr>
            <w:r w:rsidRPr="00C007ED">
              <w:rPr>
                <w:rFonts w:cs="Arial"/>
                <w:szCs w:val="19"/>
              </w:rPr>
              <w:t>Epcoritamab</w:t>
            </w:r>
            <w:r>
              <w:rPr>
                <w:rFonts w:cs="Arial"/>
                <w:szCs w:val="19"/>
              </w:rPr>
              <w:t xml:space="preserve"> (</w:t>
            </w:r>
            <w:r>
              <w:rPr>
                <w:rFonts w:cs="Arial"/>
                <w:i/>
                <w:iCs/>
                <w:szCs w:val="19"/>
              </w:rPr>
              <w:t>Tepkinly</w:t>
            </w:r>
            <w:r>
              <w:rPr>
                <w:rFonts w:cs="Arial"/>
                <w:szCs w:val="19"/>
              </w:rPr>
              <w:t>)</w:t>
            </w:r>
          </w:p>
        </w:tc>
        <w:tc>
          <w:tcPr>
            <w:tcW w:w="3640" w:type="pct"/>
            <w:shd w:val="clear" w:color="auto" w:fill="auto"/>
            <w:tcMar>
              <w:top w:w="57" w:type="dxa"/>
              <w:bottom w:w="57" w:type="dxa"/>
            </w:tcMar>
          </w:tcPr>
          <w:p w14:paraId="02C0DD70" w14:textId="41CBB416" w:rsidR="00BC3010" w:rsidRPr="005E44DE" w:rsidRDefault="00BC3010" w:rsidP="00BC3010">
            <w:pPr>
              <w:tabs>
                <w:tab w:val="center" w:pos="3152"/>
              </w:tabs>
              <w:rPr>
                <w:rFonts w:cs="Arial"/>
                <w:szCs w:val="19"/>
                <w:lang w:val="en-US"/>
              </w:rPr>
            </w:pPr>
            <w:r w:rsidRPr="00C007ED">
              <w:rPr>
                <w:rFonts w:cs="Arial"/>
                <w:szCs w:val="19"/>
                <w:lang w:val="en-US"/>
              </w:rPr>
              <w:t xml:space="preserve">Treatment of relapsed or refractory </w:t>
            </w:r>
            <w:r>
              <w:rPr>
                <w:rFonts w:cs="Arial"/>
                <w:szCs w:val="19"/>
                <w:lang w:val="en-US"/>
              </w:rPr>
              <w:t>follicular lymphoma [EU] [new indication]</w:t>
            </w:r>
          </w:p>
        </w:tc>
      </w:tr>
      <w:tr w:rsidR="00BC3010" w:rsidRPr="00A075A3" w14:paraId="33A8863B" w14:textId="77777777" w:rsidTr="002E7604">
        <w:tc>
          <w:tcPr>
            <w:tcW w:w="1360" w:type="pct"/>
            <w:gridSpan w:val="2"/>
            <w:shd w:val="clear" w:color="auto" w:fill="auto"/>
            <w:tcMar>
              <w:top w:w="57" w:type="dxa"/>
              <w:bottom w:w="57" w:type="dxa"/>
            </w:tcMar>
          </w:tcPr>
          <w:p w14:paraId="4D6B1E05" w14:textId="77777777" w:rsidR="00BC3010" w:rsidRDefault="00BC3010" w:rsidP="00BC3010">
            <w:pPr>
              <w:rPr>
                <w:rFonts w:cs="Arial"/>
                <w:szCs w:val="19"/>
              </w:rPr>
            </w:pPr>
            <w:proofErr w:type="spellStart"/>
            <w:r w:rsidRPr="005E44DE">
              <w:rPr>
                <w:rFonts w:cs="Arial"/>
                <w:szCs w:val="19"/>
              </w:rPr>
              <w:t>Eplontersen</w:t>
            </w:r>
            <w:proofErr w:type="spellEnd"/>
            <w:r>
              <w:rPr>
                <w:rFonts w:cs="Arial"/>
                <w:szCs w:val="19"/>
              </w:rPr>
              <w:t xml:space="preserve"> </w:t>
            </w:r>
          </w:p>
        </w:tc>
        <w:tc>
          <w:tcPr>
            <w:tcW w:w="3640" w:type="pct"/>
            <w:shd w:val="clear" w:color="auto" w:fill="auto"/>
            <w:tcMar>
              <w:top w:w="57" w:type="dxa"/>
              <w:bottom w:w="57" w:type="dxa"/>
            </w:tcMar>
          </w:tcPr>
          <w:p w14:paraId="216B7D09" w14:textId="77777777" w:rsidR="00BC3010" w:rsidRDefault="00BC3010" w:rsidP="00BC3010">
            <w:pPr>
              <w:tabs>
                <w:tab w:val="center" w:pos="3152"/>
              </w:tabs>
              <w:rPr>
                <w:rFonts w:cs="Arial"/>
                <w:szCs w:val="19"/>
                <w:lang w:val="en-US"/>
              </w:rPr>
            </w:pPr>
            <w:r w:rsidRPr="005E44DE">
              <w:rPr>
                <w:rFonts w:cs="Arial"/>
                <w:szCs w:val="19"/>
                <w:lang w:val="en-US"/>
              </w:rPr>
              <w:t>Treatment of adults with polyneuropathy associated with hereditary transthyretin-mediated amyloidosis</w:t>
            </w:r>
            <w:r>
              <w:rPr>
                <w:rFonts w:cs="Arial"/>
                <w:szCs w:val="19"/>
                <w:lang w:val="en-US"/>
              </w:rPr>
              <w:t xml:space="preserve"> </w:t>
            </w:r>
            <w:r w:rsidRPr="00B92CDA">
              <w:rPr>
                <w:rFonts w:cs="Arial"/>
                <w:sz w:val="16"/>
                <w:szCs w:val="16"/>
                <w:lang w:val="en-US"/>
              </w:rPr>
              <w:t>[EU]</w:t>
            </w:r>
          </w:p>
        </w:tc>
      </w:tr>
      <w:tr w:rsidR="00BC3010" w:rsidRPr="00A075A3" w14:paraId="4A76ACF0" w14:textId="77777777" w:rsidTr="002E7604">
        <w:tc>
          <w:tcPr>
            <w:tcW w:w="1360" w:type="pct"/>
            <w:gridSpan w:val="2"/>
            <w:shd w:val="clear" w:color="auto" w:fill="auto"/>
            <w:tcMar>
              <w:top w:w="57" w:type="dxa"/>
              <w:bottom w:w="57" w:type="dxa"/>
            </w:tcMar>
          </w:tcPr>
          <w:p w14:paraId="6332559B" w14:textId="77777777" w:rsidR="00BC3010" w:rsidRPr="00896AE9" w:rsidRDefault="00BC3010" w:rsidP="00BC3010">
            <w:pPr>
              <w:rPr>
                <w:rFonts w:cs="Arial"/>
                <w:szCs w:val="19"/>
              </w:rPr>
            </w:pPr>
            <w:proofErr w:type="spellStart"/>
            <w:r w:rsidRPr="0043308B">
              <w:rPr>
                <w:rFonts w:cs="Arial"/>
                <w:szCs w:val="19"/>
              </w:rPr>
              <w:t>Isavuconazole</w:t>
            </w:r>
            <w:proofErr w:type="spellEnd"/>
            <w:r>
              <w:rPr>
                <w:rFonts w:cs="Arial"/>
                <w:szCs w:val="19"/>
              </w:rPr>
              <w:t xml:space="preserve"> (</w:t>
            </w:r>
            <w:proofErr w:type="spellStart"/>
            <w:r>
              <w:rPr>
                <w:rFonts w:cs="Arial"/>
                <w:i/>
                <w:iCs/>
                <w:szCs w:val="19"/>
              </w:rPr>
              <w:t>Cresemba</w:t>
            </w:r>
            <w:proofErr w:type="spellEnd"/>
            <w:r>
              <w:rPr>
                <w:rFonts w:cs="Arial"/>
                <w:szCs w:val="19"/>
              </w:rPr>
              <w:t>)</w:t>
            </w:r>
          </w:p>
        </w:tc>
        <w:tc>
          <w:tcPr>
            <w:tcW w:w="3640" w:type="pct"/>
            <w:shd w:val="clear" w:color="auto" w:fill="auto"/>
            <w:tcMar>
              <w:top w:w="57" w:type="dxa"/>
              <w:bottom w:w="57" w:type="dxa"/>
            </w:tcMar>
          </w:tcPr>
          <w:p w14:paraId="1D0B02C9" w14:textId="0C40D66E" w:rsidR="00BC3010" w:rsidRPr="00A075A3" w:rsidRDefault="00BC3010" w:rsidP="00BC3010">
            <w:pPr>
              <w:tabs>
                <w:tab w:val="center" w:pos="3152"/>
              </w:tabs>
              <w:rPr>
                <w:rFonts w:cs="Arial"/>
                <w:szCs w:val="19"/>
                <w:lang w:val="en-US"/>
              </w:rPr>
            </w:pPr>
            <w:r>
              <w:rPr>
                <w:rFonts w:cs="Arial"/>
                <w:szCs w:val="19"/>
                <w:lang w:val="en-US"/>
              </w:rPr>
              <w:t>U</w:t>
            </w:r>
            <w:r w:rsidRPr="0043308B">
              <w:rPr>
                <w:rFonts w:cs="Arial"/>
                <w:szCs w:val="19"/>
                <w:lang w:val="en-US"/>
              </w:rPr>
              <w:t xml:space="preserve">se in adults </w:t>
            </w:r>
            <w:r>
              <w:rPr>
                <w:rFonts w:cs="Arial"/>
                <w:szCs w:val="19"/>
                <w:lang w:val="en-US"/>
              </w:rPr>
              <w:t>and</w:t>
            </w:r>
            <w:r w:rsidRPr="0043308B">
              <w:rPr>
                <w:rFonts w:cs="Arial"/>
                <w:szCs w:val="19"/>
                <w:lang w:val="en-US"/>
              </w:rPr>
              <w:t xml:space="preserve"> paediatric patients </w:t>
            </w:r>
            <w:r>
              <w:rPr>
                <w:rFonts w:cs="Arial"/>
                <w:szCs w:val="19"/>
                <w:lang w:val="en-US"/>
              </w:rPr>
              <w:t>aged ≥</w:t>
            </w:r>
            <w:r w:rsidRPr="0043308B">
              <w:rPr>
                <w:rFonts w:cs="Arial"/>
                <w:szCs w:val="19"/>
                <w:lang w:val="en-US"/>
              </w:rPr>
              <w:t xml:space="preserve">6 years for treatment of invasive aspergillosis, and </w:t>
            </w:r>
            <w:proofErr w:type="spellStart"/>
            <w:r w:rsidRPr="0043308B">
              <w:rPr>
                <w:rFonts w:cs="Arial"/>
                <w:szCs w:val="19"/>
                <w:lang w:val="en-US"/>
              </w:rPr>
              <w:t>mucormycosis</w:t>
            </w:r>
            <w:proofErr w:type="spellEnd"/>
            <w:r w:rsidRPr="0043308B">
              <w:rPr>
                <w:rFonts w:cs="Arial"/>
                <w:szCs w:val="19"/>
                <w:lang w:val="en-US"/>
              </w:rPr>
              <w:t xml:space="preserve"> in patients for whom amphotericin B is inappropriate</w:t>
            </w:r>
            <w:r>
              <w:rPr>
                <w:rFonts w:cs="Arial"/>
                <w:szCs w:val="19"/>
                <w:lang w:val="en-US"/>
              </w:rPr>
              <w:t xml:space="preserve"> </w:t>
            </w:r>
            <w:r w:rsidRPr="0043308B">
              <w:rPr>
                <w:rFonts w:cs="Arial"/>
                <w:sz w:val="16"/>
                <w:szCs w:val="16"/>
                <w:lang w:val="en-US"/>
              </w:rPr>
              <w:t xml:space="preserve">[EU] [licence change from use only in adults </w:t>
            </w:r>
            <w:r>
              <w:rPr>
                <w:rFonts w:cs="Arial"/>
                <w:sz w:val="16"/>
                <w:szCs w:val="16"/>
                <w:lang w:val="en-US"/>
              </w:rPr>
              <w:t xml:space="preserve">for the 100mg capsule formulation </w:t>
            </w:r>
            <w:r w:rsidRPr="0043308B">
              <w:rPr>
                <w:rFonts w:cs="Arial"/>
                <w:sz w:val="16"/>
                <w:szCs w:val="16"/>
                <w:lang w:val="en-US"/>
              </w:rPr>
              <w:t>and new 40mg capsule formulation]</w:t>
            </w:r>
          </w:p>
        </w:tc>
      </w:tr>
      <w:tr w:rsidR="00BC3010" w:rsidRPr="00A075A3" w14:paraId="3D01D9E1" w14:textId="77777777" w:rsidTr="002E7604">
        <w:tc>
          <w:tcPr>
            <w:tcW w:w="1360" w:type="pct"/>
            <w:gridSpan w:val="2"/>
            <w:shd w:val="clear" w:color="auto" w:fill="auto"/>
            <w:tcMar>
              <w:top w:w="57" w:type="dxa"/>
              <w:bottom w:w="57" w:type="dxa"/>
            </w:tcMar>
          </w:tcPr>
          <w:p w14:paraId="45D55DCF" w14:textId="77777777" w:rsidR="00BC3010" w:rsidRPr="0043308B" w:rsidRDefault="00BC3010" w:rsidP="00BC3010">
            <w:pPr>
              <w:rPr>
                <w:rFonts w:cs="Arial"/>
                <w:szCs w:val="19"/>
              </w:rPr>
            </w:pPr>
            <w:proofErr w:type="spellStart"/>
            <w:r w:rsidRPr="0043308B">
              <w:rPr>
                <w:rFonts w:cs="Arial"/>
                <w:szCs w:val="19"/>
              </w:rPr>
              <w:t>Isavuconazole</w:t>
            </w:r>
            <w:proofErr w:type="spellEnd"/>
            <w:r>
              <w:rPr>
                <w:rFonts w:cs="Arial"/>
                <w:szCs w:val="19"/>
              </w:rPr>
              <w:t xml:space="preserve"> (</w:t>
            </w:r>
            <w:proofErr w:type="spellStart"/>
            <w:r>
              <w:rPr>
                <w:rFonts w:cs="Arial"/>
                <w:i/>
                <w:iCs/>
                <w:szCs w:val="19"/>
              </w:rPr>
              <w:t>Cresemba</w:t>
            </w:r>
            <w:proofErr w:type="spellEnd"/>
            <w:r>
              <w:rPr>
                <w:rFonts w:cs="Arial"/>
                <w:szCs w:val="19"/>
              </w:rPr>
              <w:t>)</w:t>
            </w:r>
          </w:p>
        </w:tc>
        <w:tc>
          <w:tcPr>
            <w:tcW w:w="3640" w:type="pct"/>
            <w:shd w:val="clear" w:color="auto" w:fill="auto"/>
            <w:tcMar>
              <w:top w:w="57" w:type="dxa"/>
              <w:bottom w:w="57" w:type="dxa"/>
            </w:tcMar>
          </w:tcPr>
          <w:p w14:paraId="257CBA3F" w14:textId="2E6EF934" w:rsidR="00BC3010" w:rsidRPr="00460B68" w:rsidRDefault="00BC3010" w:rsidP="00BC3010">
            <w:pPr>
              <w:tabs>
                <w:tab w:val="center" w:pos="3152"/>
              </w:tabs>
              <w:rPr>
                <w:rFonts w:cs="Arial"/>
                <w:szCs w:val="19"/>
                <w:lang w:val="en-US"/>
              </w:rPr>
            </w:pPr>
            <w:r w:rsidRPr="0043308B">
              <w:rPr>
                <w:rFonts w:cs="Arial"/>
                <w:szCs w:val="19"/>
                <w:lang w:val="en-US"/>
              </w:rPr>
              <w:t xml:space="preserve">Use in adults </w:t>
            </w:r>
            <w:r>
              <w:rPr>
                <w:rFonts w:cs="Arial"/>
                <w:szCs w:val="19"/>
                <w:lang w:val="en-US"/>
              </w:rPr>
              <w:t>and</w:t>
            </w:r>
            <w:r w:rsidRPr="0043308B">
              <w:rPr>
                <w:rFonts w:cs="Arial"/>
                <w:szCs w:val="19"/>
                <w:lang w:val="en-US"/>
              </w:rPr>
              <w:t xml:space="preserve"> paediatric patients </w:t>
            </w:r>
            <w:r>
              <w:rPr>
                <w:rFonts w:cs="Arial"/>
                <w:szCs w:val="19"/>
                <w:lang w:val="en-US"/>
              </w:rPr>
              <w:t>aged ≥1</w:t>
            </w:r>
            <w:r w:rsidRPr="0043308B">
              <w:rPr>
                <w:rFonts w:cs="Arial"/>
                <w:szCs w:val="19"/>
                <w:lang w:val="en-US"/>
              </w:rPr>
              <w:t xml:space="preserve"> year for treatment of invasive aspergillosis, and </w:t>
            </w:r>
            <w:proofErr w:type="spellStart"/>
            <w:r w:rsidRPr="0043308B">
              <w:rPr>
                <w:rFonts w:cs="Arial"/>
                <w:szCs w:val="19"/>
                <w:lang w:val="en-US"/>
              </w:rPr>
              <w:t>mucormycosis</w:t>
            </w:r>
            <w:proofErr w:type="spellEnd"/>
            <w:r w:rsidRPr="0043308B">
              <w:rPr>
                <w:rFonts w:cs="Arial"/>
                <w:szCs w:val="19"/>
                <w:lang w:val="en-US"/>
              </w:rPr>
              <w:t xml:space="preserve"> in patients for whom amphotericin B is inappropriate</w:t>
            </w:r>
            <w:r>
              <w:rPr>
                <w:rFonts w:cs="Arial"/>
                <w:szCs w:val="19"/>
                <w:lang w:val="en-US"/>
              </w:rPr>
              <w:t xml:space="preserve"> </w:t>
            </w:r>
            <w:r>
              <w:rPr>
                <w:rFonts w:cs="Arial"/>
                <w:sz w:val="16"/>
                <w:szCs w:val="16"/>
                <w:lang w:val="en-US"/>
              </w:rPr>
              <w:t>[</w:t>
            </w:r>
            <w:r w:rsidRPr="0043308B">
              <w:rPr>
                <w:rFonts w:cs="Arial"/>
                <w:sz w:val="16"/>
                <w:szCs w:val="16"/>
                <w:lang w:val="en-US"/>
              </w:rPr>
              <w:t xml:space="preserve">EU] [licence change from use only in adults </w:t>
            </w:r>
            <w:r>
              <w:rPr>
                <w:rFonts w:cs="Arial"/>
                <w:sz w:val="16"/>
                <w:szCs w:val="16"/>
                <w:lang w:val="en-US"/>
              </w:rPr>
              <w:t>for the IV formulati</w:t>
            </w:r>
            <w:r w:rsidRPr="0043308B">
              <w:rPr>
                <w:rFonts w:cs="Arial"/>
                <w:sz w:val="16"/>
                <w:szCs w:val="16"/>
                <w:lang w:val="en-US"/>
              </w:rPr>
              <w:t>on]</w:t>
            </w:r>
          </w:p>
        </w:tc>
      </w:tr>
      <w:tr w:rsidR="00BC3010" w:rsidRPr="00A075A3" w14:paraId="17086088" w14:textId="77777777" w:rsidTr="002E7604">
        <w:tc>
          <w:tcPr>
            <w:tcW w:w="1360" w:type="pct"/>
            <w:gridSpan w:val="2"/>
            <w:shd w:val="clear" w:color="auto" w:fill="auto"/>
            <w:tcMar>
              <w:top w:w="57" w:type="dxa"/>
              <w:bottom w:w="57" w:type="dxa"/>
            </w:tcMar>
          </w:tcPr>
          <w:p w14:paraId="0B106229" w14:textId="77777777" w:rsidR="00BC3010" w:rsidRDefault="00BC3010" w:rsidP="00BC3010">
            <w:pPr>
              <w:rPr>
                <w:rFonts w:cs="Arial"/>
                <w:szCs w:val="19"/>
              </w:rPr>
            </w:pPr>
            <w:proofErr w:type="spellStart"/>
            <w:r w:rsidRPr="004C6C05">
              <w:rPr>
                <w:rFonts w:cs="Arial"/>
                <w:szCs w:val="19"/>
              </w:rPr>
              <w:t>Mirvetuximab</w:t>
            </w:r>
            <w:proofErr w:type="spellEnd"/>
            <w:r w:rsidRPr="004C6C05">
              <w:rPr>
                <w:rFonts w:cs="Arial"/>
                <w:szCs w:val="19"/>
              </w:rPr>
              <w:t xml:space="preserve"> </w:t>
            </w:r>
            <w:proofErr w:type="spellStart"/>
            <w:r w:rsidRPr="004C6C05">
              <w:rPr>
                <w:rFonts w:cs="Arial"/>
                <w:szCs w:val="19"/>
              </w:rPr>
              <w:t>soravtansine</w:t>
            </w:r>
            <w:proofErr w:type="spellEnd"/>
            <w:r w:rsidRPr="004C6C05">
              <w:rPr>
                <w:rFonts w:cs="Arial"/>
                <w:szCs w:val="19"/>
              </w:rPr>
              <w:t> </w:t>
            </w:r>
          </w:p>
          <w:p w14:paraId="0E927512" w14:textId="77777777" w:rsidR="00BC3010" w:rsidRPr="004C6C05" w:rsidRDefault="00BC3010" w:rsidP="00BC3010">
            <w:pPr>
              <w:rPr>
                <w:rFonts w:cs="Arial"/>
                <w:szCs w:val="19"/>
              </w:rPr>
            </w:pPr>
            <w:r>
              <w:rPr>
                <w:rFonts w:cs="Arial"/>
                <w:szCs w:val="19"/>
              </w:rPr>
              <w:t>(</w:t>
            </w:r>
            <w:proofErr w:type="spellStart"/>
            <w:r>
              <w:rPr>
                <w:rFonts w:cs="Arial"/>
                <w:i/>
                <w:iCs/>
                <w:szCs w:val="19"/>
              </w:rPr>
              <w:t>Elahere</w:t>
            </w:r>
            <w:proofErr w:type="spellEnd"/>
            <w:r>
              <w:rPr>
                <w:rFonts w:cs="Arial"/>
                <w:szCs w:val="19"/>
              </w:rPr>
              <w:t>)</w:t>
            </w:r>
          </w:p>
        </w:tc>
        <w:tc>
          <w:tcPr>
            <w:tcW w:w="3640" w:type="pct"/>
            <w:shd w:val="clear" w:color="auto" w:fill="auto"/>
            <w:tcMar>
              <w:top w:w="57" w:type="dxa"/>
              <w:bottom w:w="57" w:type="dxa"/>
            </w:tcMar>
          </w:tcPr>
          <w:p w14:paraId="23A1F388" w14:textId="77777777" w:rsidR="00BC3010" w:rsidRPr="00460B68" w:rsidRDefault="00BC3010" w:rsidP="00BC3010">
            <w:pPr>
              <w:tabs>
                <w:tab w:val="center" w:pos="3152"/>
              </w:tabs>
              <w:rPr>
                <w:rFonts w:cs="Arial"/>
                <w:szCs w:val="19"/>
                <w:lang w:val="en-US"/>
              </w:rPr>
            </w:pPr>
            <w:r w:rsidRPr="004C6C05">
              <w:rPr>
                <w:rFonts w:cs="Arial"/>
                <w:szCs w:val="19"/>
                <w:lang w:val="en-US"/>
              </w:rPr>
              <w:t>Treatment of patients with folate receptor alpha-positive, platinum-resistant epithelial ovarian, fallopian tube or primary peritoneal cancer</w:t>
            </w:r>
            <w:r>
              <w:rPr>
                <w:rFonts w:cs="Arial"/>
                <w:szCs w:val="19"/>
                <w:lang w:val="en-US"/>
              </w:rPr>
              <w:t xml:space="preserve"> </w:t>
            </w:r>
            <w:r w:rsidRPr="00B92CDA">
              <w:rPr>
                <w:rFonts w:cs="Arial"/>
                <w:sz w:val="16"/>
                <w:szCs w:val="16"/>
                <w:lang w:val="en-US"/>
              </w:rPr>
              <w:t>[EU]</w:t>
            </w:r>
          </w:p>
        </w:tc>
      </w:tr>
      <w:tr w:rsidR="00BC3010" w:rsidRPr="00A075A3" w14:paraId="70E10395" w14:textId="77777777" w:rsidTr="002E7604">
        <w:tc>
          <w:tcPr>
            <w:tcW w:w="1360" w:type="pct"/>
            <w:gridSpan w:val="2"/>
            <w:shd w:val="clear" w:color="auto" w:fill="auto"/>
            <w:tcMar>
              <w:top w:w="57" w:type="dxa"/>
              <w:bottom w:w="57" w:type="dxa"/>
            </w:tcMar>
          </w:tcPr>
          <w:p w14:paraId="376BF6C2" w14:textId="77777777" w:rsidR="00BC3010" w:rsidRPr="00770348" w:rsidRDefault="00BC3010" w:rsidP="00BC3010">
            <w:pPr>
              <w:rPr>
                <w:rFonts w:cs="Arial"/>
                <w:szCs w:val="19"/>
              </w:rPr>
            </w:pPr>
            <w:proofErr w:type="spellStart"/>
            <w:r>
              <w:rPr>
                <w:rFonts w:cs="Arial"/>
                <w:szCs w:val="19"/>
              </w:rPr>
              <w:t>Nintedanib</w:t>
            </w:r>
            <w:proofErr w:type="spellEnd"/>
            <w:r>
              <w:rPr>
                <w:rFonts w:cs="Arial"/>
                <w:szCs w:val="19"/>
              </w:rPr>
              <w:t xml:space="preserve"> (</w:t>
            </w:r>
            <w:proofErr w:type="spellStart"/>
            <w:r>
              <w:rPr>
                <w:rFonts w:cs="Arial"/>
                <w:i/>
                <w:iCs/>
                <w:szCs w:val="19"/>
              </w:rPr>
              <w:t>Ofev</w:t>
            </w:r>
            <w:proofErr w:type="spellEnd"/>
            <w:r>
              <w:rPr>
                <w:rFonts w:cs="Arial"/>
                <w:szCs w:val="19"/>
              </w:rPr>
              <w:t>)</w:t>
            </w:r>
          </w:p>
        </w:tc>
        <w:tc>
          <w:tcPr>
            <w:tcW w:w="3640" w:type="pct"/>
            <w:shd w:val="clear" w:color="auto" w:fill="auto"/>
            <w:tcMar>
              <w:top w:w="57" w:type="dxa"/>
              <w:bottom w:w="57" w:type="dxa"/>
            </w:tcMar>
          </w:tcPr>
          <w:p w14:paraId="43E6308A" w14:textId="77777777" w:rsidR="00BC3010" w:rsidRPr="00B92CDA" w:rsidRDefault="00BC3010" w:rsidP="00BC3010">
            <w:pPr>
              <w:tabs>
                <w:tab w:val="center" w:pos="3152"/>
              </w:tabs>
              <w:rPr>
                <w:rFonts w:cs="Arial"/>
                <w:szCs w:val="19"/>
                <w:lang w:val="en-US"/>
              </w:rPr>
            </w:pPr>
            <w:r w:rsidRPr="00770348">
              <w:rPr>
                <w:rFonts w:cs="Arial"/>
                <w:szCs w:val="19"/>
                <w:lang w:val="en-US"/>
              </w:rPr>
              <w:t xml:space="preserve">Treatment of fibrosing </w:t>
            </w:r>
            <w:r>
              <w:rPr>
                <w:rFonts w:cs="Arial"/>
                <w:szCs w:val="19"/>
                <w:lang w:val="en-US"/>
              </w:rPr>
              <w:t>i</w:t>
            </w:r>
            <w:r w:rsidRPr="00770348">
              <w:rPr>
                <w:rFonts w:cs="Arial"/>
                <w:szCs w:val="19"/>
                <w:lang w:val="en-US"/>
              </w:rPr>
              <w:t xml:space="preserve">nterstitial </w:t>
            </w:r>
            <w:r>
              <w:rPr>
                <w:rFonts w:cs="Arial"/>
                <w:szCs w:val="19"/>
                <w:lang w:val="en-US"/>
              </w:rPr>
              <w:t>l</w:t>
            </w:r>
            <w:r w:rsidRPr="00770348">
              <w:rPr>
                <w:rFonts w:cs="Arial"/>
                <w:szCs w:val="19"/>
                <w:lang w:val="en-US"/>
              </w:rPr>
              <w:t xml:space="preserve">ung </w:t>
            </w:r>
            <w:r>
              <w:rPr>
                <w:rFonts w:cs="Arial"/>
                <w:szCs w:val="19"/>
                <w:lang w:val="en-US"/>
              </w:rPr>
              <w:t>d</w:t>
            </w:r>
            <w:r w:rsidRPr="00770348">
              <w:rPr>
                <w:rFonts w:cs="Arial"/>
                <w:szCs w:val="19"/>
                <w:lang w:val="en-US"/>
              </w:rPr>
              <w:t xml:space="preserve">iseases in children and adolescents from 6 to 17 years of age </w:t>
            </w:r>
            <w:r w:rsidRPr="00770348">
              <w:rPr>
                <w:rFonts w:cs="Arial"/>
                <w:sz w:val="16"/>
                <w:szCs w:val="16"/>
                <w:lang w:val="en-US"/>
              </w:rPr>
              <w:t>[EU] [new indication and new 25mg capsule formulation]</w:t>
            </w:r>
          </w:p>
        </w:tc>
      </w:tr>
      <w:tr w:rsidR="00BC3010" w:rsidRPr="00A075A3" w14:paraId="59BF0AC4" w14:textId="77777777" w:rsidTr="002E7604">
        <w:tc>
          <w:tcPr>
            <w:tcW w:w="1360" w:type="pct"/>
            <w:gridSpan w:val="2"/>
            <w:shd w:val="clear" w:color="auto" w:fill="auto"/>
            <w:tcMar>
              <w:top w:w="57" w:type="dxa"/>
              <w:bottom w:w="57" w:type="dxa"/>
            </w:tcMar>
          </w:tcPr>
          <w:p w14:paraId="03536916" w14:textId="77777777" w:rsidR="00BC3010" w:rsidRPr="00791DBB" w:rsidRDefault="00BC3010" w:rsidP="00BC3010">
            <w:pPr>
              <w:rPr>
                <w:rFonts w:cs="Arial"/>
                <w:szCs w:val="19"/>
              </w:rPr>
            </w:pPr>
            <w:r>
              <w:rPr>
                <w:rFonts w:cs="Arial"/>
                <w:szCs w:val="19"/>
              </w:rPr>
              <w:t>Olaparib (</w:t>
            </w:r>
            <w:r>
              <w:rPr>
                <w:rFonts w:cs="Arial"/>
                <w:i/>
                <w:iCs/>
                <w:szCs w:val="19"/>
              </w:rPr>
              <w:t>Lynparza</w:t>
            </w:r>
            <w:r>
              <w:rPr>
                <w:rFonts w:cs="Arial"/>
                <w:szCs w:val="19"/>
              </w:rPr>
              <w:t>)</w:t>
            </w:r>
          </w:p>
        </w:tc>
        <w:tc>
          <w:tcPr>
            <w:tcW w:w="3640" w:type="pct"/>
            <w:shd w:val="clear" w:color="auto" w:fill="auto"/>
            <w:tcMar>
              <w:top w:w="57" w:type="dxa"/>
              <w:bottom w:w="57" w:type="dxa"/>
            </w:tcMar>
          </w:tcPr>
          <w:p w14:paraId="31F33182" w14:textId="725AFF0D" w:rsidR="00BC3010" w:rsidRPr="00DC7B78" w:rsidRDefault="00BC3010" w:rsidP="00BC3010">
            <w:pPr>
              <w:tabs>
                <w:tab w:val="center" w:pos="3152"/>
              </w:tabs>
              <w:rPr>
                <w:rFonts w:cs="Arial"/>
                <w:szCs w:val="19"/>
                <w:lang w:val="en-US"/>
              </w:rPr>
            </w:pPr>
            <w:r>
              <w:rPr>
                <w:rFonts w:cs="Arial"/>
                <w:szCs w:val="19"/>
                <w:lang w:val="en-US"/>
              </w:rPr>
              <w:t>Use i</w:t>
            </w:r>
            <w:r w:rsidRPr="00791DBB">
              <w:rPr>
                <w:rFonts w:cs="Arial"/>
                <w:szCs w:val="19"/>
                <w:lang w:val="en-US"/>
              </w:rPr>
              <w:t>n combination with durvalumab for maintenance treatment of adults with newly diagnosed advanced or recurrent endometrial cancer following treatment with durvalumab and platinum-based chemotherapy</w:t>
            </w:r>
            <w:r>
              <w:rPr>
                <w:rFonts w:cs="Arial"/>
                <w:szCs w:val="19"/>
                <w:lang w:val="en-US"/>
              </w:rPr>
              <w:t xml:space="preserve"> </w:t>
            </w:r>
            <w:r w:rsidRPr="00DC7B78">
              <w:rPr>
                <w:rFonts w:cs="Arial"/>
                <w:sz w:val="16"/>
                <w:szCs w:val="16"/>
                <w:lang w:val="en-US"/>
              </w:rPr>
              <w:t>[EU] [new indication]</w:t>
            </w:r>
          </w:p>
        </w:tc>
      </w:tr>
      <w:tr w:rsidR="00BC3010" w:rsidRPr="00A075A3" w14:paraId="0644BB4F" w14:textId="77777777" w:rsidTr="002E7604">
        <w:tc>
          <w:tcPr>
            <w:tcW w:w="1360" w:type="pct"/>
            <w:gridSpan w:val="2"/>
            <w:shd w:val="clear" w:color="auto" w:fill="auto"/>
            <w:tcMar>
              <w:top w:w="57" w:type="dxa"/>
              <w:bottom w:w="57" w:type="dxa"/>
            </w:tcMar>
          </w:tcPr>
          <w:p w14:paraId="110CD713" w14:textId="77777777" w:rsidR="00BC3010" w:rsidRPr="00DC7B78" w:rsidRDefault="00BC3010" w:rsidP="00BC3010">
            <w:pPr>
              <w:rPr>
                <w:rFonts w:cs="Arial"/>
                <w:szCs w:val="19"/>
              </w:rPr>
            </w:pPr>
            <w:r w:rsidRPr="00DC7B78">
              <w:rPr>
                <w:rFonts w:cs="Arial"/>
                <w:szCs w:val="19"/>
              </w:rPr>
              <w:t>Pembrolizumab</w:t>
            </w:r>
            <w:r>
              <w:rPr>
                <w:rFonts w:cs="Arial"/>
                <w:szCs w:val="19"/>
              </w:rPr>
              <w:t xml:space="preserve"> (</w:t>
            </w:r>
            <w:r>
              <w:rPr>
                <w:rFonts w:cs="Arial"/>
                <w:i/>
                <w:iCs/>
                <w:szCs w:val="19"/>
              </w:rPr>
              <w:t>Keytruda</w:t>
            </w:r>
            <w:r>
              <w:rPr>
                <w:rFonts w:cs="Arial"/>
                <w:szCs w:val="19"/>
              </w:rPr>
              <w:t>)</w:t>
            </w:r>
          </w:p>
        </w:tc>
        <w:tc>
          <w:tcPr>
            <w:tcW w:w="3640" w:type="pct"/>
            <w:shd w:val="clear" w:color="auto" w:fill="auto"/>
            <w:tcMar>
              <w:top w:w="57" w:type="dxa"/>
              <w:bottom w:w="57" w:type="dxa"/>
            </w:tcMar>
          </w:tcPr>
          <w:p w14:paraId="34A3AD86" w14:textId="27F79AA6" w:rsidR="00BC3010" w:rsidRPr="00B92CDA" w:rsidRDefault="00BC3010" w:rsidP="00BC3010">
            <w:pPr>
              <w:tabs>
                <w:tab w:val="center" w:pos="3152"/>
              </w:tabs>
              <w:rPr>
                <w:rFonts w:cs="Arial"/>
                <w:szCs w:val="19"/>
                <w:lang w:val="en-US"/>
              </w:rPr>
            </w:pPr>
            <w:r w:rsidRPr="00DC7B78">
              <w:rPr>
                <w:rFonts w:cs="Arial"/>
                <w:szCs w:val="19"/>
                <w:lang w:val="en-US"/>
              </w:rPr>
              <w:t>Use in combination with chemoradiotherapy (external beam radiation therapy followed by brachytherapy) for treatment of high-risk locally advanced cervical cancer in adults who have not received prior definitive therapy [Stage IB2-IIB (with node-positive disease) or Stage III-IVA based on FIGO 2014]</w:t>
            </w:r>
            <w:r>
              <w:rPr>
                <w:rFonts w:cs="Arial"/>
                <w:szCs w:val="19"/>
                <w:lang w:val="en-US"/>
              </w:rPr>
              <w:t xml:space="preserve"> </w:t>
            </w:r>
            <w:r w:rsidRPr="00DC7B78">
              <w:rPr>
                <w:rFonts w:cs="Arial"/>
                <w:sz w:val="16"/>
                <w:szCs w:val="16"/>
                <w:lang w:val="en-US"/>
              </w:rPr>
              <w:t>[EU] [new indication]</w:t>
            </w:r>
          </w:p>
        </w:tc>
      </w:tr>
      <w:tr w:rsidR="00BC3010" w:rsidRPr="00A075A3" w14:paraId="466CF826" w14:textId="77777777" w:rsidTr="002E7604">
        <w:tc>
          <w:tcPr>
            <w:tcW w:w="1360" w:type="pct"/>
            <w:gridSpan w:val="2"/>
            <w:shd w:val="clear" w:color="auto" w:fill="auto"/>
            <w:tcMar>
              <w:top w:w="57" w:type="dxa"/>
              <w:bottom w:w="57" w:type="dxa"/>
            </w:tcMar>
          </w:tcPr>
          <w:p w14:paraId="15D28012" w14:textId="77777777" w:rsidR="00BC3010" w:rsidRDefault="00BC3010" w:rsidP="00BC3010">
            <w:pPr>
              <w:rPr>
                <w:rFonts w:cs="Arial"/>
                <w:szCs w:val="19"/>
              </w:rPr>
            </w:pPr>
            <w:proofErr w:type="spellStart"/>
            <w:r>
              <w:rPr>
                <w:rFonts w:cs="Arial"/>
                <w:szCs w:val="19"/>
              </w:rPr>
              <w:t>Semaglutide</w:t>
            </w:r>
            <w:proofErr w:type="spellEnd"/>
            <w:r>
              <w:rPr>
                <w:rFonts w:cs="Arial"/>
                <w:szCs w:val="19"/>
              </w:rPr>
              <w:t xml:space="preserve"> (</w:t>
            </w:r>
            <w:proofErr w:type="spellStart"/>
            <w:r>
              <w:rPr>
                <w:rFonts w:cs="Arial"/>
                <w:i/>
                <w:iCs/>
                <w:szCs w:val="19"/>
              </w:rPr>
              <w:t>Rybelsus</w:t>
            </w:r>
            <w:proofErr w:type="spellEnd"/>
            <w:r>
              <w:rPr>
                <w:rFonts w:cs="Arial"/>
                <w:szCs w:val="19"/>
              </w:rPr>
              <w:t>)</w:t>
            </w:r>
          </w:p>
        </w:tc>
        <w:tc>
          <w:tcPr>
            <w:tcW w:w="3640" w:type="pct"/>
            <w:shd w:val="clear" w:color="auto" w:fill="auto"/>
            <w:tcMar>
              <w:top w:w="57" w:type="dxa"/>
              <w:bottom w:w="57" w:type="dxa"/>
            </w:tcMar>
          </w:tcPr>
          <w:p w14:paraId="4787F91F" w14:textId="77777777" w:rsidR="00BC3010" w:rsidRPr="00B92CDA" w:rsidRDefault="00BC3010" w:rsidP="00BC3010">
            <w:pPr>
              <w:tabs>
                <w:tab w:val="center" w:pos="3152"/>
              </w:tabs>
              <w:rPr>
                <w:rFonts w:cs="Arial"/>
                <w:szCs w:val="19"/>
                <w:lang w:val="en-US"/>
              </w:rPr>
            </w:pPr>
            <w:r w:rsidRPr="00B92CDA">
              <w:rPr>
                <w:rFonts w:cs="Arial"/>
                <w:szCs w:val="19"/>
                <w:lang w:val="en-US"/>
              </w:rPr>
              <w:t xml:space="preserve">Type 2 diabetes mellitus </w:t>
            </w:r>
            <w:r w:rsidRPr="00B92CDA">
              <w:rPr>
                <w:rFonts w:cs="Arial"/>
                <w:szCs w:val="19"/>
                <w:lang w:val="en-US"/>
              </w:rPr>
              <w:tab/>
              <w:t xml:space="preserve">in adults </w:t>
            </w:r>
            <w:r w:rsidRPr="00B92CDA">
              <w:rPr>
                <w:rFonts w:cs="Arial"/>
                <w:sz w:val="16"/>
                <w:szCs w:val="16"/>
                <w:lang w:val="en-US"/>
              </w:rPr>
              <w:t>[EU]</w:t>
            </w:r>
            <w:r>
              <w:rPr>
                <w:rFonts w:cs="Arial"/>
                <w:sz w:val="16"/>
                <w:szCs w:val="16"/>
                <w:lang w:val="en-US"/>
              </w:rPr>
              <w:t xml:space="preserve"> [new 1.5</w:t>
            </w:r>
            <w:r w:rsidRPr="00B92CDA">
              <w:rPr>
                <w:rFonts w:cs="Arial"/>
                <w:sz w:val="16"/>
                <w:szCs w:val="16"/>
                <w:lang w:val="en-US"/>
              </w:rPr>
              <w:t>mg</w:t>
            </w:r>
            <w:r>
              <w:rPr>
                <w:rFonts w:cs="Arial"/>
                <w:sz w:val="16"/>
                <w:szCs w:val="16"/>
                <w:lang w:val="en-US"/>
              </w:rPr>
              <w:t>, 4mg</w:t>
            </w:r>
            <w:r w:rsidRPr="00B92CDA">
              <w:rPr>
                <w:rFonts w:cs="Arial"/>
                <w:sz w:val="16"/>
                <w:szCs w:val="16"/>
                <w:lang w:val="en-US"/>
              </w:rPr>
              <w:t xml:space="preserve"> and </w:t>
            </w:r>
            <w:r>
              <w:rPr>
                <w:rFonts w:cs="Arial"/>
                <w:sz w:val="16"/>
                <w:szCs w:val="16"/>
                <w:lang w:val="en-US"/>
              </w:rPr>
              <w:t>9</w:t>
            </w:r>
            <w:r w:rsidRPr="00B92CDA">
              <w:rPr>
                <w:rFonts w:cs="Arial"/>
                <w:sz w:val="16"/>
                <w:szCs w:val="16"/>
                <w:lang w:val="en-US"/>
              </w:rPr>
              <w:t>mg oral formulations]</w:t>
            </w:r>
          </w:p>
        </w:tc>
      </w:tr>
      <w:tr w:rsidR="00BC3010" w:rsidRPr="00A075A3" w14:paraId="70893B0E" w14:textId="77777777" w:rsidTr="002E7604">
        <w:tc>
          <w:tcPr>
            <w:tcW w:w="1360" w:type="pct"/>
            <w:gridSpan w:val="2"/>
            <w:shd w:val="clear" w:color="auto" w:fill="auto"/>
            <w:tcMar>
              <w:top w:w="57" w:type="dxa"/>
              <w:bottom w:w="57" w:type="dxa"/>
            </w:tcMar>
          </w:tcPr>
          <w:p w14:paraId="5D789422" w14:textId="77777777" w:rsidR="00BC3010" w:rsidRPr="00B92CDA" w:rsidRDefault="00BC3010" w:rsidP="00BC3010">
            <w:pPr>
              <w:rPr>
                <w:rFonts w:cs="Arial"/>
                <w:szCs w:val="19"/>
              </w:rPr>
            </w:pPr>
            <w:proofErr w:type="spellStart"/>
            <w:r>
              <w:rPr>
                <w:rFonts w:cs="Arial"/>
                <w:szCs w:val="19"/>
              </w:rPr>
              <w:t>Semaglutide</w:t>
            </w:r>
            <w:proofErr w:type="spellEnd"/>
            <w:r>
              <w:rPr>
                <w:rFonts w:cs="Arial"/>
                <w:szCs w:val="19"/>
              </w:rPr>
              <w:t xml:space="preserve"> (</w:t>
            </w:r>
            <w:proofErr w:type="spellStart"/>
            <w:r>
              <w:rPr>
                <w:rFonts w:cs="Arial"/>
                <w:i/>
                <w:iCs/>
                <w:szCs w:val="19"/>
              </w:rPr>
              <w:t>Rybelsus</w:t>
            </w:r>
            <w:proofErr w:type="spellEnd"/>
            <w:r>
              <w:rPr>
                <w:rFonts w:cs="Arial"/>
                <w:szCs w:val="19"/>
              </w:rPr>
              <w:t>)</w:t>
            </w:r>
          </w:p>
        </w:tc>
        <w:tc>
          <w:tcPr>
            <w:tcW w:w="3640" w:type="pct"/>
            <w:shd w:val="clear" w:color="auto" w:fill="auto"/>
            <w:tcMar>
              <w:top w:w="57" w:type="dxa"/>
              <w:bottom w:w="57" w:type="dxa"/>
            </w:tcMar>
          </w:tcPr>
          <w:p w14:paraId="75D7BD61" w14:textId="77777777" w:rsidR="00BC3010" w:rsidRPr="00460B68" w:rsidRDefault="00BC3010" w:rsidP="00BC3010">
            <w:pPr>
              <w:tabs>
                <w:tab w:val="center" w:pos="3152"/>
              </w:tabs>
              <w:rPr>
                <w:rFonts w:cs="Arial"/>
                <w:szCs w:val="19"/>
                <w:lang w:val="en-US"/>
              </w:rPr>
            </w:pPr>
            <w:r w:rsidRPr="00B92CDA">
              <w:rPr>
                <w:rFonts w:cs="Arial"/>
                <w:szCs w:val="19"/>
                <w:lang w:val="en-US"/>
              </w:rPr>
              <w:t xml:space="preserve">Type 2 diabetes mellitus </w:t>
            </w:r>
            <w:r w:rsidRPr="00B92CDA">
              <w:rPr>
                <w:rFonts w:cs="Arial"/>
                <w:szCs w:val="19"/>
                <w:lang w:val="en-US"/>
              </w:rPr>
              <w:tab/>
              <w:t xml:space="preserve">in adults </w:t>
            </w:r>
            <w:r w:rsidRPr="00B92CDA">
              <w:rPr>
                <w:rFonts w:cs="Arial"/>
                <w:sz w:val="16"/>
                <w:szCs w:val="16"/>
                <w:lang w:val="en-US"/>
              </w:rPr>
              <w:t>[EU]</w:t>
            </w:r>
            <w:r>
              <w:rPr>
                <w:rFonts w:cs="Arial"/>
                <w:sz w:val="16"/>
                <w:szCs w:val="16"/>
                <w:lang w:val="en-US"/>
              </w:rPr>
              <w:t xml:space="preserve"> [new </w:t>
            </w:r>
            <w:r w:rsidRPr="00B92CDA">
              <w:rPr>
                <w:rFonts w:cs="Arial"/>
                <w:sz w:val="16"/>
                <w:szCs w:val="16"/>
                <w:lang w:val="en-US"/>
              </w:rPr>
              <w:t>25mg and 50mg oral formulations]</w:t>
            </w:r>
          </w:p>
        </w:tc>
      </w:tr>
      <w:tr w:rsidR="00BC3010" w:rsidRPr="00A075A3" w14:paraId="6F3E3AC6" w14:textId="77777777" w:rsidTr="002E7604">
        <w:tc>
          <w:tcPr>
            <w:tcW w:w="1360" w:type="pct"/>
            <w:gridSpan w:val="2"/>
            <w:shd w:val="clear" w:color="auto" w:fill="auto"/>
            <w:tcMar>
              <w:top w:w="57" w:type="dxa"/>
              <w:bottom w:w="57" w:type="dxa"/>
            </w:tcMar>
          </w:tcPr>
          <w:p w14:paraId="5BAB7C00" w14:textId="77777777" w:rsidR="00BC3010" w:rsidRPr="00DC3B8C" w:rsidRDefault="00BC3010" w:rsidP="00BC3010">
            <w:pPr>
              <w:rPr>
                <w:rFonts w:cs="Arial"/>
                <w:szCs w:val="19"/>
              </w:rPr>
            </w:pPr>
            <w:proofErr w:type="spellStart"/>
            <w:r>
              <w:rPr>
                <w:rFonts w:cs="Arial"/>
                <w:szCs w:val="19"/>
              </w:rPr>
              <w:t>Semaglutide</w:t>
            </w:r>
            <w:proofErr w:type="spellEnd"/>
            <w:r>
              <w:rPr>
                <w:rFonts w:cs="Arial"/>
                <w:szCs w:val="19"/>
              </w:rPr>
              <w:t xml:space="preserve"> (</w:t>
            </w:r>
            <w:proofErr w:type="spellStart"/>
            <w:r>
              <w:rPr>
                <w:rFonts w:cs="Arial"/>
                <w:i/>
                <w:iCs/>
                <w:szCs w:val="19"/>
              </w:rPr>
              <w:t>Wegovy</w:t>
            </w:r>
            <w:proofErr w:type="spellEnd"/>
            <w:r>
              <w:rPr>
                <w:rFonts w:cs="Arial"/>
                <w:szCs w:val="19"/>
              </w:rPr>
              <w:t>)</w:t>
            </w:r>
          </w:p>
        </w:tc>
        <w:tc>
          <w:tcPr>
            <w:tcW w:w="3640" w:type="pct"/>
            <w:shd w:val="clear" w:color="auto" w:fill="auto"/>
            <w:tcMar>
              <w:top w:w="57" w:type="dxa"/>
              <w:bottom w:w="57" w:type="dxa"/>
            </w:tcMar>
          </w:tcPr>
          <w:p w14:paraId="5CC0E5D6" w14:textId="77777777" w:rsidR="00BC3010" w:rsidRPr="003F02CB" w:rsidRDefault="00BC3010" w:rsidP="00BC3010">
            <w:pPr>
              <w:tabs>
                <w:tab w:val="center" w:pos="3152"/>
              </w:tabs>
              <w:rPr>
                <w:rFonts w:cs="Arial"/>
                <w:szCs w:val="19"/>
                <w:lang w:val="en-US"/>
              </w:rPr>
            </w:pPr>
            <w:r>
              <w:rPr>
                <w:rFonts w:cs="Arial"/>
                <w:szCs w:val="19"/>
                <w:lang w:val="en-US"/>
              </w:rPr>
              <w:t>Re</w:t>
            </w:r>
            <w:r w:rsidRPr="00DC3B8C">
              <w:rPr>
                <w:rFonts w:cs="Arial"/>
                <w:szCs w:val="19"/>
                <w:lang w:val="en-US"/>
              </w:rPr>
              <w:t>duc</w:t>
            </w:r>
            <w:r>
              <w:rPr>
                <w:rFonts w:cs="Arial"/>
                <w:szCs w:val="19"/>
                <w:lang w:val="en-US"/>
              </w:rPr>
              <w:t>tion in</w:t>
            </w:r>
            <w:r w:rsidRPr="00DC3B8C">
              <w:rPr>
                <w:rFonts w:cs="Arial"/>
                <w:szCs w:val="19"/>
                <w:lang w:val="en-US"/>
              </w:rPr>
              <w:t xml:space="preserve"> risk of major adverse cardiovascular events (cardiovascular death, non-fatal heart attack or non-fatal stroke) in people with an initial BMI </w:t>
            </w:r>
            <w:r>
              <w:rPr>
                <w:rFonts w:cs="Arial"/>
                <w:szCs w:val="19"/>
                <w:lang w:val="en-US"/>
              </w:rPr>
              <w:t>≥</w:t>
            </w:r>
            <w:r w:rsidRPr="00DC3B8C">
              <w:rPr>
                <w:rFonts w:cs="Arial"/>
                <w:szCs w:val="19"/>
                <w:lang w:val="en-US"/>
              </w:rPr>
              <w:t>27 kg/m</w:t>
            </w:r>
            <w:r w:rsidRPr="00DC3B8C">
              <w:rPr>
                <w:rFonts w:cs="Arial"/>
                <w:szCs w:val="19"/>
                <w:vertAlign w:val="superscript"/>
                <w:lang w:val="en-US"/>
              </w:rPr>
              <w:t>2</w:t>
            </w:r>
            <w:r w:rsidRPr="00DC3B8C">
              <w:rPr>
                <w:rFonts w:cs="Arial"/>
                <w:szCs w:val="19"/>
                <w:lang w:val="en-US"/>
              </w:rPr>
              <w:t xml:space="preserve"> and established cardiovascular disease</w:t>
            </w:r>
            <w:r>
              <w:rPr>
                <w:rFonts w:cs="Arial"/>
                <w:szCs w:val="19"/>
                <w:lang w:val="en-US"/>
              </w:rPr>
              <w:t xml:space="preserve"> </w:t>
            </w:r>
            <w:r w:rsidRPr="00B92CDA">
              <w:rPr>
                <w:rFonts w:cs="Arial"/>
                <w:sz w:val="16"/>
                <w:szCs w:val="16"/>
                <w:lang w:val="en-US"/>
              </w:rPr>
              <w:t>[EU]</w:t>
            </w:r>
            <w:r w:rsidRPr="00DC3B8C">
              <w:rPr>
                <w:rFonts w:cs="Arial"/>
                <w:sz w:val="16"/>
                <w:szCs w:val="16"/>
                <w:lang w:val="en-US"/>
              </w:rPr>
              <w:t xml:space="preserve"> [new indication]</w:t>
            </w:r>
          </w:p>
        </w:tc>
      </w:tr>
      <w:tr w:rsidR="00BC3010" w:rsidRPr="00A075A3" w14:paraId="22230AF1" w14:textId="77777777" w:rsidTr="002E7604">
        <w:tc>
          <w:tcPr>
            <w:tcW w:w="1360" w:type="pct"/>
            <w:gridSpan w:val="2"/>
            <w:shd w:val="clear" w:color="auto" w:fill="auto"/>
            <w:tcMar>
              <w:top w:w="57" w:type="dxa"/>
              <w:bottom w:w="57" w:type="dxa"/>
            </w:tcMar>
          </w:tcPr>
          <w:p w14:paraId="4161BDAF" w14:textId="77777777" w:rsidR="00BC3010" w:rsidRDefault="00BC3010" w:rsidP="00BC3010">
            <w:pPr>
              <w:rPr>
                <w:rFonts w:cs="Arial"/>
                <w:szCs w:val="19"/>
              </w:rPr>
            </w:pPr>
            <w:r w:rsidRPr="00133D16">
              <w:rPr>
                <w:rFonts w:cs="Arial"/>
                <w:szCs w:val="19"/>
              </w:rPr>
              <w:t>Sodium phenylbutyrate </w:t>
            </w:r>
          </w:p>
          <w:p w14:paraId="5DB6B0DF" w14:textId="77777777" w:rsidR="00BC3010" w:rsidRPr="001268AB" w:rsidRDefault="00BC3010" w:rsidP="00BC3010">
            <w:pPr>
              <w:rPr>
                <w:rFonts w:cs="Arial"/>
                <w:i/>
                <w:iCs/>
                <w:szCs w:val="19"/>
              </w:rPr>
            </w:pPr>
            <w:r>
              <w:rPr>
                <w:rFonts w:cs="Arial"/>
                <w:szCs w:val="19"/>
              </w:rPr>
              <w:t>(</w:t>
            </w:r>
            <w:proofErr w:type="spellStart"/>
            <w:r>
              <w:rPr>
                <w:rFonts w:cs="Arial"/>
                <w:i/>
                <w:iCs/>
                <w:szCs w:val="19"/>
              </w:rPr>
              <w:t>Pheburane</w:t>
            </w:r>
            <w:proofErr w:type="spellEnd"/>
            <w:r>
              <w:rPr>
                <w:rFonts w:cs="Arial"/>
                <w:i/>
                <w:iCs/>
                <w:szCs w:val="19"/>
              </w:rPr>
              <w:t>)</w:t>
            </w:r>
          </w:p>
        </w:tc>
        <w:tc>
          <w:tcPr>
            <w:tcW w:w="3640" w:type="pct"/>
            <w:shd w:val="clear" w:color="auto" w:fill="auto"/>
            <w:tcMar>
              <w:top w:w="57" w:type="dxa"/>
              <w:bottom w:w="57" w:type="dxa"/>
            </w:tcMar>
          </w:tcPr>
          <w:p w14:paraId="44AC5419" w14:textId="77777777" w:rsidR="00BC3010" w:rsidRPr="00272180" w:rsidRDefault="00BC3010" w:rsidP="00BC3010">
            <w:pPr>
              <w:tabs>
                <w:tab w:val="center" w:pos="3152"/>
              </w:tabs>
              <w:rPr>
                <w:rFonts w:cs="Arial"/>
                <w:szCs w:val="19"/>
                <w:lang w:val="en-US"/>
              </w:rPr>
            </w:pPr>
            <w:r w:rsidRPr="001268AB">
              <w:rPr>
                <w:rFonts w:cs="Arial"/>
                <w:szCs w:val="19"/>
                <w:lang w:val="en-US"/>
              </w:rPr>
              <w:t xml:space="preserve">Urea cycle disorders </w:t>
            </w:r>
            <w:r w:rsidRPr="001268AB">
              <w:rPr>
                <w:rFonts w:cs="Arial"/>
                <w:szCs w:val="19"/>
                <w:lang w:val="en-US"/>
              </w:rPr>
              <w:tab/>
              <w:t xml:space="preserve">involving deficiencies of </w:t>
            </w:r>
            <w:proofErr w:type="spellStart"/>
            <w:r w:rsidRPr="001268AB">
              <w:rPr>
                <w:rFonts w:cs="Arial"/>
                <w:szCs w:val="19"/>
                <w:lang w:val="en-US"/>
              </w:rPr>
              <w:t>carbamylphosphate</w:t>
            </w:r>
            <w:proofErr w:type="spellEnd"/>
            <w:r w:rsidRPr="001268AB">
              <w:rPr>
                <w:rFonts w:cs="Arial"/>
                <w:szCs w:val="19"/>
                <w:lang w:val="en-US"/>
              </w:rPr>
              <w:t xml:space="preserve"> synthetase, ornithine </w:t>
            </w:r>
            <w:proofErr w:type="spellStart"/>
            <w:r w:rsidRPr="001268AB">
              <w:rPr>
                <w:rFonts w:cs="Arial"/>
                <w:szCs w:val="19"/>
                <w:lang w:val="en-US"/>
              </w:rPr>
              <w:t>transcarbamylase</w:t>
            </w:r>
            <w:proofErr w:type="spellEnd"/>
            <w:r w:rsidRPr="001268AB">
              <w:rPr>
                <w:rFonts w:cs="Arial"/>
                <w:szCs w:val="19"/>
                <w:lang w:val="en-US"/>
              </w:rPr>
              <w:t xml:space="preserve"> or </w:t>
            </w:r>
            <w:proofErr w:type="spellStart"/>
            <w:r w:rsidRPr="001268AB">
              <w:rPr>
                <w:rFonts w:cs="Arial"/>
                <w:szCs w:val="19"/>
                <w:lang w:val="en-US"/>
              </w:rPr>
              <w:t>argininosuccinate</w:t>
            </w:r>
            <w:proofErr w:type="spellEnd"/>
            <w:r w:rsidRPr="001268AB">
              <w:rPr>
                <w:rFonts w:cs="Arial"/>
                <w:szCs w:val="19"/>
                <w:lang w:val="en-US"/>
              </w:rPr>
              <w:t xml:space="preserve"> synthetase </w:t>
            </w:r>
            <w:r w:rsidRPr="001268AB">
              <w:rPr>
                <w:rFonts w:cs="Arial"/>
                <w:sz w:val="16"/>
                <w:szCs w:val="16"/>
                <w:lang w:val="en-US"/>
              </w:rPr>
              <w:t>[EU] [new 500mg tablet formulation]</w:t>
            </w:r>
          </w:p>
        </w:tc>
      </w:tr>
      <w:tr w:rsidR="00BC3010" w:rsidRPr="00A075A3" w14:paraId="3E6DFB8C" w14:textId="77777777" w:rsidTr="002E7604">
        <w:tc>
          <w:tcPr>
            <w:tcW w:w="1360" w:type="pct"/>
            <w:gridSpan w:val="2"/>
            <w:shd w:val="clear" w:color="auto" w:fill="auto"/>
            <w:tcMar>
              <w:top w:w="57" w:type="dxa"/>
              <w:bottom w:w="57" w:type="dxa"/>
            </w:tcMar>
          </w:tcPr>
          <w:p w14:paraId="35677A72" w14:textId="77777777" w:rsidR="00BC3010" w:rsidRPr="00613747" w:rsidRDefault="00BC3010" w:rsidP="00BC3010">
            <w:pPr>
              <w:rPr>
                <w:rFonts w:cs="Arial"/>
                <w:szCs w:val="19"/>
              </w:rPr>
            </w:pPr>
            <w:proofErr w:type="spellStart"/>
            <w:r w:rsidRPr="00905142">
              <w:rPr>
                <w:rFonts w:cs="Arial"/>
                <w:szCs w:val="19"/>
              </w:rPr>
              <w:t>Sotatercept</w:t>
            </w:r>
            <w:proofErr w:type="spellEnd"/>
            <w:r>
              <w:rPr>
                <w:rFonts w:cs="Arial"/>
                <w:szCs w:val="19"/>
              </w:rPr>
              <w:t xml:space="preserve"> </w:t>
            </w:r>
          </w:p>
        </w:tc>
        <w:tc>
          <w:tcPr>
            <w:tcW w:w="3640" w:type="pct"/>
            <w:shd w:val="clear" w:color="auto" w:fill="auto"/>
            <w:tcMar>
              <w:top w:w="57" w:type="dxa"/>
              <w:bottom w:w="57" w:type="dxa"/>
            </w:tcMar>
          </w:tcPr>
          <w:p w14:paraId="5DD13869" w14:textId="77777777" w:rsidR="00BC3010" w:rsidRDefault="00BC3010" w:rsidP="00BC3010">
            <w:pPr>
              <w:tabs>
                <w:tab w:val="center" w:pos="3152"/>
              </w:tabs>
              <w:rPr>
                <w:rFonts w:cs="Arial"/>
                <w:szCs w:val="19"/>
                <w:lang w:val="en-US"/>
              </w:rPr>
            </w:pPr>
            <w:r w:rsidRPr="00905142">
              <w:rPr>
                <w:rFonts w:cs="Arial"/>
                <w:szCs w:val="19"/>
                <w:lang w:val="en-US"/>
              </w:rPr>
              <w:t>Treatment of pulmonary arterial hypertension in adults</w:t>
            </w:r>
            <w:r>
              <w:rPr>
                <w:rFonts w:cs="Arial"/>
                <w:szCs w:val="19"/>
                <w:lang w:val="en-US"/>
              </w:rPr>
              <w:t xml:space="preserve"> </w:t>
            </w:r>
            <w:r w:rsidRPr="004E20BD">
              <w:rPr>
                <w:rFonts w:cs="Arial"/>
                <w:sz w:val="16"/>
                <w:szCs w:val="16"/>
                <w:lang w:val="en-US"/>
              </w:rPr>
              <w:t>[EU]</w:t>
            </w:r>
          </w:p>
        </w:tc>
      </w:tr>
      <w:tr w:rsidR="00BC3010" w:rsidRPr="00A075A3" w14:paraId="3BE87639" w14:textId="77777777" w:rsidTr="002E7604">
        <w:tc>
          <w:tcPr>
            <w:tcW w:w="1360" w:type="pct"/>
            <w:gridSpan w:val="2"/>
            <w:shd w:val="clear" w:color="auto" w:fill="auto"/>
            <w:tcMar>
              <w:top w:w="57" w:type="dxa"/>
              <w:bottom w:w="57" w:type="dxa"/>
            </w:tcMar>
          </w:tcPr>
          <w:p w14:paraId="1C57F6D0" w14:textId="77777777" w:rsidR="00BC3010" w:rsidRPr="00283577" w:rsidRDefault="00BC3010" w:rsidP="00BC3010">
            <w:pPr>
              <w:rPr>
                <w:rFonts w:cs="Arial"/>
                <w:szCs w:val="19"/>
              </w:rPr>
            </w:pPr>
            <w:proofErr w:type="spellStart"/>
            <w:r>
              <w:rPr>
                <w:rFonts w:cs="Arial"/>
                <w:szCs w:val="19"/>
              </w:rPr>
              <w:t>Tirzepatide</w:t>
            </w:r>
            <w:proofErr w:type="spellEnd"/>
            <w:r>
              <w:rPr>
                <w:rFonts w:cs="Arial"/>
                <w:szCs w:val="19"/>
              </w:rPr>
              <w:t xml:space="preserve"> (</w:t>
            </w:r>
            <w:proofErr w:type="spellStart"/>
            <w:r>
              <w:rPr>
                <w:rFonts w:cs="Arial"/>
                <w:i/>
                <w:iCs/>
                <w:szCs w:val="19"/>
              </w:rPr>
              <w:t>Mounjaro</w:t>
            </w:r>
            <w:proofErr w:type="spellEnd"/>
            <w:r>
              <w:rPr>
                <w:rFonts w:cs="Arial"/>
                <w:szCs w:val="19"/>
              </w:rPr>
              <w:t>)</w:t>
            </w:r>
          </w:p>
        </w:tc>
        <w:tc>
          <w:tcPr>
            <w:tcW w:w="3640" w:type="pct"/>
            <w:shd w:val="clear" w:color="auto" w:fill="auto"/>
            <w:tcMar>
              <w:top w:w="57" w:type="dxa"/>
              <w:bottom w:w="57" w:type="dxa"/>
            </w:tcMar>
          </w:tcPr>
          <w:p w14:paraId="75A451F1" w14:textId="77777777" w:rsidR="00BC3010" w:rsidRPr="00283577" w:rsidRDefault="00BC3010" w:rsidP="00BC3010">
            <w:pPr>
              <w:tabs>
                <w:tab w:val="center" w:pos="3152"/>
              </w:tabs>
              <w:rPr>
                <w:rFonts w:cs="Arial"/>
                <w:i/>
                <w:iCs/>
                <w:szCs w:val="19"/>
                <w:lang w:val="en-US"/>
              </w:rPr>
            </w:pPr>
            <w:r w:rsidRPr="00283577">
              <w:rPr>
                <w:rFonts w:cs="Arial"/>
                <w:szCs w:val="19"/>
                <w:lang w:val="en-US"/>
              </w:rPr>
              <w:t>Treatment of adults with insufficiently controlled type 2 diabetes mellitus</w:t>
            </w:r>
            <w:r>
              <w:rPr>
                <w:rFonts w:cs="Arial"/>
                <w:szCs w:val="19"/>
                <w:lang w:val="en-US"/>
              </w:rPr>
              <w:t xml:space="preserve"> </w:t>
            </w:r>
            <w:r w:rsidRPr="00283577">
              <w:rPr>
                <w:rFonts w:cs="Arial"/>
                <w:szCs w:val="19"/>
                <w:lang w:val="en-US"/>
              </w:rPr>
              <w:t>as an adjunct to diet and exercise</w:t>
            </w:r>
            <w:r>
              <w:rPr>
                <w:rFonts w:cs="Arial"/>
                <w:szCs w:val="19"/>
                <w:lang w:val="en-US"/>
              </w:rPr>
              <w:t xml:space="preserve">, </w:t>
            </w:r>
            <w:r w:rsidRPr="00283577">
              <w:rPr>
                <w:rFonts w:cs="Arial"/>
                <w:szCs w:val="19"/>
                <w:lang w:val="en-US"/>
              </w:rPr>
              <w:t>as monotherapy when metformin is considered inappropriate due to intolerance or</w:t>
            </w:r>
            <w:r>
              <w:rPr>
                <w:rFonts w:cs="Arial"/>
                <w:szCs w:val="19"/>
                <w:lang w:val="en-US"/>
              </w:rPr>
              <w:t xml:space="preserve"> </w:t>
            </w:r>
            <w:r w:rsidRPr="00283577">
              <w:rPr>
                <w:rFonts w:cs="Arial"/>
                <w:szCs w:val="19"/>
                <w:lang w:val="en-US"/>
              </w:rPr>
              <w:t>contraindications</w:t>
            </w:r>
            <w:r>
              <w:rPr>
                <w:rFonts w:cs="Arial"/>
                <w:szCs w:val="19"/>
                <w:lang w:val="en-US"/>
              </w:rPr>
              <w:t xml:space="preserve">, or </w:t>
            </w:r>
            <w:r w:rsidRPr="00283577">
              <w:rPr>
                <w:rFonts w:cs="Arial"/>
                <w:szCs w:val="19"/>
                <w:lang w:val="en-US"/>
              </w:rPr>
              <w:t>in addition to other medicinal products for the treatment of diabetes</w:t>
            </w:r>
            <w:r>
              <w:rPr>
                <w:rFonts w:cs="Arial"/>
                <w:szCs w:val="19"/>
                <w:lang w:val="en-US"/>
              </w:rPr>
              <w:t xml:space="preserve"> </w:t>
            </w:r>
            <w:r w:rsidRPr="00283577">
              <w:rPr>
                <w:rFonts w:cs="Arial"/>
                <w:sz w:val="16"/>
                <w:szCs w:val="16"/>
                <w:lang w:val="en-US"/>
              </w:rPr>
              <w:t>[EU] [new multidose pre-filled pen formulation]</w:t>
            </w:r>
            <w:r>
              <w:rPr>
                <w:rFonts w:cs="Arial"/>
                <w:sz w:val="16"/>
                <w:szCs w:val="16"/>
                <w:lang w:val="en-US"/>
              </w:rPr>
              <w:t xml:space="preserve"> </w:t>
            </w:r>
            <w:r>
              <w:rPr>
                <w:rFonts w:cs="Arial"/>
                <w:i/>
                <w:iCs/>
                <w:sz w:val="16"/>
                <w:szCs w:val="16"/>
                <w:lang w:val="en-US"/>
              </w:rPr>
              <w:t>Note: Presume licence will also include use for weight management which is currently recommended for approval in EU/approved in UK</w:t>
            </w:r>
          </w:p>
        </w:tc>
      </w:tr>
      <w:tr w:rsidR="00BC3010" w:rsidRPr="00A075A3" w14:paraId="7DCA4BB3" w14:textId="77777777" w:rsidTr="002E7604">
        <w:tc>
          <w:tcPr>
            <w:tcW w:w="1360" w:type="pct"/>
            <w:gridSpan w:val="2"/>
            <w:shd w:val="clear" w:color="auto" w:fill="auto"/>
            <w:tcMar>
              <w:top w:w="57" w:type="dxa"/>
              <w:bottom w:w="57" w:type="dxa"/>
            </w:tcMar>
          </w:tcPr>
          <w:p w14:paraId="600C434B" w14:textId="77777777" w:rsidR="00BC3010" w:rsidRDefault="00BC3010" w:rsidP="00BC3010">
            <w:pPr>
              <w:rPr>
                <w:rFonts w:cs="Arial"/>
                <w:szCs w:val="19"/>
              </w:rPr>
            </w:pPr>
            <w:r w:rsidRPr="00613747">
              <w:rPr>
                <w:rFonts w:cs="Arial"/>
                <w:szCs w:val="19"/>
              </w:rPr>
              <w:t>Tiratricol</w:t>
            </w:r>
            <w:r>
              <w:rPr>
                <w:rFonts w:cs="Arial"/>
                <w:szCs w:val="19"/>
              </w:rPr>
              <w:t xml:space="preserve"> </w:t>
            </w:r>
          </w:p>
        </w:tc>
        <w:tc>
          <w:tcPr>
            <w:tcW w:w="3640" w:type="pct"/>
            <w:shd w:val="clear" w:color="auto" w:fill="auto"/>
            <w:tcMar>
              <w:top w:w="57" w:type="dxa"/>
              <w:bottom w:w="57" w:type="dxa"/>
            </w:tcMar>
          </w:tcPr>
          <w:p w14:paraId="517E853D" w14:textId="77777777" w:rsidR="00BC3010" w:rsidRPr="004E20BD" w:rsidRDefault="00BC3010" w:rsidP="00BC3010">
            <w:pPr>
              <w:tabs>
                <w:tab w:val="center" w:pos="3152"/>
              </w:tabs>
              <w:rPr>
                <w:rFonts w:cs="Arial"/>
                <w:szCs w:val="19"/>
                <w:lang w:val="en-US"/>
              </w:rPr>
            </w:pPr>
            <w:r>
              <w:rPr>
                <w:rFonts w:cs="Arial"/>
                <w:szCs w:val="19"/>
                <w:lang w:val="en-US"/>
              </w:rPr>
              <w:t>Treatment of m</w:t>
            </w:r>
            <w:r w:rsidRPr="00613747">
              <w:rPr>
                <w:rFonts w:cs="Arial"/>
                <w:szCs w:val="19"/>
                <w:lang w:val="en-US"/>
              </w:rPr>
              <w:t>onocarboxylate transporter 8 deficiency</w:t>
            </w:r>
            <w:r>
              <w:rPr>
                <w:rFonts w:cs="Arial"/>
                <w:szCs w:val="19"/>
                <w:lang w:val="en-US"/>
              </w:rPr>
              <w:t xml:space="preserve"> </w:t>
            </w:r>
            <w:r w:rsidRPr="004E20BD">
              <w:rPr>
                <w:rFonts w:cs="Arial"/>
                <w:sz w:val="16"/>
                <w:szCs w:val="16"/>
                <w:lang w:val="en-US"/>
              </w:rPr>
              <w:t>[EU]</w:t>
            </w:r>
          </w:p>
        </w:tc>
      </w:tr>
      <w:tr w:rsidR="00BC3010" w:rsidRPr="00A075A3" w14:paraId="64C0BD6B" w14:textId="77777777" w:rsidTr="002E7604">
        <w:tc>
          <w:tcPr>
            <w:tcW w:w="1360" w:type="pct"/>
            <w:gridSpan w:val="2"/>
            <w:shd w:val="clear" w:color="auto" w:fill="auto"/>
            <w:tcMar>
              <w:top w:w="57" w:type="dxa"/>
              <w:bottom w:w="57" w:type="dxa"/>
            </w:tcMar>
          </w:tcPr>
          <w:p w14:paraId="54C70A5C" w14:textId="77777777" w:rsidR="00BC3010" w:rsidRPr="00133D16" w:rsidRDefault="00BC3010" w:rsidP="00BC3010">
            <w:pPr>
              <w:rPr>
                <w:rFonts w:cs="Arial"/>
                <w:szCs w:val="19"/>
              </w:rPr>
            </w:pPr>
            <w:proofErr w:type="spellStart"/>
            <w:r>
              <w:rPr>
                <w:rFonts w:cs="Arial"/>
                <w:szCs w:val="19"/>
              </w:rPr>
              <w:t>Troriluzole</w:t>
            </w:r>
            <w:proofErr w:type="spellEnd"/>
            <w:r>
              <w:rPr>
                <w:rFonts w:cs="Arial"/>
                <w:szCs w:val="19"/>
              </w:rPr>
              <w:t xml:space="preserve"> </w:t>
            </w:r>
          </w:p>
        </w:tc>
        <w:tc>
          <w:tcPr>
            <w:tcW w:w="3640" w:type="pct"/>
            <w:shd w:val="clear" w:color="auto" w:fill="auto"/>
            <w:tcMar>
              <w:top w:w="57" w:type="dxa"/>
              <w:bottom w:w="57" w:type="dxa"/>
            </w:tcMar>
          </w:tcPr>
          <w:p w14:paraId="72E560D5" w14:textId="77777777" w:rsidR="00BC3010" w:rsidRPr="001268AB" w:rsidRDefault="00BC3010" w:rsidP="00BC3010">
            <w:pPr>
              <w:tabs>
                <w:tab w:val="center" w:pos="3152"/>
              </w:tabs>
              <w:rPr>
                <w:rFonts w:cs="Arial"/>
                <w:szCs w:val="19"/>
                <w:lang w:val="en-US"/>
              </w:rPr>
            </w:pPr>
            <w:r w:rsidRPr="004E20BD">
              <w:rPr>
                <w:rFonts w:cs="Arial"/>
                <w:szCs w:val="19"/>
                <w:lang w:val="en-US"/>
              </w:rPr>
              <w:t>Treatment of adults with spinocerebellar ataxia genotype 3</w:t>
            </w:r>
            <w:r>
              <w:rPr>
                <w:rFonts w:cs="Arial"/>
                <w:szCs w:val="19"/>
                <w:lang w:val="en-US"/>
              </w:rPr>
              <w:t xml:space="preserve"> </w:t>
            </w:r>
            <w:r w:rsidRPr="004E20BD">
              <w:rPr>
                <w:rFonts w:cs="Arial"/>
                <w:sz w:val="16"/>
                <w:szCs w:val="16"/>
                <w:lang w:val="en-US"/>
              </w:rPr>
              <w:t>[EU]</w:t>
            </w:r>
          </w:p>
        </w:tc>
      </w:tr>
      <w:tr w:rsidR="00BC3010" w:rsidRPr="00A075A3" w14:paraId="22023AF9" w14:textId="77777777" w:rsidTr="002E7604">
        <w:tc>
          <w:tcPr>
            <w:tcW w:w="1360" w:type="pct"/>
            <w:gridSpan w:val="2"/>
            <w:shd w:val="clear" w:color="auto" w:fill="auto"/>
            <w:tcMar>
              <w:top w:w="57" w:type="dxa"/>
              <w:bottom w:w="57" w:type="dxa"/>
            </w:tcMar>
          </w:tcPr>
          <w:p w14:paraId="512F9D64" w14:textId="77777777" w:rsidR="00BC3010" w:rsidRDefault="00BC3010" w:rsidP="00BC3010">
            <w:pPr>
              <w:rPr>
                <w:rFonts w:cs="Arial"/>
                <w:szCs w:val="19"/>
              </w:rPr>
            </w:pPr>
            <w:r w:rsidRPr="005421CF">
              <w:rPr>
                <w:rFonts w:cs="Arial"/>
                <w:szCs w:val="19"/>
              </w:rPr>
              <w:t xml:space="preserve">Ustekinumab biosimilar </w:t>
            </w:r>
            <w:r>
              <w:rPr>
                <w:rFonts w:cs="Arial"/>
                <w:szCs w:val="19"/>
              </w:rPr>
              <w:t xml:space="preserve">– </w:t>
            </w:r>
            <w:r w:rsidRPr="005421CF">
              <w:rPr>
                <w:rFonts w:cs="Arial"/>
                <w:szCs w:val="19"/>
              </w:rPr>
              <w:t>FYB202</w:t>
            </w:r>
          </w:p>
        </w:tc>
        <w:tc>
          <w:tcPr>
            <w:tcW w:w="3640" w:type="pct"/>
            <w:shd w:val="clear" w:color="auto" w:fill="auto"/>
            <w:tcMar>
              <w:top w:w="57" w:type="dxa"/>
              <w:bottom w:w="57" w:type="dxa"/>
            </w:tcMar>
          </w:tcPr>
          <w:p w14:paraId="2AB5F845" w14:textId="77777777" w:rsidR="00BC3010" w:rsidRPr="004E20BD" w:rsidRDefault="00BC3010" w:rsidP="00BC3010">
            <w:pPr>
              <w:tabs>
                <w:tab w:val="center" w:pos="3152"/>
              </w:tabs>
              <w:rPr>
                <w:rFonts w:cs="Arial"/>
                <w:szCs w:val="19"/>
                <w:lang w:val="en-US"/>
              </w:rPr>
            </w:pPr>
            <w:r w:rsidRPr="005421CF">
              <w:rPr>
                <w:rFonts w:cs="Arial"/>
                <w:szCs w:val="19"/>
                <w:lang w:val="en-US"/>
              </w:rPr>
              <w:t xml:space="preserve">Moderate to severe chronic plaque </w:t>
            </w:r>
            <w:r>
              <w:rPr>
                <w:rFonts w:cs="Arial"/>
                <w:szCs w:val="19"/>
                <w:lang w:val="en-US"/>
              </w:rPr>
              <w:t xml:space="preserve">psoriasis </w:t>
            </w:r>
            <w:r w:rsidRPr="005421CF">
              <w:rPr>
                <w:rFonts w:cs="Arial"/>
                <w:szCs w:val="19"/>
                <w:lang w:val="en-US"/>
              </w:rPr>
              <w:t xml:space="preserve">in adults and other </w:t>
            </w:r>
            <w:r w:rsidRPr="005421CF">
              <w:rPr>
                <w:rFonts w:cs="Arial"/>
                <w:i/>
                <w:iCs/>
                <w:szCs w:val="19"/>
                <w:lang w:val="en-US"/>
              </w:rPr>
              <w:t>Stelara</w:t>
            </w:r>
            <w:r w:rsidRPr="005421CF">
              <w:rPr>
                <w:rFonts w:cs="Arial"/>
                <w:szCs w:val="19"/>
                <w:lang w:val="en-US"/>
              </w:rPr>
              <w:t xml:space="preserve"> indications </w:t>
            </w:r>
            <w:r w:rsidRPr="004E20BD">
              <w:rPr>
                <w:rFonts w:cs="Arial"/>
                <w:sz w:val="16"/>
                <w:szCs w:val="16"/>
                <w:lang w:val="en-US"/>
              </w:rPr>
              <w:t>[EU]</w:t>
            </w:r>
          </w:p>
        </w:tc>
      </w:tr>
      <w:tr w:rsidR="00BC3010" w:rsidRPr="000F19E1" w14:paraId="5AF3A26A" w14:textId="77777777" w:rsidTr="002E7604">
        <w:tc>
          <w:tcPr>
            <w:tcW w:w="1360" w:type="pct"/>
            <w:gridSpan w:val="2"/>
            <w:shd w:val="clear" w:color="auto" w:fill="auto"/>
            <w:tcMar>
              <w:top w:w="0" w:type="dxa"/>
              <w:bottom w:w="0" w:type="dxa"/>
            </w:tcMar>
          </w:tcPr>
          <w:p w14:paraId="4A9D1602" w14:textId="77777777" w:rsidR="00BC3010" w:rsidRPr="000F19E1" w:rsidRDefault="00BC3010" w:rsidP="00BC3010">
            <w:pPr>
              <w:rPr>
                <w:rFonts w:cs="Arial"/>
                <w:bCs/>
                <w:sz w:val="8"/>
                <w:szCs w:val="8"/>
              </w:rPr>
            </w:pPr>
          </w:p>
        </w:tc>
        <w:tc>
          <w:tcPr>
            <w:tcW w:w="3640" w:type="pct"/>
            <w:shd w:val="clear" w:color="auto" w:fill="auto"/>
            <w:tcMar>
              <w:top w:w="0" w:type="dxa"/>
              <w:bottom w:w="0" w:type="dxa"/>
            </w:tcMar>
          </w:tcPr>
          <w:p w14:paraId="0762235F" w14:textId="77777777" w:rsidR="00BC3010" w:rsidRPr="000F19E1" w:rsidRDefault="00BC3010" w:rsidP="00BC3010">
            <w:pPr>
              <w:tabs>
                <w:tab w:val="center" w:pos="3152"/>
              </w:tabs>
              <w:rPr>
                <w:rFonts w:cs="Arial"/>
                <w:sz w:val="8"/>
                <w:szCs w:val="8"/>
                <w:lang w:val="en-US"/>
              </w:rPr>
            </w:pPr>
          </w:p>
        </w:tc>
      </w:tr>
      <w:tr w:rsidR="00BC3010" w:rsidRPr="000F19E1" w14:paraId="2CBD0A2D" w14:textId="77777777" w:rsidTr="002E7604">
        <w:tc>
          <w:tcPr>
            <w:tcW w:w="1152" w:type="pct"/>
            <w:shd w:val="clear" w:color="auto" w:fill="DAEEF3"/>
            <w:tcMar>
              <w:top w:w="0" w:type="dxa"/>
              <w:bottom w:w="0" w:type="dxa"/>
            </w:tcMar>
          </w:tcPr>
          <w:p w14:paraId="4FAAB178" w14:textId="77777777" w:rsidR="00BC3010" w:rsidRPr="000F19E1" w:rsidRDefault="00BC3010" w:rsidP="00BC3010">
            <w:pPr>
              <w:rPr>
                <w:rFonts w:cs="Arial"/>
                <w:bCs/>
                <w:sz w:val="8"/>
                <w:szCs w:val="8"/>
              </w:rPr>
            </w:pPr>
          </w:p>
        </w:tc>
        <w:tc>
          <w:tcPr>
            <w:tcW w:w="3848" w:type="pct"/>
            <w:gridSpan w:val="2"/>
            <w:shd w:val="clear" w:color="auto" w:fill="DAEEF3"/>
            <w:tcMar>
              <w:top w:w="0" w:type="dxa"/>
              <w:bottom w:w="0" w:type="dxa"/>
            </w:tcMar>
          </w:tcPr>
          <w:p w14:paraId="62673730" w14:textId="77777777" w:rsidR="00BC3010" w:rsidRPr="000F19E1" w:rsidRDefault="00BC3010" w:rsidP="00BC3010">
            <w:pPr>
              <w:tabs>
                <w:tab w:val="center" w:pos="3152"/>
              </w:tabs>
              <w:rPr>
                <w:rFonts w:cs="Arial"/>
                <w:sz w:val="8"/>
                <w:szCs w:val="8"/>
                <w:lang w:val="en-US"/>
              </w:rPr>
            </w:pPr>
          </w:p>
        </w:tc>
      </w:tr>
    </w:tbl>
    <w:p w14:paraId="607FC177" w14:textId="202DD9B5" w:rsidR="00F2746A" w:rsidRDefault="00F2746A"/>
    <w:p w14:paraId="1A05C8AD" w14:textId="6AF0591B" w:rsidR="00F2746A" w:rsidRDefault="00F2746A"/>
    <w:p w14:paraId="21974CDB" w14:textId="446C44B3" w:rsidR="00F2746A" w:rsidRDefault="00F2746A"/>
    <w:p w14:paraId="17921921" w14:textId="77777777" w:rsidR="00F2746A" w:rsidRDefault="00F2746A"/>
    <w:tbl>
      <w:tblPr>
        <w:tblW w:w="5170" w:type="pct"/>
        <w:tblInd w:w="-176" w:type="dxa"/>
        <w:tblLayout w:type="fixed"/>
        <w:tblLook w:val="01E0" w:firstRow="1" w:lastRow="1" w:firstColumn="1" w:lastColumn="1" w:noHBand="0" w:noVBand="0"/>
      </w:tblPr>
      <w:tblGrid>
        <w:gridCol w:w="2431"/>
        <w:gridCol w:w="428"/>
        <w:gridCol w:w="11"/>
        <w:gridCol w:w="7681"/>
      </w:tblGrid>
      <w:tr w:rsidR="00F2746A" w:rsidRPr="00862949" w14:paraId="7E4D05A3" w14:textId="77777777" w:rsidTr="002E7604">
        <w:tc>
          <w:tcPr>
            <w:tcW w:w="5000" w:type="pct"/>
            <w:gridSpan w:val="4"/>
            <w:shd w:val="clear" w:color="auto" w:fill="0070C0"/>
            <w:tcMar>
              <w:top w:w="85" w:type="dxa"/>
              <w:bottom w:w="85" w:type="dxa"/>
            </w:tcMar>
            <w:vAlign w:val="bottom"/>
          </w:tcPr>
          <w:p w14:paraId="67DC0231" w14:textId="77777777" w:rsidR="00F2746A" w:rsidRPr="00862949" w:rsidRDefault="00F2746A" w:rsidP="002E7604">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F2746A" w:rsidRPr="000F19E1" w14:paraId="46658C1C" w14:textId="77777777" w:rsidTr="002E7604">
        <w:tc>
          <w:tcPr>
            <w:tcW w:w="1152" w:type="pct"/>
            <w:shd w:val="clear" w:color="auto" w:fill="DAEEF3"/>
            <w:tcMar>
              <w:top w:w="0" w:type="dxa"/>
              <w:bottom w:w="0" w:type="dxa"/>
            </w:tcMar>
          </w:tcPr>
          <w:p w14:paraId="6BDE375F" w14:textId="77777777" w:rsidR="00F2746A" w:rsidRPr="000F19E1" w:rsidRDefault="00F2746A" w:rsidP="002E7604">
            <w:pPr>
              <w:rPr>
                <w:rFonts w:cs="Arial"/>
                <w:bCs/>
                <w:sz w:val="8"/>
                <w:szCs w:val="8"/>
              </w:rPr>
            </w:pPr>
          </w:p>
        </w:tc>
        <w:tc>
          <w:tcPr>
            <w:tcW w:w="3848" w:type="pct"/>
            <w:gridSpan w:val="3"/>
            <w:shd w:val="clear" w:color="auto" w:fill="DAEEF3"/>
            <w:tcMar>
              <w:top w:w="0" w:type="dxa"/>
              <w:bottom w:w="0" w:type="dxa"/>
            </w:tcMar>
          </w:tcPr>
          <w:p w14:paraId="46FF2CC6" w14:textId="77777777" w:rsidR="00F2746A" w:rsidRPr="000F19E1" w:rsidRDefault="00F2746A" w:rsidP="002E7604">
            <w:pPr>
              <w:tabs>
                <w:tab w:val="center" w:pos="3152"/>
              </w:tabs>
              <w:rPr>
                <w:rFonts w:cs="Arial"/>
                <w:sz w:val="8"/>
                <w:szCs w:val="8"/>
                <w:lang w:val="en-US"/>
              </w:rPr>
            </w:pPr>
          </w:p>
        </w:tc>
      </w:tr>
      <w:tr w:rsidR="00E30D55" w:rsidRPr="00126CCD" w14:paraId="65E76698" w14:textId="77777777" w:rsidTr="00155BD9">
        <w:tc>
          <w:tcPr>
            <w:tcW w:w="5000" w:type="pct"/>
            <w:gridSpan w:val="4"/>
            <w:shd w:val="clear" w:color="auto" w:fill="00B050"/>
            <w:tcMar>
              <w:top w:w="57" w:type="dxa"/>
              <w:bottom w:w="57" w:type="dxa"/>
            </w:tcMar>
          </w:tcPr>
          <w:p w14:paraId="31996C95" w14:textId="56C65BF3" w:rsidR="00E30D55" w:rsidRPr="004642B4" w:rsidRDefault="00E30D55" w:rsidP="00E30D55">
            <w:pPr>
              <w:rPr>
                <w:rFonts w:cs="Arial"/>
                <w:noProof/>
                <w:color w:val="FFFFFF"/>
                <w:sz w:val="16"/>
                <w:szCs w:val="16"/>
              </w:rPr>
            </w:pPr>
            <w:r w:rsidRPr="004642B4">
              <w:rPr>
                <w:rFonts w:cs="Arial"/>
                <w:b/>
                <w:bCs/>
                <w:i/>
                <w:iCs/>
                <w:color w:val="FFFFFF"/>
                <w:sz w:val="22"/>
                <w:szCs w:val="20"/>
                <w:lang w:val="en-US"/>
              </w:rPr>
              <w:t xml:space="preserve">Other </w:t>
            </w:r>
            <w:r>
              <w:rPr>
                <w:rFonts w:cs="Arial"/>
                <w:b/>
                <w:bCs/>
                <w:i/>
                <w:iCs/>
                <w:color w:val="FFFFFF"/>
                <w:sz w:val="22"/>
                <w:szCs w:val="20"/>
                <w:lang w:val="en-US"/>
              </w:rPr>
              <w:t>UK/</w:t>
            </w:r>
            <w:r w:rsidRPr="004642B4">
              <w:rPr>
                <w:rFonts w:cs="Arial"/>
                <w:b/>
                <w:bCs/>
                <w:i/>
                <w:iCs/>
                <w:color w:val="FFFFFF"/>
                <w:sz w:val="22"/>
                <w:szCs w:val="20"/>
                <w:lang w:val="en-US"/>
              </w:rPr>
              <w:t>EU developments</w:t>
            </w:r>
          </w:p>
        </w:tc>
      </w:tr>
      <w:tr w:rsidR="00E30D55" w14:paraId="0179F453" w14:textId="77777777" w:rsidTr="001268AB">
        <w:tc>
          <w:tcPr>
            <w:tcW w:w="1360" w:type="pct"/>
            <w:gridSpan w:val="3"/>
            <w:shd w:val="clear" w:color="auto" w:fill="auto"/>
            <w:tcMar>
              <w:top w:w="57" w:type="dxa"/>
              <w:bottom w:w="57" w:type="dxa"/>
            </w:tcMar>
          </w:tcPr>
          <w:p w14:paraId="7957C695" w14:textId="06F1DAB9" w:rsidR="00E30D55" w:rsidRDefault="00E30D55" w:rsidP="00E30D55">
            <w:pPr>
              <w:rPr>
                <w:rFonts w:cs="Arial"/>
                <w:szCs w:val="19"/>
              </w:rPr>
            </w:pPr>
            <w:r w:rsidRPr="00011456">
              <w:rPr>
                <w:rFonts w:cs="Arial"/>
                <w:szCs w:val="19"/>
              </w:rPr>
              <w:t>ACHM CNGB3</w:t>
            </w:r>
          </w:p>
        </w:tc>
        <w:tc>
          <w:tcPr>
            <w:tcW w:w="3640" w:type="pct"/>
            <w:shd w:val="clear" w:color="auto" w:fill="auto"/>
            <w:tcMar>
              <w:top w:w="57" w:type="dxa"/>
              <w:bottom w:w="57" w:type="dxa"/>
            </w:tcMar>
          </w:tcPr>
          <w:p w14:paraId="376A3B83" w14:textId="3DE87410" w:rsidR="00E30D55" w:rsidRPr="00C05FAF" w:rsidRDefault="00E30D55" w:rsidP="00E30D55">
            <w:pPr>
              <w:tabs>
                <w:tab w:val="center" w:pos="3152"/>
              </w:tabs>
              <w:rPr>
                <w:rFonts w:cs="Arial"/>
                <w:szCs w:val="19"/>
                <w:lang w:val="en-US"/>
              </w:rPr>
            </w:pPr>
            <w:r w:rsidRPr="00011456">
              <w:rPr>
                <w:rFonts w:cs="Arial"/>
                <w:szCs w:val="19"/>
                <w:lang w:val="en-US"/>
              </w:rPr>
              <w:t xml:space="preserve">Achromatopsia due to mutations in the CNGB 3 gene </w:t>
            </w:r>
            <w:r w:rsidR="00095EF9">
              <w:rPr>
                <w:rFonts w:cs="Arial"/>
                <w:szCs w:val="19"/>
                <w:lang w:val="en-US"/>
              </w:rPr>
              <w:t>–</w:t>
            </w:r>
            <w:r>
              <w:rPr>
                <w:rFonts w:cs="Arial"/>
                <w:szCs w:val="19"/>
                <w:lang w:val="en-US"/>
              </w:rPr>
              <w:t xml:space="preserve"> development discontinued (company decision)</w:t>
            </w:r>
          </w:p>
        </w:tc>
      </w:tr>
      <w:tr w:rsidR="00E30D55" w14:paraId="30B825FB" w14:textId="77777777" w:rsidTr="001268AB">
        <w:tc>
          <w:tcPr>
            <w:tcW w:w="1360" w:type="pct"/>
            <w:gridSpan w:val="3"/>
            <w:shd w:val="clear" w:color="auto" w:fill="auto"/>
            <w:tcMar>
              <w:top w:w="57" w:type="dxa"/>
              <w:bottom w:w="57" w:type="dxa"/>
            </w:tcMar>
          </w:tcPr>
          <w:p w14:paraId="3E9EBE90" w14:textId="54617DBE" w:rsidR="00E30D55" w:rsidRPr="008B040D" w:rsidRDefault="00E30D55" w:rsidP="00E30D55">
            <w:pPr>
              <w:rPr>
                <w:rFonts w:cs="Arial"/>
                <w:szCs w:val="19"/>
              </w:rPr>
            </w:pPr>
            <w:proofErr w:type="spellStart"/>
            <w:r w:rsidRPr="008B040D">
              <w:rPr>
                <w:rFonts w:cs="Arial"/>
                <w:szCs w:val="19"/>
              </w:rPr>
              <w:t>Alpelisib</w:t>
            </w:r>
            <w:proofErr w:type="spellEnd"/>
            <w:r>
              <w:rPr>
                <w:rFonts w:cs="Arial"/>
                <w:szCs w:val="19"/>
              </w:rPr>
              <w:t xml:space="preserve"> (</w:t>
            </w:r>
            <w:proofErr w:type="spellStart"/>
            <w:r>
              <w:rPr>
                <w:rFonts w:cs="Arial"/>
                <w:i/>
                <w:iCs/>
                <w:szCs w:val="19"/>
              </w:rPr>
              <w:t>Vijoice</w:t>
            </w:r>
            <w:proofErr w:type="spellEnd"/>
            <w:r>
              <w:rPr>
                <w:rFonts w:cs="Arial"/>
                <w:szCs w:val="19"/>
              </w:rPr>
              <w:t>)</w:t>
            </w:r>
          </w:p>
        </w:tc>
        <w:tc>
          <w:tcPr>
            <w:tcW w:w="3640" w:type="pct"/>
            <w:shd w:val="clear" w:color="auto" w:fill="auto"/>
            <w:tcMar>
              <w:top w:w="57" w:type="dxa"/>
              <w:bottom w:w="57" w:type="dxa"/>
            </w:tcMar>
          </w:tcPr>
          <w:p w14:paraId="6B016CCF" w14:textId="565B3CD3" w:rsidR="00E30D55" w:rsidRDefault="00E30D55" w:rsidP="00E30D55">
            <w:pPr>
              <w:tabs>
                <w:tab w:val="center" w:pos="3152"/>
              </w:tabs>
              <w:rPr>
                <w:rFonts w:cs="Arial"/>
                <w:szCs w:val="19"/>
                <w:lang w:val="en-US"/>
              </w:rPr>
            </w:pPr>
            <w:r>
              <w:rPr>
                <w:rFonts w:cs="Arial"/>
                <w:szCs w:val="19"/>
                <w:lang w:val="en-US"/>
              </w:rPr>
              <w:t xml:space="preserve">Treatment of </w:t>
            </w:r>
            <w:r w:rsidRPr="008B040D">
              <w:rPr>
                <w:rFonts w:cs="Arial"/>
                <w:szCs w:val="19"/>
                <w:lang w:val="en-US"/>
              </w:rPr>
              <w:t xml:space="preserve">PIK3CA-related growth spectrum </w:t>
            </w:r>
            <w:r>
              <w:rPr>
                <w:rFonts w:cs="Arial"/>
                <w:szCs w:val="19"/>
                <w:lang w:val="en-US"/>
              </w:rPr>
              <w:t>i</w:t>
            </w:r>
            <w:r w:rsidRPr="008B040D">
              <w:rPr>
                <w:rFonts w:cs="Arial"/>
                <w:szCs w:val="19"/>
                <w:lang w:val="en-US"/>
              </w:rPr>
              <w:t xml:space="preserve">n adults and children aged </w:t>
            </w:r>
            <w:r>
              <w:rPr>
                <w:rFonts w:cs="Arial"/>
                <w:szCs w:val="19"/>
                <w:lang w:val="en-US"/>
              </w:rPr>
              <w:t>≥</w:t>
            </w:r>
            <w:r w:rsidRPr="008B040D">
              <w:rPr>
                <w:rFonts w:cs="Arial"/>
                <w:szCs w:val="19"/>
                <w:lang w:val="en-US"/>
              </w:rPr>
              <w:t xml:space="preserve">2 years </w:t>
            </w:r>
            <w:r>
              <w:rPr>
                <w:rFonts w:cs="Arial"/>
                <w:szCs w:val="19"/>
                <w:lang w:val="en-US"/>
              </w:rPr>
              <w:t>– EU filing withdrawn</w:t>
            </w:r>
          </w:p>
        </w:tc>
      </w:tr>
      <w:tr w:rsidR="00095EF9" w14:paraId="771254EB" w14:textId="77777777" w:rsidTr="001268AB">
        <w:tc>
          <w:tcPr>
            <w:tcW w:w="1360" w:type="pct"/>
            <w:gridSpan w:val="3"/>
            <w:shd w:val="clear" w:color="auto" w:fill="auto"/>
            <w:tcMar>
              <w:top w:w="57" w:type="dxa"/>
              <w:bottom w:w="57" w:type="dxa"/>
            </w:tcMar>
          </w:tcPr>
          <w:p w14:paraId="2D8071EB" w14:textId="1184428E" w:rsidR="00095EF9" w:rsidRPr="00A6356A" w:rsidRDefault="00095EF9" w:rsidP="00E30D55">
            <w:pPr>
              <w:rPr>
                <w:rFonts w:cs="Arial"/>
                <w:szCs w:val="19"/>
              </w:rPr>
            </w:pPr>
            <w:proofErr w:type="spellStart"/>
            <w:r w:rsidRPr="00095EF9">
              <w:rPr>
                <w:rFonts w:cs="Arial"/>
                <w:szCs w:val="19"/>
              </w:rPr>
              <w:t>Asundexian</w:t>
            </w:r>
            <w:proofErr w:type="spellEnd"/>
            <w:r>
              <w:rPr>
                <w:rFonts w:cs="Arial"/>
                <w:szCs w:val="19"/>
              </w:rPr>
              <w:t xml:space="preserve"> </w:t>
            </w:r>
          </w:p>
        </w:tc>
        <w:tc>
          <w:tcPr>
            <w:tcW w:w="3640" w:type="pct"/>
            <w:shd w:val="clear" w:color="auto" w:fill="auto"/>
            <w:tcMar>
              <w:top w:w="57" w:type="dxa"/>
              <w:bottom w:w="57" w:type="dxa"/>
            </w:tcMar>
          </w:tcPr>
          <w:p w14:paraId="339F0868" w14:textId="09E20BA7" w:rsidR="00095EF9" w:rsidRDefault="00095EF9" w:rsidP="00095EF9">
            <w:pPr>
              <w:tabs>
                <w:tab w:val="center" w:pos="3152"/>
              </w:tabs>
              <w:rPr>
                <w:rFonts w:cs="Arial"/>
                <w:szCs w:val="19"/>
                <w:lang w:val="en-US"/>
              </w:rPr>
            </w:pPr>
            <w:r w:rsidRPr="00095EF9">
              <w:rPr>
                <w:rFonts w:cs="Arial"/>
                <w:szCs w:val="19"/>
                <w:lang w:val="en-US"/>
              </w:rPr>
              <w:t xml:space="preserve">Stroke prevention </w:t>
            </w:r>
            <w:r w:rsidRPr="00095EF9">
              <w:rPr>
                <w:rFonts w:cs="Arial"/>
                <w:szCs w:val="19"/>
                <w:lang w:val="en-US"/>
              </w:rPr>
              <w:tab/>
              <w:t>in adults with atrial fibrillation at risk of stroke</w:t>
            </w:r>
            <w:r>
              <w:rPr>
                <w:rFonts w:cs="Arial"/>
                <w:szCs w:val="19"/>
                <w:lang w:val="en-US"/>
              </w:rPr>
              <w:t xml:space="preserve"> – development discontinued (lack of efficacy)</w:t>
            </w:r>
          </w:p>
        </w:tc>
      </w:tr>
      <w:tr w:rsidR="00E30D55" w14:paraId="2FEFBA4B" w14:textId="77777777" w:rsidTr="001268AB">
        <w:tc>
          <w:tcPr>
            <w:tcW w:w="1360" w:type="pct"/>
            <w:gridSpan w:val="3"/>
            <w:shd w:val="clear" w:color="auto" w:fill="auto"/>
            <w:tcMar>
              <w:top w:w="57" w:type="dxa"/>
              <w:bottom w:w="57" w:type="dxa"/>
            </w:tcMar>
          </w:tcPr>
          <w:p w14:paraId="4BF3ABE1" w14:textId="77777777" w:rsidR="00E30D55" w:rsidRDefault="00E30D55" w:rsidP="00E30D55">
            <w:pPr>
              <w:rPr>
                <w:rFonts w:cs="Arial"/>
                <w:szCs w:val="19"/>
              </w:rPr>
            </w:pPr>
            <w:r w:rsidRPr="00A6356A">
              <w:rPr>
                <w:rFonts w:cs="Arial"/>
                <w:szCs w:val="19"/>
              </w:rPr>
              <w:t>Budesonide + salbutamol </w:t>
            </w:r>
          </w:p>
          <w:p w14:paraId="2395CD80" w14:textId="4027A50D" w:rsidR="00E30D55" w:rsidRPr="00A6356A" w:rsidRDefault="00E30D55" w:rsidP="00E30D55">
            <w:pPr>
              <w:rPr>
                <w:rFonts w:cs="Arial"/>
                <w:szCs w:val="19"/>
              </w:rPr>
            </w:pPr>
            <w:r>
              <w:rPr>
                <w:rFonts w:cs="Arial"/>
                <w:szCs w:val="19"/>
              </w:rPr>
              <w:t>(</w:t>
            </w:r>
            <w:proofErr w:type="spellStart"/>
            <w:r>
              <w:rPr>
                <w:rFonts w:cs="Arial"/>
                <w:i/>
                <w:iCs/>
                <w:szCs w:val="19"/>
              </w:rPr>
              <w:t>Airsupra</w:t>
            </w:r>
            <w:proofErr w:type="spellEnd"/>
            <w:r>
              <w:rPr>
                <w:rFonts w:cs="Arial"/>
                <w:szCs w:val="19"/>
              </w:rPr>
              <w:t>)</w:t>
            </w:r>
          </w:p>
        </w:tc>
        <w:tc>
          <w:tcPr>
            <w:tcW w:w="3640" w:type="pct"/>
            <w:shd w:val="clear" w:color="auto" w:fill="auto"/>
            <w:tcMar>
              <w:top w:w="57" w:type="dxa"/>
              <w:bottom w:w="57" w:type="dxa"/>
            </w:tcMar>
          </w:tcPr>
          <w:p w14:paraId="44F96DA2" w14:textId="77364B6F" w:rsidR="00E30D55" w:rsidRPr="00C05FAF" w:rsidRDefault="00E30D55" w:rsidP="00E30D55">
            <w:pPr>
              <w:tabs>
                <w:tab w:val="center" w:pos="3152"/>
              </w:tabs>
              <w:rPr>
                <w:rFonts w:cs="Arial"/>
                <w:szCs w:val="19"/>
                <w:lang w:val="en-US"/>
              </w:rPr>
            </w:pPr>
            <w:r>
              <w:rPr>
                <w:rFonts w:cs="Arial"/>
                <w:szCs w:val="19"/>
                <w:lang w:val="en-US"/>
              </w:rPr>
              <w:t>A</w:t>
            </w:r>
            <w:r w:rsidRPr="00A6356A">
              <w:rPr>
                <w:rFonts w:cs="Arial"/>
                <w:szCs w:val="19"/>
                <w:lang w:val="en-US"/>
              </w:rPr>
              <w:t xml:space="preserve">s needed treatment or prevention of bronchoconstriction and prevention of exacerbations </w:t>
            </w:r>
            <w:r>
              <w:rPr>
                <w:rFonts w:cs="Arial"/>
                <w:szCs w:val="19"/>
                <w:lang w:val="en-US"/>
              </w:rPr>
              <w:t xml:space="preserve">of asthma </w:t>
            </w:r>
            <w:r w:rsidRPr="00A6356A">
              <w:rPr>
                <w:rFonts w:cs="Arial"/>
                <w:szCs w:val="19"/>
                <w:lang w:val="en-US"/>
              </w:rPr>
              <w:t>in adults</w:t>
            </w:r>
            <w:r>
              <w:rPr>
                <w:rFonts w:cs="Arial"/>
                <w:szCs w:val="19"/>
                <w:lang w:val="en-US"/>
              </w:rPr>
              <w:t xml:space="preserve"> – UK development discontinued </w:t>
            </w:r>
            <w:r w:rsidR="00095EF9">
              <w:rPr>
                <w:rFonts w:cs="Arial"/>
                <w:szCs w:val="19"/>
                <w:lang w:val="en-US"/>
              </w:rPr>
              <w:t>(company decision)</w:t>
            </w:r>
          </w:p>
        </w:tc>
      </w:tr>
      <w:tr w:rsidR="004A6B07" w14:paraId="5945AD63" w14:textId="77777777" w:rsidTr="001268AB">
        <w:tc>
          <w:tcPr>
            <w:tcW w:w="1360" w:type="pct"/>
            <w:gridSpan w:val="3"/>
            <w:shd w:val="clear" w:color="auto" w:fill="auto"/>
            <w:tcMar>
              <w:top w:w="57" w:type="dxa"/>
              <w:bottom w:w="57" w:type="dxa"/>
            </w:tcMar>
          </w:tcPr>
          <w:p w14:paraId="1521D466" w14:textId="3201E92E" w:rsidR="004A6B07" w:rsidRPr="00FB1EAF" w:rsidRDefault="004A6B07" w:rsidP="00E30D55">
            <w:pPr>
              <w:rPr>
                <w:rFonts w:cs="Arial"/>
                <w:szCs w:val="19"/>
              </w:rPr>
            </w:pPr>
            <w:r>
              <w:rPr>
                <w:rFonts w:cs="Arial"/>
                <w:szCs w:val="19"/>
              </w:rPr>
              <w:t>FLT190</w:t>
            </w:r>
          </w:p>
        </w:tc>
        <w:tc>
          <w:tcPr>
            <w:tcW w:w="3640" w:type="pct"/>
            <w:shd w:val="clear" w:color="auto" w:fill="auto"/>
            <w:tcMar>
              <w:top w:w="57" w:type="dxa"/>
              <w:bottom w:w="57" w:type="dxa"/>
            </w:tcMar>
          </w:tcPr>
          <w:p w14:paraId="4DDE03D4" w14:textId="10F5C2E6" w:rsidR="004A6B07" w:rsidRPr="00FB1EAF" w:rsidRDefault="004A6B07" w:rsidP="00E30D55">
            <w:pPr>
              <w:tabs>
                <w:tab w:val="center" w:pos="3152"/>
              </w:tabs>
              <w:rPr>
                <w:rFonts w:cs="Arial"/>
                <w:szCs w:val="19"/>
                <w:lang w:val="en-US"/>
              </w:rPr>
            </w:pPr>
            <w:r w:rsidRPr="004A6B07">
              <w:rPr>
                <w:rFonts w:cs="Arial"/>
                <w:szCs w:val="19"/>
                <w:lang w:val="en-US"/>
              </w:rPr>
              <w:t>Fabry's disease</w:t>
            </w:r>
            <w:r>
              <w:rPr>
                <w:rFonts w:cs="Arial"/>
                <w:szCs w:val="19"/>
                <w:lang w:val="en-US"/>
              </w:rPr>
              <w:t xml:space="preserve"> – development discontinued (company decision)</w:t>
            </w:r>
          </w:p>
        </w:tc>
      </w:tr>
      <w:tr w:rsidR="00E30D55" w14:paraId="0233A5AF" w14:textId="77777777" w:rsidTr="001268AB">
        <w:tc>
          <w:tcPr>
            <w:tcW w:w="1360" w:type="pct"/>
            <w:gridSpan w:val="3"/>
            <w:shd w:val="clear" w:color="auto" w:fill="auto"/>
            <w:tcMar>
              <w:top w:w="57" w:type="dxa"/>
              <w:bottom w:w="57" w:type="dxa"/>
            </w:tcMar>
          </w:tcPr>
          <w:p w14:paraId="2B07EE7A" w14:textId="77777777" w:rsidR="00FB1EAF" w:rsidRDefault="00FB1EAF" w:rsidP="00E30D55">
            <w:pPr>
              <w:rPr>
                <w:rFonts w:cs="Arial"/>
                <w:szCs w:val="19"/>
              </w:rPr>
            </w:pPr>
            <w:r w:rsidRPr="00FB1EAF">
              <w:rPr>
                <w:rFonts w:cs="Arial"/>
                <w:szCs w:val="19"/>
              </w:rPr>
              <w:t>Fluticasone + vilanterol </w:t>
            </w:r>
          </w:p>
          <w:p w14:paraId="1ACA8BF1" w14:textId="66BE3BC5" w:rsidR="00E30D55" w:rsidRPr="00FB1EAF" w:rsidRDefault="00FB1EAF" w:rsidP="00E30D55">
            <w:pPr>
              <w:rPr>
                <w:rFonts w:cs="Arial"/>
                <w:szCs w:val="19"/>
              </w:rPr>
            </w:pPr>
            <w:r>
              <w:rPr>
                <w:rFonts w:cs="Arial"/>
                <w:szCs w:val="19"/>
              </w:rPr>
              <w:t>(</w:t>
            </w:r>
            <w:proofErr w:type="spellStart"/>
            <w:r>
              <w:rPr>
                <w:rFonts w:cs="Arial"/>
                <w:i/>
                <w:iCs/>
                <w:szCs w:val="19"/>
              </w:rPr>
              <w:t>Relvar</w:t>
            </w:r>
            <w:proofErr w:type="spellEnd"/>
            <w:r>
              <w:rPr>
                <w:rFonts w:cs="Arial"/>
                <w:i/>
                <w:iCs/>
                <w:szCs w:val="19"/>
              </w:rPr>
              <w:t xml:space="preserve"> Ellipta</w:t>
            </w:r>
            <w:r>
              <w:rPr>
                <w:rFonts w:cs="Arial"/>
                <w:szCs w:val="19"/>
              </w:rPr>
              <w:t>)</w:t>
            </w:r>
          </w:p>
        </w:tc>
        <w:tc>
          <w:tcPr>
            <w:tcW w:w="3640" w:type="pct"/>
            <w:shd w:val="clear" w:color="auto" w:fill="auto"/>
            <w:tcMar>
              <w:top w:w="57" w:type="dxa"/>
              <w:bottom w:w="57" w:type="dxa"/>
            </w:tcMar>
          </w:tcPr>
          <w:p w14:paraId="676754F8" w14:textId="680BF872" w:rsidR="00E30D55" w:rsidRDefault="00FB1EAF" w:rsidP="00E30D55">
            <w:pPr>
              <w:tabs>
                <w:tab w:val="center" w:pos="3152"/>
              </w:tabs>
              <w:rPr>
                <w:rFonts w:cs="Arial"/>
                <w:szCs w:val="19"/>
                <w:lang w:val="en-US"/>
              </w:rPr>
            </w:pPr>
            <w:r w:rsidRPr="00FB1EAF">
              <w:rPr>
                <w:rFonts w:cs="Arial"/>
                <w:szCs w:val="19"/>
                <w:lang w:val="en-US"/>
              </w:rPr>
              <w:t xml:space="preserve">Regular treatment in children aged 6 </w:t>
            </w:r>
            <w:r>
              <w:rPr>
                <w:rFonts w:cs="Arial"/>
                <w:szCs w:val="19"/>
                <w:lang w:val="en-US"/>
              </w:rPr>
              <w:t xml:space="preserve">to 11 </w:t>
            </w:r>
            <w:r w:rsidRPr="00FB1EAF">
              <w:rPr>
                <w:rFonts w:cs="Arial"/>
                <w:szCs w:val="19"/>
                <w:lang w:val="en-US"/>
              </w:rPr>
              <w:t>years not adequately controlled with inhaled corticosteroids and as needed inhaled short acting beta-2-agonists</w:t>
            </w:r>
            <w:r>
              <w:rPr>
                <w:rFonts w:cs="Arial"/>
                <w:szCs w:val="19"/>
                <w:lang w:val="en-US"/>
              </w:rPr>
              <w:t xml:space="preserve"> – UK and EU development discontinued </w:t>
            </w:r>
            <w:r w:rsidR="00095EF9">
              <w:rPr>
                <w:rFonts w:cs="Arial"/>
                <w:szCs w:val="19"/>
                <w:lang w:val="en-US"/>
              </w:rPr>
              <w:t>(company decision)</w:t>
            </w:r>
          </w:p>
        </w:tc>
      </w:tr>
      <w:tr w:rsidR="00E30D55" w14:paraId="7EB712C4" w14:textId="77777777" w:rsidTr="001268AB">
        <w:tc>
          <w:tcPr>
            <w:tcW w:w="1360" w:type="pct"/>
            <w:gridSpan w:val="3"/>
            <w:shd w:val="clear" w:color="auto" w:fill="auto"/>
            <w:tcMar>
              <w:top w:w="57" w:type="dxa"/>
              <w:bottom w:w="57" w:type="dxa"/>
            </w:tcMar>
          </w:tcPr>
          <w:p w14:paraId="1267DA28" w14:textId="5186D3FA" w:rsidR="00E30D55" w:rsidRPr="004E79BA" w:rsidRDefault="004E79BA" w:rsidP="00E30D55">
            <w:pPr>
              <w:rPr>
                <w:rFonts w:cs="Arial"/>
                <w:i/>
                <w:iCs/>
                <w:szCs w:val="19"/>
              </w:rPr>
            </w:pPr>
            <w:proofErr w:type="spellStart"/>
            <w:r w:rsidRPr="004E79BA">
              <w:rPr>
                <w:rFonts w:cs="Arial"/>
                <w:szCs w:val="19"/>
              </w:rPr>
              <w:t>Gefapixant</w:t>
            </w:r>
            <w:proofErr w:type="spellEnd"/>
            <w:r>
              <w:rPr>
                <w:rFonts w:cs="Arial"/>
                <w:szCs w:val="19"/>
              </w:rPr>
              <w:t xml:space="preserve"> (</w:t>
            </w:r>
            <w:proofErr w:type="spellStart"/>
            <w:r w:rsidRPr="004E79BA">
              <w:rPr>
                <w:rFonts w:cs="Arial"/>
                <w:i/>
                <w:iCs/>
                <w:szCs w:val="19"/>
              </w:rPr>
              <w:t>Lyfnua</w:t>
            </w:r>
            <w:proofErr w:type="spellEnd"/>
            <w:r>
              <w:rPr>
                <w:rFonts w:cs="Arial"/>
                <w:szCs w:val="19"/>
              </w:rPr>
              <w:t>)</w:t>
            </w:r>
          </w:p>
        </w:tc>
        <w:tc>
          <w:tcPr>
            <w:tcW w:w="3640" w:type="pct"/>
            <w:shd w:val="clear" w:color="auto" w:fill="auto"/>
            <w:tcMar>
              <w:top w:w="57" w:type="dxa"/>
              <w:bottom w:w="57" w:type="dxa"/>
            </w:tcMar>
          </w:tcPr>
          <w:p w14:paraId="3528F11F" w14:textId="76493ED8" w:rsidR="00E30D55" w:rsidRDefault="004E79BA" w:rsidP="00E30D55">
            <w:pPr>
              <w:tabs>
                <w:tab w:val="center" w:pos="3152"/>
              </w:tabs>
              <w:rPr>
                <w:rFonts w:cs="Arial"/>
                <w:szCs w:val="19"/>
                <w:lang w:val="en-US"/>
              </w:rPr>
            </w:pPr>
            <w:r>
              <w:rPr>
                <w:rFonts w:cs="Arial"/>
                <w:szCs w:val="19"/>
                <w:lang w:val="en-US"/>
              </w:rPr>
              <w:t xml:space="preserve">Use </w:t>
            </w:r>
            <w:r w:rsidRPr="004E79BA">
              <w:rPr>
                <w:rFonts w:cs="Arial"/>
                <w:szCs w:val="19"/>
                <w:lang w:val="en-US"/>
              </w:rPr>
              <w:t>in adults for the treatment of refractory or unexplained chronic cough</w:t>
            </w:r>
            <w:r>
              <w:rPr>
                <w:rFonts w:cs="Arial"/>
                <w:szCs w:val="19"/>
                <w:lang w:val="en-US"/>
              </w:rPr>
              <w:t xml:space="preserve"> – UK development discontinued </w:t>
            </w:r>
            <w:r w:rsidR="00095EF9">
              <w:rPr>
                <w:rFonts w:cs="Arial"/>
                <w:szCs w:val="19"/>
                <w:lang w:val="en-US"/>
              </w:rPr>
              <w:t>(company decision)</w:t>
            </w:r>
          </w:p>
        </w:tc>
      </w:tr>
      <w:tr w:rsidR="00D22D67" w14:paraId="2EFCB027" w14:textId="77777777" w:rsidTr="001268AB">
        <w:tc>
          <w:tcPr>
            <w:tcW w:w="1360" w:type="pct"/>
            <w:gridSpan w:val="3"/>
            <w:shd w:val="clear" w:color="auto" w:fill="auto"/>
            <w:tcMar>
              <w:top w:w="57" w:type="dxa"/>
              <w:bottom w:w="57" w:type="dxa"/>
            </w:tcMar>
          </w:tcPr>
          <w:p w14:paraId="664FEEDB" w14:textId="51DF942C" w:rsidR="00D22D67" w:rsidRPr="00D22D67" w:rsidRDefault="00D22D67" w:rsidP="00E30D55">
            <w:pPr>
              <w:rPr>
                <w:rFonts w:cs="Arial"/>
                <w:szCs w:val="19"/>
              </w:rPr>
            </w:pPr>
            <w:proofErr w:type="spellStart"/>
            <w:r w:rsidRPr="00D22D67">
              <w:rPr>
                <w:rFonts w:cs="Arial"/>
                <w:szCs w:val="19"/>
              </w:rPr>
              <w:t>Gemogenovatucel</w:t>
            </w:r>
            <w:proofErr w:type="spellEnd"/>
            <w:r w:rsidRPr="00D22D67">
              <w:rPr>
                <w:rFonts w:cs="Arial"/>
                <w:szCs w:val="19"/>
              </w:rPr>
              <w:t>-T</w:t>
            </w:r>
            <w:r>
              <w:rPr>
                <w:rFonts w:cs="Arial"/>
                <w:szCs w:val="19"/>
              </w:rPr>
              <w:t xml:space="preserve"> (</w:t>
            </w:r>
            <w:r>
              <w:rPr>
                <w:rFonts w:cs="Arial"/>
                <w:i/>
                <w:iCs/>
                <w:szCs w:val="19"/>
              </w:rPr>
              <w:t>Vigil</w:t>
            </w:r>
            <w:r>
              <w:rPr>
                <w:rFonts w:cs="Arial"/>
                <w:szCs w:val="19"/>
              </w:rPr>
              <w:t>)</w:t>
            </w:r>
          </w:p>
        </w:tc>
        <w:tc>
          <w:tcPr>
            <w:tcW w:w="3640" w:type="pct"/>
            <w:shd w:val="clear" w:color="auto" w:fill="auto"/>
            <w:tcMar>
              <w:top w:w="57" w:type="dxa"/>
              <w:bottom w:w="57" w:type="dxa"/>
            </w:tcMar>
          </w:tcPr>
          <w:p w14:paraId="238B3854" w14:textId="44D422CB" w:rsidR="00D22D67" w:rsidRDefault="00D22D67" w:rsidP="00E30D55">
            <w:pPr>
              <w:tabs>
                <w:tab w:val="center" w:pos="3152"/>
              </w:tabs>
              <w:rPr>
                <w:rFonts w:cs="Arial"/>
                <w:szCs w:val="19"/>
                <w:lang w:val="en-US"/>
              </w:rPr>
            </w:pPr>
            <w:r>
              <w:rPr>
                <w:rFonts w:cs="Arial"/>
                <w:szCs w:val="19"/>
                <w:lang w:val="en-US"/>
              </w:rPr>
              <w:t>Ewing sarcoma – development discontinued (company decision)</w:t>
            </w:r>
          </w:p>
        </w:tc>
      </w:tr>
      <w:tr w:rsidR="00713DFA" w14:paraId="5C910895" w14:textId="77777777" w:rsidTr="001268AB">
        <w:tc>
          <w:tcPr>
            <w:tcW w:w="1360" w:type="pct"/>
            <w:gridSpan w:val="3"/>
            <w:shd w:val="clear" w:color="auto" w:fill="auto"/>
            <w:tcMar>
              <w:top w:w="57" w:type="dxa"/>
              <w:bottom w:w="57" w:type="dxa"/>
            </w:tcMar>
          </w:tcPr>
          <w:p w14:paraId="661F74F8" w14:textId="06AC2F60" w:rsidR="00713DFA" w:rsidRPr="00C25A3C" w:rsidRDefault="00713DFA" w:rsidP="004E79BA">
            <w:pPr>
              <w:rPr>
                <w:rFonts w:cs="Arial"/>
                <w:szCs w:val="19"/>
              </w:rPr>
            </w:pPr>
            <w:proofErr w:type="spellStart"/>
            <w:r w:rsidRPr="00713DFA">
              <w:rPr>
                <w:rFonts w:cs="Arial"/>
                <w:szCs w:val="19"/>
              </w:rPr>
              <w:t>Glibenclamide</w:t>
            </w:r>
            <w:proofErr w:type="spellEnd"/>
            <w:r>
              <w:rPr>
                <w:rFonts w:cs="Arial"/>
                <w:szCs w:val="19"/>
              </w:rPr>
              <w:t xml:space="preserve"> </w:t>
            </w:r>
          </w:p>
        </w:tc>
        <w:tc>
          <w:tcPr>
            <w:tcW w:w="3640" w:type="pct"/>
            <w:shd w:val="clear" w:color="auto" w:fill="auto"/>
            <w:tcMar>
              <w:top w:w="57" w:type="dxa"/>
              <w:bottom w:w="57" w:type="dxa"/>
            </w:tcMar>
          </w:tcPr>
          <w:p w14:paraId="5FD72AC7" w14:textId="14FE0665" w:rsidR="00713DFA" w:rsidRPr="00C25A3C" w:rsidRDefault="00713DFA" w:rsidP="00713DFA">
            <w:pPr>
              <w:tabs>
                <w:tab w:val="center" w:pos="3152"/>
              </w:tabs>
              <w:rPr>
                <w:rFonts w:cs="Arial"/>
                <w:szCs w:val="19"/>
                <w:lang w:val="en-US"/>
              </w:rPr>
            </w:pPr>
            <w:r w:rsidRPr="00713DFA">
              <w:rPr>
                <w:rFonts w:cs="Arial"/>
                <w:szCs w:val="19"/>
                <w:lang w:val="en-US"/>
              </w:rPr>
              <w:t>Stroke</w:t>
            </w:r>
            <w:r>
              <w:rPr>
                <w:rFonts w:cs="Arial"/>
                <w:szCs w:val="19"/>
                <w:lang w:val="en-US"/>
              </w:rPr>
              <w:t xml:space="preserve">, </w:t>
            </w:r>
            <w:r w:rsidRPr="00713DFA">
              <w:rPr>
                <w:rFonts w:cs="Arial"/>
                <w:szCs w:val="19"/>
                <w:lang w:val="en-US"/>
              </w:rPr>
              <w:t>treatment of large hemispherical infarction</w:t>
            </w:r>
            <w:r>
              <w:rPr>
                <w:rFonts w:cs="Arial"/>
                <w:szCs w:val="19"/>
                <w:lang w:val="en-US"/>
              </w:rPr>
              <w:t xml:space="preserve"> – development discontinued (company d</w:t>
            </w:r>
            <w:r w:rsidR="00020EDD">
              <w:rPr>
                <w:rFonts w:cs="Arial"/>
                <w:szCs w:val="19"/>
                <w:lang w:val="en-US"/>
              </w:rPr>
              <w:t>ecision</w:t>
            </w:r>
            <w:r>
              <w:rPr>
                <w:rFonts w:cs="Arial"/>
                <w:szCs w:val="19"/>
                <w:lang w:val="en-US"/>
              </w:rPr>
              <w:t>)</w:t>
            </w:r>
          </w:p>
        </w:tc>
      </w:tr>
      <w:tr w:rsidR="00213182" w14:paraId="03C70EDB" w14:textId="77777777" w:rsidTr="001268AB">
        <w:tc>
          <w:tcPr>
            <w:tcW w:w="1360" w:type="pct"/>
            <w:gridSpan w:val="3"/>
            <w:shd w:val="clear" w:color="auto" w:fill="auto"/>
            <w:tcMar>
              <w:top w:w="57" w:type="dxa"/>
              <w:bottom w:w="57" w:type="dxa"/>
            </w:tcMar>
          </w:tcPr>
          <w:p w14:paraId="0700D3FC" w14:textId="18E4BC87" w:rsidR="00213182" w:rsidRPr="00C25A3C" w:rsidRDefault="00213182" w:rsidP="004E79BA">
            <w:pPr>
              <w:rPr>
                <w:rFonts w:cs="Arial"/>
                <w:szCs w:val="19"/>
              </w:rPr>
            </w:pPr>
            <w:r w:rsidRPr="00213182">
              <w:rPr>
                <w:rFonts w:cs="Arial"/>
                <w:szCs w:val="19"/>
              </w:rPr>
              <w:t>Human retinal pigment epithelial cell therapy </w:t>
            </w:r>
          </w:p>
        </w:tc>
        <w:tc>
          <w:tcPr>
            <w:tcW w:w="3640" w:type="pct"/>
            <w:shd w:val="clear" w:color="auto" w:fill="auto"/>
            <w:tcMar>
              <w:top w:w="57" w:type="dxa"/>
              <w:bottom w:w="57" w:type="dxa"/>
            </w:tcMar>
          </w:tcPr>
          <w:p w14:paraId="45D126B7" w14:textId="4798029E" w:rsidR="00213182" w:rsidRPr="00C25A3C" w:rsidRDefault="00213182" w:rsidP="004E79BA">
            <w:pPr>
              <w:tabs>
                <w:tab w:val="center" w:pos="3152"/>
              </w:tabs>
              <w:rPr>
                <w:rFonts w:cs="Arial"/>
                <w:szCs w:val="19"/>
                <w:lang w:val="en-US"/>
              </w:rPr>
            </w:pPr>
            <w:proofErr w:type="spellStart"/>
            <w:r w:rsidRPr="00213182">
              <w:rPr>
                <w:rFonts w:cs="Arial"/>
                <w:szCs w:val="19"/>
                <w:lang w:val="en-US"/>
              </w:rPr>
              <w:t>Stargardt's</w:t>
            </w:r>
            <w:proofErr w:type="spellEnd"/>
            <w:r w:rsidRPr="00213182">
              <w:rPr>
                <w:rFonts w:cs="Arial"/>
                <w:szCs w:val="19"/>
                <w:lang w:val="en-US"/>
              </w:rPr>
              <w:t xml:space="preserve"> disease</w:t>
            </w:r>
            <w:r>
              <w:rPr>
                <w:rFonts w:cs="Arial"/>
                <w:szCs w:val="19"/>
                <w:lang w:val="en-US"/>
              </w:rPr>
              <w:t xml:space="preserve"> – development discontinued (company decision)</w:t>
            </w:r>
          </w:p>
        </w:tc>
      </w:tr>
      <w:tr w:rsidR="00501E1D" w14:paraId="7637ECB8" w14:textId="77777777" w:rsidTr="001268AB">
        <w:tc>
          <w:tcPr>
            <w:tcW w:w="1360" w:type="pct"/>
            <w:gridSpan w:val="3"/>
            <w:shd w:val="clear" w:color="auto" w:fill="auto"/>
            <w:tcMar>
              <w:top w:w="57" w:type="dxa"/>
              <w:bottom w:w="57" w:type="dxa"/>
            </w:tcMar>
          </w:tcPr>
          <w:p w14:paraId="17A61F93" w14:textId="64181A82" w:rsidR="00501E1D" w:rsidRPr="00501E1D" w:rsidRDefault="00501E1D" w:rsidP="004E79BA">
            <w:pPr>
              <w:rPr>
                <w:rFonts w:cs="Arial"/>
                <w:i/>
                <w:iCs/>
                <w:szCs w:val="19"/>
              </w:rPr>
            </w:pPr>
            <w:proofErr w:type="spellStart"/>
            <w:r w:rsidRPr="00501E1D">
              <w:rPr>
                <w:rFonts w:cs="Arial"/>
                <w:szCs w:val="19"/>
              </w:rPr>
              <w:t>Ilixadencel</w:t>
            </w:r>
            <w:proofErr w:type="spellEnd"/>
            <w:r>
              <w:rPr>
                <w:rFonts w:cs="Arial"/>
                <w:szCs w:val="19"/>
              </w:rPr>
              <w:t xml:space="preserve"> (</w:t>
            </w:r>
            <w:proofErr w:type="spellStart"/>
            <w:r w:rsidRPr="00501E1D">
              <w:rPr>
                <w:rFonts w:cs="Arial"/>
                <w:i/>
                <w:iCs/>
                <w:szCs w:val="19"/>
              </w:rPr>
              <w:t>Intuvax</w:t>
            </w:r>
            <w:proofErr w:type="spellEnd"/>
            <w:r w:rsidRPr="00501E1D">
              <w:rPr>
                <w:rFonts w:cs="Arial"/>
                <w:i/>
                <w:iCs/>
                <w:szCs w:val="19"/>
              </w:rPr>
              <w:t>-RCC</w:t>
            </w:r>
            <w:r>
              <w:rPr>
                <w:rFonts w:cs="Arial"/>
                <w:szCs w:val="19"/>
              </w:rPr>
              <w:t>)</w:t>
            </w:r>
          </w:p>
        </w:tc>
        <w:tc>
          <w:tcPr>
            <w:tcW w:w="3640" w:type="pct"/>
            <w:shd w:val="clear" w:color="auto" w:fill="auto"/>
            <w:tcMar>
              <w:top w:w="57" w:type="dxa"/>
              <w:bottom w:w="57" w:type="dxa"/>
            </w:tcMar>
          </w:tcPr>
          <w:p w14:paraId="5B16012C" w14:textId="489B7C3C" w:rsidR="00501E1D" w:rsidRPr="00C25A3C" w:rsidRDefault="00501E1D" w:rsidP="004E79BA">
            <w:pPr>
              <w:tabs>
                <w:tab w:val="center" w:pos="3152"/>
              </w:tabs>
              <w:rPr>
                <w:rFonts w:cs="Arial"/>
                <w:szCs w:val="19"/>
                <w:lang w:val="en-US"/>
              </w:rPr>
            </w:pPr>
            <w:r w:rsidRPr="00501E1D">
              <w:rPr>
                <w:rFonts w:cs="Arial"/>
                <w:szCs w:val="19"/>
                <w:lang w:val="en-US"/>
              </w:rPr>
              <w:t>Renal cell carcinoma</w:t>
            </w:r>
            <w:r>
              <w:rPr>
                <w:rFonts w:cs="Arial"/>
                <w:szCs w:val="19"/>
                <w:lang w:val="en-US"/>
              </w:rPr>
              <w:t xml:space="preserve"> – development discontinued (company decision) </w:t>
            </w:r>
          </w:p>
        </w:tc>
      </w:tr>
      <w:tr w:rsidR="00CC2C83" w14:paraId="3E80AC10" w14:textId="77777777" w:rsidTr="001268AB">
        <w:tc>
          <w:tcPr>
            <w:tcW w:w="1360" w:type="pct"/>
            <w:gridSpan w:val="3"/>
            <w:shd w:val="clear" w:color="auto" w:fill="auto"/>
            <w:tcMar>
              <w:top w:w="57" w:type="dxa"/>
              <w:bottom w:w="57" w:type="dxa"/>
            </w:tcMar>
          </w:tcPr>
          <w:p w14:paraId="51C2189C" w14:textId="4B2AE515" w:rsidR="00CC2C83" w:rsidRPr="00C25A3C" w:rsidRDefault="00CC2C83" w:rsidP="004E79BA">
            <w:pPr>
              <w:rPr>
                <w:rFonts w:cs="Arial"/>
                <w:szCs w:val="19"/>
              </w:rPr>
            </w:pPr>
            <w:proofErr w:type="spellStart"/>
            <w:r w:rsidRPr="00CC2C83">
              <w:rPr>
                <w:rFonts w:cs="Arial"/>
                <w:szCs w:val="19"/>
              </w:rPr>
              <w:t>Letetresgene</w:t>
            </w:r>
            <w:proofErr w:type="spellEnd"/>
            <w:r w:rsidRPr="00CC2C83">
              <w:rPr>
                <w:rFonts w:cs="Arial"/>
                <w:szCs w:val="19"/>
              </w:rPr>
              <w:t xml:space="preserve"> </w:t>
            </w:r>
            <w:proofErr w:type="spellStart"/>
            <w:r w:rsidRPr="00CC2C83">
              <w:rPr>
                <w:rFonts w:cs="Arial"/>
                <w:szCs w:val="19"/>
              </w:rPr>
              <w:t>autoleucel</w:t>
            </w:r>
            <w:proofErr w:type="spellEnd"/>
          </w:p>
        </w:tc>
        <w:tc>
          <w:tcPr>
            <w:tcW w:w="3640" w:type="pct"/>
            <w:shd w:val="clear" w:color="auto" w:fill="auto"/>
            <w:tcMar>
              <w:top w:w="57" w:type="dxa"/>
              <w:bottom w:w="57" w:type="dxa"/>
            </w:tcMar>
          </w:tcPr>
          <w:p w14:paraId="1E36FC7B" w14:textId="2AD4516C" w:rsidR="00CC2C83" w:rsidRPr="00C25A3C" w:rsidRDefault="00CC2C83" w:rsidP="004E79BA">
            <w:pPr>
              <w:tabs>
                <w:tab w:val="center" w:pos="3152"/>
              </w:tabs>
              <w:rPr>
                <w:rFonts w:cs="Arial"/>
                <w:szCs w:val="19"/>
                <w:lang w:val="en-US"/>
              </w:rPr>
            </w:pPr>
            <w:r w:rsidRPr="00CC2C83">
              <w:rPr>
                <w:rFonts w:cs="Arial"/>
                <w:szCs w:val="19"/>
                <w:lang w:val="en-US"/>
              </w:rPr>
              <w:t>Non-small cell lung cancer</w:t>
            </w:r>
            <w:r>
              <w:rPr>
                <w:rFonts w:cs="Arial"/>
                <w:szCs w:val="19"/>
                <w:lang w:val="en-US"/>
              </w:rPr>
              <w:t xml:space="preserve"> – development discontinued (company decision)</w:t>
            </w:r>
          </w:p>
        </w:tc>
      </w:tr>
      <w:tr w:rsidR="005E0B45" w14:paraId="1FF50A43" w14:textId="77777777" w:rsidTr="001268AB">
        <w:tc>
          <w:tcPr>
            <w:tcW w:w="1360" w:type="pct"/>
            <w:gridSpan w:val="3"/>
            <w:shd w:val="clear" w:color="auto" w:fill="auto"/>
            <w:tcMar>
              <w:top w:w="57" w:type="dxa"/>
              <w:bottom w:w="57" w:type="dxa"/>
            </w:tcMar>
          </w:tcPr>
          <w:p w14:paraId="5255F3EF" w14:textId="67DA6E80" w:rsidR="005E0B45" w:rsidRPr="00C25A3C" w:rsidRDefault="00C2160D" w:rsidP="004E79BA">
            <w:pPr>
              <w:rPr>
                <w:rFonts w:cs="Arial"/>
                <w:szCs w:val="19"/>
              </w:rPr>
            </w:pPr>
            <w:proofErr w:type="spellStart"/>
            <w:r w:rsidRPr="00C2160D">
              <w:rPr>
                <w:rFonts w:cs="Arial"/>
                <w:szCs w:val="19"/>
              </w:rPr>
              <w:t>Lixmabegagene</w:t>
            </w:r>
            <w:proofErr w:type="spellEnd"/>
            <w:r w:rsidRPr="00C2160D">
              <w:rPr>
                <w:rFonts w:cs="Arial"/>
                <w:szCs w:val="19"/>
              </w:rPr>
              <w:t xml:space="preserve"> </w:t>
            </w:r>
            <w:proofErr w:type="spellStart"/>
            <w:r w:rsidRPr="00C2160D">
              <w:rPr>
                <w:rFonts w:cs="Arial"/>
                <w:szCs w:val="19"/>
              </w:rPr>
              <w:t>relduparvovec</w:t>
            </w:r>
            <w:proofErr w:type="spellEnd"/>
            <w:r w:rsidRPr="00C2160D">
              <w:rPr>
                <w:rFonts w:cs="Arial"/>
                <w:szCs w:val="19"/>
              </w:rPr>
              <w:t> </w:t>
            </w:r>
          </w:p>
        </w:tc>
        <w:tc>
          <w:tcPr>
            <w:tcW w:w="3640" w:type="pct"/>
            <w:shd w:val="clear" w:color="auto" w:fill="auto"/>
            <w:tcMar>
              <w:top w:w="57" w:type="dxa"/>
              <w:bottom w:w="57" w:type="dxa"/>
            </w:tcMar>
          </w:tcPr>
          <w:p w14:paraId="467C0C6A" w14:textId="2E96F5B4" w:rsidR="005E0B45" w:rsidRPr="00C25A3C" w:rsidRDefault="00C2160D" w:rsidP="004E79BA">
            <w:pPr>
              <w:tabs>
                <w:tab w:val="center" w:pos="3152"/>
              </w:tabs>
              <w:rPr>
                <w:rFonts w:cs="Arial"/>
                <w:szCs w:val="19"/>
                <w:lang w:val="en-US"/>
              </w:rPr>
            </w:pPr>
            <w:r w:rsidRPr="00C2160D">
              <w:rPr>
                <w:rFonts w:cs="Arial"/>
                <w:szCs w:val="19"/>
                <w:lang w:val="en-US"/>
              </w:rPr>
              <w:t xml:space="preserve">GM1 </w:t>
            </w:r>
            <w:proofErr w:type="spellStart"/>
            <w:r w:rsidRPr="00C2160D">
              <w:rPr>
                <w:rFonts w:cs="Arial"/>
                <w:szCs w:val="19"/>
                <w:lang w:val="en-US"/>
              </w:rPr>
              <w:t>gangliosidoses</w:t>
            </w:r>
            <w:proofErr w:type="spellEnd"/>
            <w:r>
              <w:rPr>
                <w:rFonts w:cs="Arial"/>
                <w:szCs w:val="19"/>
                <w:lang w:val="en-US"/>
              </w:rPr>
              <w:t xml:space="preserve"> – development discontinued (company failed)</w:t>
            </w:r>
          </w:p>
        </w:tc>
      </w:tr>
      <w:tr w:rsidR="004E79BA" w14:paraId="282D8A07" w14:textId="77777777" w:rsidTr="001268AB">
        <w:tc>
          <w:tcPr>
            <w:tcW w:w="1360" w:type="pct"/>
            <w:gridSpan w:val="3"/>
            <w:shd w:val="clear" w:color="auto" w:fill="auto"/>
            <w:tcMar>
              <w:top w:w="57" w:type="dxa"/>
              <w:bottom w:w="57" w:type="dxa"/>
            </w:tcMar>
          </w:tcPr>
          <w:p w14:paraId="5057E79B" w14:textId="3D6C414E" w:rsidR="004E79BA" w:rsidRPr="00672A42" w:rsidRDefault="004E79BA" w:rsidP="004E79BA">
            <w:pPr>
              <w:rPr>
                <w:rFonts w:cs="Arial"/>
                <w:szCs w:val="19"/>
              </w:rPr>
            </w:pPr>
            <w:proofErr w:type="spellStart"/>
            <w:r w:rsidRPr="00C25A3C">
              <w:rPr>
                <w:rFonts w:cs="Arial"/>
                <w:szCs w:val="19"/>
              </w:rPr>
              <w:t>Odevixibat</w:t>
            </w:r>
            <w:proofErr w:type="spellEnd"/>
            <w:r>
              <w:rPr>
                <w:rFonts w:cs="Arial"/>
                <w:szCs w:val="19"/>
              </w:rPr>
              <w:t xml:space="preserve"> </w:t>
            </w:r>
          </w:p>
        </w:tc>
        <w:tc>
          <w:tcPr>
            <w:tcW w:w="3640" w:type="pct"/>
            <w:shd w:val="clear" w:color="auto" w:fill="auto"/>
            <w:tcMar>
              <w:top w:w="57" w:type="dxa"/>
              <w:bottom w:w="57" w:type="dxa"/>
            </w:tcMar>
          </w:tcPr>
          <w:p w14:paraId="575D0FA1" w14:textId="7D121FD4" w:rsidR="004E79BA" w:rsidRDefault="004E79BA" w:rsidP="004E79BA">
            <w:pPr>
              <w:tabs>
                <w:tab w:val="center" w:pos="3152"/>
              </w:tabs>
              <w:rPr>
                <w:rFonts w:cs="Arial"/>
                <w:szCs w:val="19"/>
                <w:lang w:val="en-US"/>
              </w:rPr>
            </w:pPr>
            <w:r w:rsidRPr="00C25A3C">
              <w:rPr>
                <w:rFonts w:cs="Arial"/>
                <w:szCs w:val="19"/>
                <w:lang w:val="en-US"/>
              </w:rPr>
              <w:t xml:space="preserve">Treatment of cholestatic pruritus in Alagille syndrome in patients aged </w:t>
            </w:r>
            <w:r>
              <w:rPr>
                <w:rFonts w:cs="Arial"/>
                <w:szCs w:val="19"/>
                <w:lang w:val="en-US"/>
              </w:rPr>
              <w:t>≥</w:t>
            </w:r>
            <w:r w:rsidRPr="00C25A3C">
              <w:rPr>
                <w:rFonts w:cs="Arial"/>
                <w:szCs w:val="19"/>
                <w:lang w:val="en-US"/>
              </w:rPr>
              <w:t>6 months</w:t>
            </w:r>
            <w:r>
              <w:rPr>
                <w:rFonts w:cs="Arial"/>
                <w:szCs w:val="19"/>
                <w:lang w:val="en-US"/>
              </w:rPr>
              <w:t xml:space="preserve"> – EU filing withdrawn</w:t>
            </w:r>
          </w:p>
        </w:tc>
      </w:tr>
      <w:tr w:rsidR="00F2443C" w14:paraId="59F9DFA2" w14:textId="77777777" w:rsidTr="001268AB">
        <w:tc>
          <w:tcPr>
            <w:tcW w:w="1360" w:type="pct"/>
            <w:gridSpan w:val="3"/>
            <w:shd w:val="clear" w:color="auto" w:fill="auto"/>
            <w:tcMar>
              <w:top w:w="57" w:type="dxa"/>
              <w:bottom w:w="57" w:type="dxa"/>
            </w:tcMar>
          </w:tcPr>
          <w:p w14:paraId="274D1C0F" w14:textId="1494D0EF" w:rsidR="00F2443C" w:rsidRPr="00C25A3C" w:rsidRDefault="00F2443C" w:rsidP="00F2443C">
            <w:pPr>
              <w:rPr>
                <w:rFonts w:cs="Arial"/>
                <w:szCs w:val="19"/>
              </w:rPr>
            </w:pPr>
            <w:proofErr w:type="spellStart"/>
            <w:r w:rsidRPr="00F2443C">
              <w:rPr>
                <w:rFonts w:cs="Arial"/>
                <w:szCs w:val="19"/>
              </w:rPr>
              <w:t>Olenasufligene</w:t>
            </w:r>
            <w:proofErr w:type="spellEnd"/>
            <w:r w:rsidRPr="00F2443C">
              <w:rPr>
                <w:rFonts w:cs="Arial"/>
                <w:szCs w:val="19"/>
              </w:rPr>
              <w:t xml:space="preserve"> </w:t>
            </w:r>
            <w:proofErr w:type="spellStart"/>
            <w:r w:rsidRPr="00F2443C">
              <w:rPr>
                <w:rFonts w:cs="Arial"/>
                <w:szCs w:val="19"/>
              </w:rPr>
              <w:t>relduparvovec</w:t>
            </w:r>
            <w:proofErr w:type="spellEnd"/>
            <w:r w:rsidRPr="00F2443C">
              <w:rPr>
                <w:rFonts w:cs="Arial"/>
                <w:szCs w:val="19"/>
              </w:rPr>
              <w:t> </w:t>
            </w:r>
          </w:p>
        </w:tc>
        <w:tc>
          <w:tcPr>
            <w:tcW w:w="3640" w:type="pct"/>
            <w:shd w:val="clear" w:color="auto" w:fill="auto"/>
            <w:tcMar>
              <w:top w:w="57" w:type="dxa"/>
              <w:bottom w:w="57" w:type="dxa"/>
            </w:tcMar>
          </w:tcPr>
          <w:p w14:paraId="543A41C4" w14:textId="02332B96" w:rsidR="00F2443C" w:rsidRPr="00C25A3C" w:rsidRDefault="00F2443C" w:rsidP="00F2443C">
            <w:pPr>
              <w:tabs>
                <w:tab w:val="center" w:pos="3152"/>
              </w:tabs>
              <w:rPr>
                <w:rFonts w:cs="Arial"/>
                <w:szCs w:val="19"/>
                <w:lang w:val="en-US"/>
              </w:rPr>
            </w:pPr>
            <w:r w:rsidRPr="00F2443C">
              <w:rPr>
                <w:rFonts w:cs="Arial"/>
                <w:szCs w:val="19"/>
                <w:lang w:val="en-US"/>
              </w:rPr>
              <w:t>Mucopolysaccharidosis IIIA</w:t>
            </w:r>
            <w:r>
              <w:rPr>
                <w:rFonts w:cs="Arial"/>
                <w:szCs w:val="19"/>
                <w:lang w:val="en-US"/>
              </w:rPr>
              <w:t xml:space="preserve"> – development discontinued (company failed)</w:t>
            </w:r>
          </w:p>
        </w:tc>
      </w:tr>
      <w:tr w:rsidR="00F2443C" w14:paraId="17E1FBE7" w14:textId="77777777" w:rsidTr="001268AB">
        <w:tc>
          <w:tcPr>
            <w:tcW w:w="1360" w:type="pct"/>
            <w:gridSpan w:val="3"/>
            <w:shd w:val="clear" w:color="auto" w:fill="auto"/>
            <w:tcMar>
              <w:top w:w="57" w:type="dxa"/>
              <w:bottom w:w="57" w:type="dxa"/>
            </w:tcMar>
          </w:tcPr>
          <w:p w14:paraId="29CA4C3B" w14:textId="77777777" w:rsidR="00F2443C" w:rsidRDefault="00F2443C" w:rsidP="00F2443C">
            <w:pPr>
              <w:rPr>
                <w:rFonts w:cs="Arial"/>
                <w:szCs w:val="19"/>
              </w:rPr>
            </w:pPr>
            <w:r w:rsidRPr="00FF0623">
              <w:rPr>
                <w:rFonts w:cs="Arial"/>
                <w:szCs w:val="19"/>
              </w:rPr>
              <w:t xml:space="preserve">Trastuzumab </w:t>
            </w:r>
            <w:proofErr w:type="spellStart"/>
            <w:r w:rsidRPr="00FF0623">
              <w:rPr>
                <w:rFonts w:cs="Arial"/>
                <w:szCs w:val="19"/>
              </w:rPr>
              <w:t>duocarmazine</w:t>
            </w:r>
            <w:proofErr w:type="spellEnd"/>
            <w:r w:rsidRPr="00FF0623">
              <w:rPr>
                <w:rFonts w:cs="Arial"/>
                <w:szCs w:val="19"/>
              </w:rPr>
              <w:t> </w:t>
            </w:r>
          </w:p>
          <w:p w14:paraId="7614EFA7" w14:textId="1D5039E8" w:rsidR="00F2443C" w:rsidRPr="00FF0623" w:rsidRDefault="00F2443C" w:rsidP="00F2443C">
            <w:pPr>
              <w:rPr>
                <w:rFonts w:cs="Arial"/>
                <w:szCs w:val="19"/>
              </w:rPr>
            </w:pPr>
            <w:r>
              <w:rPr>
                <w:rFonts w:cs="Arial"/>
                <w:szCs w:val="19"/>
              </w:rPr>
              <w:t>(</w:t>
            </w:r>
            <w:proofErr w:type="spellStart"/>
            <w:r>
              <w:rPr>
                <w:rFonts w:cs="Arial"/>
                <w:i/>
                <w:iCs/>
                <w:szCs w:val="19"/>
              </w:rPr>
              <w:t>Jivadco</w:t>
            </w:r>
            <w:proofErr w:type="spellEnd"/>
            <w:r>
              <w:rPr>
                <w:rFonts w:cs="Arial"/>
                <w:szCs w:val="19"/>
              </w:rPr>
              <w:t>)</w:t>
            </w:r>
          </w:p>
        </w:tc>
        <w:tc>
          <w:tcPr>
            <w:tcW w:w="3640" w:type="pct"/>
            <w:shd w:val="clear" w:color="auto" w:fill="auto"/>
            <w:tcMar>
              <w:top w:w="57" w:type="dxa"/>
              <w:bottom w:w="57" w:type="dxa"/>
            </w:tcMar>
          </w:tcPr>
          <w:p w14:paraId="1C3AD3F4" w14:textId="6750550C" w:rsidR="00F2443C" w:rsidRPr="008E641A" w:rsidRDefault="00F2443C" w:rsidP="00F2443C">
            <w:pPr>
              <w:tabs>
                <w:tab w:val="center" w:pos="3152"/>
              </w:tabs>
              <w:rPr>
                <w:rFonts w:cs="Arial"/>
                <w:szCs w:val="19"/>
                <w:lang w:val="en-US"/>
              </w:rPr>
            </w:pPr>
            <w:r w:rsidRPr="00FF0623">
              <w:rPr>
                <w:rFonts w:cs="Arial"/>
                <w:szCs w:val="19"/>
                <w:lang w:val="en-US"/>
              </w:rPr>
              <w:t>HER2-positive unresectable locally advanced or metastatic breast cancer</w:t>
            </w:r>
            <w:r>
              <w:rPr>
                <w:rFonts w:cs="Arial"/>
                <w:szCs w:val="19"/>
                <w:lang w:val="en-US"/>
              </w:rPr>
              <w:t xml:space="preserve"> – development discontinued (company decision)</w:t>
            </w:r>
          </w:p>
        </w:tc>
      </w:tr>
      <w:tr w:rsidR="00F2443C" w:rsidRPr="000F19E1" w14:paraId="50A980C6" w14:textId="77777777" w:rsidTr="001268AB">
        <w:tc>
          <w:tcPr>
            <w:tcW w:w="1360" w:type="pct"/>
            <w:gridSpan w:val="3"/>
            <w:shd w:val="clear" w:color="auto" w:fill="auto"/>
            <w:tcMar>
              <w:top w:w="0" w:type="dxa"/>
              <w:bottom w:w="0" w:type="dxa"/>
            </w:tcMar>
          </w:tcPr>
          <w:p w14:paraId="14DAC6D9" w14:textId="77777777" w:rsidR="00F2443C" w:rsidRPr="000F19E1" w:rsidRDefault="00F2443C" w:rsidP="00F2443C">
            <w:pPr>
              <w:rPr>
                <w:rFonts w:cs="Arial"/>
                <w:bCs/>
                <w:sz w:val="8"/>
                <w:szCs w:val="8"/>
              </w:rPr>
            </w:pPr>
          </w:p>
        </w:tc>
        <w:tc>
          <w:tcPr>
            <w:tcW w:w="3640" w:type="pct"/>
            <w:shd w:val="clear" w:color="auto" w:fill="auto"/>
            <w:tcMar>
              <w:top w:w="0" w:type="dxa"/>
              <w:bottom w:w="0" w:type="dxa"/>
            </w:tcMar>
          </w:tcPr>
          <w:p w14:paraId="280B32D3" w14:textId="77777777" w:rsidR="00F2443C" w:rsidRPr="000F19E1" w:rsidRDefault="00F2443C" w:rsidP="00F2443C">
            <w:pPr>
              <w:tabs>
                <w:tab w:val="center" w:pos="3152"/>
              </w:tabs>
              <w:rPr>
                <w:rFonts w:cs="Arial"/>
                <w:sz w:val="8"/>
                <w:szCs w:val="8"/>
                <w:lang w:val="en-US"/>
              </w:rPr>
            </w:pPr>
          </w:p>
        </w:tc>
      </w:tr>
      <w:tr w:rsidR="00F2443C" w:rsidRPr="000F19E1" w14:paraId="7A24DCD0" w14:textId="77777777" w:rsidTr="00155BD9">
        <w:tc>
          <w:tcPr>
            <w:tcW w:w="1355" w:type="pct"/>
            <w:gridSpan w:val="2"/>
            <w:shd w:val="clear" w:color="auto" w:fill="DAEEF3"/>
            <w:tcMar>
              <w:top w:w="0" w:type="dxa"/>
              <w:bottom w:w="0" w:type="dxa"/>
            </w:tcMar>
          </w:tcPr>
          <w:p w14:paraId="11BE07A5" w14:textId="77777777" w:rsidR="00F2443C" w:rsidRPr="000F19E1" w:rsidRDefault="00F2443C" w:rsidP="00F2443C">
            <w:pPr>
              <w:rPr>
                <w:rFonts w:cs="Arial"/>
                <w:bCs/>
                <w:sz w:val="8"/>
                <w:szCs w:val="8"/>
              </w:rPr>
            </w:pPr>
          </w:p>
        </w:tc>
        <w:tc>
          <w:tcPr>
            <w:tcW w:w="3645" w:type="pct"/>
            <w:gridSpan w:val="2"/>
            <w:shd w:val="clear" w:color="auto" w:fill="DAEEF3"/>
            <w:tcMar>
              <w:top w:w="0" w:type="dxa"/>
              <w:bottom w:w="0" w:type="dxa"/>
            </w:tcMar>
          </w:tcPr>
          <w:p w14:paraId="42380501" w14:textId="77777777" w:rsidR="00F2443C" w:rsidRPr="000F19E1" w:rsidRDefault="00F2443C" w:rsidP="00F2443C">
            <w:pPr>
              <w:tabs>
                <w:tab w:val="center" w:pos="3152"/>
              </w:tabs>
              <w:rPr>
                <w:rFonts w:cs="Arial"/>
                <w:sz w:val="8"/>
                <w:szCs w:val="8"/>
                <w:lang w:val="en-US"/>
              </w:rPr>
            </w:pPr>
          </w:p>
        </w:tc>
      </w:tr>
    </w:tbl>
    <w:p w14:paraId="73381584" w14:textId="77777777" w:rsidR="001A42CE" w:rsidRDefault="001A42CE">
      <w:pPr>
        <w:rPr>
          <w:sz w:val="18"/>
        </w:rPr>
      </w:pPr>
    </w:p>
    <w:p w14:paraId="499E4FD4" w14:textId="77777777" w:rsidR="00A81694" w:rsidRDefault="00A81694">
      <w:pPr>
        <w:rPr>
          <w:sz w:val="18"/>
        </w:rPr>
      </w:pPr>
    </w:p>
    <w:p w14:paraId="596960FD" w14:textId="77777777" w:rsidR="00A75BCB" w:rsidRDefault="00A75BCB"/>
    <w:p w14:paraId="3ABAB61B" w14:textId="77777777" w:rsidR="00A75BCB" w:rsidRDefault="00A75BCB"/>
    <w:p w14:paraId="27E90EBD" w14:textId="77777777" w:rsidR="006825BB" w:rsidRPr="008949EF" w:rsidRDefault="006825BB" w:rsidP="003D16EF">
      <w:pPr>
        <w:rPr>
          <w:sz w:val="8"/>
          <w:szCs w:val="8"/>
        </w:rPr>
      </w:pPr>
    </w:p>
    <w:sectPr w:rsidR="006825BB" w:rsidRPr="008949EF" w:rsidSect="00F566AB">
      <w:headerReference w:type="even" r:id="rId16"/>
      <w:headerReference w:type="default" r:id="rId17"/>
      <w:footerReference w:type="default" r:id="rId18"/>
      <w:headerReference w:type="first" r:id="rId19"/>
      <w:type w:val="evenPage"/>
      <w:pgSz w:w="11906" w:h="16838" w:code="9"/>
      <w:pgMar w:top="1021" w:right="851" w:bottom="102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EBD6" w14:textId="77777777" w:rsidR="00F21591" w:rsidRDefault="00F21591">
      <w:r>
        <w:separator/>
      </w:r>
    </w:p>
  </w:endnote>
  <w:endnote w:type="continuationSeparator" w:id="0">
    <w:p w14:paraId="563DACA4" w14:textId="77777777" w:rsidR="00F21591" w:rsidRDefault="00F2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303" w:type="dxa"/>
      <w:tblBorders>
        <w:top w:val="single" w:sz="4" w:space="0" w:color="000000"/>
        <w:left w:val="single" w:sz="4" w:space="0" w:color="000000"/>
        <w:bottom w:val="single" w:sz="4" w:space="0" w:color="000000"/>
        <w:right w:val="single" w:sz="4" w:space="0" w:color="000000"/>
        <w:insideH w:val="single" w:sz="4" w:space="0" w:color="000000"/>
      </w:tblBorders>
      <w:tblLook w:val="01E0" w:firstRow="1" w:lastRow="1" w:firstColumn="1" w:lastColumn="1" w:noHBand="0" w:noVBand="0"/>
    </w:tblPr>
    <w:tblGrid>
      <w:gridCol w:w="10980"/>
    </w:tblGrid>
    <w:tr w:rsidR="000D44DB" w:rsidRPr="00710A1C" w14:paraId="01D093C3" w14:textId="77777777">
      <w:tc>
        <w:tcPr>
          <w:tcW w:w="10980" w:type="dxa"/>
          <w:shd w:val="clear" w:color="auto" w:fill="3366FF"/>
          <w:tcMar>
            <w:top w:w="28" w:type="dxa"/>
            <w:left w:w="57" w:type="dxa"/>
            <w:bottom w:w="28" w:type="dxa"/>
            <w:right w:w="57" w:type="dxa"/>
          </w:tcMar>
        </w:tcPr>
        <w:p w14:paraId="084608E9" w14:textId="77777777" w:rsidR="000D44DB" w:rsidRPr="00710A1C" w:rsidRDefault="000D44DB" w:rsidP="00710A1C">
          <w:pPr>
            <w:spacing w:before="60" w:after="60"/>
            <w:ind w:right="57"/>
            <w:rPr>
              <w:rFonts w:ascii="Verdana" w:hAnsi="Verdana" w:cs="Arial"/>
              <w:b/>
              <w:bCs/>
              <w:color w:val="000080"/>
              <w:sz w:val="15"/>
              <w:szCs w:val="15"/>
              <w:lang w:val="en-US"/>
            </w:rPr>
          </w:pPr>
          <w:r w:rsidRPr="00710A1C">
            <w:rPr>
              <w:rFonts w:ascii="Verdana" w:hAnsi="Verdana" w:cs="Arial"/>
              <w:b/>
              <w:bCs/>
              <w:color w:val="FFFFFF"/>
              <w:sz w:val="15"/>
              <w:szCs w:val="15"/>
              <w:lang w:val="en-US"/>
            </w:rPr>
            <w:t xml:space="preserve">If you do not wish to continue receiving NDO </w:t>
          </w:r>
          <w:r w:rsidRPr="00710A1C">
            <w:rPr>
              <w:rFonts w:ascii="Verdana" w:hAnsi="Verdana" w:cs="Arial"/>
              <w:b/>
              <w:bCs/>
              <w:i/>
              <w:color w:val="FFFFFF"/>
              <w:sz w:val="15"/>
              <w:szCs w:val="15"/>
              <w:lang w:val="en-US"/>
            </w:rPr>
            <w:t>Newsletter</w:t>
          </w:r>
          <w:r w:rsidRPr="00710A1C">
            <w:rPr>
              <w:rFonts w:ascii="Verdana" w:hAnsi="Verdana" w:cs="Arial"/>
              <w:b/>
              <w:bCs/>
              <w:color w:val="FFFFFF"/>
              <w:sz w:val="15"/>
              <w:szCs w:val="15"/>
              <w:lang w:val="en-US"/>
            </w:rPr>
            <w:t xml:space="preserve"> log in and update your profile at </w:t>
          </w:r>
          <w:hyperlink r:id="rId1" w:history="1">
            <w:r w:rsidRPr="00710A1C">
              <w:rPr>
                <w:rStyle w:val="Hyperlink"/>
                <w:rFonts w:cs="Arial"/>
                <w:b/>
                <w:bCs/>
                <w:color w:val="FFFFFF"/>
                <w:sz w:val="15"/>
                <w:szCs w:val="15"/>
                <w:lang w:val="en-US"/>
              </w:rPr>
              <w:t>www.ukmi.nhs.uk/ndo</w:t>
            </w:r>
          </w:hyperlink>
        </w:p>
      </w:tc>
    </w:tr>
    <w:tr w:rsidR="000D44DB" w14:paraId="47C30651" w14:textId="77777777">
      <w:tc>
        <w:tcPr>
          <w:tcW w:w="10980" w:type="dxa"/>
          <w:shd w:val="clear" w:color="auto" w:fill="auto"/>
          <w:tcMar>
            <w:left w:w="28" w:type="dxa"/>
            <w:right w:w="28" w:type="dxa"/>
          </w:tcMar>
        </w:tcPr>
        <w:p w14:paraId="39C14D66" w14:textId="77777777" w:rsidR="000D44DB" w:rsidRPr="00710A1C" w:rsidRDefault="000D44DB" w:rsidP="00710A1C">
          <w:pPr>
            <w:spacing w:before="120" w:after="60"/>
            <w:ind w:left="57" w:right="57"/>
            <w:rPr>
              <w:sz w:val="15"/>
              <w:szCs w:val="15"/>
            </w:rPr>
          </w:pPr>
          <w:r w:rsidRPr="00710A1C">
            <w:rPr>
              <w:rFonts w:ascii="Verdana" w:hAnsi="Verdana" w:cs="Arial"/>
              <w:b/>
              <w:bCs/>
              <w:color w:val="333399"/>
              <w:sz w:val="15"/>
              <w:szCs w:val="15"/>
              <w:lang w:val="en-US"/>
            </w:rPr>
            <w:t>In September 2011</w:t>
          </w:r>
          <w:r w:rsidRPr="00710A1C">
            <w:rPr>
              <w:rFonts w:ascii="Verdana" w:hAnsi="Verdana" w:cs="Arial"/>
              <w:bCs/>
              <w:color w:val="000000"/>
              <w:sz w:val="15"/>
              <w:szCs w:val="15"/>
              <w:lang w:val="en-US"/>
            </w:rPr>
            <w:t xml:space="preserve"> </w:t>
          </w:r>
          <w:r w:rsidRPr="00710A1C">
            <w:rPr>
              <w:rFonts w:ascii="Verdana" w:hAnsi="Verdana" w:cs="Arial"/>
              <w:b/>
              <w:bCs/>
              <w:color w:val="000000"/>
              <w:sz w:val="15"/>
              <w:szCs w:val="15"/>
              <w:lang w:val="en-US"/>
            </w:rPr>
            <w:t>| 229 monographs updated | 14 evidence-based evaluations added | 2,200 registered NDO users</w:t>
          </w:r>
        </w:p>
      </w:tc>
    </w:tr>
  </w:tbl>
  <w:p w14:paraId="1FD62E1D" w14:textId="77777777" w:rsidR="000D44DB" w:rsidRDefault="000D4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227" w:type="dxa"/>
      <w:tblLook w:val="01E0" w:firstRow="1" w:lastRow="1" w:firstColumn="1" w:lastColumn="1" w:noHBand="0" w:noVBand="0"/>
    </w:tblPr>
    <w:tblGrid>
      <w:gridCol w:w="10774"/>
    </w:tblGrid>
    <w:tr w:rsidR="001F4283" w:rsidRPr="00862949" w14:paraId="1D891BB6" w14:textId="77777777" w:rsidTr="001734BF">
      <w:trPr>
        <w:trHeight w:val="262"/>
      </w:trPr>
      <w:tc>
        <w:tcPr>
          <w:tcW w:w="10774" w:type="dxa"/>
          <w:shd w:val="clear" w:color="auto" w:fill="0070C0"/>
          <w:tcMar>
            <w:top w:w="28" w:type="dxa"/>
            <w:left w:w="57" w:type="dxa"/>
            <w:bottom w:w="28" w:type="dxa"/>
            <w:right w:w="57" w:type="dxa"/>
          </w:tcMar>
        </w:tcPr>
        <w:p w14:paraId="6D1D711B" w14:textId="77777777" w:rsidR="001F4283" w:rsidRPr="00114EBA" w:rsidRDefault="001F4283" w:rsidP="001F4283">
          <w:pPr>
            <w:spacing w:before="60" w:after="60"/>
            <w:ind w:right="57"/>
            <w:jc w:val="center"/>
            <w:rPr>
              <w:rFonts w:cs="Arial"/>
              <w:bCs/>
              <w:color w:val="F2F2F2"/>
              <w:sz w:val="17"/>
              <w:szCs w:val="17"/>
              <w:lang w:val="en-US"/>
            </w:rPr>
          </w:pPr>
          <w:r w:rsidRPr="00114EBA">
            <w:rPr>
              <w:rFonts w:cs="Arial"/>
              <w:b/>
              <w:bCs/>
              <w:color w:val="FFFFFF"/>
              <w:sz w:val="17"/>
              <w:szCs w:val="17"/>
              <w:lang w:val="en-US"/>
            </w:rPr>
            <w:t xml:space="preserve">This is </w:t>
          </w:r>
          <w:proofErr w:type="gramStart"/>
          <w:r w:rsidRPr="00114EBA">
            <w:rPr>
              <w:rFonts w:cs="Arial"/>
              <w:b/>
              <w:bCs/>
              <w:color w:val="FFFFFF"/>
              <w:sz w:val="17"/>
              <w:szCs w:val="17"/>
              <w:lang w:val="en-US"/>
            </w:rPr>
            <w:t>a</w:t>
          </w:r>
          <w:proofErr w:type="gramEnd"/>
          <w:r w:rsidRPr="00114EBA">
            <w:rPr>
              <w:rFonts w:cs="Arial"/>
              <w:b/>
              <w:bCs/>
              <w:color w:val="FFFFFF"/>
              <w:sz w:val="17"/>
              <w:szCs w:val="17"/>
              <w:lang w:val="en-US"/>
            </w:rPr>
            <w:t xml:space="preserve"> NHS document not to be used for commercial purposes</w:t>
          </w:r>
        </w:p>
      </w:tc>
    </w:tr>
    <w:tr w:rsidR="001F4283" w:rsidRPr="00862949" w14:paraId="2BDFC1DA" w14:textId="77777777" w:rsidTr="001734BF">
      <w:trPr>
        <w:trHeight w:val="331"/>
      </w:trPr>
      <w:tc>
        <w:tcPr>
          <w:tcW w:w="10774" w:type="dxa"/>
          <w:shd w:val="clear" w:color="auto" w:fill="DAEEF3"/>
          <w:tcMar>
            <w:left w:w="28" w:type="dxa"/>
            <w:right w:w="28" w:type="dxa"/>
          </w:tcMar>
        </w:tcPr>
        <w:p w14:paraId="2FF8D52F" w14:textId="77777777" w:rsidR="001F4283" w:rsidRDefault="001F4283" w:rsidP="001F4283">
          <w:pPr>
            <w:spacing w:before="60" w:after="60"/>
            <w:ind w:right="57"/>
            <w:rPr>
              <w:rFonts w:cs="Arial"/>
              <w:bCs/>
              <w:color w:val="000000"/>
              <w:sz w:val="17"/>
              <w:szCs w:val="17"/>
              <w:lang w:val="en-US"/>
            </w:rPr>
          </w:pPr>
          <w:r w:rsidRPr="00114EBA">
            <w:rPr>
              <w:rFonts w:cs="Arial"/>
              <w:bCs/>
              <w:color w:val="00B050"/>
              <w:sz w:val="17"/>
              <w:szCs w:val="17"/>
              <w:lang w:val="en-US"/>
            </w:rPr>
            <w:t>New Medicines</w:t>
          </w:r>
          <w:r w:rsidRPr="00114EBA">
            <w:rPr>
              <w:rFonts w:cs="Arial"/>
              <w:bCs/>
              <w:color w:val="F2F2F2"/>
              <w:sz w:val="17"/>
              <w:szCs w:val="17"/>
              <w:lang w:val="en-US"/>
            </w:rPr>
            <w:t xml:space="preserve"> </w:t>
          </w:r>
          <w:r w:rsidRPr="00114EBA">
            <w:rPr>
              <w:rStyle w:val="Hyperlink"/>
              <w:rFonts w:ascii="Arial" w:hAnsi="Arial"/>
              <w:i/>
              <w:color w:val="0070C0"/>
              <w:sz w:val="17"/>
              <w:szCs w:val="17"/>
              <w:u w:val="none"/>
            </w:rPr>
            <w:t>News</w:t>
          </w:r>
          <w:r w:rsidRPr="00114EBA">
            <w:rPr>
              <w:rFonts w:cs="Arial"/>
              <w:bCs/>
              <w:color w:val="F2F2F2"/>
              <w:sz w:val="17"/>
              <w:szCs w:val="17"/>
              <w:lang w:val="en-US"/>
            </w:rPr>
            <w:t xml:space="preserve"> </w:t>
          </w:r>
          <w:r w:rsidRPr="00114EBA">
            <w:rPr>
              <w:rFonts w:cs="Arial"/>
              <w:bCs/>
              <w:color w:val="000000"/>
              <w:sz w:val="17"/>
              <w:szCs w:val="17"/>
              <w:lang w:val="en-US"/>
            </w:rPr>
            <w:t xml:space="preserve">is one of several horizon scanning resources produced by </w:t>
          </w:r>
          <w:r>
            <w:rPr>
              <w:rFonts w:cs="Arial"/>
              <w:bCs/>
              <w:color w:val="000000"/>
              <w:sz w:val="17"/>
              <w:szCs w:val="17"/>
              <w:lang w:val="en-US"/>
            </w:rPr>
            <w:t>the Specialist Pharmacy Service</w:t>
          </w:r>
          <w:r w:rsidRPr="00114EBA">
            <w:rPr>
              <w:rFonts w:cs="Arial"/>
              <w:bCs/>
              <w:color w:val="000000"/>
              <w:sz w:val="17"/>
              <w:szCs w:val="17"/>
              <w:lang w:val="en-US"/>
            </w:rPr>
            <w:t xml:space="preserve"> to support managed introduction of new medicines into the NHS,</w:t>
          </w:r>
          <w:r w:rsidRPr="00114EBA">
            <w:rPr>
              <w:color w:val="000000"/>
              <w:sz w:val="17"/>
              <w:szCs w:val="17"/>
            </w:rPr>
            <w:t xml:space="preserve"> </w:t>
          </w:r>
          <w:r w:rsidRPr="00114EBA">
            <w:rPr>
              <w:rFonts w:cs="Arial"/>
              <w:bCs/>
              <w:color w:val="000000"/>
              <w:sz w:val="17"/>
              <w:szCs w:val="17"/>
              <w:lang w:val="en-US"/>
            </w:rPr>
            <w:t xml:space="preserve">to help organisations develop medicines management policies and to inform prescribing decisions when a product has been launched. </w:t>
          </w:r>
        </w:p>
        <w:p w14:paraId="78172B29" w14:textId="77777777" w:rsidR="001F4283" w:rsidRPr="00114EBA" w:rsidRDefault="001F4283" w:rsidP="001F4283">
          <w:pPr>
            <w:spacing w:before="60" w:after="60"/>
            <w:ind w:right="57"/>
            <w:jc w:val="right"/>
            <w:rPr>
              <w:rFonts w:cs="Arial"/>
              <w:bCs/>
              <w:color w:val="000000"/>
              <w:sz w:val="17"/>
              <w:szCs w:val="17"/>
              <w:lang w:val="en-US"/>
            </w:rPr>
          </w:pPr>
          <w:r w:rsidRPr="00114EBA">
            <w:rPr>
              <w:rFonts w:cs="Arial"/>
              <w:bCs/>
              <w:color w:val="000000"/>
              <w:sz w:val="17"/>
              <w:szCs w:val="17"/>
              <w:lang w:val="en-US"/>
            </w:rPr>
            <w:t>For more information</w:t>
          </w:r>
          <w:r>
            <w:rPr>
              <w:rFonts w:cs="Arial"/>
              <w:bCs/>
              <w:color w:val="000000"/>
              <w:sz w:val="17"/>
              <w:szCs w:val="17"/>
              <w:lang w:val="en-US"/>
            </w:rPr>
            <w:t xml:space="preserve"> or </w:t>
          </w:r>
          <w:r w:rsidRPr="00114EBA">
            <w:rPr>
              <w:rFonts w:cs="Arial"/>
              <w:bCs/>
              <w:color w:val="000000"/>
              <w:sz w:val="17"/>
              <w:szCs w:val="17"/>
              <w:lang w:val="en-US"/>
            </w:rPr>
            <w:t>if you have a question about this newsletter, contact</w:t>
          </w:r>
          <w:r>
            <w:rPr>
              <w:rFonts w:cs="Arial"/>
              <w:bCs/>
              <w:color w:val="000000"/>
              <w:sz w:val="17"/>
              <w:szCs w:val="17"/>
              <w:lang w:val="en-US"/>
            </w:rPr>
            <w:t xml:space="preserve"> </w:t>
          </w:r>
          <w:hyperlink r:id="rId1" w:history="1">
            <w:r w:rsidRPr="00114EBA">
              <w:rPr>
                <w:rStyle w:val="Hyperlink"/>
                <w:rFonts w:ascii="Arial" w:hAnsi="Arial" w:cs="Arial"/>
                <w:bCs/>
                <w:sz w:val="17"/>
                <w:szCs w:val="17"/>
                <w:lang w:val="en-US"/>
              </w:rPr>
              <w:t>nwmedinfo@nhs.net</w:t>
            </w:r>
          </w:hyperlink>
          <w:r w:rsidRPr="00114EBA">
            <w:rPr>
              <w:rFonts w:cs="Arial"/>
              <w:bCs/>
              <w:color w:val="000000"/>
              <w:sz w:val="17"/>
              <w:szCs w:val="17"/>
              <w:lang w:val="en-US"/>
            </w:rPr>
            <w:t>.</w:t>
          </w:r>
        </w:p>
      </w:tc>
    </w:tr>
  </w:tbl>
  <w:p w14:paraId="421C88B5" w14:textId="77777777" w:rsidR="000D44DB" w:rsidRDefault="000D4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227" w:type="dxa"/>
      <w:tblLook w:val="01E0" w:firstRow="1" w:lastRow="1" w:firstColumn="1" w:lastColumn="1" w:noHBand="0" w:noVBand="0"/>
    </w:tblPr>
    <w:tblGrid>
      <w:gridCol w:w="10774"/>
    </w:tblGrid>
    <w:tr w:rsidR="001F4283" w:rsidRPr="00862949" w14:paraId="0A843C6D" w14:textId="77777777" w:rsidTr="001734BF">
      <w:trPr>
        <w:trHeight w:val="262"/>
      </w:trPr>
      <w:tc>
        <w:tcPr>
          <w:tcW w:w="10774" w:type="dxa"/>
          <w:shd w:val="clear" w:color="auto" w:fill="0070C0"/>
          <w:tcMar>
            <w:top w:w="28" w:type="dxa"/>
            <w:left w:w="57" w:type="dxa"/>
            <w:bottom w:w="28" w:type="dxa"/>
            <w:right w:w="57" w:type="dxa"/>
          </w:tcMar>
        </w:tcPr>
        <w:p w14:paraId="6C40BC49" w14:textId="77777777" w:rsidR="001F4283" w:rsidRPr="00114EBA" w:rsidRDefault="001F4283" w:rsidP="001F4283">
          <w:pPr>
            <w:spacing w:before="60" w:after="60"/>
            <w:ind w:right="57"/>
            <w:jc w:val="center"/>
            <w:rPr>
              <w:rFonts w:cs="Arial"/>
              <w:bCs/>
              <w:color w:val="F2F2F2"/>
              <w:sz w:val="17"/>
              <w:szCs w:val="17"/>
              <w:lang w:val="en-US"/>
            </w:rPr>
          </w:pPr>
          <w:r w:rsidRPr="00114EBA">
            <w:rPr>
              <w:rFonts w:cs="Arial"/>
              <w:b/>
              <w:bCs/>
              <w:color w:val="FFFFFF"/>
              <w:sz w:val="17"/>
              <w:szCs w:val="17"/>
              <w:lang w:val="en-US"/>
            </w:rPr>
            <w:t xml:space="preserve">This is </w:t>
          </w:r>
          <w:proofErr w:type="gramStart"/>
          <w:r w:rsidRPr="00114EBA">
            <w:rPr>
              <w:rFonts w:cs="Arial"/>
              <w:b/>
              <w:bCs/>
              <w:color w:val="FFFFFF"/>
              <w:sz w:val="17"/>
              <w:szCs w:val="17"/>
              <w:lang w:val="en-US"/>
            </w:rPr>
            <w:t>a</w:t>
          </w:r>
          <w:proofErr w:type="gramEnd"/>
          <w:r w:rsidRPr="00114EBA">
            <w:rPr>
              <w:rFonts w:cs="Arial"/>
              <w:b/>
              <w:bCs/>
              <w:color w:val="FFFFFF"/>
              <w:sz w:val="17"/>
              <w:szCs w:val="17"/>
              <w:lang w:val="en-US"/>
            </w:rPr>
            <w:t xml:space="preserve"> NHS document not to be used for commercial purposes</w:t>
          </w:r>
        </w:p>
      </w:tc>
    </w:tr>
    <w:tr w:rsidR="001F4283" w:rsidRPr="00862949" w14:paraId="73C31C4A" w14:textId="77777777" w:rsidTr="001734BF">
      <w:trPr>
        <w:trHeight w:val="331"/>
      </w:trPr>
      <w:tc>
        <w:tcPr>
          <w:tcW w:w="10774" w:type="dxa"/>
          <w:shd w:val="clear" w:color="auto" w:fill="DAEEF3"/>
          <w:tcMar>
            <w:left w:w="28" w:type="dxa"/>
            <w:right w:w="28" w:type="dxa"/>
          </w:tcMar>
        </w:tcPr>
        <w:p w14:paraId="0E0ED779" w14:textId="77777777" w:rsidR="001F4283" w:rsidRDefault="001F4283" w:rsidP="001F4283">
          <w:pPr>
            <w:spacing w:before="60" w:after="60"/>
            <w:ind w:right="57"/>
            <w:rPr>
              <w:rFonts w:cs="Arial"/>
              <w:bCs/>
              <w:color w:val="000000"/>
              <w:sz w:val="17"/>
              <w:szCs w:val="17"/>
              <w:lang w:val="en-US"/>
            </w:rPr>
          </w:pPr>
          <w:r w:rsidRPr="00114EBA">
            <w:rPr>
              <w:rFonts w:cs="Arial"/>
              <w:bCs/>
              <w:color w:val="00B050"/>
              <w:sz w:val="17"/>
              <w:szCs w:val="17"/>
              <w:lang w:val="en-US"/>
            </w:rPr>
            <w:t>New Medicines</w:t>
          </w:r>
          <w:r w:rsidRPr="00114EBA">
            <w:rPr>
              <w:rFonts w:cs="Arial"/>
              <w:bCs/>
              <w:color w:val="F2F2F2"/>
              <w:sz w:val="17"/>
              <w:szCs w:val="17"/>
              <w:lang w:val="en-US"/>
            </w:rPr>
            <w:t xml:space="preserve"> </w:t>
          </w:r>
          <w:r w:rsidRPr="00114EBA">
            <w:rPr>
              <w:rStyle w:val="Hyperlink"/>
              <w:rFonts w:ascii="Arial" w:hAnsi="Arial"/>
              <w:i/>
              <w:color w:val="0070C0"/>
              <w:sz w:val="17"/>
              <w:szCs w:val="17"/>
              <w:u w:val="none"/>
            </w:rPr>
            <w:t>News</w:t>
          </w:r>
          <w:r w:rsidRPr="00114EBA">
            <w:rPr>
              <w:rFonts w:cs="Arial"/>
              <w:bCs/>
              <w:color w:val="F2F2F2"/>
              <w:sz w:val="17"/>
              <w:szCs w:val="17"/>
              <w:lang w:val="en-US"/>
            </w:rPr>
            <w:t xml:space="preserve"> </w:t>
          </w:r>
          <w:r w:rsidRPr="00114EBA">
            <w:rPr>
              <w:rFonts w:cs="Arial"/>
              <w:bCs/>
              <w:color w:val="000000"/>
              <w:sz w:val="17"/>
              <w:szCs w:val="17"/>
              <w:lang w:val="en-US"/>
            </w:rPr>
            <w:t xml:space="preserve">is one of several horizon scanning resources produced by </w:t>
          </w:r>
          <w:r>
            <w:rPr>
              <w:rFonts w:cs="Arial"/>
              <w:bCs/>
              <w:color w:val="000000"/>
              <w:sz w:val="17"/>
              <w:szCs w:val="17"/>
              <w:lang w:val="en-US"/>
            </w:rPr>
            <w:t>the Specialist Pharmacy Service</w:t>
          </w:r>
          <w:r w:rsidRPr="00114EBA">
            <w:rPr>
              <w:rFonts w:cs="Arial"/>
              <w:bCs/>
              <w:color w:val="000000"/>
              <w:sz w:val="17"/>
              <w:szCs w:val="17"/>
              <w:lang w:val="en-US"/>
            </w:rPr>
            <w:t xml:space="preserve"> to support managed introduction of new medicines into the NHS,</w:t>
          </w:r>
          <w:r w:rsidRPr="00114EBA">
            <w:rPr>
              <w:color w:val="000000"/>
              <w:sz w:val="17"/>
              <w:szCs w:val="17"/>
            </w:rPr>
            <w:t xml:space="preserve"> </w:t>
          </w:r>
          <w:r w:rsidRPr="00114EBA">
            <w:rPr>
              <w:rFonts w:cs="Arial"/>
              <w:bCs/>
              <w:color w:val="000000"/>
              <w:sz w:val="17"/>
              <w:szCs w:val="17"/>
              <w:lang w:val="en-US"/>
            </w:rPr>
            <w:t xml:space="preserve">to help organisations develop medicines management policies and to inform prescribing decisions when a product has been launched. </w:t>
          </w:r>
        </w:p>
        <w:p w14:paraId="6A6D076F" w14:textId="77777777" w:rsidR="001F4283" w:rsidRPr="00114EBA" w:rsidRDefault="001F4283" w:rsidP="001F4283">
          <w:pPr>
            <w:spacing w:before="60" w:after="60"/>
            <w:ind w:right="57"/>
            <w:jc w:val="right"/>
            <w:rPr>
              <w:rFonts w:cs="Arial"/>
              <w:bCs/>
              <w:color w:val="000000"/>
              <w:sz w:val="17"/>
              <w:szCs w:val="17"/>
              <w:lang w:val="en-US"/>
            </w:rPr>
          </w:pPr>
          <w:r w:rsidRPr="00114EBA">
            <w:rPr>
              <w:rFonts w:cs="Arial"/>
              <w:bCs/>
              <w:color w:val="000000"/>
              <w:sz w:val="17"/>
              <w:szCs w:val="17"/>
              <w:lang w:val="en-US"/>
            </w:rPr>
            <w:t>For more information</w:t>
          </w:r>
          <w:r>
            <w:rPr>
              <w:rFonts w:cs="Arial"/>
              <w:bCs/>
              <w:color w:val="000000"/>
              <w:sz w:val="17"/>
              <w:szCs w:val="17"/>
              <w:lang w:val="en-US"/>
            </w:rPr>
            <w:t xml:space="preserve"> or </w:t>
          </w:r>
          <w:r w:rsidRPr="00114EBA">
            <w:rPr>
              <w:rFonts w:cs="Arial"/>
              <w:bCs/>
              <w:color w:val="000000"/>
              <w:sz w:val="17"/>
              <w:szCs w:val="17"/>
              <w:lang w:val="en-US"/>
            </w:rPr>
            <w:t>if you have a question about this newsletter, contact</w:t>
          </w:r>
          <w:r>
            <w:rPr>
              <w:rFonts w:cs="Arial"/>
              <w:bCs/>
              <w:color w:val="000000"/>
              <w:sz w:val="17"/>
              <w:szCs w:val="17"/>
              <w:lang w:val="en-US"/>
            </w:rPr>
            <w:t xml:space="preserve"> </w:t>
          </w:r>
          <w:hyperlink r:id="rId1" w:history="1">
            <w:r w:rsidRPr="00114EBA">
              <w:rPr>
                <w:rStyle w:val="Hyperlink"/>
                <w:rFonts w:ascii="Arial" w:hAnsi="Arial" w:cs="Arial"/>
                <w:bCs/>
                <w:sz w:val="17"/>
                <w:szCs w:val="17"/>
                <w:lang w:val="en-US"/>
              </w:rPr>
              <w:t>nwmedinfo@nhs.net</w:t>
            </w:r>
          </w:hyperlink>
          <w:r w:rsidRPr="00114EBA">
            <w:rPr>
              <w:rFonts w:cs="Arial"/>
              <w:bCs/>
              <w:color w:val="000000"/>
              <w:sz w:val="17"/>
              <w:szCs w:val="17"/>
              <w:lang w:val="en-US"/>
            </w:rPr>
            <w:t>.</w:t>
          </w:r>
        </w:p>
      </w:tc>
    </w:tr>
  </w:tbl>
  <w:p w14:paraId="1F214376" w14:textId="77777777" w:rsidR="000D44DB" w:rsidRPr="00862949" w:rsidRDefault="000D44DB" w:rsidP="00F95449">
    <w:pPr>
      <w:spacing w:before="60" w:after="60"/>
      <w:ind w:left="57" w:right="57"/>
      <w:jc w:val="center"/>
      <w:rPr>
        <w:rFonts w:cs="Arial"/>
        <w:bCs/>
        <w:color w:val="333399"/>
        <w:sz w:val="8"/>
        <w:szCs w:val="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35D6" w14:textId="77777777" w:rsidR="00F21591" w:rsidRDefault="00F21591">
      <w:r>
        <w:separator/>
      </w:r>
    </w:p>
  </w:footnote>
  <w:footnote w:type="continuationSeparator" w:id="0">
    <w:p w14:paraId="5A845BDA" w14:textId="77777777" w:rsidR="00F21591" w:rsidRDefault="00F2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E318" w14:textId="3B670218" w:rsidR="000D44DB" w:rsidRPr="00CD021E" w:rsidRDefault="00CD021E" w:rsidP="009A09B7">
    <w:pPr>
      <w:pStyle w:val="Header"/>
      <w:rPr>
        <w:rFonts w:ascii="Verdana" w:hAnsi="Verdana" w:cs="Arial"/>
        <w:b/>
        <w:bCs/>
        <w:i/>
        <w:color w:val="33CCCC"/>
        <w:sz w:val="52"/>
        <w:szCs w:val="5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216" behindDoc="1" locked="0" layoutInCell="1" allowOverlap="1" wp14:anchorId="74B0A00E" wp14:editId="36F92908">
          <wp:simplePos x="0" y="0"/>
          <wp:positionH relativeFrom="column">
            <wp:posOffset>5715000</wp:posOffset>
          </wp:positionH>
          <wp:positionV relativeFrom="paragraph">
            <wp:posOffset>10795</wp:posOffset>
          </wp:positionV>
          <wp:extent cx="816610" cy="463550"/>
          <wp:effectExtent l="0" t="0" r="2540" b="0"/>
          <wp:wrapTight wrapText="bothSides">
            <wp:wrapPolygon edited="0">
              <wp:start x="0" y="0"/>
              <wp:lineTo x="0" y="20416"/>
              <wp:lineTo x="21163" y="20416"/>
              <wp:lineTo x="21163" y="0"/>
              <wp:lineTo x="0" y="0"/>
            </wp:wrapPolygon>
          </wp:wrapTight>
          <wp:docPr id="18" name="Picture 18" descr="UKMi logo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KMi logo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0FA7D9C6" wp14:editId="355A2772">
          <wp:simplePos x="0" y="0"/>
          <wp:positionH relativeFrom="column">
            <wp:posOffset>5193665</wp:posOffset>
          </wp:positionH>
          <wp:positionV relativeFrom="paragraph">
            <wp:posOffset>116205</wp:posOffset>
          </wp:positionV>
          <wp:extent cx="533400" cy="219075"/>
          <wp:effectExtent l="0" t="0" r="0" b="9525"/>
          <wp:wrapTight wrapText="bothSides">
            <wp:wrapPolygon edited="0">
              <wp:start x="0" y="0"/>
              <wp:lineTo x="0" y="20661"/>
              <wp:lineTo x="20829" y="20661"/>
              <wp:lineTo x="20829" y="0"/>
              <wp:lineTo x="0" y="0"/>
            </wp:wrapPolygon>
          </wp:wrapTight>
          <wp:docPr id="19" name="Picture 19"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EA801D3" wp14:editId="6E5AEB71">
          <wp:extent cx="1075055" cy="467995"/>
          <wp:effectExtent l="0" t="0" r="0" b="8255"/>
          <wp:docPr id="20" name="Picture 20" descr="N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055" cy="467995"/>
                  </a:xfrm>
                  <a:prstGeom prst="rect">
                    <a:avLst/>
                  </a:prstGeom>
                  <a:noFill/>
                  <a:ln>
                    <a:noFill/>
                  </a:ln>
                </pic:spPr>
              </pic:pic>
            </a:graphicData>
          </a:graphic>
        </wp:inline>
      </w:drawing>
    </w:r>
    <w:r w:rsidR="000D44DB" w:rsidRPr="00CD021E">
      <w:rPr>
        <w:rFonts w:ascii="Verdana" w:hAnsi="Verdana" w:cs="Arial"/>
        <w:b/>
        <w:bCs/>
        <w:i/>
        <w:color w:val="33CCCC"/>
        <w:sz w:val="44"/>
        <w:szCs w:val="44"/>
        <w14:shadow w14:blurRad="50800" w14:dist="38100" w14:dir="2700000" w14:sx="100000" w14:sy="100000" w14:kx="0" w14:ky="0" w14:algn="tl">
          <w14:srgbClr w14:val="000000">
            <w14:alpha w14:val="60000"/>
          </w14:srgbClr>
        </w14:shadow>
      </w:rPr>
      <w:t>Newsletter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4F4C" w14:textId="79C82908" w:rsidR="000D44DB" w:rsidRPr="00CD021E" w:rsidRDefault="00A75BCB" w:rsidP="00BA65A9">
    <w:pPr>
      <w:pStyle w:val="Header"/>
      <w:ind w:left="-142"/>
      <w:rPr>
        <w:rFonts w:cs="Arial"/>
        <w:b/>
        <w:bCs/>
        <w:color w:val="244061"/>
        <w:sz w:val="32"/>
        <w:szCs w:val="32"/>
        <w14:shadow w14:blurRad="50800" w14:dist="38100" w14:dir="2700000" w14:sx="100000" w14:sy="100000" w14:kx="0" w14:ky="0" w14:algn="tl">
          <w14:srgbClr w14:val="000000">
            <w14:alpha w14:val="60000"/>
          </w14:srgbClr>
        </w14:shadow>
      </w:rPr>
    </w:pPr>
    <w:r>
      <w:rPr>
        <w:noProof/>
        <w:color w:val="00B050"/>
        <w:sz w:val="32"/>
        <w:szCs w:val="32"/>
      </w:rPr>
      <w:drawing>
        <wp:anchor distT="0" distB="0" distL="114300" distR="114300" simplePos="0" relativeHeight="251654144" behindDoc="0" locked="0" layoutInCell="1" allowOverlap="1" wp14:anchorId="31074E8E" wp14:editId="005D64D9">
          <wp:simplePos x="0" y="0"/>
          <wp:positionH relativeFrom="column">
            <wp:posOffset>6073775</wp:posOffset>
          </wp:positionH>
          <wp:positionV relativeFrom="paragraph">
            <wp:posOffset>-21590</wp:posOffset>
          </wp:positionV>
          <wp:extent cx="521335" cy="213995"/>
          <wp:effectExtent l="0" t="0" r="0" b="0"/>
          <wp:wrapNone/>
          <wp:docPr id="21" name="Picture 21"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A013B" w14:textId="77777777" w:rsidR="000D44DB" w:rsidRPr="00CD021E" w:rsidRDefault="00CD021E" w:rsidP="00C3217F">
    <w:pPr>
      <w:pStyle w:val="Header"/>
      <w:tabs>
        <w:tab w:val="clear" w:pos="8306"/>
        <w:tab w:val="left" w:pos="7830"/>
      </w:tabs>
      <w:ind w:left="-255" w:hanging="142"/>
      <w:rPr>
        <w:rFonts w:cs="Arial"/>
        <w:b/>
        <w:bCs/>
        <w:i/>
        <w:color w:val="244061"/>
        <w:sz w:val="72"/>
        <w:szCs w:val="72"/>
        <w14:shadow w14:blurRad="50800" w14:dist="38100" w14:dir="2700000" w14:sx="100000" w14:sy="100000" w14:kx="0" w14:ky="0" w14:algn="tl">
          <w14:srgbClr w14:val="000000">
            <w14:alpha w14:val="60000"/>
          </w14:srgbClr>
        </w14:shadow>
      </w:rPr>
    </w:pPr>
    <w:r>
      <w:rPr>
        <w:rFonts w:cs="Arial"/>
        <w:b/>
        <w:bCs/>
        <w:noProof/>
        <w:color w:val="00B050"/>
        <w:sz w:val="72"/>
        <w:szCs w:val="72"/>
      </w:rPr>
      <w:drawing>
        <wp:anchor distT="0" distB="0" distL="114300" distR="114300" simplePos="0" relativeHeight="251661312" behindDoc="1" locked="0" layoutInCell="1" allowOverlap="1" wp14:anchorId="077F3594" wp14:editId="363714D0">
          <wp:simplePos x="0" y="0"/>
          <wp:positionH relativeFrom="column">
            <wp:posOffset>-360045</wp:posOffset>
          </wp:positionH>
          <wp:positionV relativeFrom="paragraph">
            <wp:posOffset>34925</wp:posOffset>
          </wp:positionV>
          <wp:extent cx="1051560" cy="448945"/>
          <wp:effectExtent l="0" t="0" r="0" b="825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448945"/>
                  </a:xfrm>
                  <a:prstGeom prst="rect">
                    <a:avLst/>
                  </a:prstGeom>
                  <a:noFill/>
                </pic:spPr>
              </pic:pic>
            </a:graphicData>
          </a:graphic>
          <wp14:sizeRelH relativeFrom="page">
            <wp14:pctWidth>0</wp14:pctWidth>
          </wp14:sizeRelH>
          <wp14:sizeRelV relativeFrom="page">
            <wp14:pctHeight>0</wp14:pctHeight>
          </wp14:sizeRelV>
        </wp:anchor>
      </w:drawing>
    </w:r>
    <w:r w:rsidR="000D44DB" w:rsidRPr="00CD021E">
      <w:rPr>
        <w:rFonts w:cs="Arial"/>
        <w:b/>
        <w:bCs/>
        <w:color w:val="00B050"/>
        <w:sz w:val="72"/>
        <w:szCs w:val="72"/>
        <w14:shadow w14:blurRad="50800" w14:dist="38100" w14:dir="2700000" w14:sx="100000" w14:sy="100000" w14:kx="0" w14:ky="0" w14:algn="tl">
          <w14:srgbClr w14:val="000000">
            <w14:alpha w14:val="60000"/>
          </w14:srgbClr>
        </w14:shadow>
      </w:rPr>
      <w:tab/>
    </w:r>
    <w:r w:rsidR="000D44DB" w:rsidRPr="00CD021E">
      <w:rPr>
        <w:rFonts w:cs="Arial"/>
        <w:b/>
        <w:bCs/>
        <w:color w:val="00B050"/>
        <w:sz w:val="72"/>
        <w:szCs w:val="72"/>
        <w14:shadow w14:blurRad="50800" w14:dist="38100" w14:dir="2700000" w14:sx="100000" w14:sy="100000" w14:kx="0" w14:ky="0" w14:algn="tl">
          <w14:srgbClr w14:val="000000">
            <w14:alpha w14:val="60000"/>
          </w14:srgbClr>
        </w14:shadow>
      </w:rPr>
      <w:tab/>
      <w:t xml:space="preserve">      New Medicines</w:t>
    </w:r>
    <w:r w:rsidR="000D44DB" w:rsidRPr="00CD021E">
      <w:rPr>
        <w:rFonts w:cs="Arial"/>
        <w:b/>
        <w:bCs/>
        <w:i/>
        <w:color w:val="244061"/>
        <w:sz w:val="72"/>
        <w:szCs w:val="72"/>
        <w14:shadow w14:blurRad="50800" w14:dist="38100" w14:dir="2700000" w14:sx="100000" w14:sy="100000" w14:kx="0" w14:ky="0" w14:algn="tl">
          <w14:srgbClr w14:val="000000">
            <w14:alpha w14:val="60000"/>
          </w14:srgbClr>
        </w14:shadow>
      </w:rPr>
      <w:t xml:space="preserve"> </w:t>
    </w:r>
    <w:r w:rsidR="000D44DB" w:rsidRPr="00CD021E">
      <w:rPr>
        <w:rFonts w:cs="Arial"/>
        <w:b/>
        <w:bCs/>
        <w:i/>
        <w:color w:val="0070C0"/>
        <w:sz w:val="72"/>
        <w:szCs w:val="72"/>
        <w14:shadow w14:blurRad="50800" w14:dist="38100" w14:dir="2700000" w14:sx="100000" w14:sy="100000" w14:kx="0" w14:ky="0" w14:algn="tl">
          <w14:srgbClr w14:val="000000">
            <w14:alpha w14:val="60000"/>
          </w14:srgbClr>
        </w14:shadow>
      </w:rPr>
      <w:t>News</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D44DB" w:rsidRPr="00CD021E" w14:paraId="38F0E5D3" w14:textId="77777777" w:rsidTr="002772ED">
      <w:tc>
        <w:tcPr>
          <w:tcW w:w="10774" w:type="dxa"/>
          <w:tcBorders>
            <w:top w:val="nil"/>
            <w:left w:val="nil"/>
            <w:bottom w:val="nil"/>
            <w:right w:val="nil"/>
          </w:tcBorders>
          <w:shd w:val="clear" w:color="auto" w:fill="DAEEF3"/>
        </w:tcPr>
        <w:p w14:paraId="20BE207C" w14:textId="173608DD" w:rsidR="000D44DB" w:rsidRPr="00CD021E" w:rsidRDefault="00F21591" w:rsidP="00EB3E6F">
          <w:pPr>
            <w:pStyle w:val="Header"/>
            <w:spacing w:before="60" w:after="60"/>
            <w:rPr>
              <w:rFonts w:cs="Arial"/>
              <w:b/>
              <w:bCs/>
              <w:color w:val="000000"/>
              <w:sz w:val="36"/>
              <w:szCs w:val="36"/>
              <w14:shadow w14:blurRad="50800" w14:dist="38100" w14:dir="2700000" w14:sx="100000" w14:sy="100000" w14:kx="0" w14:ky="0" w14:algn="tl">
                <w14:srgbClr w14:val="000000">
                  <w14:alpha w14:val="60000"/>
                </w14:srgbClr>
              </w14:shadow>
            </w:rPr>
          </w:pPr>
          <w:r>
            <w:rPr>
              <w:rFonts w:cs="Arial"/>
              <w:b/>
              <w:bCs/>
              <w:color w:val="0070C0"/>
              <w:sz w:val="36"/>
              <w:szCs w:val="36"/>
              <w14:shadow w14:blurRad="50800" w14:dist="38100" w14:dir="2700000" w14:sx="100000" w14:sy="100000" w14:kx="0" w14:ky="0" w14:algn="tl">
                <w14:srgbClr w14:val="000000">
                  <w14:alpha w14:val="60000"/>
                </w14:srgbClr>
              </w14:shadow>
            </w:rPr>
            <w:t xml:space="preserve">November </w:t>
          </w:r>
          <w:r w:rsidR="00A75BCB">
            <w:rPr>
              <w:rFonts w:cs="Arial"/>
              <w:b/>
              <w:bCs/>
              <w:color w:val="0070C0"/>
              <w:sz w:val="36"/>
              <w:szCs w:val="36"/>
              <w14:shadow w14:blurRad="50800" w14:dist="38100" w14:dir="2700000" w14:sx="100000" w14:sy="100000" w14:kx="0" w14:ky="0" w14:algn="tl">
                <w14:srgbClr w14:val="000000">
                  <w14:alpha w14:val="60000"/>
                </w14:srgbClr>
              </w14:shadow>
            </w:rPr>
            <w:t>202</w:t>
          </w:r>
          <w:r w:rsidR="001F4283">
            <w:rPr>
              <w:rFonts w:cs="Arial"/>
              <w:b/>
              <w:bCs/>
              <w:color w:val="0070C0"/>
              <w:sz w:val="36"/>
              <w:szCs w:val="36"/>
              <w14:shadow w14:blurRad="50800" w14:dist="38100" w14:dir="2700000" w14:sx="100000" w14:sy="100000" w14:kx="0" w14:ky="0" w14:algn="tl">
                <w14:srgbClr w14:val="000000">
                  <w14:alpha w14:val="60000"/>
                </w14:srgbClr>
              </w14:shadow>
            </w:rPr>
            <w:t>3</w:t>
          </w:r>
        </w:p>
      </w:tc>
    </w:tr>
    <w:tr w:rsidR="000D44DB" w:rsidRPr="00CD021E" w14:paraId="7EB92804" w14:textId="77777777" w:rsidTr="002772ED">
      <w:tc>
        <w:tcPr>
          <w:tcW w:w="10774" w:type="dxa"/>
          <w:tcBorders>
            <w:top w:val="nil"/>
            <w:left w:val="nil"/>
            <w:bottom w:val="nil"/>
            <w:right w:val="nil"/>
          </w:tcBorders>
          <w:shd w:val="clear" w:color="auto" w:fill="0070C0"/>
        </w:tcPr>
        <w:p w14:paraId="0CADB303" w14:textId="77777777" w:rsidR="000D44DB" w:rsidRPr="00CD021E" w:rsidRDefault="000D44DB" w:rsidP="00395D20">
          <w:pPr>
            <w:pStyle w:val="Header"/>
            <w:tabs>
              <w:tab w:val="clear" w:pos="4153"/>
              <w:tab w:val="clear" w:pos="8306"/>
              <w:tab w:val="left" w:pos="2197"/>
            </w:tabs>
            <w:rPr>
              <w:rFonts w:cs="Arial"/>
              <w:b/>
              <w:bCs/>
              <w:color w:val="0070C0"/>
              <w:sz w:val="8"/>
              <w:szCs w:val="8"/>
              <w14:shadow w14:blurRad="50800" w14:dist="38100" w14:dir="2700000" w14:sx="100000" w14:sy="100000" w14:kx="0" w14:ky="0" w14:algn="tl">
                <w14:srgbClr w14:val="000000">
                  <w14:alpha w14:val="60000"/>
                </w14:srgbClr>
              </w14:shadow>
            </w:rPr>
          </w:pPr>
          <w:r w:rsidRPr="00CD021E">
            <w:rPr>
              <w:rFonts w:cs="Arial"/>
              <w:b/>
              <w:bCs/>
              <w:color w:val="0070C0"/>
              <w:sz w:val="28"/>
              <w:szCs w:val="28"/>
              <w14:shadow w14:blurRad="50800" w14:dist="38100" w14:dir="2700000" w14:sx="100000" w14:sy="100000" w14:kx="0" w14:ky="0" w14:algn="tl">
                <w14:srgbClr w14:val="000000">
                  <w14:alpha w14:val="60000"/>
                </w14:srgbClr>
              </w14:shadow>
            </w:rPr>
            <w:tab/>
          </w:r>
        </w:p>
      </w:tc>
    </w:tr>
    <w:tr w:rsidR="000D44DB" w:rsidRPr="00CD021E" w14:paraId="7FB1C4CF" w14:textId="77777777" w:rsidTr="002772ED">
      <w:tc>
        <w:tcPr>
          <w:tcW w:w="10774" w:type="dxa"/>
          <w:tcBorders>
            <w:top w:val="nil"/>
            <w:left w:val="nil"/>
            <w:bottom w:val="nil"/>
            <w:right w:val="nil"/>
          </w:tcBorders>
          <w:shd w:val="clear" w:color="auto" w:fill="DAEEF3"/>
        </w:tcPr>
        <w:p w14:paraId="20412EEC" w14:textId="77777777" w:rsidR="000D44DB" w:rsidRPr="00C315D6" w:rsidRDefault="00885CAE" w:rsidP="00CB6344">
          <w:pPr>
            <w:pStyle w:val="Header"/>
            <w:tabs>
              <w:tab w:val="clear" w:pos="4153"/>
              <w:tab w:val="clear" w:pos="8306"/>
              <w:tab w:val="left" w:pos="2197"/>
            </w:tabs>
            <w:spacing w:before="120" w:after="120"/>
            <w:rPr>
              <w:rFonts w:cs="Arial"/>
              <w:b/>
              <w:bCs/>
              <w:color w:val="0070C0"/>
              <w:sz w:val="18"/>
              <w:szCs w:val="18"/>
            </w:rPr>
          </w:pPr>
          <w:r w:rsidRPr="009B0BCE">
            <w:rPr>
              <w:rFonts w:cs="Arial"/>
              <w:b/>
              <w:bCs/>
              <w:color w:val="0070C0"/>
              <w:sz w:val="18"/>
              <w:szCs w:val="18"/>
            </w:rPr>
            <w:t xml:space="preserve">This newsletter is produced by </w:t>
          </w:r>
          <w:hyperlink r:id="rId3" w:history="1">
            <w:r w:rsidRPr="00551321">
              <w:rPr>
                <w:rStyle w:val="Hyperlink"/>
                <w:rFonts w:ascii="Arial" w:hAnsi="Arial" w:cs="Arial"/>
                <w:b/>
                <w:bCs/>
              </w:rPr>
              <w:t xml:space="preserve">SPS </w:t>
            </w:r>
            <w:r w:rsidR="003C4624">
              <w:rPr>
                <w:rStyle w:val="Hyperlink"/>
                <w:rFonts w:ascii="Arial" w:hAnsi="Arial" w:cs="Arial"/>
                <w:b/>
                <w:bCs/>
              </w:rPr>
              <w:t>H</w:t>
            </w:r>
            <w:r w:rsidRPr="00551321">
              <w:rPr>
                <w:rStyle w:val="Hyperlink"/>
                <w:rFonts w:ascii="Arial" w:hAnsi="Arial" w:cs="Arial"/>
                <w:b/>
                <w:bCs/>
              </w:rPr>
              <w:t xml:space="preserve">orizon </w:t>
            </w:r>
            <w:r w:rsidR="003C4624">
              <w:rPr>
                <w:rStyle w:val="Hyperlink"/>
                <w:rFonts w:ascii="Arial" w:hAnsi="Arial" w:cs="Arial"/>
                <w:b/>
                <w:bCs/>
              </w:rPr>
              <w:t>S</w:t>
            </w:r>
            <w:r w:rsidRPr="00551321">
              <w:rPr>
                <w:rStyle w:val="Hyperlink"/>
                <w:rFonts w:ascii="Arial" w:hAnsi="Arial" w:cs="Arial"/>
                <w:b/>
                <w:bCs/>
              </w:rPr>
              <w:t>canning</w:t>
            </w:r>
          </w:hyperlink>
          <w:r w:rsidRPr="009B0BCE">
            <w:rPr>
              <w:rFonts w:cs="Arial"/>
              <w:b/>
              <w:bCs/>
              <w:color w:val="0070C0"/>
              <w:sz w:val="18"/>
              <w:szCs w:val="18"/>
            </w:rPr>
            <w:t xml:space="preserve"> and highlights recent</w:t>
          </w:r>
          <w:r>
            <w:rPr>
              <w:rFonts w:cs="Arial"/>
              <w:b/>
              <w:bCs/>
              <w:color w:val="0070C0"/>
              <w:sz w:val="18"/>
              <w:szCs w:val="18"/>
            </w:rPr>
            <w:t xml:space="preserve"> new product launches and </w:t>
          </w:r>
          <w:r w:rsidRPr="009B0BCE">
            <w:rPr>
              <w:rFonts w:cs="Arial"/>
              <w:b/>
              <w:bCs/>
              <w:color w:val="0070C0"/>
              <w:sz w:val="18"/>
              <w:szCs w:val="18"/>
            </w:rPr>
            <w:t xml:space="preserve">medicines regulatory changes. More detailed information on medicines </w:t>
          </w:r>
          <w:r>
            <w:rPr>
              <w:rFonts w:cs="Arial"/>
              <w:b/>
              <w:bCs/>
              <w:color w:val="0070C0"/>
              <w:sz w:val="18"/>
              <w:szCs w:val="18"/>
            </w:rPr>
            <w:t>estimated</w:t>
          </w:r>
          <w:r w:rsidRPr="009B0BCE">
            <w:rPr>
              <w:rFonts w:cs="Arial"/>
              <w:b/>
              <w:bCs/>
              <w:color w:val="0070C0"/>
              <w:sz w:val="18"/>
              <w:szCs w:val="18"/>
            </w:rPr>
            <w:t xml:space="preserve"> to </w:t>
          </w:r>
          <w:r>
            <w:rPr>
              <w:rFonts w:cs="Arial"/>
              <w:b/>
              <w:bCs/>
              <w:color w:val="0070C0"/>
              <w:sz w:val="18"/>
              <w:szCs w:val="18"/>
            </w:rPr>
            <w:t>become available for use</w:t>
          </w:r>
          <w:r w:rsidRPr="009B0BCE">
            <w:rPr>
              <w:rFonts w:cs="Arial"/>
              <w:b/>
              <w:bCs/>
              <w:color w:val="0070C0"/>
              <w:sz w:val="18"/>
              <w:szCs w:val="18"/>
            </w:rPr>
            <w:t xml:space="preserve"> in the next 2</w:t>
          </w:r>
          <w:r>
            <w:rPr>
              <w:rFonts w:cs="Arial"/>
              <w:b/>
              <w:bCs/>
              <w:color w:val="0070C0"/>
              <w:sz w:val="18"/>
              <w:szCs w:val="18"/>
            </w:rPr>
            <w:t xml:space="preserve"> financial years</w:t>
          </w:r>
          <w:r w:rsidRPr="009B0BCE">
            <w:rPr>
              <w:rFonts w:cs="Arial"/>
              <w:b/>
              <w:bCs/>
              <w:color w:val="0070C0"/>
              <w:sz w:val="18"/>
              <w:szCs w:val="18"/>
            </w:rPr>
            <w:t xml:space="preserve"> and on marketed medicines expected to have major new indications approved</w:t>
          </w:r>
          <w:r>
            <w:rPr>
              <w:rFonts w:cs="Arial"/>
              <w:b/>
              <w:bCs/>
              <w:color w:val="0070C0"/>
              <w:sz w:val="18"/>
              <w:szCs w:val="18"/>
            </w:rPr>
            <w:t xml:space="preserve"> is</w:t>
          </w:r>
          <w:r w:rsidRPr="009B0BCE">
            <w:rPr>
              <w:rFonts w:cs="Arial"/>
              <w:b/>
              <w:bCs/>
              <w:color w:val="0070C0"/>
              <w:sz w:val="18"/>
              <w:szCs w:val="18"/>
            </w:rPr>
            <w:t xml:space="preserve"> in </w:t>
          </w:r>
          <w:hyperlink r:id="rId4" w:history="1">
            <w:r w:rsidRPr="009B0BCE">
              <w:rPr>
                <w:rStyle w:val="Hyperlink"/>
                <w:rFonts w:ascii="Arial" w:hAnsi="Arial" w:cs="Arial"/>
                <w:b/>
                <w:bCs/>
              </w:rPr>
              <w:t>Prescribing Outlook</w:t>
            </w:r>
          </w:hyperlink>
          <w:r w:rsidRPr="009B0BCE">
            <w:rPr>
              <w:rFonts w:cs="Arial"/>
              <w:b/>
              <w:bCs/>
              <w:color w:val="0070C0"/>
              <w:sz w:val="18"/>
              <w:szCs w:val="18"/>
            </w:rPr>
            <w:t>.</w:t>
          </w:r>
        </w:p>
      </w:tc>
    </w:tr>
  </w:tbl>
  <w:p w14:paraId="61D8386D" w14:textId="77777777" w:rsidR="000D44DB" w:rsidRPr="00CD021E" w:rsidRDefault="000D44DB" w:rsidP="00A56726">
    <w:pPr>
      <w:pStyle w:val="Header"/>
      <w:rPr>
        <w:rFonts w:cs="Arial"/>
        <w:b/>
        <w:bCs/>
        <w:color w:val="244061"/>
        <w:sz w:val="8"/>
        <w:szCs w:val="8"/>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9BE5" w14:textId="4351FD16" w:rsidR="0090527B" w:rsidRDefault="009052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DC52" w14:textId="07A8AB5E" w:rsidR="0090527B" w:rsidRDefault="00905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76EB" w14:textId="6CC2F8BB" w:rsidR="000D44DB" w:rsidRPr="008F4528" w:rsidRDefault="00A75BCB" w:rsidP="008F4528">
    <w:pPr>
      <w:pStyle w:val="Header"/>
      <w:tabs>
        <w:tab w:val="clear" w:pos="8306"/>
        <w:tab w:val="left" w:pos="7830"/>
      </w:tabs>
      <w:spacing w:before="120"/>
      <w:rPr>
        <w:rFonts w:cs="Arial"/>
        <w:b/>
        <w:bCs/>
        <w:color w:val="00A249"/>
        <w:sz w:val="44"/>
        <w:szCs w:val="44"/>
        <w14:shadow w14:blurRad="50800" w14:dist="38100" w14:dir="2700000" w14:sx="100000" w14:sy="100000" w14:kx="0" w14:ky="0" w14:algn="tl">
          <w14:srgbClr w14:val="000000">
            <w14:alpha w14:val="60000"/>
          </w14:srgbClr>
        </w14:shadow>
      </w:rPr>
    </w:pPr>
    <w:r>
      <w:rPr>
        <w:rFonts w:cs="Arial"/>
        <w:noProof/>
        <w:color w:val="00A249"/>
        <w:sz w:val="40"/>
        <w:szCs w:val="40"/>
      </w:rPr>
      <w:drawing>
        <wp:anchor distT="0" distB="0" distL="114300" distR="114300" simplePos="0" relativeHeight="251658240" behindDoc="0" locked="0" layoutInCell="1" allowOverlap="1" wp14:anchorId="29ECE66F" wp14:editId="005102E6">
          <wp:simplePos x="0" y="0"/>
          <wp:positionH relativeFrom="column">
            <wp:posOffset>6182360</wp:posOffset>
          </wp:positionH>
          <wp:positionV relativeFrom="paragraph">
            <wp:posOffset>93345</wp:posOffset>
          </wp:positionV>
          <wp:extent cx="469265" cy="192405"/>
          <wp:effectExtent l="0" t="0" r="6985" b="0"/>
          <wp:wrapNone/>
          <wp:docPr id="8" name="Picture 8"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21E">
      <w:rPr>
        <w:noProof/>
      </w:rPr>
      <w:drawing>
        <wp:anchor distT="0" distB="0" distL="114300" distR="114300" simplePos="0" relativeHeight="251660288" behindDoc="0" locked="0" layoutInCell="1" allowOverlap="1" wp14:anchorId="089E6A76" wp14:editId="4066E923">
          <wp:simplePos x="0" y="0"/>
          <wp:positionH relativeFrom="column">
            <wp:posOffset>-286385</wp:posOffset>
          </wp:positionH>
          <wp:positionV relativeFrom="paragraph">
            <wp:posOffset>8890</wp:posOffset>
          </wp:positionV>
          <wp:extent cx="940435" cy="401955"/>
          <wp:effectExtent l="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01955"/>
                  </a:xfrm>
                  <a:prstGeom prst="rect">
                    <a:avLst/>
                  </a:prstGeom>
                  <a:noFill/>
                </pic:spPr>
              </pic:pic>
            </a:graphicData>
          </a:graphic>
          <wp14:sizeRelH relativeFrom="page">
            <wp14:pctWidth>0</wp14:pctWidth>
          </wp14:sizeRelH>
          <wp14:sizeRelV relativeFrom="page">
            <wp14:pctHeight>0</wp14:pctHeight>
          </wp14:sizeRelV>
        </wp:anchor>
      </w:drawing>
    </w:r>
    <w:r w:rsidR="000D44DB" w:rsidRPr="00CD021E">
      <w:rPr>
        <w:rFonts w:cs="Arial"/>
        <w:b/>
        <w:bCs/>
        <w:color w:val="00A249"/>
        <w:sz w:val="44"/>
        <w:szCs w:val="44"/>
        <w14:shadow w14:blurRad="50800" w14:dist="38100" w14:dir="2700000" w14:sx="100000" w14:sy="100000" w14:kx="0" w14:ky="0" w14:algn="tl">
          <w14:srgbClr w14:val="000000">
            <w14:alpha w14:val="60000"/>
          </w14:srgbClr>
        </w14:shadow>
      </w:rPr>
      <w:t>New Medicines</w:t>
    </w:r>
    <w:r w:rsidR="000D44DB" w:rsidRPr="00CD021E">
      <w:rPr>
        <w:rFonts w:cs="Arial"/>
        <w:b/>
        <w:bCs/>
        <w:i/>
        <w:color w:val="244061"/>
        <w:sz w:val="44"/>
        <w:szCs w:val="44"/>
        <w14:shadow w14:blurRad="50800" w14:dist="38100" w14:dir="2700000" w14:sx="100000" w14:sy="100000" w14:kx="0" w14:ky="0" w14:algn="tl">
          <w14:srgbClr w14:val="000000">
            <w14:alpha w14:val="60000"/>
          </w14:srgbClr>
        </w14:shadow>
      </w:rPr>
      <w:t xml:space="preserve"> </w:t>
    </w:r>
    <w:r w:rsidR="000D44DB" w:rsidRPr="00CD021E">
      <w:rPr>
        <w:rFonts w:cs="Arial"/>
        <w:b/>
        <w:bCs/>
        <w:i/>
        <w:color w:val="0070C0"/>
        <w:sz w:val="44"/>
        <w:szCs w:val="44"/>
        <w14:shadow w14:blurRad="50800" w14:dist="38100" w14:dir="2700000" w14:sx="100000" w14:sy="100000" w14:kx="0" w14:ky="0" w14:algn="tl">
          <w14:srgbClr w14:val="000000">
            <w14:alpha w14:val="60000"/>
          </w14:srgbClr>
        </w14:shadow>
      </w:rPr>
      <w:t>News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8899" w14:textId="0EDB21B4" w:rsidR="0090527B" w:rsidRDefault="0090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E6EF9"/>
    <w:multiLevelType w:val="multilevel"/>
    <w:tmpl w:val="29F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55FA1"/>
    <w:multiLevelType w:val="hybridMultilevel"/>
    <w:tmpl w:val="BCF48EAE"/>
    <w:lvl w:ilvl="0" w:tplc="1AB04B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179611">
    <w:abstractNumId w:val="1"/>
  </w:num>
  <w:num w:numId="2" w16cid:durableId="1966347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91"/>
    <w:rsid w:val="0000035C"/>
    <w:rsid w:val="000005B6"/>
    <w:rsid w:val="000005EF"/>
    <w:rsid w:val="00000A0A"/>
    <w:rsid w:val="00000BE4"/>
    <w:rsid w:val="00000F87"/>
    <w:rsid w:val="0000199C"/>
    <w:rsid w:val="00001F19"/>
    <w:rsid w:val="0000290B"/>
    <w:rsid w:val="00002A08"/>
    <w:rsid w:val="00003329"/>
    <w:rsid w:val="00003421"/>
    <w:rsid w:val="000034B3"/>
    <w:rsid w:val="00003C95"/>
    <w:rsid w:val="00003D95"/>
    <w:rsid w:val="000042E9"/>
    <w:rsid w:val="00004488"/>
    <w:rsid w:val="00005014"/>
    <w:rsid w:val="00005119"/>
    <w:rsid w:val="00005271"/>
    <w:rsid w:val="000052F0"/>
    <w:rsid w:val="00005673"/>
    <w:rsid w:val="00005703"/>
    <w:rsid w:val="000057D2"/>
    <w:rsid w:val="00005CE9"/>
    <w:rsid w:val="00006527"/>
    <w:rsid w:val="000065F4"/>
    <w:rsid w:val="000072EC"/>
    <w:rsid w:val="0000751E"/>
    <w:rsid w:val="000075ED"/>
    <w:rsid w:val="0000769C"/>
    <w:rsid w:val="000102A1"/>
    <w:rsid w:val="000102E8"/>
    <w:rsid w:val="00010447"/>
    <w:rsid w:val="0001067C"/>
    <w:rsid w:val="00010B1D"/>
    <w:rsid w:val="00011176"/>
    <w:rsid w:val="000111C5"/>
    <w:rsid w:val="00011456"/>
    <w:rsid w:val="000114B1"/>
    <w:rsid w:val="00011D4B"/>
    <w:rsid w:val="00011E5B"/>
    <w:rsid w:val="00012B74"/>
    <w:rsid w:val="00012BA7"/>
    <w:rsid w:val="00012DCA"/>
    <w:rsid w:val="00012E19"/>
    <w:rsid w:val="00012E28"/>
    <w:rsid w:val="000131A0"/>
    <w:rsid w:val="000132A0"/>
    <w:rsid w:val="00013575"/>
    <w:rsid w:val="000135BF"/>
    <w:rsid w:val="00013853"/>
    <w:rsid w:val="00013B16"/>
    <w:rsid w:val="00013CD9"/>
    <w:rsid w:val="00013E21"/>
    <w:rsid w:val="00014028"/>
    <w:rsid w:val="00014115"/>
    <w:rsid w:val="00014240"/>
    <w:rsid w:val="0001441B"/>
    <w:rsid w:val="0001458E"/>
    <w:rsid w:val="00014631"/>
    <w:rsid w:val="00014657"/>
    <w:rsid w:val="000148ED"/>
    <w:rsid w:val="00014AFE"/>
    <w:rsid w:val="00015455"/>
    <w:rsid w:val="000158C2"/>
    <w:rsid w:val="00015915"/>
    <w:rsid w:val="000159C6"/>
    <w:rsid w:val="00015A48"/>
    <w:rsid w:val="00015B43"/>
    <w:rsid w:val="000165BE"/>
    <w:rsid w:val="000166D7"/>
    <w:rsid w:val="0001694F"/>
    <w:rsid w:val="00016C87"/>
    <w:rsid w:val="00016CDC"/>
    <w:rsid w:val="00016E17"/>
    <w:rsid w:val="000171BC"/>
    <w:rsid w:val="000173BA"/>
    <w:rsid w:val="0001791D"/>
    <w:rsid w:val="00017CA2"/>
    <w:rsid w:val="00017D66"/>
    <w:rsid w:val="00020261"/>
    <w:rsid w:val="000202B3"/>
    <w:rsid w:val="000202FE"/>
    <w:rsid w:val="000203F6"/>
    <w:rsid w:val="000207FB"/>
    <w:rsid w:val="00020D00"/>
    <w:rsid w:val="00020EDD"/>
    <w:rsid w:val="0002143C"/>
    <w:rsid w:val="0002181A"/>
    <w:rsid w:val="000225BB"/>
    <w:rsid w:val="000225EE"/>
    <w:rsid w:val="0002265E"/>
    <w:rsid w:val="0002269F"/>
    <w:rsid w:val="00022775"/>
    <w:rsid w:val="0002291B"/>
    <w:rsid w:val="000229C8"/>
    <w:rsid w:val="00022CCE"/>
    <w:rsid w:val="00022FB9"/>
    <w:rsid w:val="0002372C"/>
    <w:rsid w:val="00023B87"/>
    <w:rsid w:val="00023E2E"/>
    <w:rsid w:val="00023FBB"/>
    <w:rsid w:val="00025142"/>
    <w:rsid w:val="00025A1E"/>
    <w:rsid w:val="00025AD9"/>
    <w:rsid w:val="00025B8F"/>
    <w:rsid w:val="00026E35"/>
    <w:rsid w:val="00026FAE"/>
    <w:rsid w:val="0002715B"/>
    <w:rsid w:val="00027AC3"/>
    <w:rsid w:val="00027B21"/>
    <w:rsid w:val="00027C1C"/>
    <w:rsid w:val="00027D1D"/>
    <w:rsid w:val="00027E7C"/>
    <w:rsid w:val="00030002"/>
    <w:rsid w:val="0003000F"/>
    <w:rsid w:val="000305BA"/>
    <w:rsid w:val="00030663"/>
    <w:rsid w:val="0003082E"/>
    <w:rsid w:val="0003092A"/>
    <w:rsid w:val="00030ADE"/>
    <w:rsid w:val="00030B98"/>
    <w:rsid w:val="00030E87"/>
    <w:rsid w:val="00031218"/>
    <w:rsid w:val="00031336"/>
    <w:rsid w:val="00031909"/>
    <w:rsid w:val="00031E46"/>
    <w:rsid w:val="000320DC"/>
    <w:rsid w:val="000322AB"/>
    <w:rsid w:val="000327BA"/>
    <w:rsid w:val="00032BD9"/>
    <w:rsid w:val="0003313C"/>
    <w:rsid w:val="00033349"/>
    <w:rsid w:val="0003344C"/>
    <w:rsid w:val="000341CF"/>
    <w:rsid w:val="0003447E"/>
    <w:rsid w:val="0003499B"/>
    <w:rsid w:val="00034BCE"/>
    <w:rsid w:val="00034E8C"/>
    <w:rsid w:val="00035436"/>
    <w:rsid w:val="0003552B"/>
    <w:rsid w:val="00035B23"/>
    <w:rsid w:val="00035CA7"/>
    <w:rsid w:val="00035D82"/>
    <w:rsid w:val="00035DBD"/>
    <w:rsid w:val="00036A16"/>
    <w:rsid w:val="000373F3"/>
    <w:rsid w:val="0003742D"/>
    <w:rsid w:val="000374FF"/>
    <w:rsid w:val="000375C8"/>
    <w:rsid w:val="000378F6"/>
    <w:rsid w:val="000379EB"/>
    <w:rsid w:val="00037AE9"/>
    <w:rsid w:val="00037BAB"/>
    <w:rsid w:val="00037BE4"/>
    <w:rsid w:val="00040013"/>
    <w:rsid w:val="0004019A"/>
    <w:rsid w:val="000401A1"/>
    <w:rsid w:val="00040734"/>
    <w:rsid w:val="00040B83"/>
    <w:rsid w:val="00040CA3"/>
    <w:rsid w:val="000416FC"/>
    <w:rsid w:val="00041AC8"/>
    <w:rsid w:val="00041BDC"/>
    <w:rsid w:val="0004243E"/>
    <w:rsid w:val="000427D5"/>
    <w:rsid w:val="00042CCD"/>
    <w:rsid w:val="00043342"/>
    <w:rsid w:val="000435DE"/>
    <w:rsid w:val="00043A2D"/>
    <w:rsid w:val="00043ED2"/>
    <w:rsid w:val="00044148"/>
    <w:rsid w:val="00044204"/>
    <w:rsid w:val="00044475"/>
    <w:rsid w:val="00044C33"/>
    <w:rsid w:val="000452E2"/>
    <w:rsid w:val="00045745"/>
    <w:rsid w:val="0004575D"/>
    <w:rsid w:val="000457B4"/>
    <w:rsid w:val="00045D5B"/>
    <w:rsid w:val="00045DDF"/>
    <w:rsid w:val="0004601F"/>
    <w:rsid w:val="00046375"/>
    <w:rsid w:val="00046777"/>
    <w:rsid w:val="00046C42"/>
    <w:rsid w:val="00046CCE"/>
    <w:rsid w:val="0004702B"/>
    <w:rsid w:val="0004733A"/>
    <w:rsid w:val="00047608"/>
    <w:rsid w:val="00050249"/>
    <w:rsid w:val="000507C3"/>
    <w:rsid w:val="00050920"/>
    <w:rsid w:val="0005105D"/>
    <w:rsid w:val="000515F0"/>
    <w:rsid w:val="00051791"/>
    <w:rsid w:val="000518A6"/>
    <w:rsid w:val="000519EA"/>
    <w:rsid w:val="00051B61"/>
    <w:rsid w:val="00051F32"/>
    <w:rsid w:val="000523FE"/>
    <w:rsid w:val="00052436"/>
    <w:rsid w:val="000529B6"/>
    <w:rsid w:val="00052AD4"/>
    <w:rsid w:val="00052BA6"/>
    <w:rsid w:val="00053F21"/>
    <w:rsid w:val="00054462"/>
    <w:rsid w:val="0005460C"/>
    <w:rsid w:val="00056696"/>
    <w:rsid w:val="000566A1"/>
    <w:rsid w:val="00056809"/>
    <w:rsid w:val="00056DB0"/>
    <w:rsid w:val="000570FC"/>
    <w:rsid w:val="0005783A"/>
    <w:rsid w:val="00057C03"/>
    <w:rsid w:val="00057FA2"/>
    <w:rsid w:val="0006026C"/>
    <w:rsid w:val="0006036B"/>
    <w:rsid w:val="00060AC6"/>
    <w:rsid w:val="00060BB0"/>
    <w:rsid w:val="0006109A"/>
    <w:rsid w:val="0006141D"/>
    <w:rsid w:val="00061A5F"/>
    <w:rsid w:val="00061B9D"/>
    <w:rsid w:val="00061FEF"/>
    <w:rsid w:val="00062740"/>
    <w:rsid w:val="00062834"/>
    <w:rsid w:val="00062B47"/>
    <w:rsid w:val="00062F98"/>
    <w:rsid w:val="0006320B"/>
    <w:rsid w:val="00063C19"/>
    <w:rsid w:val="000646B3"/>
    <w:rsid w:val="00064C77"/>
    <w:rsid w:val="00064E8C"/>
    <w:rsid w:val="00064EB7"/>
    <w:rsid w:val="00064EF7"/>
    <w:rsid w:val="0006514E"/>
    <w:rsid w:val="000652C1"/>
    <w:rsid w:val="00065458"/>
    <w:rsid w:val="00066145"/>
    <w:rsid w:val="0006622F"/>
    <w:rsid w:val="00066787"/>
    <w:rsid w:val="00066A42"/>
    <w:rsid w:val="00066B48"/>
    <w:rsid w:val="00067279"/>
    <w:rsid w:val="000672F8"/>
    <w:rsid w:val="0006730B"/>
    <w:rsid w:val="00067942"/>
    <w:rsid w:val="00067D4E"/>
    <w:rsid w:val="00067D5B"/>
    <w:rsid w:val="000702DB"/>
    <w:rsid w:val="00070948"/>
    <w:rsid w:val="00070A7A"/>
    <w:rsid w:val="00071178"/>
    <w:rsid w:val="0007155B"/>
    <w:rsid w:val="000719B7"/>
    <w:rsid w:val="00071A86"/>
    <w:rsid w:val="00071BD9"/>
    <w:rsid w:val="00071DB1"/>
    <w:rsid w:val="0007203F"/>
    <w:rsid w:val="0007204B"/>
    <w:rsid w:val="00072F47"/>
    <w:rsid w:val="00073808"/>
    <w:rsid w:val="00074396"/>
    <w:rsid w:val="0007446E"/>
    <w:rsid w:val="00074745"/>
    <w:rsid w:val="00074951"/>
    <w:rsid w:val="00074F67"/>
    <w:rsid w:val="000752E8"/>
    <w:rsid w:val="000755B8"/>
    <w:rsid w:val="00075D05"/>
    <w:rsid w:val="00075D4B"/>
    <w:rsid w:val="0007679E"/>
    <w:rsid w:val="00077371"/>
    <w:rsid w:val="00077C0C"/>
    <w:rsid w:val="00080116"/>
    <w:rsid w:val="000808F9"/>
    <w:rsid w:val="00080A6B"/>
    <w:rsid w:val="00080EE8"/>
    <w:rsid w:val="0008125C"/>
    <w:rsid w:val="00081277"/>
    <w:rsid w:val="000813E4"/>
    <w:rsid w:val="00081417"/>
    <w:rsid w:val="0008159C"/>
    <w:rsid w:val="0008195B"/>
    <w:rsid w:val="00081CFF"/>
    <w:rsid w:val="0008258A"/>
    <w:rsid w:val="00082DF6"/>
    <w:rsid w:val="00082E64"/>
    <w:rsid w:val="0008303B"/>
    <w:rsid w:val="00083231"/>
    <w:rsid w:val="000834AE"/>
    <w:rsid w:val="00083FAC"/>
    <w:rsid w:val="0008405B"/>
    <w:rsid w:val="00084760"/>
    <w:rsid w:val="00085268"/>
    <w:rsid w:val="00085475"/>
    <w:rsid w:val="0008576B"/>
    <w:rsid w:val="000858D1"/>
    <w:rsid w:val="000859AA"/>
    <w:rsid w:val="00085A04"/>
    <w:rsid w:val="00085C5D"/>
    <w:rsid w:val="00085CCC"/>
    <w:rsid w:val="00085DA5"/>
    <w:rsid w:val="000863E2"/>
    <w:rsid w:val="000864A2"/>
    <w:rsid w:val="0008668D"/>
    <w:rsid w:val="00086F97"/>
    <w:rsid w:val="00087308"/>
    <w:rsid w:val="00087474"/>
    <w:rsid w:val="0008785C"/>
    <w:rsid w:val="00087A3E"/>
    <w:rsid w:val="00090233"/>
    <w:rsid w:val="000906FB"/>
    <w:rsid w:val="000907E5"/>
    <w:rsid w:val="00091245"/>
    <w:rsid w:val="00091EAA"/>
    <w:rsid w:val="00092238"/>
    <w:rsid w:val="0009266A"/>
    <w:rsid w:val="00092AEC"/>
    <w:rsid w:val="000933A6"/>
    <w:rsid w:val="00093CB7"/>
    <w:rsid w:val="0009414D"/>
    <w:rsid w:val="00094388"/>
    <w:rsid w:val="00094B31"/>
    <w:rsid w:val="00094FC6"/>
    <w:rsid w:val="0009514E"/>
    <w:rsid w:val="0009515F"/>
    <w:rsid w:val="000951E1"/>
    <w:rsid w:val="000954DD"/>
    <w:rsid w:val="000955AC"/>
    <w:rsid w:val="000957EA"/>
    <w:rsid w:val="00095818"/>
    <w:rsid w:val="00095974"/>
    <w:rsid w:val="00095B4D"/>
    <w:rsid w:val="00095EE7"/>
    <w:rsid w:val="00095EF9"/>
    <w:rsid w:val="000966BB"/>
    <w:rsid w:val="00096800"/>
    <w:rsid w:val="00096BBF"/>
    <w:rsid w:val="00096C4B"/>
    <w:rsid w:val="0009792A"/>
    <w:rsid w:val="00097B79"/>
    <w:rsid w:val="00097E17"/>
    <w:rsid w:val="000A0040"/>
    <w:rsid w:val="000A02AD"/>
    <w:rsid w:val="000A0B38"/>
    <w:rsid w:val="000A1199"/>
    <w:rsid w:val="000A22E9"/>
    <w:rsid w:val="000A241E"/>
    <w:rsid w:val="000A2810"/>
    <w:rsid w:val="000A289B"/>
    <w:rsid w:val="000A2C52"/>
    <w:rsid w:val="000A2E37"/>
    <w:rsid w:val="000A36D0"/>
    <w:rsid w:val="000A3B1E"/>
    <w:rsid w:val="000A41D4"/>
    <w:rsid w:val="000A421F"/>
    <w:rsid w:val="000A4BCB"/>
    <w:rsid w:val="000A4BE4"/>
    <w:rsid w:val="000A5077"/>
    <w:rsid w:val="000A50F2"/>
    <w:rsid w:val="000A534D"/>
    <w:rsid w:val="000A5ABE"/>
    <w:rsid w:val="000A5B0D"/>
    <w:rsid w:val="000A60E1"/>
    <w:rsid w:val="000A60F4"/>
    <w:rsid w:val="000A61FB"/>
    <w:rsid w:val="000A7A40"/>
    <w:rsid w:val="000A7AD6"/>
    <w:rsid w:val="000A7C5A"/>
    <w:rsid w:val="000B001D"/>
    <w:rsid w:val="000B015F"/>
    <w:rsid w:val="000B0274"/>
    <w:rsid w:val="000B038E"/>
    <w:rsid w:val="000B08CB"/>
    <w:rsid w:val="000B08D1"/>
    <w:rsid w:val="000B0A95"/>
    <w:rsid w:val="000B0ADF"/>
    <w:rsid w:val="000B0C23"/>
    <w:rsid w:val="000B18C2"/>
    <w:rsid w:val="000B1AAB"/>
    <w:rsid w:val="000B1C18"/>
    <w:rsid w:val="000B1C59"/>
    <w:rsid w:val="000B2C16"/>
    <w:rsid w:val="000B2FC7"/>
    <w:rsid w:val="000B310F"/>
    <w:rsid w:val="000B38C0"/>
    <w:rsid w:val="000B3DAA"/>
    <w:rsid w:val="000B3EEB"/>
    <w:rsid w:val="000B466E"/>
    <w:rsid w:val="000B4681"/>
    <w:rsid w:val="000B4763"/>
    <w:rsid w:val="000B4E20"/>
    <w:rsid w:val="000B4EDC"/>
    <w:rsid w:val="000B5120"/>
    <w:rsid w:val="000B515F"/>
    <w:rsid w:val="000B5605"/>
    <w:rsid w:val="000B57AA"/>
    <w:rsid w:val="000B5AF8"/>
    <w:rsid w:val="000B5F2C"/>
    <w:rsid w:val="000B6184"/>
    <w:rsid w:val="000B6843"/>
    <w:rsid w:val="000B6EB2"/>
    <w:rsid w:val="000B706F"/>
    <w:rsid w:val="000B77F8"/>
    <w:rsid w:val="000B78CC"/>
    <w:rsid w:val="000B7AE2"/>
    <w:rsid w:val="000C0203"/>
    <w:rsid w:val="000C041C"/>
    <w:rsid w:val="000C091B"/>
    <w:rsid w:val="000C0F48"/>
    <w:rsid w:val="000C0F5C"/>
    <w:rsid w:val="000C1356"/>
    <w:rsid w:val="000C18D0"/>
    <w:rsid w:val="000C1FB5"/>
    <w:rsid w:val="000C20E9"/>
    <w:rsid w:val="000C2555"/>
    <w:rsid w:val="000C25C3"/>
    <w:rsid w:val="000C2DF1"/>
    <w:rsid w:val="000C3692"/>
    <w:rsid w:val="000C37AC"/>
    <w:rsid w:val="000C3B1F"/>
    <w:rsid w:val="000C43D9"/>
    <w:rsid w:val="000C44B7"/>
    <w:rsid w:val="000C458C"/>
    <w:rsid w:val="000C4D1E"/>
    <w:rsid w:val="000C5329"/>
    <w:rsid w:val="000C5D43"/>
    <w:rsid w:val="000C5F42"/>
    <w:rsid w:val="000C60E6"/>
    <w:rsid w:val="000C6548"/>
    <w:rsid w:val="000C6591"/>
    <w:rsid w:val="000C6D2E"/>
    <w:rsid w:val="000C709F"/>
    <w:rsid w:val="000C72CA"/>
    <w:rsid w:val="000C7872"/>
    <w:rsid w:val="000C7AFF"/>
    <w:rsid w:val="000C7BA9"/>
    <w:rsid w:val="000C7C7C"/>
    <w:rsid w:val="000C7CAA"/>
    <w:rsid w:val="000D0476"/>
    <w:rsid w:val="000D04C1"/>
    <w:rsid w:val="000D0624"/>
    <w:rsid w:val="000D0DF7"/>
    <w:rsid w:val="000D0E50"/>
    <w:rsid w:val="000D1171"/>
    <w:rsid w:val="000D13A6"/>
    <w:rsid w:val="000D2113"/>
    <w:rsid w:val="000D2266"/>
    <w:rsid w:val="000D2736"/>
    <w:rsid w:val="000D2C27"/>
    <w:rsid w:val="000D30E7"/>
    <w:rsid w:val="000D35F7"/>
    <w:rsid w:val="000D3646"/>
    <w:rsid w:val="000D3760"/>
    <w:rsid w:val="000D3BCC"/>
    <w:rsid w:val="000D43AC"/>
    <w:rsid w:val="000D44DB"/>
    <w:rsid w:val="000D4645"/>
    <w:rsid w:val="000D467B"/>
    <w:rsid w:val="000D58C9"/>
    <w:rsid w:val="000D5DA8"/>
    <w:rsid w:val="000D5F42"/>
    <w:rsid w:val="000D62F3"/>
    <w:rsid w:val="000D6630"/>
    <w:rsid w:val="000D682D"/>
    <w:rsid w:val="000D7E24"/>
    <w:rsid w:val="000D7EAD"/>
    <w:rsid w:val="000E06CA"/>
    <w:rsid w:val="000E07FC"/>
    <w:rsid w:val="000E0B79"/>
    <w:rsid w:val="000E0C92"/>
    <w:rsid w:val="000E0D69"/>
    <w:rsid w:val="000E0ECF"/>
    <w:rsid w:val="000E0F57"/>
    <w:rsid w:val="000E12A8"/>
    <w:rsid w:val="000E184E"/>
    <w:rsid w:val="000E1A44"/>
    <w:rsid w:val="000E1DE0"/>
    <w:rsid w:val="000E21D3"/>
    <w:rsid w:val="000E247B"/>
    <w:rsid w:val="000E247C"/>
    <w:rsid w:val="000E25FD"/>
    <w:rsid w:val="000E27E9"/>
    <w:rsid w:val="000E2A6C"/>
    <w:rsid w:val="000E2DC9"/>
    <w:rsid w:val="000E2E4B"/>
    <w:rsid w:val="000E2FF1"/>
    <w:rsid w:val="000E3DFD"/>
    <w:rsid w:val="000E4477"/>
    <w:rsid w:val="000E45E9"/>
    <w:rsid w:val="000E4A24"/>
    <w:rsid w:val="000E5217"/>
    <w:rsid w:val="000E5C17"/>
    <w:rsid w:val="000E6471"/>
    <w:rsid w:val="000E69A5"/>
    <w:rsid w:val="000E721B"/>
    <w:rsid w:val="000E74D2"/>
    <w:rsid w:val="000E789D"/>
    <w:rsid w:val="000F0055"/>
    <w:rsid w:val="000F0481"/>
    <w:rsid w:val="000F04BF"/>
    <w:rsid w:val="000F0699"/>
    <w:rsid w:val="000F078E"/>
    <w:rsid w:val="000F0BA2"/>
    <w:rsid w:val="000F0F98"/>
    <w:rsid w:val="000F1485"/>
    <w:rsid w:val="000F19E1"/>
    <w:rsid w:val="000F1B61"/>
    <w:rsid w:val="000F2032"/>
    <w:rsid w:val="000F22ED"/>
    <w:rsid w:val="000F2362"/>
    <w:rsid w:val="000F35A9"/>
    <w:rsid w:val="000F377A"/>
    <w:rsid w:val="000F3964"/>
    <w:rsid w:val="000F3BFE"/>
    <w:rsid w:val="000F3C1E"/>
    <w:rsid w:val="000F3DE4"/>
    <w:rsid w:val="000F3EC1"/>
    <w:rsid w:val="000F40FF"/>
    <w:rsid w:val="000F4C32"/>
    <w:rsid w:val="000F4C9B"/>
    <w:rsid w:val="000F52A7"/>
    <w:rsid w:val="000F58A1"/>
    <w:rsid w:val="000F5AA4"/>
    <w:rsid w:val="000F5AC6"/>
    <w:rsid w:val="000F5C5A"/>
    <w:rsid w:val="000F5D25"/>
    <w:rsid w:val="000F613C"/>
    <w:rsid w:val="000F6985"/>
    <w:rsid w:val="000F715A"/>
    <w:rsid w:val="000F72CB"/>
    <w:rsid w:val="000F7AE5"/>
    <w:rsid w:val="000F7B5F"/>
    <w:rsid w:val="001007E8"/>
    <w:rsid w:val="0010093F"/>
    <w:rsid w:val="00100AA8"/>
    <w:rsid w:val="00100B3E"/>
    <w:rsid w:val="0010109D"/>
    <w:rsid w:val="00101327"/>
    <w:rsid w:val="001017B0"/>
    <w:rsid w:val="00101A41"/>
    <w:rsid w:val="0010229B"/>
    <w:rsid w:val="00102869"/>
    <w:rsid w:val="00102BB5"/>
    <w:rsid w:val="001036A5"/>
    <w:rsid w:val="001044CC"/>
    <w:rsid w:val="00104591"/>
    <w:rsid w:val="00104765"/>
    <w:rsid w:val="00104B62"/>
    <w:rsid w:val="00104CAF"/>
    <w:rsid w:val="00104F3E"/>
    <w:rsid w:val="00105230"/>
    <w:rsid w:val="001054D4"/>
    <w:rsid w:val="00105520"/>
    <w:rsid w:val="0010589B"/>
    <w:rsid w:val="00105BB1"/>
    <w:rsid w:val="00105C0B"/>
    <w:rsid w:val="00105CAF"/>
    <w:rsid w:val="0010629A"/>
    <w:rsid w:val="00106609"/>
    <w:rsid w:val="00106691"/>
    <w:rsid w:val="00107637"/>
    <w:rsid w:val="001079F5"/>
    <w:rsid w:val="00107BCE"/>
    <w:rsid w:val="00107E98"/>
    <w:rsid w:val="00110139"/>
    <w:rsid w:val="001108F9"/>
    <w:rsid w:val="00110B0E"/>
    <w:rsid w:val="00110D86"/>
    <w:rsid w:val="00110E83"/>
    <w:rsid w:val="00110F6A"/>
    <w:rsid w:val="00111092"/>
    <w:rsid w:val="00111226"/>
    <w:rsid w:val="00111231"/>
    <w:rsid w:val="00111769"/>
    <w:rsid w:val="00111903"/>
    <w:rsid w:val="001119E0"/>
    <w:rsid w:val="001122A8"/>
    <w:rsid w:val="00112340"/>
    <w:rsid w:val="00112FE4"/>
    <w:rsid w:val="0011301C"/>
    <w:rsid w:val="0011309C"/>
    <w:rsid w:val="00113644"/>
    <w:rsid w:val="00113D17"/>
    <w:rsid w:val="00113E55"/>
    <w:rsid w:val="00113F26"/>
    <w:rsid w:val="0011452F"/>
    <w:rsid w:val="001146D7"/>
    <w:rsid w:val="00114791"/>
    <w:rsid w:val="001149FA"/>
    <w:rsid w:val="00114A1E"/>
    <w:rsid w:val="00114AB9"/>
    <w:rsid w:val="00114DA9"/>
    <w:rsid w:val="00114EBA"/>
    <w:rsid w:val="00114F6B"/>
    <w:rsid w:val="0011546D"/>
    <w:rsid w:val="001155CF"/>
    <w:rsid w:val="00115872"/>
    <w:rsid w:val="00116043"/>
    <w:rsid w:val="001160C4"/>
    <w:rsid w:val="00116463"/>
    <w:rsid w:val="00116637"/>
    <w:rsid w:val="001168CC"/>
    <w:rsid w:val="001169DD"/>
    <w:rsid w:val="00116AF5"/>
    <w:rsid w:val="0011771E"/>
    <w:rsid w:val="001200DD"/>
    <w:rsid w:val="0012045D"/>
    <w:rsid w:val="001209AC"/>
    <w:rsid w:val="00120ADD"/>
    <w:rsid w:val="00120B32"/>
    <w:rsid w:val="0012143F"/>
    <w:rsid w:val="00122124"/>
    <w:rsid w:val="001221E3"/>
    <w:rsid w:val="0012226D"/>
    <w:rsid w:val="0012281C"/>
    <w:rsid w:val="00122966"/>
    <w:rsid w:val="00122EC3"/>
    <w:rsid w:val="00123512"/>
    <w:rsid w:val="00123811"/>
    <w:rsid w:val="00123C6D"/>
    <w:rsid w:val="00123FBB"/>
    <w:rsid w:val="001241B1"/>
    <w:rsid w:val="00124603"/>
    <w:rsid w:val="0012477A"/>
    <w:rsid w:val="00124CBF"/>
    <w:rsid w:val="00124FE3"/>
    <w:rsid w:val="0012683D"/>
    <w:rsid w:val="001268AB"/>
    <w:rsid w:val="00126CCD"/>
    <w:rsid w:val="00126E8C"/>
    <w:rsid w:val="0012702E"/>
    <w:rsid w:val="00127081"/>
    <w:rsid w:val="001271F3"/>
    <w:rsid w:val="0012736E"/>
    <w:rsid w:val="00127A3E"/>
    <w:rsid w:val="00130301"/>
    <w:rsid w:val="001304D0"/>
    <w:rsid w:val="00130543"/>
    <w:rsid w:val="00130B6B"/>
    <w:rsid w:val="00130D1C"/>
    <w:rsid w:val="001314D3"/>
    <w:rsid w:val="001314E0"/>
    <w:rsid w:val="0013190B"/>
    <w:rsid w:val="00131942"/>
    <w:rsid w:val="00131B41"/>
    <w:rsid w:val="00131B76"/>
    <w:rsid w:val="00131CFA"/>
    <w:rsid w:val="00131D4C"/>
    <w:rsid w:val="001325E6"/>
    <w:rsid w:val="0013261A"/>
    <w:rsid w:val="00132D15"/>
    <w:rsid w:val="001338F8"/>
    <w:rsid w:val="00133D16"/>
    <w:rsid w:val="00134027"/>
    <w:rsid w:val="00134051"/>
    <w:rsid w:val="0013460E"/>
    <w:rsid w:val="00134DB3"/>
    <w:rsid w:val="00134DB5"/>
    <w:rsid w:val="00135434"/>
    <w:rsid w:val="00135B8B"/>
    <w:rsid w:val="00135C05"/>
    <w:rsid w:val="00135D8F"/>
    <w:rsid w:val="00136298"/>
    <w:rsid w:val="00136887"/>
    <w:rsid w:val="00136EE3"/>
    <w:rsid w:val="00136FC4"/>
    <w:rsid w:val="001370F3"/>
    <w:rsid w:val="001373C5"/>
    <w:rsid w:val="001375C8"/>
    <w:rsid w:val="00137605"/>
    <w:rsid w:val="00137C23"/>
    <w:rsid w:val="00137EA2"/>
    <w:rsid w:val="00140395"/>
    <w:rsid w:val="00140724"/>
    <w:rsid w:val="0014076F"/>
    <w:rsid w:val="00140EF1"/>
    <w:rsid w:val="0014109C"/>
    <w:rsid w:val="001410D6"/>
    <w:rsid w:val="00141635"/>
    <w:rsid w:val="00141796"/>
    <w:rsid w:val="001429B9"/>
    <w:rsid w:val="00142EAA"/>
    <w:rsid w:val="00144258"/>
    <w:rsid w:val="00144425"/>
    <w:rsid w:val="0014519F"/>
    <w:rsid w:val="00145426"/>
    <w:rsid w:val="001455B3"/>
    <w:rsid w:val="00145984"/>
    <w:rsid w:val="001459AF"/>
    <w:rsid w:val="00145A91"/>
    <w:rsid w:val="00145B63"/>
    <w:rsid w:val="00145CFD"/>
    <w:rsid w:val="00145DFA"/>
    <w:rsid w:val="00146059"/>
    <w:rsid w:val="001460E1"/>
    <w:rsid w:val="00146641"/>
    <w:rsid w:val="00146C32"/>
    <w:rsid w:val="00147177"/>
    <w:rsid w:val="001473E8"/>
    <w:rsid w:val="001474FC"/>
    <w:rsid w:val="00147874"/>
    <w:rsid w:val="00147DEE"/>
    <w:rsid w:val="00147E5F"/>
    <w:rsid w:val="00150038"/>
    <w:rsid w:val="00150095"/>
    <w:rsid w:val="00150374"/>
    <w:rsid w:val="00150648"/>
    <w:rsid w:val="001507BD"/>
    <w:rsid w:val="001508D4"/>
    <w:rsid w:val="001509A6"/>
    <w:rsid w:val="00150AB6"/>
    <w:rsid w:val="0015194F"/>
    <w:rsid w:val="0015213C"/>
    <w:rsid w:val="001521A6"/>
    <w:rsid w:val="00153126"/>
    <w:rsid w:val="00153942"/>
    <w:rsid w:val="00153ECC"/>
    <w:rsid w:val="00154281"/>
    <w:rsid w:val="0015493E"/>
    <w:rsid w:val="0015496C"/>
    <w:rsid w:val="00154F9D"/>
    <w:rsid w:val="00155081"/>
    <w:rsid w:val="001552E6"/>
    <w:rsid w:val="0015546F"/>
    <w:rsid w:val="00155BD9"/>
    <w:rsid w:val="00155D5A"/>
    <w:rsid w:val="00156078"/>
    <w:rsid w:val="00156870"/>
    <w:rsid w:val="00156AAF"/>
    <w:rsid w:val="00156CE9"/>
    <w:rsid w:val="00157445"/>
    <w:rsid w:val="001575AB"/>
    <w:rsid w:val="00157760"/>
    <w:rsid w:val="00157B8C"/>
    <w:rsid w:val="00157C96"/>
    <w:rsid w:val="00160A03"/>
    <w:rsid w:val="00160C3F"/>
    <w:rsid w:val="00160C4D"/>
    <w:rsid w:val="00160CE3"/>
    <w:rsid w:val="00161702"/>
    <w:rsid w:val="00161AC5"/>
    <w:rsid w:val="00162022"/>
    <w:rsid w:val="0016202E"/>
    <w:rsid w:val="001620E8"/>
    <w:rsid w:val="00162453"/>
    <w:rsid w:val="00162626"/>
    <w:rsid w:val="00162C56"/>
    <w:rsid w:val="0016413C"/>
    <w:rsid w:val="001642D5"/>
    <w:rsid w:val="00164CA0"/>
    <w:rsid w:val="00164FB6"/>
    <w:rsid w:val="001650FE"/>
    <w:rsid w:val="001655B0"/>
    <w:rsid w:val="001655B4"/>
    <w:rsid w:val="001655F0"/>
    <w:rsid w:val="00165695"/>
    <w:rsid w:val="0016571D"/>
    <w:rsid w:val="00165736"/>
    <w:rsid w:val="001659BD"/>
    <w:rsid w:val="001659E9"/>
    <w:rsid w:val="0016613D"/>
    <w:rsid w:val="00166961"/>
    <w:rsid w:val="00166A99"/>
    <w:rsid w:val="00166B54"/>
    <w:rsid w:val="00166B7F"/>
    <w:rsid w:val="00166E75"/>
    <w:rsid w:val="00166FC3"/>
    <w:rsid w:val="00167172"/>
    <w:rsid w:val="00167697"/>
    <w:rsid w:val="0016788F"/>
    <w:rsid w:val="001678DC"/>
    <w:rsid w:val="00167A77"/>
    <w:rsid w:val="00167B77"/>
    <w:rsid w:val="00167C18"/>
    <w:rsid w:val="001705BD"/>
    <w:rsid w:val="00170609"/>
    <w:rsid w:val="00170759"/>
    <w:rsid w:val="001709F6"/>
    <w:rsid w:val="00170A84"/>
    <w:rsid w:val="00170FE8"/>
    <w:rsid w:val="0017100D"/>
    <w:rsid w:val="001714C4"/>
    <w:rsid w:val="00171709"/>
    <w:rsid w:val="00171736"/>
    <w:rsid w:val="001719DC"/>
    <w:rsid w:val="00171B78"/>
    <w:rsid w:val="00171F52"/>
    <w:rsid w:val="0017278A"/>
    <w:rsid w:val="001731F8"/>
    <w:rsid w:val="00173504"/>
    <w:rsid w:val="001736EE"/>
    <w:rsid w:val="001738EB"/>
    <w:rsid w:val="00173AE7"/>
    <w:rsid w:val="00173BE6"/>
    <w:rsid w:val="00173F9E"/>
    <w:rsid w:val="00174031"/>
    <w:rsid w:val="00174144"/>
    <w:rsid w:val="001745D3"/>
    <w:rsid w:val="00174929"/>
    <w:rsid w:val="0017531D"/>
    <w:rsid w:val="00175832"/>
    <w:rsid w:val="00175908"/>
    <w:rsid w:val="00175B07"/>
    <w:rsid w:val="001760AF"/>
    <w:rsid w:val="001761BF"/>
    <w:rsid w:val="0017623C"/>
    <w:rsid w:val="00176569"/>
    <w:rsid w:val="001765B1"/>
    <w:rsid w:val="001766A3"/>
    <w:rsid w:val="00176A18"/>
    <w:rsid w:val="00176C78"/>
    <w:rsid w:val="00176D60"/>
    <w:rsid w:val="00176FAB"/>
    <w:rsid w:val="00177544"/>
    <w:rsid w:val="0017769E"/>
    <w:rsid w:val="0017782F"/>
    <w:rsid w:val="00177EF9"/>
    <w:rsid w:val="0018042E"/>
    <w:rsid w:val="001804CD"/>
    <w:rsid w:val="00180B42"/>
    <w:rsid w:val="00180D2E"/>
    <w:rsid w:val="00180F31"/>
    <w:rsid w:val="00181004"/>
    <w:rsid w:val="001812E2"/>
    <w:rsid w:val="001817C8"/>
    <w:rsid w:val="00181854"/>
    <w:rsid w:val="001819C5"/>
    <w:rsid w:val="00181FA9"/>
    <w:rsid w:val="00182666"/>
    <w:rsid w:val="00182900"/>
    <w:rsid w:val="00183709"/>
    <w:rsid w:val="00183750"/>
    <w:rsid w:val="001844DA"/>
    <w:rsid w:val="00184F1D"/>
    <w:rsid w:val="00185114"/>
    <w:rsid w:val="0018553B"/>
    <w:rsid w:val="00185C20"/>
    <w:rsid w:val="00185D40"/>
    <w:rsid w:val="0018631D"/>
    <w:rsid w:val="00186487"/>
    <w:rsid w:val="0018699B"/>
    <w:rsid w:val="00186F8A"/>
    <w:rsid w:val="001873D4"/>
    <w:rsid w:val="001877D8"/>
    <w:rsid w:val="0018793A"/>
    <w:rsid w:val="00187A70"/>
    <w:rsid w:val="00187BB1"/>
    <w:rsid w:val="00187C58"/>
    <w:rsid w:val="00187CDB"/>
    <w:rsid w:val="00187DCA"/>
    <w:rsid w:val="00190171"/>
    <w:rsid w:val="001905A1"/>
    <w:rsid w:val="00190606"/>
    <w:rsid w:val="00190876"/>
    <w:rsid w:val="00190C73"/>
    <w:rsid w:val="00190CC6"/>
    <w:rsid w:val="00190DD4"/>
    <w:rsid w:val="00191B7B"/>
    <w:rsid w:val="00191C5D"/>
    <w:rsid w:val="00192083"/>
    <w:rsid w:val="00192383"/>
    <w:rsid w:val="00192F26"/>
    <w:rsid w:val="00193B7B"/>
    <w:rsid w:val="00193CF3"/>
    <w:rsid w:val="00193F5C"/>
    <w:rsid w:val="00194127"/>
    <w:rsid w:val="00194410"/>
    <w:rsid w:val="00194557"/>
    <w:rsid w:val="001948CB"/>
    <w:rsid w:val="00194D95"/>
    <w:rsid w:val="00194D9C"/>
    <w:rsid w:val="00194F99"/>
    <w:rsid w:val="00195377"/>
    <w:rsid w:val="00195A3C"/>
    <w:rsid w:val="00195D18"/>
    <w:rsid w:val="00195E3A"/>
    <w:rsid w:val="0019676F"/>
    <w:rsid w:val="0019683F"/>
    <w:rsid w:val="00196A61"/>
    <w:rsid w:val="00196A8B"/>
    <w:rsid w:val="0019715F"/>
    <w:rsid w:val="001972B1"/>
    <w:rsid w:val="001974D4"/>
    <w:rsid w:val="001975FB"/>
    <w:rsid w:val="001977EC"/>
    <w:rsid w:val="001978AE"/>
    <w:rsid w:val="00197BE4"/>
    <w:rsid w:val="001A0763"/>
    <w:rsid w:val="001A1339"/>
    <w:rsid w:val="001A1527"/>
    <w:rsid w:val="001A1555"/>
    <w:rsid w:val="001A1661"/>
    <w:rsid w:val="001A175F"/>
    <w:rsid w:val="001A18D4"/>
    <w:rsid w:val="001A19B4"/>
    <w:rsid w:val="001A1B68"/>
    <w:rsid w:val="001A1BB2"/>
    <w:rsid w:val="001A27B9"/>
    <w:rsid w:val="001A2A37"/>
    <w:rsid w:val="001A2B11"/>
    <w:rsid w:val="001A2F36"/>
    <w:rsid w:val="001A2FFF"/>
    <w:rsid w:val="001A31FA"/>
    <w:rsid w:val="001A3496"/>
    <w:rsid w:val="001A381D"/>
    <w:rsid w:val="001A3DFA"/>
    <w:rsid w:val="001A3EF1"/>
    <w:rsid w:val="001A4093"/>
    <w:rsid w:val="001A42CE"/>
    <w:rsid w:val="001A43F6"/>
    <w:rsid w:val="001A453A"/>
    <w:rsid w:val="001A46DA"/>
    <w:rsid w:val="001A4757"/>
    <w:rsid w:val="001A4D97"/>
    <w:rsid w:val="001A4FB3"/>
    <w:rsid w:val="001A501A"/>
    <w:rsid w:val="001A52CF"/>
    <w:rsid w:val="001A5914"/>
    <w:rsid w:val="001A5BFF"/>
    <w:rsid w:val="001A5E41"/>
    <w:rsid w:val="001A6195"/>
    <w:rsid w:val="001A62CD"/>
    <w:rsid w:val="001A639A"/>
    <w:rsid w:val="001A6519"/>
    <w:rsid w:val="001A6715"/>
    <w:rsid w:val="001A6A70"/>
    <w:rsid w:val="001A6F06"/>
    <w:rsid w:val="001A719C"/>
    <w:rsid w:val="001A7C03"/>
    <w:rsid w:val="001A7CE0"/>
    <w:rsid w:val="001A7D50"/>
    <w:rsid w:val="001A7E97"/>
    <w:rsid w:val="001B0F05"/>
    <w:rsid w:val="001B10C5"/>
    <w:rsid w:val="001B12D9"/>
    <w:rsid w:val="001B12FB"/>
    <w:rsid w:val="001B16C8"/>
    <w:rsid w:val="001B1A60"/>
    <w:rsid w:val="001B1CF8"/>
    <w:rsid w:val="001B20B3"/>
    <w:rsid w:val="001B20EC"/>
    <w:rsid w:val="001B3187"/>
    <w:rsid w:val="001B322B"/>
    <w:rsid w:val="001B3587"/>
    <w:rsid w:val="001B364C"/>
    <w:rsid w:val="001B38ED"/>
    <w:rsid w:val="001B3B03"/>
    <w:rsid w:val="001B3C11"/>
    <w:rsid w:val="001B3C27"/>
    <w:rsid w:val="001B3C2A"/>
    <w:rsid w:val="001B4020"/>
    <w:rsid w:val="001B406D"/>
    <w:rsid w:val="001B40C8"/>
    <w:rsid w:val="001B42D3"/>
    <w:rsid w:val="001B5580"/>
    <w:rsid w:val="001B5808"/>
    <w:rsid w:val="001B5AEE"/>
    <w:rsid w:val="001B5E4E"/>
    <w:rsid w:val="001B5EBE"/>
    <w:rsid w:val="001B608F"/>
    <w:rsid w:val="001B6210"/>
    <w:rsid w:val="001B630E"/>
    <w:rsid w:val="001B6498"/>
    <w:rsid w:val="001B6EB6"/>
    <w:rsid w:val="001B700A"/>
    <w:rsid w:val="001B7294"/>
    <w:rsid w:val="001B7AC1"/>
    <w:rsid w:val="001B7C4F"/>
    <w:rsid w:val="001B7CFF"/>
    <w:rsid w:val="001C0985"/>
    <w:rsid w:val="001C0BB4"/>
    <w:rsid w:val="001C0CFC"/>
    <w:rsid w:val="001C0F6D"/>
    <w:rsid w:val="001C1086"/>
    <w:rsid w:val="001C12DF"/>
    <w:rsid w:val="001C162D"/>
    <w:rsid w:val="001C19C1"/>
    <w:rsid w:val="001C21C3"/>
    <w:rsid w:val="001C2379"/>
    <w:rsid w:val="001C24D1"/>
    <w:rsid w:val="001C26D4"/>
    <w:rsid w:val="001C29D1"/>
    <w:rsid w:val="001C304B"/>
    <w:rsid w:val="001C3113"/>
    <w:rsid w:val="001C32F4"/>
    <w:rsid w:val="001C3616"/>
    <w:rsid w:val="001C372A"/>
    <w:rsid w:val="001C38E9"/>
    <w:rsid w:val="001C3A55"/>
    <w:rsid w:val="001C3A64"/>
    <w:rsid w:val="001C3A6B"/>
    <w:rsid w:val="001C42F0"/>
    <w:rsid w:val="001C44CF"/>
    <w:rsid w:val="001C4891"/>
    <w:rsid w:val="001C491E"/>
    <w:rsid w:val="001C51D6"/>
    <w:rsid w:val="001C52EB"/>
    <w:rsid w:val="001C53CD"/>
    <w:rsid w:val="001C5587"/>
    <w:rsid w:val="001C5C58"/>
    <w:rsid w:val="001C5F2F"/>
    <w:rsid w:val="001C6350"/>
    <w:rsid w:val="001C6762"/>
    <w:rsid w:val="001C6A94"/>
    <w:rsid w:val="001C6F75"/>
    <w:rsid w:val="001C7BB7"/>
    <w:rsid w:val="001C7F0D"/>
    <w:rsid w:val="001D00BE"/>
    <w:rsid w:val="001D059B"/>
    <w:rsid w:val="001D0BAA"/>
    <w:rsid w:val="001D194C"/>
    <w:rsid w:val="001D19F8"/>
    <w:rsid w:val="001D1AC6"/>
    <w:rsid w:val="001D1BE1"/>
    <w:rsid w:val="001D1C22"/>
    <w:rsid w:val="001D1CB8"/>
    <w:rsid w:val="001D1EE8"/>
    <w:rsid w:val="001D25F7"/>
    <w:rsid w:val="001D2869"/>
    <w:rsid w:val="001D3504"/>
    <w:rsid w:val="001D3E33"/>
    <w:rsid w:val="001D44A9"/>
    <w:rsid w:val="001D477C"/>
    <w:rsid w:val="001D48C2"/>
    <w:rsid w:val="001D4F72"/>
    <w:rsid w:val="001D5156"/>
    <w:rsid w:val="001D51EE"/>
    <w:rsid w:val="001D553A"/>
    <w:rsid w:val="001D56D8"/>
    <w:rsid w:val="001D5D63"/>
    <w:rsid w:val="001D5E32"/>
    <w:rsid w:val="001D662A"/>
    <w:rsid w:val="001D6674"/>
    <w:rsid w:val="001D68A9"/>
    <w:rsid w:val="001D69F6"/>
    <w:rsid w:val="001D6ED1"/>
    <w:rsid w:val="001D73E9"/>
    <w:rsid w:val="001D7622"/>
    <w:rsid w:val="001D7849"/>
    <w:rsid w:val="001E0988"/>
    <w:rsid w:val="001E0B4B"/>
    <w:rsid w:val="001E1104"/>
    <w:rsid w:val="001E16FA"/>
    <w:rsid w:val="001E17EE"/>
    <w:rsid w:val="001E2057"/>
    <w:rsid w:val="001E3126"/>
    <w:rsid w:val="001E342F"/>
    <w:rsid w:val="001E3641"/>
    <w:rsid w:val="001E3BB7"/>
    <w:rsid w:val="001E4075"/>
    <w:rsid w:val="001E4458"/>
    <w:rsid w:val="001E4A4E"/>
    <w:rsid w:val="001E4EC8"/>
    <w:rsid w:val="001E5296"/>
    <w:rsid w:val="001E52D0"/>
    <w:rsid w:val="001E5898"/>
    <w:rsid w:val="001E679C"/>
    <w:rsid w:val="001E6E9B"/>
    <w:rsid w:val="001E74A2"/>
    <w:rsid w:val="001E7571"/>
    <w:rsid w:val="001E79EC"/>
    <w:rsid w:val="001E7C9C"/>
    <w:rsid w:val="001E7D80"/>
    <w:rsid w:val="001F0064"/>
    <w:rsid w:val="001F019D"/>
    <w:rsid w:val="001F02C9"/>
    <w:rsid w:val="001F04C1"/>
    <w:rsid w:val="001F066B"/>
    <w:rsid w:val="001F06CB"/>
    <w:rsid w:val="001F0917"/>
    <w:rsid w:val="001F0E07"/>
    <w:rsid w:val="001F10BF"/>
    <w:rsid w:val="001F1264"/>
    <w:rsid w:val="001F265E"/>
    <w:rsid w:val="001F27EF"/>
    <w:rsid w:val="001F2A08"/>
    <w:rsid w:val="001F2AF4"/>
    <w:rsid w:val="001F2BDD"/>
    <w:rsid w:val="001F2EC3"/>
    <w:rsid w:val="001F3A14"/>
    <w:rsid w:val="001F3F6B"/>
    <w:rsid w:val="001F4031"/>
    <w:rsid w:val="001F4041"/>
    <w:rsid w:val="001F4283"/>
    <w:rsid w:val="001F4BC4"/>
    <w:rsid w:val="001F4FE5"/>
    <w:rsid w:val="001F51FB"/>
    <w:rsid w:val="001F526D"/>
    <w:rsid w:val="001F6640"/>
    <w:rsid w:val="001F668A"/>
    <w:rsid w:val="001F692A"/>
    <w:rsid w:val="001F6A76"/>
    <w:rsid w:val="001F6B79"/>
    <w:rsid w:val="001F70B0"/>
    <w:rsid w:val="001F7219"/>
    <w:rsid w:val="001F7299"/>
    <w:rsid w:val="001F739B"/>
    <w:rsid w:val="001F74EC"/>
    <w:rsid w:val="001F7675"/>
    <w:rsid w:val="001F78C4"/>
    <w:rsid w:val="001F7A57"/>
    <w:rsid w:val="001F7BE1"/>
    <w:rsid w:val="001F7FE3"/>
    <w:rsid w:val="0020001D"/>
    <w:rsid w:val="00200066"/>
    <w:rsid w:val="0020021E"/>
    <w:rsid w:val="00200846"/>
    <w:rsid w:val="002008F6"/>
    <w:rsid w:val="00200ACA"/>
    <w:rsid w:val="00200CBF"/>
    <w:rsid w:val="00200FAF"/>
    <w:rsid w:val="0020101A"/>
    <w:rsid w:val="002012D2"/>
    <w:rsid w:val="002014B8"/>
    <w:rsid w:val="002014D6"/>
    <w:rsid w:val="00201CE7"/>
    <w:rsid w:val="0020209C"/>
    <w:rsid w:val="00202205"/>
    <w:rsid w:val="002025B5"/>
    <w:rsid w:val="00202618"/>
    <w:rsid w:val="0020266D"/>
    <w:rsid w:val="00202F0E"/>
    <w:rsid w:val="002032D7"/>
    <w:rsid w:val="002035D3"/>
    <w:rsid w:val="00203771"/>
    <w:rsid w:val="00203EAB"/>
    <w:rsid w:val="00203EED"/>
    <w:rsid w:val="0020407D"/>
    <w:rsid w:val="002048E5"/>
    <w:rsid w:val="00205930"/>
    <w:rsid w:val="00206439"/>
    <w:rsid w:val="00206457"/>
    <w:rsid w:val="00206A85"/>
    <w:rsid w:val="00206B8C"/>
    <w:rsid w:val="00206B91"/>
    <w:rsid w:val="00206F96"/>
    <w:rsid w:val="00207716"/>
    <w:rsid w:val="0020797C"/>
    <w:rsid w:val="00210012"/>
    <w:rsid w:val="002103DD"/>
    <w:rsid w:val="00210665"/>
    <w:rsid w:val="00210E29"/>
    <w:rsid w:val="002116E1"/>
    <w:rsid w:val="00211AEA"/>
    <w:rsid w:val="00211DBE"/>
    <w:rsid w:val="00211E03"/>
    <w:rsid w:val="00211E9E"/>
    <w:rsid w:val="002122ED"/>
    <w:rsid w:val="002129BF"/>
    <w:rsid w:val="00212C2D"/>
    <w:rsid w:val="00213182"/>
    <w:rsid w:val="002136A6"/>
    <w:rsid w:val="00213AAA"/>
    <w:rsid w:val="0021490D"/>
    <w:rsid w:val="00214A82"/>
    <w:rsid w:val="00214C79"/>
    <w:rsid w:val="00214D19"/>
    <w:rsid w:val="00214DE3"/>
    <w:rsid w:val="00215003"/>
    <w:rsid w:val="002152D9"/>
    <w:rsid w:val="00215812"/>
    <w:rsid w:val="00215CD2"/>
    <w:rsid w:val="00215D95"/>
    <w:rsid w:val="002164C7"/>
    <w:rsid w:val="0021683B"/>
    <w:rsid w:val="00216A24"/>
    <w:rsid w:val="00216A67"/>
    <w:rsid w:val="00216AC5"/>
    <w:rsid w:val="002170B5"/>
    <w:rsid w:val="00217308"/>
    <w:rsid w:val="002173B6"/>
    <w:rsid w:val="00217568"/>
    <w:rsid w:val="00217608"/>
    <w:rsid w:val="002176E7"/>
    <w:rsid w:val="00217885"/>
    <w:rsid w:val="002178E0"/>
    <w:rsid w:val="00217AF0"/>
    <w:rsid w:val="00217B22"/>
    <w:rsid w:val="00217C37"/>
    <w:rsid w:val="00217D57"/>
    <w:rsid w:val="00217E5F"/>
    <w:rsid w:val="00220199"/>
    <w:rsid w:val="00221008"/>
    <w:rsid w:val="00221168"/>
    <w:rsid w:val="00221460"/>
    <w:rsid w:val="00221936"/>
    <w:rsid w:val="002222EC"/>
    <w:rsid w:val="00222562"/>
    <w:rsid w:val="00222611"/>
    <w:rsid w:val="0022269C"/>
    <w:rsid w:val="00223048"/>
    <w:rsid w:val="002230B3"/>
    <w:rsid w:val="00223499"/>
    <w:rsid w:val="00223525"/>
    <w:rsid w:val="00223BD2"/>
    <w:rsid w:val="002243B2"/>
    <w:rsid w:val="00224558"/>
    <w:rsid w:val="002250B5"/>
    <w:rsid w:val="00225968"/>
    <w:rsid w:val="00226AC8"/>
    <w:rsid w:val="00226B8B"/>
    <w:rsid w:val="00227007"/>
    <w:rsid w:val="00227831"/>
    <w:rsid w:val="00227D77"/>
    <w:rsid w:val="00227D9A"/>
    <w:rsid w:val="00227EE4"/>
    <w:rsid w:val="0023026E"/>
    <w:rsid w:val="002306DA"/>
    <w:rsid w:val="002308E6"/>
    <w:rsid w:val="00230AC9"/>
    <w:rsid w:val="00230ADF"/>
    <w:rsid w:val="00230D85"/>
    <w:rsid w:val="00230ED9"/>
    <w:rsid w:val="002313E1"/>
    <w:rsid w:val="0023181D"/>
    <w:rsid w:val="0023182B"/>
    <w:rsid w:val="00231D41"/>
    <w:rsid w:val="00232009"/>
    <w:rsid w:val="00232690"/>
    <w:rsid w:val="00232775"/>
    <w:rsid w:val="002328B4"/>
    <w:rsid w:val="00232CE9"/>
    <w:rsid w:val="00233281"/>
    <w:rsid w:val="00233467"/>
    <w:rsid w:val="002337E3"/>
    <w:rsid w:val="00233F46"/>
    <w:rsid w:val="002344C2"/>
    <w:rsid w:val="00234984"/>
    <w:rsid w:val="00234F01"/>
    <w:rsid w:val="002351A0"/>
    <w:rsid w:val="00235925"/>
    <w:rsid w:val="00235CCC"/>
    <w:rsid w:val="00236081"/>
    <w:rsid w:val="00236831"/>
    <w:rsid w:val="00236B8C"/>
    <w:rsid w:val="00236D6E"/>
    <w:rsid w:val="00236DF8"/>
    <w:rsid w:val="00236F7D"/>
    <w:rsid w:val="00237301"/>
    <w:rsid w:val="00237491"/>
    <w:rsid w:val="002375C3"/>
    <w:rsid w:val="00237742"/>
    <w:rsid w:val="002377CA"/>
    <w:rsid w:val="00237E30"/>
    <w:rsid w:val="002401AA"/>
    <w:rsid w:val="002403AB"/>
    <w:rsid w:val="00240540"/>
    <w:rsid w:val="002406C1"/>
    <w:rsid w:val="0024077E"/>
    <w:rsid w:val="00240970"/>
    <w:rsid w:val="002413F9"/>
    <w:rsid w:val="002418C5"/>
    <w:rsid w:val="00241952"/>
    <w:rsid w:val="00241CE5"/>
    <w:rsid w:val="00242508"/>
    <w:rsid w:val="002428CD"/>
    <w:rsid w:val="00242E99"/>
    <w:rsid w:val="0024358F"/>
    <w:rsid w:val="002436C3"/>
    <w:rsid w:val="0024378C"/>
    <w:rsid w:val="00243B48"/>
    <w:rsid w:val="002442D2"/>
    <w:rsid w:val="002446F5"/>
    <w:rsid w:val="002452CD"/>
    <w:rsid w:val="00245778"/>
    <w:rsid w:val="002459A7"/>
    <w:rsid w:val="00245CD4"/>
    <w:rsid w:val="002461A0"/>
    <w:rsid w:val="00246381"/>
    <w:rsid w:val="0024647E"/>
    <w:rsid w:val="00246488"/>
    <w:rsid w:val="002464D6"/>
    <w:rsid w:val="002466ED"/>
    <w:rsid w:val="00246D42"/>
    <w:rsid w:val="002474BB"/>
    <w:rsid w:val="00247547"/>
    <w:rsid w:val="0024757C"/>
    <w:rsid w:val="0024791E"/>
    <w:rsid w:val="00247DA9"/>
    <w:rsid w:val="00247EEF"/>
    <w:rsid w:val="00250008"/>
    <w:rsid w:val="00250197"/>
    <w:rsid w:val="00250199"/>
    <w:rsid w:val="00250BBC"/>
    <w:rsid w:val="0025166D"/>
    <w:rsid w:val="002517D6"/>
    <w:rsid w:val="00251857"/>
    <w:rsid w:val="00251CAD"/>
    <w:rsid w:val="00251CDB"/>
    <w:rsid w:val="00251F27"/>
    <w:rsid w:val="0025288D"/>
    <w:rsid w:val="0025295F"/>
    <w:rsid w:val="00252CAC"/>
    <w:rsid w:val="00252F03"/>
    <w:rsid w:val="00254068"/>
    <w:rsid w:val="00254132"/>
    <w:rsid w:val="0025437F"/>
    <w:rsid w:val="002543B7"/>
    <w:rsid w:val="002543E4"/>
    <w:rsid w:val="0025491D"/>
    <w:rsid w:val="00254C66"/>
    <w:rsid w:val="00254F01"/>
    <w:rsid w:val="00255EE8"/>
    <w:rsid w:val="00255FCE"/>
    <w:rsid w:val="00256194"/>
    <w:rsid w:val="002561EB"/>
    <w:rsid w:val="002562FC"/>
    <w:rsid w:val="0025655B"/>
    <w:rsid w:val="00256DF7"/>
    <w:rsid w:val="0025779A"/>
    <w:rsid w:val="0025779D"/>
    <w:rsid w:val="0026029A"/>
    <w:rsid w:val="00260D15"/>
    <w:rsid w:val="00260E67"/>
    <w:rsid w:val="00260F20"/>
    <w:rsid w:val="00261176"/>
    <w:rsid w:val="00261393"/>
    <w:rsid w:val="002613DB"/>
    <w:rsid w:val="002618A3"/>
    <w:rsid w:val="00262123"/>
    <w:rsid w:val="00262646"/>
    <w:rsid w:val="00262D2B"/>
    <w:rsid w:val="002636FF"/>
    <w:rsid w:val="002645DA"/>
    <w:rsid w:val="00264E7D"/>
    <w:rsid w:val="002657DE"/>
    <w:rsid w:val="002664C8"/>
    <w:rsid w:val="00266664"/>
    <w:rsid w:val="00266C14"/>
    <w:rsid w:val="00266FD1"/>
    <w:rsid w:val="00267219"/>
    <w:rsid w:val="002676F0"/>
    <w:rsid w:val="002678EF"/>
    <w:rsid w:val="00270446"/>
    <w:rsid w:val="002709C0"/>
    <w:rsid w:val="00270D16"/>
    <w:rsid w:val="00270ED1"/>
    <w:rsid w:val="0027103B"/>
    <w:rsid w:val="0027108A"/>
    <w:rsid w:val="0027121E"/>
    <w:rsid w:val="00271908"/>
    <w:rsid w:val="002719B4"/>
    <w:rsid w:val="00271DA3"/>
    <w:rsid w:val="00272180"/>
    <w:rsid w:val="00272224"/>
    <w:rsid w:val="0027239D"/>
    <w:rsid w:val="00272821"/>
    <w:rsid w:val="00272AB6"/>
    <w:rsid w:val="00272F4D"/>
    <w:rsid w:val="0027343A"/>
    <w:rsid w:val="0027364E"/>
    <w:rsid w:val="00273CD5"/>
    <w:rsid w:val="00274631"/>
    <w:rsid w:val="00274945"/>
    <w:rsid w:val="00274BBF"/>
    <w:rsid w:val="0027520A"/>
    <w:rsid w:val="00275496"/>
    <w:rsid w:val="0027561D"/>
    <w:rsid w:val="0027585D"/>
    <w:rsid w:val="00275FB4"/>
    <w:rsid w:val="00276E24"/>
    <w:rsid w:val="002772ED"/>
    <w:rsid w:val="00277358"/>
    <w:rsid w:val="00277383"/>
    <w:rsid w:val="0027787A"/>
    <w:rsid w:val="00277E59"/>
    <w:rsid w:val="00277F37"/>
    <w:rsid w:val="00277FA6"/>
    <w:rsid w:val="002803B0"/>
    <w:rsid w:val="0028083E"/>
    <w:rsid w:val="002808C0"/>
    <w:rsid w:val="00280A17"/>
    <w:rsid w:val="002810C1"/>
    <w:rsid w:val="0028153E"/>
    <w:rsid w:val="00281667"/>
    <w:rsid w:val="00281697"/>
    <w:rsid w:val="00281FAA"/>
    <w:rsid w:val="00281FDB"/>
    <w:rsid w:val="0028231C"/>
    <w:rsid w:val="002823E7"/>
    <w:rsid w:val="002824CF"/>
    <w:rsid w:val="002832D4"/>
    <w:rsid w:val="00283478"/>
    <w:rsid w:val="00283577"/>
    <w:rsid w:val="00283911"/>
    <w:rsid w:val="00283CB0"/>
    <w:rsid w:val="00283F18"/>
    <w:rsid w:val="00283F7A"/>
    <w:rsid w:val="00283F89"/>
    <w:rsid w:val="00284054"/>
    <w:rsid w:val="00284309"/>
    <w:rsid w:val="0028484C"/>
    <w:rsid w:val="00284A2D"/>
    <w:rsid w:val="00284AC3"/>
    <w:rsid w:val="00284BAB"/>
    <w:rsid w:val="00284BEB"/>
    <w:rsid w:val="00285217"/>
    <w:rsid w:val="00285391"/>
    <w:rsid w:val="00285468"/>
    <w:rsid w:val="00285C95"/>
    <w:rsid w:val="00285DB7"/>
    <w:rsid w:val="0028600C"/>
    <w:rsid w:val="00286614"/>
    <w:rsid w:val="0028663B"/>
    <w:rsid w:val="002872FD"/>
    <w:rsid w:val="002873A1"/>
    <w:rsid w:val="00287719"/>
    <w:rsid w:val="00287779"/>
    <w:rsid w:val="002879F7"/>
    <w:rsid w:val="00287E8A"/>
    <w:rsid w:val="00290279"/>
    <w:rsid w:val="00290C6C"/>
    <w:rsid w:val="002910D9"/>
    <w:rsid w:val="00291C64"/>
    <w:rsid w:val="00291ECE"/>
    <w:rsid w:val="00292281"/>
    <w:rsid w:val="002922FD"/>
    <w:rsid w:val="002928CE"/>
    <w:rsid w:val="00292D97"/>
    <w:rsid w:val="00293126"/>
    <w:rsid w:val="002931D4"/>
    <w:rsid w:val="00293C95"/>
    <w:rsid w:val="00293CD8"/>
    <w:rsid w:val="002941AC"/>
    <w:rsid w:val="00294DEF"/>
    <w:rsid w:val="00295028"/>
    <w:rsid w:val="00295262"/>
    <w:rsid w:val="002955A7"/>
    <w:rsid w:val="002958D3"/>
    <w:rsid w:val="00295902"/>
    <w:rsid w:val="00295BB7"/>
    <w:rsid w:val="00295F1E"/>
    <w:rsid w:val="00295FEA"/>
    <w:rsid w:val="00296333"/>
    <w:rsid w:val="00296462"/>
    <w:rsid w:val="0029646F"/>
    <w:rsid w:val="00296630"/>
    <w:rsid w:val="00296802"/>
    <w:rsid w:val="002968A9"/>
    <w:rsid w:val="00296B5F"/>
    <w:rsid w:val="00296BAF"/>
    <w:rsid w:val="00296FDD"/>
    <w:rsid w:val="0029703E"/>
    <w:rsid w:val="002970D6"/>
    <w:rsid w:val="002970ED"/>
    <w:rsid w:val="00297669"/>
    <w:rsid w:val="00297711"/>
    <w:rsid w:val="00297BDD"/>
    <w:rsid w:val="00297D57"/>
    <w:rsid w:val="002A005D"/>
    <w:rsid w:val="002A0275"/>
    <w:rsid w:val="002A0C6D"/>
    <w:rsid w:val="002A0DC3"/>
    <w:rsid w:val="002A113E"/>
    <w:rsid w:val="002A13AA"/>
    <w:rsid w:val="002A1658"/>
    <w:rsid w:val="002A1691"/>
    <w:rsid w:val="002A1C66"/>
    <w:rsid w:val="002A1C73"/>
    <w:rsid w:val="002A2277"/>
    <w:rsid w:val="002A27A0"/>
    <w:rsid w:val="002A28E0"/>
    <w:rsid w:val="002A3751"/>
    <w:rsid w:val="002A38A0"/>
    <w:rsid w:val="002A3F2C"/>
    <w:rsid w:val="002A4093"/>
    <w:rsid w:val="002A4128"/>
    <w:rsid w:val="002A4668"/>
    <w:rsid w:val="002A48F7"/>
    <w:rsid w:val="002A4A88"/>
    <w:rsid w:val="002A5138"/>
    <w:rsid w:val="002A5147"/>
    <w:rsid w:val="002A552B"/>
    <w:rsid w:val="002A55E2"/>
    <w:rsid w:val="002A56EA"/>
    <w:rsid w:val="002A57FC"/>
    <w:rsid w:val="002A5875"/>
    <w:rsid w:val="002A59D9"/>
    <w:rsid w:val="002A6072"/>
    <w:rsid w:val="002A64C7"/>
    <w:rsid w:val="002A6761"/>
    <w:rsid w:val="002A6BD3"/>
    <w:rsid w:val="002A6DA7"/>
    <w:rsid w:val="002A72AF"/>
    <w:rsid w:val="002A72DE"/>
    <w:rsid w:val="002A75FA"/>
    <w:rsid w:val="002A7722"/>
    <w:rsid w:val="002A7C62"/>
    <w:rsid w:val="002A7FD3"/>
    <w:rsid w:val="002B0125"/>
    <w:rsid w:val="002B0601"/>
    <w:rsid w:val="002B0C0C"/>
    <w:rsid w:val="002B0D66"/>
    <w:rsid w:val="002B10C1"/>
    <w:rsid w:val="002B10D7"/>
    <w:rsid w:val="002B1B71"/>
    <w:rsid w:val="002B1C28"/>
    <w:rsid w:val="002B1D1D"/>
    <w:rsid w:val="002B2009"/>
    <w:rsid w:val="002B20ED"/>
    <w:rsid w:val="002B23C6"/>
    <w:rsid w:val="002B2526"/>
    <w:rsid w:val="002B28AE"/>
    <w:rsid w:val="002B2EDF"/>
    <w:rsid w:val="002B2FC0"/>
    <w:rsid w:val="002B2FD5"/>
    <w:rsid w:val="002B30EB"/>
    <w:rsid w:val="002B31A3"/>
    <w:rsid w:val="002B336E"/>
    <w:rsid w:val="002B34B2"/>
    <w:rsid w:val="002B38F1"/>
    <w:rsid w:val="002B3C01"/>
    <w:rsid w:val="002B3D58"/>
    <w:rsid w:val="002B435F"/>
    <w:rsid w:val="002B43A2"/>
    <w:rsid w:val="002B43C9"/>
    <w:rsid w:val="002B5110"/>
    <w:rsid w:val="002B51FD"/>
    <w:rsid w:val="002B5479"/>
    <w:rsid w:val="002B5C09"/>
    <w:rsid w:val="002B602B"/>
    <w:rsid w:val="002B64DB"/>
    <w:rsid w:val="002B6B56"/>
    <w:rsid w:val="002B6C12"/>
    <w:rsid w:val="002B72BD"/>
    <w:rsid w:val="002B7E68"/>
    <w:rsid w:val="002B7FAB"/>
    <w:rsid w:val="002C002D"/>
    <w:rsid w:val="002C029E"/>
    <w:rsid w:val="002C02C7"/>
    <w:rsid w:val="002C0380"/>
    <w:rsid w:val="002C077D"/>
    <w:rsid w:val="002C0931"/>
    <w:rsid w:val="002C10CE"/>
    <w:rsid w:val="002C1246"/>
    <w:rsid w:val="002C1393"/>
    <w:rsid w:val="002C179E"/>
    <w:rsid w:val="002C1B55"/>
    <w:rsid w:val="002C1C98"/>
    <w:rsid w:val="002C1ED9"/>
    <w:rsid w:val="002C2AC0"/>
    <w:rsid w:val="002C362D"/>
    <w:rsid w:val="002C3BCC"/>
    <w:rsid w:val="002C420F"/>
    <w:rsid w:val="002C426A"/>
    <w:rsid w:val="002C47BE"/>
    <w:rsid w:val="002C48CD"/>
    <w:rsid w:val="002C4ACD"/>
    <w:rsid w:val="002C51FF"/>
    <w:rsid w:val="002C5267"/>
    <w:rsid w:val="002C5815"/>
    <w:rsid w:val="002C5863"/>
    <w:rsid w:val="002C5BCB"/>
    <w:rsid w:val="002C5C27"/>
    <w:rsid w:val="002C5EC5"/>
    <w:rsid w:val="002C6327"/>
    <w:rsid w:val="002C656E"/>
    <w:rsid w:val="002C686F"/>
    <w:rsid w:val="002C6B91"/>
    <w:rsid w:val="002C6BA2"/>
    <w:rsid w:val="002C6CA2"/>
    <w:rsid w:val="002C6F2A"/>
    <w:rsid w:val="002C6F43"/>
    <w:rsid w:val="002C70B9"/>
    <w:rsid w:val="002C716C"/>
    <w:rsid w:val="002C78F7"/>
    <w:rsid w:val="002C7C1C"/>
    <w:rsid w:val="002D02AE"/>
    <w:rsid w:val="002D06D3"/>
    <w:rsid w:val="002D074A"/>
    <w:rsid w:val="002D0A34"/>
    <w:rsid w:val="002D13A2"/>
    <w:rsid w:val="002D1513"/>
    <w:rsid w:val="002D1592"/>
    <w:rsid w:val="002D191E"/>
    <w:rsid w:val="002D1932"/>
    <w:rsid w:val="002D194C"/>
    <w:rsid w:val="002D1A4A"/>
    <w:rsid w:val="002D202D"/>
    <w:rsid w:val="002D219F"/>
    <w:rsid w:val="002D2442"/>
    <w:rsid w:val="002D26ED"/>
    <w:rsid w:val="002D2901"/>
    <w:rsid w:val="002D2BDD"/>
    <w:rsid w:val="002D2D26"/>
    <w:rsid w:val="002D2F9B"/>
    <w:rsid w:val="002D3267"/>
    <w:rsid w:val="002D33E0"/>
    <w:rsid w:val="002D3400"/>
    <w:rsid w:val="002D3674"/>
    <w:rsid w:val="002D4119"/>
    <w:rsid w:val="002D424E"/>
    <w:rsid w:val="002D432D"/>
    <w:rsid w:val="002D4FCA"/>
    <w:rsid w:val="002D53FA"/>
    <w:rsid w:val="002D5439"/>
    <w:rsid w:val="002D5710"/>
    <w:rsid w:val="002D57DD"/>
    <w:rsid w:val="002D582F"/>
    <w:rsid w:val="002D5B8B"/>
    <w:rsid w:val="002D5BE6"/>
    <w:rsid w:val="002D655C"/>
    <w:rsid w:val="002D69C3"/>
    <w:rsid w:val="002D6EB1"/>
    <w:rsid w:val="002D7226"/>
    <w:rsid w:val="002D779F"/>
    <w:rsid w:val="002D77A7"/>
    <w:rsid w:val="002D7C5E"/>
    <w:rsid w:val="002E070D"/>
    <w:rsid w:val="002E073E"/>
    <w:rsid w:val="002E0DCF"/>
    <w:rsid w:val="002E1352"/>
    <w:rsid w:val="002E1417"/>
    <w:rsid w:val="002E1873"/>
    <w:rsid w:val="002E1F8B"/>
    <w:rsid w:val="002E2774"/>
    <w:rsid w:val="002E27E7"/>
    <w:rsid w:val="002E29CE"/>
    <w:rsid w:val="002E2B15"/>
    <w:rsid w:val="002E30EE"/>
    <w:rsid w:val="002E3651"/>
    <w:rsid w:val="002E367B"/>
    <w:rsid w:val="002E43EB"/>
    <w:rsid w:val="002E44A8"/>
    <w:rsid w:val="002E4627"/>
    <w:rsid w:val="002E4B6E"/>
    <w:rsid w:val="002E4E4E"/>
    <w:rsid w:val="002E5146"/>
    <w:rsid w:val="002E5748"/>
    <w:rsid w:val="002E57CF"/>
    <w:rsid w:val="002E595A"/>
    <w:rsid w:val="002E5991"/>
    <w:rsid w:val="002E5CE7"/>
    <w:rsid w:val="002E64B4"/>
    <w:rsid w:val="002E64FC"/>
    <w:rsid w:val="002E701E"/>
    <w:rsid w:val="002E7020"/>
    <w:rsid w:val="002E73C6"/>
    <w:rsid w:val="002E7CC8"/>
    <w:rsid w:val="002F0135"/>
    <w:rsid w:val="002F0446"/>
    <w:rsid w:val="002F0A87"/>
    <w:rsid w:val="002F0EA1"/>
    <w:rsid w:val="002F2242"/>
    <w:rsid w:val="002F244C"/>
    <w:rsid w:val="002F24CE"/>
    <w:rsid w:val="002F24D8"/>
    <w:rsid w:val="002F27FC"/>
    <w:rsid w:val="002F299B"/>
    <w:rsid w:val="002F2A3F"/>
    <w:rsid w:val="002F2C51"/>
    <w:rsid w:val="002F3890"/>
    <w:rsid w:val="002F3B20"/>
    <w:rsid w:val="002F421C"/>
    <w:rsid w:val="002F4ABE"/>
    <w:rsid w:val="002F4AE9"/>
    <w:rsid w:val="002F51E1"/>
    <w:rsid w:val="002F561B"/>
    <w:rsid w:val="002F5B3D"/>
    <w:rsid w:val="002F697E"/>
    <w:rsid w:val="002F6A2E"/>
    <w:rsid w:val="002F6B4E"/>
    <w:rsid w:val="002F73AB"/>
    <w:rsid w:val="002F73AD"/>
    <w:rsid w:val="00300059"/>
    <w:rsid w:val="00300393"/>
    <w:rsid w:val="0030047D"/>
    <w:rsid w:val="00300520"/>
    <w:rsid w:val="00300AE4"/>
    <w:rsid w:val="00300C62"/>
    <w:rsid w:val="00301756"/>
    <w:rsid w:val="0030185F"/>
    <w:rsid w:val="00301869"/>
    <w:rsid w:val="00302229"/>
    <w:rsid w:val="00302636"/>
    <w:rsid w:val="0030267A"/>
    <w:rsid w:val="00302715"/>
    <w:rsid w:val="00302957"/>
    <w:rsid w:val="00302C9E"/>
    <w:rsid w:val="003034DA"/>
    <w:rsid w:val="0030355A"/>
    <w:rsid w:val="00303866"/>
    <w:rsid w:val="00303CC6"/>
    <w:rsid w:val="00303CF1"/>
    <w:rsid w:val="0030453B"/>
    <w:rsid w:val="00304577"/>
    <w:rsid w:val="00304656"/>
    <w:rsid w:val="003048BD"/>
    <w:rsid w:val="00304ABA"/>
    <w:rsid w:val="00304D42"/>
    <w:rsid w:val="0030564B"/>
    <w:rsid w:val="00305A04"/>
    <w:rsid w:val="00305AD9"/>
    <w:rsid w:val="00305F70"/>
    <w:rsid w:val="00306641"/>
    <w:rsid w:val="003069A8"/>
    <w:rsid w:val="0030711A"/>
    <w:rsid w:val="003073A2"/>
    <w:rsid w:val="003078C4"/>
    <w:rsid w:val="00307E91"/>
    <w:rsid w:val="003102EC"/>
    <w:rsid w:val="00310786"/>
    <w:rsid w:val="003111E6"/>
    <w:rsid w:val="00311634"/>
    <w:rsid w:val="003117DF"/>
    <w:rsid w:val="00311D65"/>
    <w:rsid w:val="0031223E"/>
    <w:rsid w:val="00312ECF"/>
    <w:rsid w:val="00313BDB"/>
    <w:rsid w:val="00314148"/>
    <w:rsid w:val="00314648"/>
    <w:rsid w:val="0031470E"/>
    <w:rsid w:val="00314B94"/>
    <w:rsid w:val="0031590F"/>
    <w:rsid w:val="00315B98"/>
    <w:rsid w:val="00315BBF"/>
    <w:rsid w:val="00316376"/>
    <w:rsid w:val="003163DD"/>
    <w:rsid w:val="00316455"/>
    <w:rsid w:val="003168F4"/>
    <w:rsid w:val="00316FBB"/>
    <w:rsid w:val="00317A0A"/>
    <w:rsid w:val="00317AE6"/>
    <w:rsid w:val="00317CEC"/>
    <w:rsid w:val="0032048A"/>
    <w:rsid w:val="003206E0"/>
    <w:rsid w:val="003209CB"/>
    <w:rsid w:val="00320BAD"/>
    <w:rsid w:val="00320D0B"/>
    <w:rsid w:val="00320FE8"/>
    <w:rsid w:val="0032121F"/>
    <w:rsid w:val="00321788"/>
    <w:rsid w:val="00321BE4"/>
    <w:rsid w:val="00322892"/>
    <w:rsid w:val="0032292D"/>
    <w:rsid w:val="0032298C"/>
    <w:rsid w:val="003237A6"/>
    <w:rsid w:val="0032395B"/>
    <w:rsid w:val="00323C16"/>
    <w:rsid w:val="00323C42"/>
    <w:rsid w:val="00323E89"/>
    <w:rsid w:val="00324107"/>
    <w:rsid w:val="00324521"/>
    <w:rsid w:val="003247C9"/>
    <w:rsid w:val="00324E8B"/>
    <w:rsid w:val="00325027"/>
    <w:rsid w:val="0032527A"/>
    <w:rsid w:val="00325376"/>
    <w:rsid w:val="003253C8"/>
    <w:rsid w:val="00325C4E"/>
    <w:rsid w:val="00325D50"/>
    <w:rsid w:val="00325E0B"/>
    <w:rsid w:val="00325E3B"/>
    <w:rsid w:val="00326A49"/>
    <w:rsid w:val="00326D45"/>
    <w:rsid w:val="0032718E"/>
    <w:rsid w:val="003271F0"/>
    <w:rsid w:val="00327D5E"/>
    <w:rsid w:val="003304C7"/>
    <w:rsid w:val="00330516"/>
    <w:rsid w:val="00330519"/>
    <w:rsid w:val="003309C5"/>
    <w:rsid w:val="00330CB0"/>
    <w:rsid w:val="003316AF"/>
    <w:rsid w:val="00331E19"/>
    <w:rsid w:val="00332332"/>
    <w:rsid w:val="0033241E"/>
    <w:rsid w:val="003324DE"/>
    <w:rsid w:val="003326CC"/>
    <w:rsid w:val="003327C5"/>
    <w:rsid w:val="003328E3"/>
    <w:rsid w:val="00332D03"/>
    <w:rsid w:val="0033305D"/>
    <w:rsid w:val="003339B9"/>
    <w:rsid w:val="00333F11"/>
    <w:rsid w:val="0033402E"/>
    <w:rsid w:val="0033461F"/>
    <w:rsid w:val="003349B3"/>
    <w:rsid w:val="00334CFD"/>
    <w:rsid w:val="00334E1E"/>
    <w:rsid w:val="00335004"/>
    <w:rsid w:val="0033521F"/>
    <w:rsid w:val="00335FB8"/>
    <w:rsid w:val="00336166"/>
    <w:rsid w:val="003361B1"/>
    <w:rsid w:val="00336E33"/>
    <w:rsid w:val="00336EBB"/>
    <w:rsid w:val="0033762D"/>
    <w:rsid w:val="003379BA"/>
    <w:rsid w:val="00340303"/>
    <w:rsid w:val="0034038D"/>
    <w:rsid w:val="0034089C"/>
    <w:rsid w:val="00340BEA"/>
    <w:rsid w:val="00340F89"/>
    <w:rsid w:val="00341B3D"/>
    <w:rsid w:val="00341B8F"/>
    <w:rsid w:val="00341CA3"/>
    <w:rsid w:val="00341E5D"/>
    <w:rsid w:val="003420C4"/>
    <w:rsid w:val="00342233"/>
    <w:rsid w:val="00342728"/>
    <w:rsid w:val="00342C76"/>
    <w:rsid w:val="00342D6B"/>
    <w:rsid w:val="00343340"/>
    <w:rsid w:val="00343361"/>
    <w:rsid w:val="00343912"/>
    <w:rsid w:val="00343C82"/>
    <w:rsid w:val="0034409F"/>
    <w:rsid w:val="00344407"/>
    <w:rsid w:val="00344B74"/>
    <w:rsid w:val="00344C48"/>
    <w:rsid w:val="00344F44"/>
    <w:rsid w:val="00344FE7"/>
    <w:rsid w:val="00345955"/>
    <w:rsid w:val="00345C33"/>
    <w:rsid w:val="00345FAA"/>
    <w:rsid w:val="00346459"/>
    <w:rsid w:val="0034649F"/>
    <w:rsid w:val="003468F1"/>
    <w:rsid w:val="00346C32"/>
    <w:rsid w:val="00347072"/>
    <w:rsid w:val="00347414"/>
    <w:rsid w:val="003475C1"/>
    <w:rsid w:val="00347782"/>
    <w:rsid w:val="003479AF"/>
    <w:rsid w:val="00350390"/>
    <w:rsid w:val="003508FF"/>
    <w:rsid w:val="00350B83"/>
    <w:rsid w:val="00350E61"/>
    <w:rsid w:val="003512E5"/>
    <w:rsid w:val="0035147C"/>
    <w:rsid w:val="00351B63"/>
    <w:rsid w:val="00352144"/>
    <w:rsid w:val="003523AB"/>
    <w:rsid w:val="00352581"/>
    <w:rsid w:val="00352EA7"/>
    <w:rsid w:val="00353DAF"/>
    <w:rsid w:val="0035474A"/>
    <w:rsid w:val="00354CC4"/>
    <w:rsid w:val="00354D0C"/>
    <w:rsid w:val="00354DAE"/>
    <w:rsid w:val="00355241"/>
    <w:rsid w:val="0035528E"/>
    <w:rsid w:val="0035578E"/>
    <w:rsid w:val="00355825"/>
    <w:rsid w:val="00355A16"/>
    <w:rsid w:val="00355B51"/>
    <w:rsid w:val="00356626"/>
    <w:rsid w:val="00356B36"/>
    <w:rsid w:val="00357023"/>
    <w:rsid w:val="003574E3"/>
    <w:rsid w:val="003575E6"/>
    <w:rsid w:val="00357E81"/>
    <w:rsid w:val="0036014A"/>
    <w:rsid w:val="00360153"/>
    <w:rsid w:val="00360316"/>
    <w:rsid w:val="00360AE9"/>
    <w:rsid w:val="00360F70"/>
    <w:rsid w:val="003610ED"/>
    <w:rsid w:val="00361DC0"/>
    <w:rsid w:val="00361F12"/>
    <w:rsid w:val="00362096"/>
    <w:rsid w:val="003620D8"/>
    <w:rsid w:val="00362421"/>
    <w:rsid w:val="00362C25"/>
    <w:rsid w:val="003630CC"/>
    <w:rsid w:val="0036312D"/>
    <w:rsid w:val="003634C1"/>
    <w:rsid w:val="00363BA7"/>
    <w:rsid w:val="0036427D"/>
    <w:rsid w:val="00364875"/>
    <w:rsid w:val="00364C1A"/>
    <w:rsid w:val="00365813"/>
    <w:rsid w:val="00365B22"/>
    <w:rsid w:val="00365B95"/>
    <w:rsid w:val="003661C5"/>
    <w:rsid w:val="003662E5"/>
    <w:rsid w:val="003666DC"/>
    <w:rsid w:val="00366B6A"/>
    <w:rsid w:val="00366D64"/>
    <w:rsid w:val="00367233"/>
    <w:rsid w:val="0036771C"/>
    <w:rsid w:val="0036792E"/>
    <w:rsid w:val="00367A5E"/>
    <w:rsid w:val="00367B65"/>
    <w:rsid w:val="00367BB1"/>
    <w:rsid w:val="00367D24"/>
    <w:rsid w:val="0037050D"/>
    <w:rsid w:val="003709D5"/>
    <w:rsid w:val="00370AA8"/>
    <w:rsid w:val="00370AE9"/>
    <w:rsid w:val="00370C38"/>
    <w:rsid w:val="00371254"/>
    <w:rsid w:val="003713AE"/>
    <w:rsid w:val="0037198B"/>
    <w:rsid w:val="003719D1"/>
    <w:rsid w:val="0037277E"/>
    <w:rsid w:val="0037294B"/>
    <w:rsid w:val="003729AD"/>
    <w:rsid w:val="00372E11"/>
    <w:rsid w:val="00372FAB"/>
    <w:rsid w:val="0037308D"/>
    <w:rsid w:val="003730B9"/>
    <w:rsid w:val="00373885"/>
    <w:rsid w:val="00373EB0"/>
    <w:rsid w:val="00374017"/>
    <w:rsid w:val="003745F4"/>
    <w:rsid w:val="00374661"/>
    <w:rsid w:val="00374992"/>
    <w:rsid w:val="00374E6B"/>
    <w:rsid w:val="00375D55"/>
    <w:rsid w:val="00375FF5"/>
    <w:rsid w:val="0037627E"/>
    <w:rsid w:val="003762D9"/>
    <w:rsid w:val="003765F0"/>
    <w:rsid w:val="00376A21"/>
    <w:rsid w:val="00376DA8"/>
    <w:rsid w:val="003770B5"/>
    <w:rsid w:val="003771CB"/>
    <w:rsid w:val="0037766D"/>
    <w:rsid w:val="00377B1E"/>
    <w:rsid w:val="00377BFB"/>
    <w:rsid w:val="00377DA9"/>
    <w:rsid w:val="0038016B"/>
    <w:rsid w:val="0038022C"/>
    <w:rsid w:val="00380683"/>
    <w:rsid w:val="003809C8"/>
    <w:rsid w:val="00380F9F"/>
    <w:rsid w:val="00381607"/>
    <w:rsid w:val="00381643"/>
    <w:rsid w:val="003818C6"/>
    <w:rsid w:val="0038195D"/>
    <w:rsid w:val="00382698"/>
    <w:rsid w:val="003826DB"/>
    <w:rsid w:val="00382762"/>
    <w:rsid w:val="00382D32"/>
    <w:rsid w:val="00382E6A"/>
    <w:rsid w:val="00382F7E"/>
    <w:rsid w:val="00383059"/>
    <w:rsid w:val="003834DF"/>
    <w:rsid w:val="00383A8F"/>
    <w:rsid w:val="00383C0F"/>
    <w:rsid w:val="00383CAB"/>
    <w:rsid w:val="00383D55"/>
    <w:rsid w:val="00383E25"/>
    <w:rsid w:val="00384120"/>
    <w:rsid w:val="0038419E"/>
    <w:rsid w:val="00384865"/>
    <w:rsid w:val="00384C56"/>
    <w:rsid w:val="00384CE5"/>
    <w:rsid w:val="003857F4"/>
    <w:rsid w:val="00385BC6"/>
    <w:rsid w:val="00385EF9"/>
    <w:rsid w:val="00386415"/>
    <w:rsid w:val="003865C8"/>
    <w:rsid w:val="00386C60"/>
    <w:rsid w:val="00386D01"/>
    <w:rsid w:val="00387529"/>
    <w:rsid w:val="0039035E"/>
    <w:rsid w:val="003903F6"/>
    <w:rsid w:val="00390620"/>
    <w:rsid w:val="0039065B"/>
    <w:rsid w:val="00390732"/>
    <w:rsid w:val="00390AEA"/>
    <w:rsid w:val="0039104A"/>
    <w:rsid w:val="0039143C"/>
    <w:rsid w:val="0039174F"/>
    <w:rsid w:val="0039199B"/>
    <w:rsid w:val="003921FB"/>
    <w:rsid w:val="00392300"/>
    <w:rsid w:val="0039255E"/>
    <w:rsid w:val="00392796"/>
    <w:rsid w:val="00392C21"/>
    <w:rsid w:val="00393210"/>
    <w:rsid w:val="0039331E"/>
    <w:rsid w:val="00393882"/>
    <w:rsid w:val="0039444D"/>
    <w:rsid w:val="003946D6"/>
    <w:rsid w:val="0039479A"/>
    <w:rsid w:val="00394B90"/>
    <w:rsid w:val="0039578A"/>
    <w:rsid w:val="00395D20"/>
    <w:rsid w:val="00395D28"/>
    <w:rsid w:val="003962B1"/>
    <w:rsid w:val="003962EA"/>
    <w:rsid w:val="00396F81"/>
    <w:rsid w:val="003972DA"/>
    <w:rsid w:val="0039753D"/>
    <w:rsid w:val="003976A2"/>
    <w:rsid w:val="003978EB"/>
    <w:rsid w:val="00397951"/>
    <w:rsid w:val="00397BEA"/>
    <w:rsid w:val="003A073D"/>
    <w:rsid w:val="003A0CDC"/>
    <w:rsid w:val="003A0D57"/>
    <w:rsid w:val="003A0E08"/>
    <w:rsid w:val="003A1183"/>
    <w:rsid w:val="003A120F"/>
    <w:rsid w:val="003A1A56"/>
    <w:rsid w:val="003A25AD"/>
    <w:rsid w:val="003A26E3"/>
    <w:rsid w:val="003A2CE5"/>
    <w:rsid w:val="003A2F62"/>
    <w:rsid w:val="003A2F68"/>
    <w:rsid w:val="003A33D8"/>
    <w:rsid w:val="003A3782"/>
    <w:rsid w:val="003A37C9"/>
    <w:rsid w:val="003A39AA"/>
    <w:rsid w:val="003A3C8A"/>
    <w:rsid w:val="003A3F32"/>
    <w:rsid w:val="003A40BC"/>
    <w:rsid w:val="003A4BD5"/>
    <w:rsid w:val="003A4BE5"/>
    <w:rsid w:val="003A4F03"/>
    <w:rsid w:val="003A4FAF"/>
    <w:rsid w:val="003A4FDF"/>
    <w:rsid w:val="003A5141"/>
    <w:rsid w:val="003A5689"/>
    <w:rsid w:val="003A56A2"/>
    <w:rsid w:val="003A6049"/>
    <w:rsid w:val="003A6B12"/>
    <w:rsid w:val="003A6D26"/>
    <w:rsid w:val="003A6E2C"/>
    <w:rsid w:val="003A715A"/>
    <w:rsid w:val="003A7594"/>
    <w:rsid w:val="003A7659"/>
    <w:rsid w:val="003A7B3A"/>
    <w:rsid w:val="003A7D64"/>
    <w:rsid w:val="003B0061"/>
    <w:rsid w:val="003B014D"/>
    <w:rsid w:val="003B0537"/>
    <w:rsid w:val="003B0D57"/>
    <w:rsid w:val="003B0E1F"/>
    <w:rsid w:val="003B169B"/>
    <w:rsid w:val="003B1A50"/>
    <w:rsid w:val="003B23DC"/>
    <w:rsid w:val="003B2A0B"/>
    <w:rsid w:val="003B2C6B"/>
    <w:rsid w:val="003B2E04"/>
    <w:rsid w:val="003B2FCA"/>
    <w:rsid w:val="003B33EB"/>
    <w:rsid w:val="003B36CB"/>
    <w:rsid w:val="003B37EE"/>
    <w:rsid w:val="003B3A4F"/>
    <w:rsid w:val="003B3C7C"/>
    <w:rsid w:val="003B3DE4"/>
    <w:rsid w:val="003B3F00"/>
    <w:rsid w:val="003B442D"/>
    <w:rsid w:val="003B4BAE"/>
    <w:rsid w:val="003B4DE1"/>
    <w:rsid w:val="003B4F0F"/>
    <w:rsid w:val="003B4F75"/>
    <w:rsid w:val="003B5210"/>
    <w:rsid w:val="003B5364"/>
    <w:rsid w:val="003B5410"/>
    <w:rsid w:val="003B55B3"/>
    <w:rsid w:val="003B56ED"/>
    <w:rsid w:val="003B5A9C"/>
    <w:rsid w:val="003B5BC4"/>
    <w:rsid w:val="003B5E5E"/>
    <w:rsid w:val="003B5F5B"/>
    <w:rsid w:val="003B60A5"/>
    <w:rsid w:val="003B61F9"/>
    <w:rsid w:val="003B6275"/>
    <w:rsid w:val="003B6519"/>
    <w:rsid w:val="003B6568"/>
    <w:rsid w:val="003B6AC6"/>
    <w:rsid w:val="003B755C"/>
    <w:rsid w:val="003B7E25"/>
    <w:rsid w:val="003B7ECB"/>
    <w:rsid w:val="003C010A"/>
    <w:rsid w:val="003C0C11"/>
    <w:rsid w:val="003C12D1"/>
    <w:rsid w:val="003C12E3"/>
    <w:rsid w:val="003C1324"/>
    <w:rsid w:val="003C2148"/>
    <w:rsid w:val="003C2320"/>
    <w:rsid w:val="003C236F"/>
    <w:rsid w:val="003C27A5"/>
    <w:rsid w:val="003C2BDF"/>
    <w:rsid w:val="003C2DC1"/>
    <w:rsid w:val="003C2E43"/>
    <w:rsid w:val="003C2F9E"/>
    <w:rsid w:val="003C32C5"/>
    <w:rsid w:val="003C3604"/>
    <w:rsid w:val="003C3631"/>
    <w:rsid w:val="003C39C7"/>
    <w:rsid w:val="003C3AAC"/>
    <w:rsid w:val="003C404C"/>
    <w:rsid w:val="003C41CE"/>
    <w:rsid w:val="003C42E3"/>
    <w:rsid w:val="003C44AD"/>
    <w:rsid w:val="003C4624"/>
    <w:rsid w:val="003C49A2"/>
    <w:rsid w:val="003C4C7E"/>
    <w:rsid w:val="003C4FFE"/>
    <w:rsid w:val="003C5049"/>
    <w:rsid w:val="003C558A"/>
    <w:rsid w:val="003C55C6"/>
    <w:rsid w:val="003C55E3"/>
    <w:rsid w:val="003C5C3F"/>
    <w:rsid w:val="003C5E38"/>
    <w:rsid w:val="003C6397"/>
    <w:rsid w:val="003C6399"/>
    <w:rsid w:val="003C63C2"/>
    <w:rsid w:val="003C652A"/>
    <w:rsid w:val="003C665E"/>
    <w:rsid w:val="003C69FB"/>
    <w:rsid w:val="003C71DE"/>
    <w:rsid w:val="003C7209"/>
    <w:rsid w:val="003C730A"/>
    <w:rsid w:val="003C7384"/>
    <w:rsid w:val="003C767E"/>
    <w:rsid w:val="003C78AA"/>
    <w:rsid w:val="003C79C7"/>
    <w:rsid w:val="003C7B15"/>
    <w:rsid w:val="003C7DAE"/>
    <w:rsid w:val="003C7F87"/>
    <w:rsid w:val="003C7FC2"/>
    <w:rsid w:val="003D000D"/>
    <w:rsid w:val="003D006D"/>
    <w:rsid w:val="003D033A"/>
    <w:rsid w:val="003D051B"/>
    <w:rsid w:val="003D0A61"/>
    <w:rsid w:val="003D0FB8"/>
    <w:rsid w:val="003D1616"/>
    <w:rsid w:val="003D16EF"/>
    <w:rsid w:val="003D2023"/>
    <w:rsid w:val="003D21E7"/>
    <w:rsid w:val="003D23FD"/>
    <w:rsid w:val="003D2477"/>
    <w:rsid w:val="003D2826"/>
    <w:rsid w:val="003D2915"/>
    <w:rsid w:val="003D298E"/>
    <w:rsid w:val="003D2E40"/>
    <w:rsid w:val="003D2ECA"/>
    <w:rsid w:val="003D3467"/>
    <w:rsid w:val="003D3668"/>
    <w:rsid w:val="003D3A89"/>
    <w:rsid w:val="003D3AF3"/>
    <w:rsid w:val="003D42F1"/>
    <w:rsid w:val="003D4486"/>
    <w:rsid w:val="003D4D1D"/>
    <w:rsid w:val="003D4EDC"/>
    <w:rsid w:val="003D4FF9"/>
    <w:rsid w:val="003D507F"/>
    <w:rsid w:val="003D5530"/>
    <w:rsid w:val="003D560C"/>
    <w:rsid w:val="003D5961"/>
    <w:rsid w:val="003D5A56"/>
    <w:rsid w:val="003D5CE8"/>
    <w:rsid w:val="003D5E09"/>
    <w:rsid w:val="003D64A6"/>
    <w:rsid w:val="003D6C63"/>
    <w:rsid w:val="003D6D36"/>
    <w:rsid w:val="003D6ED6"/>
    <w:rsid w:val="003D6F89"/>
    <w:rsid w:val="003D751B"/>
    <w:rsid w:val="003D76E5"/>
    <w:rsid w:val="003D781E"/>
    <w:rsid w:val="003D7A02"/>
    <w:rsid w:val="003D7C32"/>
    <w:rsid w:val="003D7C90"/>
    <w:rsid w:val="003E06F6"/>
    <w:rsid w:val="003E079F"/>
    <w:rsid w:val="003E097D"/>
    <w:rsid w:val="003E0FBF"/>
    <w:rsid w:val="003E10D0"/>
    <w:rsid w:val="003E1131"/>
    <w:rsid w:val="003E137F"/>
    <w:rsid w:val="003E14C9"/>
    <w:rsid w:val="003E18C3"/>
    <w:rsid w:val="003E26ED"/>
    <w:rsid w:val="003E2A10"/>
    <w:rsid w:val="003E2D28"/>
    <w:rsid w:val="003E2FF0"/>
    <w:rsid w:val="003E337B"/>
    <w:rsid w:val="003E3AB7"/>
    <w:rsid w:val="003E4923"/>
    <w:rsid w:val="003E4D74"/>
    <w:rsid w:val="003E4E61"/>
    <w:rsid w:val="003E51A4"/>
    <w:rsid w:val="003E5319"/>
    <w:rsid w:val="003E58C2"/>
    <w:rsid w:val="003E5916"/>
    <w:rsid w:val="003E5A76"/>
    <w:rsid w:val="003E6376"/>
    <w:rsid w:val="003E6687"/>
    <w:rsid w:val="003E6B27"/>
    <w:rsid w:val="003E6B9D"/>
    <w:rsid w:val="003E72B1"/>
    <w:rsid w:val="003E764F"/>
    <w:rsid w:val="003E7A12"/>
    <w:rsid w:val="003E7DC6"/>
    <w:rsid w:val="003F00DF"/>
    <w:rsid w:val="003F02CB"/>
    <w:rsid w:val="003F0522"/>
    <w:rsid w:val="003F0FD9"/>
    <w:rsid w:val="003F12EC"/>
    <w:rsid w:val="003F14FD"/>
    <w:rsid w:val="003F172A"/>
    <w:rsid w:val="003F1C3D"/>
    <w:rsid w:val="003F1FDA"/>
    <w:rsid w:val="003F23D3"/>
    <w:rsid w:val="003F25E9"/>
    <w:rsid w:val="003F2602"/>
    <w:rsid w:val="003F2678"/>
    <w:rsid w:val="003F2797"/>
    <w:rsid w:val="003F2FAE"/>
    <w:rsid w:val="003F33C3"/>
    <w:rsid w:val="003F37AB"/>
    <w:rsid w:val="003F387F"/>
    <w:rsid w:val="003F3ABA"/>
    <w:rsid w:val="003F3E96"/>
    <w:rsid w:val="003F452D"/>
    <w:rsid w:val="003F45D6"/>
    <w:rsid w:val="003F4BFE"/>
    <w:rsid w:val="003F4F25"/>
    <w:rsid w:val="003F5BE6"/>
    <w:rsid w:val="003F60FD"/>
    <w:rsid w:val="003F6D16"/>
    <w:rsid w:val="003F6D25"/>
    <w:rsid w:val="003F6F5A"/>
    <w:rsid w:val="003F7603"/>
    <w:rsid w:val="003F788F"/>
    <w:rsid w:val="003F797D"/>
    <w:rsid w:val="003F7A45"/>
    <w:rsid w:val="0040000C"/>
    <w:rsid w:val="004001E8"/>
    <w:rsid w:val="00400302"/>
    <w:rsid w:val="004009D9"/>
    <w:rsid w:val="00400F52"/>
    <w:rsid w:val="00401764"/>
    <w:rsid w:val="0040189C"/>
    <w:rsid w:val="00401C21"/>
    <w:rsid w:val="00402A89"/>
    <w:rsid w:val="00403293"/>
    <w:rsid w:val="0040338B"/>
    <w:rsid w:val="004035DD"/>
    <w:rsid w:val="004038B3"/>
    <w:rsid w:val="0040398A"/>
    <w:rsid w:val="00403CA0"/>
    <w:rsid w:val="00403E2F"/>
    <w:rsid w:val="00404BDC"/>
    <w:rsid w:val="00404D7B"/>
    <w:rsid w:val="00404E4D"/>
    <w:rsid w:val="00405871"/>
    <w:rsid w:val="00405CD9"/>
    <w:rsid w:val="0040653F"/>
    <w:rsid w:val="00406651"/>
    <w:rsid w:val="00406703"/>
    <w:rsid w:val="00406B25"/>
    <w:rsid w:val="00406BCD"/>
    <w:rsid w:val="0040736D"/>
    <w:rsid w:val="00407382"/>
    <w:rsid w:val="0040745B"/>
    <w:rsid w:val="0040758D"/>
    <w:rsid w:val="00407E97"/>
    <w:rsid w:val="00410065"/>
    <w:rsid w:val="0041138B"/>
    <w:rsid w:val="00411FC4"/>
    <w:rsid w:val="0041234E"/>
    <w:rsid w:val="0041253D"/>
    <w:rsid w:val="00412813"/>
    <w:rsid w:val="004129C0"/>
    <w:rsid w:val="00412EE0"/>
    <w:rsid w:val="0041338E"/>
    <w:rsid w:val="004133C3"/>
    <w:rsid w:val="00413660"/>
    <w:rsid w:val="004137F1"/>
    <w:rsid w:val="0041384B"/>
    <w:rsid w:val="004138A4"/>
    <w:rsid w:val="00414055"/>
    <w:rsid w:val="004143E8"/>
    <w:rsid w:val="004144CF"/>
    <w:rsid w:val="0041463A"/>
    <w:rsid w:val="0041476E"/>
    <w:rsid w:val="00414823"/>
    <w:rsid w:val="004152CD"/>
    <w:rsid w:val="0041555C"/>
    <w:rsid w:val="00415A63"/>
    <w:rsid w:val="00415AC4"/>
    <w:rsid w:val="00415ED1"/>
    <w:rsid w:val="0041620C"/>
    <w:rsid w:val="00416BBD"/>
    <w:rsid w:val="00416C06"/>
    <w:rsid w:val="00416C36"/>
    <w:rsid w:val="004172A8"/>
    <w:rsid w:val="0041733C"/>
    <w:rsid w:val="0041772B"/>
    <w:rsid w:val="004179DB"/>
    <w:rsid w:val="004179EA"/>
    <w:rsid w:val="00417D4E"/>
    <w:rsid w:val="004200C3"/>
    <w:rsid w:val="00420212"/>
    <w:rsid w:val="00420865"/>
    <w:rsid w:val="00420A55"/>
    <w:rsid w:val="00420A5C"/>
    <w:rsid w:val="00420E60"/>
    <w:rsid w:val="0042178F"/>
    <w:rsid w:val="0042190C"/>
    <w:rsid w:val="004219A7"/>
    <w:rsid w:val="00422049"/>
    <w:rsid w:val="00422232"/>
    <w:rsid w:val="0042226E"/>
    <w:rsid w:val="004222F3"/>
    <w:rsid w:val="00423192"/>
    <w:rsid w:val="00423816"/>
    <w:rsid w:val="00423B70"/>
    <w:rsid w:val="00423BE9"/>
    <w:rsid w:val="00423D75"/>
    <w:rsid w:val="0042453A"/>
    <w:rsid w:val="0042465E"/>
    <w:rsid w:val="00424683"/>
    <w:rsid w:val="004246C9"/>
    <w:rsid w:val="00424B98"/>
    <w:rsid w:val="00424B9C"/>
    <w:rsid w:val="00425006"/>
    <w:rsid w:val="004255E5"/>
    <w:rsid w:val="00425DEC"/>
    <w:rsid w:val="004263BC"/>
    <w:rsid w:val="004270FE"/>
    <w:rsid w:val="0042793F"/>
    <w:rsid w:val="00427D7C"/>
    <w:rsid w:val="00430378"/>
    <w:rsid w:val="00430858"/>
    <w:rsid w:val="00430BD9"/>
    <w:rsid w:val="0043106B"/>
    <w:rsid w:val="0043119A"/>
    <w:rsid w:val="004312B6"/>
    <w:rsid w:val="0043178A"/>
    <w:rsid w:val="004317C7"/>
    <w:rsid w:val="00431A22"/>
    <w:rsid w:val="0043230A"/>
    <w:rsid w:val="0043233C"/>
    <w:rsid w:val="00432422"/>
    <w:rsid w:val="004324FB"/>
    <w:rsid w:val="00432B97"/>
    <w:rsid w:val="0043308B"/>
    <w:rsid w:val="004336E6"/>
    <w:rsid w:val="004337C6"/>
    <w:rsid w:val="0043393D"/>
    <w:rsid w:val="00433D25"/>
    <w:rsid w:val="00433D3E"/>
    <w:rsid w:val="00433F16"/>
    <w:rsid w:val="004340DD"/>
    <w:rsid w:val="00434140"/>
    <w:rsid w:val="00434275"/>
    <w:rsid w:val="004346A9"/>
    <w:rsid w:val="00434904"/>
    <w:rsid w:val="00434B5B"/>
    <w:rsid w:val="00434B6E"/>
    <w:rsid w:val="00434EAB"/>
    <w:rsid w:val="00435761"/>
    <w:rsid w:val="00435AD6"/>
    <w:rsid w:val="004362B0"/>
    <w:rsid w:val="00436464"/>
    <w:rsid w:val="0043651B"/>
    <w:rsid w:val="004367C1"/>
    <w:rsid w:val="00436EBA"/>
    <w:rsid w:val="00436F1D"/>
    <w:rsid w:val="00436F32"/>
    <w:rsid w:val="00436F50"/>
    <w:rsid w:val="004373A2"/>
    <w:rsid w:val="0043769C"/>
    <w:rsid w:val="004376DB"/>
    <w:rsid w:val="004376EE"/>
    <w:rsid w:val="00437764"/>
    <w:rsid w:val="00437925"/>
    <w:rsid w:val="00437AA7"/>
    <w:rsid w:val="00437ABF"/>
    <w:rsid w:val="00437E05"/>
    <w:rsid w:val="00440608"/>
    <w:rsid w:val="004406EE"/>
    <w:rsid w:val="00440855"/>
    <w:rsid w:val="00440F2E"/>
    <w:rsid w:val="00441251"/>
    <w:rsid w:val="00441324"/>
    <w:rsid w:val="004413AD"/>
    <w:rsid w:val="004414B8"/>
    <w:rsid w:val="0044178A"/>
    <w:rsid w:val="004418A6"/>
    <w:rsid w:val="00441A2F"/>
    <w:rsid w:val="00441F70"/>
    <w:rsid w:val="004426B8"/>
    <w:rsid w:val="004428CE"/>
    <w:rsid w:val="00442EC7"/>
    <w:rsid w:val="00442F62"/>
    <w:rsid w:val="00443120"/>
    <w:rsid w:val="00443D7E"/>
    <w:rsid w:val="00443E53"/>
    <w:rsid w:val="00443E6D"/>
    <w:rsid w:val="0044411D"/>
    <w:rsid w:val="004442B5"/>
    <w:rsid w:val="00444442"/>
    <w:rsid w:val="00444A3B"/>
    <w:rsid w:val="00444C15"/>
    <w:rsid w:val="00444DE6"/>
    <w:rsid w:val="00444FE2"/>
    <w:rsid w:val="00445828"/>
    <w:rsid w:val="00445954"/>
    <w:rsid w:val="00445DC2"/>
    <w:rsid w:val="00445F43"/>
    <w:rsid w:val="004467D3"/>
    <w:rsid w:val="00446B0F"/>
    <w:rsid w:val="00446DC5"/>
    <w:rsid w:val="00446E09"/>
    <w:rsid w:val="00446EBD"/>
    <w:rsid w:val="00447030"/>
    <w:rsid w:val="00447884"/>
    <w:rsid w:val="00447B74"/>
    <w:rsid w:val="00447E6B"/>
    <w:rsid w:val="00447EB2"/>
    <w:rsid w:val="00447F8E"/>
    <w:rsid w:val="00450AEA"/>
    <w:rsid w:val="00450FDD"/>
    <w:rsid w:val="0045175C"/>
    <w:rsid w:val="00451C3D"/>
    <w:rsid w:val="00452298"/>
    <w:rsid w:val="004526DA"/>
    <w:rsid w:val="00452C33"/>
    <w:rsid w:val="00452C7B"/>
    <w:rsid w:val="00452CD6"/>
    <w:rsid w:val="0045334B"/>
    <w:rsid w:val="0045456C"/>
    <w:rsid w:val="004545B7"/>
    <w:rsid w:val="00454FF5"/>
    <w:rsid w:val="004551A9"/>
    <w:rsid w:val="0045595B"/>
    <w:rsid w:val="004559AE"/>
    <w:rsid w:val="00455D79"/>
    <w:rsid w:val="00455F0E"/>
    <w:rsid w:val="00456453"/>
    <w:rsid w:val="00456B6B"/>
    <w:rsid w:val="00456BE5"/>
    <w:rsid w:val="00456DFE"/>
    <w:rsid w:val="004573E5"/>
    <w:rsid w:val="00457544"/>
    <w:rsid w:val="00457999"/>
    <w:rsid w:val="00457A73"/>
    <w:rsid w:val="00457E4A"/>
    <w:rsid w:val="00457F43"/>
    <w:rsid w:val="00460642"/>
    <w:rsid w:val="00460A31"/>
    <w:rsid w:val="00460B3B"/>
    <w:rsid w:val="00460B68"/>
    <w:rsid w:val="00461CC8"/>
    <w:rsid w:val="00462038"/>
    <w:rsid w:val="0046286D"/>
    <w:rsid w:val="004629AB"/>
    <w:rsid w:val="00463171"/>
    <w:rsid w:val="004633E0"/>
    <w:rsid w:val="0046387D"/>
    <w:rsid w:val="004638DB"/>
    <w:rsid w:val="004642B4"/>
    <w:rsid w:val="0046486E"/>
    <w:rsid w:val="00464A42"/>
    <w:rsid w:val="00464CAE"/>
    <w:rsid w:val="00464E42"/>
    <w:rsid w:val="0046502C"/>
    <w:rsid w:val="004650E4"/>
    <w:rsid w:val="004655C6"/>
    <w:rsid w:val="00465634"/>
    <w:rsid w:val="004656BF"/>
    <w:rsid w:val="00465D17"/>
    <w:rsid w:val="004664DB"/>
    <w:rsid w:val="0046658D"/>
    <w:rsid w:val="00466FB5"/>
    <w:rsid w:val="004703E1"/>
    <w:rsid w:val="004709B2"/>
    <w:rsid w:val="00470BAF"/>
    <w:rsid w:val="00470C96"/>
    <w:rsid w:val="00470D00"/>
    <w:rsid w:val="00471B00"/>
    <w:rsid w:val="00472AE1"/>
    <w:rsid w:val="00472EA9"/>
    <w:rsid w:val="00473157"/>
    <w:rsid w:val="00473176"/>
    <w:rsid w:val="004734B6"/>
    <w:rsid w:val="004734C5"/>
    <w:rsid w:val="0047364B"/>
    <w:rsid w:val="0047374E"/>
    <w:rsid w:val="00473B3D"/>
    <w:rsid w:val="00473E7E"/>
    <w:rsid w:val="00473E90"/>
    <w:rsid w:val="00473EBB"/>
    <w:rsid w:val="004741F7"/>
    <w:rsid w:val="004742BB"/>
    <w:rsid w:val="004744DB"/>
    <w:rsid w:val="0047477B"/>
    <w:rsid w:val="0047497B"/>
    <w:rsid w:val="00474C6B"/>
    <w:rsid w:val="00475321"/>
    <w:rsid w:val="0047565B"/>
    <w:rsid w:val="0047634F"/>
    <w:rsid w:val="00476358"/>
    <w:rsid w:val="00476B07"/>
    <w:rsid w:val="00476C35"/>
    <w:rsid w:val="00476FD3"/>
    <w:rsid w:val="00477808"/>
    <w:rsid w:val="004779D0"/>
    <w:rsid w:val="00477C19"/>
    <w:rsid w:val="00477DBB"/>
    <w:rsid w:val="004801E0"/>
    <w:rsid w:val="00480BB7"/>
    <w:rsid w:val="00480EE3"/>
    <w:rsid w:val="004812FB"/>
    <w:rsid w:val="004816CA"/>
    <w:rsid w:val="004817BE"/>
    <w:rsid w:val="00481E5F"/>
    <w:rsid w:val="00481E92"/>
    <w:rsid w:val="004826AF"/>
    <w:rsid w:val="0048272F"/>
    <w:rsid w:val="00482D54"/>
    <w:rsid w:val="00483271"/>
    <w:rsid w:val="004835C2"/>
    <w:rsid w:val="00483859"/>
    <w:rsid w:val="00483B46"/>
    <w:rsid w:val="00483D3B"/>
    <w:rsid w:val="004845F1"/>
    <w:rsid w:val="004850B3"/>
    <w:rsid w:val="004857E7"/>
    <w:rsid w:val="00486130"/>
    <w:rsid w:val="004865A8"/>
    <w:rsid w:val="00486ADC"/>
    <w:rsid w:val="00486B96"/>
    <w:rsid w:val="00486C58"/>
    <w:rsid w:val="0048777D"/>
    <w:rsid w:val="004879AF"/>
    <w:rsid w:val="00487D18"/>
    <w:rsid w:val="00490038"/>
    <w:rsid w:val="00490059"/>
    <w:rsid w:val="00490162"/>
    <w:rsid w:val="004904F7"/>
    <w:rsid w:val="00490A5D"/>
    <w:rsid w:val="00491030"/>
    <w:rsid w:val="004910AC"/>
    <w:rsid w:val="004914D8"/>
    <w:rsid w:val="004919E8"/>
    <w:rsid w:val="00491E18"/>
    <w:rsid w:val="00491F91"/>
    <w:rsid w:val="00491FF6"/>
    <w:rsid w:val="00492145"/>
    <w:rsid w:val="004928CE"/>
    <w:rsid w:val="00492A2F"/>
    <w:rsid w:val="00492BA1"/>
    <w:rsid w:val="00492D7E"/>
    <w:rsid w:val="00493540"/>
    <w:rsid w:val="00493607"/>
    <w:rsid w:val="004939E4"/>
    <w:rsid w:val="00493D36"/>
    <w:rsid w:val="00493E35"/>
    <w:rsid w:val="00494AD6"/>
    <w:rsid w:val="00495120"/>
    <w:rsid w:val="00495E67"/>
    <w:rsid w:val="004963F9"/>
    <w:rsid w:val="0049698A"/>
    <w:rsid w:val="00496B4E"/>
    <w:rsid w:val="00496DE2"/>
    <w:rsid w:val="00497448"/>
    <w:rsid w:val="004975AA"/>
    <w:rsid w:val="00497935"/>
    <w:rsid w:val="004A015A"/>
    <w:rsid w:val="004A034A"/>
    <w:rsid w:val="004A0476"/>
    <w:rsid w:val="004A07D7"/>
    <w:rsid w:val="004A0A69"/>
    <w:rsid w:val="004A0F9E"/>
    <w:rsid w:val="004A10D4"/>
    <w:rsid w:val="004A1130"/>
    <w:rsid w:val="004A1219"/>
    <w:rsid w:val="004A1A77"/>
    <w:rsid w:val="004A1DAA"/>
    <w:rsid w:val="004A23D2"/>
    <w:rsid w:val="004A25A0"/>
    <w:rsid w:val="004A285D"/>
    <w:rsid w:val="004A2D1D"/>
    <w:rsid w:val="004A302B"/>
    <w:rsid w:val="004A3242"/>
    <w:rsid w:val="004A3838"/>
    <w:rsid w:val="004A4467"/>
    <w:rsid w:val="004A4957"/>
    <w:rsid w:val="004A5258"/>
    <w:rsid w:val="004A5467"/>
    <w:rsid w:val="004A5AE2"/>
    <w:rsid w:val="004A5BB1"/>
    <w:rsid w:val="004A5CB1"/>
    <w:rsid w:val="004A5E3E"/>
    <w:rsid w:val="004A5EAA"/>
    <w:rsid w:val="004A638D"/>
    <w:rsid w:val="004A64EC"/>
    <w:rsid w:val="004A695F"/>
    <w:rsid w:val="004A697B"/>
    <w:rsid w:val="004A6A35"/>
    <w:rsid w:val="004A6B07"/>
    <w:rsid w:val="004A6EA6"/>
    <w:rsid w:val="004A7550"/>
    <w:rsid w:val="004A7966"/>
    <w:rsid w:val="004A7A54"/>
    <w:rsid w:val="004B0239"/>
    <w:rsid w:val="004B0379"/>
    <w:rsid w:val="004B0A69"/>
    <w:rsid w:val="004B0D1E"/>
    <w:rsid w:val="004B0E2E"/>
    <w:rsid w:val="004B1604"/>
    <w:rsid w:val="004B1701"/>
    <w:rsid w:val="004B1804"/>
    <w:rsid w:val="004B18CC"/>
    <w:rsid w:val="004B2609"/>
    <w:rsid w:val="004B2722"/>
    <w:rsid w:val="004B2F3D"/>
    <w:rsid w:val="004B32A0"/>
    <w:rsid w:val="004B36C1"/>
    <w:rsid w:val="004B3A60"/>
    <w:rsid w:val="004B3FCD"/>
    <w:rsid w:val="004B4C62"/>
    <w:rsid w:val="004B4D15"/>
    <w:rsid w:val="004B5064"/>
    <w:rsid w:val="004B5078"/>
    <w:rsid w:val="004B5096"/>
    <w:rsid w:val="004B51DA"/>
    <w:rsid w:val="004B54EF"/>
    <w:rsid w:val="004B592E"/>
    <w:rsid w:val="004B5CE2"/>
    <w:rsid w:val="004B5DAC"/>
    <w:rsid w:val="004B6147"/>
    <w:rsid w:val="004B6184"/>
    <w:rsid w:val="004B6634"/>
    <w:rsid w:val="004B67BB"/>
    <w:rsid w:val="004B67F1"/>
    <w:rsid w:val="004B6812"/>
    <w:rsid w:val="004B7293"/>
    <w:rsid w:val="004B7DD1"/>
    <w:rsid w:val="004C0096"/>
    <w:rsid w:val="004C00A3"/>
    <w:rsid w:val="004C00F4"/>
    <w:rsid w:val="004C037B"/>
    <w:rsid w:val="004C082A"/>
    <w:rsid w:val="004C0830"/>
    <w:rsid w:val="004C085B"/>
    <w:rsid w:val="004C0BDA"/>
    <w:rsid w:val="004C13F1"/>
    <w:rsid w:val="004C1472"/>
    <w:rsid w:val="004C165E"/>
    <w:rsid w:val="004C1BF9"/>
    <w:rsid w:val="004C1C3E"/>
    <w:rsid w:val="004C23BD"/>
    <w:rsid w:val="004C2498"/>
    <w:rsid w:val="004C331E"/>
    <w:rsid w:val="004C333F"/>
    <w:rsid w:val="004C33BC"/>
    <w:rsid w:val="004C3D19"/>
    <w:rsid w:val="004C3FC0"/>
    <w:rsid w:val="004C42C9"/>
    <w:rsid w:val="004C4D54"/>
    <w:rsid w:val="004C5B42"/>
    <w:rsid w:val="004C5ECB"/>
    <w:rsid w:val="004C6672"/>
    <w:rsid w:val="004C68B6"/>
    <w:rsid w:val="004C6C05"/>
    <w:rsid w:val="004C74F1"/>
    <w:rsid w:val="004D039F"/>
    <w:rsid w:val="004D04F6"/>
    <w:rsid w:val="004D0ED5"/>
    <w:rsid w:val="004D12A8"/>
    <w:rsid w:val="004D1906"/>
    <w:rsid w:val="004D1C16"/>
    <w:rsid w:val="004D203B"/>
    <w:rsid w:val="004D240F"/>
    <w:rsid w:val="004D2434"/>
    <w:rsid w:val="004D2710"/>
    <w:rsid w:val="004D29CC"/>
    <w:rsid w:val="004D2AB8"/>
    <w:rsid w:val="004D2D7A"/>
    <w:rsid w:val="004D37B3"/>
    <w:rsid w:val="004D391B"/>
    <w:rsid w:val="004D3E11"/>
    <w:rsid w:val="004D4043"/>
    <w:rsid w:val="004D4304"/>
    <w:rsid w:val="004D470B"/>
    <w:rsid w:val="004D4CD1"/>
    <w:rsid w:val="004D4E73"/>
    <w:rsid w:val="004D503B"/>
    <w:rsid w:val="004D50AB"/>
    <w:rsid w:val="004D514C"/>
    <w:rsid w:val="004D524E"/>
    <w:rsid w:val="004D5266"/>
    <w:rsid w:val="004D54B7"/>
    <w:rsid w:val="004D60DF"/>
    <w:rsid w:val="004D6786"/>
    <w:rsid w:val="004D69E1"/>
    <w:rsid w:val="004D6BC7"/>
    <w:rsid w:val="004D7869"/>
    <w:rsid w:val="004D7EE4"/>
    <w:rsid w:val="004E0137"/>
    <w:rsid w:val="004E11CF"/>
    <w:rsid w:val="004E121B"/>
    <w:rsid w:val="004E155E"/>
    <w:rsid w:val="004E18E7"/>
    <w:rsid w:val="004E1E29"/>
    <w:rsid w:val="004E1ECE"/>
    <w:rsid w:val="004E1EF5"/>
    <w:rsid w:val="004E20BD"/>
    <w:rsid w:val="004E23F7"/>
    <w:rsid w:val="004E24D1"/>
    <w:rsid w:val="004E2A73"/>
    <w:rsid w:val="004E2B5D"/>
    <w:rsid w:val="004E3268"/>
    <w:rsid w:val="004E33F8"/>
    <w:rsid w:val="004E368A"/>
    <w:rsid w:val="004E3801"/>
    <w:rsid w:val="004E39C9"/>
    <w:rsid w:val="004E417F"/>
    <w:rsid w:val="004E41A1"/>
    <w:rsid w:val="004E4391"/>
    <w:rsid w:val="004E46F5"/>
    <w:rsid w:val="004E4CA8"/>
    <w:rsid w:val="004E4D78"/>
    <w:rsid w:val="004E4E20"/>
    <w:rsid w:val="004E500B"/>
    <w:rsid w:val="004E5153"/>
    <w:rsid w:val="004E5C65"/>
    <w:rsid w:val="004E687B"/>
    <w:rsid w:val="004E70F3"/>
    <w:rsid w:val="004E713A"/>
    <w:rsid w:val="004E7649"/>
    <w:rsid w:val="004E79BA"/>
    <w:rsid w:val="004E79EC"/>
    <w:rsid w:val="004E7AD7"/>
    <w:rsid w:val="004E7B2E"/>
    <w:rsid w:val="004E7BDD"/>
    <w:rsid w:val="004F01D5"/>
    <w:rsid w:val="004F0439"/>
    <w:rsid w:val="004F0738"/>
    <w:rsid w:val="004F0A17"/>
    <w:rsid w:val="004F115C"/>
    <w:rsid w:val="004F13A0"/>
    <w:rsid w:val="004F17D0"/>
    <w:rsid w:val="004F1BB6"/>
    <w:rsid w:val="004F2044"/>
    <w:rsid w:val="004F20DC"/>
    <w:rsid w:val="004F23BA"/>
    <w:rsid w:val="004F33A6"/>
    <w:rsid w:val="004F35B2"/>
    <w:rsid w:val="004F35D6"/>
    <w:rsid w:val="004F3982"/>
    <w:rsid w:val="004F3A47"/>
    <w:rsid w:val="004F3AE1"/>
    <w:rsid w:val="004F3C71"/>
    <w:rsid w:val="004F3CDC"/>
    <w:rsid w:val="004F4537"/>
    <w:rsid w:val="004F4797"/>
    <w:rsid w:val="004F4B63"/>
    <w:rsid w:val="004F5068"/>
    <w:rsid w:val="004F51E9"/>
    <w:rsid w:val="004F54F5"/>
    <w:rsid w:val="004F551A"/>
    <w:rsid w:val="004F5C06"/>
    <w:rsid w:val="004F5FCC"/>
    <w:rsid w:val="004F63CD"/>
    <w:rsid w:val="004F63D5"/>
    <w:rsid w:val="004F64E4"/>
    <w:rsid w:val="004F662E"/>
    <w:rsid w:val="004F6A3A"/>
    <w:rsid w:val="004F6D13"/>
    <w:rsid w:val="004F6D20"/>
    <w:rsid w:val="004F6E61"/>
    <w:rsid w:val="004F71AC"/>
    <w:rsid w:val="004F75B7"/>
    <w:rsid w:val="004F783D"/>
    <w:rsid w:val="004F798E"/>
    <w:rsid w:val="005004E2"/>
    <w:rsid w:val="005009D1"/>
    <w:rsid w:val="005012E6"/>
    <w:rsid w:val="00501B88"/>
    <w:rsid w:val="00501E1D"/>
    <w:rsid w:val="0050246A"/>
    <w:rsid w:val="005025AD"/>
    <w:rsid w:val="005029B4"/>
    <w:rsid w:val="005033B1"/>
    <w:rsid w:val="0050348C"/>
    <w:rsid w:val="005039C8"/>
    <w:rsid w:val="00503A7E"/>
    <w:rsid w:val="00503ADE"/>
    <w:rsid w:val="00503BA8"/>
    <w:rsid w:val="00504660"/>
    <w:rsid w:val="00504D6A"/>
    <w:rsid w:val="00505BCC"/>
    <w:rsid w:val="00505CD4"/>
    <w:rsid w:val="00506869"/>
    <w:rsid w:val="00506974"/>
    <w:rsid w:val="00506E52"/>
    <w:rsid w:val="005072C5"/>
    <w:rsid w:val="005078D1"/>
    <w:rsid w:val="00510003"/>
    <w:rsid w:val="00510174"/>
    <w:rsid w:val="005104D5"/>
    <w:rsid w:val="0051091F"/>
    <w:rsid w:val="00510AC0"/>
    <w:rsid w:val="00511028"/>
    <w:rsid w:val="0051115B"/>
    <w:rsid w:val="00511482"/>
    <w:rsid w:val="00511611"/>
    <w:rsid w:val="005117FB"/>
    <w:rsid w:val="00511A63"/>
    <w:rsid w:val="00511A77"/>
    <w:rsid w:val="00511AC5"/>
    <w:rsid w:val="00512305"/>
    <w:rsid w:val="00512844"/>
    <w:rsid w:val="00512B6C"/>
    <w:rsid w:val="00512C52"/>
    <w:rsid w:val="00512FFF"/>
    <w:rsid w:val="00513075"/>
    <w:rsid w:val="0051350B"/>
    <w:rsid w:val="00513592"/>
    <w:rsid w:val="00513851"/>
    <w:rsid w:val="00513D9B"/>
    <w:rsid w:val="00513EAE"/>
    <w:rsid w:val="00514152"/>
    <w:rsid w:val="0051436F"/>
    <w:rsid w:val="0051498D"/>
    <w:rsid w:val="00514D56"/>
    <w:rsid w:val="00514F71"/>
    <w:rsid w:val="005158B6"/>
    <w:rsid w:val="005158C0"/>
    <w:rsid w:val="005159D9"/>
    <w:rsid w:val="00515A24"/>
    <w:rsid w:val="00515DD3"/>
    <w:rsid w:val="00515E0B"/>
    <w:rsid w:val="00515ED5"/>
    <w:rsid w:val="00516523"/>
    <w:rsid w:val="005166CD"/>
    <w:rsid w:val="00516705"/>
    <w:rsid w:val="005169BC"/>
    <w:rsid w:val="00516B0E"/>
    <w:rsid w:val="0051758D"/>
    <w:rsid w:val="00517A06"/>
    <w:rsid w:val="00517BD2"/>
    <w:rsid w:val="00517CD1"/>
    <w:rsid w:val="00517FA7"/>
    <w:rsid w:val="0052026F"/>
    <w:rsid w:val="005203C5"/>
    <w:rsid w:val="0052042A"/>
    <w:rsid w:val="00520AA1"/>
    <w:rsid w:val="005213EA"/>
    <w:rsid w:val="00521578"/>
    <w:rsid w:val="00521BA2"/>
    <w:rsid w:val="0052217F"/>
    <w:rsid w:val="00522204"/>
    <w:rsid w:val="0052237E"/>
    <w:rsid w:val="0052269D"/>
    <w:rsid w:val="00522E94"/>
    <w:rsid w:val="00522EEE"/>
    <w:rsid w:val="005231EC"/>
    <w:rsid w:val="005233DC"/>
    <w:rsid w:val="00523E4B"/>
    <w:rsid w:val="005241BC"/>
    <w:rsid w:val="00524468"/>
    <w:rsid w:val="00524EDE"/>
    <w:rsid w:val="0052534A"/>
    <w:rsid w:val="005255A6"/>
    <w:rsid w:val="005255B4"/>
    <w:rsid w:val="00526648"/>
    <w:rsid w:val="005266F3"/>
    <w:rsid w:val="0052770D"/>
    <w:rsid w:val="00527EBA"/>
    <w:rsid w:val="00527FDA"/>
    <w:rsid w:val="00530135"/>
    <w:rsid w:val="005302FC"/>
    <w:rsid w:val="00530B8F"/>
    <w:rsid w:val="005315C8"/>
    <w:rsid w:val="005315E4"/>
    <w:rsid w:val="005316DB"/>
    <w:rsid w:val="00531966"/>
    <w:rsid w:val="00532066"/>
    <w:rsid w:val="005321A2"/>
    <w:rsid w:val="0053222A"/>
    <w:rsid w:val="00532396"/>
    <w:rsid w:val="00532417"/>
    <w:rsid w:val="00532418"/>
    <w:rsid w:val="0053254C"/>
    <w:rsid w:val="00532933"/>
    <w:rsid w:val="00532A29"/>
    <w:rsid w:val="00532BC4"/>
    <w:rsid w:val="00533380"/>
    <w:rsid w:val="005337F7"/>
    <w:rsid w:val="00533A0B"/>
    <w:rsid w:val="00533C23"/>
    <w:rsid w:val="00533C90"/>
    <w:rsid w:val="00534950"/>
    <w:rsid w:val="00534A0C"/>
    <w:rsid w:val="00534B75"/>
    <w:rsid w:val="00534E2E"/>
    <w:rsid w:val="005351E4"/>
    <w:rsid w:val="00535465"/>
    <w:rsid w:val="005355A6"/>
    <w:rsid w:val="0053561B"/>
    <w:rsid w:val="00535AC6"/>
    <w:rsid w:val="00535BD2"/>
    <w:rsid w:val="00535FD3"/>
    <w:rsid w:val="005360FC"/>
    <w:rsid w:val="005363F4"/>
    <w:rsid w:val="00536F72"/>
    <w:rsid w:val="00537690"/>
    <w:rsid w:val="00537A6F"/>
    <w:rsid w:val="00537B0E"/>
    <w:rsid w:val="00537EFF"/>
    <w:rsid w:val="00540565"/>
    <w:rsid w:val="00540AA0"/>
    <w:rsid w:val="0054113C"/>
    <w:rsid w:val="0054195C"/>
    <w:rsid w:val="00541BCD"/>
    <w:rsid w:val="00541CAA"/>
    <w:rsid w:val="005421CF"/>
    <w:rsid w:val="00542522"/>
    <w:rsid w:val="00542AA2"/>
    <w:rsid w:val="00542B06"/>
    <w:rsid w:val="00542B7D"/>
    <w:rsid w:val="00542BCC"/>
    <w:rsid w:val="00542E14"/>
    <w:rsid w:val="00542FA8"/>
    <w:rsid w:val="00543058"/>
    <w:rsid w:val="00543BA1"/>
    <w:rsid w:val="00543FFA"/>
    <w:rsid w:val="00544148"/>
    <w:rsid w:val="00544398"/>
    <w:rsid w:val="0054463A"/>
    <w:rsid w:val="00544845"/>
    <w:rsid w:val="005448C9"/>
    <w:rsid w:val="00544B14"/>
    <w:rsid w:val="0054518F"/>
    <w:rsid w:val="00545300"/>
    <w:rsid w:val="0054571A"/>
    <w:rsid w:val="005457D4"/>
    <w:rsid w:val="0054591C"/>
    <w:rsid w:val="00545B9B"/>
    <w:rsid w:val="00545CBC"/>
    <w:rsid w:val="00545DF4"/>
    <w:rsid w:val="00545FB6"/>
    <w:rsid w:val="005463A2"/>
    <w:rsid w:val="0054677C"/>
    <w:rsid w:val="005469A6"/>
    <w:rsid w:val="00546B77"/>
    <w:rsid w:val="00547AA9"/>
    <w:rsid w:val="00550112"/>
    <w:rsid w:val="0055040B"/>
    <w:rsid w:val="0055100A"/>
    <w:rsid w:val="005516B3"/>
    <w:rsid w:val="00551800"/>
    <w:rsid w:val="00551AE2"/>
    <w:rsid w:val="00551B81"/>
    <w:rsid w:val="00551C21"/>
    <w:rsid w:val="0055250F"/>
    <w:rsid w:val="00552BF6"/>
    <w:rsid w:val="005534FA"/>
    <w:rsid w:val="00553CA4"/>
    <w:rsid w:val="00554897"/>
    <w:rsid w:val="005550CA"/>
    <w:rsid w:val="0055522B"/>
    <w:rsid w:val="00555785"/>
    <w:rsid w:val="00555BDF"/>
    <w:rsid w:val="00555D4A"/>
    <w:rsid w:val="00555FBA"/>
    <w:rsid w:val="00556368"/>
    <w:rsid w:val="0055742C"/>
    <w:rsid w:val="00557471"/>
    <w:rsid w:val="005578D0"/>
    <w:rsid w:val="00557AA6"/>
    <w:rsid w:val="00560BA8"/>
    <w:rsid w:val="005610E1"/>
    <w:rsid w:val="005618E0"/>
    <w:rsid w:val="005619AA"/>
    <w:rsid w:val="00561B6E"/>
    <w:rsid w:val="00562394"/>
    <w:rsid w:val="00562BE1"/>
    <w:rsid w:val="00563106"/>
    <w:rsid w:val="00563255"/>
    <w:rsid w:val="00563563"/>
    <w:rsid w:val="005635AA"/>
    <w:rsid w:val="00563762"/>
    <w:rsid w:val="00563C9E"/>
    <w:rsid w:val="005640B5"/>
    <w:rsid w:val="005644F1"/>
    <w:rsid w:val="0056462D"/>
    <w:rsid w:val="00564842"/>
    <w:rsid w:val="00564A38"/>
    <w:rsid w:val="00564B47"/>
    <w:rsid w:val="00564B73"/>
    <w:rsid w:val="00564E65"/>
    <w:rsid w:val="00564E90"/>
    <w:rsid w:val="00564F88"/>
    <w:rsid w:val="00565212"/>
    <w:rsid w:val="005652AF"/>
    <w:rsid w:val="005652C6"/>
    <w:rsid w:val="00565929"/>
    <w:rsid w:val="00565AF7"/>
    <w:rsid w:val="00565E5B"/>
    <w:rsid w:val="00565E87"/>
    <w:rsid w:val="00566273"/>
    <w:rsid w:val="005662BC"/>
    <w:rsid w:val="005665DB"/>
    <w:rsid w:val="00566A09"/>
    <w:rsid w:val="00566A47"/>
    <w:rsid w:val="00566ACF"/>
    <w:rsid w:val="00566AE8"/>
    <w:rsid w:val="00566DA7"/>
    <w:rsid w:val="0057069F"/>
    <w:rsid w:val="00570776"/>
    <w:rsid w:val="00570FAD"/>
    <w:rsid w:val="00570FE4"/>
    <w:rsid w:val="00571B29"/>
    <w:rsid w:val="00571E28"/>
    <w:rsid w:val="0057277D"/>
    <w:rsid w:val="00572ACB"/>
    <w:rsid w:val="00572CEF"/>
    <w:rsid w:val="00572E2C"/>
    <w:rsid w:val="00573117"/>
    <w:rsid w:val="0057350C"/>
    <w:rsid w:val="00573BD3"/>
    <w:rsid w:val="00573D00"/>
    <w:rsid w:val="00573E67"/>
    <w:rsid w:val="00573F30"/>
    <w:rsid w:val="00574AA0"/>
    <w:rsid w:val="00574FCC"/>
    <w:rsid w:val="00575587"/>
    <w:rsid w:val="00575AAB"/>
    <w:rsid w:val="0057694C"/>
    <w:rsid w:val="005769B5"/>
    <w:rsid w:val="00576CC9"/>
    <w:rsid w:val="00577116"/>
    <w:rsid w:val="00577515"/>
    <w:rsid w:val="005775E2"/>
    <w:rsid w:val="00577816"/>
    <w:rsid w:val="00577A1C"/>
    <w:rsid w:val="00577B64"/>
    <w:rsid w:val="005800B7"/>
    <w:rsid w:val="005802D0"/>
    <w:rsid w:val="005804DF"/>
    <w:rsid w:val="005807D8"/>
    <w:rsid w:val="00580CE8"/>
    <w:rsid w:val="00580D6B"/>
    <w:rsid w:val="00581383"/>
    <w:rsid w:val="00581737"/>
    <w:rsid w:val="00581C48"/>
    <w:rsid w:val="00581FC5"/>
    <w:rsid w:val="005820A6"/>
    <w:rsid w:val="0058212D"/>
    <w:rsid w:val="00582229"/>
    <w:rsid w:val="005822C5"/>
    <w:rsid w:val="00582516"/>
    <w:rsid w:val="00582C63"/>
    <w:rsid w:val="0058361C"/>
    <w:rsid w:val="00583778"/>
    <w:rsid w:val="0058383C"/>
    <w:rsid w:val="005838B8"/>
    <w:rsid w:val="0058391D"/>
    <w:rsid w:val="0058398E"/>
    <w:rsid w:val="00583C90"/>
    <w:rsid w:val="00584505"/>
    <w:rsid w:val="00584604"/>
    <w:rsid w:val="005846A8"/>
    <w:rsid w:val="005847E6"/>
    <w:rsid w:val="00584806"/>
    <w:rsid w:val="00584831"/>
    <w:rsid w:val="00584A09"/>
    <w:rsid w:val="00584A21"/>
    <w:rsid w:val="00584AB8"/>
    <w:rsid w:val="00584D83"/>
    <w:rsid w:val="005852EB"/>
    <w:rsid w:val="00585768"/>
    <w:rsid w:val="005857ED"/>
    <w:rsid w:val="00585A42"/>
    <w:rsid w:val="00585F27"/>
    <w:rsid w:val="00586120"/>
    <w:rsid w:val="00586531"/>
    <w:rsid w:val="00586A0A"/>
    <w:rsid w:val="00586E21"/>
    <w:rsid w:val="00586EA5"/>
    <w:rsid w:val="00586F35"/>
    <w:rsid w:val="0058704D"/>
    <w:rsid w:val="00587430"/>
    <w:rsid w:val="0058746A"/>
    <w:rsid w:val="005874A3"/>
    <w:rsid w:val="00587C9D"/>
    <w:rsid w:val="00587D7C"/>
    <w:rsid w:val="00587DC2"/>
    <w:rsid w:val="00590176"/>
    <w:rsid w:val="00590567"/>
    <w:rsid w:val="00590750"/>
    <w:rsid w:val="00590BDF"/>
    <w:rsid w:val="00590F26"/>
    <w:rsid w:val="005913B3"/>
    <w:rsid w:val="00591656"/>
    <w:rsid w:val="00592157"/>
    <w:rsid w:val="005929EA"/>
    <w:rsid w:val="005929EC"/>
    <w:rsid w:val="00592CF7"/>
    <w:rsid w:val="00592EB2"/>
    <w:rsid w:val="00592F94"/>
    <w:rsid w:val="005934AC"/>
    <w:rsid w:val="0059365F"/>
    <w:rsid w:val="00593788"/>
    <w:rsid w:val="0059391A"/>
    <w:rsid w:val="00593A5A"/>
    <w:rsid w:val="00593C45"/>
    <w:rsid w:val="0059453A"/>
    <w:rsid w:val="00594AE8"/>
    <w:rsid w:val="00594B4B"/>
    <w:rsid w:val="00594BDC"/>
    <w:rsid w:val="005953E3"/>
    <w:rsid w:val="0059564B"/>
    <w:rsid w:val="005956AF"/>
    <w:rsid w:val="00595C9E"/>
    <w:rsid w:val="005960EF"/>
    <w:rsid w:val="005961D5"/>
    <w:rsid w:val="005962B7"/>
    <w:rsid w:val="00596420"/>
    <w:rsid w:val="005969C4"/>
    <w:rsid w:val="005969EC"/>
    <w:rsid w:val="005972A7"/>
    <w:rsid w:val="00597639"/>
    <w:rsid w:val="0059772F"/>
    <w:rsid w:val="00597DBA"/>
    <w:rsid w:val="005A02B1"/>
    <w:rsid w:val="005A057F"/>
    <w:rsid w:val="005A059E"/>
    <w:rsid w:val="005A05B4"/>
    <w:rsid w:val="005A06B0"/>
    <w:rsid w:val="005A0A58"/>
    <w:rsid w:val="005A0C38"/>
    <w:rsid w:val="005A0F4F"/>
    <w:rsid w:val="005A0FCF"/>
    <w:rsid w:val="005A183D"/>
    <w:rsid w:val="005A1A1F"/>
    <w:rsid w:val="005A1AF5"/>
    <w:rsid w:val="005A1D6F"/>
    <w:rsid w:val="005A242A"/>
    <w:rsid w:val="005A26CC"/>
    <w:rsid w:val="005A2B28"/>
    <w:rsid w:val="005A31F6"/>
    <w:rsid w:val="005A39B7"/>
    <w:rsid w:val="005A3AAC"/>
    <w:rsid w:val="005A4ACE"/>
    <w:rsid w:val="005A4E51"/>
    <w:rsid w:val="005A4FD2"/>
    <w:rsid w:val="005A5104"/>
    <w:rsid w:val="005A52C4"/>
    <w:rsid w:val="005A5975"/>
    <w:rsid w:val="005A59E3"/>
    <w:rsid w:val="005A663A"/>
    <w:rsid w:val="005A69B8"/>
    <w:rsid w:val="005A6B60"/>
    <w:rsid w:val="005A6DB1"/>
    <w:rsid w:val="005A729F"/>
    <w:rsid w:val="005A7396"/>
    <w:rsid w:val="005A73F3"/>
    <w:rsid w:val="005A7824"/>
    <w:rsid w:val="005A7E09"/>
    <w:rsid w:val="005A7E18"/>
    <w:rsid w:val="005A7F44"/>
    <w:rsid w:val="005B08FF"/>
    <w:rsid w:val="005B0F65"/>
    <w:rsid w:val="005B1334"/>
    <w:rsid w:val="005B19CD"/>
    <w:rsid w:val="005B2C14"/>
    <w:rsid w:val="005B2C54"/>
    <w:rsid w:val="005B3A19"/>
    <w:rsid w:val="005B3B48"/>
    <w:rsid w:val="005B4580"/>
    <w:rsid w:val="005B489D"/>
    <w:rsid w:val="005B4A6E"/>
    <w:rsid w:val="005B4C2D"/>
    <w:rsid w:val="005B5739"/>
    <w:rsid w:val="005B5791"/>
    <w:rsid w:val="005B6005"/>
    <w:rsid w:val="005B6213"/>
    <w:rsid w:val="005B62F3"/>
    <w:rsid w:val="005B7047"/>
    <w:rsid w:val="005B711D"/>
    <w:rsid w:val="005B7276"/>
    <w:rsid w:val="005B785B"/>
    <w:rsid w:val="005B7BD0"/>
    <w:rsid w:val="005B7BEE"/>
    <w:rsid w:val="005B7D6D"/>
    <w:rsid w:val="005C0072"/>
    <w:rsid w:val="005C009B"/>
    <w:rsid w:val="005C01D9"/>
    <w:rsid w:val="005C0ACF"/>
    <w:rsid w:val="005C0C7B"/>
    <w:rsid w:val="005C0D5D"/>
    <w:rsid w:val="005C118D"/>
    <w:rsid w:val="005C126B"/>
    <w:rsid w:val="005C18B8"/>
    <w:rsid w:val="005C1B14"/>
    <w:rsid w:val="005C1F09"/>
    <w:rsid w:val="005C216F"/>
    <w:rsid w:val="005C244F"/>
    <w:rsid w:val="005C2625"/>
    <w:rsid w:val="005C26BE"/>
    <w:rsid w:val="005C294E"/>
    <w:rsid w:val="005C29F5"/>
    <w:rsid w:val="005C2E8B"/>
    <w:rsid w:val="005C3959"/>
    <w:rsid w:val="005C3ADC"/>
    <w:rsid w:val="005C4A8B"/>
    <w:rsid w:val="005C4D91"/>
    <w:rsid w:val="005C6369"/>
    <w:rsid w:val="005C7162"/>
    <w:rsid w:val="005C7170"/>
    <w:rsid w:val="005C743D"/>
    <w:rsid w:val="005D05B7"/>
    <w:rsid w:val="005D17FB"/>
    <w:rsid w:val="005D1956"/>
    <w:rsid w:val="005D1973"/>
    <w:rsid w:val="005D1E51"/>
    <w:rsid w:val="005D24BC"/>
    <w:rsid w:val="005D26BD"/>
    <w:rsid w:val="005D28C6"/>
    <w:rsid w:val="005D2D22"/>
    <w:rsid w:val="005D34C9"/>
    <w:rsid w:val="005D34D5"/>
    <w:rsid w:val="005D37C7"/>
    <w:rsid w:val="005D39E9"/>
    <w:rsid w:val="005D41AA"/>
    <w:rsid w:val="005D4771"/>
    <w:rsid w:val="005D47AD"/>
    <w:rsid w:val="005D47E4"/>
    <w:rsid w:val="005D485D"/>
    <w:rsid w:val="005D4955"/>
    <w:rsid w:val="005D4DAC"/>
    <w:rsid w:val="005D51CD"/>
    <w:rsid w:val="005D5337"/>
    <w:rsid w:val="005D53B1"/>
    <w:rsid w:val="005D53BB"/>
    <w:rsid w:val="005D562A"/>
    <w:rsid w:val="005D5685"/>
    <w:rsid w:val="005D5831"/>
    <w:rsid w:val="005D589A"/>
    <w:rsid w:val="005D5ADE"/>
    <w:rsid w:val="005D5DC7"/>
    <w:rsid w:val="005D60F5"/>
    <w:rsid w:val="005D6411"/>
    <w:rsid w:val="005D6595"/>
    <w:rsid w:val="005D68E0"/>
    <w:rsid w:val="005D6C85"/>
    <w:rsid w:val="005D6D4E"/>
    <w:rsid w:val="005D707A"/>
    <w:rsid w:val="005D7268"/>
    <w:rsid w:val="005D7480"/>
    <w:rsid w:val="005D7556"/>
    <w:rsid w:val="005D78D0"/>
    <w:rsid w:val="005D7CCD"/>
    <w:rsid w:val="005D7D5E"/>
    <w:rsid w:val="005E0545"/>
    <w:rsid w:val="005E0829"/>
    <w:rsid w:val="005E08C6"/>
    <w:rsid w:val="005E08F5"/>
    <w:rsid w:val="005E0B45"/>
    <w:rsid w:val="005E0CA4"/>
    <w:rsid w:val="005E10A1"/>
    <w:rsid w:val="005E1164"/>
    <w:rsid w:val="005E11A1"/>
    <w:rsid w:val="005E12A3"/>
    <w:rsid w:val="005E1625"/>
    <w:rsid w:val="005E18E3"/>
    <w:rsid w:val="005E20EE"/>
    <w:rsid w:val="005E29DC"/>
    <w:rsid w:val="005E2C13"/>
    <w:rsid w:val="005E2DA3"/>
    <w:rsid w:val="005E3316"/>
    <w:rsid w:val="005E33FF"/>
    <w:rsid w:val="005E3455"/>
    <w:rsid w:val="005E365F"/>
    <w:rsid w:val="005E3A8B"/>
    <w:rsid w:val="005E3D47"/>
    <w:rsid w:val="005E3D69"/>
    <w:rsid w:val="005E413B"/>
    <w:rsid w:val="005E4150"/>
    <w:rsid w:val="005E4453"/>
    <w:rsid w:val="005E44DE"/>
    <w:rsid w:val="005E473D"/>
    <w:rsid w:val="005E4916"/>
    <w:rsid w:val="005E50A7"/>
    <w:rsid w:val="005E50F0"/>
    <w:rsid w:val="005E653B"/>
    <w:rsid w:val="005E6D07"/>
    <w:rsid w:val="005E6F38"/>
    <w:rsid w:val="005E6F3B"/>
    <w:rsid w:val="005E7606"/>
    <w:rsid w:val="005E7E61"/>
    <w:rsid w:val="005E7F69"/>
    <w:rsid w:val="005F00AF"/>
    <w:rsid w:val="005F00B0"/>
    <w:rsid w:val="005F0960"/>
    <w:rsid w:val="005F0CB7"/>
    <w:rsid w:val="005F0EF2"/>
    <w:rsid w:val="005F1083"/>
    <w:rsid w:val="005F14E1"/>
    <w:rsid w:val="005F1784"/>
    <w:rsid w:val="005F17B1"/>
    <w:rsid w:val="005F2955"/>
    <w:rsid w:val="005F3115"/>
    <w:rsid w:val="005F31C7"/>
    <w:rsid w:val="005F3411"/>
    <w:rsid w:val="005F3517"/>
    <w:rsid w:val="005F3752"/>
    <w:rsid w:val="005F380F"/>
    <w:rsid w:val="005F40C3"/>
    <w:rsid w:val="005F4128"/>
    <w:rsid w:val="005F4189"/>
    <w:rsid w:val="005F42F9"/>
    <w:rsid w:val="005F4347"/>
    <w:rsid w:val="005F435C"/>
    <w:rsid w:val="005F49A9"/>
    <w:rsid w:val="005F4ABE"/>
    <w:rsid w:val="005F4C78"/>
    <w:rsid w:val="005F4F1D"/>
    <w:rsid w:val="005F5735"/>
    <w:rsid w:val="005F5A1F"/>
    <w:rsid w:val="005F65BC"/>
    <w:rsid w:val="005F6645"/>
    <w:rsid w:val="005F67A3"/>
    <w:rsid w:val="005F6C8C"/>
    <w:rsid w:val="005F6CE5"/>
    <w:rsid w:val="005F6D92"/>
    <w:rsid w:val="005F7012"/>
    <w:rsid w:val="005F7017"/>
    <w:rsid w:val="005F7A87"/>
    <w:rsid w:val="005F7AD7"/>
    <w:rsid w:val="005F7DD2"/>
    <w:rsid w:val="006004F3"/>
    <w:rsid w:val="00600653"/>
    <w:rsid w:val="00600996"/>
    <w:rsid w:val="0060184C"/>
    <w:rsid w:val="00601E0D"/>
    <w:rsid w:val="006020F1"/>
    <w:rsid w:val="006022C7"/>
    <w:rsid w:val="00602778"/>
    <w:rsid w:val="00602D87"/>
    <w:rsid w:val="00602F91"/>
    <w:rsid w:val="00603232"/>
    <w:rsid w:val="006036B2"/>
    <w:rsid w:val="00603754"/>
    <w:rsid w:val="00603E5C"/>
    <w:rsid w:val="00603F06"/>
    <w:rsid w:val="0060439D"/>
    <w:rsid w:val="006043A8"/>
    <w:rsid w:val="00604BBE"/>
    <w:rsid w:val="0060605D"/>
    <w:rsid w:val="00606236"/>
    <w:rsid w:val="00606886"/>
    <w:rsid w:val="00606B99"/>
    <w:rsid w:val="00606CB7"/>
    <w:rsid w:val="00607705"/>
    <w:rsid w:val="00607B52"/>
    <w:rsid w:val="00607F14"/>
    <w:rsid w:val="006109BB"/>
    <w:rsid w:val="0061106D"/>
    <w:rsid w:val="0061109B"/>
    <w:rsid w:val="0061134E"/>
    <w:rsid w:val="006113BD"/>
    <w:rsid w:val="006113CC"/>
    <w:rsid w:val="006117B4"/>
    <w:rsid w:val="00611953"/>
    <w:rsid w:val="00611C90"/>
    <w:rsid w:val="00611F6C"/>
    <w:rsid w:val="00612578"/>
    <w:rsid w:val="0061258B"/>
    <w:rsid w:val="006127BF"/>
    <w:rsid w:val="006128F8"/>
    <w:rsid w:val="00612A80"/>
    <w:rsid w:val="00612F0B"/>
    <w:rsid w:val="006130A6"/>
    <w:rsid w:val="0061356B"/>
    <w:rsid w:val="00613747"/>
    <w:rsid w:val="006137F8"/>
    <w:rsid w:val="006137FE"/>
    <w:rsid w:val="0061394D"/>
    <w:rsid w:val="00613C48"/>
    <w:rsid w:val="00613E3B"/>
    <w:rsid w:val="00613F1E"/>
    <w:rsid w:val="00614695"/>
    <w:rsid w:val="00614A56"/>
    <w:rsid w:val="00614CC2"/>
    <w:rsid w:val="00615085"/>
    <w:rsid w:val="0061540E"/>
    <w:rsid w:val="00615C24"/>
    <w:rsid w:val="00615D1F"/>
    <w:rsid w:val="00616442"/>
    <w:rsid w:val="006164D9"/>
    <w:rsid w:val="006164F3"/>
    <w:rsid w:val="00616661"/>
    <w:rsid w:val="00616747"/>
    <w:rsid w:val="00616BDB"/>
    <w:rsid w:val="00616C25"/>
    <w:rsid w:val="00616CE0"/>
    <w:rsid w:val="00616D73"/>
    <w:rsid w:val="00617728"/>
    <w:rsid w:val="006177F6"/>
    <w:rsid w:val="00617B24"/>
    <w:rsid w:val="00617D7E"/>
    <w:rsid w:val="00617F8D"/>
    <w:rsid w:val="0062124C"/>
    <w:rsid w:val="0062157E"/>
    <w:rsid w:val="006218CE"/>
    <w:rsid w:val="006219C5"/>
    <w:rsid w:val="00621AEC"/>
    <w:rsid w:val="00622144"/>
    <w:rsid w:val="006231ED"/>
    <w:rsid w:val="0062388A"/>
    <w:rsid w:val="006238CC"/>
    <w:rsid w:val="006243E7"/>
    <w:rsid w:val="006245CA"/>
    <w:rsid w:val="00624EEE"/>
    <w:rsid w:val="00624F7C"/>
    <w:rsid w:val="00625077"/>
    <w:rsid w:val="00625DC4"/>
    <w:rsid w:val="00626112"/>
    <w:rsid w:val="006262C6"/>
    <w:rsid w:val="0062643E"/>
    <w:rsid w:val="00626C90"/>
    <w:rsid w:val="00626D56"/>
    <w:rsid w:val="00627100"/>
    <w:rsid w:val="00627384"/>
    <w:rsid w:val="006276AF"/>
    <w:rsid w:val="00627745"/>
    <w:rsid w:val="0062791F"/>
    <w:rsid w:val="00627B83"/>
    <w:rsid w:val="00627E57"/>
    <w:rsid w:val="00631C65"/>
    <w:rsid w:val="00631E20"/>
    <w:rsid w:val="00632A22"/>
    <w:rsid w:val="00632C95"/>
    <w:rsid w:val="006332A7"/>
    <w:rsid w:val="006336AF"/>
    <w:rsid w:val="00633874"/>
    <w:rsid w:val="00633889"/>
    <w:rsid w:val="006339D0"/>
    <w:rsid w:val="00633EAA"/>
    <w:rsid w:val="006340C6"/>
    <w:rsid w:val="006341ED"/>
    <w:rsid w:val="00634454"/>
    <w:rsid w:val="0063447D"/>
    <w:rsid w:val="00634937"/>
    <w:rsid w:val="00634D37"/>
    <w:rsid w:val="00635016"/>
    <w:rsid w:val="0063506E"/>
    <w:rsid w:val="0063573E"/>
    <w:rsid w:val="00636005"/>
    <w:rsid w:val="006360B8"/>
    <w:rsid w:val="006360F9"/>
    <w:rsid w:val="00636168"/>
    <w:rsid w:val="00636241"/>
    <w:rsid w:val="006362D3"/>
    <w:rsid w:val="00636812"/>
    <w:rsid w:val="00636BBD"/>
    <w:rsid w:val="0063767F"/>
    <w:rsid w:val="00637827"/>
    <w:rsid w:val="00637D54"/>
    <w:rsid w:val="00640005"/>
    <w:rsid w:val="00640498"/>
    <w:rsid w:val="006405D7"/>
    <w:rsid w:val="00640834"/>
    <w:rsid w:val="006416F0"/>
    <w:rsid w:val="00641707"/>
    <w:rsid w:val="00641B8D"/>
    <w:rsid w:val="00641BA2"/>
    <w:rsid w:val="00642092"/>
    <w:rsid w:val="006421AD"/>
    <w:rsid w:val="0064283F"/>
    <w:rsid w:val="00642A9B"/>
    <w:rsid w:val="00642D02"/>
    <w:rsid w:val="00642EB6"/>
    <w:rsid w:val="0064301A"/>
    <w:rsid w:val="006435FD"/>
    <w:rsid w:val="00643AA2"/>
    <w:rsid w:val="00643BDB"/>
    <w:rsid w:val="00643DE7"/>
    <w:rsid w:val="00644900"/>
    <w:rsid w:val="006449E0"/>
    <w:rsid w:val="00644DFE"/>
    <w:rsid w:val="00644ED1"/>
    <w:rsid w:val="00645360"/>
    <w:rsid w:val="006455AE"/>
    <w:rsid w:val="006457D8"/>
    <w:rsid w:val="00645B7E"/>
    <w:rsid w:val="00645D13"/>
    <w:rsid w:val="00645D75"/>
    <w:rsid w:val="00645DBA"/>
    <w:rsid w:val="006461EB"/>
    <w:rsid w:val="006467A3"/>
    <w:rsid w:val="00646CCB"/>
    <w:rsid w:val="006471E1"/>
    <w:rsid w:val="0064734F"/>
    <w:rsid w:val="006475B9"/>
    <w:rsid w:val="00647C50"/>
    <w:rsid w:val="00647D2A"/>
    <w:rsid w:val="00647D74"/>
    <w:rsid w:val="006500A7"/>
    <w:rsid w:val="00650265"/>
    <w:rsid w:val="006503F5"/>
    <w:rsid w:val="006504E2"/>
    <w:rsid w:val="00650FEF"/>
    <w:rsid w:val="006511C7"/>
    <w:rsid w:val="006512F6"/>
    <w:rsid w:val="0065169A"/>
    <w:rsid w:val="006517D6"/>
    <w:rsid w:val="0065193C"/>
    <w:rsid w:val="00652167"/>
    <w:rsid w:val="00652396"/>
    <w:rsid w:val="00652DEF"/>
    <w:rsid w:val="00653332"/>
    <w:rsid w:val="00653422"/>
    <w:rsid w:val="00653476"/>
    <w:rsid w:val="006534CF"/>
    <w:rsid w:val="0065370B"/>
    <w:rsid w:val="00653EA6"/>
    <w:rsid w:val="0065404E"/>
    <w:rsid w:val="006540D0"/>
    <w:rsid w:val="006540FC"/>
    <w:rsid w:val="006544F2"/>
    <w:rsid w:val="00654D04"/>
    <w:rsid w:val="00655518"/>
    <w:rsid w:val="00655BCB"/>
    <w:rsid w:val="00655F5B"/>
    <w:rsid w:val="0065646A"/>
    <w:rsid w:val="006565CD"/>
    <w:rsid w:val="00656770"/>
    <w:rsid w:val="00656B4A"/>
    <w:rsid w:val="00656B78"/>
    <w:rsid w:val="00657024"/>
    <w:rsid w:val="006575CD"/>
    <w:rsid w:val="006578EA"/>
    <w:rsid w:val="00657AA5"/>
    <w:rsid w:val="00657B78"/>
    <w:rsid w:val="00657C90"/>
    <w:rsid w:val="0066003A"/>
    <w:rsid w:val="00660633"/>
    <w:rsid w:val="0066082F"/>
    <w:rsid w:val="006609D4"/>
    <w:rsid w:val="00660B05"/>
    <w:rsid w:val="00660E90"/>
    <w:rsid w:val="006611BE"/>
    <w:rsid w:val="00661248"/>
    <w:rsid w:val="00661277"/>
    <w:rsid w:val="00661D96"/>
    <w:rsid w:val="00661E48"/>
    <w:rsid w:val="00662122"/>
    <w:rsid w:val="006621A9"/>
    <w:rsid w:val="006628A0"/>
    <w:rsid w:val="00662E06"/>
    <w:rsid w:val="0066382F"/>
    <w:rsid w:val="006638A6"/>
    <w:rsid w:val="00663988"/>
    <w:rsid w:val="0066433A"/>
    <w:rsid w:val="00664451"/>
    <w:rsid w:val="006645CA"/>
    <w:rsid w:val="00664AEE"/>
    <w:rsid w:val="00664B59"/>
    <w:rsid w:val="00664BEE"/>
    <w:rsid w:val="00664CBC"/>
    <w:rsid w:val="00664D95"/>
    <w:rsid w:val="0066517F"/>
    <w:rsid w:val="00665353"/>
    <w:rsid w:val="00666221"/>
    <w:rsid w:val="006665C4"/>
    <w:rsid w:val="006666CE"/>
    <w:rsid w:val="006669DB"/>
    <w:rsid w:val="00666DA4"/>
    <w:rsid w:val="006671C9"/>
    <w:rsid w:val="0066761D"/>
    <w:rsid w:val="0066762D"/>
    <w:rsid w:val="00667634"/>
    <w:rsid w:val="00667C8A"/>
    <w:rsid w:val="00667ED5"/>
    <w:rsid w:val="00670501"/>
    <w:rsid w:val="00670855"/>
    <w:rsid w:val="00670B9E"/>
    <w:rsid w:val="00670BBD"/>
    <w:rsid w:val="00670BEE"/>
    <w:rsid w:val="00670D0F"/>
    <w:rsid w:val="00670DCE"/>
    <w:rsid w:val="00670F29"/>
    <w:rsid w:val="00670F9D"/>
    <w:rsid w:val="006716EC"/>
    <w:rsid w:val="00672825"/>
    <w:rsid w:val="0067295B"/>
    <w:rsid w:val="00672A42"/>
    <w:rsid w:val="00672B92"/>
    <w:rsid w:val="00672DD7"/>
    <w:rsid w:val="00673092"/>
    <w:rsid w:val="0067398F"/>
    <w:rsid w:val="00673C4F"/>
    <w:rsid w:val="0067423D"/>
    <w:rsid w:val="00674B54"/>
    <w:rsid w:val="006751ED"/>
    <w:rsid w:val="006751F0"/>
    <w:rsid w:val="00675A29"/>
    <w:rsid w:val="00675E7A"/>
    <w:rsid w:val="00675EF9"/>
    <w:rsid w:val="00676167"/>
    <w:rsid w:val="006762C1"/>
    <w:rsid w:val="006768A0"/>
    <w:rsid w:val="00676D1E"/>
    <w:rsid w:val="00676F7A"/>
    <w:rsid w:val="0067702C"/>
    <w:rsid w:val="00677172"/>
    <w:rsid w:val="00677637"/>
    <w:rsid w:val="00677F91"/>
    <w:rsid w:val="0068009E"/>
    <w:rsid w:val="0068014B"/>
    <w:rsid w:val="006807EC"/>
    <w:rsid w:val="00680991"/>
    <w:rsid w:val="00680E0A"/>
    <w:rsid w:val="00681108"/>
    <w:rsid w:val="00681688"/>
    <w:rsid w:val="00681D9D"/>
    <w:rsid w:val="0068227D"/>
    <w:rsid w:val="006822C1"/>
    <w:rsid w:val="00682346"/>
    <w:rsid w:val="006825BB"/>
    <w:rsid w:val="00682A3E"/>
    <w:rsid w:val="00682F54"/>
    <w:rsid w:val="00683084"/>
    <w:rsid w:val="0068336A"/>
    <w:rsid w:val="00683988"/>
    <w:rsid w:val="006839C4"/>
    <w:rsid w:val="0068426D"/>
    <w:rsid w:val="0068481E"/>
    <w:rsid w:val="00684AA5"/>
    <w:rsid w:val="00684DA6"/>
    <w:rsid w:val="00684FBB"/>
    <w:rsid w:val="00685310"/>
    <w:rsid w:val="0068569E"/>
    <w:rsid w:val="00685B0A"/>
    <w:rsid w:val="00686A94"/>
    <w:rsid w:val="00686F3B"/>
    <w:rsid w:val="00687341"/>
    <w:rsid w:val="00687611"/>
    <w:rsid w:val="00687FB5"/>
    <w:rsid w:val="006902BA"/>
    <w:rsid w:val="006902EB"/>
    <w:rsid w:val="0069037C"/>
    <w:rsid w:val="00690EB0"/>
    <w:rsid w:val="006910C3"/>
    <w:rsid w:val="00691133"/>
    <w:rsid w:val="00691AD0"/>
    <w:rsid w:val="00691BCD"/>
    <w:rsid w:val="00691BD7"/>
    <w:rsid w:val="00691D8B"/>
    <w:rsid w:val="0069207C"/>
    <w:rsid w:val="00692305"/>
    <w:rsid w:val="006928BA"/>
    <w:rsid w:val="006929A8"/>
    <w:rsid w:val="00692C58"/>
    <w:rsid w:val="0069313E"/>
    <w:rsid w:val="00693C16"/>
    <w:rsid w:val="006941C5"/>
    <w:rsid w:val="006943A3"/>
    <w:rsid w:val="0069492A"/>
    <w:rsid w:val="0069495B"/>
    <w:rsid w:val="00694A7C"/>
    <w:rsid w:val="00694A90"/>
    <w:rsid w:val="00694C07"/>
    <w:rsid w:val="00694CA9"/>
    <w:rsid w:val="006951A5"/>
    <w:rsid w:val="006954B0"/>
    <w:rsid w:val="0069567D"/>
    <w:rsid w:val="00695E0E"/>
    <w:rsid w:val="00696680"/>
    <w:rsid w:val="006967E0"/>
    <w:rsid w:val="00696C25"/>
    <w:rsid w:val="00696FCD"/>
    <w:rsid w:val="0069764B"/>
    <w:rsid w:val="00697D72"/>
    <w:rsid w:val="00697DDD"/>
    <w:rsid w:val="00697F54"/>
    <w:rsid w:val="006A06A3"/>
    <w:rsid w:val="006A0A11"/>
    <w:rsid w:val="006A0C5B"/>
    <w:rsid w:val="006A0EEF"/>
    <w:rsid w:val="006A11A6"/>
    <w:rsid w:val="006A11E4"/>
    <w:rsid w:val="006A121F"/>
    <w:rsid w:val="006A1BC4"/>
    <w:rsid w:val="006A21E5"/>
    <w:rsid w:val="006A21F4"/>
    <w:rsid w:val="006A22C1"/>
    <w:rsid w:val="006A28B6"/>
    <w:rsid w:val="006A2D65"/>
    <w:rsid w:val="006A300A"/>
    <w:rsid w:val="006A359D"/>
    <w:rsid w:val="006A36AE"/>
    <w:rsid w:val="006A38CF"/>
    <w:rsid w:val="006A3B7B"/>
    <w:rsid w:val="006A3DD4"/>
    <w:rsid w:val="006A4A8C"/>
    <w:rsid w:val="006A4F9B"/>
    <w:rsid w:val="006A5031"/>
    <w:rsid w:val="006A5658"/>
    <w:rsid w:val="006A579F"/>
    <w:rsid w:val="006A57FB"/>
    <w:rsid w:val="006A61AA"/>
    <w:rsid w:val="006A6377"/>
    <w:rsid w:val="006A6C5B"/>
    <w:rsid w:val="006A782D"/>
    <w:rsid w:val="006A7950"/>
    <w:rsid w:val="006A7D15"/>
    <w:rsid w:val="006B03DF"/>
    <w:rsid w:val="006B0587"/>
    <w:rsid w:val="006B061A"/>
    <w:rsid w:val="006B0F57"/>
    <w:rsid w:val="006B1017"/>
    <w:rsid w:val="006B12A7"/>
    <w:rsid w:val="006B1390"/>
    <w:rsid w:val="006B1499"/>
    <w:rsid w:val="006B157C"/>
    <w:rsid w:val="006B162E"/>
    <w:rsid w:val="006B17AD"/>
    <w:rsid w:val="006B1847"/>
    <w:rsid w:val="006B19C4"/>
    <w:rsid w:val="006B1C99"/>
    <w:rsid w:val="006B1CAE"/>
    <w:rsid w:val="006B204A"/>
    <w:rsid w:val="006B2954"/>
    <w:rsid w:val="006B2A89"/>
    <w:rsid w:val="006B3C78"/>
    <w:rsid w:val="006B40F4"/>
    <w:rsid w:val="006B4337"/>
    <w:rsid w:val="006B4774"/>
    <w:rsid w:val="006B47BE"/>
    <w:rsid w:val="006B4829"/>
    <w:rsid w:val="006B53A4"/>
    <w:rsid w:val="006B5481"/>
    <w:rsid w:val="006B59E3"/>
    <w:rsid w:val="006B5D8F"/>
    <w:rsid w:val="006B61D0"/>
    <w:rsid w:val="006B62D9"/>
    <w:rsid w:val="006B6E64"/>
    <w:rsid w:val="006B7096"/>
    <w:rsid w:val="006B767C"/>
    <w:rsid w:val="006B79CB"/>
    <w:rsid w:val="006B7F05"/>
    <w:rsid w:val="006C04E7"/>
    <w:rsid w:val="006C069F"/>
    <w:rsid w:val="006C0907"/>
    <w:rsid w:val="006C10E5"/>
    <w:rsid w:val="006C1FD2"/>
    <w:rsid w:val="006C20D0"/>
    <w:rsid w:val="006C28F0"/>
    <w:rsid w:val="006C2D0E"/>
    <w:rsid w:val="006C2E24"/>
    <w:rsid w:val="006C32D8"/>
    <w:rsid w:val="006C35BE"/>
    <w:rsid w:val="006C39D5"/>
    <w:rsid w:val="006C3B47"/>
    <w:rsid w:val="006C3BDD"/>
    <w:rsid w:val="006C3E21"/>
    <w:rsid w:val="006C44F0"/>
    <w:rsid w:val="006C4525"/>
    <w:rsid w:val="006C4717"/>
    <w:rsid w:val="006C5726"/>
    <w:rsid w:val="006C58DA"/>
    <w:rsid w:val="006C5DC5"/>
    <w:rsid w:val="006C607C"/>
    <w:rsid w:val="006C6147"/>
    <w:rsid w:val="006C6364"/>
    <w:rsid w:val="006C642F"/>
    <w:rsid w:val="006C647D"/>
    <w:rsid w:val="006C668E"/>
    <w:rsid w:val="006C67C5"/>
    <w:rsid w:val="006C67CF"/>
    <w:rsid w:val="006C69B2"/>
    <w:rsid w:val="006C6A64"/>
    <w:rsid w:val="006C730B"/>
    <w:rsid w:val="006C7548"/>
    <w:rsid w:val="006C7B7A"/>
    <w:rsid w:val="006C7FC1"/>
    <w:rsid w:val="006D06D3"/>
    <w:rsid w:val="006D1003"/>
    <w:rsid w:val="006D11D6"/>
    <w:rsid w:val="006D163F"/>
    <w:rsid w:val="006D17AB"/>
    <w:rsid w:val="006D17B1"/>
    <w:rsid w:val="006D209B"/>
    <w:rsid w:val="006D2420"/>
    <w:rsid w:val="006D2602"/>
    <w:rsid w:val="006D2944"/>
    <w:rsid w:val="006D2BB9"/>
    <w:rsid w:val="006D3175"/>
    <w:rsid w:val="006D3280"/>
    <w:rsid w:val="006D3472"/>
    <w:rsid w:val="006D3550"/>
    <w:rsid w:val="006D35A6"/>
    <w:rsid w:val="006D36F5"/>
    <w:rsid w:val="006D374C"/>
    <w:rsid w:val="006D3AC0"/>
    <w:rsid w:val="006D3D8F"/>
    <w:rsid w:val="006D3E5D"/>
    <w:rsid w:val="006D466B"/>
    <w:rsid w:val="006D4759"/>
    <w:rsid w:val="006D48BE"/>
    <w:rsid w:val="006D4B29"/>
    <w:rsid w:val="006D4F5A"/>
    <w:rsid w:val="006D52DC"/>
    <w:rsid w:val="006D5332"/>
    <w:rsid w:val="006D5460"/>
    <w:rsid w:val="006D54F5"/>
    <w:rsid w:val="006D5BAB"/>
    <w:rsid w:val="006D6DD3"/>
    <w:rsid w:val="006D7828"/>
    <w:rsid w:val="006D7FA2"/>
    <w:rsid w:val="006E0038"/>
    <w:rsid w:val="006E0125"/>
    <w:rsid w:val="006E0197"/>
    <w:rsid w:val="006E04C4"/>
    <w:rsid w:val="006E0CFD"/>
    <w:rsid w:val="006E1253"/>
    <w:rsid w:val="006E1338"/>
    <w:rsid w:val="006E1592"/>
    <w:rsid w:val="006E15C8"/>
    <w:rsid w:val="006E1614"/>
    <w:rsid w:val="006E1622"/>
    <w:rsid w:val="006E1BEA"/>
    <w:rsid w:val="006E1E35"/>
    <w:rsid w:val="006E2007"/>
    <w:rsid w:val="006E245B"/>
    <w:rsid w:val="006E249C"/>
    <w:rsid w:val="006E2680"/>
    <w:rsid w:val="006E2822"/>
    <w:rsid w:val="006E2A83"/>
    <w:rsid w:val="006E2E7D"/>
    <w:rsid w:val="006E3CAC"/>
    <w:rsid w:val="006E44EC"/>
    <w:rsid w:val="006E4C29"/>
    <w:rsid w:val="006E4DBD"/>
    <w:rsid w:val="006E4EA2"/>
    <w:rsid w:val="006E5545"/>
    <w:rsid w:val="006E5D4C"/>
    <w:rsid w:val="006E6041"/>
    <w:rsid w:val="006E6049"/>
    <w:rsid w:val="006E6419"/>
    <w:rsid w:val="006E695F"/>
    <w:rsid w:val="006E6ED9"/>
    <w:rsid w:val="006E719C"/>
    <w:rsid w:val="006E7271"/>
    <w:rsid w:val="006E76A3"/>
    <w:rsid w:val="006E7B09"/>
    <w:rsid w:val="006E7ED0"/>
    <w:rsid w:val="006E7FD1"/>
    <w:rsid w:val="006F0138"/>
    <w:rsid w:val="006F0480"/>
    <w:rsid w:val="006F0553"/>
    <w:rsid w:val="006F0583"/>
    <w:rsid w:val="006F0889"/>
    <w:rsid w:val="006F0DD8"/>
    <w:rsid w:val="006F10BB"/>
    <w:rsid w:val="006F127E"/>
    <w:rsid w:val="006F15F0"/>
    <w:rsid w:val="006F179F"/>
    <w:rsid w:val="006F1A7B"/>
    <w:rsid w:val="006F2133"/>
    <w:rsid w:val="006F22B9"/>
    <w:rsid w:val="006F2609"/>
    <w:rsid w:val="006F2B36"/>
    <w:rsid w:val="006F3123"/>
    <w:rsid w:val="006F32E8"/>
    <w:rsid w:val="006F446C"/>
    <w:rsid w:val="006F4643"/>
    <w:rsid w:val="006F4BAD"/>
    <w:rsid w:val="006F4C36"/>
    <w:rsid w:val="006F51D6"/>
    <w:rsid w:val="006F5232"/>
    <w:rsid w:val="006F59AB"/>
    <w:rsid w:val="006F5B61"/>
    <w:rsid w:val="006F61CA"/>
    <w:rsid w:val="006F658F"/>
    <w:rsid w:val="006F6A40"/>
    <w:rsid w:val="006F6B5E"/>
    <w:rsid w:val="006F6BF0"/>
    <w:rsid w:val="006F6F3F"/>
    <w:rsid w:val="006F70E1"/>
    <w:rsid w:val="006F7301"/>
    <w:rsid w:val="006F7AA6"/>
    <w:rsid w:val="006F7B37"/>
    <w:rsid w:val="006F7BB6"/>
    <w:rsid w:val="00700038"/>
    <w:rsid w:val="0070050E"/>
    <w:rsid w:val="00700D7D"/>
    <w:rsid w:val="00701C61"/>
    <w:rsid w:val="00701E66"/>
    <w:rsid w:val="00702087"/>
    <w:rsid w:val="007024B9"/>
    <w:rsid w:val="007028BD"/>
    <w:rsid w:val="00702929"/>
    <w:rsid w:val="00702C18"/>
    <w:rsid w:val="00702DC4"/>
    <w:rsid w:val="0070330F"/>
    <w:rsid w:val="00703351"/>
    <w:rsid w:val="00703D71"/>
    <w:rsid w:val="00703DCE"/>
    <w:rsid w:val="00704754"/>
    <w:rsid w:val="00704AA2"/>
    <w:rsid w:val="00704C4A"/>
    <w:rsid w:val="00704EFC"/>
    <w:rsid w:val="0070507B"/>
    <w:rsid w:val="0070543F"/>
    <w:rsid w:val="0070555E"/>
    <w:rsid w:val="00705E66"/>
    <w:rsid w:val="00706047"/>
    <w:rsid w:val="0070633E"/>
    <w:rsid w:val="007073F3"/>
    <w:rsid w:val="00707ABF"/>
    <w:rsid w:val="00707F9A"/>
    <w:rsid w:val="0071061B"/>
    <w:rsid w:val="00710A1C"/>
    <w:rsid w:val="00710AC1"/>
    <w:rsid w:val="00710E84"/>
    <w:rsid w:val="007111FD"/>
    <w:rsid w:val="00711290"/>
    <w:rsid w:val="00711489"/>
    <w:rsid w:val="007114B5"/>
    <w:rsid w:val="0071190A"/>
    <w:rsid w:val="00711B79"/>
    <w:rsid w:val="00711C32"/>
    <w:rsid w:val="00712386"/>
    <w:rsid w:val="0071239A"/>
    <w:rsid w:val="00712607"/>
    <w:rsid w:val="007126C3"/>
    <w:rsid w:val="007129FF"/>
    <w:rsid w:val="0071309D"/>
    <w:rsid w:val="0071314E"/>
    <w:rsid w:val="0071326B"/>
    <w:rsid w:val="00713717"/>
    <w:rsid w:val="00713CEF"/>
    <w:rsid w:val="00713DFA"/>
    <w:rsid w:val="00714233"/>
    <w:rsid w:val="007143A4"/>
    <w:rsid w:val="007147E9"/>
    <w:rsid w:val="007149EF"/>
    <w:rsid w:val="00715192"/>
    <w:rsid w:val="007152F9"/>
    <w:rsid w:val="007162D2"/>
    <w:rsid w:val="00716310"/>
    <w:rsid w:val="007165ED"/>
    <w:rsid w:val="00716F0E"/>
    <w:rsid w:val="00716F5A"/>
    <w:rsid w:val="00717404"/>
    <w:rsid w:val="00717F5C"/>
    <w:rsid w:val="007200F4"/>
    <w:rsid w:val="00720508"/>
    <w:rsid w:val="00720CFB"/>
    <w:rsid w:val="00720DBC"/>
    <w:rsid w:val="00720F9E"/>
    <w:rsid w:val="007216AD"/>
    <w:rsid w:val="00721979"/>
    <w:rsid w:val="00721C39"/>
    <w:rsid w:val="00721E0E"/>
    <w:rsid w:val="00721E59"/>
    <w:rsid w:val="00721F48"/>
    <w:rsid w:val="00721FE3"/>
    <w:rsid w:val="007222C0"/>
    <w:rsid w:val="00722492"/>
    <w:rsid w:val="00723718"/>
    <w:rsid w:val="00723804"/>
    <w:rsid w:val="007239DF"/>
    <w:rsid w:val="007239F0"/>
    <w:rsid w:val="00723A5B"/>
    <w:rsid w:val="007240B5"/>
    <w:rsid w:val="00724C16"/>
    <w:rsid w:val="00724DB0"/>
    <w:rsid w:val="00724FFA"/>
    <w:rsid w:val="0072515F"/>
    <w:rsid w:val="00725667"/>
    <w:rsid w:val="00725D10"/>
    <w:rsid w:val="007266AB"/>
    <w:rsid w:val="007266C9"/>
    <w:rsid w:val="00726F37"/>
    <w:rsid w:val="00727412"/>
    <w:rsid w:val="00727574"/>
    <w:rsid w:val="007276AA"/>
    <w:rsid w:val="00727945"/>
    <w:rsid w:val="00727D6A"/>
    <w:rsid w:val="007300AE"/>
    <w:rsid w:val="007307F0"/>
    <w:rsid w:val="007308A7"/>
    <w:rsid w:val="00730A2B"/>
    <w:rsid w:val="007313DB"/>
    <w:rsid w:val="007314D9"/>
    <w:rsid w:val="007318B3"/>
    <w:rsid w:val="00731F81"/>
    <w:rsid w:val="0073224D"/>
    <w:rsid w:val="00732821"/>
    <w:rsid w:val="00732B14"/>
    <w:rsid w:val="00732BF8"/>
    <w:rsid w:val="00732CB5"/>
    <w:rsid w:val="00732FFC"/>
    <w:rsid w:val="0073324D"/>
    <w:rsid w:val="00733251"/>
    <w:rsid w:val="00733268"/>
    <w:rsid w:val="007335E3"/>
    <w:rsid w:val="007344D8"/>
    <w:rsid w:val="007349B7"/>
    <w:rsid w:val="00734BA5"/>
    <w:rsid w:val="007352A1"/>
    <w:rsid w:val="007355BF"/>
    <w:rsid w:val="0073564E"/>
    <w:rsid w:val="00735AD3"/>
    <w:rsid w:val="00735D01"/>
    <w:rsid w:val="00736681"/>
    <w:rsid w:val="0073687D"/>
    <w:rsid w:val="00736F50"/>
    <w:rsid w:val="00737B4A"/>
    <w:rsid w:val="00737DEF"/>
    <w:rsid w:val="00740010"/>
    <w:rsid w:val="00740792"/>
    <w:rsid w:val="00740FC8"/>
    <w:rsid w:val="0074116E"/>
    <w:rsid w:val="00741435"/>
    <w:rsid w:val="00741ED9"/>
    <w:rsid w:val="007420DA"/>
    <w:rsid w:val="007428FB"/>
    <w:rsid w:val="00742B09"/>
    <w:rsid w:val="00742EEF"/>
    <w:rsid w:val="0074320A"/>
    <w:rsid w:val="0074324C"/>
    <w:rsid w:val="00743672"/>
    <w:rsid w:val="00743D92"/>
    <w:rsid w:val="0074432D"/>
    <w:rsid w:val="00744734"/>
    <w:rsid w:val="00744952"/>
    <w:rsid w:val="007452E4"/>
    <w:rsid w:val="007456E9"/>
    <w:rsid w:val="007459DD"/>
    <w:rsid w:val="00745A08"/>
    <w:rsid w:val="00745CDE"/>
    <w:rsid w:val="00745D6A"/>
    <w:rsid w:val="00745E43"/>
    <w:rsid w:val="00745EE1"/>
    <w:rsid w:val="00745F11"/>
    <w:rsid w:val="0074665A"/>
    <w:rsid w:val="00746E70"/>
    <w:rsid w:val="00747176"/>
    <w:rsid w:val="0074747A"/>
    <w:rsid w:val="00747490"/>
    <w:rsid w:val="00750192"/>
    <w:rsid w:val="007504A5"/>
    <w:rsid w:val="007505C2"/>
    <w:rsid w:val="00751158"/>
    <w:rsid w:val="007513C1"/>
    <w:rsid w:val="00751892"/>
    <w:rsid w:val="00751C2D"/>
    <w:rsid w:val="00752816"/>
    <w:rsid w:val="00752D52"/>
    <w:rsid w:val="0075322A"/>
    <w:rsid w:val="0075377E"/>
    <w:rsid w:val="00753CB8"/>
    <w:rsid w:val="007542D4"/>
    <w:rsid w:val="00754CFD"/>
    <w:rsid w:val="00754F18"/>
    <w:rsid w:val="007552AF"/>
    <w:rsid w:val="00755374"/>
    <w:rsid w:val="00755481"/>
    <w:rsid w:val="00755516"/>
    <w:rsid w:val="00755553"/>
    <w:rsid w:val="00755678"/>
    <w:rsid w:val="00755DFE"/>
    <w:rsid w:val="0075625C"/>
    <w:rsid w:val="007575DC"/>
    <w:rsid w:val="007575E8"/>
    <w:rsid w:val="007602A0"/>
    <w:rsid w:val="007604E1"/>
    <w:rsid w:val="00760725"/>
    <w:rsid w:val="00761385"/>
    <w:rsid w:val="00761730"/>
    <w:rsid w:val="0076181A"/>
    <w:rsid w:val="007619C2"/>
    <w:rsid w:val="007619DE"/>
    <w:rsid w:val="00761B35"/>
    <w:rsid w:val="00761B5A"/>
    <w:rsid w:val="0076201F"/>
    <w:rsid w:val="00762372"/>
    <w:rsid w:val="00762837"/>
    <w:rsid w:val="00762AA6"/>
    <w:rsid w:val="00762D57"/>
    <w:rsid w:val="0076318A"/>
    <w:rsid w:val="007637C1"/>
    <w:rsid w:val="0076397D"/>
    <w:rsid w:val="00763A76"/>
    <w:rsid w:val="0076416B"/>
    <w:rsid w:val="00764E4B"/>
    <w:rsid w:val="007653D8"/>
    <w:rsid w:val="00765643"/>
    <w:rsid w:val="00765708"/>
    <w:rsid w:val="00765917"/>
    <w:rsid w:val="007659BA"/>
    <w:rsid w:val="007659EB"/>
    <w:rsid w:val="00765E87"/>
    <w:rsid w:val="007660E3"/>
    <w:rsid w:val="00766384"/>
    <w:rsid w:val="007664FC"/>
    <w:rsid w:val="00766931"/>
    <w:rsid w:val="007669E5"/>
    <w:rsid w:val="00766EC6"/>
    <w:rsid w:val="00767779"/>
    <w:rsid w:val="007678A0"/>
    <w:rsid w:val="00767A1F"/>
    <w:rsid w:val="00767AE4"/>
    <w:rsid w:val="00767BBB"/>
    <w:rsid w:val="00770172"/>
    <w:rsid w:val="00770348"/>
    <w:rsid w:val="00770D87"/>
    <w:rsid w:val="0077105B"/>
    <w:rsid w:val="00771C67"/>
    <w:rsid w:val="00771FEF"/>
    <w:rsid w:val="0077261B"/>
    <w:rsid w:val="00772C12"/>
    <w:rsid w:val="0077321D"/>
    <w:rsid w:val="007735F8"/>
    <w:rsid w:val="00773854"/>
    <w:rsid w:val="00773DB6"/>
    <w:rsid w:val="007740A5"/>
    <w:rsid w:val="007740F7"/>
    <w:rsid w:val="0077410C"/>
    <w:rsid w:val="0077443C"/>
    <w:rsid w:val="00774746"/>
    <w:rsid w:val="00774C25"/>
    <w:rsid w:val="00774FDB"/>
    <w:rsid w:val="0077559D"/>
    <w:rsid w:val="00775AA8"/>
    <w:rsid w:val="00775B75"/>
    <w:rsid w:val="00775E64"/>
    <w:rsid w:val="00776D2B"/>
    <w:rsid w:val="00776E2C"/>
    <w:rsid w:val="007772EF"/>
    <w:rsid w:val="00777432"/>
    <w:rsid w:val="00777986"/>
    <w:rsid w:val="00777BFE"/>
    <w:rsid w:val="00780897"/>
    <w:rsid w:val="00780EEA"/>
    <w:rsid w:val="007815ED"/>
    <w:rsid w:val="0078192A"/>
    <w:rsid w:val="00781C68"/>
    <w:rsid w:val="00781E69"/>
    <w:rsid w:val="007821C1"/>
    <w:rsid w:val="00782D62"/>
    <w:rsid w:val="007838FF"/>
    <w:rsid w:val="00783EBB"/>
    <w:rsid w:val="0078438B"/>
    <w:rsid w:val="0078451D"/>
    <w:rsid w:val="00784A2B"/>
    <w:rsid w:val="00784CAD"/>
    <w:rsid w:val="00784D68"/>
    <w:rsid w:val="007851A8"/>
    <w:rsid w:val="0078531C"/>
    <w:rsid w:val="0078544D"/>
    <w:rsid w:val="00785788"/>
    <w:rsid w:val="00785862"/>
    <w:rsid w:val="0078649D"/>
    <w:rsid w:val="007864C1"/>
    <w:rsid w:val="007865A6"/>
    <w:rsid w:val="00786A09"/>
    <w:rsid w:val="00786EAA"/>
    <w:rsid w:val="007871CA"/>
    <w:rsid w:val="007874F6"/>
    <w:rsid w:val="00787A69"/>
    <w:rsid w:val="00787EEF"/>
    <w:rsid w:val="0079034C"/>
    <w:rsid w:val="0079040F"/>
    <w:rsid w:val="0079062A"/>
    <w:rsid w:val="00790899"/>
    <w:rsid w:val="00791007"/>
    <w:rsid w:val="007912F9"/>
    <w:rsid w:val="00791DBB"/>
    <w:rsid w:val="00791DD8"/>
    <w:rsid w:val="00792041"/>
    <w:rsid w:val="00792444"/>
    <w:rsid w:val="007924E3"/>
    <w:rsid w:val="0079273F"/>
    <w:rsid w:val="00792899"/>
    <w:rsid w:val="00792BAF"/>
    <w:rsid w:val="00792D5D"/>
    <w:rsid w:val="007930B2"/>
    <w:rsid w:val="007930F4"/>
    <w:rsid w:val="00793975"/>
    <w:rsid w:val="007943EE"/>
    <w:rsid w:val="00794469"/>
    <w:rsid w:val="00795383"/>
    <w:rsid w:val="0079692E"/>
    <w:rsid w:val="00796942"/>
    <w:rsid w:val="00796A34"/>
    <w:rsid w:val="00797011"/>
    <w:rsid w:val="007974B5"/>
    <w:rsid w:val="00797AB1"/>
    <w:rsid w:val="00797BC8"/>
    <w:rsid w:val="00797F59"/>
    <w:rsid w:val="007A0036"/>
    <w:rsid w:val="007A0284"/>
    <w:rsid w:val="007A02BC"/>
    <w:rsid w:val="007A05D5"/>
    <w:rsid w:val="007A069F"/>
    <w:rsid w:val="007A08D1"/>
    <w:rsid w:val="007A0C74"/>
    <w:rsid w:val="007A0E8E"/>
    <w:rsid w:val="007A128E"/>
    <w:rsid w:val="007A14A3"/>
    <w:rsid w:val="007A1DCB"/>
    <w:rsid w:val="007A20B9"/>
    <w:rsid w:val="007A235A"/>
    <w:rsid w:val="007A28AB"/>
    <w:rsid w:val="007A28EC"/>
    <w:rsid w:val="007A2A3A"/>
    <w:rsid w:val="007A2D8C"/>
    <w:rsid w:val="007A34AE"/>
    <w:rsid w:val="007A35CD"/>
    <w:rsid w:val="007A3A9B"/>
    <w:rsid w:val="007A3AD9"/>
    <w:rsid w:val="007A3B98"/>
    <w:rsid w:val="007A3E1C"/>
    <w:rsid w:val="007A43DE"/>
    <w:rsid w:val="007A4682"/>
    <w:rsid w:val="007A47C1"/>
    <w:rsid w:val="007A48A3"/>
    <w:rsid w:val="007A4CC8"/>
    <w:rsid w:val="007A4DFF"/>
    <w:rsid w:val="007A54C5"/>
    <w:rsid w:val="007A5B1C"/>
    <w:rsid w:val="007A5D40"/>
    <w:rsid w:val="007A62BB"/>
    <w:rsid w:val="007A63C1"/>
    <w:rsid w:val="007A6501"/>
    <w:rsid w:val="007A65BD"/>
    <w:rsid w:val="007A67B3"/>
    <w:rsid w:val="007A6FCF"/>
    <w:rsid w:val="007A736E"/>
    <w:rsid w:val="007A77E8"/>
    <w:rsid w:val="007A7857"/>
    <w:rsid w:val="007A786E"/>
    <w:rsid w:val="007B01E9"/>
    <w:rsid w:val="007B0265"/>
    <w:rsid w:val="007B0B8B"/>
    <w:rsid w:val="007B0DAA"/>
    <w:rsid w:val="007B0EF2"/>
    <w:rsid w:val="007B10A8"/>
    <w:rsid w:val="007B1429"/>
    <w:rsid w:val="007B1811"/>
    <w:rsid w:val="007B21C2"/>
    <w:rsid w:val="007B225A"/>
    <w:rsid w:val="007B2492"/>
    <w:rsid w:val="007B2504"/>
    <w:rsid w:val="007B2F5E"/>
    <w:rsid w:val="007B2FD5"/>
    <w:rsid w:val="007B32BA"/>
    <w:rsid w:val="007B3B23"/>
    <w:rsid w:val="007B4164"/>
    <w:rsid w:val="007B42CE"/>
    <w:rsid w:val="007B556F"/>
    <w:rsid w:val="007B55D6"/>
    <w:rsid w:val="007B55E8"/>
    <w:rsid w:val="007B59C2"/>
    <w:rsid w:val="007B5B27"/>
    <w:rsid w:val="007B5D6B"/>
    <w:rsid w:val="007B5F5F"/>
    <w:rsid w:val="007B63FA"/>
    <w:rsid w:val="007B6524"/>
    <w:rsid w:val="007B7166"/>
    <w:rsid w:val="007B7278"/>
    <w:rsid w:val="007B73AA"/>
    <w:rsid w:val="007B7420"/>
    <w:rsid w:val="007B79E7"/>
    <w:rsid w:val="007B79F1"/>
    <w:rsid w:val="007B7B93"/>
    <w:rsid w:val="007B7F30"/>
    <w:rsid w:val="007C04A5"/>
    <w:rsid w:val="007C07F7"/>
    <w:rsid w:val="007C0FAA"/>
    <w:rsid w:val="007C16B2"/>
    <w:rsid w:val="007C1AA6"/>
    <w:rsid w:val="007C2536"/>
    <w:rsid w:val="007C2C3F"/>
    <w:rsid w:val="007C2CAF"/>
    <w:rsid w:val="007C35C9"/>
    <w:rsid w:val="007C3A5D"/>
    <w:rsid w:val="007C3CF5"/>
    <w:rsid w:val="007C4012"/>
    <w:rsid w:val="007C4633"/>
    <w:rsid w:val="007C4CA0"/>
    <w:rsid w:val="007C4DF0"/>
    <w:rsid w:val="007C5F2F"/>
    <w:rsid w:val="007C5F78"/>
    <w:rsid w:val="007C6163"/>
    <w:rsid w:val="007C6177"/>
    <w:rsid w:val="007C65F9"/>
    <w:rsid w:val="007C7529"/>
    <w:rsid w:val="007C762F"/>
    <w:rsid w:val="007C7A1B"/>
    <w:rsid w:val="007C7C71"/>
    <w:rsid w:val="007C7CA6"/>
    <w:rsid w:val="007C7D00"/>
    <w:rsid w:val="007C7E05"/>
    <w:rsid w:val="007D01FD"/>
    <w:rsid w:val="007D0289"/>
    <w:rsid w:val="007D0382"/>
    <w:rsid w:val="007D06B1"/>
    <w:rsid w:val="007D120C"/>
    <w:rsid w:val="007D14CF"/>
    <w:rsid w:val="007D16FA"/>
    <w:rsid w:val="007D1855"/>
    <w:rsid w:val="007D193D"/>
    <w:rsid w:val="007D1EA4"/>
    <w:rsid w:val="007D2332"/>
    <w:rsid w:val="007D24BA"/>
    <w:rsid w:val="007D2579"/>
    <w:rsid w:val="007D2656"/>
    <w:rsid w:val="007D2940"/>
    <w:rsid w:val="007D2D22"/>
    <w:rsid w:val="007D3125"/>
    <w:rsid w:val="007D3B5C"/>
    <w:rsid w:val="007D3D59"/>
    <w:rsid w:val="007D4266"/>
    <w:rsid w:val="007D43EC"/>
    <w:rsid w:val="007D4529"/>
    <w:rsid w:val="007D45C3"/>
    <w:rsid w:val="007D46BA"/>
    <w:rsid w:val="007D46FC"/>
    <w:rsid w:val="007D4886"/>
    <w:rsid w:val="007D4971"/>
    <w:rsid w:val="007D4ABA"/>
    <w:rsid w:val="007D4F32"/>
    <w:rsid w:val="007D5037"/>
    <w:rsid w:val="007D54B3"/>
    <w:rsid w:val="007D57E8"/>
    <w:rsid w:val="007D5C6F"/>
    <w:rsid w:val="007D5F20"/>
    <w:rsid w:val="007D6142"/>
    <w:rsid w:val="007D61F3"/>
    <w:rsid w:val="007D6740"/>
    <w:rsid w:val="007D6ACF"/>
    <w:rsid w:val="007D6BCD"/>
    <w:rsid w:val="007D702F"/>
    <w:rsid w:val="007D73D7"/>
    <w:rsid w:val="007D7D67"/>
    <w:rsid w:val="007E01ED"/>
    <w:rsid w:val="007E0D0E"/>
    <w:rsid w:val="007E1314"/>
    <w:rsid w:val="007E13FF"/>
    <w:rsid w:val="007E2120"/>
    <w:rsid w:val="007E2130"/>
    <w:rsid w:val="007E237C"/>
    <w:rsid w:val="007E260F"/>
    <w:rsid w:val="007E2FCF"/>
    <w:rsid w:val="007E3C41"/>
    <w:rsid w:val="007E3C8C"/>
    <w:rsid w:val="007E3F39"/>
    <w:rsid w:val="007E418F"/>
    <w:rsid w:val="007E44B7"/>
    <w:rsid w:val="007E47F6"/>
    <w:rsid w:val="007E5EAC"/>
    <w:rsid w:val="007E5EC6"/>
    <w:rsid w:val="007E60D0"/>
    <w:rsid w:val="007E613A"/>
    <w:rsid w:val="007E6291"/>
    <w:rsid w:val="007E7408"/>
    <w:rsid w:val="007E7AE8"/>
    <w:rsid w:val="007E7C36"/>
    <w:rsid w:val="007F05D4"/>
    <w:rsid w:val="007F0D03"/>
    <w:rsid w:val="007F0E97"/>
    <w:rsid w:val="007F109F"/>
    <w:rsid w:val="007F1200"/>
    <w:rsid w:val="007F167E"/>
    <w:rsid w:val="007F16D4"/>
    <w:rsid w:val="007F1A02"/>
    <w:rsid w:val="007F2273"/>
    <w:rsid w:val="007F2285"/>
    <w:rsid w:val="007F261E"/>
    <w:rsid w:val="007F262C"/>
    <w:rsid w:val="007F2B77"/>
    <w:rsid w:val="007F2C23"/>
    <w:rsid w:val="007F3B8F"/>
    <w:rsid w:val="007F45FE"/>
    <w:rsid w:val="007F4AC8"/>
    <w:rsid w:val="007F4C18"/>
    <w:rsid w:val="007F4E4C"/>
    <w:rsid w:val="007F6156"/>
    <w:rsid w:val="007F6379"/>
    <w:rsid w:val="007F648B"/>
    <w:rsid w:val="007F6657"/>
    <w:rsid w:val="007F6805"/>
    <w:rsid w:val="007F6B57"/>
    <w:rsid w:val="007F6C13"/>
    <w:rsid w:val="007F7043"/>
    <w:rsid w:val="007F7190"/>
    <w:rsid w:val="007F72C9"/>
    <w:rsid w:val="007F744F"/>
    <w:rsid w:val="007F7A92"/>
    <w:rsid w:val="00800A3E"/>
    <w:rsid w:val="00800BBE"/>
    <w:rsid w:val="00800C44"/>
    <w:rsid w:val="00800CDA"/>
    <w:rsid w:val="00800D86"/>
    <w:rsid w:val="00800EA0"/>
    <w:rsid w:val="0080117E"/>
    <w:rsid w:val="008013C4"/>
    <w:rsid w:val="008014E9"/>
    <w:rsid w:val="0080160E"/>
    <w:rsid w:val="00801802"/>
    <w:rsid w:val="00801C6C"/>
    <w:rsid w:val="00801D40"/>
    <w:rsid w:val="00801E11"/>
    <w:rsid w:val="00801EAB"/>
    <w:rsid w:val="00802064"/>
    <w:rsid w:val="008024AA"/>
    <w:rsid w:val="00802FC4"/>
    <w:rsid w:val="00803ADC"/>
    <w:rsid w:val="00803E8D"/>
    <w:rsid w:val="0080410C"/>
    <w:rsid w:val="0080446C"/>
    <w:rsid w:val="008044AA"/>
    <w:rsid w:val="008058D7"/>
    <w:rsid w:val="00805D04"/>
    <w:rsid w:val="00805E7F"/>
    <w:rsid w:val="00806081"/>
    <w:rsid w:val="0080637B"/>
    <w:rsid w:val="00806819"/>
    <w:rsid w:val="00807036"/>
    <w:rsid w:val="0080755F"/>
    <w:rsid w:val="0080760E"/>
    <w:rsid w:val="0080764B"/>
    <w:rsid w:val="008077E2"/>
    <w:rsid w:val="00807C7C"/>
    <w:rsid w:val="00810386"/>
    <w:rsid w:val="008115DE"/>
    <w:rsid w:val="008118BE"/>
    <w:rsid w:val="00811CCA"/>
    <w:rsid w:val="00811EE5"/>
    <w:rsid w:val="00811EF9"/>
    <w:rsid w:val="008120EE"/>
    <w:rsid w:val="00812296"/>
    <w:rsid w:val="0081272F"/>
    <w:rsid w:val="00812A22"/>
    <w:rsid w:val="00813256"/>
    <w:rsid w:val="00813950"/>
    <w:rsid w:val="008140BB"/>
    <w:rsid w:val="00814138"/>
    <w:rsid w:val="0081419D"/>
    <w:rsid w:val="00815261"/>
    <w:rsid w:val="00815348"/>
    <w:rsid w:val="0081564B"/>
    <w:rsid w:val="0081572D"/>
    <w:rsid w:val="00815B1A"/>
    <w:rsid w:val="00815BDA"/>
    <w:rsid w:val="008162D4"/>
    <w:rsid w:val="00816332"/>
    <w:rsid w:val="008167D6"/>
    <w:rsid w:val="00816CA6"/>
    <w:rsid w:val="00816DCD"/>
    <w:rsid w:val="00816FD8"/>
    <w:rsid w:val="00816FFA"/>
    <w:rsid w:val="0081722D"/>
    <w:rsid w:val="00817513"/>
    <w:rsid w:val="00817E9A"/>
    <w:rsid w:val="00817EA6"/>
    <w:rsid w:val="00817EF0"/>
    <w:rsid w:val="008200F3"/>
    <w:rsid w:val="008203CF"/>
    <w:rsid w:val="008205DB"/>
    <w:rsid w:val="0082114F"/>
    <w:rsid w:val="008219AF"/>
    <w:rsid w:val="00821CF6"/>
    <w:rsid w:val="008222E0"/>
    <w:rsid w:val="00822D87"/>
    <w:rsid w:val="008231F9"/>
    <w:rsid w:val="0082356F"/>
    <w:rsid w:val="0082358D"/>
    <w:rsid w:val="008236D2"/>
    <w:rsid w:val="0082374B"/>
    <w:rsid w:val="00823CDA"/>
    <w:rsid w:val="00824072"/>
    <w:rsid w:val="0082413A"/>
    <w:rsid w:val="00824508"/>
    <w:rsid w:val="0082454E"/>
    <w:rsid w:val="0082518B"/>
    <w:rsid w:val="00826469"/>
    <w:rsid w:val="008264C2"/>
    <w:rsid w:val="00826C10"/>
    <w:rsid w:val="00826C96"/>
    <w:rsid w:val="00826DF0"/>
    <w:rsid w:val="008275D0"/>
    <w:rsid w:val="0082772E"/>
    <w:rsid w:val="00830052"/>
    <w:rsid w:val="00830080"/>
    <w:rsid w:val="008302CC"/>
    <w:rsid w:val="00830A0D"/>
    <w:rsid w:val="00830C70"/>
    <w:rsid w:val="008311BD"/>
    <w:rsid w:val="008315B7"/>
    <w:rsid w:val="00831779"/>
    <w:rsid w:val="00831923"/>
    <w:rsid w:val="00831A40"/>
    <w:rsid w:val="00831B61"/>
    <w:rsid w:val="00831CE6"/>
    <w:rsid w:val="00831F58"/>
    <w:rsid w:val="00832044"/>
    <w:rsid w:val="008325B8"/>
    <w:rsid w:val="008326F6"/>
    <w:rsid w:val="0083296B"/>
    <w:rsid w:val="008329A9"/>
    <w:rsid w:val="00833A9F"/>
    <w:rsid w:val="00833D24"/>
    <w:rsid w:val="00833E52"/>
    <w:rsid w:val="00833ED5"/>
    <w:rsid w:val="00834730"/>
    <w:rsid w:val="0083475D"/>
    <w:rsid w:val="008348F3"/>
    <w:rsid w:val="00834C6B"/>
    <w:rsid w:val="008351BD"/>
    <w:rsid w:val="00835CA0"/>
    <w:rsid w:val="00835D55"/>
    <w:rsid w:val="00835DE8"/>
    <w:rsid w:val="0083720E"/>
    <w:rsid w:val="008376DB"/>
    <w:rsid w:val="0083774D"/>
    <w:rsid w:val="00837B3C"/>
    <w:rsid w:val="00837E2F"/>
    <w:rsid w:val="008402F2"/>
    <w:rsid w:val="0084050F"/>
    <w:rsid w:val="00840C10"/>
    <w:rsid w:val="00840CF5"/>
    <w:rsid w:val="00840E91"/>
    <w:rsid w:val="00840F0C"/>
    <w:rsid w:val="008410BE"/>
    <w:rsid w:val="00841211"/>
    <w:rsid w:val="008413CD"/>
    <w:rsid w:val="008416DD"/>
    <w:rsid w:val="008419EA"/>
    <w:rsid w:val="00841A8D"/>
    <w:rsid w:val="008422A9"/>
    <w:rsid w:val="00842CC4"/>
    <w:rsid w:val="00842F2F"/>
    <w:rsid w:val="008438AF"/>
    <w:rsid w:val="00843B03"/>
    <w:rsid w:val="00843C94"/>
    <w:rsid w:val="00844BBD"/>
    <w:rsid w:val="00844C51"/>
    <w:rsid w:val="00845809"/>
    <w:rsid w:val="00845D05"/>
    <w:rsid w:val="008465C4"/>
    <w:rsid w:val="00846694"/>
    <w:rsid w:val="008471EB"/>
    <w:rsid w:val="00847300"/>
    <w:rsid w:val="00847436"/>
    <w:rsid w:val="00847590"/>
    <w:rsid w:val="008475A0"/>
    <w:rsid w:val="008475B5"/>
    <w:rsid w:val="0084769B"/>
    <w:rsid w:val="00847B76"/>
    <w:rsid w:val="00847E48"/>
    <w:rsid w:val="00850CA7"/>
    <w:rsid w:val="00850EF5"/>
    <w:rsid w:val="008517B6"/>
    <w:rsid w:val="00851F99"/>
    <w:rsid w:val="00852428"/>
    <w:rsid w:val="00852858"/>
    <w:rsid w:val="00852B24"/>
    <w:rsid w:val="00852CAE"/>
    <w:rsid w:val="00852D6D"/>
    <w:rsid w:val="00852EDF"/>
    <w:rsid w:val="00853444"/>
    <w:rsid w:val="008534E6"/>
    <w:rsid w:val="008536B8"/>
    <w:rsid w:val="008537D9"/>
    <w:rsid w:val="0085389A"/>
    <w:rsid w:val="00854075"/>
    <w:rsid w:val="008549A6"/>
    <w:rsid w:val="008549DE"/>
    <w:rsid w:val="00855A18"/>
    <w:rsid w:val="00855DD9"/>
    <w:rsid w:val="008565A6"/>
    <w:rsid w:val="00856A2D"/>
    <w:rsid w:val="00856AF6"/>
    <w:rsid w:val="00856DC4"/>
    <w:rsid w:val="0085707D"/>
    <w:rsid w:val="008572A0"/>
    <w:rsid w:val="0085730B"/>
    <w:rsid w:val="00857596"/>
    <w:rsid w:val="00857A80"/>
    <w:rsid w:val="00857A96"/>
    <w:rsid w:val="00857B28"/>
    <w:rsid w:val="00860317"/>
    <w:rsid w:val="008603FA"/>
    <w:rsid w:val="00860B89"/>
    <w:rsid w:val="0086166B"/>
    <w:rsid w:val="00861A2B"/>
    <w:rsid w:val="00861B19"/>
    <w:rsid w:val="008628EA"/>
    <w:rsid w:val="00862949"/>
    <w:rsid w:val="00862DA5"/>
    <w:rsid w:val="008639F3"/>
    <w:rsid w:val="00863DF2"/>
    <w:rsid w:val="00863FB2"/>
    <w:rsid w:val="008641C5"/>
    <w:rsid w:val="00864E63"/>
    <w:rsid w:val="00864EFD"/>
    <w:rsid w:val="0086523C"/>
    <w:rsid w:val="0086535C"/>
    <w:rsid w:val="00865C9B"/>
    <w:rsid w:val="0086624C"/>
    <w:rsid w:val="008664B3"/>
    <w:rsid w:val="0086687C"/>
    <w:rsid w:val="00866CC6"/>
    <w:rsid w:val="00866EC0"/>
    <w:rsid w:val="00867047"/>
    <w:rsid w:val="0086711E"/>
    <w:rsid w:val="0086791E"/>
    <w:rsid w:val="008679CB"/>
    <w:rsid w:val="00867EB0"/>
    <w:rsid w:val="008706AE"/>
    <w:rsid w:val="0087171C"/>
    <w:rsid w:val="008718F2"/>
    <w:rsid w:val="00871AD3"/>
    <w:rsid w:val="00872220"/>
    <w:rsid w:val="0087223E"/>
    <w:rsid w:val="008725F3"/>
    <w:rsid w:val="008726B8"/>
    <w:rsid w:val="008733E0"/>
    <w:rsid w:val="00873539"/>
    <w:rsid w:val="008737DA"/>
    <w:rsid w:val="00873827"/>
    <w:rsid w:val="0087419B"/>
    <w:rsid w:val="008743BB"/>
    <w:rsid w:val="00874644"/>
    <w:rsid w:val="00874730"/>
    <w:rsid w:val="00875C0D"/>
    <w:rsid w:val="00875EF1"/>
    <w:rsid w:val="00875FCC"/>
    <w:rsid w:val="00876025"/>
    <w:rsid w:val="008760F3"/>
    <w:rsid w:val="00876482"/>
    <w:rsid w:val="0087675C"/>
    <w:rsid w:val="00877191"/>
    <w:rsid w:val="008773F4"/>
    <w:rsid w:val="00877421"/>
    <w:rsid w:val="00877433"/>
    <w:rsid w:val="008774A9"/>
    <w:rsid w:val="008774CB"/>
    <w:rsid w:val="008779FF"/>
    <w:rsid w:val="0088039B"/>
    <w:rsid w:val="008803E8"/>
    <w:rsid w:val="00880B6F"/>
    <w:rsid w:val="0088142E"/>
    <w:rsid w:val="00881AFF"/>
    <w:rsid w:val="00881B49"/>
    <w:rsid w:val="00882366"/>
    <w:rsid w:val="0088251A"/>
    <w:rsid w:val="00882692"/>
    <w:rsid w:val="008828FA"/>
    <w:rsid w:val="00882A68"/>
    <w:rsid w:val="00882C58"/>
    <w:rsid w:val="00882FDE"/>
    <w:rsid w:val="00883035"/>
    <w:rsid w:val="008831BD"/>
    <w:rsid w:val="00883214"/>
    <w:rsid w:val="0088328C"/>
    <w:rsid w:val="008834FB"/>
    <w:rsid w:val="008835A8"/>
    <w:rsid w:val="0088374E"/>
    <w:rsid w:val="00884080"/>
    <w:rsid w:val="00884218"/>
    <w:rsid w:val="0088422E"/>
    <w:rsid w:val="0088425A"/>
    <w:rsid w:val="00884BEA"/>
    <w:rsid w:val="00884C0E"/>
    <w:rsid w:val="00884CB4"/>
    <w:rsid w:val="00884CFC"/>
    <w:rsid w:val="00884E51"/>
    <w:rsid w:val="00885CAE"/>
    <w:rsid w:val="00885E17"/>
    <w:rsid w:val="00885FC2"/>
    <w:rsid w:val="008860CC"/>
    <w:rsid w:val="00886CB7"/>
    <w:rsid w:val="008870B3"/>
    <w:rsid w:val="0088780F"/>
    <w:rsid w:val="00887A91"/>
    <w:rsid w:val="00887CEB"/>
    <w:rsid w:val="0089017C"/>
    <w:rsid w:val="008903FB"/>
    <w:rsid w:val="00890BEB"/>
    <w:rsid w:val="00891346"/>
    <w:rsid w:val="00891CDA"/>
    <w:rsid w:val="00891D6F"/>
    <w:rsid w:val="00892841"/>
    <w:rsid w:val="00892898"/>
    <w:rsid w:val="008928C6"/>
    <w:rsid w:val="008929C9"/>
    <w:rsid w:val="00892B50"/>
    <w:rsid w:val="008930A4"/>
    <w:rsid w:val="00893101"/>
    <w:rsid w:val="00893225"/>
    <w:rsid w:val="00893A94"/>
    <w:rsid w:val="00893B13"/>
    <w:rsid w:val="00893C8C"/>
    <w:rsid w:val="00894417"/>
    <w:rsid w:val="0089449E"/>
    <w:rsid w:val="0089456A"/>
    <w:rsid w:val="0089468A"/>
    <w:rsid w:val="008949EF"/>
    <w:rsid w:val="008952F3"/>
    <w:rsid w:val="0089548F"/>
    <w:rsid w:val="00895527"/>
    <w:rsid w:val="008955A8"/>
    <w:rsid w:val="00895AC7"/>
    <w:rsid w:val="00895E29"/>
    <w:rsid w:val="0089647F"/>
    <w:rsid w:val="00896AE9"/>
    <w:rsid w:val="00896D1E"/>
    <w:rsid w:val="00896FAD"/>
    <w:rsid w:val="0089786D"/>
    <w:rsid w:val="00897936"/>
    <w:rsid w:val="008A00D2"/>
    <w:rsid w:val="008A0357"/>
    <w:rsid w:val="008A03E2"/>
    <w:rsid w:val="008A08FD"/>
    <w:rsid w:val="008A1526"/>
    <w:rsid w:val="008A15DB"/>
    <w:rsid w:val="008A17A1"/>
    <w:rsid w:val="008A1977"/>
    <w:rsid w:val="008A1CA2"/>
    <w:rsid w:val="008A1D4D"/>
    <w:rsid w:val="008A1DD4"/>
    <w:rsid w:val="008A1DD5"/>
    <w:rsid w:val="008A1FDD"/>
    <w:rsid w:val="008A201A"/>
    <w:rsid w:val="008A2465"/>
    <w:rsid w:val="008A256C"/>
    <w:rsid w:val="008A2852"/>
    <w:rsid w:val="008A2AF4"/>
    <w:rsid w:val="008A2C28"/>
    <w:rsid w:val="008A2DD7"/>
    <w:rsid w:val="008A351C"/>
    <w:rsid w:val="008A3B35"/>
    <w:rsid w:val="008A40A1"/>
    <w:rsid w:val="008A4139"/>
    <w:rsid w:val="008A4323"/>
    <w:rsid w:val="008A45C1"/>
    <w:rsid w:val="008A46D1"/>
    <w:rsid w:val="008A4964"/>
    <w:rsid w:val="008A4C3C"/>
    <w:rsid w:val="008A4DF9"/>
    <w:rsid w:val="008A4E5C"/>
    <w:rsid w:val="008A517C"/>
    <w:rsid w:val="008A51D1"/>
    <w:rsid w:val="008A52C8"/>
    <w:rsid w:val="008A5AEF"/>
    <w:rsid w:val="008A5E56"/>
    <w:rsid w:val="008A63B9"/>
    <w:rsid w:val="008A70F4"/>
    <w:rsid w:val="008A7697"/>
    <w:rsid w:val="008A7745"/>
    <w:rsid w:val="008A7B18"/>
    <w:rsid w:val="008A7E9E"/>
    <w:rsid w:val="008A7EB5"/>
    <w:rsid w:val="008B040D"/>
    <w:rsid w:val="008B0487"/>
    <w:rsid w:val="008B0646"/>
    <w:rsid w:val="008B0CB1"/>
    <w:rsid w:val="008B0EC4"/>
    <w:rsid w:val="008B18D4"/>
    <w:rsid w:val="008B1940"/>
    <w:rsid w:val="008B1E65"/>
    <w:rsid w:val="008B1FEE"/>
    <w:rsid w:val="008B23DC"/>
    <w:rsid w:val="008B2817"/>
    <w:rsid w:val="008B2867"/>
    <w:rsid w:val="008B2B54"/>
    <w:rsid w:val="008B2CA0"/>
    <w:rsid w:val="008B2CB4"/>
    <w:rsid w:val="008B2DC6"/>
    <w:rsid w:val="008B307A"/>
    <w:rsid w:val="008B36AD"/>
    <w:rsid w:val="008B4358"/>
    <w:rsid w:val="008B44C4"/>
    <w:rsid w:val="008B468E"/>
    <w:rsid w:val="008B4972"/>
    <w:rsid w:val="008B512F"/>
    <w:rsid w:val="008B517D"/>
    <w:rsid w:val="008B55BE"/>
    <w:rsid w:val="008B57AA"/>
    <w:rsid w:val="008B57E8"/>
    <w:rsid w:val="008B58AF"/>
    <w:rsid w:val="008B597B"/>
    <w:rsid w:val="008B5F6C"/>
    <w:rsid w:val="008B62C9"/>
    <w:rsid w:val="008B6862"/>
    <w:rsid w:val="008B6F06"/>
    <w:rsid w:val="008B70BC"/>
    <w:rsid w:val="008B7E06"/>
    <w:rsid w:val="008B7EF2"/>
    <w:rsid w:val="008C0444"/>
    <w:rsid w:val="008C0588"/>
    <w:rsid w:val="008C0F1A"/>
    <w:rsid w:val="008C102A"/>
    <w:rsid w:val="008C103B"/>
    <w:rsid w:val="008C10C8"/>
    <w:rsid w:val="008C137C"/>
    <w:rsid w:val="008C157A"/>
    <w:rsid w:val="008C179F"/>
    <w:rsid w:val="008C1B8A"/>
    <w:rsid w:val="008C1D02"/>
    <w:rsid w:val="008C1FD7"/>
    <w:rsid w:val="008C20A0"/>
    <w:rsid w:val="008C21B7"/>
    <w:rsid w:val="008C22F1"/>
    <w:rsid w:val="008C2379"/>
    <w:rsid w:val="008C2575"/>
    <w:rsid w:val="008C2661"/>
    <w:rsid w:val="008C2734"/>
    <w:rsid w:val="008C28F3"/>
    <w:rsid w:val="008C33C8"/>
    <w:rsid w:val="008C3519"/>
    <w:rsid w:val="008C377C"/>
    <w:rsid w:val="008C38C0"/>
    <w:rsid w:val="008C41AD"/>
    <w:rsid w:val="008C4550"/>
    <w:rsid w:val="008C456F"/>
    <w:rsid w:val="008C4E2E"/>
    <w:rsid w:val="008C5555"/>
    <w:rsid w:val="008C5B89"/>
    <w:rsid w:val="008C5E3C"/>
    <w:rsid w:val="008C6B23"/>
    <w:rsid w:val="008C6CE9"/>
    <w:rsid w:val="008C7013"/>
    <w:rsid w:val="008C7394"/>
    <w:rsid w:val="008C73EC"/>
    <w:rsid w:val="008C75A7"/>
    <w:rsid w:val="008C792A"/>
    <w:rsid w:val="008C7B89"/>
    <w:rsid w:val="008C7F97"/>
    <w:rsid w:val="008D01B9"/>
    <w:rsid w:val="008D03FB"/>
    <w:rsid w:val="008D0D3F"/>
    <w:rsid w:val="008D0E74"/>
    <w:rsid w:val="008D146A"/>
    <w:rsid w:val="008D1809"/>
    <w:rsid w:val="008D18B0"/>
    <w:rsid w:val="008D1D76"/>
    <w:rsid w:val="008D2747"/>
    <w:rsid w:val="008D390E"/>
    <w:rsid w:val="008D3EF1"/>
    <w:rsid w:val="008D3F17"/>
    <w:rsid w:val="008D426D"/>
    <w:rsid w:val="008D4460"/>
    <w:rsid w:val="008D49CA"/>
    <w:rsid w:val="008D4D53"/>
    <w:rsid w:val="008D530E"/>
    <w:rsid w:val="008D5EF0"/>
    <w:rsid w:val="008D60EF"/>
    <w:rsid w:val="008D62ED"/>
    <w:rsid w:val="008D63BE"/>
    <w:rsid w:val="008D66EC"/>
    <w:rsid w:val="008D6A94"/>
    <w:rsid w:val="008D6B34"/>
    <w:rsid w:val="008D6DCA"/>
    <w:rsid w:val="008D6DE3"/>
    <w:rsid w:val="008D6F39"/>
    <w:rsid w:val="008D78DE"/>
    <w:rsid w:val="008E015C"/>
    <w:rsid w:val="008E01E0"/>
    <w:rsid w:val="008E02E1"/>
    <w:rsid w:val="008E0610"/>
    <w:rsid w:val="008E0717"/>
    <w:rsid w:val="008E0B8B"/>
    <w:rsid w:val="008E0C83"/>
    <w:rsid w:val="008E0CC2"/>
    <w:rsid w:val="008E0EB6"/>
    <w:rsid w:val="008E10FC"/>
    <w:rsid w:val="008E1D6F"/>
    <w:rsid w:val="008E220F"/>
    <w:rsid w:val="008E267F"/>
    <w:rsid w:val="008E27DE"/>
    <w:rsid w:val="008E299C"/>
    <w:rsid w:val="008E2BCC"/>
    <w:rsid w:val="008E3077"/>
    <w:rsid w:val="008E30CF"/>
    <w:rsid w:val="008E369E"/>
    <w:rsid w:val="008E3771"/>
    <w:rsid w:val="008E383B"/>
    <w:rsid w:val="008E3E2C"/>
    <w:rsid w:val="008E4133"/>
    <w:rsid w:val="008E433C"/>
    <w:rsid w:val="008E481B"/>
    <w:rsid w:val="008E4CCB"/>
    <w:rsid w:val="008E4FFA"/>
    <w:rsid w:val="008E577C"/>
    <w:rsid w:val="008E5887"/>
    <w:rsid w:val="008E63E0"/>
    <w:rsid w:val="008E641A"/>
    <w:rsid w:val="008E70F6"/>
    <w:rsid w:val="008E7649"/>
    <w:rsid w:val="008E77F2"/>
    <w:rsid w:val="008E7D20"/>
    <w:rsid w:val="008F0E28"/>
    <w:rsid w:val="008F0F3C"/>
    <w:rsid w:val="008F10F8"/>
    <w:rsid w:val="008F1231"/>
    <w:rsid w:val="008F1300"/>
    <w:rsid w:val="008F1563"/>
    <w:rsid w:val="008F18CA"/>
    <w:rsid w:val="008F1AB0"/>
    <w:rsid w:val="008F1EA4"/>
    <w:rsid w:val="008F2666"/>
    <w:rsid w:val="008F286E"/>
    <w:rsid w:val="008F2B09"/>
    <w:rsid w:val="008F35B5"/>
    <w:rsid w:val="008F3778"/>
    <w:rsid w:val="008F3817"/>
    <w:rsid w:val="008F4146"/>
    <w:rsid w:val="008F4528"/>
    <w:rsid w:val="008F45BE"/>
    <w:rsid w:val="008F4B49"/>
    <w:rsid w:val="008F4BE6"/>
    <w:rsid w:val="008F5026"/>
    <w:rsid w:val="008F5345"/>
    <w:rsid w:val="008F5464"/>
    <w:rsid w:val="008F54C1"/>
    <w:rsid w:val="008F54F0"/>
    <w:rsid w:val="008F5A6E"/>
    <w:rsid w:val="008F5CE6"/>
    <w:rsid w:val="008F60D5"/>
    <w:rsid w:val="008F6214"/>
    <w:rsid w:val="008F62A1"/>
    <w:rsid w:val="008F67C4"/>
    <w:rsid w:val="008F67CF"/>
    <w:rsid w:val="008F6DBC"/>
    <w:rsid w:val="008F6EE6"/>
    <w:rsid w:val="008F71BD"/>
    <w:rsid w:val="008F7378"/>
    <w:rsid w:val="008F773C"/>
    <w:rsid w:val="008F78D6"/>
    <w:rsid w:val="008F79A0"/>
    <w:rsid w:val="0090006C"/>
    <w:rsid w:val="00900B03"/>
    <w:rsid w:val="00901145"/>
    <w:rsid w:val="00901D4A"/>
    <w:rsid w:val="0090234B"/>
    <w:rsid w:val="009023F9"/>
    <w:rsid w:val="0090266F"/>
    <w:rsid w:val="00903515"/>
    <w:rsid w:val="009035B4"/>
    <w:rsid w:val="00903BCA"/>
    <w:rsid w:val="00904598"/>
    <w:rsid w:val="00905142"/>
    <w:rsid w:val="0090527B"/>
    <w:rsid w:val="00905620"/>
    <w:rsid w:val="00905743"/>
    <w:rsid w:val="00905ECE"/>
    <w:rsid w:val="00906333"/>
    <w:rsid w:val="00906371"/>
    <w:rsid w:val="009067C5"/>
    <w:rsid w:val="009067ED"/>
    <w:rsid w:val="00906BCE"/>
    <w:rsid w:val="0090760B"/>
    <w:rsid w:val="00907659"/>
    <w:rsid w:val="0090785F"/>
    <w:rsid w:val="00907923"/>
    <w:rsid w:val="00907EBE"/>
    <w:rsid w:val="009101B1"/>
    <w:rsid w:val="0091063B"/>
    <w:rsid w:val="00911075"/>
    <w:rsid w:val="009113E6"/>
    <w:rsid w:val="0091177F"/>
    <w:rsid w:val="00911945"/>
    <w:rsid w:val="00911DAF"/>
    <w:rsid w:val="00912637"/>
    <w:rsid w:val="00912804"/>
    <w:rsid w:val="00912A27"/>
    <w:rsid w:val="00912A5B"/>
    <w:rsid w:val="00912A6C"/>
    <w:rsid w:val="00912DA6"/>
    <w:rsid w:val="00912DC5"/>
    <w:rsid w:val="009138B1"/>
    <w:rsid w:val="009139C5"/>
    <w:rsid w:val="00913CD1"/>
    <w:rsid w:val="00913D57"/>
    <w:rsid w:val="00913DE6"/>
    <w:rsid w:val="009144AF"/>
    <w:rsid w:val="009148D3"/>
    <w:rsid w:val="00914B4C"/>
    <w:rsid w:val="00915595"/>
    <w:rsid w:val="00915752"/>
    <w:rsid w:val="00915B47"/>
    <w:rsid w:val="00915D5A"/>
    <w:rsid w:val="00915E0D"/>
    <w:rsid w:val="00916472"/>
    <w:rsid w:val="0091685C"/>
    <w:rsid w:val="00916D7B"/>
    <w:rsid w:val="00916DF0"/>
    <w:rsid w:val="00916E29"/>
    <w:rsid w:val="0091705E"/>
    <w:rsid w:val="00917223"/>
    <w:rsid w:val="0092034C"/>
    <w:rsid w:val="009207E8"/>
    <w:rsid w:val="00920943"/>
    <w:rsid w:val="0092105F"/>
    <w:rsid w:val="009214A4"/>
    <w:rsid w:val="0092153C"/>
    <w:rsid w:val="009215E6"/>
    <w:rsid w:val="00921E3B"/>
    <w:rsid w:val="009221D3"/>
    <w:rsid w:val="009225DB"/>
    <w:rsid w:val="0092328E"/>
    <w:rsid w:val="0092330C"/>
    <w:rsid w:val="00923568"/>
    <w:rsid w:val="009237C2"/>
    <w:rsid w:val="0092380A"/>
    <w:rsid w:val="00923902"/>
    <w:rsid w:val="009239E8"/>
    <w:rsid w:val="00923F5A"/>
    <w:rsid w:val="00924235"/>
    <w:rsid w:val="0092476E"/>
    <w:rsid w:val="00925205"/>
    <w:rsid w:val="009253D8"/>
    <w:rsid w:val="009257EF"/>
    <w:rsid w:val="00926664"/>
    <w:rsid w:val="009267EF"/>
    <w:rsid w:val="009268FC"/>
    <w:rsid w:val="00926A7D"/>
    <w:rsid w:val="00926F3B"/>
    <w:rsid w:val="009272DD"/>
    <w:rsid w:val="009278CF"/>
    <w:rsid w:val="00927921"/>
    <w:rsid w:val="009279CD"/>
    <w:rsid w:val="00927A35"/>
    <w:rsid w:val="00927C3C"/>
    <w:rsid w:val="00927E1F"/>
    <w:rsid w:val="00930096"/>
    <w:rsid w:val="00930D87"/>
    <w:rsid w:val="00931089"/>
    <w:rsid w:val="0093111B"/>
    <w:rsid w:val="0093178B"/>
    <w:rsid w:val="0093218B"/>
    <w:rsid w:val="00932612"/>
    <w:rsid w:val="0093266A"/>
    <w:rsid w:val="0093278B"/>
    <w:rsid w:val="00932822"/>
    <w:rsid w:val="00932828"/>
    <w:rsid w:val="009332E8"/>
    <w:rsid w:val="00933575"/>
    <w:rsid w:val="009338F8"/>
    <w:rsid w:val="00933DEB"/>
    <w:rsid w:val="00933EF0"/>
    <w:rsid w:val="009346B6"/>
    <w:rsid w:val="009348D9"/>
    <w:rsid w:val="00934C4D"/>
    <w:rsid w:val="00934C4F"/>
    <w:rsid w:val="009350C6"/>
    <w:rsid w:val="00935349"/>
    <w:rsid w:val="009353FA"/>
    <w:rsid w:val="009354D9"/>
    <w:rsid w:val="00935FEA"/>
    <w:rsid w:val="009365A5"/>
    <w:rsid w:val="00936F59"/>
    <w:rsid w:val="009370CE"/>
    <w:rsid w:val="00937272"/>
    <w:rsid w:val="00937317"/>
    <w:rsid w:val="009377C0"/>
    <w:rsid w:val="00937A99"/>
    <w:rsid w:val="009400BF"/>
    <w:rsid w:val="009409B6"/>
    <w:rsid w:val="00940B15"/>
    <w:rsid w:val="00940ED8"/>
    <w:rsid w:val="00941464"/>
    <w:rsid w:val="009414D7"/>
    <w:rsid w:val="009419CD"/>
    <w:rsid w:val="00941CB7"/>
    <w:rsid w:val="00942428"/>
    <w:rsid w:val="009429C4"/>
    <w:rsid w:val="00942C22"/>
    <w:rsid w:val="00942D96"/>
    <w:rsid w:val="00943159"/>
    <w:rsid w:val="009434B9"/>
    <w:rsid w:val="009434CE"/>
    <w:rsid w:val="009435BC"/>
    <w:rsid w:val="00943BC3"/>
    <w:rsid w:val="009444C2"/>
    <w:rsid w:val="00944673"/>
    <w:rsid w:val="00944751"/>
    <w:rsid w:val="009447E3"/>
    <w:rsid w:val="00944A91"/>
    <w:rsid w:val="0094500A"/>
    <w:rsid w:val="0094597B"/>
    <w:rsid w:val="00945F66"/>
    <w:rsid w:val="009462F5"/>
    <w:rsid w:val="0094635A"/>
    <w:rsid w:val="00946462"/>
    <w:rsid w:val="00946606"/>
    <w:rsid w:val="0094682C"/>
    <w:rsid w:val="009470DE"/>
    <w:rsid w:val="00947464"/>
    <w:rsid w:val="00947777"/>
    <w:rsid w:val="00947907"/>
    <w:rsid w:val="00947A68"/>
    <w:rsid w:val="00947D22"/>
    <w:rsid w:val="00950670"/>
    <w:rsid w:val="00952349"/>
    <w:rsid w:val="009529A0"/>
    <w:rsid w:val="00952E84"/>
    <w:rsid w:val="009530AE"/>
    <w:rsid w:val="00953574"/>
    <w:rsid w:val="0095371E"/>
    <w:rsid w:val="00953A30"/>
    <w:rsid w:val="0095418D"/>
    <w:rsid w:val="009543FF"/>
    <w:rsid w:val="00954A20"/>
    <w:rsid w:val="009551A2"/>
    <w:rsid w:val="009554F2"/>
    <w:rsid w:val="0095563D"/>
    <w:rsid w:val="0095568E"/>
    <w:rsid w:val="00955C65"/>
    <w:rsid w:val="00955E81"/>
    <w:rsid w:val="009564D1"/>
    <w:rsid w:val="009575B1"/>
    <w:rsid w:val="00957622"/>
    <w:rsid w:val="00957CF8"/>
    <w:rsid w:val="00957EC2"/>
    <w:rsid w:val="0096028C"/>
    <w:rsid w:val="00960563"/>
    <w:rsid w:val="00960791"/>
    <w:rsid w:val="00960A3D"/>
    <w:rsid w:val="00960EA8"/>
    <w:rsid w:val="00960FA5"/>
    <w:rsid w:val="00961218"/>
    <w:rsid w:val="009613C1"/>
    <w:rsid w:val="009614F1"/>
    <w:rsid w:val="0096165E"/>
    <w:rsid w:val="009616E2"/>
    <w:rsid w:val="00961B9C"/>
    <w:rsid w:val="009622F3"/>
    <w:rsid w:val="00962304"/>
    <w:rsid w:val="00962B6C"/>
    <w:rsid w:val="0096301A"/>
    <w:rsid w:val="0096313F"/>
    <w:rsid w:val="00963479"/>
    <w:rsid w:val="00964337"/>
    <w:rsid w:val="00964389"/>
    <w:rsid w:val="00964467"/>
    <w:rsid w:val="009650EF"/>
    <w:rsid w:val="00965331"/>
    <w:rsid w:val="00966052"/>
    <w:rsid w:val="009661D0"/>
    <w:rsid w:val="00966B08"/>
    <w:rsid w:val="00966C36"/>
    <w:rsid w:val="00967139"/>
    <w:rsid w:val="0096727A"/>
    <w:rsid w:val="00967773"/>
    <w:rsid w:val="0096781B"/>
    <w:rsid w:val="00967D09"/>
    <w:rsid w:val="00970377"/>
    <w:rsid w:val="00970392"/>
    <w:rsid w:val="00970FC6"/>
    <w:rsid w:val="0097157E"/>
    <w:rsid w:val="00971A21"/>
    <w:rsid w:val="00972054"/>
    <w:rsid w:val="00972C44"/>
    <w:rsid w:val="009733AE"/>
    <w:rsid w:val="00973545"/>
    <w:rsid w:val="00973CBA"/>
    <w:rsid w:val="00973F8E"/>
    <w:rsid w:val="0097465C"/>
    <w:rsid w:val="009746F4"/>
    <w:rsid w:val="00975A9A"/>
    <w:rsid w:val="0097673A"/>
    <w:rsid w:val="00976F7F"/>
    <w:rsid w:val="009770CC"/>
    <w:rsid w:val="00977ABA"/>
    <w:rsid w:val="00980128"/>
    <w:rsid w:val="009801FC"/>
    <w:rsid w:val="0098098C"/>
    <w:rsid w:val="00980EBD"/>
    <w:rsid w:val="009826D9"/>
    <w:rsid w:val="00983533"/>
    <w:rsid w:val="0098373B"/>
    <w:rsid w:val="0098393E"/>
    <w:rsid w:val="00983943"/>
    <w:rsid w:val="00983BF4"/>
    <w:rsid w:val="00983EBA"/>
    <w:rsid w:val="00983F8E"/>
    <w:rsid w:val="00984696"/>
    <w:rsid w:val="009846F6"/>
    <w:rsid w:val="00984892"/>
    <w:rsid w:val="00984D31"/>
    <w:rsid w:val="00984D7A"/>
    <w:rsid w:val="00984EE1"/>
    <w:rsid w:val="00984F46"/>
    <w:rsid w:val="009850B8"/>
    <w:rsid w:val="0098517C"/>
    <w:rsid w:val="00985C15"/>
    <w:rsid w:val="00985F89"/>
    <w:rsid w:val="00986457"/>
    <w:rsid w:val="00986530"/>
    <w:rsid w:val="00986A78"/>
    <w:rsid w:val="00987332"/>
    <w:rsid w:val="0098777E"/>
    <w:rsid w:val="00987B7F"/>
    <w:rsid w:val="00987C13"/>
    <w:rsid w:val="0099008A"/>
    <w:rsid w:val="00990411"/>
    <w:rsid w:val="00990413"/>
    <w:rsid w:val="009906A4"/>
    <w:rsid w:val="00990EE0"/>
    <w:rsid w:val="00990FC4"/>
    <w:rsid w:val="009911FD"/>
    <w:rsid w:val="0099178E"/>
    <w:rsid w:val="00991CCA"/>
    <w:rsid w:val="00992C96"/>
    <w:rsid w:val="00993226"/>
    <w:rsid w:val="0099322F"/>
    <w:rsid w:val="00993A68"/>
    <w:rsid w:val="00993DE6"/>
    <w:rsid w:val="009945B3"/>
    <w:rsid w:val="00994831"/>
    <w:rsid w:val="00994CC6"/>
    <w:rsid w:val="00995180"/>
    <w:rsid w:val="00995427"/>
    <w:rsid w:val="0099549A"/>
    <w:rsid w:val="00995CEA"/>
    <w:rsid w:val="00995D5B"/>
    <w:rsid w:val="00995F52"/>
    <w:rsid w:val="009964BA"/>
    <w:rsid w:val="0099653D"/>
    <w:rsid w:val="009967CC"/>
    <w:rsid w:val="00996DE6"/>
    <w:rsid w:val="00997235"/>
    <w:rsid w:val="00997540"/>
    <w:rsid w:val="009976BD"/>
    <w:rsid w:val="00997F4F"/>
    <w:rsid w:val="009A09B7"/>
    <w:rsid w:val="009A0ECF"/>
    <w:rsid w:val="009A1119"/>
    <w:rsid w:val="009A1369"/>
    <w:rsid w:val="009A1547"/>
    <w:rsid w:val="009A177E"/>
    <w:rsid w:val="009A1A84"/>
    <w:rsid w:val="009A28BA"/>
    <w:rsid w:val="009A2FDC"/>
    <w:rsid w:val="009A35B0"/>
    <w:rsid w:val="009A35CA"/>
    <w:rsid w:val="009A4096"/>
    <w:rsid w:val="009A4B84"/>
    <w:rsid w:val="009A4E1D"/>
    <w:rsid w:val="009A5151"/>
    <w:rsid w:val="009A58B0"/>
    <w:rsid w:val="009A5D7A"/>
    <w:rsid w:val="009A5F87"/>
    <w:rsid w:val="009A5F8E"/>
    <w:rsid w:val="009A62F4"/>
    <w:rsid w:val="009A6C43"/>
    <w:rsid w:val="009A6F6B"/>
    <w:rsid w:val="009A6FFE"/>
    <w:rsid w:val="009A774C"/>
    <w:rsid w:val="009A7C0B"/>
    <w:rsid w:val="009A7CE0"/>
    <w:rsid w:val="009A7CFC"/>
    <w:rsid w:val="009B008F"/>
    <w:rsid w:val="009B0233"/>
    <w:rsid w:val="009B043E"/>
    <w:rsid w:val="009B06CF"/>
    <w:rsid w:val="009B0B9C"/>
    <w:rsid w:val="009B0BCE"/>
    <w:rsid w:val="009B0BD8"/>
    <w:rsid w:val="009B0BF5"/>
    <w:rsid w:val="009B1134"/>
    <w:rsid w:val="009B1990"/>
    <w:rsid w:val="009B377B"/>
    <w:rsid w:val="009B3A98"/>
    <w:rsid w:val="009B3D5F"/>
    <w:rsid w:val="009B446F"/>
    <w:rsid w:val="009B4F17"/>
    <w:rsid w:val="009B4F9E"/>
    <w:rsid w:val="009B4FE5"/>
    <w:rsid w:val="009B5A8F"/>
    <w:rsid w:val="009B5D53"/>
    <w:rsid w:val="009B6113"/>
    <w:rsid w:val="009B6501"/>
    <w:rsid w:val="009B6C22"/>
    <w:rsid w:val="009B6EFC"/>
    <w:rsid w:val="009B73AE"/>
    <w:rsid w:val="009B7771"/>
    <w:rsid w:val="009B78A4"/>
    <w:rsid w:val="009B7E53"/>
    <w:rsid w:val="009B7F61"/>
    <w:rsid w:val="009C015B"/>
    <w:rsid w:val="009C01BD"/>
    <w:rsid w:val="009C01DD"/>
    <w:rsid w:val="009C06CE"/>
    <w:rsid w:val="009C1390"/>
    <w:rsid w:val="009C15E8"/>
    <w:rsid w:val="009C16CD"/>
    <w:rsid w:val="009C17E5"/>
    <w:rsid w:val="009C1A1A"/>
    <w:rsid w:val="009C22D6"/>
    <w:rsid w:val="009C2581"/>
    <w:rsid w:val="009C28A4"/>
    <w:rsid w:val="009C2B38"/>
    <w:rsid w:val="009C30CF"/>
    <w:rsid w:val="009C3444"/>
    <w:rsid w:val="009C385C"/>
    <w:rsid w:val="009C3C1A"/>
    <w:rsid w:val="009C4096"/>
    <w:rsid w:val="009C4947"/>
    <w:rsid w:val="009C4C59"/>
    <w:rsid w:val="009C5383"/>
    <w:rsid w:val="009C539A"/>
    <w:rsid w:val="009C53D5"/>
    <w:rsid w:val="009C5643"/>
    <w:rsid w:val="009C5B64"/>
    <w:rsid w:val="009C5E7B"/>
    <w:rsid w:val="009C6040"/>
    <w:rsid w:val="009C6BF6"/>
    <w:rsid w:val="009C6C0E"/>
    <w:rsid w:val="009C6C69"/>
    <w:rsid w:val="009C6D9F"/>
    <w:rsid w:val="009C7264"/>
    <w:rsid w:val="009C728F"/>
    <w:rsid w:val="009C72FB"/>
    <w:rsid w:val="009C7783"/>
    <w:rsid w:val="009C7897"/>
    <w:rsid w:val="009C7BC8"/>
    <w:rsid w:val="009D032A"/>
    <w:rsid w:val="009D04C7"/>
    <w:rsid w:val="009D05F9"/>
    <w:rsid w:val="009D08B1"/>
    <w:rsid w:val="009D0ADE"/>
    <w:rsid w:val="009D0B13"/>
    <w:rsid w:val="009D0ED5"/>
    <w:rsid w:val="009D20E0"/>
    <w:rsid w:val="009D315F"/>
    <w:rsid w:val="009D33C3"/>
    <w:rsid w:val="009D3A1D"/>
    <w:rsid w:val="009D3FF3"/>
    <w:rsid w:val="009D424A"/>
    <w:rsid w:val="009D471A"/>
    <w:rsid w:val="009D4D91"/>
    <w:rsid w:val="009D4EFF"/>
    <w:rsid w:val="009D5361"/>
    <w:rsid w:val="009D564A"/>
    <w:rsid w:val="009D641B"/>
    <w:rsid w:val="009D67EF"/>
    <w:rsid w:val="009D6D1E"/>
    <w:rsid w:val="009D6E84"/>
    <w:rsid w:val="009D73F2"/>
    <w:rsid w:val="009D7B22"/>
    <w:rsid w:val="009D7E09"/>
    <w:rsid w:val="009E00C8"/>
    <w:rsid w:val="009E04D4"/>
    <w:rsid w:val="009E0708"/>
    <w:rsid w:val="009E095D"/>
    <w:rsid w:val="009E100C"/>
    <w:rsid w:val="009E1296"/>
    <w:rsid w:val="009E1888"/>
    <w:rsid w:val="009E19E0"/>
    <w:rsid w:val="009E1E01"/>
    <w:rsid w:val="009E22FD"/>
    <w:rsid w:val="009E2416"/>
    <w:rsid w:val="009E2AC9"/>
    <w:rsid w:val="009E2B1B"/>
    <w:rsid w:val="009E2FF5"/>
    <w:rsid w:val="009E3D4A"/>
    <w:rsid w:val="009E4841"/>
    <w:rsid w:val="009E4D8C"/>
    <w:rsid w:val="009E4FC9"/>
    <w:rsid w:val="009E561F"/>
    <w:rsid w:val="009E6502"/>
    <w:rsid w:val="009E655A"/>
    <w:rsid w:val="009E6EA2"/>
    <w:rsid w:val="009E79A0"/>
    <w:rsid w:val="009E7ABF"/>
    <w:rsid w:val="009F000F"/>
    <w:rsid w:val="009F0146"/>
    <w:rsid w:val="009F1934"/>
    <w:rsid w:val="009F1B0D"/>
    <w:rsid w:val="009F1F30"/>
    <w:rsid w:val="009F224F"/>
    <w:rsid w:val="009F2467"/>
    <w:rsid w:val="009F2A02"/>
    <w:rsid w:val="009F2A77"/>
    <w:rsid w:val="009F3414"/>
    <w:rsid w:val="009F368A"/>
    <w:rsid w:val="009F3D2F"/>
    <w:rsid w:val="009F3FBC"/>
    <w:rsid w:val="009F446F"/>
    <w:rsid w:val="009F4515"/>
    <w:rsid w:val="009F4BB8"/>
    <w:rsid w:val="009F5231"/>
    <w:rsid w:val="009F587F"/>
    <w:rsid w:val="009F59B1"/>
    <w:rsid w:val="009F5CDC"/>
    <w:rsid w:val="009F5D43"/>
    <w:rsid w:val="009F6020"/>
    <w:rsid w:val="009F6877"/>
    <w:rsid w:val="009F6893"/>
    <w:rsid w:val="009F6DAD"/>
    <w:rsid w:val="009F6FCB"/>
    <w:rsid w:val="009F70F9"/>
    <w:rsid w:val="009F7710"/>
    <w:rsid w:val="009F7CAC"/>
    <w:rsid w:val="00A002FD"/>
    <w:rsid w:val="00A0046D"/>
    <w:rsid w:val="00A01161"/>
    <w:rsid w:val="00A012BB"/>
    <w:rsid w:val="00A014C3"/>
    <w:rsid w:val="00A0171C"/>
    <w:rsid w:val="00A01A51"/>
    <w:rsid w:val="00A01A6F"/>
    <w:rsid w:val="00A0260A"/>
    <w:rsid w:val="00A0268A"/>
    <w:rsid w:val="00A02AE2"/>
    <w:rsid w:val="00A032D3"/>
    <w:rsid w:val="00A038CC"/>
    <w:rsid w:val="00A044A1"/>
    <w:rsid w:val="00A05136"/>
    <w:rsid w:val="00A05F06"/>
    <w:rsid w:val="00A06219"/>
    <w:rsid w:val="00A0757A"/>
    <w:rsid w:val="00A075A3"/>
    <w:rsid w:val="00A0763F"/>
    <w:rsid w:val="00A07AB9"/>
    <w:rsid w:val="00A07AE9"/>
    <w:rsid w:val="00A07B29"/>
    <w:rsid w:val="00A1024C"/>
    <w:rsid w:val="00A102B1"/>
    <w:rsid w:val="00A1096A"/>
    <w:rsid w:val="00A109A0"/>
    <w:rsid w:val="00A10E5C"/>
    <w:rsid w:val="00A11547"/>
    <w:rsid w:val="00A115E1"/>
    <w:rsid w:val="00A11911"/>
    <w:rsid w:val="00A11A8E"/>
    <w:rsid w:val="00A11DBB"/>
    <w:rsid w:val="00A12169"/>
    <w:rsid w:val="00A122B0"/>
    <w:rsid w:val="00A122BF"/>
    <w:rsid w:val="00A12FAC"/>
    <w:rsid w:val="00A1321B"/>
    <w:rsid w:val="00A133FF"/>
    <w:rsid w:val="00A1393D"/>
    <w:rsid w:val="00A13CA8"/>
    <w:rsid w:val="00A13E0A"/>
    <w:rsid w:val="00A13FEF"/>
    <w:rsid w:val="00A14012"/>
    <w:rsid w:val="00A147EB"/>
    <w:rsid w:val="00A14992"/>
    <w:rsid w:val="00A14D22"/>
    <w:rsid w:val="00A14D61"/>
    <w:rsid w:val="00A14DF6"/>
    <w:rsid w:val="00A1576A"/>
    <w:rsid w:val="00A157AC"/>
    <w:rsid w:val="00A158D2"/>
    <w:rsid w:val="00A1660B"/>
    <w:rsid w:val="00A16640"/>
    <w:rsid w:val="00A16855"/>
    <w:rsid w:val="00A168F1"/>
    <w:rsid w:val="00A169B3"/>
    <w:rsid w:val="00A17464"/>
    <w:rsid w:val="00A1783D"/>
    <w:rsid w:val="00A178DB"/>
    <w:rsid w:val="00A2001F"/>
    <w:rsid w:val="00A20098"/>
    <w:rsid w:val="00A200FD"/>
    <w:rsid w:val="00A206A9"/>
    <w:rsid w:val="00A20828"/>
    <w:rsid w:val="00A20D6C"/>
    <w:rsid w:val="00A21058"/>
    <w:rsid w:val="00A21148"/>
    <w:rsid w:val="00A21583"/>
    <w:rsid w:val="00A219FD"/>
    <w:rsid w:val="00A21D83"/>
    <w:rsid w:val="00A2205A"/>
    <w:rsid w:val="00A2239A"/>
    <w:rsid w:val="00A22F58"/>
    <w:rsid w:val="00A23263"/>
    <w:rsid w:val="00A23358"/>
    <w:rsid w:val="00A2369F"/>
    <w:rsid w:val="00A23A9F"/>
    <w:rsid w:val="00A24335"/>
    <w:rsid w:val="00A247C5"/>
    <w:rsid w:val="00A24BBA"/>
    <w:rsid w:val="00A24CB8"/>
    <w:rsid w:val="00A24E81"/>
    <w:rsid w:val="00A24F45"/>
    <w:rsid w:val="00A252AE"/>
    <w:rsid w:val="00A253AC"/>
    <w:rsid w:val="00A257D1"/>
    <w:rsid w:val="00A25DEF"/>
    <w:rsid w:val="00A26093"/>
    <w:rsid w:val="00A26170"/>
    <w:rsid w:val="00A26177"/>
    <w:rsid w:val="00A26323"/>
    <w:rsid w:val="00A263EB"/>
    <w:rsid w:val="00A26A18"/>
    <w:rsid w:val="00A26A4C"/>
    <w:rsid w:val="00A2709E"/>
    <w:rsid w:val="00A27142"/>
    <w:rsid w:val="00A2752C"/>
    <w:rsid w:val="00A27792"/>
    <w:rsid w:val="00A27896"/>
    <w:rsid w:val="00A30290"/>
    <w:rsid w:val="00A3053B"/>
    <w:rsid w:val="00A30613"/>
    <w:rsid w:val="00A30AA2"/>
    <w:rsid w:val="00A31DBF"/>
    <w:rsid w:val="00A31E63"/>
    <w:rsid w:val="00A32465"/>
    <w:rsid w:val="00A32625"/>
    <w:rsid w:val="00A331C8"/>
    <w:rsid w:val="00A3330A"/>
    <w:rsid w:val="00A3374E"/>
    <w:rsid w:val="00A337C0"/>
    <w:rsid w:val="00A33B0C"/>
    <w:rsid w:val="00A33BD1"/>
    <w:rsid w:val="00A33FED"/>
    <w:rsid w:val="00A3414F"/>
    <w:rsid w:val="00A348A3"/>
    <w:rsid w:val="00A3499F"/>
    <w:rsid w:val="00A3558D"/>
    <w:rsid w:val="00A35BDE"/>
    <w:rsid w:val="00A35E05"/>
    <w:rsid w:val="00A35E90"/>
    <w:rsid w:val="00A35F5A"/>
    <w:rsid w:val="00A35FE9"/>
    <w:rsid w:val="00A369EF"/>
    <w:rsid w:val="00A37007"/>
    <w:rsid w:val="00A37866"/>
    <w:rsid w:val="00A37999"/>
    <w:rsid w:val="00A379C7"/>
    <w:rsid w:val="00A37C7C"/>
    <w:rsid w:val="00A40717"/>
    <w:rsid w:val="00A408C8"/>
    <w:rsid w:val="00A40BAA"/>
    <w:rsid w:val="00A40F85"/>
    <w:rsid w:val="00A40F94"/>
    <w:rsid w:val="00A41924"/>
    <w:rsid w:val="00A41A3C"/>
    <w:rsid w:val="00A423B0"/>
    <w:rsid w:val="00A42667"/>
    <w:rsid w:val="00A42F5B"/>
    <w:rsid w:val="00A431BA"/>
    <w:rsid w:val="00A43499"/>
    <w:rsid w:val="00A43EC7"/>
    <w:rsid w:val="00A44216"/>
    <w:rsid w:val="00A44409"/>
    <w:rsid w:val="00A4457E"/>
    <w:rsid w:val="00A44871"/>
    <w:rsid w:val="00A44E6D"/>
    <w:rsid w:val="00A45015"/>
    <w:rsid w:val="00A4505B"/>
    <w:rsid w:val="00A4537B"/>
    <w:rsid w:val="00A453B0"/>
    <w:rsid w:val="00A454FC"/>
    <w:rsid w:val="00A4565F"/>
    <w:rsid w:val="00A45846"/>
    <w:rsid w:val="00A45EF0"/>
    <w:rsid w:val="00A45F6E"/>
    <w:rsid w:val="00A46195"/>
    <w:rsid w:val="00A46A4C"/>
    <w:rsid w:val="00A46E0B"/>
    <w:rsid w:val="00A4766A"/>
    <w:rsid w:val="00A502BA"/>
    <w:rsid w:val="00A50371"/>
    <w:rsid w:val="00A505C0"/>
    <w:rsid w:val="00A5060F"/>
    <w:rsid w:val="00A50660"/>
    <w:rsid w:val="00A50681"/>
    <w:rsid w:val="00A5082F"/>
    <w:rsid w:val="00A508DC"/>
    <w:rsid w:val="00A510DE"/>
    <w:rsid w:val="00A51B2A"/>
    <w:rsid w:val="00A51B53"/>
    <w:rsid w:val="00A521C1"/>
    <w:rsid w:val="00A522B0"/>
    <w:rsid w:val="00A5235B"/>
    <w:rsid w:val="00A52966"/>
    <w:rsid w:val="00A52B98"/>
    <w:rsid w:val="00A536E5"/>
    <w:rsid w:val="00A5372B"/>
    <w:rsid w:val="00A545BF"/>
    <w:rsid w:val="00A54B50"/>
    <w:rsid w:val="00A54D6B"/>
    <w:rsid w:val="00A550B8"/>
    <w:rsid w:val="00A55A10"/>
    <w:rsid w:val="00A55DC8"/>
    <w:rsid w:val="00A55ED3"/>
    <w:rsid w:val="00A5632B"/>
    <w:rsid w:val="00A563D3"/>
    <w:rsid w:val="00A564A8"/>
    <w:rsid w:val="00A56579"/>
    <w:rsid w:val="00A56726"/>
    <w:rsid w:val="00A56765"/>
    <w:rsid w:val="00A56AC5"/>
    <w:rsid w:val="00A574F0"/>
    <w:rsid w:val="00A57755"/>
    <w:rsid w:val="00A57B63"/>
    <w:rsid w:val="00A57BA9"/>
    <w:rsid w:val="00A60132"/>
    <w:rsid w:val="00A60939"/>
    <w:rsid w:val="00A60A0F"/>
    <w:rsid w:val="00A60A69"/>
    <w:rsid w:val="00A617E7"/>
    <w:rsid w:val="00A619F3"/>
    <w:rsid w:val="00A61DC9"/>
    <w:rsid w:val="00A61F1E"/>
    <w:rsid w:val="00A61F43"/>
    <w:rsid w:val="00A62ED1"/>
    <w:rsid w:val="00A633E0"/>
    <w:rsid w:val="00A6356A"/>
    <w:rsid w:val="00A63601"/>
    <w:rsid w:val="00A63B2D"/>
    <w:rsid w:val="00A63D29"/>
    <w:rsid w:val="00A6404F"/>
    <w:rsid w:val="00A640B5"/>
    <w:rsid w:val="00A64426"/>
    <w:rsid w:val="00A64468"/>
    <w:rsid w:val="00A64728"/>
    <w:rsid w:val="00A64904"/>
    <w:rsid w:val="00A64C1C"/>
    <w:rsid w:val="00A64CBA"/>
    <w:rsid w:val="00A64E4E"/>
    <w:rsid w:val="00A659D8"/>
    <w:rsid w:val="00A65AFA"/>
    <w:rsid w:val="00A65B38"/>
    <w:rsid w:val="00A65E89"/>
    <w:rsid w:val="00A66603"/>
    <w:rsid w:val="00A66D4C"/>
    <w:rsid w:val="00A67379"/>
    <w:rsid w:val="00A67676"/>
    <w:rsid w:val="00A67BCA"/>
    <w:rsid w:val="00A67CCE"/>
    <w:rsid w:val="00A704E5"/>
    <w:rsid w:val="00A70EBC"/>
    <w:rsid w:val="00A70FE3"/>
    <w:rsid w:val="00A710D0"/>
    <w:rsid w:val="00A7118D"/>
    <w:rsid w:val="00A71339"/>
    <w:rsid w:val="00A7135B"/>
    <w:rsid w:val="00A71759"/>
    <w:rsid w:val="00A71A83"/>
    <w:rsid w:val="00A72091"/>
    <w:rsid w:val="00A723BF"/>
    <w:rsid w:val="00A72469"/>
    <w:rsid w:val="00A72829"/>
    <w:rsid w:val="00A72BFA"/>
    <w:rsid w:val="00A72CAF"/>
    <w:rsid w:val="00A730EA"/>
    <w:rsid w:val="00A73139"/>
    <w:rsid w:val="00A7374F"/>
    <w:rsid w:val="00A73894"/>
    <w:rsid w:val="00A73993"/>
    <w:rsid w:val="00A73BB9"/>
    <w:rsid w:val="00A73F82"/>
    <w:rsid w:val="00A742B1"/>
    <w:rsid w:val="00A74CDF"/>
    <w:rsid w:val="00A75408"/>
    <w:rsid w:val="00A75598"/>
    <w:rsid w:val="00A756D0"/>
    <w:rsid w:val="00A75BCB"/>
    <w:rsid w:val="00A75CC3"/>
    <w:rsid w:val="00A75F1D"/>
    <w:rsid w:val="00A75F8C"/>
    <w:rsid w:val="00A761CF"/>
    <w:rsid w:val="00A7631D"/>
    <w:rsid w:val="00A7667E"/>
    <w:rsid w:val="00A76D19"/>
    <w:rsid w:val="00A775E6"/>
    <w:rsid w:val="00A7768F"/>
    <w:rsid w:val="00A7771D"/>
    <w:rsid w:val="00A80BF6"/>
    <w:rsid w:val="00A80E98"/>
    <w:rsid w:val="00A81694"/>
    <w:rsid w:val="00A817CD"/>
    <w:rsid w:val="00A818A0"/>
    <w:rsid w:val="00A81935"/>
    <w:rsid w:val="00A82113"/>
    <w:rsid w:val="00A825A5"/>
    <w:rsid w:val="00A82899"/>
    <w:rsid w:val="00A82D87"/>
    <w:rsid w:val="00A83251"/>
    <w:rsid w:val="00A83ACB"/>
    <w:rsid w:val="00A844C2"/>
    <w:rsid w:val="00A84BBC"/>
    <w:rsid w:val="00A85698"/>
    <w:rsid w:val="00A859E4"/>
    <w:rsid w:val="00A85BDC"/>
    <w:rsid w:val="00A85C83"/>
    <w:rsid w:val="00A85CBA"/>
    <w:rsid w:val="00A861BB"/>
    <w:rsid w:val="00A8620B"/>
    <w:rsid w:val="00A866EE"/>
    <w:rsid w:val="00A8686B"/>
    <w:rsid w:val="00A875BA"/>
    <w:rsid w:val="00A875BE"/>
    <w:rsid w:val="00A87D9B"/>
    <w:rsid w:val="00A87DB4"/>
    <w:rsid w:val="00A901A1"/>
    <w:rsid w:val="00A9043C"/>
    <w:rsid w:val="00A90BEF"/>
    <w:rsid w:val="00A90D4F"/>
    <w:rsid w:val="00A90DF4"/>
    <w:rsid w:val="00A913B0"/>
    <w:rsid w:val="00A9166F"/>
    <w:rsid w:val="00A91DEE"/>
    <w:rsid w:val="00A92531"/>
    <w:rsid w:val="00A92A1A"/>
    <w:rsid w:val="00A937D2"/>
    <w:rsid w:val="00A94191"/>
    <w:rsid w:val="00A9428C"/>
    <w:rsid w:val="00A94A38"/>
    <w:rsid w:val="00A94E56"/>
    <w:rsid w:val="00A956DD"/>
    <w:rsid w:val="00A95A68"/>
    <w:rsid w:val="00A95ACC"/>
    <w:rsid w:val="00A95F24"/>
    <w:rsid w:val="00A96451"/>
    <w:rsid w:val="00A96524"/>
    <w:rsid w:val="00A9665E"/>
    <w:rsid w:val="00A96673"/>
    <w:rsid w:val="00A96DEB"/>
    <w:rsid w:val="00A96E97"/>
    <w:rsid w:val="00A96F5F"/>
    <w:rsid w:val="00A97168"/>
    <w:rsid w:val="00A9755C"/>
    <w:rsid w:val="00A978CC"/>
    <w:rsid w:val="00A97A15"/>
    <w:rsid w:val="00A97A3F"/>
    <w:rsid w:val="00A97BF0"/>
    <w:rsid w:val="00AA00E4"/>
    <w:rsid w:val="00AA0275"/>
    <w:rsid w:val="00AA04F7"/>
    <w:rsid w:val="00AA06BA"/>
    <w:rsid w:val="00AA0CBC"/>
    <w:rsid w:val="00AA0E60"/>
    <w:rsid w:val="00AA0EF1"/>
    <w:rsid w:val="00AA15D3"/>
    <w:rsid w:val="00AA1639"/>
    <w:rsid w:val="00AA165D"/>
    <w:rsid w:val="00AA1F49"/>
    <w:rsid w:val="00AA21D3"/>
    <w:rsid w:val="00AA2482"/>
    <w:rsid w:val="00AA25C1"/>
    <w:rsid w:val="00AA2DFB"/>
    <w:rsid w:val="00AA2EEE"/>
    <w:rsid w:val="00AA31A5"/>
    <w:rsid w:val="00AA3BB3"/>
    <w:rsid w:val="00AA42BD"/>
    <w:rsid w:val="00AA4F20"/>
    <w:rsid w:val="00AA617C"/>
    <w:rsid w:val="00AA626C"/>
    <w:rsid w:val="00AA65C9"/>
    <w:rsid w:val="00AA6BD8"/>
    <w:rsid w:val="00AA7B21"/>
    <w:rsid w:val="00AA7ED7"/>
    <w:rsid w:val="00AA7EE4"/>
    <w:rsid w:val="00AB0537"/>
    <w:rsid w:val="00AB06EC"/>
    <w:rsid w:val="00AB0845"/>
    <w:rsid w:val="00AB08D7"/>
    <w:rsid w:val="00AB0984"/>
    <w:rsid w:val="00AB0DC4"/>
    <w:rsid w:val="00AB0EFB"/>
    <w:rsid w:val="00AB28F6"/>
    <w:rsid w:val="00AB2949"/>
    <w:rsid w:val="00AB2B40"/>
    <w:rsid w:val="00AB2B51"/>
    <w:rsid w:val="00AB2C97"/>
    <w:rsid w:val="00AB304A"/>
    <w:rsid w:val="00AB331C"/>
    <w:rsid w:val="00AB34E3"/>
    <w:rsid w:val="00AB3533"/>
    <w:rsid w:val="00AB354B"/>
    <w:rsid w:val="00AB3B1C"/>
    <w:rsid w:val="00AB3B95"/>
    <w:rsid w:val="00AB45BE"/>
    <w:rsid w:val="00AB4670"/>
    <w:rsid w:val="00AB4835"/>
    <w:rsid w:val="00AB4A4E"/>
    <w:rsid w:val="00AB4CB4"/>
    <w:rsid w:val="00AB4DB7"/>
    <w:rsid w:val="00AB4EBF"/>
    <w:rsid w:val="00AB5709"/>
    <w:rsid w:val="00AB57DC"/>
    <w:rsid w:val="00AB592A"/>
    <w:rsid w:val="00AB5C1D"/>
    <w:rsid w:val="00AB5C38"/>
    <w:rsid w:val="00AB751C"/>
    <w:rsid w:val="00AB7625"/>
    <w:rsid w:val="00AB7910"/>
    <w:rsid w:val="00AB7C8E"/>
    <w:rsid w:val="00AC0214"/>
    <w:rsid w:val="00AC0251"/>
    <w:rsid w:val="00AC0646"/>
    <w:rsid w:val="00AC06D6"/>
    <w:rsid w:val="00AC0996"/>
    <w:rsid w:val="00AC0BA3"/>
    <w:rsid w:val="00AC0E98"/>
    <w:rsid w:val="00AC1341"/>
    <w:rsid w:val="00AC146B"/>
    <w:rsid w:val="00AC1919"/>
    <w:rsid w:val="00AC19A1"/>
    <w:rsid w:val="00AC1FB2"/>
    <w:rsid w:val="00AC24B4"/>
    <w:rsid w:val="00AC2A78"/>
    <w:rsid w:val="00AC2C4C"/>
    <w:rsid w:val="00AC2C5B"/>
    <w:rsid w:val="00AC2D57"/>
    <w:rsid w:val="00AC2DCB"/>
    <w:rsid w:val="00AC3531"/>
    <w:rsid w:val="00AC3665"/>
    <w:rsid w:val="00AC38A9"/>
    <w:rsid w:val="00AC3BC2"/>
    <w:rsid w:val="00AC40CC"/>
    <w:rsid w:val="00AC4122"/>
    <w:rsid w:val="00AC4C3A"/>
    <w:rsid w:val="00AC4DEF"/>
    <w:rsid w:val="00AC4F21"/>
    <w:rsid w:val="00AC4FD5"/>
    <w:rsid w:val="00AC4FF5"/>
    <w:rsid w:val="00AC547E"/>
    <w:rsid w:val="00AC54F6"/>
    <w:rsid w:val="00AC5642"/>
    <w:rsid w:val="00AC61B7"/>
    <w:rsid w:val="00AC6345"/>
    <w:rsid w:val="00AC656B"/>
    <w:rsid w:val="00AC67DD"/>
    <w:rsid w:val="00AC7039"/>
    <w:rsid w:val="00AC7174"/>
    <w:rsid w:val="00AC7595"/>
    <w:rsid w:val="00AC7801"/>
    <w:rsid w:val="00AC79F8"/>
    <w:rsid w:val="00AC7F37"/>
    <w:rsid w:val="00AD004B"/>
    <w:rsid w:val="00AD049F"/>
    <w:rsid w:val="00AD0C1E"/>
    <w:rsid w:val="00AD0E10"/>
    <w:rsid w:val="00AD12B8"/>
    <w:rsid w:val="00AD2D23"/>
    <w:rsid w:val="00AD2DBB"/>
    <w:rsid w:val="00AD2EFE"/>
    <w:rsid w:val="00AD317F"/>
    <w:rsid w:val="00AD4106"/>
    <w:rsid w:val="00AD4620"/>
    <w:rsid w:val="00AD4C1D"/>
    <w:rsid w:val="00AD5BF8"/>
    <w:rsid w:val="00AD5E5E"/>
    <w:rsid w:val="00AD602C"/>
    <w:rsid w:val="00AD6141"/>
    <w:rsid w:val="00AD62A3"/>
    <w:rsid w:val="00AD657D"/>
    <w:rsid w:val="00AD660E"/>
    <w:rsid w:val="00AD6D8B"/>
    <w:rsid w:val="00AD6FA9"/>
    <w:rsid w:val="00AD6FC8"/>
    <w:rsid w:val="00AD739E"/>
    <w:rsid w:val="00AD7C60"/>
    <w:rsid w:val="00AE013C"/>
    <w:rsid w:val="00AE0375"/>
    <w:rsid w:val="00AE044B"/>
    <w:rsid w:val="00AE061D"/>
    <w:rsid w:val="00AE06C9"/>
    <w:rsid w:val="00AE0777"/>
    <w:rsid w:val="00AE0879"/>
    <w:rsid w:val="00AE0B80"/>
    <w:rsid w:val="00AE137C"/>
    <w:rsid w:val="00AE13AD"/>
    <w:rsid w:val="00AE1601"/>
    <w:rsid w:val="00AE18EF"/>
    <w:rsid w:val="00AE20B3"/>
    <w:rsid w:val="00AE228C"/>
    <w:rsid w:val="00AE2757"/>
    <w:rsid w:val="00AE2DB2"/>
    <w:rsid w:val="00AE31F9"/>
    <w:rsid w:val="00AE3435"/>
    <w:rsid w:val="00AE34E1"/>
    <w:rsid w:val="00AE3C76"/>
    <w:rsid w:val="00AE3D7A"/>
    <w:rsid w:val="00AE4060"/>
    <w:rsid w:val="00AE4B0F"/>
    <w:rsid w:val="00AE4F52"/>
    <w:rsid w:val="00AE5F79"/>
    <w:rsid w:val="00AE6AA2"/>
    <w:rsid w:val="00AE6CA7"/>
    <w:rsid w:val="00AE7293"/>
    <w:rsid w:val="00AE761B"/>
    <w:rsid w:val="00AF0080"/>
    <w:rsid w:val="00AF020A"/>
    <w:rsid w:val="00AF0365"/>
    <w:rsid w:val="00AF0760"/>
    <w:rsid w:val="00AF0B54"/>
    <w:rsid w:val="00AF0D06"/>
    <w:rsid w:val="00AF0F01"/>
    <w:rsid w:val="00AF1227"/>
    <w:rsid w:val="00AF1AF2"/>
    <w:rsid w:val="00AF1E4E"/>
    <w:rsid w:val="00AF22DA"/>
    <w:rsid w:val="00AF306E"/>
    <w:rsid w:val="00AF3538"/>
    <w:rsid w:val="00AF387E"/>
    <w:rsid w:val="00AF39AD"/>
    <w:rsid w:val="00AF3B0A"/>
    <w:rsid w:val="00AF4055"/>
    <w:rsid w:val="00AF40DB"/>
    <w:rsid w:val="00AF4110"/>
    <w:rsid w:val="00AF45F2"/>
    <w:rsid w:val="00AF4672"/>
    <w:rsid w:val="00AF4A64"/>
    <w:rsid w:val="00AF550D"/>
    <w:rsid w:val="00AF5F2C"/>
    <w:rsid w:val="00AF6052"/>
    <w:rsid w:val="00AF614E"/>
    <w:rsid w:val="00AF638E"/>
    <w:rsid w:val="00AF63CB"/>
    <w:rsid w:val="00AF6717"/>
    <w:rsid w:val="00AF715D"/>
    <w:rsid w:val="00AF7FE0"/>
    <w:rsid w:val="00B001A4"/>
    <w:rsid w:val="00B00499"/>
    <w:rsid w:val="00B006BD"/>
    <w:rsid w:val="00B0084A"/>
    <w:rsid w:val="00B01065"/>
    <w:rsid w:val="00B01112"/>
    <w:rsid w:val="00B024DF"/>
    <w:rsid w:val="00B0257E"/>
    <w:rsid w:val="00B02B74"/>
    <w:rsid w:val="00B035BC"/>
    <w:rsid w:val="00B03661"/>
    <w:rsid w:val="00B03856"/>
    <w:rsid w:val="00B042C2"/>
    <w:rsid w:val="00B04665"/>
    <w:rsid w:val="00B04C1F"/>
    <w:rsid w:val="00B04C3B"/>
    <w:rsid w:val="00B04F8B"/>
    <w:rsid w:val="00B057B8"/>
    <w:rsid w:val="00B059B9"/>
    <w:rsid w:val="00B0678A"/>
    <w:rsid w:val="00B06859"/>
    <w:rsid w:val="00B06C77"/>
    <w:rsid w:val="00B0744B"/>
    <w:rsid w:val="00B07605"/>
    <w:rsid w:val="00B07B64"/>
    <w:rsid w:val="00B07BB2"/>
    <w:rsid w:val="00B101F3"/>
    <w:rsid w:val="00B10408"/>
    <w:rsid w:val="00B106E2"/>
    <w:rsid w:val="00B1097C"/>
    <w:rsid w:val="00B10DBF"/>
    <w:rsid w:val="00B10E4A"/>
    <w:rsid w:val="00B10FAB"/>
    <w:rsid w:val="00B110B4"/>
    <w:rsid w:val="00B114BF"/>
    <w:rsid w:val="00B116EF"/>
    <w:rsid w:val="00B11861"/>
    <w:rsid w:val="00B126D6"/>
    <w:rsid w:val="00B128F9"/>
    <w:rsid w:val="00B129C4"/>
    <w:rsid w:val="00B12C78"/>
    <w:rsid w:val="00B12EE3"/>
    <w:rsid w:val="00B13500"/>
    <w:rsid w:val="00B1373F"/>
    <w:rsid w:val="00B13C92"/>
    <w:rsid w:val="00B13D65"/>
    <w:rsid w:val="00B14227"/>
    <w:rsid w:val="00B14651"/>
    <w:rsid w:val="00B14738"/>
    <w:rsid w:val="00B14AF7"/>
    <w:rsid w:val="00B14F4E"/>
    <w:rsid w:val="00B15478"/>
    <w:rsid w:val="00B15797"/>
    <w:rsid w:val="00B15A5B"/>
    <w:rsid w:val="00B15B47"/>
    <w:rsid w:val="00B15FC9"/>
    <w:rsid w:val="00B166EB"/>
    <w:rsid w:val="00B168D1"/>
    <w:rsid w:val="00B16D40"/>
    <w:rsid w:val="00B16DA1"/>
    <w:rsid w:val="00B173D9"/>
    <w:rsid w:val="00B1741E"/>
    <w:rsid w:val="00B17F04"/>
    <w:rsid w:val="00B2013D"/>
    <w:rsid w:val="00B20236"/>
    <w:rsid w:val="00B202A7"/>
    <w:rsid w:val="00B20535"/>
    <w:rsid w:val="00B21592"/>
    <w:rsid w:val="00B21CDE"/>
    <w:rsid w:val="00B22497"/>
    <w:rsid w:val="00B22786"/>
    <w:rsid w:val="00B228A5"/>
    <w:rsid w:val="00B238C1"/>
    <w:rsid w:val="00B23A67"/>
    <w:rsid w:val="00B23E9D"/>
    <w:rsid w:val="00B24054"/>
    <w:rsid w:val="00B240CB"/>
    <w:rsid w:val="00B24453"/>
    <w:rsid w:val="00B244B9"/>
    <w:rsid w:val="00B24B62"/>
    <w:rsid w:val="00B24BE1"/>
    <w:rsid w:val="00B2536C"/>
    <w:rsid w:val="00B25A88"/>
    <w:rsid w:val="00B25D3C"/>
    <w:rsid w:val="00B2602A"/>
    <w:rsid w:val="00B260A5"/>
    <w:rsid w:val="00B2621D"/>
    <w:rsid w:val="00B26A85"/>
    <w:rsid w:val="00B2708A"/>
    <w:rsid w:val="00B27DD2"/>
    <w:rsid w:val="00B317D1"/>
    <w:rsid w:val="00B31CAC"/>
    <w:rsid w:val="00B31E02"/>
    <w:rsid w:val="00B3330F"/>
    <w:rsid w:val="00B334A7"/>
    <w:rsid w:val="00B3359A"/>
    <w:rsid w:val="00B3372F"/>
    <w:rsid w:val="00B337F4"/>
    <w:rsid w:val="00B33B4C"/>
    <w:rsid w:val="00B34F9E"/>
    <w:rsid w:val="00B35048"/>
    <w:rsid w:val="00B35250"/>
    <w:rsid w:val="00B356E5"/>
    <w:rsid w:val="00B3582D"/>
    <w:rsid w:val="00B35926"/>
    <w:rsid w:val="00B359DB"/>
    <w:rsid w:val="00B35ABB"/>
    <w:rsid w:val="00B35BA6"/>
    <w:rsid w:val="00B361E0"/>
    <w:rsid w:val="00B3675A"/>
    <w:rsid w:val="00B36927"/>
    <w:rsid w:val="00B373FA"/>
    <w:rsid w:val="00B37963"/>
    <w:rsid w:val="00B37C4D"/>
    <w:rsid w:val="00B37D48"/>
    <w:rsid w:val="00B37E43"/>
    <w:rsid w:val="00B40734"/>
    <w:rsid w:val="00B40D66"/>
    <w:rsid w:val="00B410BA"/>
    <w:rsid w:val="00B41511"/>
    <w:rsid w:val="00B41998"/>
    <w:rsid w:val="00B41F4B"/>
    <w:rsid w:val="00B42035"/>
    <w:rsid w:val="00B4240B"/>
    <w:rsid w:val="00B42525"/>
    <w:rsid w:val="00B42526"/>
    <w:rsid w:val="00B42CB3"/>
    <w:rsid w:val="00B42D7C"/>
    <w:rsid w:val="00B42FED"/>
    <w:rsid w:val="00B4322C"/>
    <w:rsid w:val="00B4324C"/>
    <w:rsid w:val="00B43E18"/>
    <w:rsid w:val="00B43E91"/>
    <w:rsid w:val="00B444A9"/>
    <w:rsid w:val="00B44AE5"/>
    <w:rsid w:val="00B44D61"/>
    <w:rsid w:val="00B454F3"/>
    <w:rsid w:val="00B45A17"/>
    <w:rsid w:val="00B45E84"/>
    <w:rsid w:val="00B4650D"/>
    <w:rsid w:val="00B46571"/>
    <w:rsid w:val="00B4657C"/>
    <w:rsid w:val="00B4667D"/>
    <w:rsid w:val="00B466D1"/>
    <w:rsid w:val="00B4683D"/>
    <w:rsid w:val="00B46907"/>
    <w:rsid w:val="00B46B38"/>
    <w:rsid w:val="00B46C0D"/>
    <w:rsid w:val="00B46CC8"/>
    <w:rsid w:val="00B46D06"/>
    <w:rsid w:val="00B47381"/>
    <w:rsid w:val="00B47724"/>
    <w:rsid w:val="00B47839"/>
    <w:rsid w:val="00B47991"/>
    <w:rsid w:val="00B47E30"/>
    <w:rsid w:val="00B506D1"/>
    <w:rsid w:val="00B5074D"/>
    <w:rsid w:val="00B50CE6"/>
    <w:rsid w:val="00B510EC"/>
    <w:rsid w:val="00B5160D"/>
    <w:rsid w:val="00B51656"/>
    <w:rsid w:val="00B51745"/>
    <w:rsid w:val="00B51A4C"/>
    <w:rsid w:val="00B51B65"/>
    <w:rsid w:val="00B51E74"/>
    <w:rsid w:val="00B522E0"/>
    <w:rsid w:val="00B52359"/>
    <w:rsid w:val="00B5250D"/>
    <w:rsid w:val="00B5279D"/>
    <w:rsid w:val="00B52894"/>
    <w:rsid w:val="00B53506"/>
    <w:rsid w:val="00B5350C"/>
    <w:rsid w:val="00B536C4"/>
    <w:rsid w:val="00B53715"/>
    <w:rsid w:val="00B53D25"/>
    <w:rsid w:val="00B53DA1"/>
    <w:rsid w:val="00B53F14"/>
    <w:rsid w:val="00B551C4"/>
    <w:rsid w:val="00B553E8"/>
    <w:rsid w:val="00B554A0"/>
    <w:rsid w:val="00B55A94"/>
    <w:rsid w:val="00B55CD5"/>
    <w:rsid w:val="00B561B3"/>
    <w:rsid w:val="00B57550"/>
    <w:rsid w:val="00B57908"/>
    <w:rsid w:val="00B57CBD"/>
    <w:rsid w:val="00B57DC8"/>
    <w:rsid w:val="00B60447"/>
    <w:rsid w:val="00B60819"/>
    <w:rsid w:val="00B60887"/>
    <w:rsid w:val="00B609E0"/>
    <w:rsid w:val="00B61427"/>
    <w:rsid w:val="00B629E7"/>
    <w:rsid w:val="00B62ABF"/>
    <w:rsid w:val="00B62D32"/>
    <w:rsid w:val="00B63594"/>
    <w:rsid w:val="00B6383A"/>
    <w:rsid w:val="00B638C5"/>
    <w:rsid w:val="00B63E7F"/>
    <w:rsid w:val="00B640A0"/>
    <w:rsid w:val="00B6489E"/>
    <w:rsid w:val="00B6494F"/>
    <w:rsid w:val="00B64A1C"/>
    <w:rsid w:val="00B64E53"/>
    <w:rsid w:val="00B64EF0"/>
    <w:rsid w:val="00B658E6"/>
    <w:rsid w:val="00B6599C"/>
    <w:rsid w:val="00B665EE"/>
    <w:rsid w:val="00B666AB"/>
    <w:rsid w:val="00B66B42"/>
    <w:rsid w:val="00B66E89"/>
    <w:rsid w:val="00B6715C"/>
    <w:rsid w:val="00B677F3"/>
    <w:rsid w:val="00B67C95"/>
    <w:rsid w:val="00B7040F"/>
    <w:rsid w:val="00B709AD"/>
    <w:rsid w:val="00B70ED5"/>
    <w:rsid w:val="00B712A1"/>
    <w:rsid w:val="00B7139C"/>
    <w:rsid w:val="00B7171E"/>
    <w:rsid w:val="00B719F8"/>
    <w:rsid w:val="00B720D1"/>
    <w:rsid w:val="00B7220E"/>
    <w:rsid w:val="00B72C03"/>
    <w:rsid w:val="00B72C33"/>
    <w:rsid w:val="00B72EA2"/>
    <w:rsid w:val="00B72EE3"/>
    <w:rsid w:val="00B72FCB"/>
    <w:rsid w:val="00B73A04"/>
    <w:rsid w:val="00B73C01"/>
    <w:rsid w:val="00B73C54"/>
    <w:rsid w:val="00B74070"/>
    <w:rsid w:val="00B74B48"/>
    <w:rsid w:val="00B74C67"/>
    <w:rsid w:val="00B74C8F"/>
    <w:rsid w:val="00B74DBE"/>
    <w:rsid w:val="00B754A2"/>
    <w:rsid w:val="00B7598D"/>
    <w:rsid w:val="00B75DB6"/>
    <w:rsid w:val="00B75E41"/>
    <w:rsid w:val="00B75E5E"/>
    <w:rsid w:val="00B7631F"/>
    <w:rsid w:val="00B766D8"/>
    <w:rsid w:val="00B76A9D"/>
    <w:rsid w:val="00B77544"/>
    <w:rsid w:val="00B7772A"/>
    <w:rsid w:val="00B77C61"/>
    <w:rsid w:val="00B77DC4"/>
    <w:rsid w:val="00B77F5B"/>
    <w:rsid w:val="00B801B0"/>
    <w:rsid w:val="00B807D8"/>
    <w:rsid w:val="00B8092F"/>
    <w:rsid w:val="00B80F88"/>
    <w:rsid w:val="00B81261"/>
    <w:rsid w:val="00B817C2"/>
    <w:rsid w:val="00B81987"/>
    <w:rsid w:val="00B81BE4"/>
    <w:rsid w:val="00B81E3B"/>
    <w:rsid w:val="00B8235A"/>
    <w:rsid w:val="00B826F5"/>
    <w:rsid w:val="00B8291A"/>
    <w:rsid w:val="00B82DCD"/>
    <w:rsid w:val="00B83136"/>
    <w:rsid w:val="00B8325C"/>
    <w:rsid w:val="00B83CA3"/>
    <w:rsid w:val="00B83F54"/>
    <w:rsid w:val="00B840C8"/>
    <w:rsid w:val="00B8442C"/>
    <w:rsid w:val="00B855D9"/>
    <w:rsid w:val="00B856BA"/>
    <w:rsid w:val="00B85859"/>
    <w:rsid w:val="00B8600A"/>
    <w:rsid w:val="00B86261"/>
    <w:rsid w:val="00B8639B"/>
    <w:rsid w:val="00B86764"/>
    <w:rsid w:val="00B87561"/>
    <w:rsid w:val="00B87596"/>
    <w:rsid w:val="00B87721"/>
    <w:rsid w:val="00B8772F"/>
    <w:rsid w:val="00B87BA2"/>
    <w:rsid w:val="00B90433"/>
    <w:rsid w:val="00B9061C"/>
    <w:rsid w:val="00B908AA"/>
    <w:rsid w:val="00B90EAE"/>
    <w:rsid w:val="00B90F57"/>
    <w:rsid w:val="00B9144A"/>
    <w:rsid w:val="00B91894"/>
    <w:rsid w:val="00B91C4A"/>
    <w:rsid w:val="00B91F3B"/>
    <w:rsid w:val="00B9237D"/>
    <w:rsid w:val="00B929D8"/>
    <w:rsid w:val="00B92CDA"/>
    <w:rsid w:val="00B92E95"/>
    <w:rsid w:val="00B937B5"/>
    <w:rsid w:val="00B938A0"/>
    <w:rsid w:val="00B938BA"/>
    <w:rsid w:val="00B94311"/>
    <w:rsid w:val="00B944CC"/>
    <w:rsid w:val="00B94553"/>
    <w:rsid w:val="00B94B2D"/>
    <w:rsid w:val="00B94D07"/>
    <w:rsid w:val="00B94DDD"/>
    <w:rsid w:val="00B94F7C"/>
    <w:rsid w:val="00B95063"/>
    <w:rsid w:val="00B955DE"/>
    <w:rsid w:val="00B957B1"/>
    <w:rsid w:val="00B95942"/>
    <w:rsid w:val="00B95C5E"/>
    <w:rsid w:val="00B96463"/>
    <w:rsid w:val="00B96A98"/>
    <w:rsid w:val="00B96E45"/>
    <w:rsid w:val="00B96F11"/>
    <w:rsid w:val="00BA09EA"/>
    <w:rsid w:val="00BA0A64"/>
    <w:rsid w:val="00BA0AA5"/>
    <w:rsid w:val="00BA0AE1"/>
    <w:rsid w:val="00BA0DBB"/>
    <w:rsid w:val="00BA1359"/>
    <w:rsid w:val="00BA1B39"/>
    <w:rsid w:val="00BA1DD6"/>
    <w:rsid w:val="00BA2416"/>
    <w:rsid w:val="00BA30C4"/>
    <w:rsid w:val="00BA326A"/>
    <w:rsid w:val="00BA32CB"/>
    <w:rsid w:val="00BA3D4F"/>
    <w:rsid w:val="00BA3E27"/>
    <w:rsid w:val="00BA3FD8"/>
    <w:rsid w:val="00BA41DC"/>
    <w:rsid w:val="00BA4402"/>
    <w:rsid w:val="00BA44A8"/>
    <w:rsid w:val="00BA4DB5"/>
    <w:rsid w:val="00BA56C3"/>
    <w:rsid w:val="00BA65A9"/>
    <w:rsid w:val="00BA6967"/>
    <w:rsid w:val="00BA6983"/>
    <w:rsid w:val="00BA6B44"/>
    <w:rsid w:val="00BA7251"/>
    <w:rsid w:val="00BA7320"/>
    <w:rsid w:val="00BA7712"/>
    <w:rsid w:val="00BA7C0C"/>
    <w:rsid w:val="00BB0503"/>
    <w:rsid w:val="00BB1143"/>
    <w:rsid w:val="00BB115A"/>
    <w:rsid w:val="00BB1A5C"/>
    <w:rsid w:val="00BB1CCC"/>
    <w:rsid w:val="00BB21AA"/>
    <w:rsid w:val="00BB24DB"/>
    <w:rsid w:val="00BB24FE"/>
    <w:rsid w:val="00BB2777"/>
    <w:rsid w:val="00BB2A1B"/>
    <w:rsid w:val="00BB2D69"/>
    <w:rsid w:val="00BB3F8B"/>
    <w:rsid w:val="00BB429F"/>
    <w:rsid w:val="00BB45B7"/>
    <w:rsid w:val="00BB51AE"/>
    <w:rsid w:val="00BB5BE7"/>
    <w:rsid w:val="00BB6025"/>
    <w:rsid w:val="00BB624A"/>
    <w:rsid w:val="00BB63B6"/>
    <w:rsid w:val="00BB64E2"/>
    <w:rsid w:val="00BB653D"/>
    <w:rsid w:val="00BB6A29"/>
    <w:rsid w:val="00BB6E1A"/>
    <w:rsid w:val="00BB731C"/>
    <w:rsid w:val="00BC0016"/>
    <w:rsid w:val="00BC0399"/>
    <w:rsid w:val="00BC0D47"/>
    <w:rsid w:val="00BC1223"/>
    <w:rsid w:val="00BC1278"/>
    <w:rsid w:val="00BC153B"/>
    <w:rsid w:val="00BC1791"/>
    <w:rsid w:val="00BC1DCC"/>
    <w:rsid w:val="00BC2582"/>
    <w:rsid w:val="00BC28E9"/>
    <w:rsid w:val="00BC2C71"/>
    <w:rsid w:val="00BC3010"/>
    <w:rsid w:val="00BC348F"/>
    <w:rsid w:val="00BC36CF"/>
    <w:rsid w:val="00BC39F8"/>
    <w:rsid w:val="00BC3BA2"/>
    <w:rsid w:val="00BC3CC1"/>
    <w:rsid w:val="00BC47F7"/>
    <w:rsid w:val="00BC4808"/>
    <w:rsid w:val="00BC490A"/>
    <w:rsid w:val="00BC4A08"/>
    <w:rsid w:val="00BC4CE5"/>
    <w:rsid w:val="00BC4CF2"/>
    <w:rsid w:val="00BC4D7B"/>
    <w:rsid w:val="00BC607E"/>
    <w:rsid w:val="00BC637E"/>
    <w:rsid w:val="00BC6401"/>
    <w:rsid w:val="00BC651F"/>
    <w:rsid w:val="00BC6901"/>
    <w:rsid w:val="00BC6A9D"/>
    <w:rsid w:val="00BC6F0A"/>
    <w:rsid w:val="00BC6FD6"/>
    <w:rsid w:val="00BC71B8"/>
    <w:rsid w:val="00BC76B8"/>
    <w:rsid w:val="00BD0A4C"/>
    <w:rsid w:val="00BD0D7D"/>
    <w:rsid w:val="00BD0D96"/>
    <w:rsid w:val="00BD12C4"/>
    <w:rsid w:val="00BD1929"/>
    <w:rsid w:val="00BD2465"/>
    <w:rsid w:val="00BD27E4"/>
    <w:rsid w:val="00BD2DF0"/>
    <w:rsid w:val="00BD31F3"/>
    <w:rsid w:val="00BD3ABB"/>
    <w:rsid w:val="00BD3EAE"/>
    <w:rsid w:val="00BD44C2"/>
    <w:rsid w:val="00BD490F"/>
    <w:rsid w:val="00BD4AA1"/>
    <w:rsid w:val="00BD55C2"/>
    <w:rsid w:val="00BD5716"/>
    <w:rsid w:val="00BD59A6"/>
    <w:rsid w:val="00BD59AA"/>
    <w:rsid w:val="00BD5C11"/>
    <w:rsid w:val="00BD5C90"/>
    <w:rsid w:val="00BD5CD1"/>
    <w:rsid w:val="00BD60F0"/>
    <w:rsid w:val="00BD677F"/>
    <w:rsid w:val="00BD6DA7"/>
    <w:rsid w:val="00BD6EF0"/>
    <w:rsid w:val="00BD6F0B"/>
    <w:rsid w:val="00BD7081"/>
    <w:rsid w:val="00BD718A"/>
    <w:rsid w:val="00BD728B"/>
    <w:rsid w:val="00BD761F"/>
    <w:rsid w:val="00BD76EA"/>
    <w:rsid w:val="00BD78A0"/>
    <w:rsid w:val="00BE0451"/>
    <w:rsid w:val="00BE06B6"/>
    <w:rsid w:val="00BE06E8"/>
    <w:rsid w:val="00BE0BE3"/>
    <w:rsid w:val="00BE12F5"/>
    <w:rsid w:val="00BE14F6"/>
    <w:rsid w:val="00BE15A9"/>
    <w:rsid w:val="00BE1669"/>
    <w:rsid w:val="00BE18D4"/>
    <w:rsid w:val="00BE1BA1"/>
    <w:rsid w:val="00BE27F2"/>
    <w:rsid w:val="00BE290C"/>
    <w:rsid w:val="00BE2963"/>
    <w:rsid w:val="00BE319B"/>
    <w:rsid w:val="00BE3619"/>
    <w:rsid w:val="00BE3B0F"/>
    <w:rsid w:val="00BE4068"/>
    <w:rsid w:val="00BE4A38"/>
    <w:rsid w:val="00BE4C8B"/>
    <w:rsid w:val="00BE5A1D"/>
    <w:rsid w:val="00BE5D38"/>
    <w:rsid w:val="00BE5DDA"/>
    <w:rsid w:val="00BE621A"/>
    <w:rsid w:val="00BE670A"/>
    <w:rsid w:val="00BE6B8C"/>
    <w:rsid w:val="00BE6BCE"/>
    <w:rsid w:val="00BE6D6C"/>
    <w:rsid w:val="00BE6DC1"/>
    <w:rsid w:val="00BE72D2"/>
    <w:rsid w:val="00BE72D4"/>
    <w:rsid w:val="00BE7433"/>
    <w:rsid w:val="00BE7618"/>
    <w:rsid w:val="00BE79AB"/>
    <w:rsid w:val="00BE7AFB"/>
    <w:rsid w:val="00BF06B6"/>
    <w:rsid w:val="00BF0A8D"/>
    <w:rsid w:val="00BF0C1D"/>
    <w:rsid w:val="00BF0E00"/>
    <w:rsid w:val="00BF133B"/>
    <w:rsid w:val="00BF1937"/>
    <w:rsid w:val="00BF1A02"/>
    <w:rsid w:val="00BF1A9C"/>
    <w:rsid w:val="00BF1AB6"/>
    <w:rsid w:val="00BF1C3C"/>
    <w:rsid w:val="00BF1FA4"/>
    <w:rsid w:val="00BF2309"/>
    <w:rsid w:val="00BF2597"/>
    <w:rsid w:val="00BF337F"/>
    <w:rsid w:val="00BF380D"/>
    <w:rsid w:val="00BF3867"/>
    <w:rsid w:val="00BF4122"/>
    <w:rsid w:val="00BF41E2"/>
    <w:rsid w:val="00BF4910"/>
    <w:rsid w:val="00BF4E4A"/>
    <w:rsid w:val="00BF5399"/>
    <w:rsid w:val="00BF57D7"/>
    <w:rsid w:val="00BF5E79"/>
    <w:rsid w:val="00BF648C"/>
    <w:rsid w:val="00BF7B16"/>
    <w:rsid w:val="00BF7BBC"/>
    <w:rsid w:val="00BF7C02"/>
    <w:rsid w:val="00BF7C26"/>
    <w:rsid w:val="00C007ED"/>
    <w:rsid w:val="00C00877"/>
    <w:rsid w:val="00C00BF6"/>
    <w:rsid w:val="00C011A5"/>
    <w:rsid w:val="00C011B1"/>
    <w:rsid w:val="00C011E4"/>
    <w:rsid w:val="00C011EC"/>
    <w:rsid w:val="00C01C82"/>
    <w:rsid w:val="00C01CC5"/>
    <w:rsid w:val="00C01CF9"/>
    <w:rsid w:val="00C01DEF"/>
    <w:rsid w:val="00C01E8D"/>
    <w:rsid w:val="00C020AC"/>
    <w:rsid w:val="00C02954"/>
    <w:rsid w:val="00C02AEA"/>
    <w:rsid w:val="00C03037"/>
    <w:rsid w:val="00C031A5"/>
    <w:rsid w:val="00C03262"/>
    <w:rsid w:val="00C034BB"/>
    <w:rsid w:val="00C034F9"/>
    <w:rsid w:val="00C0368E"/>
    <w:rsid w:val="00C03788"/>
    <w:rsid w:val="00C03AC7"/>
    <w:rsid w:val="00C03D25"/>
    <w:rsid w:val="00C040CF"/>
    <w:rsid w:val="00C0422F"/>
    <w:rsid w:val="00C04588"/>
    <w:rsid w:val="00C046E0"/>
    <w:rsid w:val="00C046EE"/>
    <w:rsid w:val="00C0475C"/>
    <w:rsid w:val="00C04D2A"/>
    <w:rsid w:val="00C0514C"/>
    <w:rsid w:val="00C05298"/>
    <w:rsid w:val="00C054D6"/>
    <w:rsid w:val="00C055A5"/>
    <w:rsid w:val="00C05695"/>
    <w:rsid w:val="00C05D41"/>
    <w:rsid w:val="00C05FAF"/>
    <w:rsid w:val="00C061A5"/>
    <w:rsid w:val="00C064D4"/>
    <w:rsid w:val="00C07572"/>
    <w:rsid w:val="00C0786D"/>
    <w:rsid w:val="00C07FC7"/>
    <w:rsid w:val="00C10FEB"/>
    <w:rsid w:val="00C11239"/>
    <w:rsid w:val="00C1176E"/>
    <w:rsid w:val="00C119CC"/>
    <w:rsid w:val="00C11CE5"/>
    <w:rsid w:val="00C11E5F"/>
    <w:rsid w:val="00C127B2"/>
    <w:rsid w:val="00C12E50"/>
    <w:rsid w:val="00C133B1"/>
    <w:rsid w:val="00C133C1"/>
    <w:rsid w:val="00C1381E"/>
    <w:rsid w:val="00C13858"/>
    <w:rsid w:val="00C1394A"/>
    <w:rsid w:val="00C13DB9"/>
    <w:rsid w:val="00C13F70"/>
    <w:rsid w:val="00C14423"/>
    <w:rsid w:val="00C14E00"/>
    <w:rsid w:val="00C155A5"/>
    <w:rsid w:val="00C15627"/>
    <w:rsid w:val="00C15696"/>
    <w:rsid w:val="00C1588C"/>
    <w:rsid w:val="00C15932"/>
    <w:rsid w:val="00C15A5A"/>
    <w:rsid w:val="00C15F19"/>
    <w:rsid w:val="00C1624A"/>
    <w:rsid w:val="00C16A8B"/>
    <w:rsid w:val="00C17519"/>
    <w:rsid w:val="00C1790D"/>
    <w:rsid w:val="00C17919"/>
    <w:rsid w:val="00C17C6C"/>
    <w:rsid w:val="00C17F4D"/>
    <w:rsid w:val="00C20121"/>
    <w:rsid w:val="00C202FA"/>
    <w:rsid w:val="00C208FE"/>
    <w:rsid w:val="00C20BFC"/>
    <w:rsid w:val="00C20FA0"/>
    <w:rsid w:val="00C2160D"/>
    <w:rsid w:val="00C2260B"/>
    <w:rsid w:val="00C22F97"/>
    <w:rsid w:val="00C22FA7"/>
    <w:rsid w:val="00C23113"/>
    <w:rsid w:val="00C23158"/>
    <w:rsid w:val="00C23666"/>
    <w:rsid w:val="00C24067"/>
    <w:rsid w:val="00C2406D"/>
    <w:rsid w:val="00C241B3"/>
    <w:rsid w:val="00C24E68"/>
    <w:rsid w:val="00C255D8"/>
    <w:rsid w:val="00C256D8"/>
    <w:rsid w:val="00C2572B"/>
    <w:rsid w:val="00C259B2"/>
    <w:rsid w:val="00C25A3C"/>
    <w:rsid w:val="00C25AC1"/>
    <w:rsid w:val="00C2616C"/>
    <w:rsid w:val="00C2656D"/>
    <w:rsid w:val="00C26A13"/>
    <w:rsid w:val="00C26E51"/>
    <w:rsid w:val="00C272A8"/>
    <w:rsid w:val="00C273F9"/>
    <w:rsid w:val="00C27DB6"/>
    <w:rsid w:val="00C30029"/>
    <w:rsid w:val="00C3042A"/>
    <w:rsid w:val="00C3065B"/>
    <w:rsid w:val="00C30662"/>
    <w:rsid w:val="00C306EF"/>
    <w:rsid w:val="00C30DA4"/>
    <w:rsid w:val="00C3123C"/>
    <w:rsid w:val="00C314C5"/>
    <w:rsid w:val="00C315D6"/>
    <w:rsid w:val="00C316B1"/>
    <w:rsid w:val="00C31F2E"/>
    <w:rsid w:val="00C31FCB"/>
    <w:rsid w:val="00C3217F"/>
    <w:rsid w:val="00C3234E"/>
    <w:rsid w:val="00C32473"/>
    <w:rsid w:val="00C32771"/>
    <w:rsid w:val="00C32981"/>
    <w:rsid w:val="00C32D0D"/>
    <w:rsid w:val="00C32E2F"/>
    <w:rsid w:val="00C32E35"/>
    <w:rsid w:val="00C33134"/>
    <w:rsid w:val="00C336A0"/>
    <w:rsid w:val="00C337F5"/>
    <w:rsid w:val="00C33A95"/>
    <w:rsid w:val="00C33F24"/>
    <w:rsid w:val="00C33FD7"/>
    <w:rsid w:val="00C33FF1"/>
    <w:rsid w:val="00C34B4F"/>
    <w:rsid w:val="00C34DA4"/>
    <w:rsid w:val="00C34DBA"/>
    <w:rsid w:val="00C34F52"/>
    <w:rsid w:val="00C3515C"/>
    <w:rsid w:val="00C353C6"/>
    <w:rsid w:val="00C35B4B"/>
    <w:rsid w:val="00C35C36"/>
    <w:rsid w:val="00C35F16"/>
    <w:rsid w:val="00C36277"/>
    <w:rsid w:val="00C36907"/>
    <w:rsid w:val="00C37450"/>
    <w:rsid w:val="00C374B9"/>
    <w:rsid w:val="00C37827"/>
    <w:rsid w:val="00C37894"/>
    <w:rsid w:val="00C41021"/>
    <w:rsid w:val="00C41315"/>
    <w:rsid w:val="00C4144B"/>
    <w:rsid w:val="00C4144E"/>
    <w:rsid w:val="00C415D1"/>
    <w:rsid w:val="00C41937"/>
    <w:rsid w:val="00C41DC4"/>
    <w:rsid w:val="00C41F79"/>
    <w:rsid w:val="00C420D9"/>
    <w:rsid w:val="00C42249"/>
    <w:rsid w:val="00C42525"/>
    <w:rsid w:val="00C430F1"/>
    <w:rsid w:val="00C43331"/>
    <w:rsid w:val="00C4391C"/>
    <w:rsid w:val="00C43B8C"/>
    <w:rsid w:val="00C4407C"/>
    <w:rsid w:val="00C4439D"/>
    <w:rsid w:val="00C443CA"/>
    <w:rsid w:val="00C44643"/>
    <w:rsid w:val="00C44B84"/>
    <w:rsid w:val="00C44BBE"/>
    <w:rsid w:val="00C44C55"/>
    <w:rsid w:val="00C450D9"/>
    <w:rsid w:val="00C45917"/>
    <w:rsid w:val="00C45C22"/>
    <w:rsid w:val="00C45D1F"/>
    <w:rsid w:val="00C46448"/>
    <w:rsid w:val="00C4652B"/>
    <w:rsid w:val="00C46605"/>
    <w:rsid w:val="00C46662"/>
    <w:rsid w:val="00C466BC"/>
    <w:rsid w:val="00C467ED"/>
    <w:rsid w:val="00C46866"/>
    <w:rsid w:val="00C469F0"/>
    <w:rsid w:val="00C46E53"/>
    <w:rsid w:val="00C46F20"/>
    <w:rsid w:val="00C4705F"/>
    <w:rsid w:val="00C47207"/>
    <w:rsid w:val="00C473F7"/>
    <w:rsid w:val="00C476CC"/>
    <w:rsid w:val="00C47864"/>
    <w:rsid w:val="00C50190"/>
    <w:rsid w:val="00C501B3"/>
    <w:rsid w:val="00C502F9"/>
    <w:rsid w:val="00C50307"/>
    <w:rsid w:val="00C5044E"/>
    <w:rsid w:val="00C50646"/>
    <w:rsid w:val="00C508ED"/>
    <w:rsid w:val="00C50ACB"/>
    <w:rsid w:val="00C50C36"/>
    <w:rsid w:val="00C50C44"/>
    <w:rsid w:val="00C511E1"/>
    <w:rsid w:val="00C5176A"/>
    <w:rsid w:val="00C5188E"/>
    <w:rsid w:val="00C5191D"/>
    <w:rsid w:val="00C51F95"/>
    <w:rsid w:val="00C5208F"/>
    <w:rsid w:val="00C5247E"/>
    <w:rsid w:val="00C52F7E"/>
    <w:rsid w:val="00C537A0"/>
    <w:rsid w:val="00C53913"/>
    <w:rsid w:val="00C53BB9"/>
    <w:rsid w:val="00C53EA4"/>
    <w:rsid w:val="00C547C3"/>
    <w:rsid w:val="00C548D8"/>
    <w:rsid w:val="00C550F7"/>
    <w:rsid w:val="00C553D5"/>
    <w:rsid w:val="00C55BC6"/>
    <w:rsid w:val="00C55FCD"/>
    <w:rsid w:val="00C5625F"/>
    <w:rsid w:val="00C5636F"/>
    <w:rsid w:val="00C568D5"/>
    <w:rsid w:val="00C57248"/>
    <w:rsid w:val="00C57595"/>
    <w:rsid w:val="00C57852"/>
    <w:rsid w:val="00C6021D"/>
    <w:rsid w:val="00C603C5"/>
    <w:rsid w:val="00C60B1F"/>
    <w:rsid w:val="00C60D71"/>
    <w:rsid w:val="00C60D8F"/>
    <w:rsid w:val="00C60E2A"/>
    <w:rsid w:val="00C60E31"/>
    <w:rsid w:val="00C610AB"/>
    <w:rsid w:val="00C6145A"/>
    <w:rsid w:val="00C61CDA"/>
    <w:rsid w:val="00C621D4"/>
    <w:rsid w:val="00C621F6"/>
    <w:rsid w:val="00C623C1"/>
    <w:rsid w:val="00C6279E"/>
    <w:rsid w:val="00C6294E"/>
    <w:rsid w:val="00C62EA3"/>
    <w:rsid w:val="00C635E0"/>
    <w:rsid w:val="00C63701"/>
    <w:rsid w:val="00C63A69"/>
    <w:rsid w:val="00C63A94"/>
    <w:rsid w:val="00C63B07"/>
    <w:rsid w:val="00C647C5"/>
    <w:rsid w:val="00C64989"/>
    <w:rsid w:val="00C659F9"/>
    <w:rsid w:val="00C65D21"/>
    <w:rsid w:val="00C65FDD"/>
    <w:rsid w:val="00C662DB"/>
    <w:rsid w:val="00C66666"/>
    <w:rsid w:val="00C66669"/>
    <w:rsid w:val="00C66DE2"/>
    <w:rsid w:val="00C66E87"/>
    <w:rsid w:val="00C6730B"/>
    <w:rsid w:val="00C67DE5"/>
    <w:rsid w:val="00C70743"/>
    <w:rsid w:val="00C70884"/>
    <w:rsid w:val="00C708E3"/>
    <w:rsid w:val="00C709B9"/>
    <w:rsid w:val="00C70DF7"/>
    <w:rsid w:val="00C70EF3"/>
    <w:rsid w:val="00C711AB"/>
    <w:rsid w:val="00C71469"/>
    <w:rsid w:val="00C717E7"/>
    <w:rsid w:val="00C71CA4"/>
    <w:rsid w:val="00C725D8"/>
    <w:rsid w:val="00C72A4D"/>
    <w:rsid w:val="00C7306C"/>
    <w:rsid w:val="00C733ED"/>
    <w:rsid w:val="00C735CC"/>
    <w:rsid w:val="00C7390B"/>
    <w:rsid w:val="00C739A6"/>
    <w:rsid w:val="00C739FC"/>
    <w:rsid w:val="00C739FF"/>
    <w:rsid w:val="00C73AF8"/>
    <w:rsid w:val="00C7415F"/>
    <w:rsid w:val="00C74A34"/>
    <w:rsid w:val="00C7537A"/>
    <w:rsid w:val="00C75665"/>
    <w:rsid w:val="00C7574E"/>
    <w:rsid w:val="00C75E90"/>
    <w:rsid w:val="00C761BD"/>
    <w:rsid w:val="00C761BE"/>
    <w:rsid w:val="00C762F4"/>
    <w:rsid w:val="00C763E3"/>
    <w:rsid w:val="00C7657E"/>
    <w:rsid w:val="00C766EE"/>
    <w:rsid w:val="00C769DC"/>
    <w:rsid w:val="00C76FF2"/>
    <w:rsid w:val="00C7702F"/>
    <w:rsid w:val="00C77054"/>
    <w:rsid w:val="00C77222"/>
    <w:rsid w:val="00C77EF6"/>
    <w:rsid w:val="00C80278"/>
    <w:rsid w:val="00C808EC"/>
    <w:rsid w:val="00C80A5B"/>
    <w:rsid w:val="00C80A9E"/>
    <w:rsid w:val="00C80D20"/>
    <w:rsid w:val="00C8151C"/>
    <w:rsid w:val="00C8151D"/>
    <w:rsid w:val="00C8155D"/>
    <w:rsid w:val="00C817C3"/>
    <w:rsid w:val="00C81848"/>
    <w:rsid w:val="00C81E75"/>
    <w:rsid w:val="00C81EB1"/>
    <w:rsid w:val="00C82012"/>
    <w:rsid w:val="00C82387"/>
    <w:rsid w:val="00C82548"/>
    <w:rsid w:val="00C828BA"/>
    <w:rsid w:val="00C82990"/>
    <w:rsid w:val="00C82D95"/>
    <w:rsid w:val="00C835CD"/>
    <w:rsid w:val="00C83787"/>
    <w:rsid w:val="00C8394C"/>
    <w:rsid w:val="00C83C6D"/>
    <w:rsid w:val="00C84400"/>
    <w:rsid w:val="00C8443D"/>
    <w:rsid w:val="00C845E7"/>
    <w:rsid w:val="00C84CDA"/>
    <w:rsid w:val="00C85352"/>
    <w:rsid w:val="00C85938"/>
    <w:rsid w:val="00C860B6"/>
    <w:rsid w:val="00C86B6D"/>
    <w:rsid w:val="00C86EC5"/>
    <w:rsid w:val="00C87072"/>
    <w:rsid w:val="00C870C0"/>
    <w:rsid w:val="00C87E79"/>
    <w:rsid w:val="00C87FCB"/>
    <w:rsid w:val="00C90123"/>
    <w:rsid w:val="00C9022E"/>
    <w:rsid w:val="00C90244"/>
    <w:rsid w:val="00C902C5"/>
    <w:rsid w:val="00C902E5"/>
    <w:rsid w:val="00C903EE"/>
    <w:rsid w:val="00C905F6"/>
    <w:rsid w:val="00C9097A"/>
    <w:rsid w:val="00C9104E"/>
    <w:rsid w:val="00C91554"/>
    <w:rsid w:val="00C91770"/>
    <w:rsid w:val="00C91884"/>
    <w:rsid w:val="00C91F7F"/>
    <w:rsid w:val="00C9218E"/>
    <w:rsid w:val="00C922BB"/>
    <w:rsid w:val="00C927F3"/>
    <w:rsid w:val="00C9308C"/>
    <w:rsid w:val="00C93FDC"/>
    <w:rsid w:val="00C946AC"/>
    <w:rsid w:val="00C95099"/>
    <w:rsid w:val="00C951CA"/>
    <w:rsid w:val="00C95518"/>
    <w:rsid w:val="00C955D2"/>
    <w:rsid w:val="00C95866"/>
    <w:rsid w:val="00C96D33"/>
    <w:rsid w:val="00C96DA8"/>
    <w:rsid w:val="00C96FB2"/>
    <w:rsid w:val="00C97006"/>
    <w:rsid w:val="00C97137"/>
    <w:rsid w:val="00C972E0"/>
    <w:rsid w:val="00C972FE"/>
    <w:rsid w:val="00C976C5"/>
    <w:rsid w:val="00C97A1B"/>
    <w:rsid w:val="00CA02CE"/>
    <w:rsid w:val="00CA02CF"/>
    <w:rsid w:val="00CA03EC"/>
    <w:rsid w:val="00CA0984"/>
    <w:rsid w:val="00CA0AC9"/>
    <w:rsid w:val="00CA128F"/>
    <w:rsid w:val="00CA1C89"/>
    <w:rsid w:val="00CA1E33"/>
    <w:rsid w:val="00CA1ED3"/>
    <w:rsid w:val="00CA1F53"/>
    <w:rsid w:val="00CA2AFD"/>
    <w:rsid w:val="00CA2C66"/>
    <w:rsid w:val="00CA2E00"/>
    <w:rsid w:val="00CA3558"/>
    <w:rsid w:val="00CA3950"/>
    <w:rsid w:val="00CA3A6C"/>
    <w:rsid w:val="00CA3B6B"/>
    <w:rsid w:val="00CA3CB8"/>
    <w:rsid w:val="00CA42E1"/>
    <w:rsid w:val="00CA4BB7"/>
    <w:rsid w:val="00CA4D0F"/>
    <w:rsid w:val="00CA52C9"/>
    <w:rsid w:val="00CA5EBA"/>
    <w:rsid w:val="00CA5F70"/>
    <w:rsid w:val="00CA6488"/>
    <w:rsid w:val="00CA64CB"/>
    <w:rsid w:val="00CA6799"/>
    <w:rsid w:val="00CA69C5"/>
    <w:rsid w:val="00CA6A66"/>
    <w:rsid w:val="00CA6B8F"/>
    <w:rsid w:val="00CA6BD2"/>
    <w:rsid w:val="00CA6C49"/>
    <w:rsid w:val="00CA6CC0"/>
    <w:rsid w:val="00CA7CB0"/>
    <w:rsid w:val="00CA7E94"/>
    <w:rsid w:val="00CA7EAF"/>
    <w:rsid w:val="00CB01D3"/>
    <w:rsid w:val="00CB0465"/>
    <w:rsid w:val="00CB04F1"/>
    <w:rsid w:val="00CB0918"/>
    <w:rsid w:val="00CB0E4C"/>
    <w:rsid w:val="00CB1154"/>
    <w:rsid w:val="00CB18E2"/>
    <w:rsid w:val="00CB2789"/>
    <w:rsid w:val="00CB2827"/>
    <w:rsid w:val="00CB2A8C"/>
    <w:rsid w:val="00CB2C72"/>
    <w:rsid w:val="00CB2EA9"/>
    <w:rsid w:val="00CB2FD6"/>
    <w:rsid w:val="00CB3124"/>
    <w:rsid w:val="00CB3DB0"/>
    <w:rsid w:val="00CB3F6E"/>
    <w:rsid w:val="00CB4950"/>
    <w:rsid w:val="00CB4A0E"/>
    <w:rsid w:val="00CB4C8C"/>
    <w:rsid w:val="00CB4FA4"/>
    <w:rsid w:val="00CB55D5"/>
    <w:rsid w:val="00CB5DEA"/>
    <w:rsid w:val="00CB6269"/>
    <w:rsid w:val="00CB62F1"/>
    <w:rsid w:val="00CB6344"/>
    <w:rsid w:val="00CB66DE"/>
    <w:rsid w:val="00CB67C5"/>
    <w:rsid w:val="00CB6DA0"/>
    <w:rsid w:val="00CB6FC5"/>
    <w:rsid w:val="00CB7B12"/>
    <w:rsid w:val="00CB7C0A"/>
    <w:rsid w:val="00CB7CB1"/>
    <w:rsid w:val="00CC0827"/>
    <w:rsid w:val="00CC0AB9"/>
    <w:rsid w:val="00CC0CA3"/>
    <w:rsid w:val="00CC112F"/>
    <w:rsid w:val="00CC1466"/>
    <w:rsid w:val="00CC15E9"/>
    <w:rsid w:val="00CC19B8"/>
    <w:rsid w:val="00CC1B9B"/>
    <w:rsid w:val="00CC22BF"/>
    <w:rsid w:val="00CC2BB1"/>
    <w:rsid w:val="00CC2C83"/>
    <w:rsid w:val="00CC2DE3"/>
    <w:rsid w:val="00CC34BB"/>
    <w:rsid w:val="00CC3E5D"/>
    <w:rsid w:val="00CC4261"/>
    <w:rsid w:val="00CC44A5"/>
    <w:rsid w:val="00CC50DB"/>
    <w:rsid w:val="00CC53D9"/>
    <w:rsid w:val="00CC5E1C"/>
    <w:rsid w:val="00CC74F6"/>
    <w:rsid w:val="00CD003F"/>
    <w:rsid w:val="00CD021E"/>
    <w:rsid w:val="00CD03EC"/>
    <w:rsid w:val="00CD072C"/>
    <w:rsid w:val="00CD087F"/>
    <w:rsid w:val="00CD0892"/>
    <w:rsid w:val="00CD0DE6"/>
    <w:rsid w:val="00CD1C33"/>
    <w:rsid w:val="00CD27BA"/>
    <w:rsid w:val="00CD2944"/>
    <w:rsid w:val="00CD2B5B"/>
    <w:rsid w:val="00CD2DA6"/>
    <w:rsid w:val="00CD2FF2"/>
    <w:rsid w:val="00CD311C"/>
    <w:rsid w:val="00CD32F4"/>
    <w:rsid w:val="00CD3362"/>
    <w:rsid w:val="00CD33AD"/>
    <w:rsid w:val="00CD3806"/>
    <w:rsid w:val="00CD408D"/>
    <w:rsid w:val="00CD4120"/>
    <w:rsid w:val="00CD412E"/>
    <w:rsid w:val="00CD442C"/>
    <w:rsid w:val="00CD48EC"/>
    <w:rsid w:val="00CD4AA5"/>
    <w:rsid w:val="00CD5201"/>
    <w:rsid w:val="00CD5537"/>
    <w:rsid w:val="00CD5682"/>
    <w:rsid w:val="00CD66B3"/>
    <w:rsid w:val="00CD6825"/>
    <w:rsid w:val="00CD6DFF"/>
    <w:rsid w:val="00CD6FAE"/>
    <w:rsid w:val="00CE0076"/>
    <w:rsid w:val="00CE00B5"/>
    <w:rsid w:val="00CE00B7"/>
    <w:rsid w:val="00CE01A8"/>
    <w:rsid w:val="00CE024F"/>
    <w:rsid w:val="00CE06C4"/>
    <w:rsid w:val="00CE0752"/>
    <w:rsid w:val="00CE0962"/>
    <w:rsid w:val="00CE0CA4"/>
    <w:rsid w:val="00CE16BE"/>
    <w:rsid w:val="00CE1774"/>
    <w:rsid w:val="00CE1957"/>
    <w:rsid w:val="00CE1977"/>
    <w:rsid w:val="00CE202D"/>
    <w:rsid w:val="00CE230F"/>
    <w:rsid w:val="00CE2C1E"/>
    <w:rsid w:val="00CE3531"/>
    <w:rsid w:val="00CE3D36"/>
    <w:rsid w:val="00CE3F0B"/>
    <w:rsid w:val="00CE4C99"/>
    <w:rsid w:val="00CE4DCA"/>
    <w:rsid w:val="00CE4DEC"/>
    <w:rsid w:val="00CE5093"/>
    <w:rsid w:val="00CE55D9"/>
    <w:rsid w:val="00CE57A1"/>
    <w:rsid w:val="00CE6002"/>
    <w:rsid w:val="00CE60CA"/>
    <w:rsid w:val="00CE613A"/>
    <w:rsid w:val="00CE6CB6"/>
    <w:rsid w:val="00CE6FBA"/>
    <w:rsid w:val="00CE7321"/>
    <w:rsid w:val="00CE741B"/>
    <w:rsid w:val="00CE7733"/>
    <w:rsid w:val="00CE78C1"/>
    <w:rsid w:val="00CE78D7"/>
    <w:rsid w:val="00CE7CF2"/>
    <w:rsid w:val="00CF00CC"/>
    <w:rsid w:val="00CF0112"/>
    <w:rsid w:val="00CF02FE"/>
    <w:rsid w:val="00CF0788"/>
    <w:rsid w:val="00CF0A9D"/>
    <w:rsid w:val="00CF0D15"/>
    <w:rsid w:val="00CF0D7F"/>
    <w:rsid w:val="00CF0EA2"/>
    <w:rsid w:val="00CF0ED8"/>
    <w:rsid w:val="00CF0F4D"/>
    <w:rsid w:val="00CF11B0"/>
    <w:rsid w:val="00CF134F"/>
    <w:rsid w:val="00CF13CC"/>
    <w:rsid w:val="00CF1788"/>
    <w:rsid w:val="00CF17A6"/>
    <w:rsid w:val="00CF18BA"/>
    <w:rsid w:val="00CF1E64"/>
    <w:rsid w:val="00CF224B"/>
    <w:rsid w:val="00CF2503"/>
    <w:rsid w:val="00CF2889"/>
    <w:rsid w:val="00CF2A7D"/>
    <w:rsid w:val="00CF2C08"/>
    <w:rsid w:val="00CF2C65"/>
    <w:rsid w:val="00CF2CA9"/>
    <w:rsid w:val="00CF2E0D"/>
    <w:rsid w:val="00CF324E"/>
    <w:rsid w:val="00CF3934"/>
    <w:rsid w:val="00CF3986"/>
    <w:rsid w:val="00CF39E8"/>
    <w:rsid w:val="00CF3A14"/>
    <w:rsid w:val="00CF42AF"/>
    <w:rsid w:val="00CF43BA"/>
    <w:rsid w:val="00CF44F4"/>
    <w:rsid w:val="00CF450C"/>
    <w:rsid w:val="00CF472B"/>
    <w:rsid w:val="00CF51DE"/>
    <w:rsid w:val="00CF56B7"/>
    <w:rsid w:val="00CF56D5"/>
    <w:rsid w:val="00CF581C"/>
    <w:rsid w:val="00CF5F3A"/>
    <w:rsid w:val="00CF6318"/>
    <w:rsid w:val="00CF6E1B"/>
    <w:rsid w:val="00CF6FF1"/>
    <w:rsid w:val="00CF702F"/>
    <w:rsid w:val="00CF7075"/>
    <w:rsid w:val="00CF724E"/>
    <w:rsid w:val="00CF7314"/>
    <w:rsid w:val="00CF75A4"/>
    <w:rsid w:val="00CF773E"/>
    <w:rsid w:val="00CF7757"/>
    <w:rsid w:val="00CF7C54"/>
    <w:rsid w:val="00CF7D1F"/>
    <w:rsid w:val="00D000F1"/>
    <w:rsid w:val="00D00297"/>
    <w:rsid w:val="00D0081E"/>
    <w:rsid w:val="00D00C46"/>
    <w:rsid w:val="00D010A1"/>
    <w:rsid w:val="00D013D0"/>
    <w:rsid w:val="00D0148E"/>
    <w:rsid w:val="00D01491"/>
    <w:rsid w:val="00D014BC"/>
    <w:rsid w:val="00D0181A"/>
    <w:rsid w:val="00D01FC6"/>
    <w:rsid w:val="00D02280"/>
    <w:rsid w:val="00D0248A"/>
    <w:rsid w:val="00D025B4"/>
    <w:rsid w:val="00D02B3C"/>
    <w:rsid w:val="00D038AC"/>
    <w:rsid w:val="00D03A90"/>
    <w:rsid w:val="00D03E66"/>
    <w:rsid w:val="00D0403D"/>
    <w:rsid w:val="00D04E3E"/>
    <w:rsid w:val="00D05196"/>
    <w:rsid w:val="00D052D5"/>
    <w:rsid w:val="00D05E6C"/>
    <w:rsid w:val="00D062D0"/>
    <w:rsid w:val="00D06335"/>
    <w:rsid w:val="00D06A58"/>
    <w:rsid w:val="00D076B1"/>
    <w:rsid w:val="00D078CA"/>
    <w:rsid w:val="00D07B7A"/>
    <w:rsid w:val="00D07DF8"/>
    <w:rsid w:val="00D07EE1"/>
    <w:rsid w:val="00D10645"/>
    <w:rsid w:val="00D10E41"/>
    <w:rsid w:val="00D111FB"/>
    <w:rsid w:val="00D11B16"/>
    <w:rsid w:val="00D12872"/>
    <w:rsid w:val="00D12FF9"/>
    <w:rsid w:val="00D132B2"/>
    <w:rsid w:val="00D136E5"/>
    <w:rsid w:val="00D13A0B"/>
    <w:rsid w:val="00D13D58"/>
    <w:rsid w:val="00D14922"/>
    <w:rsid w:val="00D14D14"/>
    <w:rsid w:val="00D14EB4"/>
    <w:rsid w:val="00D150AE"/>
    <w:rsid w:val="00D1540B"/>
    <w:rsid w:val="00D156F3"/>
    <w:rsid w:val="00D15796"/>
    <w:rsid w:val="00D159CF"/>
    <w:rsid w:val="00D15C52"/>
    <w:rsid w:val="00D16648"/>
    <w:rsid w:val="00D16B48"/>
    <w:rsid w:val="00D16BB4"/>
    <w:rsid w:val="00D16CE7"/>
    <w:rsid w:val="00D170D2"/>
    <w:rsid w:val="00D17228"/>
    <w:rsid w:val="00D1733C"/>
    <w:rsid w:val="00D1753D"/>
    <w:rsid w:val="00D17E7C"/>
    <w:rsid w:val="00D203D0"/>
    <w:rsid w:val="00D20966"/>
    <w:rsid w:val="00D20CDE"/>
    <w:rsid w:val="00D20DB8"/>
    <w:rsid w:val="00D21302"/>
    <w:rsid w:val="00D2167E"/>
    <w:rsid w:val="00D21C13"/>
    <w:rsid w:val="00D229CF"/>
    <w:rsid w:val="00D22BE6"/>
    <w:rsid w:val="00D22D56"/>
    <w:rsid w:val="00D22D67"/>
    <w:rsid w:val="00D23356"/>
    <w:rsid w:val="00D234C6"/>
    <w:rsid w:val="00D236FD"/>
    <w:rsid w:val="00D23AF3"/>
    <w:rsid w:val="00D23C83"/>
    <w:rsid w:val="00D23E16"/>
    <w:rsid w:val="00D23E40"/>
    <w:rsid w:val="00D2402E"/>
    <w:rsid w:val="00D240D5"/>
    <w:rsid w:val="00D242D2"/>
    <w:rsid w:val="00D24C6C"/>
    <w:rsid w:val="00D24D8E"/>
    <w:rsid w:val="00D24FD9"/>
    <w:rsid w:val="00D25395"/>
    <w:rsid w:val="00D25B96"/>
    <w:rsid w:val="00D260F4"/>
    <w:rsid w:val="00D27694"/>
    <w:rsid w:val="00D27F3B"/>
    <w:rsid w:val="00D30031"/>
    <w:rsid w:val="00D30799"/>
    <w:rsid w:val="00D3124C"/>
    <w:rsid w:val="00D31967"/>
    <w:rsid w:val="00D31DE7"/>
    <w:rsid w:val="00D32557"/>
    <w:rsid w:val="00D32F47"/>
    <w:rsid w:val="00D330A5"/>
    <w:rsid w:val="00D33121"/>
    <w:rsid w:val="00D33576"/>
    <w:rsid w:val="00D337C4"/>
    <w:rsid w:val="00D33A99"/>
    <w:rsid w:val="00D33BCB"/>
    <w:rsid w:val="00D33CE4"/>
    <w:rsid w:val="00D3479A"/>
    <w:rsid w:val="00D34A0E"/>
    <w:rsid w:val="00D34BBF"/>
    <w:rsid w:val="00D34E03"/>
    <w:rsid w:val="00D34E47"/>
    <w:rsid w:val="00D358F0"/>
    <w:rsid w:val="00D35CBE"/>
    <w:rsid w:val="00D368DE"/>
    <w:rsid w:val="00D36CFF"/>
    <w:rsid w:val="00D375EB"/>
    <w:rsid w:val="00D377B1"/>
    <w:rsid w:val="00D400A1"/>
    <w:rsid w:val="00D400C3"/>
    <w:rsid w:val="00D4051E"/>
    <w:rsid w:val="00D40ABC"/>
    <w:rsid w:val="00D40AF0"/>
    <w:rsid w:val="00D410F2"/>
    <w:rsid w:val="00D4169C"/>
    <w:rsid w:val="00D425AC"/>
    <w:rsid w:val="00D42871"/>
    <w:rsid w:val="00D42880"/>
    <w:rsid w:val="00D42F41"/>
    <w:rsid w:val="00D4302F"/>
    <w:rsid w:val="00D430C5"/>
    <w:rsid w:val="00D43176"/>
    <w:rsid w:val="00D43ABD"/>
    <w:rsid w:val="00D43D09"/>
    <w:rsid w:val="00D448EA"/>
    <w:rsid w:val="00D44CFD"/>
    <w:rsid w:val="00D44EC1"/>
    <w:rsid w:val="00D45D49"/>
    <w:rsid w:val="00D45EF7"/>
    <w:rsid w:val="00D45FB6"/>
    <w:rsid w:val="00D46304"/>
    <w:rsid w:val="00D46D2E"/>
    <w:rsid w:val="00D46FDC"/>
    <w:rsid w:val="00D47044"/>
    <w:rsid w:val="00D47EE2"/>
    <w:rsid w:val="00D50110"/>
    <w:rsid w:val="00D5046F"/>
    <w:rsid w:val="00D5078E"/>
    <w:rsid w:val="00D50CCB"/>
    <w:rsid w:val="00D511E6"/>
    <w:rsid w:val="00D513BC"/>
    <w:rsid w:val="00D5160C"/>
    <w:rsid w:val="00D516B9"/>
    <w:rsid w:val="00D521C5"/>
    <w:rsid w:val="00D522A3"/>
    <w:rsid w:val="00D5264F"/>
    <w:rsid w:val="00D526CA"/>
    <w:rsid w:val="00D528B8"/>
    <w:rsid w:val="00D52BCB"/>
    <w:rsid w:val="00D535C5"/>
    <w:rsid w:val="00D535F7"/>
    <w:rsid w:val="00D536C0"/>
    <w:rsid w:val="00D537BC"/>
    <w:rsid w:val="00D5400D"/>
    <w:rsid w:val="00D549A2"/>
    <w:rsid w:val="00D55016"/>
    <w:rsid w:val="00D55737"/>
    <w:rsid w:val="00D558B1"/>
    <w:rsid w:val="00D55A1B"/>
    <w:rsid w:val="00D55F0A"/>
    <w:rsid w:val="00D56055"/>
    <w:rsid w:val="00D56177"/>
    <w:rsid w:val="00D563D5"/>
    <w:rsid w:val="00D5673E"/>
    <w:rsid w:val="00D56B32"/>
    <w:rsid w:val="00D5745C"/>
    <w:rsid w:val="00D57466"/>
    <w:rsid w:val="00D576FB"/>
    <w:rsid w:val="00D578EC"/>
    <w:rsid w:val="00D60052"/>
    <w:rsid w:val="00D60261"/>
    <w:rsid w:val="00D6038E"/>
    <w:rsid w:val="00D605D4"/>
    <w:rsid w:val="00D60DA1"/>
    <w:rsid w:val="00D610C1"/>
    <w:rsid w:val="00D6149D"/>
    <w:rsid w:val="00D61D28"/>
    <w:rsid w:val="00D620C4"/>
    <w:rsid w:val="00D622BD"/>
    <w:rsid w:val="00D625E7"/>
    <w:rsid w:val="00D627F7"/>
    <w:rsid w:val="00D62B05"/>
    <w:rsid w:val="00D62D8A"/>
    <w:rsid w:val="00D62FA1"/>
    <w:rsid w:val="00D6304D"/>
    <w:rsid w:val="00D63380"/>
    <w:rsid w:val="00D633AF"/>
    <w:rsid w:val="00D6360C"/>
    <w:rsid w:val="00D638FC"/>
    <w:rsid w:val="00D63978"/>
    <w:rsid w:val="00D63CA0"/>
    <w:rsid w:val="00D63CE4"/>
    <w:rsid w:val="00D63F75"/>
    <w:rsid w:val="00D640E6"/>
    <w:rsid w:val="00D64961"/>
    <w:rsid w:val="00D6510E"/>
    <w:rsid w:val="00D65371"/>
    <w:rsid w:val="00D6586C"/>
    <w:rsid w:val="00D6598B"/>
    <w:rsid w:val="00D659A4"/>
    <w:rsid w:val="00D66145"/>
    <w:rsid w:val="00D66A8A"/>
    <w:rsid w:val="00D66C1C"/>
    <w:rsid w:val="00D66F0E"/>
    <w:rsid w:val="00D67889"/>
    <w:rsid w:val="00D701B9"/>
    <w:rsid w:val="00D70333"/>
    <w:rsid w:val="00D70460"/>
    <w:rsid w:val="00D7104B"/>
    <w:rsid w:val="00D71280"/>
    <w:rsid w:val="00D71617"/>
    <w:rsid w:val="00D71EB0"/>
    <w:rsid w:val="00D722CF"/>
    <w:rsid w:val="00D72B52"/>
    <w:rsid w:val="00D72F11"/>
    <w:rsid w:val="00D7318B"/>
    <w:rsid w:val="00D73210"/>
    <w:rsid w:val="00D732C3"/>
    <w:rsid w:val="00D737DE"/>
    <w:rsid w:val="00D748E9"/>
    <w:rsid w:val="00D74BF2"/>
    <w:rsid w:val="00D75030"/>
    <w:rsid w:val="00D750A5"/>
    <w:rsid w:val="00D7511C"/>
    <w:rsid w:val="00D755E7"/>
    <w:rsid w:val="00D7587E"/>
    <w:rsid w:val="00D75D40"/>
    <w:rsid w:val="00D760C5"/>
    <w:rsid w:val="00D7695A"/>
    <w:rsid w:val="00D77649"/>
    <w:rsid w:val="00D7788C"/>
    <w:rsid w:val="00D779F9"/>
    <w:rsid w:val="00D77AF0"/>
    <w:rsid w:val="00D77DFF"/>
    <w:rsid w:val="00D80053"/>
    <w:rsid w:val="00D80337"/>
    <w:rsid w:val="00D80462"/>
    <w:rsid w:val="00D80670"/>
    <w:rsid w:val="00D807B7"/>
    <w:rsid w:val="00D8080B"/>
    <w:rsid w:val="00D80A4F"/>
    <w:rsid w:val="00D80BB3"/>
    <w:rsid w:val="00D80DD3"/>
    <w:rsid w:val="00D80E33"/>
    <w:rsid w:val="00D81386"/>
    <w:rsid w:val="00D81EC5"/>
    <w:rsid w:val="00D81F1F"/>
    <w:rsid w:val="00D8212C"/>
    <w:rsid w:val="00D824D5"/>
    <w:rsid w:val="00D827E2"/>
    <w:rsid w:val="00D82AB8"/>
    <w:rsid w:val="00D830A0"/>
    <w:rsid w:val="00D83912"/>
    <w:rsid w:val="00D84009"/>
    <w:rsid w:val="00D840BB"/>
    <w:rsid w:val="00D845A3"/>
    <w:rsid w:val="00D847F5"/>
    <w:rsid w:val="00D849DB"/>
    <w:rsid w:val="00D84B46"/>
    <w:rsid w:val="00D85210"/>
    <w:rsid w:val="00D86791"/>
    <w:rsid w:val="00D86A15"/>
    <w:rsid w:val="00D86B32"/>
    <w:rsid w:val="00D86CDD"/>
    <w:rsid w:val="00D86D62"/>
    <w:rsid w:val="00D86D91"/>
    <w:rsid w:val="00D873CC"/>
    <w:rsid w:val="00D8757F"/>
    <w:rsid w:val="00D876DD"/>
    <w:rsid w:val="00D87AA3"/>
    <w:rsid w:val="00D87ADC"/>
    <w:rsid w:val="00D87BEC"/>
    <w:rsid w:val="00D87E58"/>
    <w:rsid w:val="00D9006C"/>
    <w:rsid w:val="00D9024E"/>
    <w:rsid w:val="00D903F4"/>
    <w:rsid w:val="00D90D80"/>
    <w:rsid w:val="00D910D6"/>
    <w:rsid w:val="00D91386"/>
    <w:rsid w:val="00D922E7"/>
    <w:rsid w:val="00D9255F"/>
    <w:rsid w:val="00D92609"/>
    <w:rsid w:val="00D9266C"/>
    <w:rsid w:val="00D92E4A"/>
    <w:rsid w:val="00D93267"/>
    <w:rsid w:val="00D94257"/>
    <w:rsid w:val="00D94DF7"/>
    <w:rsid w:val="00D9560C"/>
    <w:rsid w:val="00D95A82"/>
    <w:rsid w:val="00D9625F"/>
    <w:rsid w:val="00D963B5"/>
    <w:rsid w:val="00D96488"/>
    <w:rsid w:val="00D967C8"/>
    <w:rsid w:val="00D968CA"/>
    <w:rsid w:val="00D96B03"/>
    <w:rsid w:val="00D96D60"/>
    <w:rsid w:val="00D96DAA"/>
    <w:rsid w:val="00D9756E"/>
    <w:rsid w:val="00D976C2"/>
    <w:rsid w:val="00D97A49"/>
    <w:rsid w:val="00D97CDE"/>
    <w:rsid w:val="00D97DAB"/>
    <w:rsid w:val="00D97ED6"/>
    <w:rsid w:val="00DA0163"/>
    <w:rsid w:val="00DA098A"/>
    <w:rsid w:val="00DA0C94"/>
    <w:rsid w:val="00DA0F0A"/>
    <w:rsid w:val="00DA1332"/>
    <w:rsid w:val="00DA13A0"/>
    <w:rsid w:val="00DA17D0"/>
    <w:rsid w:val="00DA1984"/>
    <w:rsid w:val="00DA1C9F"/>
    <w:rsid w:val="00DA1D64"/>
    <w:rsid w:val="00DA1DFB"/>
    <w:rsid w:val="00DA2028"/>
    <w:rsid w:val="00DA2185"/>
    <w:rsid w:val="00DA2297"/>
    <w:rsid w:val="00DA231C"/>
    <w:rsid w:val="00DA235A"/>
    <w:rsid w:val="00DA2395"/>
    <w:rsid w:val="00DA2920"/>
    <w:rsid w:val="00DA2973"/>
    <w:rsid w:val="00DA30B7"/>
    <w:rsid w:val="00DA37FE"/>
    <w:rsid w:val="00DA395C"/>
    <w:rsid w:val="00DA3A22"/>
    <w:rsid w:val="00DA3AF4"/>
    <w:rsid w:val="00DA422C"/>
    <w:rsid w:val="00DA46B2"/>
    <w:rsid w:val="00DA4706"/>
    <w:rsid w:val="00DA4A0E"/>
    <w:rsid w:val="00DA4DD5"/>
    <w:rsid w:val="00DA5B86"/>
    <w:rsid w:val="00DA5EBB"/>
    <w:rsid w:val="00DA6372"/>
    <w:rsid w:val="00DA65B4"/>
    <w:rsid w:val="00DA6D29"/>
    <w:rsid w:val="00DA7003"/>
    <w:rsid w:val="00DA71CF"/>
    <w:rsid w:val="00DA7390"/>
    <w:rsid w:val="00DA7974"/>
    <w:rsid w:val="00DA79C0"/>
    <w:rsid w:val="00DA7F78"/>
    <w:rsid w:val="00DA7FBB"/>
    <w:rsid w:val="00DA7FEA"/>
    <w:rsid w:val="00DB013B"/>
    <w:rsid w:val="00DB039E"/>
    <w:rsid w:val="00DB03D5"/>
    <w:rsid w:val="00DB0904"/>
    <w:rsid w:val="00DB1851"/>
    <w:rsid w:val="00DB1C06"/>
    <w:rsid w:val="00DB1CD2"/>
    <w:rsid w:val="00DB1D28"/>
    <w:rsid w:val="00DB1FD6"/>
    <w:rsid w:val="00DB2990"/>
    <w:rsid w:val="00DB311E"/>
    <w:rsid w:val="00DB33FD"/>
    <w:rsid w:val="00DB3427"/>
    <w:rsid w:val="00DB36C3"/>
    <w:rsid w:val="00DB3C34"/>
    <w:rsid w:val="00DB3D43"/>
    <w:rsid w:val="00DB3FA3"/>
    <w:rsid w:val="00DB41C2"/>
    <w:rsid w:val="00DB45C2"/>
    <w:rsid w:val="00DB4676"/>
    <w:rsid w:val="00DB4E53"/>
    <w:rsid w:val="00DB5937"/>
    <w:rsid w:val="00DB5B68"/>
    <w:rsid w:val="00DB5E66"/>
    <w:rsid w:val="00DB5EDB"/>
    <w:rsid w:val="00DB61C3"/>
    <w:rsid w:val="00DB691D"/>
    <w:rsid w:val="00DB6A90"/>
    <w:rsid w:val="00DB6C82"/>
    <w:rsid w:val="00DB6CB7"/>
    <w:rsid w:val="00DB7A41"/>
    <w:rsid w:val="00DB7CC3"/>
    <w:rsid w:val="00DB7D2E"/>
    <w:rsid w:val="00DB7E00"/>
    <w:rsid w:val="00DB7E70"/>
    <w:rsid w:val="00DC0252"/>
    <w:rsid w:val="00DC0913"/>
    <w:rsid w:val="00DC0B96"/>
    <w:rsid w:val="00DC1044"/>
    <w:rsid w:val="00DC146A"/>
    <w:rsid w:val="00DC14BE"/>
    <w:rsid w:val="00DC15D0"/>
    <w:rsid w:val="00DC180D"/>
    <w:rsid w:val="00DC180F"/>
    <w:rsid w:val="00DC1B38"/>
    <w:rsid w:val="00DC1B5C"/>
    <w:rsid w:val="00DC1C83"/>
    <w:rsid w:val="00DC1EDE"/>
    <w:rsid w:val="00DC1FAB"/>
    <w:rsid w:val="00DC1FD0"/>
    <w:rsid w:val="00DC208E"/>
    <w:rsid w:val="00DC2104"/>
    <w:rsid w:val="00DC21E0"/>
    <w:rsid w:val="00DC220E"/>
    <w:rsid w:val="00DC2489"/>
    <w:rsid w:val="00DC268A"/>
    <w:rsid w:val="00DC2889"/>
    <w:rsid w:val="00DC296A"/>
    <w:rsid w:val="00DC29D6"/>
    <w:rsid w:val="00DC2B64"/>
    <w:rsid w:val="00DC2BEA"/>
    <w:rsid w:val="00DC2D77"/>
    <w:rsid w:val="00DC33BF"/>
    <w:rsid w:val="00DC3873"/>
    <w:rsid w:val="00DC38D1"/>
    <w:rsid w:val="00DC393F"/>
    <w:rsid w:val="00DC3969"/>
    <w:rsid w:val="00DC3A76"/>
    <w:rsid w:val="00DC3AEA"/>
    <w:rsid w:val="00DC3B40"/>
    <w:rsid w:val="00DC3B8C"/>
    <w:rsid w:val="00DC499D"/>
    <w:rsid w:val="00DC4A9E"/>
    <w:rsid w:val="00DC50B5"/>
    <w:rsid w:val="00DC5135"/>
    <w:rsid w:val="00DC560D"/>
    <w:rsid w:val="00DC5951"/>
    <w:rsid w:val="00DC5953"/>
    <w:rsid w:val="00DC59C8"/>
    <w:rsid w:val="00DC5DC5"/>
    <w:rsid w:val="00DC5EEA"/>
    <w:rsid w:val="00DC7B78"/>
    <w:rsid w:val="00DD0382"/>
    <w:rsid w:val="00DD0E3B"/>
    <w:rsid w:val="00DD1020"/>
    <w:rsid w:val="00DD1EB5"/>
    <w:rsid w:val="00DD2373"/>
    <w:rsid w:val="00DD24C7"/>
    <w:rsid w:val="00DD2B86"/>
    <w:rsid w:val="00DD2E62"/>
    <w:rsid w:val="00DD2EB6"/>
    <w:rsid w:val="00DD385E"/>
    <w:rsid w:val="00DD3F4A"/>
    <w:rsid w:val="00DD40C1"/>
    <w:rsid w:val="00DD42E4"/>
    <w:rsid w:val="00DD4899"/>
    <w:rsid w:val="00DD5552"/>
    <w:rsid w:val="00DD5679"/>
    <w:rsid w:val="00DD5DD3"/>
    <w:rsid w:val="00DD6030"/>
    <w:rsid w:val="00DD6199"/>
    <w:rsid w:val="00DD6234"/>
    <w:rsid w:val="00DD62E5"/>
    <w:rsid w:val="00DD64F3"/>
    <w:rsid w:val="00DD6C04"/>
    <w:rsid w:val="00DD6F77"/>
    <w:rsid w:val="00DD70E9"/>
    <w:rsid w:val="00DD7545"/>
    <w:rsid w:val="00DD75BC"/>
    <w:rsid w:val="00DD770D"/>
    <w:rsid w:val="00DD7936"/>
    <w:rsid w:val="00DD7E11"/>
    <w:rsid w:val="00DE08EE"/>
    <w:rsid w:val="00DE0C6A"/>
    <w:rsid w:val="00DE1855"/>
    <w:rsid w:val="00DE1EAB"/>
    <w:rsid w:val="00DE1F2F"/>
    <w:rsid w:val="00DE2061"/>
    <w:rsid w:val="00DE26EE"/>
    <w:rsid w:val="00DE27FA"/>
    <w:rsid w:val="00DE2A82"/>
    <w:rsid w:val="00DE2B6D"/>
    <w:rsid w:val="00DE2E7D"/>
    <w:rsid w:val="00DE3406"/>
    <w:rsid w:val="00DE37E1"/>
    <w:rsid w:val="00DE3814"/>
    <w:rsid w:val="00DE391D"/>
    <w:rsid w:val="00DE39A1"/>
    <w:rsid w:val="00DE3C60"/>
    <w:rsid w:val="00DE3EED"/>
    <w:rsid w:val="00DE4593"/>
    <w:rsid w:val="00DE4A83"/>
    <w:rsid w:val="00DE4AD5"/>
    <w:rsid w:val="00DE5580"/>
    <w:rsid w:val="00DE5B20"/>
    <w:rsid w:val="00DE5DB5"/>
    <w:rsid w:val="00DE5FF3"/>
    <w:rsid w:val="00DE60E5"/>
    <w:rsid w:val="00DE634F"/>
    <w:rsid w:val="00DE664D"/>
    <w:rsid w:val="00DE6A7B"/>
    <w:rsid w:val="00DE6B0F"/>
    <w:rsid w:val="00DE6C09"/>
    <w:rsid w:val="00DE709A"/>
    <w:rsid w:val="00DE7116"/>
    <w:rsid w:val="00DE75F5"/>
    <w:rsid w:val="00DE76B5"/>
    <w:rsid w:val="00DE7E07"/>
    <w:rsid w:val="00DF004F"/>
    <w:rsid w:val="00DF052F"/>
    <w:rsid w:val="00DF06CB"/>
    <w:rsid w:val="00DF07BA"/>
    <w:rsid w:val="00DF08F2"/>
    <w:rsid w:val="00DF0F35"/>
    <w:rsid w:val="00DF0FF5"/>
    <w:rsid w:val="00DF11FA"/>
    <w:rsid w:val="00DF124D"/>
    <w:rsid w:val="00DF1331"/>
    <w:rsid w:val="00DF13F5"/>
    <w:rsid w:val="00DF194D"/>
    <w:rsid w:val="00DF1B3E"/>
    <w:rsid w:val="00DF1D2E"/>
    <w:rsid w:val="00DF1F77"/>
    <w:rsid w:val="00DF24E3"/>
    <w:rsid w:val="00DF2B33"/>
    <w:rsid w:val="00DF493E"/>
    <w:rsid w:val="00DF49B5"/>
    <w:rsid w:val="00DF49FA"/>
    <w:rsid w:val="00DF4FC6"/>
    <w:rsid w:val="00DF4FCB"/>
    <w:rsid w:val="00DF5619"/>
    <w:rsid w:val="00DF5CAB"/>
    <w:rsid w:val="00DF5EDF"/>
    <w:rsid w:val="00DF615A"/>
    <w:rsid w:val="00DF679C"/>
    <w:rsid w:val="00DF6841"/>
    <w:rsid w:val="00DF7114"/>
    <w:rsid w:val="00DF7492"/>
    <w:rsid w:val="00DF75E6"/>
    <w:rsid w:val="00DF7806"/>
    <w:rsid w:val="00DF7D65"/>
    <w:rsid w:val="00DF7F98"/>
    <w:rsid w:val="00DF7FD1"/>
    <w:rsid w:val="00E0005B"/>
    <w:rsid w:val="00E00672"/>
    <w:rsid w:val="00E0077C"/>
    <w:rsid w:val="00E010D7"/>
    <w:rsid w:val="00E011DC"/>
    <w:rsid w:val="00E013E6"/>
    <w:rsid w:val="00E0165C"/>
    <w:rsid w:val="00E016CB"/>
    <w:rsid w:val="00E01775"/>
    <w:rsid w:val="00E01AC9"/>
    <w:rsid w:val="00E01B79"/>
    <w:rsid w:val="00E02412"/>
    <w:rsid w:val="00E024E6"/>
    <w:rsid w:val="00E0278D"/>
    <w:rsid w:val="00E02A70"/>
    <w:rsid w:val="00E02AC8"/>
    <w:rsid w:val="00E02BC4"/>
    <w:rsid w:val="00E02DC9"/>
    <w:rsid w:val="00E02F19"/>
    <w:rsid w:val="00E032C0"/>
    <w:rsid w:val="00E0380B"/>
    <w:rsid w:val="00E03AF9"/>
    <w:rsid w:val="00E03B96"/>
    <w:rsid w:val="00E045F6"/>
    <w:rsid w:val="00E04A2D"/>
    <w:rsid w:val="00E04B9A"/>
    <w:rsid w:val="00E04FB9"/>
    <w:rsid w:val="00E05408"/>
    <w:rsid w:val="00E055A1"/>
    <w:rsid w:val="00E05EA7"/>
    <w:rsid w:val="00E0691D"/>
    <w:rsid w:val="00E06C3E"/>
    <w:rsid w:val="00E07667"/>
    <w:rsid w:val="00E0773C"/>
    <w:rsid w:val="00E0798C"/>
    <w:rsid w:val="00E07B89"/>
    <w:rsid w:val="00E07FF0"/>
    <w:rsid w:val="00E1021B"/>
    <w:rsid w:val="00E10344"/>
    <w:rsid w:val="00E10ED5"/>
    <w:rsid w:val="00E112B8"/>
    <w:rsid w:val="00E11449"/>
    <w:rsid w:val="00E11642"/>
    <w:rsid w:val="00E11825"/>
    <w:rsid w:val="00E11BF1"/>
    <w:rsid w:val="00E11C50"/>
    <w:rsid w:val="00E11F29"/>
    <w:rsid w:val="00E11F2D"/>
    <w:rsid w:val="00E1210B"/>
    <w:rsid w:val="00E12139"/>
    <w:rsid w:val="00E122D6"/>
    <w:rsid w:val="00E12A55"/>
    <w:rsid w:val="00E12E22"/>
    <w:rsid w:val="00E12E28"/>
    <w:rsid w:val="00E12F0A"/>
    <w:rsid w:val="00E12F43"/>
    <w:rsid w:val="00E13357"/>
    <w:rsid w:val="00E13ED2"/>
    <w:rsid w:val="00E14132"/>
    <w:rsid w:val="00E14A2D"/>
    <w:rsid w:val="00E15278"/>
    <w:rsid w:val="00E15345"/>
    <w:rsid w:val="00E15770"/>
    <w:rsid w:val="00E1581C"/>
    <w:rsid w:val="00E15F47"/>
    <w:rsid w:val="00E16353"/>
    <w:rsid w:val="00E1693D"/>
    <w:rsid w:val="00E16A5A"/>
    <w:rsid w:val="00E16D36"/>
    <w:rsid w:val="00E16FE5"/>
    <w:rsid w:val="00E17D2A"/>
    <w:rsid w:val="00E203B7"/>
    <w:rsid w:val="00E20632"/>
    <w:rsid w:val="00E208BE"/>
    <w:rsid w:val="00E20BE5"/>
    <w:rsid w:val="00E20D5E"/>
    <w:rsid w:val="00E20F4E"/>
    <w:rsid w:val="00E2144F"/>
    <w:rsid w:val="00E2153E"/>
    <w:rsid w:val="00E215F1"/>
    <w:rsid w:val="00E2345B"/>
    <w:rsid w:val="00E2387C"/>
    <w:rsid w:val="00E238D0"/>
    <w:rsid w:val="00E24251"/>
    <w:rsid w:val="00E246E9"/>
    <w:rsid w:val="00E24A0F"/>
    <w:rsid w:val="00E24E9F"/>
    <w:rsid w:val="00E25E5A"/>
    <w:rsid w:val="00E261BF"/>
    <w:rsid w:val="00E2685B"/>
    <w:rsid w:val="00E26987"/>
    <w:rsid w:val="00E26B36"/>
    <w:rsid w:val="00E26DD6"/>
    <w:rsid w:val="00E26E2C"/>
    <w:rsid w:val="00E2707B"/>
    <w:rsid w:val="00E2749F"/>
    <w:rsid w:val="00E27601"/>
    <w:rsid w:val="00E27645"/>
    <w:rsid w:val="00E30031"/>
    <w:rsid w:val="00E304F8"/>
    <w:rsid w:val="00E30702"/>
    <w:rsid w:val="00E3078D"/>
    <w:rsid w:val="00E30D55"/>
    <w:rsid w:val="00E3173F"/>
    <w:rsid w:val="00E31C45"/>
    <w:rsid w:val="00E31ED9"/>
    <w:rsid w:val="00E322C8"/>
    <w:rsid w:val="00E325E4"/>
    <w:rsid w:val="00E32727"/>
    <w:rsid w:val="00E32E4C"/>
    <w:rsid w:val="00E3307E"/>
    <w:rsid w:val="00E335D0"/>
    <w:rsid w:val="00E33BB0"/>
    <w:rsid w:val="00E33F91"/>
    <w:rsid w:val="00E343B2"/>
    <w:rsid w:val="00E346DF"/>
    <w:rsid w:val="00E35012"/>
    <w:rsid w:val="00E351EA"/>
    <w:rsid w:val="00E35607"/>
    <w:rsid w:val="00E367E4"/>
    <w:rsid w:val="00E369CC"/>
    <w:rsid w:val="00E36C0B"/>
    <w:rsid w:val="00E36E4A"/>
    <w:rsid w:val="00E37A29"/>
    <w:rsid w:val="00E4018F"/>
    <w:rsid w:val="00E402D6"/>
    <w:rsid w:val="00E4080F"/>
    <w:rsid w:val="00E408BF"/>
    <w:rsid w:val="00E409D7"/>
    <w:rsid w:val="00E40BCB"/>
    <w:rsid w:val="00E40CAD"/>
    <w:rsid w:val="00E40D08"/>
    <w:rsid w:val="00E411E8"/>
    <w:rsid w:val="00E4138F"/>
    <w:rsid w:val="00E41893"/>
    <w:rsid w:val="00E418A4"/>
    <w:rsid w:val="00E41A61"/>
    <w:rsid w:val="00E41DB1"/>
    <w:rsid w:val="00E42018"/>
    <w:rsid w:val="00E42245"/>
    <w:rsid w:val="00E42CF2"/>
    <w:rsid w:val="00E43329"/>
    <w:rsid w:val="00E43391"/>
    <w:rsid w:val="00E4362C"/>
    <w:rsid w:val="00E438A6"/>
    <w:rsid w:val="00E43EF7"/>
    <w:rsid w:val="00E43FA9"/>
    <w:rsid w:val="00E44075"/>
    <w:rsid w:val="00E4437D"/>
    <w:rsid w:val="00E4446A"/>
    <w:rsid w:val="00E44579"/>
    <w:rsid w:val="00E451D7"/>
    <w:rsid w:val="00E452AC"/>
    <w:rsid w:val="00E4544B"/>
    <w:rsid w:val="00E457EB"/>
    <w:rsid w:val="00E4597D"/>
    <w:rsid w:val="00E45EBE"/>
    <w:rsid w:val="00E463A2"/>
    <w:rsid w:val="00E4650F"/>
    <w:rsid w:val="00E46555"/>
    <w:rsid w:val="00E46EC1"/>
    <w:rsid w:val="00E47325"/>
    <w:rsid w:val="00E4794F"/>
    <w:rsid w:val="00E47D3F"/>
    <w:rsid w:val="00E47DA3"/>
    <w:rsid w:val="00E47FA6"/>
    <w:rsid w:val="00E5062B"/>
    <w:rsid w:val="00E5066E"/>
    <w:rsid w:val="00E50CBB"/>
    <w:rsid w:val="00E50D53"/>
    <w:rsid w:val="00E51A36"/>
    <w:rsid w:val="00E51A61"/>
    <w:rsid w:val="00E51CC1"/>
    <w:rsid w:val="00E520D3"/>
    <w:rsid w:val="00E52385"/>
    <w:rsid w:val="00E529B5"/>
    <w:rsid w:val="00E52FC8"/>
    <w:rsid w:val="00E5378B"/>
    <w:rsid w:val="00E53CD7"/>
    <w:rsid w:val="00E541AD"/>
    <w:rsid w:val="00E54354"/>
    <w:rsid w:val="00E54BED"/>
    <w:rsid w:val="00E5522B"/>
    <w:rsid w:val="00E556F9"/>
    <w:rsid w:val="00E55844"/>
    <w:rsid w:val="00E55FD5"/>
    <w:rsid w:val="00E56330"/>
    <w:rsid w:val="00E563B1"/>
    <w:rsid w:val="00E56DC3"/>
    <w:rsid w:val="00E56EA4"/>
    <w:rsid w:val="00E570B0"/>
    <w:rsid w:val="00E571B1"/>
    <w:rsid w:val="00E5770B"/>
    <w:rsid w:val="00E57D2F"/>
    <w:rsid w:val="00E6023E"/>
    <w:rsid w:val="00E602E5"/>
    <w:rsid w:val="00E6036E"/>
    <w:rsid w:val="00E603AF"/>
    <w:rsid w:val="00E60991"/>
    <w:rsid w:val="00E60C38"/>
    <w:rsid w:val="00E60C4A"/>
    <w:rsid w:val="00E61336"/>
    <w:rsid w:val="00E61727"/>
    <w:rsid w:val="00E61F88"/>
    <w:rsid w:val="00E626B9"/>
    <w:rsid w:val="00E62730"/>
    <w:rsid w:val="00E6284F"/>
    <w:rsid w:val="00E62B8B"/>
    <w:rsid w:val="00E630B8"/>
    <w:rsid w:val="00E63396"/>
    <w:rsid w:val="00E6360A"/>
    <w:rsid w:val="00E636D4"/>
    <w:rsid w:val="00E637AB"/>
    <w:rsid w:val="00E63D29"/>
    <w:rsid w:val="00E64355"/>
    <w:rsid w:val="00E64400"/>
    <w:rsid w:val="00E64567"/>
    <w:rsid w:val="00E645EF"/>
    <w:rsid w:val="00E64615"/>
    <w:rsid w:val="00E6498A"/>
    <w:rsid w:val="00E64A18"/>
    <w:rsid w:val="00E64BB0"/>
    <w:rsid w:val="00E65438"/>
    <w:rsid w:val="00E65979"/>
    <w:rsid w:val="00E65A02"/>
    <w:rsid w:val="00E65B71"/>
    <w:rsid w:val="00E66176"/>
    <w:rsid w:val="00E66452"/>
    <w:rsid w:val="00E66ADA"/>
    <w:rsid w:val="00E674C1"/>
    <w:rsid w:val="00E6750B"/>
    <w:rsid w:val="00E679EF"/>
    <w:rsid w:val="00E7030D"/>
    <w:rsid w:val="00E70748"/>
    <w:rsid w:val="00E707FE"/>
    <w:rsid w:val="00E70E2D"/>
    <w:rsid w:val="00E70FF1"/>
    <w:rsid w:val="00E7125D"/>
    <w:rsid w:val="00E71723"/>
    <w:rsid w:val="00E71926"/>
    <w:rsid w:val="00E71AAB"/>
    <w:rsid w:val="00E71BB4"/>
    <w:rsid w:val="00E7221E"/>
    <w:rsid w:val="00E722BC"/>
    <w:rsid w:val="00E722C6"/>
    <w:rsid w:val="00E72A2C"/>
    <w:rsid w:val="00E72B09"/>
    <w:rsid w:val="00E72BC5"/>
    <w:rsid w:val="00E72DB8"/>
    <w:rsid w:val="00E7309D"/>
    <w:rsid w:val="00E734CB"/>
    <w:rsid w:val="00E735F2"/>
    <w:rsid w:val="00E73615"/>
    <w:rsid w:val="00E73841"/>
    <w:rsid w:val="00E73976"/>
    <w:rsid w:val="00E742CD"/>
    <w:rsid w:val="00E74FB6"/>
    <w:rsid w:val="00E75356"/>
    <w:rsid w:val="00E7537E"/>
    <w:rsid w:val="00E754BB"/>
    <w:rsid w:val="00E75896"/>
    <w:rsid w:val="00E75DAE"/>
    <w:rsid w:val="00E75F59"/>
    <w:rsid w:val="00E760DB"/>
    <w:rsid w:val="00E76429"/>
    <w:rsid w:val="00E766E3"/>
    <w:rsid w:val="00E76A87"/>
    <w:rsid w:val="00E76FCF"/>
    <w:rsid w:val="00E771F5"/>
    <w:rsid w:val="00E7793F"/>
    <w:rsid w:val="00E77E4B"/>
    <w:rsid w:val="00E80394"/>
    <w:rsid w:val="00E803FE"/>
    <w:rsid w:val="00E806C3"/>
    <w:rsid w:val="00E80C95"/>
    <w:rsid w:val="00E80CC0"/>
    <w:rsid w:val="00E81BB1"/>
    <w:rsid w:val="00E81C2E"/>
    <w:rsid w:val="00E81D02"/>
    <w:rsid w:val="00E82145"/>
    <w:rsid w:val="00E8273A"/>
    <w:rsid w:val="00E82A0E"/>
    <w:rsid w:val="00E82DBE"/>
    <w:rsid w:val="00E82EBA"/>
    <w:rsid w:val="00E82FCA"/>
    <w:rsid w:val="00E83232"/>
    <w:rsid w:val="00E833EC"/>
    <w:rsid w:val="00E8356B"/>
    <w:rsid w:val="00E83CF9"/>
    <w:rsid w:val="00E8417B"/>
    <w:rsid w:val="00E846B8"/>
    <w:rsid w:val="00E84D1C"/>
    <w:rsid w:val="00E84F38"/>
    <w:rsid w:val="00E852DD"/>
    <w:rsid w:val="00E8549B"/>
    <w:rsid w:val="00E859AB"/>
    <w:rsid w:val="00E85E42"/>
    <w:rsid w:val="00E8606E"/>
    <w:rsid w:val="00E86381"/>
    <w:rsid w:val="00E863CE"/>
    <w:rsid w:val="00E86515"/>
    <w:rsid w:val="00E87855"/>
    <w:rsid w:val="00E878EC"/>
    <w:rsid w:val="00E87C3E"/>
    <w:rsid w:val="00E87C51"/>
    <w:rsid w:val="00E87D08"/>
    <w:rsid w:val="00E87F1E"/>
    <w:rsid w:val="00E90436"/>
    <w:rsid w:val="00E908CF"/>
    <w:rsid w:val="00E90A69"/>
    <w:rsid w:val="00E911B0"/>
    <w:rsid w:val="00E91231"/>
    <w:rsid w:val="00E9138E"/>
    <w:rsid w:val="00E9159C"/>
    <w:rsid w:val="00E91649"/>
    <w:rsid w:val="00E91C5B"/>
    <w:rsid w:val="00E92ADF"/>
    <w:rsid w:val="00E933AC"/>
    <w:rsid w:val="00E9497A"/>
    <w:rsid w:val="00E949D3"/>
    <w:rsid w:val="00E94B22"/>
    <w:rsid w:val="00E94D6A"/>
    <w:rsid w:val="00E94DF0"/>
    <w:rsid w:val="00E95199"/>
    <w:rsid w:val="00E953A5"/>
    <w:rsid w:val="00E95466"/>
    <w:rsid w:val="00E957A2"/>
    <w:rsid w:val="00E9584C"/>
    <w:rsid w:val="00E958F1"/>
    <w:rsid w:val="00E959E8"/>
    <w:rsid w:val="00E96455"/>
    <w:rsid w:val="00E965BC"/>
    <w:rsid w:val="00E965ED"/>
    <w:rsid w:val="00E96634"/>
    <w:rsid w:val="00E96855"/>
    <w:rsid w:val="00E975A4"/>
    <w:rsid w:val="00EA0CC4"/>
    <w:rsid w:val="00EA13BF"/>
    <w:rsid w:val="00EA13FD"/>
    <w:rsid w:val="00EA1656"/>
    <w:rsid w:val="00EA1BBB"/>
    <w:rsid w:val="00EA2380"/>
    <w:rsid w:val="00EA2C30"/>
    <w:rsid w:val="00EA2CB7"/>
    <w:rsid w:val="00EA2CDE"/>
    <w:rsid w:val="00EA2DD9"/>
    <w:rsid w:val="00EA3435"/>
    <w:rsid w:val="00EA43FC"/>
    <w:rsid w:val="00EA4E49"/>
    <w:rsid w:val="00EA51C2"/>
    <w:rsid w:val="00EA5582"/>
    <w:rsid w:val="00EA5A2A"/>
    <w:rsid w:val="00EA60EC"/>
    <w:rsid w:val="00EA6374"/>
    <w:rsid w:val="00EA669D"/>
    <w:rsid w:val="00EA6C55"/>
    <w:rsid w:val="00EA7446"/>
    <w:rsid w:val="00EB0679"/>
    <w:rsid w:val="00EB06B1"/>
    <w:rsid w:val="00EB06DD"/>
    <w:rsid w:val="00EB0959"/>
    <w:rsid w:val="00EB0B01"/>
    <w:rsid w:val="00EB0CE3"/>
    <w:rsid w:val="00EB15BE"/>
    <w:rsid w:val="00EB15E4"/>
    <w:rsid w:val="00EB1947"/>
    <w:rsid w:val="00EB1964"/>
    <w:rsid w:val="00EB1DD4"/>
    <w:rsid w:val="00EB2719"/>
    <w:rsid w:val="00EB2801"/>
    <w:rsid w:val="00EB312F"/>
    <w:rsid w:val="00EB33B1"/>
    <w:rsid w:val="00EB35D8"/>
    <w:rsid w:val="00EB367F"/>
    <w:rsid w:val="00EB3716"/>
    <w:rsid w:val="00EB378C"/>
    <w:rsid w:val="00EB3B93"/>
    <w:rsid w:val="00EB3C93"/>
    <w:rsid w:val="00EB3E6F"/>
    <w:rsid w:val="00EB3EF4"/>
    <w:rsid w:val="00EB4056"/>
    <w:rsid w:val="00EB43BA"/>
    <w:rsid w:val="00EB4894"/>
    <w:rsid w:val="00EB4FF7"/>
    <w:rsid w:val="00EB503F"/>
    <w:rsid w:val="00EB50FD"/>
    <w:rsid w:val="00EB575F"/>
    <w:rsid w:val="00EB59A8"/>
    <w:rsid w:val="00EB5AA6"/>
    <w:rsid w:val="00EB693F"/>
    <w:rsid w:val="00EB695C"/>
    <w:rsid w:val="00EB6C89"/>
    <w:rsid w:val="00EB6FA6"/>
    <w:rsid w:val="00EB7233"/>
    <w:rsid w:val="00EB7250"/>
    <w:rsid w:val="00EB7436"/>
    <w:rsid w:val="00EB7D3A"/>
    <w:rsid w:val="00EC005A"/>
    <w:rsid w:val="00EC0167"/>
    <w:rsid w:val="00EC0666"/>
    <w:rsid w:val="00EC0B95"/>
    <w:rsid w:val="00EC0CF2"/>
    <w:rsid w:val="00EC12D6"/>
    <w:rsid w:val="00EC20C9"/>
    <w:rsid w:val="00EC2166"/>
    <w:rsid w:val="00EC272E"/>
    <w:rsid w:val="00EC273E"/>
    <w:rsid w:val="00EC475D"/>
    <w:rsid w:val="00EC4876"/>
    <w:rsid w:val="00EC4ED4"/>
    <w:rsid w:val="00EC5042"/>
    <w:rsid w:val="00EC50B7"/>
    <w:rsid w:val="00EC5607"/>
    <w:rsid w:val="00EC5899"/>
    <w:rsid w:val="00EC59A2"/>
    <w:rsid w:val="00EC60A2"/>
    <w:rsid w:val="00EC633F"/>
    <w:rsid w:val="00EC6D09"/>
    <w:rsid w:val="00EC70D3"/>
    <w:rsid w:val="00EC739D"/>
    <w:rsid w:val="00EC79AA"/>
    <w:rsid w:val="00EC7DD8"/>
    <w:rsid w:val="00EC7F35"/>
    <w:rsid w:val="00EC7FA3"/>
    <w:rsid w:val="00ED017D"/>
    <w:rsid w:val="00ED02AB"/>
    <w:rsid w:val="00ED02E6"/>
    <w:rsid w:val="00ED0328"/>
    <w:rsid w:val="00ED04FB"/>
    <w:rsid w:val="00ED0516"/>
    <w:rsid w:val="00ED0619"/>
    <w:rsid w:val="00ED163A"/>
    <w:rsid w:val="00ED17E7"/>
    <w:rsid w:val="00ED1893"/>
    <w:rsid w:val="00ED1D71"/>
    <w:rsid w:val="00ED2544"/>
    <w:rsid w:val="00ED2B7E"/>
    <w:rsid w:val="00ED36E6"/>
    <w:rsid w:val="00ED3705"/>
    <w:rsid w:val="00ED3B86"/>
    <w:rsid w:val="00ED417C"/>
    <w:rsid w:val="00ED4351"/>
    <w:rsid w:val="00ED47D4"/>
    <w:rsid w:val="00ED4955"/>
    <w:rsid w:val="00ED4971"/>
    <w:rsid w:val="00ED4AD7"/>
    <w:rsid w:val="00ED4C35"/>
    <w:rsid w:val="00ED5075"/>
    <w:rsid w:val="00ED5115"/>
    <w:rsid w:val="00ED5560"/>
    <w:rsid w:val="00ED56CC"/>
    <w:rsid w:val="00ED585E"/>
    <w:rsid w:val="00ED5E81"/>
    <w:rsid w:val="00ED6083"/>
    <w:rsid w:val="00ED613D"/>
    <w:rsid w:val="00ED6C45"/>
    <w:rsid w:val="00ED6EE6"/>
    <w:rsid w:val="00ED719F"/>
    <w:rsid w:val="00ED7245"/>
    <w:rsid w:val="00ED726E"/>
    <w:rsid w:val="00ED77DC"/>
    <w:rsid w:val="00ED7BB2"/>
    <w:rsid w:val="00ED7E8C"/>
    <w:rsid w:val="00EE0871"/>
    <w:rsid w:val="00EE0D6E"/>
    <w:rsid w:val="00EE0E5A"/>
    <w:rsid w:val="00EE1058"/>
    <w:rsid w:val="00EE1251"/>
    <w:rsid w:val="00EE130E"/>
    <w:rsid w:val="00EE148B"/>
    <w:rsid w:val="00EE16D8"/>
    <w:rsid w:val="00EE17BB"/>
    <w:rsid w:val="00EE19E7"/>
    <w:rsid w:val="00EE1B54"/>
    <w:rsid w:val="00EE1E16"/>
    <w:rsid w:val="00EE2153"/>
    <w:rsid w:val="00EE23B4"/>
    <w:rsid w:val="00EE2930"/>
    <w:rsid w:val="00EE3150"/>
    <w:rsid w:val="00EE3248"/>
    <w:rsid w:val="00EE3FDA"/>
    <w:rsid w:val="00EE4165"/>
    <w:rsid w:val="00EE44B0"/>
    <w:rsid w:val="00EE4BF8"/>
    <w:rsid w:val="00EE4D62"/>
    <w:rsid w:val="00EE5081"/>
    <w:rsid w:val="00EE5325"/>
    <w:rsid w:val="00EE539B"/>
    <w:rsid w:val="00EE5582"/>
    <w:rsid w:val="00EE564E"/>
    <w:rsid w:val="00EE5771"/>
    <w:rsid w:val="00EE5A01"/>
    <w:rsid w:val="00EE5C21"/>
    <w:rsid w:val="00EE602C"/>
    <w:rsid w:val="00EE60A5"/>
    <w:rsid w:val="00EE62E3"/>
    <w:rsid w:val="00EE6483"/>
    <w:rsid w:val="00EE687D"/>
    <w:rsid w:val="00EE6A95"/>
    <w:rsid w:val="00EE6C36"/>
    <w:rsid w:val="00EE6C44"/>
    <w:rsid w:val="00EE7646"/>
    <w:rsid w:val="00EE7AC0"/>
    <w:rsid w:val="00EE7DF4"/>
    <w:rsid w:val="00EF0218"/>
    <w:rsid w:val="00EF03DA"/>
    <w:rsid w:val="00EF0C96"/>
    <w:rsid w:val="00EF0D7F"/>
    <w:rsid w:val="00EF1AEC"/>
    <w:rsid w:val="00EF1B43"/>
    <w:rsid w:val="00EF1BB0"/>
    <w:rsid w:val="00EF1C74"/>
    <w:rsid w:val="00EF29F1"/>
    <w:rsid w:val="00EF2A1B"/>
    <w:rsid w:val="00EF2B0C"/>
    <w:rsid w:val="00EF2D67"/>
    <w:rsid w:val="00EF307C"/>
    <w:rsid w:val="00EF312E"/>
    <w:rsid w:val="00EF33CE"/>
    <w:rsid w:val="00EF3511"/>
    <w:rsid w:val="00EF35D4"/>
    <w:rsid w:val="00EF36DF"/>
    <w:rsid w:val="00EF38BF"/>
    <w:rsid w:val="00EF39A3"/>
    <w:rsid w:val="00EF3F7B"/>
    <w:rsid w:val="00EF4515"/>
    <w:rsid w:val="00EF4594"/>
    <w:rsid w:val="00EF4690"/>
    <w:rsid w:val="00EF476C"/>
    <w:rsid w:val="00EF4921"/>
    <w:rsid w:val="00EF4A7B"/>
    <w:rsid w:val="00EF4B8D"/>
    <w:rsid w:val="00EF4D37"/>
    <w:rsid w:val="00EF5501"/>
    <w:rsid w:val="00EF56FD"/>
    <w:rsid w:val="00EF5AEE"/>
    <w:rsid w:val="00EF5C07"/>
    <w:rsid w:val="00EF5EC7"/>
    <w:rsid w:val="00EF61DB"/>
    <w:rsid w:val="00EF695C"/>
    <w:rsid w:val="00EF6D9D"/>
    <w:rsid w:val="00EF732C"/>
    <w:rsid w:val="00EF7677"/>
    <w:rsid w:val="00EF7DCB"/>
    <w:rsid w:val="00EF7F83"/>
    <w:rsid w:val="00F0014F"/>
    <w:rsid w:val="00F0016F"/>
    <w:rsid w:val="00F006A7"/>
    <w:rsid w:val="00F006E4"/>
    <w:rsid w:val="00F00776"/>
    <w:rsid w:val="00F00B43"/>
    <w:rsid w:val="00F00C1D"/>
    <w:rsid w:val="00F00D0D"/>
    <w:rsid w:val="00F00EC4"/>
    <w:rsid w:val="00F00F38"/>
    <w:rsid w:val="00F00FBC"/>
    <w:rsid w:val="00F0132F"/>
    <w:rsid w:val="00F01512"/>
    <w:rsid w:val="00F01771"/>
    <w:rsid w:val="00F01A6C"/>
    <w:rsid w:val="00F01CD3"/>
    <w:rsid w:val="00F01EB6"/>
    <w:rsid w:val="00F0232F"/>
    <w:rsid w:val="00F023C6"/>
    <w:rsid w:val="00F02F7E"/>
    <w:rsid w:val="00F0318D"/>
    <w:rsid w:val="00F0321E"/>
    <w:rsid w:val="00F0361C"/>
    <w:rsid w:val="00F03A7B"/>
    <w:rsid w:val="00F03B86"/>
    <w:rsid w:val="00F03C1E"/>
    <w:rsid w:val="00F03D9C"/>
    <w:rsid w:val="00F03DD6"/>
    <w:rsid w:val="00F04214"/>
    <w:rsid w:val="00F043EF"/>
    <w:rsid w:val="00F05678"/>
    <w:rsid w:val="00F0567D"/>
    <w:rsid w:val="00F05BD3"/>
    <w:rsid w:val="00F06022"/>
    <w:rsid w:val="00F06190"/>
    <w:rsid w:val="00F062D7"/>
    <w:rsid w:val="00F06745"/>
    <w:rsid w:val="00F06B3F"/>
    <w:rsid w:val="00F06C4F"/>
    <w:rsid w:val="00F0719A"/>
    <w:rsid w:val="00F072AE"/>
    <w:rsid w:val="00F0730A"/>
    <w:rsid w:val="00F073EA"/>
    <w:rsid w:val="00F07896"/>
    <w:rsid w:val="00F07AC6"/>
    <w:rsid w:val="00F07BA8"/>
    <w:rsid w:val="00F101AC"/>
    <w:rsid w:val="00F1081A"/>
    <w:rsid w:val="00F10C55"/>
    <w:rsid w:val="00F110FA"/>
    <w:rsid w:val="00F11303"/>
    <w:rsid w:val="00F115EC"/>
    <w:rsid w:val="00F12691"/>
    <w:rsid w:val="00F13248"/>
    <w:rsid w:val="00F132A4"/>
    <w:rsid w:val="00F1347B"/>
    <w:rsid w:val="00F13564"/>
    <w:rsid w:val="00F136DD"/>
    <w:rsid w:val="00F13A19"/>
    <w:rsid w:val="00F13BB3"/>
    <w:rsid w:val="00F13D7E"/>
    <w:rsid w:val="00F14047"/>
    <w:rsid w:val="00F1490E"/>
    <w:rsid w:val="00F14AC9"/>
    <w:rsid w:val="00F152D6"/>
    <w:rsid w:val="00F1588B"/>
    <w:rsid w:val="00F159B9"/>
    <w:rsid w:val="00F15C7B"/>
    <w:rsid w:val="00F15EA4"/>
    <w:rsid w:val="00F1620C"/>
    <w:rsid w:val="00F17111"/>
    <w:rsid w:val="00F1754F"/>
    <w:rsid w:val="00F1755C"/>
    <w:rsid w:val="00F175FD"/>
    <w:rsid w:val="00F17781"/>
    <w:rsid w:val="00F178BE"/>
    <w:rsid w:val="00F17E1D"/>
    <w:rsid w:val="00F17EE0"/>
    <w:rsid w:val="00F17FF9"/>
    <w:rsid w:val="00F20462"/>
    <w:rsid w:val="00F2065D"/>
    <w:rsid w:val="00F21591"/>
    <w:rsid w:val="00F21B8C"/>
    <w:rsid w:val="00F21C72"/>
    <w:rsid w:val="00F21D0B"/>
    <w:rsid w:val="00F2210D"/>
    <w:rsid w:val="00F2216F"/>
    <w:rsid w:val="00F22578"/>
    <w:rsid w:val="00F23134"/>
    <w:rsid w:val="00F238D2"/>
    <w:rsid w:val="00F23AAB"/>
    <w:rsid w:val="00F2405E"/>
    <w:rsid w:val="00F2411C"/>
    <w:rsid w:val="00F24281"/>
    <w:rsid w:val="00F2443C"/>
    <w:rsid w:val="00F2450A"/>
    <w:rsid w:val="00F2465C"/>
    <w:rsid w:val="00F249D2"/>
    <w:rsid w:val="00F24C32"/>
    <w:rsid w:val="00F25109"/>
    <w:rsid w:val="00F25560"/>
    <w:rsid w:val="00F2581F"/>
    <w:rsid w:val="00F263D9"/>
    <w:rsid w:val="00F26475"/>
    <w:rsid w:val="00F26721"/>
    <w:rsid w:val="00F26865"/>
    <w:rsid w:val="00F26967"/>
    <w:rsid w:val="00F26D11"/>
    <w:rsid w:val="00F27156"/>
    <w:rsid w:val="00F2746A"/>
    <w:rsid w:val="00F2758F"/>
    <w:rsid w:val="00F279B8"/>
    <w:rsid w:val="00F27B13"/>
    <w:rsid w:val="00F3033A"/>
    <w:rsid w:val="00F3074E"/>
    <w:rsid w:val="00F30936"/>
    <w:rsid w:val="00F3115F"/>
    <w:rsid w:val="00F311BF"/>
    <w:rsid w:val="00F3175A"/>
    <w:rsid w:val="00F31CCE"/>
    <w:rsid w:val="00F31CD9"/>
    <w:rsid w:val="00F32149"/>
    <w:rsid w:val="00F3231E"/>
    <w:rsid w:val="00F32D6D"/>
    <w:rsid w:val="00F33681"/>
    <w:rsid w:val="00F3370B"/>
    <w:rsid w:val="00F33BD9"/>
    <w:rsid w:val="00F34707"/>
    <w:rsid w:val="00F34A91"/>
    <w:rsid w:val="00F34DCE"/>
    <w:rsid w:val="00F34F03"/>
    <w:rsid w:val="00F35039"/>
    <w:rsid w:val="00F35101"/>
    <w:rsid w:val="00F351DC"/>
    <w:rsid w:val="00F35BFD"/>
    <w:rsid w:val="00F35EBE"/>
    <w:rsid w:val="00F364A6"/>
    <w:rsid w:val="00F36EE2"/>
    <w:rsid w:val="00F3726A"/>
    <w:rsid w:val="00F37993"/>
    <w:rsid w:val="00F37DFB"/>
    <w:rsid w:val="00F404A2"/>
    <w:rsid w:val="00F40F05"/>
    <w:rsid w:val="00F41BA7"/>
    <w:rsid w:val="00F42613"/>
    <w:rsid w:val="00F427EB"/>
    <w:rsid w:val="00F42A7B"/>
    <w:rsid w:val="00F42B39"/>
    <w:rsid w:val="00F42C9B"/>
    <w:rsid w:val="00F43160"/>
    <w:rsid w:val="00F4323A"/>
    <w:rsid w:val="00F43817"/>
    <w:rsid w:val="00F43A48"/>
    <w:rsid w:val="00F43A75"/>
    <w:rsid w:val="00F43C2F"/>
    <w:rsid w:val="00F443C7"/>
    <w:rsid w:val="00F4444E"/>
    <w:rsid w:val="00F44657"/>
    <w:rsid w:val="00F44B7B"/>
    <w:rsid w:val="00F455F3"/>
    <w:rsid w:val="00F45CE7"/>
    <w:rsid w:val="00F45E2C"/>
    <w:rsid w:val="00F465B1"/>
    <w:rsid w:val="00F46756"/>
    <w:rsid w:val="00F46788"/>
    <w:rsid w:val="00F46A12"/>
    <w:rsid w:val="00F46A5E"/>
    <w:rsid w:val="00F46E18"/>
    <w:rsid w:val="00F47145"/>
    <w:rsid w:val="00F474C4"/>
    <w:rsid w:val="00F4755B"/>
    <w:rsid w:val="00F47572"/>
    <w:rsid w:val="00F477DE"/>
    <w:rsid w:val="00F47A07"/>
    <w:rsid w:val="00F47E33"/>
    <w:rsid w:val="00F502B4"/>
    <w:rsid w:val="00F50475"/>
    <w:rsid w:val="00F50A4F"/>
    <w:rsid w:val="00F51096"/>
    <w:rsid w:val="00F51413"/>
    <w:rsid w:val="00F515C9"/>
    <w:rsid w:val="00F51781"/>
    <w:rsid w:val="00F517B7"/>
    <w:rsid w:val="00F517FC"/>
    <w:rsid w:val="00F51994"/>
    <w:rsid w:val="00F51EE6"/>
    <w:rsid w:val="00F5247C"/>
    <w:rsid w:val="00F525CC"/>
    <w:rsid w:val="00F52858"/>
    <w:rsid w:val="00F52EC4"/>
    <w:rsid w:val="00F5331A"/>
    <w:rsid w:val="00F5354A"/>
    <w:rsid w:val="00F53720"/>
    <w:rsid w:val="00F53740"/>
    <w:rsid w:val="00F53817"/>
    <w:rsid w:val="00F538D8"/>
    <w:rsid w:val="00F53E5F"/>
    <w:rsid w:val="00F5406D"/>
    <w:rsid w:val="00F540C7"/>
    <w:rsid w:val="00F54129"/>
    <w:rsid w:val="00F5419A"/>
    <w:rsid w:val="00F545E0"/>
    <w:rsid w:val="00F545EE"/>
    <w:rsid w:val="00F546FD"/>
    <w:rsid w:val="00F54E1E"/>
    <w:rsid w:val="00F5501A"/>
    <w:rsid w:val="00F55251"/>
    <w:rsid w:val="00F553C5"/>
    <w:rsid w:val="00F5549C"/>
    <w:rsid w:val="00F55B06"/>
    <w:rsid w:val="00F55CAB"/>
    <w:rsid w:val="00F55DA0"/>
    <w:rsid w:val="00F55DF1"/>
    <w:rsid w:val="00F56007"/>
    <w:rsid w:val="00F564B1"/>
    <w:rsid w:val="00F56502"/>
    <w:rsid w:val="00F566AB"/>
    <w:rsid w:val="00F568AA"/>
    <w:rsid w:val="00F574D8"/>
    <w:rsid w:val="00F575E8"/>
    <w:rsid w:val="00F57956"/>
    <w:rsid w:val="00F57CEB"/>
    <w:rsid w:val="00F57E29"/>
    <w:rsid w:val="00F60330"/>
    <w:rsid w:val="00F6039C"/>
    <w:rsid w:val="00F609A0"/>
    <w:rsid w:val="00F60E04"/>
    <w:rsid w:val="00F61870"/>
    <w:rsid w:val="00F61893"/>
    <w:rsid w:val="00F61E8B"/>
    <w:rsid w:val="00F6288D"/>
    <w:rsid w:val="00F62E6F"/>
    <w:rsid w:val="00F630AF"/>
    <w:rsid w:val="00F632B5"/>
    <w:rsid w:val="00F633CD"/>
    <w:rsid w:val="00F63680"/>
    <w:rsid w:val="00F63A3C"/>
    <w:rsid w:val="00F63D77"/>
    <w:rsid w:val="00F63F6B"/>
    <w:rsid w:val="00F63FDF"/>
    <w:rsid w:val="00F64096"/>
    <w:rsid w:val="00F64964"/>
    <w:rsid w:val="00F64AEE"/>
    <w:rsid w:val="00F64D2F"/>
    <w:rsid w:val="00F6509A"/>
    <w:rsid w:val="00F6608E"/>
    <w:rsid w:val="00F6620B"/>
    <w:rsid w:val="00F6625F"/>
    <w:rsid w:val="00F66631"/>
    <w:rsid w:val="00F66722"/>
    <w:rsid w:val="00F66B82"/>
    <w:rsid w:val="00F66C8A"/>
    <w:rsid w:val="00F676F9"/>
    <w:rsid w:val="00F6775D"/>
    <w:rsid w:val="00F677EA"/>
    <w:rsid w:val="00F679DE"/>
    <w:rsid w:val="00F67D52"/>
    <w:rsid w:val="00F67DD2"/>
    <w:rsid w:val="00F70308"/>
    <w:rsid w:val="00F703BD"/>
    <w:rsid w:val="00F705EC"/>
    <w:rsid w:val="00F70602"/>
    <w:rsid w:val="00F70669"/>
    <w:rsid w:val="00F70F5B"/>
    <w:rsid w:val="00F7165F"/>
    <w:rsid w:val="00F71A12"/>
    <w:rsid w:val="00F71B1C"/>
    <w:rsid w:val="00F71B30"/>
    <w:rsid w:val="00F721F0"/>
    <w:rsid w:val="00F72482"/>
    <w:rsid w:val="00F72784"/>
    <w:rsid w:val="00F72977"/>
    <w:rsid w:val="00F73476"/>
    <w:rsid w:val="00F7348B"/>
    <w:rsid w:val="00F73E97"/>
    <w:rsid w:val="00F73FA8"/>
    <w:rsid w:val="00F740C0"/>
    <w:rsid w:val="00F74539"/>
    <w:rsid w:val="00F74863"/>
    <w:rsid w:val="00F748AA"/>
    <w:rsid w:val="00F74E51"/>
    <w:rsid w:val="00F74F33"/>
    <w:rsid w:val="00F76162"/>
    <w:rsid w:val="00F761D4"/>
    <w:rsid w:val="00F764D0"/>
    <w:rsid w:val="00F764E9"/>
    <w:rsid w:val="00F76590"/>
    <w:rsid w:val="00F7665B"/>
    <w:rsid w:val="00F7688B"/>
    <w:rsid w:val="00F76C10"/>
    <w:rsid w:val="00F77977"/>
    <w:rsid w:val="00F77A4A"/>
    <w:rsid w:val="00F77A59"/>
    <w:rsid w:val="00F77DB5"/>
    <w:rsid w:val="00F80764"/>
    <w:rsid w:val="00F807EB"/>
    <w:rsid w:val="00F808CE"/>
    <w:rsid w:val="00F80A72"/>
    <w:rsid w:val="00F810C3"/>
    <w:rsid w:val="00F81370"/>
    <w:rsid w:val="00F816C4"/>
    <w:rsid w:val="00F81A28"/>
    <w:rsid w:val="00F81E5A"/>
    <w:rsid w:val="00F81FDD"/>
    <w:rsid w:val="00F821E8"/>
    <w:rsid w:val="00F82A66"/>
    <w:rsid w:val="00F82DD4"/>
    <w:rsid w:val="00F838D2"/>
    <w:rsid w:val="00F83BCA"/>
    <w:rsid w:val="00F83BCC"/>
    <w:rsid w:val="00F84160"/>
    <w:rsid w:val="00F844F2"/>
    <w:rsid w:val="00F84799"/>
    <w:rsid w:val="00F84C50"/>
    <w:rsid w:val="00F85925"/>
    <w:rsid w:val="00F85B3C"/>
    <w:rsid w:val="00F85F3E"/>
    <w:rsid w:val="00F865DF"/>
    <w:rsid w:val="00F86F69"/>
    <w:rsid w:val="00F871F7"/>
    <w:rsid w:val="00F8758B"/>
    <w:rsid w:val="00F87700"/>
    <w:rsid w:val="00F87947"/>
    <w:rsid w:val="00F87F06"/>
    <w:rsid w:val="00F900C1"/>
    <w:rsid w:val="00F9096C"/>
    <w:rsid w:val="00F90AC7"/>
    <w:rsid w:val="00F90CEE"/>
    <w:rsid w:val="00F9153D"/>
    <w:rsid w:val="00F91ADB"/>
    <w:rsid w:val="00F92078"/>
    <w:rsid w:val="00F9219F"/>
    <w:rsid w:val="00F924AD"/>
    <w:rsid w:val="00F92BB5"/>
    <w:rsid w:val="00F92F39"/>
    <w:rsid w:val="00F93032"/>
    <w:rsid w:val="00F930BC"/>
    <w:rsid w:val="00F934ED"/>
    <w:rsid w:val="00F93A88"/>
    <w:rsid w:val="00F93D58"/>
    <w:rsid w:val="00F942DB"/>
    <w:rsid w:val="00F94560"/>
    <w:rsid w:val="00F946C9"/>
    <w:rsid w:val="00F94C1F"/>
    <w:rsid w:val="00F94FCA"/>
    <w:rsid w:val="00F9509C"/>
    <w:rsid w:val="00F95449"/>
    <w:rsid w:val="00F9562F"/>
    <w:rsid w:val="00F956D6"/>
    <w:rsid w:val="00F956F9"/>
    <w:rsid w:val="00F957B7"/>
    <w:rsid w:val="00F95A96"/>
    <w:rsid w:val="00F95B1C"/>
    <w:rsid w:val="00F960CD"/>
    <w:rsid w:val="00F96281"/>
    <w:rsid w:val="00F9680A"/>
    <w:rsid w:val="00F96869"/>
    <w:rsid w:val="00F9686B"/>
    <w:rsid w:val="00F96A38"/>
    <w:rsid w:val="00F96B17"/>
    <w:rsid w:val="00F96CBA"/>
    <w:rsid w:val="00F96E18"/>
    <w:rsid w:val="00F9701E"/>
    <w:rsid w:val="00F9751F"/>
    <w:rsid w:val="00F97943"/>
    <w:rsid w:val="00F97E6C"/>
    <w:rsid w:val="00FA0351"/>
    <w:rsid w:val="00FA0F6F"/>
    <w:rsid w:val="00FA1134"/>
    <w:rsid w:val="00FA16B9"/>
    <w:rsid w:val="00FA1726"/>
    <w:rsid w:val="00FA1980"/>
    <w:rsid w:val="00FA1D87"/>
    <w:rsid w:val="00FA284D"/>
    <w:rsid w:val="00FA296B"/>
    <w:rsid w:val="00FA2FFA"/>
    <w:rsid w:val="00FA3470"/>
    <w:rsid w:val="00FA3B3A"/>
    <w:rsid w:val="00FA42D5"/>
    <w:rsid w:val="00FA45E6"/>
    <w:rsid w:val="00FA4688"/>
    <w:rsid w:val="00FA48B7"/>
    <w:rsid w:val="00FA5060"/>
    <w:rsid w:val="00FA50F9"/>
    <w:rsid w:val="00FA5574"/>
    <w:rsid w:val="00FA5580"/>
    <w:rsid w:val="00FA558C"/>
    <w:rsid w:val="00FA5B47"/>
    <w:rsid w:val="00FA5C3E"/>
    <w:rsid w:val="00FA6138"/>
    <w:rsid w:val="00FA6649"/>
    <w:rsid w:val="00FA66B1"/>
    <w:rsid w:val="00FA6982"/>
    <w:rsid w:val="00FA6FDB"/>
    <w:rsid w:val="00FA7140"/>
    <w:rsid w:val="00FA7211"/>
    <w:rsid w:val="00FA72E3"/>
    <w:rsid w:val="00FA7CC5"/>
    <w:rsid w:val="00FA7D6D"/>
    <w:rsid w:val="00FA7E55"/>
    <w:rsid w:val="00FA7F80"/>
    <w:rsid w:val="00FB01A0"/>
    <w:rsid w:val="00FB08FC"/>
    <w:rsid w:val="00FB0D95"/>
    <w:rsid w:val="00FB1EAF"/>
    <w:rsid w:val="00FB23A3"/>
    <w:rsid w:val="00FB26F2"/>
    <w:rsid w:val="00FB270D"/>
    <w:rsid w:val="00FB2909"/>
    <w:rsid w:val="00FB2C62"/>
    <w:rsid w:val="00FB2F0D"/>
    <w:rsid w:val="00FB32B9"/>
    <w:rsid w:val="00FB38F2"/>
    <w:rsid w:val="00FB3B9A"/>
    <w:rsid w:val="00FB435C"/>
    <w:rsid w:val="00FB45F6"/>
    <w:rsid w:val="00FB4B19"/>
    <w:rsid w:val="00FB4CDD"/>
    <w:rsid w:val="00FB5287"/>
    <w:rsid w:val="00FB5789"/>
    <w:rsid w:val="00FB5B35"/>
    <w:rsid w:val="00FB62AA"/>
    <w:rsid w:val="00FB6858"/>
    <w:rsid w:val="00FB6928"/>
    <w:rsid w:val="00FB6AB1"/>
    <w:rsid w:val="00FB6EB9"/>
    <w:rsid w:val="00FB6ECD"/>
    <w:rsid w:val="00FB6F2E"/>
    <w:rsid w:val="00FB6F82"/>
    <w:rsid w:val="00FB7190"/>
    <w:rsid w:val="00FB731C"/>
    <w:rsid w:val="00FB76C8"/>
    <w:rsid w:val="00FB76E5"/>
    <w:rsid w:val="00FB7A17"/>
    <w:rsid w:val="00FC030F"/>
    <w:rsid w:val="00FC092D"/>
    <w:rsid w:val="00FC0D64"/>
    <w:rsid w:val="00FC137A"/>
    <w:rsid w:val="00FC158F"/>
    <w:rsid w:val="00FC1D68"/>
    <w:rsid w:val="00FC1E65"/>
    <w:rsid w:val="00FC2119"/>
    <w:rsid w:val="00FC37C5"/>
    <w:rsid w:val="00FC3893"/>
    <w:rsid w:val="00FC3BC2"/>
    <w:rsid w:val="00FC3D1F"/>
    <w:rsid w:val="00FC426A"/>
    <w:rsid w:val="00FC4326"/>
    <w:rsid w:val="00FC4B88"/>
    <w:rsid w:val="00FC4C25"/>
    <w:rsid w:val="00FC4F30"/>
    <w:rsid w:val="00FC5426"/>
    <w:rsid w:val="00FC5AD5"/>
    <w:rsid w:val="00FC5BF2"/>
    <w:rsid w:val="00FC5D55"/>
    <w:rsid w:val="00FC5E15"/>
    <w:rsid w:val="00FC5F7A"/>
    <w:rsid w:val="00FC6103"/>
    <w:rsid w:val="00FC6371"/>
    <w:rsid w:val="00FC657E"/>
    <w:rsid w:val="00FC6872"/>
    <w:rsid w:val="00FC6B31"/>
    <w:rsid w:val="00FC6C2F"/>
    <w:rsid w:val="00FC6C40"/>
    <w:rsid w:val="00FC6D65"/>
    <w:rsid w:val="00FC736F"/>
    <w:rsid w:val="00FC7D05"/>
    <w:rsid w:val="00FC7E74"/>
    <w:rsid w:val="00FD020F"/>
    <w:rsid w:val="00FD04E9"/>
    <w:rsid w:val="00FD09EE"/>
    <w:rsid w:val="00FD0BD2"/>
    <w:rsid w:val="00FD1304"/>
    <w:rsid w:val="00FD13FA"/>
    <w:rsid w:val="00FD1421"/>
    <w:rsid w:val="00FD19EA"/>
    <w:rsid w:val="00FD1FF2"/>
    <w:rsid w:val="00FD24E5"/>
    <w:rsid w:val="00FD2986"/>
    <w:rsid w:val="00FD31E6"/>
    <w:rsid w:val="00FD3590"/>
    <w:rsid w:val="00FD41D8"/>
    <w:rsid w:val="00FD437B"/>
    <w:rsid w:val="00FD446E"/>
    <w:rsid w:val="00FD4626"/>
    <w:rsid w:val="00FD4881"/>
    <w:rsid w:val="00FD5525"/>
    <w:rsid w:val="00FD5553"/>
    <w:rsid w:val="00FD56F5"/>
    <w:rsid w:val="00FD58D9"/>
    <w:rsid w:val="00FD5B0B"/>
    <w:rsid w:val="00FD5C08"/>
    <w:rsid w:val="00FD5CF6"/>
    <w:rsid w:val="00FD60F3"/>
    <w:rsid w:val="00FD6209"/>
    <w:rsid w:val="00FD6996"/>
    <w:rsid w:val="00FD7798"/>
    <w:rsid w:val="00FD7917"/>
    <w:rsid w:val="00FD7B33"/>
    <w:rsid w:val="00FD7CC4"/>
    <w:rsid w:val="00FD7EC9"/>
    <w:rsid w:val="00FE036D"/>
    <w:rsid w:val="00FE0B2E"/>
    <w:rsid w:val="00FE14EC"/>
    <w:rsid w:val="00FE1887"/>
    <w:rsid w:val="00FE1ECC"/>
    <w:rsid w:val="00FE2122"/>
    <w:rsid w:val="00FE23B6"/>
    <w:rsid w:val="00FE29AA"/>
    <w:rsid w:val="00FE2D10"/>
    <w:rsid w:val="00FE3067"/>
    <w:rsid w:val="00FE3957"/>
    <w:rsid w:val="00FE3A5A"/>
    <w:rsid w:val="00FE3EC2"/>
    <w:rsid w:val="00FE3F6B"/>
    <w:rsid w:val="00FE4003"/>
    <w:rsid w:val="00FE4E99"/>
    <w:rsid w:val="00FE519B"/>
    <w:rsid w:val="00FE53A1"/>
    <w:rsid w:val="00FE5673"/>
    <w:rsid w:val="00FE5866"/>
    <w:rsid w:val="00FE60CA"/>
    <w:rsid w:val="00FE60D6"/>
    <w:rsid w:val="00FE692B"/>
    <w:rsid w:val="00FE6AC5"/>
    <w:rsid w:val="00FE6D55"/>
    <w:rsid w:val="00FE6E8C"/>
    <w:rsid w:val="00FE6EA1"/>
    <w:rsid w:val="00FE6F14"/>
    <w:rsid w:val="00FE7437"/>
    <w:rsid w:val="00FE799B"/>
    <w:rsid w:val="00FE7EBD"/>
    <w:rsid w:val="00FF0623"/>
    <w:rsid w:val="00FF09D0"/>
    <w:rsid w:val="00FF0A58"/>
    <w:rsid w:val="00FF0A75"/>
    <w:rsid w:val="00FF0FBF"/>
    <w:rsid w:val="00FF115F"/>
    <w:rsid w:val="00FF1241"/>
    <w:rsid w:val="00FF14E7"/>
    <w:rsid w:val="00FF1892"/>
    <w:rsid w:val="00FF1915"/>
    <w:rsid w:val="00FF198C"/>
    <w:rsid w:val="00FF1A9B"/>
    <w:rsid w:val="00FF2C6E"/>
    <w:rsid w:val="00FF2E3D"/>
    <w:rsid w:val="00FF32FB"/>
    <w:rsid w:val="00FF3986"/>
    <w:rsid w:val="00FF3A27"/>
    <w:rsid w:val="00FF3AB2"/>
    <w:rsid w:val="00FF3CB7"/>
    <w:rsid w:val="00FF3F46"/>
    <w:rsid w:val="00FF409C"/>
    <w:rsid w:val="00FF43D5"/>
    <w:rsid w:val="00FF4FEE"/>
    <w:rsid w:val="00FF52F7"/>
    <w:rsid w:val="00FF5417"/>
    <w:rsid w:val="00FF5869"/>
    <w:rsid w:val="00FF5ADC"/>
    <w:rsid w:val="00FF5B3D"/>
    <w:rsid w:val="00FF5B3F"/>
    <w:rsid w:val="00FF5C6B"/>
    <w:rsid w:val="00FF5CAC"/>
    <w:rsid w:val="00FF5EEB"/>
    <w:rsid w:val="00FF6186"/>
    <w:rsid w:val="00FF65BC"/>
    <w:rsid w:val="00FF6A62"/>
    <w:rsid w:val="00FF6B1B"/>
    <w:rsid w:val="00FF703D"/>
    <w:rsid w:val="00FF711A"/>
    <w:rsid w:val="00FF7128"/>
    <w:rsid w:val="00FF7144"/>
    <w:rsid w:val="00FF7151"/>
    <w:rsid w:val="00FF71DE"/>
    <w:rsid w:val="00FF7592"/>
    <w:rsid w:val="00FF770B"/>
    <w:rsid w:val="00FF78EA"/>
    <w:rsid w:val="00FF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o:shapedefaults>
    <o:shapelayout v:ext="edit">
      <o:idmap v:ext="edit" data="2"/>
    </o:shapelayout>
  </w:shapeDefaults>
  <w:decimalSymbol w:val="."/>
  <w:listSeparator w:val=","/>
  <w14:docId w14:val="22307E4C"/>
  <w15:docId w15:val="{628A50C9-7A45-4E62-AF82-7C65F5F2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21E"/>
    <w:rPr>
      <w:rFonts w:ascii="Arial" w:hAnsi="Arial"/>
      <w:sz w:val="19"/>
      <w:szCs w:val="24"/>
    </w:rPr>
  </w:style>
  <w:style w:type="paragraph" w:styleId="Heading1">
    <w:name w:val="heading 1"/>
    <w:basedOn w:val="Normal"/>
    <w:next w:val="Normal"/>
    <w:link w:val="Heading1Char"/>
    <w:qFormat/>
    <w:rsid w:val="00F9686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9661D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6A5A"/>
    <w:pPr>
      <w:tabs>
        <w:tab w:val="center" w:pos="4153"/>
        <w:tab w:val="right" w:pos="8306"/>
      </w:tabs>
    </w:pPr>
  </w:style>
  <w:style w:type="paragraph" w:styleId="Footer">
    <w:name w:val="footer"/>
    <w:basedOn w:val="Normal"/>
    <w:rsid w:val="00E16A5A"/>
    <w:pPr>
      <w:tabs>
        <w:tab w:val="center" w:pos="4153"/>
        <w:tab w:val="right" w:pos="8306"/>
      </w:tabs>
    </w:pPr>
  </w:style>
  <w:style w:type="character" w:styleId="Hyperlink">
    <w:name w:val="Hyperlink"/>
    <w:rsid w:val="00C61CDA"/>
    <w:rPr>
      <w:rFonts w:ascii="Verdana" w:hAnsi="Verdana"/>
      <w:color w:val="000080"/>
      <w:sz w:val="18"/>
      <w:szCs w:val="18"/>
      <w:u w:val="single" w:color="000080"/>
    </w:rPr>
  </w:style>
  <w:style w:type="character" w:styleId="FollowedHyperlink">
    <w:name w:val="FollowedHyperlink"/>
    <w:rsid w:val="00C61CDA"/>
    <w:rPr>
      <w:rFonts w:ascii="Verdana" w:hAnsi="Verdana"/>
      <w:color w:val="800080"/>
      <w:sz w:val="18"/>
      <w:szCs w:val="18"/>
      <w:u w:val="single" w:color="800080"/>
    </w:rPr>
  </w:style>
  <w:style w:type="paragraph" w:styleId="BalloonText">
    <w:name w:val="Balloon Text"/>
    <w:basedOn w:val="Normal"/>
    <w:semiHidden/>
    <w:rsid w:val="00B53715"/>
    <w:rPr>
      <w:rFonts w:ascii="Tahoma" w:hAnsi="Tahoma" w:cs="Tahoma"/>
      <w:sz w:val="16"/>
      <w:szCs w:val="16"/>
    </w:rPr>
  </w:style>
  <w:style w:type="paragraph" w:customStyle="1" w:styleId="Default">
    <w:name w:val="Default"/>
    <w:rsid w:val="0076397D"/>
    <w:pPr>
      <w:autoSpaceDE w:val="0"/>
      <w:autoSpaceDN w:val="0"/>
      <w:adjustRightInd w:val="0"/>
    </w:pPr>
    <w:rPr>
      <w:rFonts w:ascii="Verdana" w:hAnsi="Verdana" w:cs="Verdana"/>
      <w:color w:val="000000"/>
      <w:sz w:val="24"/>
      <w:szCs w:val="24"/>
    </w:rPr>
  </w:style>
  <w:style w:type="character" w:styleId="CommentReference">
    <w:name w:val="annotation reference"/>
    <w:rsid w:val="00C273F9"/>
    <w:rPr>
      <w:sz w:val="16"/>
      <w:szCs w:val="16"/>
    </w:rPr>
  </w:style>
  <w:style w:type="paragraph" w:styleId="CommentText">
    <w:name w:val="annotation text"/>
    <w:basedOn w:val="Normal"/>
    <w:link w:val="CommentTextChar"/>
    <w:rsid w:val="00C273F9"/>
    <w:rPr>
      <w:sz w:val="20"/>
      <w:szCs w:val="20"/>
    </w:rPr>
  </w:style>
  <w:style w:type="character" w:customStyle="1" w:styleId="CommentTextChar">
    <w:name w:val="Comment Text Char"/>
    <w:basedOn w:val="DefaultParagraphFont"/>
    <w:link w:val="CommentText"/>
    <w:rsid w:val="00C273F9"/>
  </w:style>
  <w:style w:type="paragraph" w:styleId="CommentSubject">
    <w:name w:val="annotation subject"/>
    <w:basedOn w:val="CommentText"/>
    <w:next w:val="CommentText"/>
    <w:link w:val="CommentSubjectChar"/>
    <w:rsid w:val="00C273F9"/>
    <w:rPr>
      <w:b/>
      <w:bCs/>
    </w:rPr>
  </w:style>
  <w:style w:type="character" w:customStyle="1" w:styleId="CommentSubjectChar">
    <w:name w:val="Comment Subject Char"/>
    <w:link w:val="CommentSubject"/>
    <w:rsid w:val="00C273F9"/>
    <w:rPr>
      <w:b/>
      <w:bCs/>
    </w:rPr>
  </w:style>
  <w:style w:type="character" w:customStyle="1" w:styleId="Heading3Char">
    <w:name w:val="Heading 3 Char"/>
    <w:link w:val="Heading3"/>
    <w:semiHidden/>
    <w:rsid w:val="009661D0"/>
    <w:rPr>
      <w:rFonts w:ascii="Cambria" w:eastAsia="Times New Roman" w:hAnsi="Cambria" w:cs="Times New Roman"/>
      <w:b/>
      <w:bCs/>
      <w:sz w:val="26"/>
      <w:szCs w:val="26"/>
    </w:rPr>
  </w:style>
  <w:style w:type="character" w:customStyle="1" w:styleId="Heading1Char">
    <w:name w:val="Heading 1 Char"/>
    <w:link w:val="Heading1"/>
    <w:rsid w:val="00F96869"/>
    <w:rPr>
      <w:rFonts w:ascii="Cambria" w:eastAsia="Times New Roman" w:hAnsi="Cambria" w:cs="Times New Roman"/>
      <w:b/>
      <w:bCs/>
      <w:kern w:val="32"/>
      <w:sz w:val="32"/>
      <w:szCs w:val="32"/>
    </w:rPr>
  </w:style>
  <w:style w:type="paragraph" w:customStyle="1" w:styleId="Explanatorytext">
    <w:name w:val="Explanatory text"/>
    <w:basedOn w:val="Normal"/>
    <w:link w:val="ExplanatorytextChar"/>
    <w:qFormat/>
    <w:rsid w:val="00CD021E"/>
    <w:pPr>
      <w:tabs>
        <w:tab w:val="center" w:pos="3152"/>
      </w:tabs>
    </w:pPr>
    <w:rPr>
      <w:rFonts w:cs="Arial"/>
      <w:sz w:val="16"/>
      <w:szCs w:val="19"/>
      <w:lang w:val="en-US"/>
    </w:rPr>
  </w:style>
  <w:style w:type="character" w:customStyle="1" w:styleId="ExplanatorytextChar">
    <w:name w:val="Explanatory text Char"/>
    <w:basedOn w:val="DefaultParagraphFont"/>
    <w:link w:val="Explanatorytext"/>
    <w:rsid w:val="00CD021E"/>
    <w:rPr>
      <w:rFonts w:ascii="Arial" w:hAnsi="Arial" w:cs="Arial"/>
      <w:sz w:val="16"/>
      <w:szCs w:val="19"/>
      <w:lang w:val="en-US"/>
    </w:rPr>
  </w:style>
  <w:style w:type="character" w:styleId="UnresolvedMention">
    <w:name w:val="Unresolved Mention"/>
    <w:basedOn w:val="DefaultParagraphFont"/>
    <w:uiPriority w:val="99"/>
    <w:semiHidden/>
    <w:unhideWhenUsed/>
    <w:rsid w:val="006C2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655">
      <w:bodyDiv w:val="1"/>
      <w:marLeft w:val="0"/>
      <w:marRight w:val="0"/>
      <w:marTop w:val="0"/>
      <w:marBottom w:val="0"/>
      <w:divBdr>
        <w:top w:val="none" w:sz="0" w:space="0" w:color="auto"/>
        <w:left w:val="none" w:sz="0" w:space="0" w:color="auto"/>
        <w:bottom w:val="none" w:sz="0" w:space="0" w:color="auto"/>
        <w:right w:val="none" w:sz="0" w:space="0" w:color="auto"/>
      </w:divBdr>
    </w:div>
    <w:div w:id="18940625">
      <w:bodyDiv w:val="1"/>
      <w:marLeft w:val="0"/>
      <w:marRight w:val="0"/>
      <w:marTop w:val="0"/>
      <w:marBottom w:val="0"/>
      <w:divBdr>
        <w:top w:val="none" w:sz="0" w:space="0" w:color="auto"/>
        <w:left w:val="none" w:sz="0" w:space="0" w:color="auto"/>
        <w:bottom w:val="none" w:sz="0" w:space="0" w:color="auto"/>
        <w:right w:val="none" w:sz="0" w:space="0" w:color="auto"/>
      </w:divBdr>
    </w:div>
    <w:div w:id="36780126">
      <w:bodyDiv w:val="1"/>
      <w:marLeft w:val="0"/>
      <w:marRight w:val="0"/>
      <w:marTop w:val="0"/>
      <w:marBottom w:val="0"/>
      <w:divBdr>
        <w:top w:val="none" w:sz="0" w:space="0" w:color="auto"/>
        <w:left w:val="none" w:sz="0" w:space="0" w:color="auto"/>
        <w:bottom w:val="none" w:sz="0" w:space="0" w:color="auto"/>
        <w:right w:val="none" w:sz="0" w:space="0" w:color="auto"/>
      </w:divBdr>
    </w:div>
    <w:div w:id="44254406">
      <w:bodyDiv w:val="1"/>
      <w:marLeft w:val="0"/>
      <w:marRight w:val="0"/>
      <w:marTop w:val="0"/>
      <w:marBottom w:val="0"/>
      <w:divBdr>
        <w:top w:val="none" w:sz="0" w:space="0" w:color="auto"/>
        <w:left w:val="none" w:sz="0" w:space="0" w:color="auto"/>
        <w:bottom w:val="none" w:sz="0" w:space="0" w:color="auto"/>
        <w:right w:val="none" w:sz="0" w:space="0" w:color="auto"/>
      </w:divBdr>
    </w:div>
    <w:div w:id="48775084">
      <w:bodyDiv w:val="1"/>
      <w:marLeft w:val="0"/>
      <w:marRight w:val="0"/>
      <w:marTop w:val="0"/>
      <w:marBottom w:val="0"/>
      <w:divBdr>
        <w:top w:val="none" w:sz="0" w:space="0" w:color="auto"/>
        <w:left w:val="none" w:sz="0" w:space="0" w:color="auto"/>
        <w:bottom w:val="none" w:sz="0" w:space="0" w:color="auto"/>
        <w:right w:val="none" w:sz="0" w:space="0" w:color="auto"/>
      </w:divBdr>
    </w:div>
    <w:div w:id="49577063">
      <w:bodyDiv w:val="1"/>
      <w:marLeft w:val="0"/>
      <w:marRight w:val="0"/>
      <w:marTop w:val="0"/>
      <w:marBottom w:val="0"/>
      <w:divBdr>
        <w:top w:val="none" w:sz="0" w:space="0" w:color="auto"/>
        <w:left w:val="none" w:sz="0" w:space="0" w:color="auto"/>
        <w:bottom w:val="none" w:sz="0" w:space="0" w:color="auto"/>
        <w:right w:val="none" w:sz="0" w:space="0" w:color="auto"/>
      </w:divBdr>
    </w:div>
    <w:div w:id="50203157">
      <w:bodyDiv w:val="1"/>
      <w:marLeft w:val="0"/>
      <w:marRight w:val="0"/>
      <w:marTop w:val="0"/>
      <w:marBottom w:val="0"/>
      <w:divBdr>
        <w:top w:val="none" w:sz="0" w:space="0" w:color="auto"/>
        <w:left w:val="none" w:sz="0" w:space="0" w:color="auto"/>
        <w:bottom w:val="none" w:sz="0" w:space="0" w:color="auto"/>
        <w:right w:val="none" w:sz="0" w:space="0" w:color="auto"/>
      </w:divBdr>
    </w:div>
    <w:div w:id="75133025">
      <w:bodyDiv w:val="1"/>
      <w:marLeft w:val="0"/>
      <w:marRight w:val="0"/>
      <w:marTop w:val="0"/>
      <w:marBottom w:val="0"/>
      <w:divBdr>
        <w:top w:val="none" w:sz="0" w:space="0" w:color="auto"/>
        <w:left w:val="none" w:sz="0" w:space="0" w:color="auto"/>
        <w:bottom w:val="none" w:sz="0" w:space="0" w:color="auto"/>
        <w:right w:val="none" w:sz="0" w:space="0" w:color="auto"/>
      </w:divBdr>
    </w:div>
    <w:div w:id="105078129">
      <w:bodyDiv w:val="1"/>
      <w:marLeft w:val="0"/>
      <w:marRight w:val="0"/>
      <w:marTop w:val="0"/>
      <w:marBottom w:val="0"/>
      <w:divBdr>
        <w:top w:val="none" w:sz="0" w:space="0" w:color="auto"/>
        <w:left w:val="none" w:sz="0" w:space="0" w:color="auto"/>
        <w:bottom w:val="none" w:sz="0" w:space="0" w:color="auto"/>
        <w:right w:val="none" w:sz="0" w:space="0" w:color="auto"/>
      </w:divBdr>
    </w:div>
    <w:div w:id="166293802">
      <w:bodyDiv w:val="1"/>
      <w:marLeft w:val="0"/>
      <w:marRight w:val="0"/>
      <w:marTop w:val="0"/>
      <w:marBottom w:val="0"/>
      <w:divBdr>
        <w:top w:val="none" w:sz="0" w:space="0" w:color="auto"/>
        <w:left w:val="none" w:sz="0" w:space="0" w:color="auto"/>
        <w:bottom w:val="none" w:sz="0" w:space="0" w:color="auto"/>
        <w:right w:val="none" w:sz="0" w:space="0" w:color="auto"/>
      </w:divBdr>
    </w:div>
    <w:div w:id="182062482">
      <w:bodyDiv w:val="1"/>
      <w:marLeft w:val="0"/>
      <w:marRight w:val="0"/>
      <w:marTop w:val="0"/>
      <w:marBottom w:val="0"/>
      <w:divBdr>
        <w:top w:val="none" w:sz="0" w:space="0" w:color="auto"/>
        <w:left w:val="none" w:sz="0" w:space="0" w:color="auto"/>
        <w:bottom w:val="none" w:sz="0" w:space="0" w:color="auto"/>
        <w:right w:val="none" w:sz="0" w:space="0" w:color="auto"/>
      </w:divBdr>
    </w:div>
    <w:div w:id="188568170">
      <w:bodyDiv w:val="1"/>
      <w:marLeft w:val="0"/>
      <w:marRight w:val="0"/>
      <w:marTop w:val="0"/>
      <w:marBottom w:val="0"/>
      <w:divBdr>
        <w:top w:val="none" w:sz="0" w:space="0" w:color="auto"/>
        <w:left w:val="none" w:sz="0" w:space="0" w:color="auto"/>
        <w:bottom w:val="none" w:sz="0" w:space="0" w:color="auto"/>
        <w:right w:val="none" w:sz="0" w:space="0" w:color="auto"/>
      </w:divBdr>
    </w:div>
    <w:div w:id="196285041">
      <w:bodyDiv w:val="1"/>
      <w:marLeft w:val="0"/>
      <w:marRight w:val="0"/>
      <w:marTop w:val="0"/>
      <w:marBottom w:val="0"/>
      <w:divBdr>
        <w:top w:val="none" w:sz="0" w:space="0" w:color="auto"/>
        <w:left w:val="none" w:sz="0" w:space="0" w:color="auto"/>
        <w:bottom w:val="none" w:sz="0" w:space="0" w:color="auto"/>
        <w:right w:val="none" w:sz="0" w:space="0" w:color="auto"/>
      </w:divBdr>
    </w:div>
    <w:div w:id="205456442">
      <w:bodyDiv w:val="1"/>
      <w:marLeft w:val="0"/>
      <w:marRight w:val="0"/>
      <w:marTop w:val="0"/>
      <w:marBottom w:val="0"/>
      <w:divBdr>
        <w:top w:val="none" w:sz="0" w:space="0" w:color="auto"/>
        <w:left w:val="none" w:sz="0" w:space="0" w:color="auto"/>
        <w:bottom w:val="none" w:sz="0" w:space="0" w:color="auto"/>
        <w:right w:val="none" w:sz="0" w:space="0" w:color="auto"/>
      </w:divBdr>
    </w:div>
    <w:div w:id="225457942">
      <w:bodyDiv w:val="1"/>
      <w:marLeft w:val="0"/>
      <w:marRight w:val="0"/>
      <w:marTop w:val="0"/>
      <w:marBottom w:val="0"/>
      <w:divBdr>
        <w:top w:val="none" w:sz="0" w:space="0" w:color="auto"/>
        <w:left w:val="none" w:sz="0" w:space="0" w:color="auto"/>
        <w:bottom w:val="none" w:sz="0" w:space="0" w:color="auto"/>
        <w:right w:val="none" w:sz="0" w:space="0" w:color="auto"/>
      </w:divBdr>
    </w:div>
    <w:div w:id="241646439">
      <w:bodyDiv w:val="1"/>
      <w:marLeft w:val="0"/>
      <w:marRight w:val="0"/>
      <w:marTop w:val="0"/>
      <w:marBottom w:val="0"/>
      <w:divBdr>
        <w:top w:val="none" w:sz="0" w:space="0" w:color="auto"/>
        <w:left w:val="none" w:sz="0" w:space="0" w:color="auto"/>
        <w:bottom w:val="none" w:sz="0" w:space="0" w:color="auto"/>
        <w:right w:val="none" w:sz="0" w:space="0" w:color="auto"/>
      </w:divBdr>
    </w:div>
    <w:div w:id="262612622">
      <w:bodyDiv w:val="1"/>
      <w:marLeft w:val="0"/>
      <w:marRight w:val="0"/>
      <w:marTop w:val="0"/>
      <w:marBottom w:val="0"/>
      <w:divBdr>
        <w:top w:val="none" w:sz="0" w:space="0" w:color="auto"/>
        <w:left w:val="none" w:sz="0" w:space="0" w:color="auto"/>
        <w:bottom w:val="none" w:sz="0" w:space="0" w:color="auto"/>
        <w:right w:val="none" w:sz="0" w:space="0" w:color="auto"/>
      </w:divBdr>
    </w:div>
    <w:div w:id="268316975">
      <w:bodyDiv w:val="1"/>
      <w:marLeft w:val="0"/>
      <w:marRight w:val="0"/>
      <w:marTop w:val="0"/>
      <w:marBottom w:val="0"/>
      <w:divBdr>
        <w:top w:val="none" w:sz="0" w:space="0" w:color="auto"/>
        <w:left w:val="none" w:sz="0" w:space="0" w:color="auto"/>
        <w:bottom w:val="none" w:sz="0" w:space="0" w:color="auto"/>
        <w:right w:val="none" w:sz="0" w:space="0" w:color="auto"/>
      </w:divBdr>
    </w:div>
    <w:div w:id="271980019">
      <w:bodyDiv w:val="1"/>
      <w:marLeft w:val="0"/>
      <w:marRight w:val="0"/>
      <w:marTop w:val="0"/>
      <w:marBottom w:val="0"/>
      <w:divBdr>
        <w:top w:val="none" w:sz="0" w:space="0" w:color="auto"/>
        <w:left w:val="none" w:sz="0" w:space="0" w:color="auto"/>
        <w:bottom w:val="none" w:sz="0" w:space="0" w:color="auto"/>
        <w:right w:val="none" w:sz="0" w:space="0" w:color="auto"/>
      </w:divBdr>
    </w:div>
    <w:div w:id="281309733">
      <w:bodyDiv w:val="1"/>
      <w:marLeft w:val="0"/>
      <w:marRight w:val="0"/>
      <w:marTop w:val="0"/>
      <w:marBottom w:val="0"/>
      <w:divBdr>
        <w:top w:val="none" w:sz="0" w:space="0" w:color="auto"/>
        <w:left w:val="none" w:sz="0" w:space="0" w:color="auto"/>
        <w:bottom w:val="none" w:sz="0" w:space="0" w:color="auto"/>
        <w:right w:val="none" w:sz="0" w:space="0" w:color="auto"/>
      </w:divBdr>
    </w:div>
    <w:div w:id="299922167">
      <w:bodyDiv w:val="1"/>
      <w:marLeft w:val="0"/>
      <w:marRight w:val="0"/>
      <w:marTop w:val="0"/>
      <w:marBottom w:val="0"/>
      <w:divBdr>
        <w:top w:val="none" w:sz="0" w:space="0" w:color="auto"/>
        <w:left w:val="none" w:sz="0" w:space="0" w:color="auto"/>
        <w:bottom w:val="none" w:sz="0" w:space="0" w:color="auto"/>
        <w:right w:val="none" w:sz="0" w:space="0" w:color="auto"/>
      </w:divBdr>
    </w:div>
    <w:div w:id="301160891">
      <w:bodyDiv w:val="1"/>
      <w:marLeft w:val="0"/>
      <w:marRight w:val="0"/>
      <w:marTop w:val="0"/>
      <w:marBottom w:val="0"/>
      <w:divBdr>
        <w:top w:val="none" w:sz="0" w:space="0" w:color="auto"/>
        <w:left w:val="none" w:sz="0" w:space="0" w:color="auto"/>
        <w:bottom w:val="none" w:sz="0" w:space="0" w:color="auto"/>
        <w:right w:val="none" w:sz="0" w:space="0" w:color="auto"/>
      </w:divBdr>
    </w:div>
    <w:div w:id="304697955">
      <w:bodyDiv w:val="1"/>
      <w:marLeft w:val="0"/>
      <w:marRight w:val="0"/>
      <w:marTop w:val="0"/>
      <w:marBottom w:val="0"/>
      <w:divBdr>
        <w:top w:val="none" w:sz="0" w:space="0" w:color="auto"/>
        <w:left w:val="none" w:sz="0" w:space="0" w:color="auto"/>
        <w:bottom w:val="none" w:sz="0" w:space="0" w:color="auto"/>
        <w:right w:val="none" w:sz="0" w:space="0" w:color="auto"/>
      </w:divBdr>
    </w:div>
    <w:div w:id="313025055">
      <w:bodyDiv w:val="1"/>
      <w:marLeft w:val="0"/>
      <w:marRight w:val="0"/>
      <w:marTop w:val="0"/>
      <w:marBottom w:val="0"/>
      <w:divBdr>
        <w:top w:val="none" w:sz="0" w:space="0" w:color="auto"/>
        <w:left w:val="none" w:sz="0" w:space="0" w:color="auto"/>
        <w:bottom w:val="none" w:sz="0" w:space="0" w:color="auto"/>
        <w:right w:val="none" w:sz="0" w:space="0" w:color="auto"/>
      </w:divBdr>
    </w:div>
    <w:div w:id="329790941">
      <w:bodyDiv w:val="1"/>
      <w:marLeft w:val="0"/>
      <w:marRight w:val="0"/>
      <w:marTop w:val="0"/>
      <w:marBottom w:val="0"/>
      <w:divBdr>
        <w:top w:val="none" w:sz="0" w:space="0" w:color="auto"/>
        <w:left w:val="none" w:sz="0" w:space="0" w:color="auto"/>
        <w:bottom w:val="none" w:sz="0" w:space="0" w:color="auto"/>
        <w:right w:val="none" w:sz="0" w:space="0" w:color="auto"/>
      </w:divBdr>
    </w:div>
    <w:div w:id="350422774">
      <w:bodyDiv w:val="1"/>
      <w:marLeft w:val="0"/>
      <w:marRight w:val="0"/>
      <w:marTop w:val="0"/>
      <w:marBottom w:val="0"/>
      <w:divBdr>
        <w:top w:val="none" w:sz="0" w:space="0" w:color="auto"/>
        <w:left w:val="none" w:sz="0" w:space="0" w:color="auto"/>
        <w:bottom w:val="none" w:sz="0" w:space="0" w:color="auto"/>
        <w:right w:val="none" w:sz="0" w:space="0" w:color="auto"/>
      </w:divBdr>
    </w:div>
    <w:div w:id="353506112">
      <w:bodyDiv w:val="1"/>
      <w:marLeft w:val="0"/>
      <w:marRight w:val="0"/>
      <w:marTop w:val="0"/>
      <w:marBottom w:val="0"/>
      <w:divBdr>
        <w:top w:val="none" w:sz="0" w:space="0" w:color="auto"/>
        <w:left w:val="none" w:sz="0" w:space="0" w:color="auto"/>
        <w:bottom w:val="none" w:sz="0" w:space="0" w:color="auto"/>
        <w:right w:val="none" w:sz="0" w:space="0" w:color="auto"/>
      </w:divBdr>
    </w:div>
    <w:div w:id="357661603">
      <w:bodyDiv w:val="1"/>
      <w:marLeft w:val="0"/>
      <w:marRight w:val="0"/>
      <w:marTop w:val="0"/>
      <w:marBottom w:val="0"/>
      <w:divBdr>
        <w:top w:val="none" w:sz="0" w:space="0" w:color="auto"/>
        <w:left w:val="none" w:sz="0" w:space="0" w:color="auto"/>
        <w:bottom w:val="none" w:sz="0" w:space="0" w:color="auto"/>
        <w:right w:val="none" w:sz="0" w:space="0" w:color="auto"/>
      </w:divBdr>
    </w:div>
    <w:div w:id="410395297">
      <w:bodyDiv w:val="1"/>
      <w:marLeft w:val="0"/>
      <w:marRight w:val="0"/>
      <w:marTop w:val="0"/>
      <w:marBottom w:val="0"/>
      <w:divBdr>
        <w:top w:val="none" w:sz="0" w:space="0" w:color="auto"/>
        <w:left w:val="none" w:sz="0" w:space="0" w:color="auto"/>
        <w:bottom w:val="none" w:sz="0" w:space="0" w:color="auto"/>
        <w:right w:val="none" w:sz="0" w:space="0" w:color="auto"/>
      </w:divBdr>
    </w:div>
    <w:div w:id="440492896">
      <w:bodyDiv w:val="1"/>
      <w:marLeft w:val="0"/>
      <w:marRight w:val="0"/>
      <w:marTop w:val="0"/>
      <w:marBottom w:val="0"/>
      <w:divBdr>
        <w:top w:val="none" w:sz="0" w:space="0" w:color="auto"/>
        <w:left w:val="none" w:sz="0" w:space="0" w:color="auto"/>
        <w:bottom w:val="none" w:sz="0" w:space="0" w:color="auto"/>
        <w:right w:val="none" w:sz="0" w:space="0" w:color="auto"/>
      </w:divBdr>
    </w:div>
    <w:div w:id="470828134">
      <w:bodyDiv w:val="1"/>
      <w:marLeft w:val="0"/>
      <w:marRight w:val="0"/>
      <w:marTop w:val="0"/>
      <w:marBottom w:val="0"/>
      <w:divBdr>
        <w:top w:val="none" w:sz="0" w:space="0" w:color="auto"/>
        <w:left w:val="none" w:sz="0" w:space="0" w:color="auto"/>
        <w:bottom w:val="none" w:sz="0" w:space="0" w:color="auto"/>
        <w:right w:val="none" w:sz="0" w:space="0" w:color="auto"/>
      </w:divBdr>
    </w:div>
    <w:div w:id="480464002">
      <w:bodyDiv w:val="1"/>
      <w:marLeft w:val="0"/>
      <w:marRight w:val="0"/>
      <w:marTop w:val="0"/>
      <w:marBottom w:val="0"/>
      <w:divBdr>
        <w:top w:val="none" w:sz="0" w:space="0" w:color="auto"/>
        <w:left w:val="none" w:sz="0" w:space="0" w:color="auto"/>
        <w:bottom w:val="none" w:sz="0" w:space="0" w:color="auto"/>
        <w:right w:val="none" w:sz="0" w:space="0" w:color="auto"/>
      </w:divBdr>
    </w:div>
    <w:div w:id="496532464">
      <w:bodyDiv w:val="1"/>
      <w:marLeft w:val="0"/>
      <w:marRight w:val="0"/>
      <w:marTop w:val="0"/>
      <w:marBottom w:val="0"/>
      <w:divBdr>
        <w:top w:val="none" w:sz="0" w:space="0" w:color="auto"/>
        <w:left w:val="none" w:sz="0" w:space="0" w:color="auto"/>
        <w:bottom w:val="none" w:sz="0" w:space="0" w:color="auto"/>
        <w:right w:val="none" w:sz="0" w:space="0" w:color="auto"/>
      </w:divBdr>
    </w:div>
    <w:div w:id="505635167">
      <w:bodyDiv w:val="1"/>
      <w:marLeft w:val="0"/>
      <w:marRight w:val="0"/>
      <w:marTop w:val="0"/>
      <w:marBottom w:val="0"/>
      <w:divBdr>
        <w:top w:val="none" w:sz="0" w:space="0" w:color="auto"/>
        <w:left w:val="none" w:sz="0" w:space="0" w:color="auto"/>
        <w:bottom w:val="none" w:sz="0" w:space="0" w:color="auto"/>
        <w:right w:val="none" w:sz="0" w:space="0" w:color="auto"/>
      </w:divBdr>
    </w:div>
    <w:div w:id="526722528">
      <w:bodyDiv w:val="1"/>
      <w:marLeft w:val="0"/>
      <w:marRight w:val="0"/>
      <w:marTop w:val="0"/>
      <w:marBottom w:val="0"/>
      <w:divBdr>
        <w:top w:val="none" w:sz="0" w:space="0" w:color="auto"/>
        <w:left w:val="none" w:sz="0" w:space="0" w:color="auto"/>
        <w:bottom w:val="none" w:sz="0" w:space="0" w:color="auto"/>
        <w:right w:val="none" w:sz="0" w:space="0" w:color="auto"/>
      </w:divBdr>
    </w:div>
    <w:div w:id="546260429">
      <w:bodyDiv w:val="1"/>
      <w:marLeft w:val="0"/>
      <w:marRight w:val="0"/>
      <w:marTop w:val="0"/>
      <w:marBottom w:val="0"/>
      <w:divBdr>
        <w:top w:val="none" w:sz="0" w:space="0" w:color="auto"/>
        <w:left w:val="none" w:sz="0" w:space="0" w:color="auto"/>
        <w:bottom w:val="none" w:sz="0" w:space="0" w:color="auto"/>
        <w:right w:val="none" w:sz="0" w:space="0" w:color="auto"/>
      </w:divBdr>
    </w:div>
    <w:div w:id="576134585">
      <w:bodyDiv w:val="1"/>
      <w:marLeft w:val="0"/>
      <w:marRight w:val="0"/>
      <w:marTop w:val="0"/>
      <w:marBottom w:val="0"/>
      <w:divBdr>
        <w:top w:val="none" w:sz="0" w:space="0" w:color="auto"/>
        <w:left w:val="none" w:sz="0" w:space="0" w:color="auto"/>
        <w:bottom w:val="none" w:sz="0" w:space="0" w:color="auto"/>
        <w:right w:val="none" w:sz="0" w:space="0" w:color="auto"/>
      </w:divBdr>
    </w:div>
    <w:div w:id="596445269">
      <w:bodyDiv w:val="1"/>
      <w:marLeft w:val="0"/>
      <w:marRight w:val="0"/>
      <w:marTop w:val="0"/>
      <w:marBottom w:val="0"/>
      <w:divBdr>
        <w:top w:val="none" w:sz="0" w:space="0" w:color="auto"/>
        <w:left w:val="none" w:sz="0" w:space="0" w:color="auto"/>
        <w:bottom w:val="none" w:sz="0" w:space="0" w:color="auto"/>
        <w:right w:val="none" w:sz="0" w:space="0" w:color="auto"/>
      </w:divBdr>
    </w:div>
    <w:div w:id="604581575">
      <w:bodyDiv w:val="1"/>
      <w:marLeft w:val="0"/>
      <w:marRight w:val="0"/>
      <w:marTop w:val="0"/>
      <w:marBottom w:val="0"/>
      <w:divBdr>
        <w:top w:val="none" w:sz="0" w:space="0" w:color="auto"/>
        <w:left w:val="none" w:sz="0" w:space="0" w:color="auto"/>
        <w:bottom w:val="none" w:sz="0" w:space="0" w:color="auto"/>
        <w:right w:val="none" w:sz="0" w:space="0" w:color="auto"/>
      </w:divBdr>
    </w:div>
    <w:div w:id="641154061">
      <w:bodyDiv w:val="1"/>
      <w:marLeft w:val="0"/>
      <w:marRight w:val="0"/>
      <w:marTop w:val="0"/>
      <w:marBottom w:val="0"/>
      <w:divBdr>
        <w:top w:val="none" w:sz="0" w:space="0" w:color="auto"/>
        <w:left w:val="none" w:sz="0" w:space="0" w:color="auto"/>
        <w:bottom w:val="none" w:sz="0" w:space="0" w:color="auto"/>
        <w:right w:val="none" w:sz="0" w:space="0" w:color="auto"/>
      </w:divBdr>
    </w:div>
    <w:div w:id="651788207">
      <w:bodyDiv w:val="1"/>
      <w:marLeft w:val="0"/>
      <w:marRight w:val="0"/>
      <w:marTop w:val="0"/>
      <w:marBottom w:val="0"/>
      <w:divBdr>
        <w:top w:val="none" w:sz="0" w:space="0" w:color="auto"/>
        <w:left w:val="none" w:sz="0" w:space="0" w:color="auto"/>
        <w:bottom w:val="none" w:sz="0" w:space="0" w:color="auto"/>
        <w:right w:val="none" w:sz="0" w:space="0" w:color="auto"/>
      </w:divBdr>
    </w:div>
    <w:div w:id="686950297">
      <w:bodyDiv w:val="1"/>
      <w:marLeft w:val="0"/>
      <w:marRight w:val="0"/>
      <w:marTop w:val="0"/>
      <w:marBottom w:val="0"/>
      <w:divBdr>
        <w:top w:val="none" w:sz="0" w:space="0" w:color="auto"/>
        <w:left w:val="none" w:sz="0" w:space="0" w:color="auto"/>
        <w:bottom w:val="none" w:sz="0" w:space="0" w:color="auto"/>
        <w:right w:val="none" w:sz="0" w:space="0" w:color="auto"/>
      </w:divBdr>
    </w:div>
    <w:div w:id="716705382">
      <w:bodyDiv w:val="1"/>
      <w:marLeft w:val="0"/>
      <w:marRight w:val="0"/>
      <w:marTop w:val="0"/>
      <w:marBottom w:val="0"/>
      <w:divBdr>
        <w:top w:val="none" w:sz="0" w:space="0" w:color="auto"/>
        <w:left w:val="none" w:sz="0" w:space="0" w:color="auto"/>
        <w:bottom w:val="none" w:sz="0" w:space="0" w:color="auto"/>
        <w:right w:val="none" w:sz="0" w:space="0" w:color="auto"/>
      </w:divBdr>
    </w:div>
    <w:div w:id="719551592">
      <w:bodyDiv w:val="1"/>
      <w:marLeft w:val="0"/>
      <w:marRight w:val="0"/>
      <w:marTop w:val="0"/>
      <w:marBottom w:val="0"/>
      <w:divBdr>
        <w:top w:val="none" w:sz="0" w:space="0" w:color="auto"/>
        <w:left w:val="none" w:sz="0" w:space="0" w:color="auto"/>
        <w:bottom w:val="none" w:sz="0" w:space="0" w:color="auto"/>
        <w:right w:val="none" w:sz="0" w:space="0" w:color="auto"/>
      </w:divBdr>
    </w:div>
    <w:div w:id="768159267">
      <w:bodyDiv w:val="1"/>
      <w:marLeft w:val="0"/>
      <w:marRight w:val="0"/>
      <w:marTop w:val="0"/>
      <w:marBottom w:val="0"/>
      <w:divBdr>
        <w:top w:val="none" w:sz="0" w:space="0" w:color="auto"/>
        <w:left w:val="none" w:sz="0" w:space="0" w:color="auto"/>
        <w:bottom w:val="none" w:sz="0" w:space="0" w:color="auto"/>
        <w:right w:val="none" w:sz="0" w:space="0" w:color="auto"/>
      </w:divBdr>
    </w:div>
    <w:div w:id="775758363">
      <w:bodyDiv w:val="1"/>
      <w:marLeft w:val="0"/>
      <w:marRight w:val="0"/>
      <w:marTop w:val="0"/>
      <w:marBottom w:val="0"/>
      <w:divBdr>
        <w:top w:val="none" w:sz="0" w:space="0" w:color="auto"/>
        <w:left w:val="none" w:sz="0" w:space="0" w:color="auto"/>
        <w:bottom w:val="none" w:sz="0" w:space="0" w:color="auto"/>
        <w:right w:val="none" w:sz="0" w:space="0" w:color="auto"/>
      </w:divBdr>
    </w:div>
    <w:div w:id="775835043">
      <w:bodyDiv w:val="1"/>
      <w:marLeft w:val="0"/>
      <w:marRight w:val="0"/>
      <w:marTop w:val="0"/>
      <w:marBottom w:val="0"/>
      <w:divBdr>
        <w:top w:val="none" w:sz="0" w:space="0" w:color="auto"/>
        <w:left w:val="none" w:sz="0" w:space="0" w:color="auto"/>
        <w:bottom w:val="none" w:sz="0" w:space="0" w:color="auto"/>
        <w:right w:val="none" w:sz="0" w:space="0" w:color="auto"/>
      </w:divBdr>
    </w:div>
    <w:div w:id="812259928">
      <w:bodyDiv w:val="1"/>
      <w:marLeft w:val="0"/>
      <w:marRight w:val="0"/>
      <w:marTop w:val="0"/>
      <w:marBottom w:val="0"/>
      <w:divBdr>
        <w:top w:val="none" w:sz="0" w:space="0" w:color="auto"/>
        <w:left w:val="none" w:sz="0" w:space="0" w:color="auto"/>
        <w:bottom w:val="none" w:sz="0" w:space="0" w:color="auto"/>
        <w:right w:val="none" w:sz="0" w:space="0" w:color="auto"/>
      </w:divBdr>
    </w:div>
    <w:div w:id="836308796">
      <w:bodyDiv w:val="1"/>
      <w:marLeft w:val="0"/>
      <w:marRight w:val="0"/>
      <w:marTop w:val="0"/>
      <w:marBottom w:val="0"/>
      <w:divBdr>
        <w:top w:val="none" w:sz="0" w:space="0" w:color="auto"/>
        <w:left w:val="none" w:sz="0" w:space="0" w:color="auto"/>
        <w:bottom w:val="none" w:sz="0" w:space="0" w:color="auto"/>
        <w:right w:val="none" w:sz="0" w:space="0" w:color="auto"/>
      </w:divBdr>
    </w:div>
    <w:div w:id="845486405">
      <w:bodyDiv w:val="1"/>
      <w:marLeft w:val="0"/>
      <w:marRight w:val="0"/>
      <w:marTop w:val="0"/>
      <w:marBottom w:val="0"/>
      <w:divBdr>
        <w:top w:val="none" w:sz="0" w:space="0" w:color="auto"/>
        <w:left w:val="none" w:sz="0" w:space="0" w:color="auto"/>
        <w:bottom w:val="none" w:sz="0" w:space="0" w:color="auto"/>
        <w:right w:val="none" w:sz="0" w:space="0" w:color="auto"/>
      </w:divBdr>
    </w:div>
    <w:div w:id="850342537">
      <w:bodyDiv w:val="1"/>
      <w:marLeft w:val="0"/>
      <w:marRight w:val="0"/>
      <w:marTop w:val="0"/>
      <w:marBottom w:val="0"/>
      <w:divBdr>
        <w:top w:val="none" w:sz="0" w:space="0" w:color="auto"/>
        <w:left w:val="none" w:sz="0" w:space="0" w:color="auto"/>
        <w:bottom w:val="none" w:sz="0" w:space="0" w:color="auto"/>
        <w:right w:val="none" w:sz="0" w:space="0" w:color="auto"/>
      </w:divBdr>
    </w:div>
    <w:div w:id="893154804">
      <w:bodyDiv w:val="1"/>
      <w:marLeft w:val="0"/>
      <w:marRight w:val="0"/>
      <w:marTop w:val="0"/>
      <w:marBottom w:val="0"/>
      <w:divBdr>
        <w:top w:val="none" w:sz="0" w:space="0" w:color="auto"/>
        <w:left w:val="none" w:sz="0" w:space="0" w:color="auto"/>
        <w:bottom w:val="none" w:sz="0" w:space="0" w:color="auto"/>
        <w:right w:val="none" w:sz="0" w:space="0" w:color="auto"/>
      </w:divBdr>
    </w:div>
    <w:div w:id="901251177">
      <w:bodyDiv w:val="1"/>
      <w:marLeft w:val="0"/>
      <w:marRight w:val="0"/>
      <w:marTop w:val="0"/>
      <w:marBottom w:val="0"/>
      <w:divBdr>
        <w:top w:val="none" w:sz="0" w:space="0" w:color="auto"/>
        <w:left w:val="none" w:sz="0" w:space="0" w:color="auto"/>
        <w:bottom w:val="none" w:sz="0" w:space="0" w:color="auto"/>
        <w:right w:val="none" w:sz="0" w:space="0" w:color="auto"/>
      </w:divBdr>
    </w:div>
    <w:div w:id="937711592">
      <w:bodyDiv w:val="1"/>
      <w:marLeft w:val="0"/>
      <w:marRight w:val="0"/>
      <w:marTop w:val="0"/>
      <w:marBottom w:val="0"/>
      <w:divBdr>
        <w:top w:val="none" w:sz="0" w:space="0" w:color="auto"/>
        <w:left w:val="none" w:sz="0" w:space="0" w:color="auto"/>
        <w:bottom w:val="none" w:sz="0" w:space="0" w:color="auto"/>
        <w:right w:val="none" w:sz="0" w:space="0" w:color="auto"/>
      </w:divBdr>
    </w:div>
    <w:div w:id="960039579">
      <w:bodyDiv w:val="1"/>
      <w:marLeft w:val="0"/>
      <w:marRight w:val="0"/>
      <w:marTop w:val="0"/>
      <w:marBottom w:val="0"/>
      <w:divBdr>
        <w:top w:val="none" w:sz="0" w:space="0" w:color="auto"/>
        <w:left w:val="none" w:sz="0" w:space="0" w:color="auto"/>
        <w:bottom w:val="none" w:sz="0" w:space="0" w:color="auto"/>
        <w:right w:val="none" w:sz="0" w:space="0" w:color="auto"/>
      </w:divBdr>
    </w:div>
    <w:div w:id="990794495">
      <w:bodyDiv w:val="1"/>
      <w:marLeft w:val="0"/>
      <w:marRight w:val="0"/>
      <w:marTop w:val="0"/>
      <w:marBottom w:val="0"/>
      <w:divBdr>
        <w:top w:val="none" w:sz="0" w:space="0" w:color="auto"/>
        <w:left w:val="none" w:sz="0" w:space="0" w:color="auto"/>
        <w:bottom w:val="none" w:sz="0" w:space="0" w:color="auto"/>
        <w:right w:val="none" w:sz="0" w:space="0" w:color="auto"/>
      </w:divBdr>
    </w:div>
    <w:div w:id="1000737428">
      <w:bodyDiv w:val="1"/>
      <w:marLeft w:val="0"/>
      <w:marRight w:val="0"/>
      <w:marTop w:val="0"/>
      <w:marBottom w:val="0"/>
      <w:divBdr>
        <w:top w:val="none" w:sz="0" w:space="0" w:color="auto"/>
        <w:left w:val="none" w:sz="0" w:space="0" w:color="auto"/>
        <w:bottom w:val="none" w:sz="0" w:space="0" w:color="auto"/>
        <w:right w:val="none" w:sz="0" w:space="0" w:color="auto"/>
      </w:divBdr>
    </w:div>
    <w:div w:id="1011302341">
      <w:bodyDiv w:val="1"/>
      <w:marLeft w:val="0"/>
      <w:marRight w:val="0"/>
      <w:marTop w:val="0"/>
      <w:marBottom w:val="0"/>
      <w:divBdr>
        <w:top w:val="none" w:sz="0" w:space="0" w:color="auto"/>
        <w:left w:val="none" w:sz="0" w:space="0" w:color="auto"/>
        <w:bottom w:val="none" w:sz="0" w:space="0" w:color="auto"/>
        <w:right w:val="none" w:sz="0" w:space="0" w:color="auto"/>
      </w:divBdr>
    </w:div>
    <w:div w:id="1037196896">
      <w:bodyDiv w:val="1"/>
      <w:marLeft w:val="0"/>
      <w:marRight w:val="0"/>
      <w:marTop w:val="0"/>
      <w:marBottom w:val="0"/>
      <w:divBdr>
        <w:top w:val="none" w:sz="0" w:space="0" w:color="auto"/>
        <w:left w:val="none" w:sz="0" w:space="0" w:color="auto"/>
        <w:bottom w:val="none" w:sz="0" w:space="0" w:color="auto"/>
        <w:right w:val="none" w:sz="0" w:space="0" w:color="auto"/>
      </w:divBdr>
    </w:div>
    <w:div w:id="1043209617">
      <w:bodyDiv w:val="1"/>
      <w:marLeft w:val="0"/>
      <w:marRight w:val="0"/>
      <w:marTop w:val="0"/>
      <w:marBottom w:val="0"/>
      <w:divBdr>
        <w:top w:val="none" w:sz="0" w:space="0" w:color="auto"/>
        <w:left w:val="none" w:sz="0" w:space="0" w:color="auto"/>
        <w:bottom w:val="none" w:sz="0" w:space="0" w:color="auto"/>
        <w:right w:val="none" w:sz="0" w:space="0" w:color="auto"/>
      </w:divBdr>
    </w:div>
    <w:div w:id="1095320843">
      <w:bodyDiv w:val="1"/>
      <w:marLeft w:val="0"/>
      <w:marRight w:val="0"/>
      <w:marTop w:val="0"/>
      <w:marBottom w:val="0"/>
      <w:divBdr>
        <w:top w:val="none" w:sz="0" w:space="0" w:color="auto"/>
        <w:left w:val="none" w:sz="0" w:space="0" w:color="auto"/>
        <w:bottom w:val="none" w:sz="0" w:space="0" w:color="auto"/>
        <w:right w:val="none" w:sz="0" w:space="0" w:color="auto"/>
      </w:divBdr>
    </w:div>
    <w:div w:id="1115445023">
      <w:bodyDiv w:val="1"/>
      <w:marLeft w:val="0"/>
      <w:marRight w:val="0"/>
      <w:marTop w:val="0"/>
      <w:marBottom w:val="0"/>
      <w:divBdr>
        <w:top w:val="none" w:sz="0" w:space="0" w:color="auto"/>
        <w:left w:val="none" w:sz="0" w:space="0" w:color="auto"/>
        <w:bottom w:val="none" w:sz="0" w:space="0" w:color="auto"/>
        <w:right w:val="none" w:sz="0" w:space="0" w:color="auto"/>
      </w:divBdr>
    </w:div>
    <w:div w:id="1154033411">
      <w:bodyDiv w:val="1"/>
      <w:marLeft w:val="0"/>
      <w:marRight w:val="0"/>
      <w:marTop w:val="0"/>
      <w:marBottom w:val="0"/>
      <w:divBdr>
        <w:top w:val="none" w:sz="0" w:space="0" w:color="auto"/>
        <w:left w:val="none" w:sz="0" w:space="0" w:color="auto"/>
        <w:bottom w:val="none" w:sz="0" w:space="0" w:color="auto"/>
        <w:right w:val="none" w:sz="0" w:space="0" w:color="auto"/>
      </w:divBdr>
    </w:div>
    <w:div w:id="1185905074">
      <w:bodyDiv w:val="1"/>
      <w:marLeft w:val="0"/>
      <w:marRight w:val="0"/>
      <w:marTop w:val="0"/>
      <w:marBottom w:val="0"/>
      <w:divBdr>
        <w:top w:val="none" w:sz="0" w:space="0" w:color="auto"/>
        <w:left w:val="none" w:sz="0" w:space="0" w:color="auto"/>
        <w:bottom w:val="none" w:sz="0" w:space="0" w:color="auto"/>
        <w:right w:val="none" w:sz="0" w:space="0" w:color="auto"/>
      </w:divBdr>
    </w:div>
    <w:div w:id="1198087235">
      <w:bodyDiv w:val="1"/>
      <w:marLeft w:val="0"/>
      <w:marRight w:val="0"/>
      <w:marTop w:val="0"/>
      <w:marBottom w:val="0"/>
      <w:divBdr>
        <w:top w:val="none" w:sz="0" w:space="0" w:color="auto"/>
        <w:left w:val="none" w:sz="0" w:space="0" w:color="auto"/>
        <w:bottom w:val="none" w:sz="0" w:space="0" w:color="auto"/>
        <w:right w:val="none" w:sz="0" w:space="0" w:color="auto"/>
      </w:divBdr>
    </w:div>
    <w:div w:id="1207252199">
      <w:bodyDiv w:val="1"/>
      <w:marLeft w:val="0"/>
      <w:marRight w:val="0"/>
      <w:marTop w:val="0"/>
      <w:marBottom w:val="0"/>
      <w:divBdr>
        <w:top w:val="none" w:sz="0" w:space="0" w:color="auto"/>
        <w:left w:val="none" w:sz="0" w:space="0" w:color="auto"/>
        <w:bottom w:val="none" w:sz="0" w:space="0" w:color="auto"/>
        <w:right w:val="none" w:sz="0" w:space="0" w:color="auto"/>
      </w:divBdr>
    </w:div>
    <w:div w:id="1234967197">
      <w:bodyDiv w:val="1"/>
      <w:marLeft w:val="0"/>
      <w:marRight w:val="0"/>
      <w:marTop w:val="0"/>
      <w:marBottom w:val="0"/>
      <w:divBdr>
        <w:top w:val="none" w:sz="0" w:space="0" w:color="auto"/>
        <w:left w:val="none" w:sz="0" w:space="0" w:color="auto"/>
        <w:bottom w:val="none" w:sz="0" w:space="0" w:color="auto"/>
        <w:right w:val="none" w:sz="0" w:space="0" w:color="auto"/>
      </w:divBdr>
    </w:div>
    <w:div w:id="1265074049">
      <w:bodyDiv w:val="1"/>
      <w:marLeft w:val="0"/>
      <w:marRight w:val="0"/>
      <w:marTop w:val="0"/>
      <w:marBottom w:val="0"/>
      <w:divBdr>
        <w:top w:val="none" w:sz="0" w:space="0" w:color="auto"/>
        <w:left w:val="none" w:sz="0" w:space="0" w:color="auto"/>
        <w:bottom w:val="none" w:sz="0" w:space="0" w:color="auto"/>
        <w:right w:val="none" w:sz="0" w:space="0" w:color="auto"/>
      </w:divBdr>
    </w:div>
    <w:div w:id="1282154651">
      <w:bodyDiv w:val="1"/>
      <w:marLeft w:val="0"/>
      <w:marRight w:val="0"/>
      <w:marTop w:val="0"/>
      <w:marBottom w:val="0"/>
      <w:divBdr>
        <w:top w:val="none" w:sz="0" w:space="0" w:color="auto"/>
        <w:left w:val="none" w:sz="0" w:space="0" w:color="auto"/>
        <w:bottom w:val="none" w:sz="0" w:space="0" w:color="auto"/>
        <w:right w:val="none" w:sz="0" w:space="0" w:color="auto"/>
      </w:divBdr>
    </w:div>
    <w:div w:id="1294480727">
      <w:bodyDiv w:val="1"/>
      <w:marLeft w:val="0"/>
      <w:marRight w:val="0"/>
      <w:marTop w:val="0"/>
      <w:marBottom w:val="0"/>
      <w:divBdr>
        <w:top w:val="none" w:sz="0" w:space="0" w:color="auto"/>
        <w:left w:val="none" w:sz="0" w:space="0" w:color="auto"/>
        <w:bottom w:val="none" w:sz="0" w:space="0" w:color="auto"/>
        <w:right w:val="none" w:sz="0" w:space="0" w:color="auto"/>
      </w:divBdr>
    </w:div>
    <w:div w:id="1296526062">
      <w:bodyDiv w:val="1"/>
      <w:marLeft w:val="0"/>
      <w:marRight w:val="0"/>
      <w:marTop w:val="0"/>
      <w:marBottom w:val="0"/>
      <w:divBdr>
        <w:top w:val="none" w:sz="0" w:space="0" w:color="auto"/>
        <w:left w:val="none" w:sz="0" w:space="0" w:color="auto"/>
        <w:bottom w:val="none" w:sz="0" w:space="0" w:color="auto"/>
        <w:right w:val="none" w:sz="0" w:space="0" w:color="auto"/>
      </w:divBdr>
    </w:div>
    <w:div w:id="1389257293">
      <w:bodyDiv w:val="1"/>
      <w:marLeft w:val="0"/>
      <w:marRight w:val="0"/>
      <w:marTop w:val="0"/>
      <w:marBottom w:val="0"/>
      <w:divBdr>
        <w:top w:val="none" w:sz="0" w:space="0" w:color="auto"/>
        <w:left w:val="none" w:sz="0" w:space="0" w:color="auto"/>
        <w:bottom w:val="none" w:sz="0" w:space="0" w:color="auto"/>
        <w:right w:val="none" w:sz="0" w:space="0" w:color="auto"/>
      </w:divBdr>
    </w:div>
    <w:div w:id="1392968968">
      <w:bodyDiv w:val="1"/>
      <w:marLeft w:val="0"/>
      <w:marRight w:val="0"/>
      <w:marTop w:val="0"/>
      <w:marBottom w:val="0"/>
      <w:divBdr>
        <w:top w:val="none" w:sz="0" w:space="0" w:color="auto"/>
        <w:left w:val="none" w:sz="0" w:space="0" w:color="auto"/>
        <w:bottom w:val="none" w:sz="0" w:space="0" w:color="auto"/>
        <w:right w:val="none" w:sz="0" w:space="0" w:color="auto"/>
      </w:divBdr>
    </w:div>
    <w:div w:id="1397703627">
      <w:bodyDiv w:val="1"/>
      <w:marLeft w:val="0"/>
      <w:marRight w:val="0"/>
      <w:marTop w:val="0"/>
      <w:marBottom w:val="0"/>
      <w:divBdr>
        <w:top w:val="none" w:sz="0" w:space="0" w:color="auto"/>
        <w:left w:val="none" w:sz="0" w:space="0" w:color="auto"/>
        <w:bottom w:val="none" w:sz="0" w:space="0" w:color="auto"/>
        <w:right w:val="none" w:sz="0" w:space="0" w:color="auto"/>
      </w:divBdr>
    </w:div>
    <w:div w:id="1404990067">
      <w:bodyDiv w:val="1"/>
      <w:marLeft w:val="0"/>
      <w:marRight w:val="0"/>
      <w:marTop w:val="0"/>
      <w:marBottom w:val="0"/>
      <w:divBdr>
        <w:top w:val="none" w:sz="0" w:space="0" w:color="auto"/>
        <w:left w:val="none" w:sz="0" w:space="0" w:color="auto"/>
        <w:bottom w:val="none" w:sz="0" w:space="0" w:color="auto"/>
        <w:right w:val="none" w:sz="0" w:space="0" w:color="auto"/>
      </w:divBdr>
    </w:div>
    <w:div w:id="1429694291">
      <w:bodyDiv w:val="1"/>
      <w:marLeft w:val="0"/>
      <w:marRight w:val="0"/>
      <w:marTop w:val="0"/>
      <w:marBottom w:val="0"/>
      <w:divBdr>
        <w:top w:val="none" w:sz="0" w:space="0" w:color="auto"/>
        <w:left w:val="none" w:sz="0" w:space="0" w:color="auto"/>
        <w:bottom w:val="none" w:sz="0" w:space="0" w:color="auto"/>
        <w:right w:val="none" w:sz="0" w:space="0" w:color="auto"/>
      </w:divBdr>
    </w:div>
    <w:div w:id="1430420429">
      <w:bodyDiv w:val="1"/>
      <w:marLeft w:val="0"/>
      <w:marRight w:val="0"/>
      <w:marTop w:val="0"/>
      <w:marBottom w:val="0"/>
      <w:divBdr>
        <w:top w:val="none" w:sz="0" w:space="0" w:color="auto"/>
        <w:left w:val="none" w:sz="0" w:space="0" w:color="auto"/>
        <w:bottom w:val="none" w:sz="0" w:space="0" w:color="auto"/>
        <w:right w:val="none" w:sz="0" w:space="0" w:color="auto"/>
      </w:divBdr>
    </w:div>
    <w:div w:id="1461341093">
      <w:bodyDiv w:val="1"/>
      <w:marLeft w:val="0"/>
      <w:marRight w:val="0"/>
      <w:marTop w:val="0"/>
      <w:marBottom w:val="0"/>
      <w:divBdr>
        <w:top w:val="none" w:sz="0" w:space="0" w:color="auto"/>
        <w:left w:val="none" w:sz="0" w:space="0" w:color="auto"/>
        <w:bottom w:val="none" w:sz="0" w:space="0" w:color="auto"/>
        <w:right w:val="none" w:sz="0" w:space="0" w:color="auto"/>
      </w:divBdr>
    </w:div>
    <w:div w:id="1468546754">
      <w:bodyDiv w:val="1"/>
      <w:marLeft w:val="0"/>
      <w:marRight w:val="0"/>
      <w:marTop w:val="0"/>
      <w:marBottom w:val="0"/>
      <w:divBdr>
        <w:top w:val="none" w:sz="0" w:space="0" w:color="auto"/>
        <w:left w:val="none" w:sz="0" w:space="0" w:color="auto"/>
        <w:bottom w:val="none" w:sz="0" w:space="0" w:color="auto"/>
        <w:right w:val="none" w:sz="0" w:space="0" w:color="auto"/>
      </w:divBdr>
    </w:div>
    <w:div w:id="1493332429">
      <w:bodyDiv w:val="1"/>
      <w:marLeft w:val="0"/>
      <w:marRight w:val="0"/>
      <w:marTop w:val="0"/>
      <w:marBottom w:val="0"/>
      <w:divBdr>
        <w:top w:val="none" w:sz="0" w:space="0" w:color="auto"/>
        <w:left w:val="none" w:sz="0" w:space="0" w:color="auto"/>
        <w:bottom w:val="none" w:sz="0" w:space="0" w:color="auto"/>
        <w:right w:val="none" w:sz="0" w:space="0" w:color="auto"/>
      </w:divBdr>
    </w:div>
    <w:div w:id="1507793962">
      <w:bodyDiv w:val="1"/>
      <w:marLeft w:val="0"/>
      <w:marRight w:val="0"/>
      <w:marTop w:val="0"/>
      <w:marBottom w:val="0"/>
      <w:divBdr>
        <w:top w:val="none" w:sz="0" w:space="0" w:color="auto"/>
        <w:left w:val="none" w:sz="0" w:space="0" w:color="auto"/>
        <w:bottom w:val="none" w:sz="0" w:space="0" w:color="auto"/>
        <w:right w:val="none" w:sz="0" w:space="0" w:color="auto"/>
      </w:divBdr>
    </w:div>
    <w:div w:id="1594124303">
      <w:bodyDiv w:val="1"/>
      <w:marLeft w:val="0"/>
      <w:marRight w:val="0"/>
      <w:marTop w:val="0"/>
      <w:marBottom w:val="0"/>
      <w:divBdr>
        <w:top w:val="none" w:sz="0" w:space="0" w:color="auto"/>
        <w:left w:val="none" w:sz="0" w:space="0" w:color="auto"/>
        <w:bottom w:val="none" w:sz="0" w:space="0" w:color="auto"/>
        <w:right w:val="none" w:sz="0" w:space="0" w:color="auto"/>
      </w:divBdr>
    </w:div>
    <w:div w:id="1611013285">
      <w:bodyDiv w:val="1"/>
      <w:marLeft w:val="0"/>
      <w:marRight w:val="0"/>
      <w:marTop w:val="0"/>
      <w:marBottom w:val="0"/>
      <w:divBdr>
        <w:top w:val="none" w:sz="0" w:space="0" w:color="auto"/>
        <w:left w:val="none" w:sz="0" w:space="0" w:color="auto"/>
        <w:bottom w:val="none" w:sz="0" w:space="0" w:color="auto"/>
        <w:right w:val="none" w:sz="0" w:space="0" w:color="auto"/>
      </w:divBdr>
    </w:div>
    <w:div w:id="1615209440">
      <w:bodyDiv w:val="1"/>
      <w:marLeft w:val="0"/>
      <w:marRight w:val="0"/>
      <w:marTop w:val="0"/>
      <w:marBottom w:val="0"/>
      <w:divBdr>
        <w:top w:val="none" w:sz="0" w:space="0" w:color="auto"/>
        <w:left w:val="none" w:sz="0" w:space="0" w:color="auto"/>
        <w:bottom w:val="none" w:sz="0" w:space="0" w:color="auto"/>
        <w:right w:val="none" w:sz="0" w:space="0" w:color="auto"/>
      </w:divBdr>
    </w:div>
    <w:div w:id="1639795843">
      <w:bodyDiv w:val="1"/>
      <w:marLeft w:val="0"/>
      <w:marRight w:val="0"/>
      <w:marTop w:val="0"/>
      <w:marBottom w:val="0"/>
      <w:divBdr>
        <w:top w:val="none" w:sz="0" w:space="0" w:color="auto"/>
        <w:left w:val="none" w:sz="0" w:space="0" w:color="auto"/>
        <w:bottom w:val="none" w:sz="0" w:space="0" w:color="auto"/>
        <w:right w:val="none" w:sz="0" w:space="0" w:color="auto"/>
      </w:divBdr>
    </w:div>
    <w:div w:id="1645811258">
      <w:bodyDiv w:val="1"/>
      <w:marLeft w:val="0"/>
      <w:marRight w:val="0"/>
      <w:marTop w:val="0"/>
      <w:marBottom w:val="0"/>
      <w:divBdr>
        <w:top w:val="none" w:sz="0" w:space="0" w:color="auto"/>
        <w:left w:val="none" w:sz="0" w:space="0" w:color="auto"/>
        <w:bottom w:val="none" w:sz="0" w:space="0" w:color="auto"/>
        <w:right w:val="none" w:sz="0" w:space="0" w:color="auto"/>
      </w:divBdr>
    </w:div>
    <w:div w:id="1651712236">
      <w:bodyDiv w:val="1"/>
      <w:marLeft w:val="0"/>
      <w:marRight w:val="0"/>
      <w:marTop w:val="0"/>
      <w:marBottom w:val="0"/>
      <w:divBdr>
        <w:top w:val="none" w:sz="0" w:space="0" w:color="auto"/>
        <w:left w:val="none" w:sz="0" w:space="0" w:color="auto"/>
        <w:bottom w:val="none" w:sz="0" w:space="0" w:color="auto"/>
        <w:right w:val="none" w:sz="0" w:space="0" w:color="auto"/>
      </w:divBdr>
    </w:div>
    <w:div w:id="1674604773">
      <w:bodyDiv w:val="1"/>
      <w:marLeft w:val="0"/>
      <w:marRight w:val="0"/>
      <w:marTop w:val="0"/>
      <w:marBottom w:val="0"/>
      <w:divBdr>
        <w:top w:val="none" w:sz="0" w:space="0" w:color="auto"/>
        <w:left w:val="none" w:sz="0" w:space="0" w:color="auto"/>
        <w:bottom w:val="none" w:sz="0" w:space="0" w:color="auto"/>
        <w:right w:val="none" w:sz="0" w:space="0" w:color="auto"/>
      </w:divBdr>
    </w:div>
    <w:div w:id="1694334174">
      <w:bodyDiv w:val="1"/>
      <w:marLeft w:val="0"/>
      <w:marRight w:val="0"/>
      <w:marTop w:val="0"/>
      <w:marBottom w:val="0"/>
      <w:divBdr>
        <w:top w:val="none" w:sz="0" w:space="0" w:color="auto"/>
        <w:left w:val="none" w:sz="0" w:space="0" w:color="auto"/>
        <w:bottom w:val="none" w:sz="0" w:space="0" w:color="auto"/>
        <w:right w:val="none" w:sz="0" w:space="0" w:color="auto"/>
      </w:divBdr>
    </w:div>
    <w:div w:id="1702977027">
      <w:bodyDiv w:val="1"/>
      <w:marLeft w:val="0"/>
      <w:marRight w:val="0"/>
      <w:marTop w:val="0"/>
      <w:marBottom w:val="0"/>
      <w:divBdr>
        <w:top w:val="none" w:sz="0" w:space="0" w:color="auto"/>
        <w:left w:val="none" w:sz="0" w:space="0" w:color="auto"/>
        <w:bottom w:val="none" w:sz="0" w:space="0" w:color="auto"/>
        <w:right w:val="none" w:sz="0" w:space="0" w:color="auto"/>
      </w:divBdr>
    </w:div>
    <w:div w:id="1714771540">
      <w:bodyDiv w:val="1"/>
      <w:marLeft w:val="0"/>
      <w:marRight w:val="0"/>
      <w:marTop w:val="0"/>
      <w:marBottom w:val="0"/>
      <w:divBdr>
        <w:top w:val="none" w:sz="0" w:space="0" w:color="auto"/>
        <w:left w:val="none" w:sz="0" w:space="0" w:color="auto"/>
        <w:bottom w:val="none" w:sz="0" w:space="0" w:color="auto"/>
        <w:right w:val="none" w:sz="0" w:space="0" w:color="auto"/>
      </w:divBdr>
    </w:div>
    <w:div w:id="1717970674">
      <w:bodyDiv w:val="1"/>
      <w:marLeft w:val="0"/>
      <w:marRight w:val="0"/>
      <w:marTop w:val="0"/>
      <w:marBottom w:val="0"/>
      <w:divBdr>
        <w:top w:val="none" w:sz="0" w:space="0" w:color="auto"/>
        <w:left w:val="none" w:sz="0" w:space="0" w:color="auto"/>
        <w:bottom w:val="none" w:sz="0" w:space="0" w:color="auto"/>
        <w:right w:val="none" w:sz="0" w:space="0" w:color="auto"/>
      </w:divBdr>
    </w:div>
    <w:div w:id="1718627999">
      <w:bodyDiv w:val="1"/>
      <w:marLeft w:val="0"/>
      <w:marRight w:val="0"/>
      <w:marTop w:val="0"/>
      <w:marBottom w:val="0"/>
      <w:divBdr>
        <w:top w:val="none" w:sz="0" w:space="0" w:color="auto"/>
        <w:left w:val="none" w:sz="0" w:space="0" w:color="auto"/>
        <w:bottom w:val="none" w:sz="0" w:space="0" w:color="auto"/>
        <w:right w:val="none" w:sz="0" w:space="0" w:color="auto"/>
      </w:divBdr>
    </w:div>
    <w:div w:id="1760364207">
      <w:bodyDiv w:val="1"/>
      <w:marLeft w:val="0"/>
      <w:marRight w:val="0"/>
      <w:marTop w:val="0"/>
      <w:marBottom w:val="0"/>
      <w:divBdr>
        <w:top w:val="none" w:sz="0" w:space="0" w:color="auto"/>
        <w:left w:val="none" w:sz="0" w:space="0" w:color="auto"/>
        <w:bottom w:val="none" w:sz="0" w:space="0" w:color="auto"/>
        <w:right w:val="none" w:sz="0" w:space="0" w:color="auto"/>
      </w:divBdr>
    </w:div>
    <w:div w:id="1788500207">
      <w:bodyDiv w:val="1"/>
      <w:marLeft w:val="0"/>
      <w:marRight w:val="0"/>
      <w:marTop w:val="0"/>
      <w:marBottom w:val="0"/>
      <w:divBdr>
        <w:top w:val="none" w:sz="0" w:space="0" w:color="auto"/>
        <w:left w:val="none" w:sz="0" w:space="0" w:color="auto"/>
        <w:bottom w:val="none" w:sz="0" w:space="0" w:color="auto"/>
        <w:right w:val="none" w:sz="0" w:space="0" w:color="auto"/>
      </w:divBdr>
    </w:div>
    <w:div w:id="1791583748">
      <w:bodyDiv w:val="1"/>
      <w:marLeft w:val="0"/>
      <w:marRight w:val="0"/>
      <w:marTop w:val="0"/>
      <w:marBottom w:val="0"/>
      <w:divBdr>
        <w:top w:val="none" w:sz="0" w:space="0" w:color="auto"/>
        <w:left w:val="none" w:sz="0" w:space="0" w:color="auto"/>
        <w:bottom w:val="none" w:sz="0" w:space="0" w:color="auto"/>
        <w:right w:val="none" w:sz="0" w:space="0" w:color="auto"/>
      </w:divBdr>
    </w:div>
    <w:div w:id="1820268103">
      <w:bodyDiv w:val="1"/>
      <w:marLeft w:val="0"/>
      <w:marRight w:val="0"/>
      <w:marTop w:val="0"/>
      <w:marBottom w:val="0"/>
      <w:divBdr>
        <w:top w:val="none" w:sz="0" w:space="0" w:color="auto"/>
        <w:left w:val="none" w:sz="0" w:space="0" w:color="auto"/>
        <w:bottom w:val="none" w:sz="0" w:space="0" w:color="auto"/>
        <w:right w:val="none" w:sz="0" w:space="0" w:color="auto"/>
      </w:divBdr>
    </w:div>
    <w:div w:id="1870605754">
      <w:bodyDiv w:val="1"/>
      <w:marLeft w:val="0"/>
      <w:marRight w:val="0"/>
      <w:marTop w:val="0"/>
      <w:marBottom w:val="0"/>
      <w:divBdr>
        <w:top w:val="none" w:sz="0" w:space="0" w:color="auto"/>
        <w:left w:val="none" w:sz="0" w:space="0" w:color="auto"/>
        <w:bottom w:val="none" w:sz="0" w:space="0" w:color="auto"/>
        <w:right w:val="none" w:sz="0" w:space="0" w:color="auto"/>
      </w:divBdr>
    </w:div>
    <w:div w:id="1871601511">
      <w:bodyDiv w:val="1"/>
      <w:marLeft w:val="0"/>
      <w:marRight w:val="0"/>
      <w:marTop w:val="0"/>
      <w:marBottom w:val="0"/>
      <w:divBdr>
        <w:top w:val="none" w:sz="0" w:space="0" w:color="auto"/>
        <w:left w:val="none" w:sz="0" w:space="0" w:color="auto"/>
        <w:bottom w:val="none" w:sz="0" w:space="0" w:color="auto"/>
        <w:right w:val="none" w:sz="0" w:space="0" w:color="auto"/>
      </w:divBdr>
    </w:div>
    <w:div w:id="1914509998">
      <w:bodyDiv w:val="1"/>
      <w:marLeft w:val="0"/>
      <w:marRight w:val="0"/>
      <w:marTop w:val="0"/>
      <w:marBottom w:val="0"/>
      <w:divBdr>
        <w:top w:val="none" w:sz="0" w:space="0" w:color="auto"/>
        <w:left w:val="none" w:sz="0" w:space="0" w:color="auto"/>
        <w:bottom w:val="none" w:sz="0" w:space="0" w:color="auto"/>
        <w:right w:val="none" w:sz="0" w:space="0" w:color="auto"/>
      </w:divBdr>
    </w:div>
    <w:div w:id="1919703644">
      <w:bodyDiv w:val="1"/>
      <w:marLeft w:val="0"/>
      <w:marRight w:val="0"/>
      <w:marTop w:val="0"/>
      <w:marBottom w:val="0"/>
      <w:divBdr>
        <w:top w:val="none" w:sz="0" w:space="0" w:color="auto"/>
        <w:left w:val="none" w:sz="0" w:space="0" w:color="auto"/>
        <w:bottom w:val="none" w:sz="0" w:space="0" w:color="auto"/>
        <w:right w:val="none" w:sz="0" w:space="0" w:color="auto"/>
      </w:divBdr>
    </w:div>
    <w:div w:id="1963149470">
      <w:bodyDiv w:val="1"/>
      <w:marLeft w:val="0"/>
      <w:marRight w:val="0"/>
      <w:marTop w:val="0"/>
      <w:marBottom w:val="0"/>
      <w:divBdr>
        <w:top w:val="none" w:sz="0" w:space="0" w:color="auto"/>
        <w:left w:val="none" w:sz="0" w:space="0" w:color="auto"/>
        <w:bottom w:val="none" w:sz="0" w:space="0" w:color="auto"/>
        <w:right w:val="none" w:sz="0" w:space="0" w:color="auto"/>
      </w:divBdr>
    </w:div>
    <w:div w:id="1981298860">
      <w:bodyDiv w:val="1"/>
      <w:marLeft w:val="0"/>
      <w:marRight w:val="0"/>
      <w:marTop w:val="0"/>
      <w:marBottom w:val="0"/>
      <w:divBdr>
        <w:top w:val="none" w:sz="0" w:space="0" w:color="auto"/>
        <w:left w:val="none" w:sz="0" w:space="0" w:color="auto"/>
        <w:bottom w:val="none" w:sz="0" w:space="0" w:color="auto"/>
        <w:right w:val="none" w:sz="0" w:space="0" w:color="auto"/>
      </w:divBdr>
    </w:div>
    <w:div w:id="2027242316">
      <w:bodyDiv w:val="1"/>
      <w:marLeft w:val="0"/>
      <w:marRight w:val="0"/>
      <w:marTop w:val="0"/>
      <w:marBottom w:val="0"/>
      <w:divBdr>
        <w:top w:val="none" w:sz="0" w:space="0" w:color="auto"/>
        <w:left w:val="none" w:sz="0" w:space="0" w:color="auto"/>
        <w:bottom w:val="none" w:sz="0" w:space="0" w:color="auto"/>
        <w:right w:val="none" w:sz="0" w:space="0" w:color="auto"/>
      </w:divBdr>
    </w:div>
    <w:div w:id="2029721901">
      <w:bodyDiv w:val="1"/>
      <w:marLeft w:val="0"/>
      <w:marRight w:val="0"/>
      <w:marTop w:val="0"/>
      <w:marBottom w:val="0"/>
      <w:divBdr>
        <w:top w:val="none" w:sz="0" w:space="0" w:color="auto"/>
        <w:left w:val="none" w:sz="0" w:space="0" w:color="auto"/>
        <w:bottom w:val="none" w:sz="0" w:space="0" w:color="auto"/>
        <w:right w:val="none" w:sz="0" w:space="0" w:color="auto"/>
      </w:divBdr>
    </w:div>
    <w:div w:id="2135370551">
      <w:bodyDiv w:val="1"/>
      <w:marLeft w:val="0"/>
      <w:marRight w:val="0"/>
      <w:marTop w:val="0"/>
      <w:marBottom w:val="0"/>
      <w:divBdr>
        <w:top w:val="none" w:sz="0" w:space="0" w:color="auto"/>
        <w:left w:val="none" w:sz="0" w:space="0" w:color="auto"/>
        <w:bottom w:val="none" w:sz="0" w:space="0" w:color="auto"/>
        <w:right w:val="none" w:sz="0" w:space="0" w:color="auto"/>
      </w:divBdr>
      <w:divsChild>
        <w:div w:id="48204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nhs.uk"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ngland.nhs.uk/2023/11/tens-of-thousands-of-women-set-to-benefit-from-repurposed-nhs-drug-to-prevent-breast-cance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nwmedinfo@nhs.net?subject=New%20Medicines%20Newslett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ukmi.nhs.uk/nd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wmedinfo@nhs.net?subject=New%20Medicines%20Newslet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wmedinfo@nhs.net?subject=New%20Medicines%20Newslett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s://www.sps.nhs.uk/articles/sps-horizon-scanning/" TargetMode="External"/><Relationship Id="rId2" Type="http://schemas.openxmlformats.org/officeDocument/2006/relationships/image" Target="media/image4.png"/><Relationship Id="rId1" Type="http://schemas.openxmlformats.org/officeDocument/2006/relationships/image" Target="media/image2.jpeg"/><Relationship Id="rId4" Type="http://schemas.openxmlformats.org/officeDocument/2006/relationships/hyperlink" Target="https://www.sps.nhs.uk/home/planning/annual-medicines-planning/"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PU\MedicinesInfo\Publications%20NWMIC\New%20Medicines%20News%20(incl%20Clinical%20Pharmacist)\Admin\Archive\Template\New%20Medicines%20News%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E074-DAC3-464B-8E55-38477415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Medicines News template 2023</Template>
  <TotalTime>1404</TotalTime>
  <Pages>7</Pages>
  <Words>3310</Words>
  <Characters>20955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NDO home | Contact | Register for NDO access</vt:lpstr>
    </vt:vector>
  </TitlesOfParts>
  <Company>NMHIS</Company>
  <LinksUpToDate>false</LinksUpToDate>
  <CharactersWithSpaces>24217</CharactersWithSpaces>
  <SharedDoc>false</SharedDoc>
  <HLinks>
    <vt:vector size="498" baseType="variant">
      <vt:variant>
        <vt:i4>458841</vt:i4>
      </vt:variant>
      <vt:variant>
        <vt:i4>228</vt:i4>
      </vt:variant>
      <vt:variant>
        <vt:i4>0</vt:i4>
      </vt:variant>
      <vt:variant>
        <vt:i4>5</vt:i4>
      </vt:variant>
      <vt:variant>
        <vt:lpwstr>https://www.sps.nhs.uk/medicines/zuranolone/</vt:lpwstr>
      </vt:variant>
      <vt:variant>
        <vt:lpwstr/>
      </vt:variant>
      <vt:variant>
        <vt:i4>7602219</vt:i4>
      </vt:variant>
      <vt:variant>
        <vt:i4>225</vt:i4>
      </vt:variant>
      <vt:variant>
        <vt:i4>0</vt:i4>
      </vt:variant>
      <vt:variant>
        <vt:i4>5</vt:i4>
      </vt:variant>
      <vt:variant>
        <vt:lpwstr>https://www.sps.nhs.uk/medicines/zoliflodacin/</vt:lpwstr>
      </vt:variant>
      <vt:variant>
        <vt:lpwstr/>
      </vt:variant>
      <vt:variant>
        <vt:i4>8323111</vt:i4>
      </vt:variant>
      <vt:variant>
        <vt:i4>222</vt:i4>
      </vt:variant>
      <vt:variant>
        <vt:i4>0</vt:i4>
      </vt:variant>
      <vt:variant>
        <vt:i4>5</vt:i4>
      </vt:variant>
      <vt:variant>
        <vt:lpwstr>https://www.sps.nhs.uk/medicines/upadacitinib/</vt:lpwstr>
      </vt:variant>
      <vt:variant>
        <vt:lpwstr/>
      </vt:variant>
      <vt:variant>
        <vt:i4>5570648</vt:i4>
      </vt:variant>
      <vt:variant>
        <vt:i4>219</vt:i4>
      </vt:variant>
      <vt:variant>
        <vt:i4>0</vt:i4>
      </vt:variant>
      <vt:variant>
        <vt:i4>5</vt:i4>
      </vt:variant>
      <vt:variant>
        <vt:lpwstr>https://www.sps.nhs.uk/medicines/sep-363856/</vt:lpwstr>
      </vt:variant>
      <vt:variant>
        <vt:lpwstr/>
      </vt:variant>
      <vt:variant>
        <vt:i4>131160</vt:i4>
      </vt:variant>
      <vt:variant>
        <vt:i4>216</vt:i4>
      </vt:variant>
      <vt:variant>
        <vt:i4>0</vt:i4>
      </vt:variant>
      <vt:variant>
        <vt:i4>5</vt:i4>
      </vt:variant>
      <vt:variant>
        <vt:lpwstr>https://www.sps.nhs.uk/medicines/padesvonil/</vt:lpwstr>
      </vt:variant>
      <vt:variant>
        <vt:lpwstr/>
      </vt:variant>
      <vt:variant>
        <vt:i4>4456520</vt:i4>
      </vt:variant>
      <vt:variant>
        <vt:i4>213</vt:i4>
      </vt:variant>
      <vt:variant>
        <vt:i4>0</vt:i4>
      </vt:variant>
      <vt:variant>
        <vt:i4>5</vt:i4>
      </vt:variant>
      <vt:variant>
        <vt:lpwstr>https://www.sps.nhs.uk/medicines/opiranserin/</vt:lpwstr>
      </vt:variant>
      <vt:variant>
        <vt:lpwstr/>
      </vt:variant>
      <vt:variant>
        <vt:i4>2555944</vt:i4>
      </vt:variant>
      <vt:variant>
        <vt:i4>210</vt:i4>
      </vt:variant>
      <vt:variant>
        <vt:i4>0</vt:i4>
      </vt:variant>
      <vt:variant>
        <vt:i4>5</vt:i4>
      </vt:variant>
      <vt:variant>
        <vt:lpwstr>https://www.sps.nhs.uk/medicines/mitapivat/</vt:lpwstr>
      </vt:variant>
      <vt:variant>
        <vt:lpwstr/>
      </vt:variant>
      <vt:variant>
        <vt:i4>393288</vt:i4>
      </vt:variant>
      <vt:variant>
        <vt:i4>207</vt:i4>
      </vt:variant>
      <vt:variant>
        <vt:i4>0</vt:i4>
      </vt:variant>
      <vt:variant>
        <vt:i4>5</vt:i4>
      </vt:variant>
      <vt:variant>
        <vt:lpwstr>https://www.sps.nhs.uk/medicines/linzagolix/</vt:lpwstr>
      </vt:variant>
      <vt:variant>
        <vt:lpwstr/>
      </vt:variant>
      <vt:variant>
        <vt:i4>3604520</vt:i4>
      </vt:variant>
      <vt:variant>
        <vt:i4>204</vt:i4>
      </vt:variant>
      <vt:variant>
        <vt:i4>0</vt:i4>
      </vt:variant>
      <vt:variant>
        <vt:i4>5</vt:i4>
      </vt:variant>
      <vt:variant>
        <vt:lpwstr>https://www.sps.nhs.uk/medicines/leriglitazone/</vt:lpwstr>
      </vt:variant>
      <vt:variant>
        <vt:lpwstr/>
      </vt:variant>
      <vt:variant>
        <vt:i4>7929889</vt:i4>
      </vt:variant>
      <vt:variant>
        <vt:i4>201</vt:i4>
      </vt:variant>
      <vt:variant>
        <vt:i4>0</vt:i4>
      </vt:variant>
      <vt:variant>
        <vt:i4>5</vt:i4>
      </vt:variant>
      <vt:variant>
        <vt:lpwstr>https://www.sps.nhs.uk/medicines/lebrikizumab/</vt:lpwstr>
      </vt:variant>
      <vt:variant>
        <vt:lpwstr/>
      </vt:variant>
      <vt:variant>
        <vt:i4>524381</vt:i4>
      </vt:variant>
      <vt:variant>
        <vt:i4>198</vt:i4>
      </vt:variant>
      <vt:variant>
        <vt:i4>0</vt:i4>
      </vt:variant>
      <vt:variant>
        <vt:i4>5</vt:i4>
      </vt:variant>
      <vt:variant>
        <vt:lpwstr>https://www.sps.nhs.uk/medicines/glatiramer/</vt:lpwstr>
      </vt:variant>
      <vt:variant>
        <vt:lpwstr/>
      </vt:variant>
      <vt:variant>
        <vt:i4>5832790</vt:i4>
      </vt:variant>
      <vt:variant>
        <vt:i4>195</vt:i4>
      </vt:variant>
      <vt:variant>
        <vt:i4>0</vt:i4>
      </vt:variant>
      <vt:variant>
        <vt:i4>5</vt:i4>
      </vt:variant>
      <vt:variant>
        <vt:lpwstr>https://www.sps.nhs.uk/medicines/fcr-001/</vt:lpwstr>
      </vt:variant>
      <vt:variant>
        <vt:lpwstr/>
      </vt:variant>
      <vt:variant>
        <vt:i4>3080232</vt:i4>
      </vt:variant>
      <vt:variant>
        <vt:i4>192</vt:i4>
      </vt:variant>
      <vt:variant>
        <vt:i4>0</vt:i4>
      </vt:variant>
      <vt:variant>
        <vt:i4>5</vt:i4>
      </vt:variant>
      <vt:variant>
        <vt:lpwstr>https://www.sps.nhs.uk/medicines/empagliflozin/</vt:lpwstr>
      </vt:variant>
      <vt:variant>
        <vt:lpwstr/>
      </vt:variant>
      <vt:variant>
        <vt:i4>2752551</vt:i4>
      </vt:variant>
      <vt:variant>
        <vt:i4>189</vt:i4>
      </vt:variant>
      <vt:variant>
        <vt:i4>0</vt:i4>
      </vt:variant>
      <vt:variant>
        <vt:i4>5</vt:i4>
      </vt:variant>
      <vt:variant>
        <vt:lpwstr>https://www.sps.nhs.uk/medicines/diazoxide/</vt:lpwstr>
      </vt:variant>
      <vt:variant>
        <vt:lpwstr/>
      </vt:variant>
      <vt:variant>
        <vt:i4>6815782</vt:i4>
      </vt:variant>
      <vt:variant>
        <vt:i4>186</vt:i4>
      </vt:variant>
      <vt:variant>
        <vt:i4>0</vt:i4>
      </vt:variant>
      <vt:variant>
        <vt:i4>5</vt:i4>
      </vt:variant>
      <vt:variant>
        <vt:lpwstr>https://www.sps.nhs.uk/medicines/dasiglucagon/</vt:lpwstr>
      </vt:variant>
      <vt:variant>
        <vt:lpwstr/>
      </vt:variant>
      <vt:variant>
        <vt:i4>4194380</vt:i4>
      </vt:variant>
      <vt:variant>
        <vt:i4>183</vt:i4>
      </vt:variant>
      <vt:variant>
        <vt:i4>0</vt:i4>
      </vt:variant>
      <vt:variant>
        <vt:i4>5</vt:i4>
      </vt:variant>
      <vt:variant>
        <vt:lpwstr>https://www.sps.nhs.uk/medicines/cyclobenzaprine/</vt:lpwstr>
      </vt:variant>
      <vt:variant>
        <vt:lpwstr/>
      </vt:variant>
      <vt:variant>
        <vt:i4>1179733</vt:i4>
      </vt:variant>
      <vt:variant>
        <vt:i4>180</vt:i4>
      </vt:variant>
      <vt:variant>
        <vt:i4>0</vt:i4>
      </vt:variant>
      <vt:variant>
        <vt:i4>5</vt:i4>
      </vt:variant>
      <vt:variant>
        <vt:lpwstr>https://www.sps.nhs.uk/medicines/bumetanide/</vt:lpwstr>
      </vt:variant>
      <vt:variant>
        <vt:lpwstr/>
      </vt:variant>
      <vt:variant>
        <vt:i4>1835099</vt:i4>
      </vt:variant>
      <vt:variant>
        <vt:i4>177</vt:i4>
      </vt:variant>
      <vt:variant>
        <vt:i4>0</vt:i4>
      </vt:variant>
      <vt:variant>
        <vt:i4>5</vt:i4>
      </vt:variant>
      <vt:variant>
        <vt:lpwstr>https://www.sps.nhs.uk/medicines/budesonide/</vt:lpwstr>
      </vt:variant>
      <vt:variant>
        <vt:lpwstr/>
      </vt:variant>
      <vt:variant>
        <vt:i4>1638427</vt:i4>
      </vt:variant>
      <vt:variant>
        <vt:i4>174</vt:i4>
      </vt:variant>
      <vt:variant>
        <vt:i4>0</vt:i4>
      </vt:variant>
      <vt:variant>
        <vt:i4>5</vt:i4>
      </vt:variant>
      <vt:variant>
        <vt:lpwstr>https://www.sps.nhs.uk/medicines/bardoxolone-methyl/</vt:lpwstr>
      </vt:variant>
      <vt:variant>
        <vt:lpwstr/>
      </vt:variant>
      <vt:variant>
        <vt:i4>5767195</vt:i4>
      </vt:variant>
      <vt:variant>
        <vt:i4>171</vt:i4>
      </vt:variant>
      <vt:variant>
        <vt:i4>0</vt:i4>
      </vt:variant>
      <vt:variant>
        <vt:i4>5</vt:i4>
      </vt:variant>
      <vt:variant>
        <vt:lpwstr>https://www.sps.nhs.uk/medicines/autologous-bm-derived-stem-cell-therapy/</vt:lpwstr>
      </vt:variant>
      <vt:variant>
        <vt:lpwstr/>
      </vt:variant>
      <vt:variant>
        <vt:i4>4587591</vt:i4>
      </vt:variant>
      <vt:variant>
        <vt:i4>168</vt:i4>
      </vt:variant>
      <vt:variant>
        <vt:i4>0</vt:i4>
      </vt:variant>
      <vt:variant>
        <vt:i4>5</vt:i4>
      </vt:variant>
      <vt:variant>
        <vt:lpwstr>https://www.sps.nhs.uk/medicines/at-gtx-501/</vt:lpwstr>
      </vt:variant>
      <vt:variant>
        <vt:lpwstr/>
      </vt:variant>
      <vt:variant>
        <vt:i4>7864359</vt:i4>
      </vt:variant>
      <vt:variant>
        <vt:i4>165</vt:i4>
      </vt:variant>
      <vt:variant>
        <vt:i4>0</vt:i4>
      </vt:variant>
      <vt:variant>
        <vt:i4>5</vt:i4>
      </vt:variant>
      <vt:variant>
        <vt:lpwstr>https://www.sps.nhs.uk/medicines/telapristone/</vt:lpwstr>
      </vt:variant>
      <vt:variant>
        <vt:lpwstr/>
      </vt:variant>
      <vt:variant>
        <vt:i4>7864359</vt:i4>
      </vt:variant>
      <vt:variant>
        <vt:i4>162</vt:i4>
      </vt:variant>
      <vt:variant>
        <vt:i4>0</vt:i4>
      </vt:variant>
      <vt:variant>
        <vt:i4>5</vt:i4>
      </vt:variant>
      <vt:variant>
        <vt:lpwstr>https://www.sps.nhs.uk/medicines/telapristone/</vt:lpwstr>
      </vt:variant>
      <vt:variant>
        <vt:lpwstr/>
      </vt:variant>
      <vt:variant>
        <vt:i4>1769490</vt:i4>
      </vt:variant>
      <vt:variant>
        <vt:i4>159</vt:i4>
      </vt:variant>
      <vt:variant>
        <vt:i4>0</vt:i4>
      </vt:variant>
      <vt:variant>
        <vt:i4>5</vt:i4>
      </vt:variant>
      <vt:variant>
        <vt:lpwstr>https://www.sps.nhs.uk/medicines/t-cell-replacement-therapy/</vt:lpwstr>
      </vt:variant>
      <vt:variant>
        <vt:lpwstr/>
      </vt:variant>
      <vt:variant>
        <vt:i4>1245262</vt:i4>
      </vt:variant>
      <vt:variant>
        <vt:i4>156</vt:i4>
      </vt:variant>
      <vt:variant>
        <vt:i4>0</vt:i4>
      </vt:variant>
      <vt:variant>
        <vt:i4>5</vt:i4>
      </vt:variant>
      <vt:variant>
        <vt:lpwstr>https://www.sps.nhs.uk/medicines/salmeterol/</vt:lpwstr>
      </vt:variant>
      <vt:variant>
        <vt:lpwstr/>
      </vt:variant>
      <vt:variant>
        <vt:i4>1966174</vt:i4>
      </vt:variant>
      <vt:variant>
        <vt:i4>153</vt:i4>
      </vt:variant>
      <vt:variant>
        <vt:i4>0</vt:i4>
      </vt:variant>
      <vt:variant>
        <vt:i4>5</vt:i4>
      </vt:variant>
      <vt:variant>
        <vt:lpwstr>https://www.sps.nhs.uk/medicines/rapastinel/</vt:lpwstr>
      </vt:variant>
      <vt:variant>
        <vt:lpwstr/>
      </vt:variant>
      <vt:variant>
        <vt:i4>3276927</vt:i4>
      </vt:variant>
      <vt:variant>
        <vt:i4>150</vt:i4>
      </vt:variant>
      <vt:variant>
        <vt:i4>0</vt:i4>
      </vt:variant>
      <vt:variant>
        <vt:i4>5</vt:i4>
      </vt:variant>
      <vt:variant>
        <vt:lpwstr>https://www.sps.nhs.uk/medicines/pegylated-recombinant-human-hyaluronidase/</vt:lpwstr>
      </vt:variant>
      <vt:variant>
        <vt:lpwstr/>
      </vt:variant>
      <vt:variant>
        <vt:i4>4849741</vt:i4>
      </vt:variant>
      <vt:variant>
        <vt:i4>147</vt:i4>
      </vt:variant>
      <vt:variant>
        <vt:i4>0</vt:i4>
      </vt:variant>
      <vt:variant>
        <vt:i4>5</vt:i4>
      </vt:variant>
      <vt:variant>
        <vt:lpwstr>https://www.sps.nhs.uk/medicines/nilvadipine/</vt:lpwstr>
      </vt:variant>
      <vt:variant>
        <vt:lpwstr/>
      </vt:variant>
      <vt:variant>
        <vt:i4>7798828</vt:i4>
      </vt:variant>
      <vt:variant>
        <vt:i4>144</vt:i4>
      </vt:variant>
      <vt:variant>
        <vt:i4>0</vt:i4>
      </vt:variant>
      <vt:variant>
        <vt:i4>5</vt:i4>
      </vt:variant>
      <vt:variant>
        <vt:lpwstr>https://www.sps.nhs.uk/medicines/naloxone/</vt:lpwstr>
      </vt:variant>
      <vt:variant>
        <vt:lpwstr/>
      </vt:variant>
      <vt:variant>
        <vt:i4>1441887</vt:i4>
      </vt:variant>
      <vt:variant>
        <vt:i4>141</vt:i4>
      </vt:variant>
      <vt:variant>
        <vt:i4>0</vt:i4>
      </vt:variant>
      <vt:variant>
        <vt:i4>5</vt:i4>
      </vt:variant>
      <vt:variant>
        <vt:lpwstr>https://www.sps.nhs.uk/medicines/macitentan/</vt:lpwstr>
      </vt:variant>
      <vt:variant>
        <vt:lpwstr/>
      </vt:variant>
      <vt:variant>
        <vt:i4>6225993</vt:i4>
      </vt:variant>
      <vt:variant>
        <vt:i4>138</vt:i4>
      </vt:variant>
      <vt:variant>
        <vt:i4>0</vt:i4>
      </vt:variant>
      <vt:variant>
        <vt:i4>5</vt:i4>
      </vt:variant>
      <vt:variant>
        <vt:lpwstr>https://www.sps.nhs.uk/medicines/hydroxyprogesterone/</vt:lpwstr>
      </vt:variant>
      <vt:variant>
        <vt:lpwstr/>
      </vt:variant>
      <vt:variant>
        <vt:i4>2687026</vt:i4>
      </vt:variant>
      <vt:variant>
        <vt:i4>135</vt:i4>
      </vt:variant>
      <vt:variant>
        <vt:i4>0</vt:i4>
      </vt:variant>
      <vt:variant>
        <vt:i4>5</vt:i4>
      </vt:variant>
      <vt:variant>
        <vt:lpwstr>https://www.sps.nhs.uk/medicines/ciprofloxacin/</vt:lpwstr>
      </vt:variant>
      <vt:variant>
        <vt:lpwstr/>
      </vt:variant>
      <vt:variant>
        <vt:i4>196702</vt:i4>
      </vt:variant>
      <vt:variant>
        <vt:i4>132</vt:i4>
      </vt:variant>
      <vt:variant>
        <vt:i4>0</vt:i4>
      </vt:variant>
      <vt:variant>
        <vt:i4>5</vt:i4>
      </vt:variant>
      <vt:variant>
        <vt:lpwstr>https://www.sps.nhs.uk/medicines/calcitonin/</vt:lpwstr>
      </vt:variant>
      <vt:variant>
        <vt:lpwstr/>
      </vt:variant>
      <vt:variant>
        <vt:i4>7667749</vt:i4>
      </vt:variant>
      <vt:variant>
        <vt:i4>129</vt:i4>
      </vt:variant>
      <vt:variant>
        <vt:i4>0</vt:i4>
      </vt:variant>
      <vt:variant>
        <vt:i4>5</vt:i4>
      </vt:variant>
      <vt:variant>
        <vt:lpwstr>https://www.sps.nhs.uk/medicines/c1-esterase-inhibitor/</vt:lpwstr>
      </vt:variant>
      <vt:variant>
        <vt:lpwstr/>
      </vt:variant>
      <vt:variant>
        <vt:i4>2490478</vt:i4>
      </vt:variant>
      <vt:variant>
        <vt:i4>126</vt:i4>
      </vt:variant>
      <vt:variant>
        <vt:i4>0</vt:i4>
      </vt:variant>
      <vt:variant>
        <vt:i4>5</vt:i4>
      </vt:variant>
      <vt:variant>
        <vt:lpwstr>https://www.sps.nhs.uk/medicines/buprenorphine-samidorphan/</vt:lpwstr>
      </vt:variant>
      <vt:variant>
        <vt:lpwstr/>
      </vt:variant>
      <vt:variant>
        <vt:i4>2621493</vt:i4>
      </vt:variant>
      <vt:variant>
        <vt:i4>123</vt:i4>
      </vt:variant>
      <vt:variant>
        <vt:i4>0</vt:i4>
      </vt:variant>
      <vt:variant>
        <vt:i4>5</vt:i4>
      </vt:variant>
      <vt:variant>
        <vt:lpwstr>https://www.sps.nhs.uk/medicines/buprenorphine/</vt:lpwstr>
      </vt:variant>
      <vt:variant>
        <vt:lpwstr/>
      </vt:variant>
      <vt:variant>
        <vt:i4>3538984</vt:i4>
      </vt:variant>
      <vt:variant>
        <vt:i4>120</vt:i4>
      </vt:variant>
      <vt:variant>
        <vt:i4>0</vt:i4>
      </vt:variant>
      <vt:variant>
        <vt:i4>5</vt:i4>
      </vt:variant>
      <vt:variant>
        <vt:lpwstr>https://www.sps.nhs.uk/medicines/botulinum-a-toxin/</vt:lpwstr>
      </vt:variant>
      <vt:variant>
        <vt:lpwstr/>
      </vt:variant>
      <vt:variant>
        <vt:i4>458843</vt:i4>
      </vt:variant>
      <vt:variant>
        <vt:i4>117</vt:i4>
      </vt:variant>
      <vt:variant>
        <vt:i4>0</vt:i4>
      </vt:variant>
      <vt:variant>
        <vt:i4>5</vt:i4>
      </vt:variant>
      <vt:variant>
        <vt:lpwstr>https://www.sps.nhs.uk/medicines/biotin/</vt:lpwstr>
      </vt:variant>
      <vt:variant>
        <vt:lpwstr/>
      </vt:variant>
      <vt:variant>
        <vt:i4>3145761</vt:i4>
      </vt:variant>
      <vt:variant>
        <vt:i4>114</vt:i4>
      </vt:variant>
      <vt:variant>
        <vt:i4>0</vt:i4>
      </vt:variant>
      <vt:variant>
        <vt:i4>5</vt:i4>
      </vt:variant>
      <vt:variant>
        <vt:lpwstr>https://www.sps.nhs.uk/medicines/arbaclofen-placarbil/</vt:lpwstr>
      </vt:variant>
      <vt:variant>
        <vt:lpwstr/>
      </vt:variant>
      <vt:variant>
        <vt:i4>1572889</vt:i4>
      </vt:variant>
      <vt:variant>
        <vt:i4>111</vt:i4>
      </vt:variant>
      <vt:variant>
        <vt:i4>0</vt:i4>
      </vt:variant>
      <vt:variant>
        <vt:i4>5</vt:i4>
      </vt:variant>
      <vt:variant>
        <vt:lpwstr>https://www.sps.nhs.uk/medicines/valoctocogene-roxaparvovec/</vt:lpwstr>
      </vt:variant>
      <vt:variant>
        <vt:lpwstr/>
      </vt:variant>
      <vt:variant>
        <vt:i4>2031697</vt:i4>
      </vt:variant>
      <vt:variant>
        <vt:i4>108</vt:i4>
      </vt:variant>
      <vt:variant>
        <vt:i4>0</vt:i4>
      </vt:variant>
      <vt:variant>
        <vt:i4>5</vt:i4>
      </vt:variant>
      <vt:variant>
        <vt:lpwstr>https://www.sps.nhs.uk/medicines/meningococcal-groups-a-c-w135-y-vaccine/</vt:lpwstr>
      </vt:variant>
      <vt:variant>
        <vt:lpwstr/>
      </vt:variant>
      <vt:variant>
        <vt:i4>5374020</vt:i4>
      </vt:variant>
      <vt:variant>
        <vt:i4>105</vt:i4>
      </vt:variant>
      <vt:variant>
        <vt:i4>0</vt:i4>
      </vt:variant>
      <vt:variant>
        <vt:i4>5</vt:i4>
      </vt:variant>
      <vt:variant>
        <vt:lpwstr>https://www.sps.nhs.uk/medicines/encorafenib/</vt:lpwstr>
      </vt:variant>
      <vt:variant>
        <vt:lpwstr/>
      </vt:variant>
      <vt:variant>
        <vt:i4>7209001</vt:i4>
      </vt:variant>
      <vt:variant>
        <vt:i4>102</vt:i4>
      </vt:variant>
      <vt:variant>
        <vt:i4>0</vt:i4>
      </vt:variant>
      <vt:variant>
        <vt:i4>5</vt:i4>
      </vt:variant>
      <vt:variant>
        <vt:lpwstr>https://www.sps.nhs.uk/medicines/elexacaftor-ivacaftor-tezacaftor/</vt:lpwstr>
      </vt:variant>
      <vt:variant>
        <vt:lpwstr/>
      </vt:variant>
      <vt:variant>
        <vt:i4>4849729</vt:i4>
      </vt:variant>
      <vt:variant>
        <vt:i4>99</vt:i4>
      </vt:variant>
      <vt:variant>
        <vt:i4>0</vt:i4>
      </vt:variant>
      <vt:variant>
        <vt:i4>5</vt:i4>
      </vt:variant>
      <vt:variant>
        <vt:lpwstr>https://www.sps.nhs.uk/medicines/bulevirtide/</vt:lpwstr>
      </vt:variant>
      <vt:variant>
        <vt:lpwstr/>
      </vt:variant>
      <vt:variant>
        <vt:i4>5570637</vt:i4>
      </vt:variant>
      <vt:variant>
        <vt:i4>96</vt:i4>
      </vt:variant>
      <vt:variant>
        <vt:i4>0</vt:i4>
      </vt:variant>
      <vt:variant>
        <vt:i4>5</vt:i4>
      </vt:variant>
      <vt:variant>
        <vt:lpwstr>https://www.sps.nhs.uk/medicines/binimetinib/</vt:lpwstr>
      </vt:variant>
      <vt:variant>
        <vt:lpwstr/>
      </vt:variant>
      <vt:variant>
        <vt:i4>4128817</vt:i4>
      </vt:variant>
      <vt:variant>
        <vt:i4>93</vt:i4>
      </vt:variant>
      <vt:variant>
        <vt:i4>0</vt:i4>
      </vt:variant>
      <vt:variant>
        <vt:i4>5</vt:i4>
      </vt:variant>
      <vt:variant>
        <vt:lpwstr>https://www.sps.nhs.uk/medicines/ad26-ebov-vaccine/</vt:lpwstr>
      </vt:variant>
      <vt:variant>
        <vt:lpwstr/>
      </vt:variant>
      <vt:variant>
        <vt:i4>2555952</vt:i4>
      </vt:variant>
      <vt:variant>
        <vt:i4>90</vt:i4>
      </vt:variant>
      <vt:variant>
        <vt:i4>0</vt:i4>
      </vt:variant>
      <vt:variant>
        <vt:i4>5</vt:i4>
      </vt:variant>
      <vt:variant>
        <vt:lpwstr>https://www.sps.nhs.uk/medicines/acalabrutinib/</vt:lpwstr>
      </vt:variant>
      <vt:variant>
        <vt:lpwstr/>
      </vt:variant>
      <vt:variant>
        <vt:i4>2818164</vt:i4>
      </vt:variant>
      <vt:variant>
        <vt:i4>87</vt:i4>
      </vt:variant>
      <vt:variant>
        <vt:i4>0</vt:i4>
      </vt:variant>
      <vt:variant>
        <vt:i4>5</vt:i4>
      </vt:variant>
      <vt:variant>
        <vt:lpwstr>https://www.sps.nhs.uk/medicines/trastuzumab-emtansine/</vt:lpwstr>
      </vt:variant>
      <vt:variant>
        <vt:lpwstr/>
      </vt:variant>
      <vt:variant>
        <vt:i4>7471146</vt:i4>
      </vt:variant>
      <vt:variant>
        <vt:i4>84</vt:i4>
      </vt:variant>
      <vt:variant>
        <vt:i4>0</vt:i4>
      </vt:variant>
      <vt:variant>
        <vt:i4>5</vt:i4>
      </vt:variant>
      <vt:variant>
        <vt:lpwstr>https://www.sps.nhs.uk/medicines/solriamfetol/</vt:lpwstr>
      </vt:variant>
      <vt:variant>
        <vt:lpwstr/>
      </vt:variant>
      <vt:variant>
        <vt:i4>2621480</vt:i4>
      </vt:variant>
      <vt:variant>
        <vt:i4>81</vt:i4>
      </vt:variant>
      <vt:variant>
        <vt:i4>0</vt:i4>
      </vt:variant>
      <vt:variant>
        <vt:i4>5</vt:i4>
      </vt:variant>
      <vt:variant>
        <vt:lpwstr>https://www.sps.nhs.uk/medicines/siponimod/</vt:lpwstr>
      </vt:variant>
      <vt:variant>
        <vt:lpwstr/>
      </vt:variant>
      <vt:variant>
        <vt:i4>5308487</vt:i4>
      </vt:variant>
      <vt:variant>
        <vt:i4>78</vt:i4>
      </vt:variant>
      <vt:variant>
        <vt:i4>0</vt:i4>
      </vt:variant>
      <vt:variant>
        <vt:i4>5</vt:i4>
      </vt:variant>
      <vt:variant>
        <vt:lpwstr>https://www.sps.nhs.uk/medicines/polatuzumab/</vt:lpwstr>
      </vt:variant>
      <vt:variant>
        <vt:lpwstr/>
      </vt:variant>
      <vt:variant>
        <vt:i4>6946876</vt:i4>
      </vt:variant>
      <vt:variant>
        <vt:i4>75</vt:i4>
      </vt:variant>
      <vt:variant>
        <vt:i4>0</vt:i4>
      </vt:variant>
      <vt:variant>
        <vt:i4>5</vt:i4>
      </vt:variant>
      <vt:variant>
        <vt:lpwstr>https://www.sps.nhs.uk/medicines/osilodrostat/</vt:lpwstr>
      </vt:variant>
      <vt:variant>
        <vt:lpwstr/>
      </vt:variant>
      <vt:variant>
        <vt:i4>6291494</vt:i4>
      </vt:variant>
      <vt:variant>
        <vt:i4>72</vt:i4>
      </vt:variant>
      <vt:variant>
        <vt:i4>0</vt:i4>
      </vt:variant>
      <vt:variant>
        <vt:i4>5</vt:i4>
      </vt:variant>
      <vt:variant>
        <vt:lpwstr>https://www.sps.nhs.uk/medicines/lenalidomide/</vt:lpwstr>
      </vt:variant>
      <vt:variant>
        <vt:lpwstr/>
      </vt:variant>
      <vt:variant>
        <vt:i4>7733280</vt:i4>
      </vt:variant>
      <vt:variant>
        <vt:i4>69</vt:i4>
      </vt:variant>
      <vt:variant>
        <vt:i4>0</vt:i4>
      </vt:variant>
      <vt:variant>
        <vt:i4>5</vt:i4>
      </vt:variant>
      <vt:variant>
        <vt:lpwstr>https://www.sps.nhs.uk/medicines/fostamatinib-disodium/</vt:lpwstr>
      </vt:variant>
      <vt:variant>
        <vt:lpwstr/>
      </vt:variant>
      <vt:variant>
        <vt:i4>3342373</vt:i4>
      </vt:variant>
      <vt:variant>
        <vt:i4>66</vt:i4>
      </vt:variant>
      <vt:variant>
        <vt:i4>0</vt:i4>
      </vt:variant>
      <vt:variant>
        <vt:i4>5</vt:i4>
      </vt:variant>
      <vt:variant>
        <vt:lpwstr>https://www.sps.nhs.uk/medicines/trientine/</vt:lpwstr>
      </vt:variant>
      <vt:variant>
        <vt:lpwstr/>
      </vt:variant>
      <vt:variant>
        <vt:i4>1900625</vt:i4>
      </vt:variant>
      <vt:variant>
        <vt:i4>63</vt:i4>
      </vt:variant>
      <vt:variant>
        <vt:i4>0</vt:i4>
      </vt:variant>
      <vt:variant>
        <vt:i4>5</vt:i4>
      </vt:variant>
      <vt:variant>
        <vt:lpwstr>https://www.sps.nhs.uk/medicines/netarsudil-mesilate/</vt:lpwstr>
      </vt:variant>
      <vt:variant>
        <vt:lpwstr/>
      </vt:variant>
      <vt:variant>
        <vt:i4>7143468</vt:i4>
      </vt:variant>
      <vt:variant>
        <vt:i4>60</vt:i4>
      </vt:variant>
      <vt:variant>
        <vt:i4>0</vt:i4>
      </vt:variant>
      <vt:variant>
        <vt:i4>5</vt:i4>
      </vt:variant>
      <vt:variant>
        <vt:lpwstr>https://www.sps.nhs.uk/medicines/levodopa/</vt:lpwstr>
      </vt:variant>
      <vt:variant>
        <vt:lpwstr/>
      </vt:variant>
      <vt:variant>
        <vt:i4>852061</vt:i4>
      </vt:variant>
      <vt:variant>
        <vt:i4>57</vt:i4>
      </vt:variant>
      <vt:variant>
        <vt:i4>0</vt:i4>
      </vt:variant>
      <vt:variant>
        <vt:i4>5</vt:i4>
      </vt:variant>
      <vt:variant>
        <vt:lpwstr>https://www.sps.nhs.uk/medicines/infliximab/</vt:lpwstr>
      </vt:variant>
      <vt:variant>
        <vt:lpwstr/>
      </vt:variant>
      <vt:variant>
        <vt:i4>4063335</vt:i4>
      </vt:variant>
      <vt:variant>
        <vt:i4>54</vt:i4>
      </vt:variant>
      <vt:variant>
        <vt:i4>0</vt:i4>
      </vt:variant>
      <vt:variant>
        <vt:i4>5</vt:i4>
      </vt:variant>
      <vt:variant>
        <vt:lpwstr>https://www.sps.nhs.uk/medicines/ebola-vaccine/</vt:lpwstr>
      </vt:variant>
      <vt:variant>
        <vt:lpwstr/>
      </vt:variant>
      <vt:variant>
        <vt:i4>2621493</vt:i4>
      </vt:variant>
      <vt:variant>
        <vt:i4>51</vt:i4>
      </vt:variant>
      <vt:variant>
        <vt:i4>0</vt:i4>
      </vt:variant>
      <vt:variant>
        <vt:i4>5</vt:i4>
      </vt:variant>
      <vt:variant>
        <vt:lpwstr>https://www.sps.nhs.uk/medicines/buprenorphine/</vt:lpwstr>
      </vt:variant>
      <vt:variant>
        <vt:lpwstr/>
      </vt:variant>
      <vt:variant>
        <vt:i4>1179726</vt:i4>
      </vt:variant>
      <vt:variant>
        <vt:i4>48</vt:i4>
      </vt:variant>
      <vt:variant>
        <vt:i4>0</vt:i4>
      </vt:variant>
      <vt:variant>
        <vt:i4>5</vt:i4>
      </vt:variant>
      <vt:variant>
        <vt:lpwstr>https://www.sps.nhs.uk/medicines/arginine-lysine/</vt:lpwstr>
      </vt:variant>
      <vt:variant>
        <vt:lpwstr/>
      </vt:variant>
      <vt:variant>
        <vt:i4>7798824</vt:i4>
      </vt:variant>
      <vt:variant>
        <vt:i4>45</vt:i4>
      </vt:variant>
      <vt:variant>
        <vt:i4>0</vt:i4>
      </vt:variant>
      <vt:variant>
        <vt:i4>5</vt:i4>
      </vt:variant>
      <vt:variant>
        <vt:lpwstr>https://www.sps.nhs.uk/medicines/teriparatide/</vt:lpwstr>
      </vt:variant>
      <vt:variant>
        <vt:lpwstr/>
      </vt:variant>
      <vt:variant>
        <vt:i4>5767235</vt:i4>
      </vt:variant>
      <vt:variant>
        <vt:i4>42</vt:i4>
      </vt:variant>
      <vt:variant>
        <vt:i4>0</vt:i4>
      </vt:variant>
      <vt:variant>
        <vt:i4>5</vt:i4>
      </vt:variant>
      <vt:variant>
        <vt:lpwstr>https://www.sps.nhs.uk/medicines/paracetamol/</vt:lpwstr>
      </vt:variant>
      <vt:variant>
        <vt:lpwstr/>
      </vt:variant>
      <vt:variant>
        <vt:i4>2162736</vt:i4>
      </vt:variant>
      <vt:variant>
        <vt:i4>39</vt:i4>
      </vt:variant>
      <vt:variant>
        <vt:i4>0</vt:i4>
      </vt:variant>
      <vt:variant>
        <vt:i4>5</vt:i4>
      </vt:variant>
      <vt:variant>
        <vt:lpwstr>https://www.sps.nhs.uk/articles/ukmi-product-safety-assessments-2/</vt:lpwstr>
      </vt:variant>
      <vt:variant>
        <vt:lpwstr/>
      </vt:variant>
      <vt:variant>
        <vt:i4>5767196</vt:i4>
      </vt:variant>
      <vt:variant>
        <vt:i4>36</vt:i4>
      </vt:variant>
      <vt:variant>
        <vt:i4>0</vt:i4>
      </vt:variant>
      <vt:variant>
        <vt:i4>5</vt:i4>
      </vt:variant>
      <vt:variant>
        <vt:lpwstr>https://www.sps.nhs.uk/articles/prioritising-new-products-for-a-ukmi-product-safety-assessment-a-resource-for-ukmi-patient-safety-working-group/</vt:lpwstr>
      </vt:variant>
      <vt:variant>
        <vt:lpwstr/>
      </vt:variant>
      <vt:variant>
        <vt:i4>3211304</vt:i4>
      </vt:variant>
      <vt:variant>
        <vt:i4>33</vt:i4>
      </vt:variant>
      <vt:variant>
        <vt:i4>0</vt:i4>
      </vt:variant>
      <vt:variant>
        <vt:i4>5</vt:i4>
      </vt:variant>
      <vt:variant>
        <vt:lpwstr>https://www.sps.nhs.uk/medicines/zanamivir/</vt:lpwstr>
      </vt:variant>
      <vt:variant>
        <vt:lpwstr/>
      </vt:variant>
      <vt:variant>
        <vt:i4>5111887</vt:i4>
      </vt:variant>
      <vt:variant>
        <vt:i4>30</vt:i4>
      </vt:variant>
      <vt:variant>
        <vt:i4>0</vt:i4>
      </vt:variant>
      <vt:variant>
        <vt:i4>5</vt:i4>
      </vt:variant>
      <vt:variant>
        <vt:lpwstr>https://www.sps.nhs.uk/medicines/talazoparib/</vt:lpwstr>
      </vt:variant>
      <vt:variant>
        <vt:lpwstr/>
      </vt:variant>
      <vt:variant>
        <vt:i4>4653149</vt:i4>
      </vt:variant>
      <vt:variant>
        <vt:i4>27</vt:i4>
      </vt:variant>
      <vt:variant>
        <vt:i4>0</vt:i4>
      </vt:variant>
      <vt:variant>
        <vt:i4>5</vt:i4>
      </vt:variant>
      <vt:variant>
        <vt:lpwstr>https://www.sps.nhs.uk/medicines/ranibizumab/</vt:lpwstr>
      </vt:variant>
      <vt:variant>
        <vt:lpwstr/>
      </vt:variant>
      <vt:variant>
        <vt:i4>3801149</vt:i4>
      </vt:variant>
      <vt:variant>
        <vt:i4>24</vt:i4>
      </vt:variant>
      <vt:variant>
        <vt:i4>0</vt:i4>
      </vt:variant>
      <vt:variant>
        <vt:i4>5</vt:i4>
      </vt:variant>
      <vt:variant>
        <vt:lpwstr>https://www.sps.nhs.uk/medicines/pembrolizumab/</vt:lpwstr>
      </vt:variant>
      <vt:variant>
        <vt:lpwstr/>
      </vt:variant>
      <vt:variant>
        <vt:i4>7602210</vt:i4>
      </vt:variant>
      <vt:variant>
        <vt:i4>21</vt:i4>
      </vt:variant>
      <vt:variant>
        <vt:i4>0</vt:i4>
      </vt:variant>
      <vt:variant>
        <vt:i4>5</vt:i4>
      </vt:variant>
      <vt:variant>
        <vt:lpwstr>https://www.sps.nhs.uk/medicines/nicotine/</vt:lpwstr>
      </vt:variant>
      <vt:variant>
        <vt:lpwstr/>
      </vt:variant>
      <vt:variant>
        <vt:i4>4063329</vt:i4>
      </vt:variant>
      <vt:variant>
        <vt:i4>18</vt:i4>
      </vt:variant>
      <vt:variant>
        <vt:i4>0</vt:i4>
      </vt:variant>
      <vt:variant>
        <vt:i4>5</vt:i4>
      </vt:variant>
      <vt:variant>
        <vt:lpwstr>https://www.sps.nhs.uk/medicines/meropenem-vaborbactam/</vt:lpwstr>
      </vt:variant>
      <vt:variant>
        <vt:lpwstr/>
      </vt:variant>
      <vt:variant>
        <vt:i4>4980828</vt:i4>
      </vt:variant>
      <vt:variant>
        <vt:i4>15</vt:i4>
      </vt:variant>
      <vt:variant>
        <vt:i4>0</vt:i4>
      </vt:variant>
      <vt:variant>
        <vt:i4>5</vt:i4>
      </vt:variant>
      <vt:variant>
        <vt:lpwstr>https://www.sps.nhs.uk/medicines/liraglutide/</vt:lpwstr>
      </vt:variant>
      <vt:variant>
        <vt:lpwstr/>
      </vt:variant>
      <vt:variant>
        <vt:i4>6553663</vt:i4>
      </vt:variant>
      <vt:variant>
        <vt:i4>12</vt:i4>
      </vt:variant>
      <vt:variant>
        <vt:i4>0</vt:i4>
      </vt:variant>
      <vt:variant>
        <vt:i4>5</vt:i4>
      </vt:variant>
      <vt:variant>
        <vt:lpwstr>https://www.sps.nhs.uk/medicines/gilteritinib/</vt:lpwstr>
      </vt:variant>
      <vt:variant>
        <vt:lpwstr/>
      </vt:variant>
      <vt:variant>
        <vt:i4>4980809</vt:i4>
      </vt:variant>
      <vt:variant>
        <vt:i4>9</vt:i4>
      </vt:variant>
      <vt:variant>
        <vt:i4>0</vt:i4>
      </vt:variant>
      <vt:variant>
        <vt:i4>5</vt:i4>
      </vt:variant>
      <vt:variant>
        <vt:lpwstr>https://www.sps.nhs.uk/medicines/daratumumab/</vt:lpwstr>
      </vt:variant>
      <vt:variant>
        <vt:lpwstr/>
      </vt:variant>
      <vt:variant>
        <vt:i4>2883621</vt:i4>
      </vt:variant>
      <vt:variant>
        <vt:i4>6</vt:i4>
      </vt:variant>
      <vt:variant>
        <vt:i4>0</vt:i4>
      </vt:variant>
      <vt:variant>
        <vt:i4>5</vt:i4>
      </vt:variant>
      <vt:variant>
        <vt:lpwstr>https://www.sps.nhs.uk/medicines/beclometasone/</vt:lpwstr>
      </vt:variant>
      <vt:variant>
        <vt:lpwstr/>
      </vt:variant>
      <vt:variant>
        <vt:i4>589864</vt:i4>
      </vt:variant>
      <vt:variant>
        <vt:i4>3</vt:i4>
      </vt:variant>
      <vt:variant>
        <vt:i4>0</vt:i4>
      </vt:variant>
      <vt:variant>
        <vt:i4>5</vt:i4>
      </vt:variant>
      <vt:variant>
        <vt:lpwstr>mailto:nwmedinfo@nhs.net?subject=New%20Medicines%20Newsletter</vt:lpwstr>
      </vt:variant>
      <vt:variant>
        <vt:lpwstr/>
      </vt:variant>
      <vt:variant>
        <vt:i4>7077923</vt:i4>
      </vt:variant>
      <vt:variant>
        <vt:i4>0</vt:i4>
      </vt:variant>
      <vt:variant>
        <vt:i4>0</vt:i4>
      </vt:variant>
      <vt:variant>
        <vt:i4>5</vt:i4>
      </vt:variant>
      <vt:variant>
        <vt:lpwstr>http://www.sps.nhs.uk/</vt:lpwstr>
      </vt:variant>
      <vt:variant>
        <vt:lpwstr/>
      </vt:variant>
      <vt:variant>
        <vt:i4>589864</vt:i4>
      </vt:variant>
      <vt:variant>
        <vt:i4>18</vt:i4>
      </vt:variant>
      <vt:variant>
        <vt:i4>0</vt:i4>
      </vt:variant>
      <vt:variant>
        <vt:i4>5</vt:i4>
      </vt:variant>
      <vt:variant>
        <vt:lpwstr>mailto:nwmedinfo@nhs.net?subject=New%20Medicines%20Newsletter</vt:lpwstr>
      </vt:variant>
      <vt:variant>
        <vt:lpwstr/>
      </vt:variant>
      <vt:variant>
        <vt:i4>7929901</vt:i4>
      </vt:variant>
      <vt:variant>
        <vt:i4>15</vt:i4>
      </vt:variant>
      <vt:variant>
        <vt:i4>0</vt:i4>
      </vt:variant>
      <vt:variant>
        <vt:i4>5</vt:i4>
      </vt:variant>
      <vt:variant>
        <vt:lpwstr>https://www.sps.nhs.uk/wp-login.php?action=register</vt:lpwstr>
      </vt:variant>
      <vt:variant>
        <vt:lpwstr/>
      </vt:variant>
      <vt:variant>
        <vt:i4>7077923</vt:i4>
      </vt:variant>
      <vt:variant>
        <vt:i4>12</vt:i4>
      </vt:variant>
      <vt:variant>
        <vt:i4>0</vt:i4>
      </vt:variant>
      <vt:variant>
        <vt:i4>5</vt:i4>
      </vt:variant>
      <vt:variant>
        <vt:lpwstr>http://www.sps.nhs.uk/</vt:lpwstr>
      </vt:variant>
      <vt:variant>
        <vt:lpwstr/>
      </vt:variant>
      <vt:variant>
        <vt:i4>3211377</vt:i4>
      </vt:variant>
      <vt:variant>
        <vt:i4>9</vt:i4>
      </vt:variant>
      <vt:variant>
        <vt:i4>0</vt:i4>
      </vt:variant>
      <vt:variant>
        <vt:i4>5</vt:i4>
      </vt:variant>
      <vt:variant>
        <vt:lpwstr>http://www.ukmi.nhs.uk/ndo</vt:lpwstr>
      </vt:variant>
      <vt:variant>
        <vt:lpwstr/>
      </vt:variant>
      <vt:variant>
        <vt:i4>1638407</vt:i4>
      </vt:variant>
      <vt:variant>
        <vt:i4>6</vt:i4>
      </vt:variant>
      <vt:variant>
        <vt:i4>0</vt:i4>
      </vt:variant>
      <vt:variant>
        <vt:i4>5</vt:i4>
      </vt:variant>
      <vt:variant>
        <vt:lpwstr>https://www.sps.nhs.uk/prescribing-outlook-2019/</vt:lpwstr>
      </vt:variant>
      <vt:variant>
        <vt:lpwstr/>
      </vt:variant>
      <vt:variant>
        <vt:i4>7405691</vt:i4>
      </vt:variant>
      <vt:variant>
        <vt:i4>3</vt:i4>
      </vt:variant>
      <vt:variant>
        <vt:i4>0</vt:i4>
      </vt:variant>
      <vt:variant>
        <vt:i4>5</vt:i4>
      </vt:variant>
      <vt:variant>
        <vt:lpwstr>https://www.sps.nhs.uk/category/new-medicines/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NDO home | Contact | Register for NDO access</dc:title>
  <dc:creator>McEntee Joanne (RQ6) RLBUHT</dc:creator>
  <cp:lastModifiedBy>Joanne McEntee</cp:lastModifiedBy>
  <cp:revision>152</cp:revision>
  <cp:lastPrinted>2019-12-09T12:59:00Z</cp:lastPrinted>
  <dcterms:created xsi:type="dcterms:W3CDTF">2023-11-15T11:13:00Z</dcterms:created>
  <dcterms:modified xsi:type="dcterms:W3CDTF">2023-12-07T08:49:00Z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