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Ind w:w="-176" w:type="dxa"/>
        <w:tblLayout w:type="fixed"/>
        <w:tblLook w:val="01E0" w:firstRow="1" w:lastRow="1" w:firstColumn="1" w:lastColumn="1" w:noHBand="0" w:noVBand="0"/>
      </w:tblPr>
      <w:tblGrid>
        <w:gridCol w:w="10267"/>
      </w:tblGrid>
      <w:tr w:rsidR="00D2402E" w:rsidRPr="00862949" w14:paraId="0E8C4B31" w14:textId="77777777" w:rsidTr="009B0BCE">
        <w:trPr>
          <w:trHeight w:val="192"/>
        </w:trPr>
        <w:tc>
          <w:tcPr>
            <w:tcW w:w="5000" w:type="pct"/>
            <w:shd w:val="clear" w:color="auto" w:fill="auto"/>
            <w:tcMar>
              <w:top w:w="57" w:type="dxa"/>
              <w:bottom w:w="57" w:type="dxa"/>
            </w:tcMar>
          </w:tcPr>
          <w:p w14:paraId="14835CD0" w14:textId="77777777" w:rsidR="00D2402E" w:rsidRPr="00E369CC" w:rsidRDefault="00860B89" w:rsidP="00F81A28">
            <w:pPr>
              <w:jc w:val="right"/>
              <w:rPr>
                <w:rFonts w:cs="Arial"/>
                <w:b/>
                <w:bCs/>
                <w:iCs/>
                <w:color w:val="0070C0"/>
                <w:sz w:val="15"/>
                <w:szCs w:val="15"/>
                <w:lang w:val="en-US"/>
              </w:rPr>
            </w:pPr>
            <w:r>
              <w:rPr>
                <w:rFonts w:cs="Arial"/>
                <w:b/>
                <w:bCs/>
                <w:iCs/>
                <w:color w:val="333399"/>
                <w:sz w:val="15"/>
                <w:szCs w:val="15"/>
                <w:lang w:val="en-US"/>
              </w:rPr>
              <w:t xml:space="preserve">  </w:t>
            </w:r>
            <w:r w:rsidR="00A3053B">
              <w:rPr>
                <w:rFonts w:cs="Arial"/>
                <w:b/>
                <w:bCs/>
                <w:iCs/>
                <w:color w:val="333399"/>
                <w:sz w:val="15"/>
                <w:szCs w:val="15"/>
                <w:lang w:val="en-US"/>
              </w:rPr>
              <w:t xml:space="preserve"> </w:t>
            </w:r>
            <w:r w:rsidR="00AB34E3" w:rsidRPr="00862949">
              <w:rPr>
                <w:rFonts w:cs="Arial"/>
                <w:b/>
                <w:bCs/>
                <w:iCs/>
                <w:color w:val="333399"/>
                <w:sz w:val="15"/>
                <w:szCs w:val="15"/>
                <w:lang w:val="en-US"/>
              </w:rPr>
              <w:t xml:space="preserve"> </w:t>
            </w:r>
            <w:r w:rsidR="009C539A" w:rsidRPr="00862949">
              <w:rPr>
                <w:rFonts w:cs="Arial"/>
                <w:b/>
                <w:bCs/>
                <w:iCs/>
                <w:color w:val="333399"/>
                <w:sz w:val="15"/>
                <w:szCs w:val="15"/>
                <w:lang w:val="en-US"/>
              </w:rPr>
              <w:t xml:space="preserve"> </w:t>
            </w:r>
            <w:hyperlink r:id="rId8" w:tgtFrame="_blank" w:history="1">
              <w:r w:rsidR="00F81A28" w:rsidRPr="009B0BCE">
                <w:rPr>
                  <w:rStyle w:val="Hyperlink"/>
                  <w:rFonts w:ascii="Arial" w:hAnsi="Arial" w:cs="Arial"/>
                  <w:b/>
                  <w:bCs/>
                  <w:iCs/>
                  <w:color w:val="0070C0"/>
                  <w:sz w:val="20"/>
                  <w:szCs w:val="15"/>
                  <w:lang w:val="en-US"/>
                </w:rPr>
                <w:t>SPS</w:t>
              </w:r>
              <w:r w:rsidR="00D2402E" w:rsidRPr="009B0BCE">
                <w:rPr>
                  <w:rStyle w:val="Hyperlink"/>
                  <w:rFonts w:ascii="Arial" w:hAnsi="Arial" w:cs="Arial"/>
                  <w:b/>
                  <w:bCs/>
                  <w:iCs/>
                  <w:color w:val="0070C0"/>
                  <w:sz w:val="20"/>
                  <w:szCs w:val="15"/>
                  <w:lang w:val="en-US"/>
                </w:rPr>
                <w:t xml:space="preserve"> home</w:t>
              </w:r>
            </w:hyperlink>
            <w:r w:rsidR="00D2402E" w:rsidRPr="009B0BCE">
              <w:rPr>
                <w:rFonts w:cs="Arial"/>
                <w:b/>
                <w:bCs/>
                <w:iCs/>
                <w:color w:val="0070C0"/>
                <w:sz w:val="20"/>
                <w:szCs w:val="15"/>
                <w:lang w:val="en-US"/>
              </w:rPr>
              <w:t xml:space="preserve"> | </w:t>
            </w:r>
            <w:hyperlink r:id="rId9" w:history="1">
              <w:r w:rsidR="00D2402E" w:rsidRPr="009B0BCE">
                <w:rPr>
                  <w:rStyle w:val="Hyperlink"/>
                  <w:rFonts w:ascii="Arial" w:hAnsi="Arial" w:cs="Arial"/>
                  <w:b/>
                  <w:bCs/>
                  <w:iCs/>
                  <w:color w:val="0070C0"/>
                  <w:sz w:val="20"/>
                  <w:szCs w:val="15"/>
                  <w:lang w:val="en-US"/>
                </w:rPr>
                <w:t>Contact</w:t>
              </w:r>
            </w:hyperlink>
          </w:p>
        </w:tc>
      </w:tr>
    </w:tbl>
    <w:p w14:paraId="372D500C" w14:textId="77777777" w:rsidR="00B85859" w:rsidRDefault="00B85859" w:rsidP="00727945">
      <w:pPr>
        <w:rPr>
          <w:rFonts w:ascii="Latha" w:hAnsi="Latha" w:cs="Latha"/>
          <w:sz w:val="8"/>
          <w:szCs w:val="8"/>
        </w:rPr>
      </w:pPr>
    </w:p>
    <w:tbl>
      <w:tblPr>
        <w:tblW w:w="5170" w:type="pct"/>
        <w:tblInd w:w="-176" w:type="dxa"/>
        <w:tblLayout w:type="fixed"/>
        <w:tblLook w:val="01E0" w:firstRow="1" w:lastRow="1" w:firstColumn="1" w:lastColumn="1" w:noHBand="0" w:noVBand="0"/>
      </w:tblPr>
      <w:tblGrid>
        <w:gridCol w:w="3294"/>
        <w:gridCol w:w="7257"/>
      </w:tblGrid>
      <w:tr w:rsidR="0020101A" w:rsidRPr="00862949" w14:paraId="11612334" w14:textId="77777777" w:rsidTr="002772ED">
        <w:tc>
          <w:tcPr>
            <w:tcW w:w="5000" w:type="pct"/>
            <w:gridSpan w:val="2"/>
            <w:shd w:val="clear" w:color="auto" w:fill="0070C0"/>
            <w:tcMar>
              <w:top w:w="85" w:type="dxa"/>
              <w:bottom w:w="85" w:type="dxa"/>
            </w:tcMar>
            <w:vAlign w:val="bottom"/>
          </w:tcPr>
          <w:p w14:paraId="6064AD81" w14:textId="77777777" w:rsidR="0020101A" w:rsidRPr="00862949" w:rsidRDefault="0020101A" w:rsidP="00720F9E">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20101A" w:rsidRPr="00862949" w14:paraId="77F14B12" w14:textId="77777777" w:rsidTr="002772ED">
        <w:tc>
          <w:tcPr>
            <w:tcW w:w="5000" w:type="pct"/>
            <w:gridSpan w:val="2"/>
            <w:shd w:val="clear" w:color="auto" w:fill="DAEEF3"/>
            <w:tcMar>
              <w:top w:w="0" w:type="dxa"/>
              <w:bottom w:w="0" w:type="dxa"/>
            </w:tcMar>
          </w:tcPr>
          <w:p w14:paraId="56904699" w14:textId="77777777" w:rsidR="0020101A" w:rsidRPr="00862949" w:rsidRDefault="0020101A" w:rsidP="00720F9E">
            <w:pPr>
              <w:rPr>
                <w:rFonts w:cs="Arial"/>
                <w:b/>
                <w:bCs/>
                <w:i/>
                <w:iCs/>
                <w:color w:val="000000"/>
                <w:sz w:val="8"/>
                <w:szCs w:val="8"/>
                <w:lang w:val="en-US"/>
              </w:rPr>
            </w:pPr>
          </w:p>
        </w:tc>
      </w:tr>
      <w:tr w:rsidR="0020101A" w:rsidRPr="00862949" w14:paraId="0BB9C527" w14:textId="77777777" w:rsidTr="002772ED">
        <w:tc>
          <w:tcPr>
            <w:tcW w:w="5000" w:type="pct"/>
            <w:gridSpan w:val="2"/>
            <w:shd w:val="clear" w:color="auto" w:fill="00B050"/>
            <w:tcMar>
              <w:top w:w="57" w:type="dxa"/>
              <w:bottom w:w="57" w:type="dxa"/>
            </w:tcMar>
          </w:tcPr>
          <w:p w14:paraId="7ED9FC87" w14:textId="77777777" w:rsidR="0020101A" w:rsidRPr="00433D3E" w:rsidRDefault="0020101A" w:rsidP="00720F9E">
            <w:pPr>
              <w:rPr>
                <w:rFonts w:cs="Arial"/>
                <w:color w:val="FFFFFF"/>
                <w:sz w:val="20"/>
                <w:szCs w:val="20"/>
              </w:rPr>
            </w:pPr>
            <w:r w:rsidRPr="00433D3E">
              <w:rPr>
                <w:rFonts w:cs="Arial"/>
                <w:b/>
                <w:bCs/>
                <w:i/>
                <w:iCs/>
                <w:color w:val="FFFFFF"/>
                <w:sz w:val="22"/>
                <w:szCs w:val="20"/>
                <w:lang w:val="en-US"/>
              </w:rPr>
              <w:t>Launched in the UK (or licence change for existing products)</w:t>
            </w:r>
          </w:p>
        </w:tc>
      </w:tr>
      <w:tr w:rsidR="00BE15A9" w:rsidRPr="00131D4C" w14:paraId="7351FC31" w14:textId="77777777" w:rsidTr="00C54711">
        <w:tc>
          <w:tcPr>
            <w:tcW w:w="1561" w:type="pct"/>
            <w:shd w:val="clear" w:color="auto" w:fill="auto"/>
            <w:tcMar>
              <w:top w:w="57" w:type="dxa"/>
              <w:left w:w="170" w:type="dxa"/>
              <w:bottom w:w="57" w:type="dxa"/>
              <w:right w:w="170" w:type="dxa"/>
            </w:tcMar>
          </w:tcPr>
          <w:p w14:paraId="1F6DB15E" w14:textId="77777777" w:rsidR="00CE13B2" w:rsidRDefault="008D1377" w:rsidP="0070555E">
            <w:pPr>
              <w:rPr>
                <w:rFonts w:cs="Arial"/>
                <w:szCs w:val="19"/>
              </w:rPr>
            </w:pPr>
            <w:r w:rsidRPr="008D1377">
              <w:rPr>
                <w:rFonts w:cs="Arial"/>
                <w:szCs w:val="19"/>
              </w:rPr>
              <w:t xml:space="preserve">Bacillus </w:t>
            </w:r>
            <w:proofErr w:type="spellStart"/>
            <w:r w:rsidRPr="008D1377">
              <w:rPr>
                <w:rFonts w:cs="Arial"/>
                <w:szCs w:val="19"/>
              </w:rPr>
              <w:t>calmette-guerin</w:t>
            </w:r>
            <w:proofErr w:type="spellEnd"/>
            <w:r w:rsidRPr="008D1377">
              <w:rPr>
                <w:rFonts w:cs="Arial"/>
                <w:szCs w:val="19"/>
              </w:rPr>
              <w:t> </w:t>
            </w:r>
          </w:p>
          <w:p w14:paraId="2C58977D" w14:textId="77777777" w:rsidR="00C26A07" w:rsidRDefault="008D1377" w:rsidP="00C26A07">
            <w:pPr>
              <w:rPr>
                <w:rFonts w:cs="Arial"/>
                <w:szCs w:val="19"/>
              </w:rPr>
            </w:pPr>
            <w:r>
              <w:rPr>
                <w:rFonts w:cs="Arial"/>
                <w:szCs w:val="19"/>
              </w:rPr>
              <w:t>(</w:t>
            </w:r>
            <w:r w:rsidRPr="008D1377">
              <w:rPr>
                <w:rFonts w:cs="Arial"/>
                <w:i/>
                <w:iCs/>
                <w:szCs w:val="19"/>
              </w:rPr>
              <w:t>BCG-</w:t>
            </w:r>
            <w:proofErr w:type="spellStart"/>
            <w:r w:rsidRPr="008D1377">
              <w:rPr>
                <w:rFonts w:cs="Arial"/>
                <w:i/>
                <w:iCs/>
                <w:szCs w:val="19"/>
              </w:rPr>
              <w:t>medac</w:t>
            </w:r>
            <w:proofErr w:type="spellEnd"/>
            <w:r>
              <w:rPr>
                <w:rFonts w:cs="Arial"/>
                <w:szCs w:val="19"/>
              </w:rPr>
              <w:t>)</w:t>
            </w:r>
            <w:r w:rsidR="00A75D48">
              <w:rPr>
                <w:rFonts w:cs="Arial"/>
                <w:szCs w:val="19"/>
              </w:rPr>
              <w:t xml:space="preserve"> </w:t>
            </w:r>
          </w:p>
          <w:p w14:paraId="70CD1141" w14:textId="63180A86" w:rsidR="00BE15A9" w:rsidRPr="0011452F" w:rsidRDefault="00A75D48" w:rsidP="00C26A07">
            <w:pPr>
              <w:rPr>
                <w:rFonts w:cs="Arial"/>
                <w:szCs w:val="19"/>
              </w:rPr>
            </w:pPr>
            <w:r w:rsidRPr="00562334">
              <w:rPr>
                <w:rFonts w:cs="Arial"/>
                <w:sz w:val="16"/>
                <w:szCs w:val="16"/>
              </w:rPr>
              <w:t>2x10</w:t>
            </w:r>
            <w:r w:rsidRPr="00562334">
              <w:rPr>
                <w:rFonts w:cs="Arial"/>
                <w:sz w:val="16"/>
                <w:szCs w:val="16"/>
                <w:vertAlign w:val="superscript"/>
              </w:rPr>
              <w:t>8</w:t>
            </w:r>
            <w:r w:rsidRPr="00562334">
              <w:rPr>
                <w:rFonts w:cs="Arial"/>
                <w:sz w:val="16"/>
                <w:szCs w:val="16"/>
              </w:rPr>
              <w:t xml:space="preserve"> </w:t>
            </w:r>
            <w:r w:rsidR="00835957" w:rsidRPr="00562334">
              <w:rPr>
                <w:rFonts w:cs="Arial"/>
                <w:sz w:val="16"/>
                <w:szCs w:val="16"/>
              </w:rPr>
              <w:t>to</w:t>
            </w:r>
            <w:r w:rsidRPr="00562334">
              <w:rPr>
                <w:rFonts w:cs="Arial"/>
                <w:sz w:val="16"/>
                <w:szCs w:val="16"/>
              </w:rPr>
              <w:t xml:space="preserve"> 1.5x10</w:t>
            </w:r>
            <w:r w:rsidRPr="00562334">
              <w:rPr>
                <w:rFonts w:cs="Arial"/>
                <w:sz w:val="16"/>
                <w:szCs w:val="16"/>
                <w:vertAlign w:val="superscript"/>
              </w:rPr>
              <w:t>9</w:t>
            </w:r>
            <w:r w:rsidRPr="00562334">
              <w:rPr>
                <w:rFonts w:cs="Arial"/>
                <w:sz w:val="16"/>
                <w:szCs w:val="16"/>
              </w:rPr>
              <w:t xml:space="preserve"> vial plus 50mL solvent in a bag</w:t>
            </w:r>
          </w:p>
        </w:tc>
        <w:tc>
          <w:tcPr>
            <w:tcW w:w="3439" w:type="pct"/>
            <w:shd w:val="clear" w:color="auto" w:fill="auto"/>
            <w:tcMar>
              <w:top w:w="57" w:type="dxa"/>
              <w:left w:w="170" w:type="dxa"/>
              <w:bottom w:w="57" w:type="dxa"/>
              <w:right w:w="170" w:type="dxa"/>
            </w:tcMar>
          </w:tcPr>
          <w:p w14:paraId="061BCB46" w14:textId="6E2CBB01" w:rsidR="00BE15A9" w:rsidRPr="009C4947" w:rsidRDefault="008D1377" w:rsidP="0011452F">
            <w:pPr>
              <w:tabs>
                <w:tab w:val="center" w:pos="3152"/>
              </w:tabs>
              <w:rPr>
                <w:rFonts w:cs="Arial"/>
                <w:szCs w:val="19"/>
                <w:lang w:val="en-US"/>
              </w:rPr>
            </w:pPr>
            <w:r w:rsidRPr="008D1377">
              <w:rPr>
                <w:rFonts w:cs="Arial"/>
                <w:szCs w:val="19"/>
                <w:lang w:val="en-US"/>
              </w:rPr>
              <w:t>Treatment of primary or concurrent carcinoma-in-situ of the urinary bladder, prevention of recurrence of high-risk non-muscle invasive urothelial bladder carcinoma (pTaG3, pT1G2, pT1G3) after transurethral resection, and treatment and/or the prevention of recurrence of aggressive variants of urothelial carcinoma, for example micropapillary or nested variants in adults</w:t>
            </w:r>
            <w:r>
              <w:rPr>
                <w:rFonts w:cs="Arial"/>
                <w:szCs w:val="19"/>
                <w:lang w:val="en-US"/>
              </w:rPr>
              <w:t xml:space="preserve"> </w:t>
            </w:r>
            <w:r w:rsidRPr="008D1377">
              <w:rPr>
                <w:rFonts w:cs="Arial"/>
                <w:sz w:val="16"/>
                <w:szCs w:val="16"/>
                <w:lang w:val="en-US"/>
              </w:rPr>
              <w:t>[new formulation]</w:t>
            </w:r>
          </w:p>
        </w:tc>
      </w:tr>
      <w:tr w:rsidR="00D50AB3" w:rsidRPr="00131D4C" w14:paraId="48C4050C" w14:textId="77777777" w:rsidTr="00C54711">
        <w:tc>
          <w:tcPr>
            <w:tcW w:w="1561" w:type="pct"/>
            <w:shd w:val="clear" w:color="auto" w:fill="auto"/>
            <w:tcMar>
              <w:top w:w="57" w:type="dxa"/>
              <w:left w:w="170" w:type="dxa"/>
              <w:bottom w:w="57" w:type="dxa"/>
              <w:right w:w="170" w:type="dxa"/>
            </w:tcMar>
          </w:tcPr>
          <w:p w14:paraId="3D5F34BF" w14:textId="77777777" w:rsidR="00C54711" w:rsidRDefault="00D50AB3" w:rsidP="00D50AB3">
            <w:pPr>
              <w:rPr>
                <w:rFonts w:cs="Arial"/>
                <w:szCs w:val="19"/>
              </w:rPr>
            </w:pPr>
            <w:proofErr w:type="spellStart"/>
            <w:r w:rsidRPr="00B14CA1">
              <w:rPr>
                <w:rFonts w:cs="Arial"/>
                <w:szCs w:val="19"/>
              </w:rPr>
              <w:t>Cedazuridine</w:t>
            </w:r>
            <w:proofErr w:type="spellEnd"/>
            <w:r w:rsidRPr="00B14CA1">
              <w:rPr>
                <w:rFonts w:cs="Arial"/>
                <w:szCs w:val="19"/>
              </w:rPr>
              <w:t xml:space="preserve"> + decitabine </w:t>
            </w:r>
          </w:p>
          <w:p w14:paraId="6153683C" w14:textId="745A0ADA" w:rsidR="00D50AB3" w:rsidRPr="004508C5" w:rsidRDefault="00D50AB3" w:rsidP="00D50AB3">
            <w:pPr>
              <w:rPr>
                <w:rFonts w:cs="Arial"/>
                <w:szCs w:val="19"/>
              </w:rPr>
            </w:pPr>
            <w:r>
              <w:rPr>
                <w:rFonts w:cs="Arial"/>
                <w:szCs w:val="19"/>
              </w:rPr>
              <w:t>(</w:t>
            </w:r>
            <w:proofErr w:type="spellStart"/>
            <w:r w:rsidRPr="00B14CA1">
              <w:rPr>
                <w:rFonts w:cs="Arial"/>
                <w:i/>
                <w:iCs/>
                <w:szCs w:val="19"/>
              </w:rPr>
              <w:t>Inaqovi</w:t>
            </w:r>
            <w:proofErr w:type="spellEnd"/>
            <w:r>
              <w:rPr>
                <w:rFonts w:cs="Arial"/>
                <w:szCs w:val="19"/>
              </w:rPr>
              <w:t xml:space="preserve">) </w:t>
            </w:r>
            <w:r w:rsidRPr="00D50AB3">
              <w:rPr>
                <w:rFonts w:cs="Arial"/>
                <w:sz w:val="16"/>
                <w:szCs w:val="16"/>
              </w:rPr>
              <w:t>35mg/100mg tablet</w:t>
            </w:r>
          </w:p>
        </w:tc>
        <w:tc>
          <w:tcPr>
            <w:tcW w:w="3439" w:type="pct"/>
            <w:shd w:val="clear" w:color="auto" w:fill="auto"/>
            <w:tcMar>
              <w:top w:w="57" w:type="dxa"/>
              <w:left w:w="170" w:type="dxa"/>
              <w:bottom w:w="57" w:type="dxa"/>
              <w:right w:w="170" w:type="dxa"/>
            </w:tcMar>
          </w:tcPr>
          <w:p w14:paraId="57D2B058" w14:textId="55C9DEED" w:rsidR="00D50AB3" w:rsidRDefault="00D50AB3" w:rsidP="00D50AB3">
            <w:pPr>
              <w:tabs>
                <w:tab w:val="center" w:pos="3152"/>
              </w:tabs>
              <w:rPr>
                <w:rFonts w:cs="Arial"/>
                <w:szCs w:val="19"/>
                <w:lang w:val="en-US"/>
              </w:rPr>
            </w:pPr>
            <w:r w:rsidRPr="00B14CA1">
              <w:rPr>
                <w:rFonts w:cs="Arial"/>
                <w:szCs w:val="19"/>
                <w:lang w:val="en-US"/>
              </w:rPr>
              <w:t>Monotherapy for the treatment of adults with newly diagnosed acute myeloid leukaemia who are ineligible for standard induction chemotherapy</w:t>
            </w:r>
          </w:p>
        </w:tc>
      </w:tr>
      <w:tr w:rsidR="00C54711" w:rsidRPr="00131D4C" w14:paraId="3726DF51" w14:textId="77777777" w:rsidTr="00C54711">
        <w:tc>
          <w:tcPr>
            <w:tcW w:w="1561" w:type="pct"/>
            <w:shd w:val="clear" w:color="auto" w:fill="auto"/>
            <w:tcMar>
              <w:top w:w="57" w:type="dxa"/>
              <w:left w:w="170" w:type="dxa"/>
              <w:bottom w:w="57" w:type="dxa"/>
              <w:right w:w="170" w:type="dxa"/>
            </w:tcMar>
          </w:tcPr>
          <w:p w14:paraId="62110CA7" w14:textId="77777777" w:rsidR="00C54711" w:rsidRDefault="00C54711" w:rsidP="00C54711">
            <w:pPr>
              <w:rPr>
                <w:rFonts w:cs="Arial"/>
                <w:szCs w:val="19"/>
              </w:rPr>
            </w:pPr>
            <w:proofErr w:type="spellStart"/>
            <w:r w:rsidRPr="000A1AD9">
              <w:rPr>
                <w:rFonts w:cs="Arial"/>
                <w:szCs w:val="19"/>
              </w:rPr>
              <w:t>Cytisine</w:t>
            </w:r>
            <w:proofErr w:type="spellEnd"/>
            <w:r>
              <w:rPr>
                <w:rFonts w:cs="Arial"/>
                <w:szCs w:val="19"/>
              </w:rPr>
              <w:t xml:space="preserve"> </w:t>
            </w:r>
          </w:p>
          <w:p w14:paraId="3F62FA5A" w14:textId="7DF95A7B" w:rsidR="00C54711" w:rsidRPr="004508C5" w:rsidRDefault="00C54711" w:rsidP="00C54711">
            <w:pPr>
              <w:rPr>
                <w:rFonts w:cs="Arial"/>
                <w:szCs w:val="19"/>
              </w:rPr>
            </w:pPr>
            <w:r w:rsidRPr="00DF554B">
              <w:rPr>
                <w:rFonts w:cs="Arial"/>
                <w:sz w:val="16"/>
                <w:szCs w:val="16"/>
              </w:rPr>
              <w:t>1.5mg tablet</w:t>
            </w:r>
          </w:p>
        </w:tc>
        <w:tc>
          <w:tcPr>
            <w:tcW w:w="3439" w:type="pct"/>
            <w:shd w:val="clear" w:color="auto" w:fill="auto"/>
            <w:tcMar>
              <w:top w:w="57" w:type="dxa"/>
              <w:left w:w="170" w:type="dxa"/>
              <w:bottom w:w="57" w:type="dxa"/>
              <w:right w:w="170" w:type="dxa"/>
            </w:tcMar>
          </w:tcPr>
          <w:p w14:paraId="532B173A" w14:textId="6C4B142A" w:rsidR="00C54711" w:rsidRDefault="00C54711" w:rsidP="00C54711">
            <w:pPr>
              <w:tabs>
                <w:tab w:val="center" w:pos="3152"/>
              </w:tabs>
              <w:rPr>
                <w:rFonts w:cs="Arial"/>
                <w:szCs w:val="19"/>
                <w:lang w:val="en-US"/>
              </w:rPr>
            </w:pPr>
            <w:r w:rsidRPr="000A1AD9">
              <w:rPr>
                <w:rFonts w:cs="Arial"/>
                <w:szCs w:val="19"/>
                <w:lang w:val="en-US"/>
              </w:rPr>
              <w:t>Smoking cessation and reduction of nicotine cravings in smokers who are willing to stop smoking</w:t>
            </w:r>
          </w:p>
        </w:tc>
      </w:tr>
      <w:tr w:rsidR="00C54711" w:rsidRPr="00131D4C" w14:paraId="53554C20" w14:textId="77777777" w:rsidTr="00C54711">
        <w:tc>
          <w:tcPr>
            <w:tcW w:w="1561" w:type="pct"/>
            <w:shd w:val="clear" w:color="auto" w:fill="auto"/>
            <w:tcMar>
              <w:top w:w="57" w:type="dxa"/>
              <w:left w:w="170" w:type="dxa"/>
              <w:bottom w:w="57" w:type="dxa"/>
              <w:right w:w="170" w:type="dxa"/>
            </w:tcMar>
          </w:tcPr>
          <w:p w14:paraId="2B44D3BF" w14:textId="3A1DD721" w:rsidR="00C54711" w:rsidRPr="00CB7CB1" w:rsidRDefault="00C54711" w:rsidP="00C54711">
            <w:pPr>
              <w:rPr>
                <w:rFonts w:cs="Arial"/>
                <w:szCs w:val="19"/>
              </w:rPr>
            </w:pPr>
            <w:r w:rsidRPr="004508C5">
              <w:rPr>
                <w:rFonts w:cs="Arial"/>
                <w:szCs w:val="19"/>
              </w:rPr>
              <w:t>Dolutegravir + abacavir + lamivudine</w:t>
            </w:r>
            <w:r>
              <w:rPr>
                <w:rFonts w:cs="Arial"/>
                <w:szCs w:val="19"/>
              </w:rPr>
              <w:t xml:space="preserve"> (</w:t>
            </w:r>
            <w:proofErr w:type="spellStart"/>
            <w:r>
              <w:rPr>
                <w:rFonts w:cs="Arial"/>
                <w:i/>
                <w:iCs/>
                <w:szCs w:val="19"/>
              </w:rPr>
              <w:t>Triumeq</w:t>
            </w:r>
            <w:proofErr w:type="spellEnd"/>
            <w:r>
              <w:rPr>
                <w:rFonts w:cs="Arial"/>
                <w:szCs w:val="19"/>
              </w:rPr>
              <w:t xml:space="preserve">) </w:t>
            </w:r>
            <w:r w:rsidRPr="00081990">
              <w:rPr>
                <w:rFonts w:cs="Arial"/>
                <w:sz w:val="16"/>
                <w:szCs w:val="16"/>
              </w:rPr>
              <w:t>50mg/600mg/300mg tablet</w:t>
            </w:r>
          </w:p>
        </w:tc>
        <w:tc>
          <w:tcPr>
            <w:tcW w:w="3439" w:type="pct"/>
            <w:shd w:val="clear" w:color="auto" w:fill="auto"/>
            <w:tcMar>
              <w:top w:w="57" w:type="dxa"/>
              <w:left w:w="170" w:type="dxa"/>
              <w:bottom w:w="57" w:type="dxa"/>
              <w:right w:w="170" w:type="dxa"/>
            </w:tcMar>
          </w:tcPr>
          <w:p w14:paraId="2E9736F4" w14:textId="77777777" w:rsidR="00C54711" w:rsidRDefault="00C54711" w:rsidP="00C54711">
            <w:pPr>
              <w:tabs>
                <w:tab w:val="center" w:pos="3152"/>
              </w:tabs>
              <w:rPr>
                <w:rFonts w:cs="Arial"/>
                <w:szCs w:val="19"/>
                <w:lang w:val="en-US"/>
              </w:rPr>
            </w:pPr>
            <w:r>
              <w:rPr>
                <w:rFonts w:cs="Arial"/>
                <w:szCs w:val="19"/>
                <w:lang w:val="en-US"/>
              </w:rPr>
              <w:t>T</w:t>
            </w:r>
            <w:r w:rsidRPr="004508C5">
              <w:rPr>
                <w:rFonts w:cs="Arial"/>
                <w:szCs w:val="19"/>
                <w:lang w:val="en-US"/>
              </w:rPr>
              <w:t xml:space="preserve">reatment of </w:t>
            </w:r>
            <w:r>
              <w:rPr>
                <w:rFonts w:cs="Arial"/>
                <w:szCs w:val="19"/>
                <w:lang w:val="en-US"/>
              </w:rPr>
              <w:t>h</w:t>
            </w:r>
            <w:r w:rsidRPr="004508C5">
              <w:rPr>
                <w:rFonts w:cs="Arial"/>
                <w:szCs w:val="19"/>
                <w:lang w:val="en-US"/>
              </w:rPr>
              <w:t xml:space="preserve">uman </w:t>
            </w:r>
            <w:r>
              <w:rPr>
                <w:rFonts w:cs="Arial"/>
                <w:szCs w:val="19"/>
                <w:lang w:val="en-US"/>
              </w:rPr>
              <w:t>i</w:t>
            </w:r>
            <w:r w:rsidRPr="004508C5">
              <w:rPr>
                <w:rFonts w:cs="Arial"/>
                <w:szCs w:val="19"/>
                <w:lang w:val="en-US"/>
              </w:rPr>
              <w:t xml:space="preserve">mmunodeficiency </w:t>
            </w:r>
            <w:r>
              <w:rPr>
                <w:rFonts w:cs="Arial"/>
                <w:szCs w:val="19"/>
                <w:lang w:val="en-US"/>
              </w:rPr>
              <w:t>v</w:t>
            </w:r>
            <w:r w:rsidRPr="004508C5">
              <w:rPr>
                <w:rFonts w:cs="Arial"/>
                <w:szCs w:val="19"/>
                <w:lang w:val="en-US"/>
              </w:rPr>
              <w:t xml:space="preserve">irus infected adults, and adolescents and children weighing </w:t>
            </w:r>
            <w:r>
              <w:rPr>
                <w:rFonts w:cs="Arial"/>
                <w:szCs w:val="19"/>
                <w:lang w:val="en-US"/>
              </w:rPr>
              <w:t>≥</w:t>
            </w:r>
            <w:r w:rsidRPr="004508C5">
              <w:rPr>
                <w:rFonts w:cs="Arial"/>
                <w:szCs w:val="19"/>
                <w:lang w:val="en-US"/>
              </w:rPr>
              <w:t>25kg</w:t>
            </w:r>
            <w:r>
              <w:rPr>
                <w:rFonts w:cs="Arial"/>
                <w:szCs w:val="19"/>
                <w:lang w:val="en-US"/>
              </w:rPr>
              <w:t xml:space="preserve"> </w:t>
            </w:r>
          </w:p>
          <w:p w14:paraId="0A7C0841" w14:textId="04EA60FB" w:rsidR="00C54711" w:rsidRDefault="00C54711" w:rsidP="00C54711">
            <w:pPr>
              <w:tabs>
                <w:tab w:val="center" w:pos="3152"/>
              </w:tabs>
              <w:rPr>
                <w:rFonts w:cs="Arial"/>
                <w:bCs/>
                <w:szCs w:val="19"/>
              </w:rPr>
            </w:pPr>
            <w:r w:rsidRPr="009F17B3">
              <w:rPr>
                <w:rFonts w:cs="Arial"/>
                <w:sz w:val="16"/>
                <w:szCs w:val="16"/>
                <w:lang w:val="en-US"/>
              </w:rPr>
              <w:t>[licence change for tablet formulation from use only in patients aged ≥12 years weighing ≥40kg]</w:t>
            </w:r>
          </w:p>
        </w:tc>
      </w:tr>
      <w:tr w:rsidR="00C54711" w:rsidRPr="00131D4C" w14:paraId="18BF56AB" w14:textId="77777777" w:rsidTr="00C54711">
        <w:tc>
          <w:tcPr>
            <w:tcW w:w="1561" w:type="pct"/>
            <w:shd w:val="clear" w:color="auto" w:fill="auto"/>
            <w:tcMar>
              <w:top w:w="57" w:type="dxa"/>
              <w:left w:w="170" w:type="dxa"/>
              <w:bottom w:w="57" w:type="dxa"/>
              <w:right w:w="170" w:type="dxa"/>
            </w:tcMar>
          </w:tcPr>
          <w:p w14:paraId="14F90804" w14:textId="77777777" w:rsidR="00C54711" w:rsidRDefault="00C54711" w:rsidP="00C54711">
            <w:pPr>
              <w:rPr>
                <w:rFonts w:cs="Arial"/>
                <w:szCs w:val="19"/>
              </w:rPr>
            </w:pPr>
            <w:proofErr w:type="spellStart"/>
            <w:r w:rsidRPr="00967980">
              <w:rPr>
                <w:rFonts w:cs="Arial"/>
                <w:szCs w:val="19"/>
              </w:rPr>
              <w:t>Fezolinetant</w:t>
            </w:r>
            <w:proofErr w:type="spellEnd"/>
            <w:r>
              <w:rPr>
                <w:rFonts w:cs="Arial"/>
                <w:szCs w:val="19"/>
              </w:rPr>
              <w:t xml:space="preserve"> (</w:t>
            </w:r>
            <w:proofErr w:type="spellStart"/>
            <w:r>
              <w:rPr>
                <w:rFonts w:cs="Arial"/>
                <w:i/>
                <w:iCs/>
                <w:szCs w:val="19"/>
              </w:rPr>
              <w:t>Veoza</w:t>
            </w:r>
            <w:proofErr w:type="spellEnd"/>
            <w:r>
              <w:rPr>
                <w:rFonts w:cs="Arial"/>
                <w:szCs w:val="19"/>
              </w:rPr>
              <w:t xml:space="preserve">) </w:t>
            </w:r>
          </w:p>
          <w:p w14:paraId="6866888A" w14:textId="70CD7471" w:rsidR="00C54711" w:rsidRPr="001C1086" w:rsidRDefault="00C54711" w:rsidP="00C54711">
            <w:pPr>
              <w:rPr>
                <w:rFonts w:cs="Arial"/>
                <w:szCs w:val="19"/>
              </w:rPr>
            </w:pPr>
            <w:r w:rsidRPr="004C040C">
              <w:rPr>
                <w:rFonts w:cs="Arial"/>
                <w:sz w:val="16"/>
                <w:szCs w:val="16"/>
              </w:rPr>
              <w:t>45mg tablet</w:t>
            </w:r>
          </w:p>
        </w:tc>
        <w:tc>
          <w:tcPr>
            <w:tcW w:w="3439" w:type="pct"/>
            <w:shd w:val="clear" w:color="auto" w:fill="auto"/>
            <w:tcMar>
              <w:top w:w="57" w:type="dxa"/>
              <w:left w:w="170" w:type="dxa"/>
              <w:bottom w:w="57" w:type="dxa"/>
              <w:right w:w="170" w:type="dxa"/>
            </w:tcMar>
          </w:tcPr>
          <w:p w14:paraId="4091142A" w14:textId="5F4705A2" w:rsidR="00C54711" w:rsidRDefault="00C54711" w:rsidP="00C54711">
            <w:pPr>
              <w:tabs>
                <w:tab w:val="center" w:pos="3152"/>
              </w:tabs>
              <w:rPr>
                <w:rFonts w:cs="Arial"/>
                <w:szCs w:val="19"/>
                <w:lang w:val="en-US"/>
              </w:rPr>
            </w:pPr>
            <w:r w:rsidRPr="00967980">
              <w:rPr>
                <w:rFonts w:cs="Arial"/>
                <w:szCs w:val="19"/>
                <w:lang w:val="en-US"/>
              </w:rPr>
              <w:t>Treatment of moderate to severe vasomotor symptoms associated with menopause</w:t>
            </w:r>
          </w:p>
        </w:tc>
      </w:tr>
      <w:tr w:rsidR="00C54711" w:rsidRPr="00131D4C" w14:paraId="69C4CD4B" w14:textId="77777777" w:rsidTr="00C54711">
        <w:tc>
          <w:tcPr>
            <w:tcW w:w="1561" w:type="pct"/>
            <w:shd w:val="clear" w:color="auto" w:fill="auto"/>
            <w:tcMar>
              <w:top w:w="57" w:type="dxa"/>
              <w:left w:w="170" w:type="dxa"/>
              <w:bottom w:w="57" w:type="dxa"/>
              <w:right w:w="170" w:type="dxa"/>
            </w:tcMar>
          </w:tcPr>
          <w:p w14:paraId="127013BE" w14:textId="77777777" w:rsidR="00C54711" w:rsidRDefault="00C54711" w:rsidP="00C54711">
            <w:r>
              <w:rPr>
                <w:rFonts w:cs="Arial"/>
                <w:szCs w:val="19"/>
              </w:rPr>
              <w:t>Ipilimumab (</w:t>
            </w:r>
            <w:proofErr w:type="spellStart"/>
            <w:r>
              <w:rPr>
                <w:rFonts w:cs="Arial"/>
                <w:i/>
                <w:iCs/>
                <w:szCs w:val="19"/>
              </w:rPr>
              <w:t>Yervoy</w:t>
            </w:r>
            <w:proofErr w:type="spellEnd"/>
            <w:r>
              <w:rPr>
                <w:rFonts w:cs="Arial"/>
                <w:szCs w:val="19"/>
              </w:rPr>
              <w:t>)</w:t>
            </w:r>
            <w:r>
              <w:t xml:space="preserve"> </w:t>
            </w:r>
          </w:p>
          <w:p w14:paraId="0663AB29" w14:textId="72431456" w:rsidR="00C54711" w:rsidRPr="00CA0117" w:rsidRDefault="00C54711" w:rsidP="00C54711">
            <w:pPr>
              <w:rPr>
                <w:rFonts w:cs="Arial"/>
                <w:szCs w:val="19"/>
              </w:rPr>
            </w:pPr>
            <w:r w:rsidRPr="00CA0117">
              <w:rPr>
                <w:rFonts w:cs="Arial"/>
                <w:sz w:val="16"/>
                <w:szCs w:val="16"/>
              </w:rPr>
              <w:t>50mg in 10mL and 200mg in 40mL vials</w:t>
            </w:r>
          </w:p>
        </w:tc>
        <w:tc>
          <w:tcPr>
            <w:tcW w:w="3439" w:type="pct"/>
            <w:shd w:val="clear" w:color="auto" w:fill="auto"/>
            <w:tcMar>
              <w:top w:w="57" w:type="dxa"/>
              <w:left w:w="170" w:type="dxa"/>
              <w:bottom w:w="57" w:type="dxa"/>
              <w:right w:w="170" w:type="dxa"/>
            </w:tcMar>
          </w:tcPr>
          <w:p w14:paraId="38A9EBB8" w14:textId="2D73E6E6" w:rsidR="00C54711" w:rsidRDefault="00C54711" w:rsidP="00C54711">
            <w:pPr>
              <w:tabs>
                <w:tab w:val="center" w:pos="3152"/>
              </w:tabs>
              <w:rPr>
                <w:rFonts w:cs="Arial"/>
                <w:szCs w:val="19"/>
                <w:lang w:val="en-US"/>
              </w:rPr>
            </w:pPr>
            <w:r w:rsidRPr="00CA0117">
              <w:rPr>
                <w:rFonts w:cs="Arial"/>
                <w:szCs w:val="19"/>
                <w:lang w:val="en-US"/>
              </w:rPr>
              <w:t xml:space="preserve">Use as monotherapy or combination with nivolumab for the treatment of advanced (unresectable or metastatic) melanoma in adults and adolescents </w:t>
            </w:r>
            <w:r>
              <w:rPr>
                <w:rFonts w:cs="Arial"/>
                <w:szCs w:val="19"/>
                <w:lang w:val="en-US"/>
              </w:rPr>
              <w:t>aged ≥</w:t>
            </w:r>
            <w:r w:rsidRPr="00CA0117">
              <w:rPr>
                <w:rFonts w:cs="Arial"/>
                <w:szCs w:val="19"/>
                <w:lang w:val="en-US"/>
              </w:rPr>
              <w:t xml:space="preserve">12 years </w:t>
            </w:r>
            <w:r w:rsidRPr="00661C22">
              <w:rPr>
                <w:rFonts w:cs="Arial"/>
                <w:color w:val="000000" w:themeColor="text1"/>
                <w:sz w:val="16"/>
                <w:szCs w:val="16"/>
                <w:lang w:val="en-US"/>
              </w:rPr>
              <w:t>[licence change from use only in adults]</w:t>
            </w:r>
          </w:p>
        </w:tc>
      </w:tr>
      <w:tr w:rsidR="00C54711" w:rsidRPr="00131D4C" w14:paraId="21A5FD67" w14:textId="77777777" w:rsidTr="00C54711">
        <w:tc>
          <w:tcPr>
            <w:tcW w:w="1561" w:type="pct"/>
            <w:shd w:val="clear" w:color="auto" w:fill="auto"/>
            <w:tcMar>
              <w:top w:w="57" w:type="dxa"/>
              <w:left w:w="170" w:type="dxa"/>
              <w:bottom w:w="57" w:type="dxa"/>
              <w:right w:w="170" w:type="dxa"/>
            </w:tcMar>
          </w:tcPr>
          <w:p w14:paraId="35DB7C2E" w14:textId="77777777" w:rsidR="00C54711" w:rsidRDefault="00C54711" w:rsidP="00C54711">
            <w:pPr>
              <w:rPr>
                <w:rFonts w:cs="Arial"/>
                <w:szCs w:val="19"/>
              </w:rPr>
            </w:pPr>
            <w:r w:rsidRPr="001C1086">
              <w:rPr>
                <w:rFonts w:cs="Arial"/>
                <w:szCs w:val="19"/>
              </w:rPr>
              <w:t xml:space="preserve">Ivacaftor + </w:t>
            </w:r>
            <w:proofErr w:type="spellStart"/>
            <w:r w:rsidRPr="001C1086">
              <w:rPr>
                <w:rFonts w:cs="Arial"/>
                <w:szCs w:val="19"/>
              </w:rPr>
              <w:t>tezacaftor</w:t>
            </w:r>
            <w:proofErr w:type="spellEnd"/>
            <w:r w:rsidRPr="001C1086">
              <w:rPr>
                <w:rFonts w:cs="Arial"/>
                <w:szCs w:val="19"/>
              </w:rPr>
              <w:t xml:space="preserve"> + </w:t>
            </w:r>
            <w:proofErr w:type="spellStart"/>
            <w:r w:rsidRPr="001C1086">
              <w:rPr>
                <w:rFonts w:cs="Arial"/>
                <w:szCs w:val="19"/>
              </w:rPr>
              <w:t>elexacaftor</w:t>
            </w:r>
            <w:proofErr w:type="spellEnd"/>
            <w:r w:rsidRPr="001C1086">
              <w:rPr>
                <w:rFonts w:cs="Arial"/>
                <w:szCs w:val="19"/>
              </w:rPr>
              <w:t xml:space="preserve"> </w:t>
            </w:r>
            <w:r>
              <w:rPr>
                <w:rFonts w:cs="Arial"/>
                <w:szCs w:val="19"/>
              </w:rPr>
              <w:t>(</w:t>
            </w:r>
            <w:proofErr w:type="spellStart"/>
            <w:r>
              <w:rPr>
                <w:rFonts w:cs="Arial"/>
                <w:i/>
                <w:iCs/>
                <w:szCs w:val="19"/>
              </w:rPr>
              <w:t>Kaftrio</w:t>
            </w:r>
            <w:proofErr w:type="spellEnd"/>
            <w:r>
              <w:rPr>
                <w:rFonts w:cs="Arial"/>
                <w:szCs w:val="19"/>
              </w:rPr>
              <w:t xml:space="preserve">) </w:t>
            </w:r>
          </w:p>
          <w:p w14:paraId="63E38D60" w14:textId="30B549C3" w:rsidR="00C54711" w:rsidRPr="00EA51C2" w:rsidRDefault="00C54711" w:rsidP="00C54711">
            <w:pPr>
              <w:rPr>
                <w:rFonts w:cs="Arial"/>
                <w:szCs w:val="19"/>
              </w:rPr>
            </w:pPr>
            <w:r w:rsidRPr="005A7E18">
              <w:rPr>
                <w:rFonts w:cs="Arial"/>
                <w:sz w:val="16"/>
                <w:szCs w:val="16"/>
              </w:rPr>
              <w:t>60mg/40mg/80mg and 75mg/50mg/100mg granules in sachet</w:t>
            </w:r>
          </w:p>
        </w:tc>
        <w:tc>
          <w:tcPr>
            <w:tcW w:w="3439" w:type="pct"/>
            <w:shd w:val="clear" w:color="auto" w:fill="auto"/>
            <w:tcMar>
              <w:top w:w="57" w:type="dxa"/>
              <w:left w:w="170" w:type="dxa"/>
              <w:bottom w:w="57" w:type="dxa"/>
              <w:right w:w="170" w:type="dxa"/>
            </w:tcMar>
          </w:tcPr>
          <w:p w14:paraId="53A84561" w14:textId="77777777" w:rsidR="00C54711" w:rsidRDefault="00C54711" w:rsidP="00C54711">
            <w:pPr>
              <w:tabs>
                <w:tab w:val="center" w:pos="3152"/>
              </w:tabs>
              <w:rPr>
                <w:rFonts w:cs="Arial"/>
                <w:szCs w:val="19"/>
                <w:lang w:val="en-US"/>
              </w:rPr>
            </w:pPr>
            <w:r>
              <w:rPr>
                <w:rFonts w:cs="Arial"/>
                <w:szCs w:val="19"/>
                <w:lang w:val="en-US"/>
              </w:rPr>
              <w:t>Use i</w:t>
            </w:r>
            <w:r w:rsidRPr="00D537BC">
              <w:rPr>
                <w:rFonts w:cs="Arial"/>
                <w:szCs w:val="19"/>
                <w:lang w:val="en-US"/>
              </w:rPr>
              <w:t xml:space="preserve">n a combination regimen with ivacaftor for the treatment of cystic fibrosis </w:t>
            </w:r>
            <w:r>
              <w:rPr>
                <w:rFonts w:cs="Arial"/>
                <w:szCs w:val="19"/>
                <w:lang w:val="en-US"/>
              </w:rPr>
              <w:t xml:space="preserve">(CF) </w:t>
            </w:r>
            <w:r w:rsidRPr="00D537BC">
              <w:rPr>
                <w:rFonts w:cs="Arial"/>
                <w:szCs w:val="19"/>
                <w:lang w:val="en-US"/>
              </w:rPr>
              <w:t xml:space="preserve">in paediatric patients aged 2 to </w:t>
            </w:r>
            <w:r>
              <w:rPr>
                <w:rFonts w:cs="Arial"/>
                <w:szCs w:val="19"/>
                <w:lang w:val="en-US"/>
              </w:rPr>
              <w:t>&lt;</w:t>
            </w:r>
            <w:r w:rsidRPr="00D537BC">
              <w:rPr>
                <w:rFonts w:cs="Arial"/>
                <w:szCs w:val="19"/>
                <w:lang w:val="en-US"/>
              </w:rPr>
              <w:t xml:space="preserve">6 years who have at least one F508del mutation in the </w:t>
            </w:r>
            <w:r>
              <w:rPr>
                <w:rFonts w:cs="Arial"/>
                <w:szCs w:val="19"/>
                <w:lang w:val="en-US"/>
              </w:rPr>
              <w:t xml:space="preserve">CF </w:t>
            </w:r>
            <w:r w:rsidRPr="00D537BC">
              <w:rPr>
                <w:rFonts w:cs="Arial"/>
                <w:szCs w:val="19"/>
                <w:lang w:val="en-US"/>
              </w:rPr>
              <w:t xml:space="preserve">transmembrane conductance regulator </w:t>
            </w:r>
            <w:proofErr w:type="gramStart"/>
            <w:r w:rsidRPr="00D537BC">
              <w:rPr>
                <w:rFonts w:cs="Arial"/>
                <w:szCs w:val="19"/>
                <w:lang w:val="en-US"/>
              </w:rPr>
              <w:t>gene</w:t>
            </w:r>
            <w:proofErr w:type="gramEnd"/>
            <w:r>
              <w:rPr>
                <w:rFonts w:cs="Arial"/>
                <w:szCs w:val="19"/>
                <w:lang w:val="en-US"/>
              </w:rPr>
              <w:t xml:space="preserve"> </w:t>
            </w:r>
          </w:p>
          <w:p w14:paraId="2BB38946" w14:textId="7A240A33" w:rsidR="00C54711" w:rsidRPr="00B64A1C" w:rsidRDefault="00C54711" w:rsidP="00C54711">
            <w:pPr>
              <w:tabs>
                <w:tab w:val="center" w:pos="3152"/>
              </w:tabs>
              <w:rPr>
                <w:rFonts w:cs="Arial"/>
                <w:sz w:val="18"/>
                <w:szCs w:val="18"/>
              </w:rPr>
            </w:pPr>
            <w:r w:rsidRPr="00D537BC">
              <w:rPr>
                <w:rFonts w:cs="Arial"/>
                <w:sz w:val="16"/>
                <w:szCs w:val="16"/>
                <w:lang w:val="en-US"/>
              </w:rPr>
              <w:t>[</w:t>
            </w:r>
            <w:r>
              <w:rPr>
                <w:rFonts w:cs="Arial"/>
                <w:sz w:val="16"/>
                <w:szCs w:val="16"/>
                <w:lang w:val="en-US"/>
              </w:rPr>
              <w:t>new granule formulations with new indication</w:t>
            </w:r>
            <w:r w:rsidRPr="00D537BC">
              <w:rPr>
                <w:rFonts w:cs="Arial"/>
                <w:sz w:val="16"/>
                <w:szCs w:val="16"/>
                <w:lang w:val="en-US"/>
              </w:rPr>
              <w:t>]</w:t>
            </w:r>
          </w:p>
        </w:tc>
      </w:tr>
      <w:tr w:rsidR="00C54711" w:rsidRPr="00131D4C" w14:paraId="125F3FF3" w14:textId="77777777" w:rsidTr="00C54711">
        <w:tc>
          <w:tcPr>
            <w:tcW w:w="1561" w:type="pct"/>
            <w:shd w:val="clear" w:color="auto" w:fill="auto"/>
            <w:tcMar>
              <w:top w:w="57" w:type="dxa"/>
              <w:left w:w="170" w:type="dxa"/>
              <w:bottom w:w="57" w:type="dxa"/>
              <w:right w:w="170" w:type="dxa"/>
            </w:tcMar>
          </w:tcPr>
          <w:p w14:paraId="743B8EFB" w14:textId="77777777" w:rsidR="00C54711" w:rsidRDefault="00C54711" w:rsidP="00C54711">
            <w:pPr>
              <w:rPr>
                <w:rFonts w:cs="Arial"/>
                <w:szCs w:val="19"/>
              </w:rPr>
            </w:pPr>
            <w:r w:rsidRPr="009A43F2">
              <w:rPr>
                <w:rFonts w:cs="Arial"/>
                <w:szCs w:val="19"/>
              </w:rPr>
              <w:t>Lebrikizumab</w:t>
            </w:r>
            <w:r>
              <w:rPr>
                <w:rFonts w:cs="Arial"/>
                <w:szCs w:val="19"/>
              </w:rPr>
              <w:t xml:space="preserve"> (</w:t>
            </w:r>
            <w:proofErr w:type="spellStart"/>
            <w:r>
              <w:rPr>
                <w:rFonts w:cs="Arial"/>
                <w:i/>
                <w:iCs/>
                <w:szCs w:val="19"/>
              </w:rPr>
              <w:t>Ebglyss</w:t>
            </w:r>
            <w:proofErr w:type="spellEnd"/>
            <w:r>
              <w:rPr>
                <w:rFonts w:cs="Arial"/>
                <w:szCs w:val="19"/>
              </w:rPr>
              <w:t xml:space="preserve">) </w:t>
            </w:r>
          </w:p>
          <w:p w14:paraId="473E3B0F" w14:textId="2BE91FE8" w:rsidR="00C54711" w:rsidRDefault="00C54711" w:rsidP="00C54711">
            <w:pPr>
              <w:rPr>
                <w:rFonts w:cs="Arial"/>
                <w:szCs w:val="19"/>
              </w:rPr>
            </w:pPr>
            <w:r w:rsidRPr="00704BD3">
              <w:rPr>
                <w:rFonts w:cs="Arial"/>
                <w:sz w:val="16"/>
                <w:szCs w:val="16"/>
              </w:rPr>
              <w:t>250mg in 2mL prefilled pen and syringe</w:t>
            </w:r>
          </w:p>
        </w:tc>
        <w:tc>
          <w:tcPr>
            <w:tcW w:w="3439" w:type="pct"/>
            <w:shd w:val="clear" w:color="auto" w:fill="auto"/>
            <w:tcMar>
              <w:top w:w="57" w:type="dxa"/>
              <w:left w:w="170" w:type="dxa"/>
              <w:bottom w:w="57" w:type="dxa"/>
              <w:right w:w="170" w:type="dxa"/>
            </w:tcMar>
          </w:tcPr>
          <w:p w14:paraId="396C7F5F" w14:textId="2979D057" w:rsidR="00C54711" w:rsidRDefault="00C54711" w:rsidP="00C54711">
            <w:pPr>
              <w:tabs>
                <w:tab w:val="center" w:pos="3152"/>
              </w:tabs>
              <w:rPr>
                <w:rFonts w:cs="Arial"/>
                <w:szCs w:val="19"/>
              </w:rPr>
            </w:pPr>
            <w:r w:rsidRPr="009A43F2">
              <w:rPr>
                <w:rFonts w:cs="Arial"/>
                <w:szCs w:val="19"/>
                <w:lang w:val="en-US"/>
              </w:rPr>
              <w:t xml:space="preserve">Treatment of moderate-to-severe atopic dermatitis in adults and adolescents </w:t>
            </w:r>
            <w:r>
              <w:rPr>
                <w:rFonts w:cs="Arial"/>
                <w:szCs w:val="19"/>
                <w:lang w:val="en-US"/>
              </w:rPr>
              <w:t>aged ≥</w:t>
            </w:r>
            <w:r w:rsidRPr="009A43F2">
              <w:rPr>
                <w:rFonts w:cs="Arial"/>
                <w:szCs w:val="19"/>
                <w:lang w:val="en-US"/>
              </w:rPr>
              <w:t xml:space="preserve">12 years with a body weight </w:t>
            </w:r>
            <w:r>
              <w:rPr>
                <w:rFonts w:cs="Arial"/>
                <w:szCs w:val="19"/>
                <w:lang w:val="en-US"/>
              </w:rPr>
              <w:t>≥</w:t>
            </w:r>
            <w:r w:rsidRPr="009A43F2">
              <w:rPr>
                <w:rFonts w:cs="Arial"/>
                <w:szCs w:val="19"/>
                <w:lang w:val="en-US"/>
              </w:rPr>
              <w:t>40kg who are candidates for systemic therapy</w:t>
            </w:r>
          </w:p>
        </w:tc>
      </w:tr>
      <w:tr w:rsidR="00C54711" w:rsidRPr="00131D4C" w14:paraId="51A3F72C" w14:textId="77777777" w:rsidTr="00C54711">
        <w:tc>
          <w:tcPr>
            <w:tcW w:w="1561" w:type="pct"/>
            <w:shd w:val="clear" w:color="auto" w:fill="auto"/>
            <w:tcMar>
              <w:top w:w="57" w:type="dxa"/>
              <w:left w:w="170" w:type="dxa"/>
              <w:bottom w:w="57" w:type="dxa"/>
              <w:right w:w="170" w:type="dxa"/>
            </w:tcMar>
          </w:tcPr>
          <w:p w14:paraId="395AA756" w14:textId="77777777" w:rsidR="00C54711" w:rsidRDefault="00C54711" w:rsidP="00C54711">
            <w:pPr>
              <w:rPr>
                <w:rFonts w:cs="Arial"/>
                <w:szCs w:val="19"/>
              </w:rPr>
            </w:pPr>
            <w:r w:rsidRPr="00BA4723">
              <w:rPr>
                <w:rFonts w:cs="Arial"/>
                <w:szCs w:val="19"/>
              </w:rPr>
              <w:t>Levomepromazine</w:t>
            </w:r>
            <w:r>
              <w:rPr>
                <w:rFonts w:cs="Arial"/>
                <w:szCs w:val="19"/>
              </w:rPr>
              <w:t xml:space="preserve"> (</w:t>
            </w:r>
            <w:proofErr w:type="spellStart"/>
            <w:r>
              <w:rPr>
                <w:rFonts w:cs="Arial"/>
                <w:i/>
                <w:iCs/>
                <w:szCs w:val="19"/>
              </w:rPr>
              <w:t>Levorol</w:t>
            </w:r>
            <w:proofErr w:type="spellEnd"/>
            <w:r>
              <w:rPr>
                <w:rFonts w:cs="Arial"/>
                <w:szCs w:val="19"/>
              </w:rPr>
              <w:t xml:space="preserve">) </w:t>
            </w:r>
          </w:p>
          <w:p w14:paraId="09E96D72" w14:textId="3928A211" w:rsidR="00C54711" w:rsidRPr="00BA4723" w:rsidRDefault="00C54711" w:rsidP="00C54711">
            <w:pPr>
              <w:rPr>
                <w:rFonts w:cs="Arial"/>
                <w:szCs w:val="19"/>
              </w:rPr>
            </w:pPr>
            <w:r w:rsidRPr="00BA4723">
              <w:rPr>
                <w:rFonts w:cs="Arial"/>
                <w:sz w:val="16"/>
                <w:szCs w:val="16"/>
              </w:rPr>
              <w:t>6.25mg tablet</w:t>
            </w:r>
          </w:p>
        </w:tc>
        <w:tc>
          <w:tcPr>
            <w:tcW w:w="3439" w:type="pct"/>
            <w:shd w:val="clear" w:color="auto" w:fill="auto"/>
            <w:tcMar>
              <w:top w:w="57" w:type="dxa"/>
              <w:left w:w="170" w:type="dxa"/>
              <w:bottom w:w="57" w:type="dxa"/>
              <w:right w:w="170" w:type="dxa"/>
            </w:tcMar>
          </w:tcPr>
          <w:p w14:paraId="34E8614D" w14:textId="77777777" w:rsidR="00C54711" w:rsidRDefault="00C54711" w:rsidP="00C54711">
            <w:pPr>
              <w:tabs>
                <w:tab w:val="center" w:pos="3152"/>
              </w:tabs>
              <w:rPr>
                <w:rFonts w:cs="Arial"/>
                <w:szCs w:val="19"/>
                <w:lang w:val="en-US"/>
              </w:rPr>
            </w:pPr>
            <w:r w:rsidRPr="00BA4723">
              <w:rPr>
                <w:rFonts w:cs="Arial"/>
                <w:szCs w:val="19"/>
                <w:lang w:val="en-US"/>
              </w:rPr>
              <w:t>Use as an alternative to chlorpromazine in schizophrenia especially when it is desirable to reduce psychomotor activity (in adults and children), and adjunct therapy in the relief of pain and the accompanying distress (in adults) and second</w:t>
            </w:r>
            <w:r>
              <w:rPr>
                <w:rFonts w:cs="Arial"/>
                <w:szCs w:val="19"/>
                <w:lang w:val="en-US"/>
              </w:rPr>
              <w:t>-</w:t>
            </w:r>
            <w:r w:rsidRPr="00BA4723">
              <w:rPr>
                <w:rFonts w:cs="Arial"/>
                <w:szCs w:val="19"/>
                <w:lang w:val="en-US"/>
              </w:rPr>
              <w:t xml:space="preserve"> or third</w:t>
            </w:r>
            <w:r>
              <w:rPr>
                <w:rFonts w:cs="Arial"/>
                <w:szCs w:val="19"/>
                <w:lang w:val="en-US"/>
              </w:rPr>
              <w:t>-</w:t>
            </w:r>
            <w:r w:rsidRPr="00BA4723">
              <w:rPr>
                <w:rFonts w:cs="Arial"/>
                <w:szCs w:val="19"/>
                <w:lang w:val="en-US"/>
              </w:rPr>
              <w:t xml:space="preserve">line treatment of adults with refractory nausea unassociated with chemotherapy, where other agents have failed to give adequate </w:t>
            </w:r>
            <w:proofErr w:type="gramStart"/>
            <w:r w:rsidRPr="00BA4723">
              <w:rPr>
                <w:rFonts w:cs="Arial"/>
                <w:szCs w:val="19"/>
                <w:lang w:val="en-US"/>
              </w:rPr>
              <w:t>control</w:t>
            </w:r>
            <w:proofErr w:type="gramEnd"/>
            <w:r>
              <w:rPr>
                <w:rFonts w:cs="Arial"/>
                <w:szCs w:val="19"/>
                <w:lang w:val="en-US"/>
              </w:rPr>
              <w:t xml:space="preserve"> </w:t>
            </w:r>
          </w:p>
          <w:p w14:paraId="5B18633D" w14:textId="02A9532C" w:rsidR="00C54711" w:rsidRPr="006861B5" w:rsidRDefault="00C54711" w:rsidP="00C54711">
            <w:pPr>
              <w:tabs>
                <w:tab w:val="center" w:pos="3152"/>
              </w:tabs>
              <w:rPr>
                <w:rFonts w:cs="Arial"/>
                <w:szCs w:val="19"/>
                <w:lang w:val="en-US"/>
              </w:rPr>
            </w:pPr>
            <w:r w:rsidRPr="00BA4723">
              <w:rPr>
                <w:rFonts w:cs="Arial"/>
                <w:sz w:val="16"/>
                <w:szCs w:val="16"/>
                <w:lang w:val="en-US"/>
              </w:rPr>
              <w:t>[new tablet formulation with new indications]</w:t>
            </w:r>
          </w:p>
        </w:tc>
      </w:tr>
      <w:tr w:rsidR="00C54711" w:rsidRPr="00131D4C" w14:paraId="12F26150" w14:textId="77777777" w:rsidTr="00C54711">
        <w:tc>
          <w:tcPr>
            <w:tcW w:w="1561" w:type="pct"/>
            <w:shd w:val="clear" w:color="auto" w:fill="auto"/>
            <w:tcMar>
              <w:top w:w="57" w:type="dxa"/>
              <w:left w:w="170" w:type="dxa"/>
              <w:bottom w:w="57" w:type="dxa"/>
              <w:right w:w="170" w:type="dxa"/>
            </w:tcMar>
          </w:tcPr>
          <w:p w14:paraId="77AFE4B4" w14:textId="77777777" w:rsidR="00C54711" w:rsidRDefault="00C54711" w:rsidP="00C54711">
            <w:r w:rsidRPr="006861B5">
              <w:rPr>
                <w:rFonts w:cs="Arial"/>
                <w:szCs w:val="19"/>
              </w:rPr>
              <w:t>Methoxy polyethylene glycol epoetin-beta </w:t>
            </w:r>
            <w:r>
              <w:rPr>
                <w:rFonts w:cs="Arial"/>
                <w:szCs w:val="19"/>
              </w:rPr>
              <w:t>(</w:t>
            </w:r>
            <w:proofErr w:type="spellStart"/>
            <w:r>
              <w:rPr>
                <w:rFonts w:cs="Arial"/>
                <w:i/>
                <w:iCs/>
                <w:szCs w:val="19"/>
              </w:rPr>
              <w:t>Mircera</w:t>
            </w:r>
            <w:proofErr w:type="spellEnd"/>
            <w:r>
              <w:rPr>
                <w:rFonts w:cs="Arial"/>
                <w:szCs w:val="19"/>
              </w:rPr>
              <w:t>)</w:t>
            </w:r>
            <w:r>
              <w:t xml:space="preserve"> </w:t>
            </w:r>
          </w:p>
          <w:p w14:paraId="7DB01B80" w14:textId="112947B0" w:rsidR="00C54711" w:rsidRDefault="00C54711" w:rsidP="00C54711">
            <w:pPr>
              <w:rPr>
                <w:rFonts w:cs="Arial"/>
                <w:szCs w:val="19"/>
              </w:rPr>
            </w:pPr>
            <w:r w:rsidRPr="008867A4">
              <w:rPr>
                <w:rFonts w:cs="Arial"/>
                <w:sz w:val="16"/>
                <w:szCs w:val="16"/>
              </w:rPr>
              <w:t>30micrograms in 0.3mL, 40micrograms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50micrograms</w:t>
            </w:r>
            <w:r>
              <w:rPr>
                <w:rFonts w:cs="Arial"/>
                <w:sz w:val="16"/>
                <w:szCs w:val="16"/>
              </w:rPr>
              <w:t xml:space="preserve"> in </w:t>
            </w:r>
            <w:r w:rsidRPr="008867A4">
              <w:rPr>
                <w:rFonts w:cs="Arial"/>
                <w:sz w:val="16"/>
                <w:szCs w:val="16"/>
              </w:rPr>
              <w:t>0.3m</w:t>
            </w:r>
            <w:r>
              <w:rPr>
                <w:rFonts w:cs="Arial"/>
                <w:sz w:val="16"/>
                <w:szCs w:val="16"/>
              </w:rPr>
              <w:t xml:space="preserve">L, </w:t>
            </w:r>
            <w:r w:rsidRPr="008867A4">
              <w:rPr>
                <w:rFonts w:cs="Arial"/>
                <w:sz w:val="16"/>
                <w:szCs w:val="16"/>
              </w:rPr>
              <w:t>60micrograms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75micrograms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100micrograms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120micrograms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150micrograms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200micrograms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250micrograms</w:t>
            </w:r>
            <w:r>
              <w:rPr>
                <w:rFonts w:cs="Arial"/>
                <w:sz w:val="16"/>
                <w:szCs w:val="16"/>
              </w:rPr>
              <w:t xml:space="preserve"> in </w:t>
            </w:r>
            <w:r w:rsidRPr="008867A4">
              <w:rPr>
                <w:rFonts w:cs="Arial"/>
                <w:sz w:val="16"/>
                <w:szCs w:val="16"/>
              </w:rPr>
              <w:t>0.3m</w:t>
            </w:r>
            <w:r>
              <w:rPr>
                <w:rFonts w:cs="Arial"/>
                <w:sz w:val="16"/>
                <w:szCs w:val="16"/>
              </w:rPr>
              <w:t>L</w:t>
            </w:r>
            <w:r w:rsidRPr="008867A4">
              <w:rPr>
                <w:rFonts w:cs="Arial"/>
                <w:sz w:val="16"/>
                <w:szCs w:val="16"/>
              </w:rPr>
              <w:t xml:space="preserve"> and 360micrograms</w:t>
            </w:r>
            <w:r>
              <w:rPr>
                <w:rFonts w:cs="Arial"/>
                <w:sz w:val="16"/>
                <w:szCs w:val="16"/>
              </w:rPr>
              <w:t xml:space="preserve"> </w:t>
            </w:r>
            <w:r w:rsidRPr="008867A4">
              <w:rPr>
                <w:rFonts w:cs="Arial"/>
                <w:sz w:val="16"/>
                <w:szCs w:val="16"/>
              </w:rPr>
              <w:t>0.6m</w:t>
            </w:r>
            <w:r>
              <w:rPr>
                <w:rFonts w:cs="Arial"/>
                <w:sz w:val="16"/>
                <w:szCs w:val="16"/>
              </w:rPr>
              <w:t>L prefilled syringes</w:t>
            </w:r>
          </w:p>
        </w:tc>
        <w:tc>
          <w:tcPr>
            <w:tcW w:w="3439" w:type="pct"/>
            <w:shd w:val="clear" w:color="auto" w:fill="auto"/>
            <w:tcMar>
              <w:top w:w="57" w:type="dxa"/>
              <w:left w:w="170" w:type="dxa"/>
              <w:bottom w:w="57" w:type="dxa"/>
              <w:right w:w="170" w:type="dxa"/>
            </w:tcMar>
          </w:tcPr>
          <w:p w14:paraId="681BF0D1" w14:textId="1B94795C" w:rsidR="00C54711" w:rsidRDefault="00C54711" w:rsidP="00C54711">
            <w:pPr>
              <w:tabs>
                <w:tab w:val="center" w:pos="3152"/>
              </w:tabs>
              <w:rPr>
                <w:rFonts w:cs="Arial"/>
                <w:szCs w:val="19"/>
              </w:rPr>
            </w:pPr>
            <w:r w:rsidRPr="006861B5">
              <w:rPr>
                <w:rFonts w:cs="Arial"/>
                <w:szCs w:val="19"/>
                <w:lang w:val="en-US"/>
              </w:rPr>
              <w:t xml:space="preserve">Treatment of symptomatic anaemia associated with chronic kidney disease in paediatric patients </w:t>
            </w:r>
            <w:r>
              <w:rPr>
                <w:rFonts w:cs="Arial"/>
                <w:szCs w:val="19"/>
                <w:lang w:val="en-US"/>
              </w:rPr>
              <w:t xml:space="preserve">aged </w:t>
            </w:r>
            <w:r w:rsidRPr="006861B5">
              <w:rPr>
                <w:rFonts w:cs="Arial"/>
                <w:szCs w:val="19"/>
                <w:lang w:val="en-US"/>
              </w:rPr>
              <w:t xml:space="preserve">3 months to </w:t>
            </w:r>
            <w:r>
              <w:rPr>
                <w:rFonts w:cs="Arial"/>
                <w:szCs w:val="19"/>
                <w:lang w:val="en-US"/>
              </w:rPr>
              <w:t>&lt;</w:t>
            </w:r>
            <w:r w:rsidRPr="006861B5">
              <w:rPr>
                <w:rFonts w:cs="Arial"/>
                <w:szCs w:val="19"/>
                <w:lang w:val="en-US"/>
              </w:rPr>
              <w:t xml:space="preserve">18 years who are converting from another </w:t>
            </w:r>
            <w:r w:rsidR="004621F4" w:rsidRPr="004621F4">
              <w:rPr>
                <w:rFonts w:cs="Arial"/>
                <w:szCs w:val="19"/>
                <w:lang w:val="en-US"/>
              </w:rPr>
              <w:t xml:space="preserve">erythropoiesis </w:t>
            </w:r>
            <w:r w:rsidRPr="006861B5">
              <w:rPr>
                <w:rFonts w:cs="Arial"/>
                <w:szCs w:val="19"/>
                <w:lang w:val="en-US"/>
              </w:rPr>
              <w:t xml:space="preserve">stimulating agent (ESA) after their </w:t>
            </w:r>
            <w:proofErr w:type="spellStart"/>
            <w:r w:rsidRPr="006861B5">
              <w:rPr>
                <w:rFonts w:cs="Arial"/>
                <w:szCs w:val="19"/>
                <w:lang w:val="en-US"/>
              </w:rPr>
              <w:t>haemoglobin</w:t>
            </w:r>
            <w:proofErr w:type="spellEnd"/>
            <w:r w:rsidRPr="006861B5">
              <w:rPr>
                <w:rFonts w:cs="Arial"/>
                <w:szCs w:val="19"/>
                <w:lang w:val="en-US"/>
              </w:rPr>
              <w:t xml:space="preserve"> level was </w:t>
            </w:r>
            <w:proofErr w:type="spellStart"/>
            <w:r w:rsidRPr="006861B5">
              <w:rPr>
                <w:rFonts w:cs="Arial"/>
                <w:szCs w:val="19"/>
                <w:lang w:val="en-US"/>
              </w:rPr>
              <w:t>stabilised</w:t>
            </w:r>
            <w:proofErr w:type="spellEnd"/>
            <w:r w:rsidRPr="006861B5">
              <w:rPr>
                <w:rFonts w:cs="Arial"/>
                <w:szCs w:val="19"/>
                <w:lang w:val="en-US"/>
              </w:rPr>
              <w:t xml:space="preserve"> with the previous ESA</w:t>
            </w:r>
            <w:r>
              <w:rPr>
                <w:rFonts w:cs="Arial"/>
                <w:szCs w:val="19"/>
                <w:lang w:val="en-US"/>
              </w:rPr>
              <w:t xml:space="preserve"> </w:t>
            </w:r>
            <w:r w:rsidRPr="006861B5">
              <w:rPr>
                <w:rFonts w:cs="Arial"/>
                <w:sz w:val="16"/>
                <w:szCs w:val="16"/>
                <w:lang w:val="en-US"/>
              </w:rPr>
              <w:t>[new indication]</w:t>
            </w:r>
          </w:p>
        </w:tc>
      </w:tr>
      <w:tr w:rsidR="00C54711" w:rsidRPr="00862949" w14:paraId="3B9F50A0" w14:textId="77777777" w:rsidTr="002772ED">
        <w:tc>
          <w:tcPr>
            <w:tcW w:w="5000" w:type="pct"/>
            <w:gridSpan w:val="2"/>
            <w:shd w:val="clear" w:color="auto" w:fill="auto"/>
            <w:tcMar>
              <w:top w:w="0" w:type="dxa"/>
              <w:bottom w:w="0" w:type="dxa"/>
            </w:tcMar>
          </w:tcPr>
          <w:p w14:paraId="245713CC" w14:textId="77777777" w:rsidR="00C54711" w:rsidRPr="00862949" w:rsidRDefault="00C54711" w:rsidP="00C54711">
            <w:pPr>
              <w:rPr>
                <w:rFonts w:cs="Arial"/>
                <w:b/>
                <w:noProof/>
                <w:sz w:val="8"/>
                <w:szCs w:val="8"/>
              </w:rPr>
            </w:pPr>
          </w:p>
        </w:tc>
      </w:tr>
      <w:tr w:rsidR="00C54711" w:rsidRPr="00862949" w14:paraId="0DF0420F" w14:textId="77777777" w:rsidTr="002772ED">
        <w:tc>
          <w:tcPr>
            <w:tcW w:w="5000" w:type="pct"/>
            <w:gridSpan w:val="2"/>
            <w:shd w:val="clear" w:color="auto" w:fill="DAEEF3"/>
            <w:tcMar>
              <w:top w:w="0" w:type="dxa"/>
              <w:bottom w:w="0" w:type="dxa"/>
            </w:tcMar>
          </w:tcPr>
          <w:p w14:paraId="69E4E9F5" w14:textId="77777777" w:rsidR="00C54711" w:rsidRPr="00862949" w:rsidRDefault="00C54711" w:rsidP="00C54711">
            <w:pPr>
              <w:rPr>
                <w:rFonts w:cs="Arial"/>
                <w:b/>
                <w:i/>
                <w:noProof/>
                <w:sz w:val="8"/>
                <w:szCs w:val="8"/>
              </w:rPr>
            </w:pPr>
          </w:p>
        </w:tc>
      </w:tr>
    </w:tbl>
    <w:p w14:paraId="09F39082" w14:textId="2CEDE21F" w:rsidR="0022269C" w:rsidRDefault="0022269C" w:rsidP="00727945">
      <w:pPr>
        <w:rPr>
          <w:rFonts w:ascii="Latha" w:hAnsi="Latha" w:cs="Latha"/>
          <w:sz w:val="8"/>
          <w:szCs w:val="8"/>
        </w:rPr>
      </w:pPr>
    </w:p>
    <w:p w14:paraId="684E9BD1" w14:textId="2ABC91EB" w:rsidR="00993727" w:rsidRDefault="00993727" w:rsidP="00727945">
      <w:pPr>
        <w:rPr>
          <w:rFonts w:ascii="Latha" w:hAnsi="Latha" w:cs="Latha"/>
          <w:sz w:val="8"/>
          <w:szCs w:val="8"/>
        </w:rPr>
      </w:pPr>
    </w:p>
    <w:p w14:paraId="1F36BAEA" w14:textId="77777777" w:rsidR="00993727" w:rsidRDefault="00993727" w:rsidP="00727945">
      <w:pPr>
        <w:rPr>
          <w:rFonts w:ascii="Latha" w:hAnsi="Latha" w:cs="Latha"/>
          <w:sz w:val="8"/>
          <w:szCs w:val="8"/>
        </w:rPr>
      </w:pPr>
    </w:p>
    <w:p w14:paraId="363507B9" w14:textId="77777777" w:rsidR="001A42CE" w:rsidRPr="00727945" w:rsidRDefault="001A42CE" w:rsidP="00727945">
      <w:pPr>
        <w:rPr>
          <w:rFonts w:ascii="Latha" w:hAnsi="Latha" w:cs="Latha"/>
          <w:sz w:val="8"/>
          <w:szCs w:val="8"/>
        </w:rPr>
        <w:sectPr w:rsidR="001A42CE" w:rsidRPr="00727945" w:rsidSect="002772ED">
          <w:headerReference w:type="even" r:id="rId10"/>
          <w:headerReference w:type="default" r:id="rId11"/>
          <w:footerReference w:type="even" r:id="rId12"/>
          <w:footerReference w:type="default" r:id="rId13"/>
          <w:headerReference w:type="first" r:id="rId14"/>
          <w:pgSz w:w="11906" w:h="16838" w:code="9"/>
          <w:pgMar w:top="680" w:right="851" w:bottom="680" w:left="851" w:header="567" w:footer="227" w:gutter="0"/>
          <w:cols w:space="708"/>
          <w:docGrid w:linePitch="360"/>
        </w:sectPr>
      </w:pPr>
    </w:p>
    <w:p w14:paraId="2B762384" w14:textId="4D6022A9" w:rsidR="006825BB" w:rsidRDefault="006825BB">
      <w:pPr>
        <w:rPr>
          <w:sz w:val="8"/>
          <w:szCs w:val="16"/>
        </w:rPr>
      </w:pPr>
    </w:p>
    <w:p w14:paraId="7C1E9671" w14:textId="3C7E6BAE" w:rsidR="00993727" w:rsidRDefault="00993727">
      <w:pPr>
        <w:rPr>
          <w:sz w:val="8"/>
          <w:szCs w:val="16"/>
        </w:rPr>
      </w:pPr>
    </w:p>
    <w:p w14:paraId="58F5CB26" w14:textId="77777777" w:rsidR="00993727" w:rsidRDefault="00993727">
      <w:pPr>
        <w:rPr>
          <w:sz w:val="8"/>
          <w:szCs w:val="16"/>
        </w:rPr>
      </w:pPr>
    </w:p>
    <w:tbl>
      <w:tblPr>
        <w:tblW w:w="5170" w:type="pct"/>
        <w:tblInd w:w="-176" w:type="dxa"/>
        <w:tblLayout w:type="fixed"/>
        <w:tblLook w:val="01E0" w:firstRow="1" w:lastRow="1" w:firstColumn="1" w:lastColumn="1" w:noHBand="0" w:noVBand="0"/>
      </w:tblPr>
      <w:tblGrid>
        <w:gridCol w:w="2585"/>
        <w:gridCol w:w="7966"/>
      </w:tblGrid>
      <w:tr w:rsidR="00993727" w:rsidRPr="00862949" w14:paraId="391901D1" w14:textId="77777777" w:rsidTr="001C68C8">
        <w:tc>
          <w:tcPr>
            <w:tcW w:w="5000" w:type="pct"/>
            <w:gridSpan w:val="2"/>
            <w:shd w:val="clear" w:color="auto" w:fill="0070C0"/>
            <w:tcMar>
              <w:top w:w="85" w:type="dxa"/>
              <w:bottom w:w="85" w:type="dxa"/>
            </w:tcMar>
            <w:vAlign w:val="bottom"/>
          </w:tcPr>
          <w:p w14:paraId="3B8A061B" w14:textId="77777777" w:rsidR="00993727" w:rsidRPr="00862949" w:rsidRDefault="00993727" w:rsidP="001C68C8">
            <w:pPr>
              <w:rPr>
                <w:rFonts w:cs="Arial"/>
                <w:color w:val="FFFFFF"/>
                <w:sz w:val="15"/>
                <w:szCs w:val="15"/>
              </w:rPr>
            </w:pPr>
            <w:r>
              <w:rPr>
                <w:rFonts w:cs="Arial"/>
                <w:b/>
                <w:bCs/>
                <w:iCs/>
                <w:color w:val="FFFFFF"/>
                <w:sz w:val="28"/>
                <w:szCs w:val="28"/>
                <w:lang w:val="en-US"/>
              </w:rPr>
              <w:t>New product information</w:t>
            </w:r>
            <w:r w:rsidRPr="00862949">
              <w:rPr>
                <w:rFonts w:cs="Arial"/>
                <w:b/>
                <w:bCs/>
                <w:iCs/>
                <w:color w:val="FFFFFF"/>
                <w:sz w:val="28"/>
                <w:szCs w:val="28"/>
                <w:lang w:val="en-US"/>
              </w:rPr>
              <w:tab/>
            </w:r>
          </w:p>
        </w:tc>
      </w:tr>
      <w:tr w:rsidR="00993727" w:rsidRPr="00862949" w14:paraId="0F6A163C" w14:textId="77777777" w:rsidTr="001C68C8">
        <w:tc>
          <w:tcPr>
            <w:tcW w:w="5000" w:type="pct"/>
            <w:gridSpan w:val="2"/>
            <w:shd w:val="clear" w:color="auto" w:fill="DAEEF3"/>
            <w:tcMar>
              <w:top w:w="0" w:type="dxa"/>
              <w:bottom w:w="0" w:type="dxa"/>
            </w:tcMar>
          </w:tcPr>
          <w:p w14:paraId="0F6777C2" w14:textId="77777777" w:rsidR="00993727" w:rsidRPr="00862949" w:rsidRDefault="00993727" w:rsidP="001C68C8">
            <w:pPr>
              <w:rPr>
                <w:rFonts w:cs="Arial"/>
                <w:b/>
                <w:bCs/>
                <w:i/>
                <w:iCs/>
                <w:color w:val="000000"/>
                <w:sz w:val="8"/>
                <w:szCs w:val="8"/>
                <w:lang w:val="en-US"/>
              </w:rPr>
            </w:pPr>
          </w:p>
        </w:tc>
      </w:tr>
      <w:tr w:rsidR="00993727" w:rsidRPr="00862949" w14:paraId="02ECE968" w14:textId="77777777" w:rsidTr="001C68C8">
        <w:tc>
          <w:tcPr>
            <w:tcW w:w="5000" w:type="pct"/>
            <w:gridSpan w:val="2"/>
            <w:shd w:val="clear" w:color="auto" w:fill="00B050"/>
            <w:tcMar>
              <w:top w:w="57" w:type="dxa"/>
              <w:bottom w:w="57" w:type="dxa"/>
            </w:tcMar>
          </w:tcPr>
          <w:p w14:paraId="73E3BD95" w14:textId="559D54AA" w:rsidR="00993727" w:rsidRPr="00993727" w:rsidRDefault="00993727" w:rsidP="001C68C8">
            <w:pPr>
              <w:rPr>
                <w:rFonts w:cs="Arial"/>
                <w:color w:val="FFFFFF"/>
                <w:sz w:val="20"/>
                <w:szCs w:val="20"/>
              </w:rPr>
            </w:pPr>
            <w:r w:rsidRPr="00433D3E">
              <w:rPr>
                <w:rFonts w:cs="Arial"/>
                <w:b/>
                <w:bCs/>
                <w:i/>
                <w:iCs/>
                <w:color w:val="FFFFFF"/>
                <w:sz w:val="22"/>
                <w:szCs w:val="20"/>
                <w:lang w:val="en-US"/>
              </w:rPr>
              <w:t>Launched in the UK (or licence change for existing products)</w:t>
            </w:r>
            <w:r>
              <w:rPr>
                <w:rFonts w:cs="Arial"/>
                <w:b/>
                <w:bCs/>
                <w:i/>
                <w:iCs/>
                <w:color w:val="FFFFFF"/>
                <w:sz w:val="22"/>
                <w:szCs w:val="20"/>
                <w:lang w:val="en-US"/>
              </w:rPr>
              <w:t xml:space="preserve"> </w:t>
            </w:r>
            <w:r w:rsidRPr="00993727">
              <w:rPr>
                <w:rFonts w:cs="Arial"/>
                <w:b/>
                <w:bCs/>
                <w:color w:val="FFFFFF"/>
                <w:sz w:val="16"/>
                <w:szCs w:val="14"/>
                <w:lang w:val="en-US"/>
              </w:rPr>
              <w:t>(continued)</w:t>
            </w:r>
          </w:p>
        </w:tc>
      </w:tr>
      <w:tr w:rsidR="00D50AB3" w14:paraId="1ABDD3E6" w14:textId="77777777" w:rsidTr="004C0BF2">
        <w:tc>
          <w:tcPr>
            <w:tcW w:w="1225" w:type="pct"/>
            <w:shd w:val="clear" w:color="auto" w:fill="auto"/>
            <w:tcMar>
              <w:top w:w="57" w:type="dxa"/>
              <w:left w:w="170" w:type="dxa"/>
              <w:bottom w:w="57" w:type="dxa"/>
              <w:right w:w="170" w:type="dxa"/>
            </w:tcMar>
          </w:tcPr>
          <w:p w14:paraId="0D697165" w14:textId="77777777" w:rsidR="00D50AB3" w:rsidRDefault="00D50AB3" w:rsidP="00D50AB3">
            <w:pPr>
              <w:rPr>
                <w:rFonts w:cs="Arial"/>
                <w:szCs w:val="19"/>
              </w:rPr>
            </w:pPr>
            <w:r>
              <w:rPr>
                <w:rFonts w:cs="Arial"/>
                <w:szCs w:val="19"/>
              </w:rPr>
              <w:t>Nivolumab (</w:t>
            </w:r>
            <w:proofErr w:type="spellStart"/>
            <w:r>
              <w:rPr>
                <w:rFonts w:cs="Arial"/>
                <w:i/>
                <w:iCs/>
                <w:szCs w:val="19"/>
              </w:rPr>
              <w:t>Opdivo</w:t>
            </w:r>
            <w:proofErr w:type="spellEnd"/>
            <w:r>
              <w:rPr>
                <w:rFonts w:cs="Arial"/>
                <w:szCs w:val="19"/>
              </w:rPr>
              <w:t xml:space="preserve">) </w:t>
            </w:r>
          </w:p>
          <w:p w14:paraId="539FFB36" w14:textId="212FE33F" w:rsidR="00D50AB3" w:rsidRPr="00661C22" w:rsidRDefault="00D50AB3" w:rsidP="00D50AB3">
            <w:pPr>
              <w:rPr>
                <w:rFonts w:cs="Arial"/>
                <w:color w:val="000000" w:themeColor="text1"/>
                <w:szCs w:val="19"/>
              </w:rPr>
            </w:pPr>
            <w:r w:rsidRPr="00562334">
              <w:rPr>
                <w:rFonts w:cs="Arial"/>
                <w:sz w:val="16"/>
                <w:szCs w:val="16"/>
              </w:rPr>
              <w:t>40mg</w:t>
            </w:r>
            <w:r>
              <w:rPr>
                <w:rFonts w:cs="Arial"/>
                <w:sz w:val="16"/>
                <w:szCs w:val="16"/>
              </w:rPr>
              <w:t xml:space="preserve"> in </w:t>
            </w:r>
            <w:r w:rsidRPr="00562334">
              <w:rPr>
                <w:rFonts w:cs="Arial"/>
                <w:sz w:val="16"/>
                <w:szCs w:val="16"/>
              </w:rPr>
              <w:t>4mL, 100mg</w:t>
            </w:r>
            <w:r>
              <w:rPr>
                <w:rFonts w:cs="Arial"/>
                <w:sz w:val="16"/>
                <w:szCs w:val="16"/>
              </w:rPr>
              <w:t xml:space="preserve"> in </w:t>
            </w:r>
            <w:r w:rsidRPr="00562334">
              <w:rPr>
                <w:rFonts w:cs="Arial"/>
                <w:sz w:val="16"/>
                <w:szCs w:val="16"/>
              </w:rPr>
              <w:t>10mL, 120mg</w:t>
            </w:r>
            <w:r>
              <w:rPr>
                <w:rFonts w:cs="Arial"/>
                <w:sz w:val="16"/>
                <w:szCs w:val="16"/>
              </w:rPr>
              <w:t xml:space="preserve"> in </w:t>
            </w:r>
            <w:r w:rsidRPr="00562334">
              <w:rPr>
                <w:rFonts w:cs="Arial"/>
                <w:sz w:val="16"/>
                <w:szCs w:val="16"/>
              </w:rPr>
              <w:t>12mL and 240mg</w:t>
            </w:r>
            <w:r>
              <w:rPr>
                <w:rFonts w:cs="Arial"/>
                <w:sz w:val="16"/>
                <w:szCs w:val="16"/>
              </w:rPr>
              <w:t xml:space="preserve"> in </w:t>
            </w:r>
            <w:r w:rsidRPr="00562334">
              <w:rPr>
                <w:rFonts w:cs="Arial"/>
                <w:sz w:val="16"/>
                <w:szCs w:val="16"/>
              </w:rPr>
              <w:t>24mL</w:t>
            </w:r>
            <w:r>
              <w:rPr>
                <w:rFonts w:cs="Arial"/>
                <w:sz w:val="16"/>
                <w:szCs w:val="16"/>
              </w:rPr>
              <w:t xml:space="preserve"> vials</w:t>
            </w:r>
          </w:p>
        </w:tc>
        <w:tc>
          <w:tcPr>
            <w:tcW w:w="3775" w:type="pct"/>
            <w:shd w:val="clear" w:color="auto" w:fill="auto"/>
            <w:tcMar>
              <w:top w:w="57" w:type="dxa"/>
              <w:left w:w="170" w:type="dxa"/>
              <w:bottom w:w="57" w:type="dxa"/>
              <w:right w:w="170" w:type="dxa"/>
            </w:tcMar>
          </w:tcPr>
          <w:p w14:paraId="45C392FA" w14:textId="77777777" w:rsidR="004C0BF2" w:rsidRDefault="00D50AB3" w:rsidP="004C0BF2">
            <w:pPr>
              <w:tabs>
                <w:tab w:val="center" w:pos="3152"/>
              </w:tabs>
              <w:rPr>
                <w:rFonts w:cs="Arial"/>
                <w:szCs w:val="19"/>
              </w:rPr>
            </w:pPr>
            <w:r>
              <w:rPr>
                <w:rFonts w:cs="Arial"/>
                <w:szCs w:val="19"/>
              </w:rPr>
              <w:t xml:space="preserve">Use </w:t>
            </w:r>
            <w:r w:rsidRPr="00562334">
              <w:rPr>
                <w:rFonts w:cs="Arial"/>
                <w:szCs w:val="19"/>
              </w:rPr>
              <w:t xml:space="preserve">as monotherapy for the adjuvant treatment of adults and adolescents </w:t>
            </w:r>
            <w:r>
              <w:rPr>
                <w:rFonts w:cs="Arial"/>
                <w:szCs w:val="19"/>
              </w:rPr>
              <w:t>aged ≥</w:t>
            </w:r>
            <w:r w:rsidRPr="00562334">
              <w:rPr>
                <w:rFonts w:cs="Arial"/>
                <w:szCs w:val="19"/>
              </w:rPr>
              <w:t xml:space="preserve">12 years with Stage IIB or IIC melanoma, or melanoma with involvement of lymph nodes or metastatic disease who have undergone complete </w:t>
            </w:r>
            <w:proofErr w:type="gramStart"/>
            <w:r w:rsidRPr="00562334">
              <w:rPr>
                <w:rFonts w:cs="Arial"/>
                <w:szCs w:val="19"/>
              </w:rPr>
              <w:t>resection</w:t>
            </w:r>
            <w:proofErr w:type="gramEnd"/>
            <w:r>
              <w:rPr>
                <w:rFonts w:cs="Arial"/>
                <w:szCs w:val="19"/>
              </w:rPr>
              <w:t xml:space="preserve"> </w:t>
            </w:r>
          </w:p>
          <w:p w14:paraId="3B7536A3" w14:textId="7867EB87" w:rsidR="00D50AB3" w:rsidRPr="00661C22" w:rsidRDefault="00D50AB3" w:rsidP="004C0BF2">
            <w:pPr>
              <w:tabs>
                <w:tab w:val="center" w:pos="3152"/>
              </w:tabs>
              <w:rPr>
                <w:rFonts w:cs="Arial"/>
                <w:color w:val="000000" w:themeColor="text1"/>
                <w:szCs w:val="19"/>
                <w:lang w:val="en-US"/>
              </w:rPr>
            </w:pPr>
            <w:r w:rsidRPr="00562334">
              <w:rPr>
                <w:rFonts w:cs="Arial"/>
                <w:sz w:val="16"/>
                <w:szCs w:val="16"/>
              </w:rPr>
              <w:t>[licence change from use only in adults]</w:t>
            </w:r>
          </w:p>
        </w:tc>
      </w:tr>
      <w:tr w:rsidR="00D50AB3" w14:paraId="45FA1444" w14:textId="77777777" w:rsidTr="004C0BF2">
        <w:tc>
          <w:tcPr>
            <w:tcW w:w="1225" w:type="pct"/>
            <w:shd w:val="clear" w:color="auto" w:fill="auto"/>
            <w:tcMar>
              <w:top w:w="57" w:type="dxa"/>
              <w:left w:w="170" w:type="dxa"/>
              <w:bottom w:w="57" w:type="dxa"/>
              <w:right w:w="170" w:type="dxa"/>
            </w:tcMar>
          </w:tcPr>
          <w:p w14:paraId="52540EFA" w14:textId="77777777" w:rsidR="00D50AB3" w:rsidRDefault="00D50AB3" w:rsidP="00D50AB3">
            <w:pPr>
              <w:rPr>
                <w:rFonts w:cs="Arial"/>
                <w:color w:val="000000" w:themeColor="text1"/>
                <w:szCs w:val="19"/>
              </w:rPr>
            </w:pPr>
            <w:r w:rsidRPr="00661C22">
              <w:rPr>
                <w:rFonts w:cs="Arial"/>
                <w:color w:val="000000" w:themeColor="text1"/>
                <w:szCs w:val="19"/>
              </w:rPr>
              <w:t>Nivolumab (</w:t>
            </w:r>
            <w:proofErr w:type="spellStart"/>
            <w:r w:rsidRPr="00661C22">
              <w:rPr>
                <w:rFonts w:cs="Arial"/>
                <w:i/>
                <w:iCs/>
                <w:color w:val="000000" w:themeColor="text1"/>
                <w:szCs w:val="19"/>
              </w:rPr>
              <w:t>Opdivo</w:t>
            </w:r>
            <w:proofErr w:type="spellEnd"/>
            <w:r w:rsidRPr="00661C22">
              <w:rPr>
                <w:rFonts w:cs="Arial"/>
                <w:color w:val="000000" w:themeColor="text1"/>
                <w:szCs w:val="19"/>
              </w:rPr>
              <w:t>)</w:t>
            </w:r>
          </w:p>
          <w:p w14:paraId="796EDF52" w14:textId="7DCF5F2A" w:rsidR="00D50AB3" w:rsidRPr="00483591" w:rsidRDefault="00D50AB3" w:rsidP="00D50AB3">
            <w:pPr>
              <w:rPr>
                <w:rFonts w:cs="Arial"/>
                <w:szCs w:val="19"/>
              </w:rPr>
            </w:pPr>
            <w:r w:rsidRPr="00562334">
              <w:rPr>
                <w:rFonts w:cs="Arial"/>
                <w:sz w:val="16"/>
                <w:szCs w:val="16"/>
              </w:rPr>
              <w:t>40mg</w:t>
            </w:r>
            <w:r>
              <w:rPr>
                <w:rFonts w:cs="Arial"/>
                <w:sz w:val="16"/>
                <w:szCs w:val="16"/>
              </w:rPr>
              <w:t xml:space="preserve"> in </w:t>
            </w:r>
            <w:r w:rsidRPr="00562334">
              <w:rPr>
                <w:rFonts w:cs="Arial"/>
                <w:sz w:val="16"/>
                <w:szCs w:val="16"/>
              </w:rPr>
              <w:t>4mL, 100mg</w:t>
            </w:r>
            <w:r>
              <w:rPr>
                <w:rFonts w:cs="Arial"/>
                <w:sz w:val="16"/>
                <w:szCs w:val="16"/>
              </w:rPr>
              <w:t xml:space="preserve"> in </w:t>
            </w:r>
            <w:r w:rsidRPr="00562334">
              <w:rPr>
                <w:rFonts w:cs="Arial"/>
                <w:sz w:val="16"/>
                <w:szCs w:val="16"/>
              </w:rPr>
              <w:t>10mL, 120mg</w:t>
            </w:r>
            <w:r>
              <w:rPr>
                <w:rFonts w:cs="Arial"/>
                <w:sz w:val="16"/>
                <w:szCs w:val="16"/>
              </w:rPr>
              <w:t xml:space="preserve"> in </w:t>
            </w:r>
            <w:r w:rsidRPr="00562334">
              <w:rPr>
                <w:rFonts w:cs="Arial"/>
                <w:sz w:val="16"/>
                <w:szCs w:val="16"/>
              </w:rPr>
              <w:t>12mL and 240mg</w:t>
            </w:r>
            <w:r>
              <w:rPr>
                <w:rFonts w:cs="Arial"/>
                <w:sz w:val="16"/>
                <w:szCs w:val="16"/>
              </w:rPr>
              <w:t xml:space="preserve"> in </w:t>
            </w:r>
            <w:r w:rsidRPr="00562334">
              <w:rPr>
                <w:rFonts w:cs="Arial"/>
                <w:sz w:val="16"/>
                <w:szCs w:val="16"/>
              </w:rPr>
              <w:t>24mL</w:t>
            </w:r>
            <w:r>
              <w:rPr>
                <w:rFonts w:cs="Arial"/>
                <w:sz w:val="16"/>
                <w:szCs w:val="16"/>
              </w:rPr>
              <w:t xml:space="preserve"> vials</w:t>
            </w:r>
          </w:p>
        </w:tc>
        <w:tc>
          <w:tcPr>
            <w:tcW w:w="3775" w:type="pct"/>
            <w:shd w:val="clear" w:color="auto" w:fill="auto"/>
            <w:tcMar>
              <w:top w:w="57" w:type="dxa"/>
              <w:left w:w="170" w:type="dxa"/>
              <w:bottom w:w="57" w:type="dxa"/>
              <w:right w:w="170" w:type="dxa"/>
            </w:tcMar>
          </w:tcPr>
          <w:p w14:paraId="080BFBBA" w14:textId="77777777" w:rsidR="004C0BF2" w:rsidRDefault="00D50AB3" w:rsidP="00D50AB3">
            <w:pPr>
              <w:tabs>
                <w:tab w:val="center" w:pos="3152"/>
              </w:tabs>
              <w:rPr>
                <w:rFonts w:cs="Arial"/>
                <w:color w:val="000000" w:themeColor="text1"/>
                <w:szCs w:val="19"/>
                <w:lang w:val="en-US"/>
              </w:rPr>
            </w:pPr>
            <w:r w:rsidRPr="00661C22">
              <w:rPr>
                <w:rFonts w:cs="Arial"/>
                <w:color w:val="000000" w:themeColor="text1"/>
                <w:szCs w:val="19"/>
                <w:lang w:val="en-US"/>
              </w:rPr>
              <w:t xml:space="preserve">Use as monotherapy or in combination with ipilimumab for the treatment of advanced (unresectable or metastatic) melanoma in adults and adolescents aged ≥12 </w:t>
            </w:r>
            <w:proofErr w:type="gramStart"/>
            <w:r w:rsidRPr="00661C22">
              <w:rPr>
                <w:rFonts w:cs="Arial"/>
                <w:color w:val="000000" w:themeColor="text1"/>
                <w:szCs w:val="19"/>
                <w:lang w:val="en-US"/>
              </w:rPr>
              <w:t>years</w:t>
            </w:r>
            <w:proofErr w:type="gramEnd"/>
            <w:r w:rsidRPr="00661C22">
              <w:rPr>
                <w:rFonts w:cs="Arial"/>
                <w:color w:val="000000" w:themeColor="text1"/>
                <w:szCs w:val="19"/>
                <w:lang w:val="en-US"/>
              </w:rPr>
              <w:t xml:space="preserve"> </w:t>
            </w:r>
          </w:p>
          <w:p w14:paraId="2D7A401B" w14:textId="4970D0ED" w:rsidR="00D50AB3" w:rsidRDefault="00D50AB3" w:rsidP="00D50AB3">
            <w:pPr>
              <w:tabs>
                <w:tab w:val="center" w:pos="3152"/>
              </w:tabs>
              <w:rPr>
                <w:rFonts w:cs="Arial"/>
                <w:szCs w:val="19"/>
                <w:lang w:val="en-US"/>
              </w:rPr>
            </w:pPr>
            <w:r w:rsidRPr="00661C22">
              <w:rPr>
                <w:rFonts w:cs="Arial"/>
                <w:color w:val="000000" w:themeColor="text1"/>
                <w:sz w:val="16"/>
                <w:szCs w:val="16"/>
                <w:lang w:val="en-US"/>
              </w:rPr>
              <w:t>[licence change from use only in adults]</w:t>
            </w:r>
          </w:p>
        </w:tc>
      </w:tr>
      <w:tr w:rsidR="00D50AB3" w14:paraId="284AA4C8" w14:textId="77777777" w:rsidTr="004C0BF2">
        <w:tc>
          <w:tcPr>
            <w:tcW w:w="1225" w:type="pct"/>
            <w:shd w:val="clear" w:color="auto" w:fill="auto"/>
            <w:tcMar>
              <w:top w:w="57" w:type="dxa"/>
              <w:left w:w="170" w:type="dxa"/>
              <w:bottom w:w="57" w:type="dxa"/>
              <w:right w:w="170" w:type="dxa"/>
            </w:tcMar>
          </w:tcPr>
          <w:p w14:paraId="1C93DB08" w14:textId="77777777" w:rsidR="00D50AB3" w:rsidRDefault="00D50AB3" w:rsidP="00D50AB3">
            <w:pPr>
              <w:rPr>
                <w:rFonts w:cs="Arial"/>
                <w:szCs w:val="19"/>
              </w:rPr>
            </w:pPr>
            <w:r w:rsidRPr="00483591">
              <w:rPr>
                <w:rFonts w:cs="Arial"/>
                <w:szCs w:val="19"/>
              </w:rPr>
              <w:t>Pembrolizumab</w:t>
            </w:r>
            <w:r>
              <w:rPr>
                <w:rFonts w:cs="Arial"/>
                <w:szCs w:val="19"/>
              </w:rPr>
              <w:t xml:space="preserve"> (</w:t>
            </w:r>
            <w:r>
              <w:rPr>
                <w:rFonts w:cs="Arial"/>
                <w:i/>
                <w:iCs/>
                <w:szCs w:val="19"/>
              </w:rPr>
              <w:t>Keytruda</w:t>
            </w:r>
            <w:r>
              <w:rPr>
                <w:rFonts w:cs="Arial"/>
                <w:szCs w:val="19"/>
              </w:rPr>
              <w:t xml:space="preserve">) </w:t>
            </w:r>
          </w:p>
          <w:p w14:paraId="6695D50A" w14:textId="6F46874A" w:rsidR="00D50AB3" w:rsidRPr="0038025C" w:rsidRDefault="00D50AB3" w:rsidP="00D50AB3">
            <w:pPr>
              <w:rPr>
                <w:rFonts w:cs="Arial"/>
                <w:szCs w:val="19"/>
              </w:rPr>
            </w:pPr>
            <w:r w:rsidRPr="001148C2">
              <w:rPr>
                <w:rFonts w:cs="Arial"/>
                <w:sz w:val="16"/>
                <w:szCs w:val="16"/>
              </w:rPr>
              <w:t>100mg in 4mL vial</w:t>
            </w:r>
          </w:p>
        </w:tc>
        <w:tc>
          <w:tcPr>
            <w:tcW w:w="3775" w:type="pct"/>
            <w:shd w:val="clear" w:color="auto" w:fill="auto"/>
            <w:tcMar>
              <w:top w:w="57" w:type="dxa"/>
              <w:left w:w="170" w:type="dxa"/>
              <w:bottom w:w="57" w:type="dxa"/>
              <w:right w:w="170" w:type="dxa"/>
            </w:tcMar>
          </w:tcPr>
          <w:p w14:paraId="1D1ACD82" w14:textId="7FC1035C" w:rsidR="00D50AB3" w:rsidRPr="0038025C" w:rsidRDefault="00D50AB3" w:rsidP="00D50AB3">
            <w:pPr>
              <w:tabs>
                <w:tab w:val="center" w:pos="3152"/>
              </w:tabs>
              <w:rPr>
                <w:rFonts w:cs="Arial"/>
                <w:szCs w:val="19"/>
                <w:lang w:val="en-US"/>
              </w:rPr>
            </w:pPr>
            <w:r>
              <w:rPr>
                <w:rFonts w:cs="Arial"/>
                <w:szCs w:val="19"/>
                <w:lang w:val="en-US"/>
              </w:rPr>
              <w:t xml:space="preserve">Use </w:t>
            </w:r>
            <w:r w:rsidRPr="00483591">
              <w:rPr>
                <w:rFonts w:cs="Arial"/>
                <w:szCs w:val="19"/>
                <w:lang w:val="en-US"/>
              </w:rPr>
              <w:t>as monotherapy for the adjuvant treatment of adults with non-small cell lung carcinoma who are at high risk of recurrence following complete resection and platinum</w:t>
            </w:r>
            <w:r w:rsidRPr="00483591">
              <w:rPr>
                <w:rFonts w:ascii="Cambria Math" w:hAnsi="Cambria Math" w:cs="Cambria Math"/>
                <w:szCs w:val="19"/>
                <w:lang w:val="en-US"/>
              </w:rPr>
              <w:t>‑</w:t>
            </w:r>
            <w:r w:rsidRPr="00483591">
              <w:rPr>
                <w:rFonts w:cs="Arial"/>
                <w:szCs w:val="19"/>
                <w:lang w:val="en-US"/>
              </w:rPr>
              <w:t>based chemotherapy</w:t>
            </w:r>
            <w:r>
              <w:rPr>
                <w:rFonts w:cs="Arial"/>
                <w:szCs w:val="19"/>
                <w:lang w:val="en-US"/>
              </w:rPr>
              <w:t xml:space="preserve"> </w:t>
            </w:r>
            <w:r w:rsidRPr="00483591">
              <w:rPr>
                <w:rFonts w:cs="Arial"/>
                <w:sz w:val="16"/>
                <w:szCs w:val="16"/>
                <w:lang w:val="en-US"/>
              </w:rPr>
              <w:t>[new indication]</w:t>
            </w:r>
          </w:p>
        </w:tc>
      </w:tr>
      <w:tr w:rsidR="00D50AB3" w14:paraId="5BD16594" w14:textId="77777777" w:rsidTr="004C0BF2">
        <w:tc>
          <w:tcPr>
            <w:tcW w:w="1225" w:type="pct"/>
            <w:shd w:val="clear" w:color="auto" w:fill="auto"/>
            <w:tcMar>
              <w:top w:w="57" w:type="dxa"/>
              <w:left w:w="170" w:type="dxa"/>
              <w:bottom w:w="57" w:type="dxa"/>
              <w:right w:w="170" w:type="dxa"/>
            </w:tcMar>
          </w:tcPr>
          <w:p w14:paraId="2AAAECC4" w14:textId="77777777" w:rsidR="00D50AB3" w:rsidRDefault="00D50AB3" w:rsidP="00D50AB3">
            <w:r>
              <w:rPr>
                <w:rFonts w:cs="Arial"/>
                <w:szCs w:val="19"/>
              </w:rPr>
              <w:t>Pirfenidone (</w:t>
            </w:r>
            <w:r>
              <w:rPr>
                <w:rFonts w:cs="Arial"/>
                <w:i/>
                <w:iCs/>
                <w:szCs w:val="19"/>
              </w:rPr>
              <w:t>Esbriet</w:t>
            </w:r>
            <w:r>
              <w:rPr>
                <w:rFonts w:cs="Arial"/>
                <w:szCs w:val="19"/>
              </w:rPr>
              <w:t>)</w:t>
            </w:r>
            <w:r>
              <w:t xml:space="preserve"> </w:t>
            </w:r>
          </w:p>
          <w:p w14:paraId="2E1CF855" w14:textId="7A49D6EB" w:rsidR="00D50AB3" w:rsidRPr="0038025C" w:rsidRDefault="00D50AB3" w:rsidP="00D50AB3">
            <w:pPr>
              <w:rPr>
                <w:rFonts w:cs="Arial"/>
                <w:szCs w:val="19"/>
              </w:rPr>
            </w:pPr>
            <w:r w:rsidRPr="001148C2">
              <w:rPr>
                <w:rFonts w:cs="Arial"/>
                <w:sz w:val="16"/>
                <w:szCs w:val="16"/>
              </w:rPr>
              <w:t xml:space="preserve">267mg capsules, </w:t>
            </w:r>
            <w:r>
              <w:rPr>
                <w:rFonts w:cs="Arial"/>
                <w:sz w:val="16"/>
                <w:szCs w:val="16"/>
              </w:rPr>
              <w:t xml:space="preserve">and </w:t>
            </w:r>
            <w:r w:rsidRPr="001148C2">
              <w:rPr>
                <w:rFonts w:cs="Arial"/>
                <w:sz w:val="16"/>
                <w:szCs w:val="16"/>
              </w:rPr>
              <w:t>267mg, 534mg and 801mg tablets</w:t>
            </w:r>
          </w:p>
        </w:tc>
        <w:tc>
          <w:tcPr>
            <w:tcW w:w="3775" w:type="pct"/>
            <w:shd w:val="clear" w:color="auto" w:fill="auto"/>
            <w:tcMar>
              <w:top w:w="57" w:type="dxa"/>
              <w:left w:w="170" w:type="dxa"/>
              <w:bottom w:w="57" w:type="dxa"/>
              <w:right w:w="170" w:type="dxa"/>
            </w:tcMar>
          </w:tcPr>
          <w:p w14:paraId="40884F62" w14:textId="77777777" w:rsidR="00D50AB3" w:rsidRDefault="00D50AB3" w:rsidP="00D50AB3">
            <w:pPr>
              <w:tabs>
                <w:tab w:val="center" w:pos="3152"/>
              </w:tabs>
              <w:rPr>
                <w:rFonts w:cs="Arial"/>
                <w:szCs w:val="19"/>
                <w:lang w:val="en-US"/>
              </w:rPr>
            </w:pPr>
            <w:r>
              <w:rPr>
                <w:rFonts w:cs="Arial"/>
                <w:szCs w:val="19"/>
                <w:lang w:val="en-US"/>
              </w:rPr>
              <w:t xml:space="preserve">Use </w:t>
            </w:r>
            <w:r w:rsidRPr="003210DE">
              <w:rPr>
                <w:rFonts w:cs="Arial"/>
                <w:szCs w:val="19"/>
                <w:lang w:val="en-US"/>
              </w:rPr>
              <w:t xml:space="preserve">in adults for the treatment of idiopathic pulmonary </w:t>
            </w:r>
            <w:proofErr w:type="gramStart"/>
            <w:r w:rsidRPr="003210DE">
              <w:rPr>
                <w:rFonts w:cs="Arial"/>
                <w:szCs w:val="19"/>
                <w:lang w:val="en-US"/>
              </w:rPr>
              <w:t>fibrosis</w:t>
            </w:r>
            <w:proofErr w:type="gramEnd"/>
            <w:r>
              <w:rPr>
                <w:rFonts w:cs="Arial"/>
                <w:szCs w:val="19"/>
                <w:lang w:val="en-US"/>
              </w:rPr>
              <w:t xml:space="preserve"> </w:t>
            </w:r>
          </w:p>
          <w:p w14:paraId="286F95C5" w14:textId="2C793238" w:rsidR="00D50AB3" w:rsidRPr="0038025C" w:rsidRDefault="00D50AB3" w:rsidP="00D50AB3">
            <w:pPr>
              <w:tabs>
                <w:tab w:val="center" w:pos="3152"/>
              </w:tabs>
              <w:rPr>
                <w:rFonts w:cs="Arial"/>
                <w:szCs w:val="19"/>
                <w:lang w:val="en-US"/>
              </w:rPr>
            </w:pPr>
            <w:r w:rsidRPr="003210DE">
              <w:rPr>
                <w:rFonts w:cs="Arial"/>
                <w:sz w:val="16"/>
                <w:szCs w:val="16"/>
                <w:lang w:val="en-US"/>
              </w:rPr>
              <w:t>[licence change from use only in mild or moderate disease]</w:t>
            </w:r>
          </w:p>
        </w:tc>
      </w:tr>
      <w:tr w:rsidR="00D50AB3" w14:paraId="6A532DF3" w14:textId="77777777" w:rsidTr="004C0BF2">
        <w:tc>
          <w:tcPr>
            <w:tcW w:w="1225" w:type="pct"/>
            <w:shd w:val="clear" w:color="auto" w:fill="auto"/>
            <w:tcMar>
              <w:top w:w="57" w:type="dxa"/>
              <w:left w:w="170" w:type="dxa"/>
              <w:bottom w:w="57" w:type="dxa"/>
              <w:right w:w="170" w:type="dxa"/>
            </w:tcMar>
          </w:tcPr>
          <w:p w14:paraId="543D1996" w14:textId="77777777" w:rsidR="00D50AB3" w:rsidRDefault="00D50AB3" w:rsidP="00D50AB3">
            <w:pPr>
              <w:rPr>
                <w:rFonts w:cs="Arial"/>
                <w:szCs w:val="19"/>
              </w:rPr>
            </w:pPr>
            <w:r w:rsidRPr="00D23B05">
              <w:rPr>
                <w:rFonts w:cs="Arial"/>
                <w:szCs w:val="19"/>
              </w:rPr>
              <w:t>Rabies vaccine </w:t>
            </w:r>
            <w:r>
              <w:rPr>
                <w:rFonts w:cs="Arial"/>
                <w:szCs w:val="19"/>
              </w:rPr>
              <w:t>(</w:t>
            </w:r>
            <w:proofErr w:type="spellStart"/>
            <w:r>
              <w:rPr>
                <w:rFonts w:cs="Arial"/>
                <w:i/>
                <w:iCs/>
                <w:szCs w:val="19"/>
              </w:rPr>
              <w:t>Verorab</w:t>
            </w:r>
            <w:proofErr w:type="spellEnd"/>
            <w:r>
              <w:rPr>
                <w:rFonts w:cs="Arial"/>
                <w:szCs w:val="19"/>
              </w:rPr>
              <w:t>)</w:t>
            </w:r>
          </w:p>
          <w:p w14:paraId="2A278451" w14:textId="470B6223" w:rsidR="00D50AB3" w:rsidRPr="0038025C" w:rsidRDefault="00D50AB3" w:rsidP="00D50AB3">
            <w:pPr>
              <w:rPr>
                <w:rFonts w:cs="Arial"/>
                <w:szCs w:val="19"/>
              </w:rPr>
            </w:pPr>
            <w:r w:rsidRPr="00D23B05">
              <w:rPr>
                <w:rFonts w:cs="Arial"/>
                <w:sz w:val="16"/>
                <w:szCs w:val="16"/>
              </w:rPr>
              <w:t>Single dose vial with solvent in prefilled syringe</w:t>
            </w:r>
          </w:p>
        </w:tc>
        <w:tc>
          <w:tcPr>
            <w:tcW w:w="3775" w:type="pct"/>
            <w:shd w:val="clear" w:color="auto" w:fill="auto"/>
            <w:tcMar>
              <w:top w:w="57" w:type="dxa"/>
              <w:left w:w="170" w:type="dxa"/>
              <w:bottom w:w="57" w:type="dxa"/>
              <w:right w:w="170" w:type="dxa"/>
            </w:tcMar>
          </w:tcPr>
          <w:p w14:paraId="490BF217" w14:textId="1AC0BFF8" w:rsidR="00D50AB3" w:rsidRPr="0038025C" w:rsidRDefault="00D50AB3" w:rsidP="00D50AB3">
            <w:pPr>
              <w:tabs>
                <w:tab w:val="center" w:pos="3152"/>
              </w:tabs>
              <w:rPr>
                <w:rFonts w:cs="Arial"/>
                <w:szCs w:val="19"/>
                <w:lang w:val="en-US"/>
              </w:rPr>
            </w:pPr>
            <w:r w:rsidRPr="00D23B05">
              <w:rPr>
                <w:rFonts w:cs="Arial"/>
                <w:szCs w:val="19"/>
                <w:lang w:val="en-US"/>
              </w:rPr>
              <w:t>Pre-exposure and post-exposure prophylaxis of rabies in all age groups</w:t>
            </w:r>
          </w:p>
        </w:tc>
      </w:tr>
      <w:tr w:rsidR="00163131" w14:paraId="3BD9FB25" w14:textId="77777777" w:rsidTr="004C0BF2">
        <w:tc>
          <w:tcPr>
            <w:tcW w:w="1225" w:type="pct"/>
            <w:shd w:val="clear" w:color="auto" w:fill="auto"/>
            <w:tcMar>
              <w:top w:w="57" w:type="dxa"/>
              <w:left w:w="170" w:type="dxa"/>
              <w:bottom w:w="57" w:type="dxa"/>
              <w:right w:w="170" w:type="dxa"/>
            </w:tcMar>
          </w:tcPr>
          <w:p w14:paraId="1A735528" w14:textId="77777777" w:rsidR="00163131" w:rsidRDefault="00163131" w:rsidP="00163131">
            <w:pPr>
              <w:rPr>
                <w:rFonts w:cs="Arial"/>
                <w:szCs w:val="19"/>
              </w:rPr>
            </w:pPr>
            <w:proofErr w:type="spellStart"/>
            <w:r>
              <w:rPr>
                <w:rFonts w:cs="Arial"/>
                <w:szCs w:val="19"/>
              </w:rPr>
              <w:t>Ritlectinib</w:t>
            </w:r>
            <w:proofErr w:type="spellEnd"/>
            <w:r>
              <w:rPr>
                <w:rFonts w:cs="Arial"/>
                <w:szCs w:val="19"/>
              </w:rPr>
              <w:t xml:space="preserve"> (</w:t>
            </w:r>
            <w:proofErr w:type="spellStart"/>
            <w:r>
              <w:rPr>
                <w:rFonts w:cs="Arial"/>
                <w:i/>
                <w:iCs/>
                <w:szCs w:val="19"/>
              </w:rPr>
              <w:t>Litfulo</w:t>
            </w:r>
            <w:proofErr w:type="spellEnd"/>
            <w:r>
              <w:rPr>
                <w:rFonts w:cs="Arial"/>
                <w:szCs w:val="19"/>
              </w:rPr>
              <w:t xml:space="preserve">) </w:t>
            </w:r>
          </w:p>
          <w:p w14:paraId="110FC01C" w14:textId="5596969A" w:rsidR="00163131" w:rsidRPr="0038025C" w:rsidRDefault="00163131" w:rsidP="00163131">
            <w:pPr>
              <w:rPr>
                <w:rFonts w:cs="Arial"/>
                <w:szCs w:val="19"/>
              </w:rPr>
            </w:pPr>
            <w:r w:rsidRPr="00BE0451">
              <w:rPr>
                <w:rFonts w:cs="Arial"/>
                <w:sz w:val="16"/>
                <w:szCs w:val="16"/>
              </w:rPr>
              <w:t>5</w:t>
            </w:r>
            <w:r>
              <w:rPr>
                <w:rFonts w:cs="Arial"/>
                <w:sz w:val="16"/>
                <w:szCs w:val="16"/>
              </w:rPr>
              <w:t>0</w:t>
            </w:r>
            <w:r w:rsidRPr="00BE0451">
              <w:rPr>
                <w:rFonts w:cs="Arial"/>
                <w:sz w:val="16"/>
                <w:szCs w:val="16"/>
              </w:rPr>
              <w:t xml:space="preserve">mg </w:t>
            </w:r>
            <w:r>
              <w:rPr>
                <w:rFonts w:cs="Arial"/>
                <w:sz w:val="16"/>
                <w:szCs w:val="16"/>
              </w:rPr>
              <w:t>capsule</w:t>
            </w:r>
          </w:p>
        </w:tc>
        <w:tc>
          <w:tcPr>
            <w:tcW w:w="3775" w:type="pct"/>
            <w:shd w:val="clear" w:color="auto" w:fill="auto"/>
            <w:tcMar>
              <w:top w:w="57" w:type="dxa"/>
              <w:left w:w="170" w:type="dxa"/>
              <w:bottom w:w="57" w:type="dxa"/>
              <w:right w:w="170" w:type="dxa"/>
            </w:tcMar>
          </w:tcPr>
          <w:p w14:paraId="2449BCBA" w14:textId="0D1C7F32" w:rsidR="00163131" w:rsidRPr="0038025C" w:rsidRDefault="00163131" w:rsidP="00163131">
            <w:pPr>
              <w:tabs>
                <w:tab w:val="center" w:pos="3152"/>
              </w:tabs>
              <w:rPr>
                <w:rFonts w:cs="Arial"/>
                <w:szCs w:val="19"/>
                <w:lang w:val="en-US"/>
              </w:rPr>
            </w:pPr>
            <w:r w:rsidRPr="0030047D">
              <w:rPr>
                <w:rFonts w:cs="Arial"/>
                <w:color w:val="000000"/>
                <w:szCs w:val="19"/>
                <w:lang w:val="en-US"/>
              </w:rPr>
              <w:t>Treatment of severe alopecia areata in adults and adolescents aged ≥12 years</w:t>
            </w:r>
          </w:p>
        </w:tc>
      </w:tr>
      <w:tr w:rsidR="00163131" w14:paraId="19365253" w14:textId="77777777" w:rsidTr="004C0BF2">
        <w:tc>
          <w:tcPr>
            <w:tcW w:w="1225" w:type="pct"/>
            <w:shd w:val="clear" w:color="auto" w:fill="auto"/>
            <w:tcMar>
              <w:top w:w="57" w:type="dxa"/>
              <w:left w:w="170" w:type="dxa"/>
              <w:bottom w:w="57" w:type="dxa"/>
              <w:right w:w="170" w:type="dxa"/>
            </w:tcMar>
          </w:tcPr>
          <w:p w14:paraId="1962595F" w14:textId="77777777" w:rsidR="00163131" w:rsidRDefault="00163131" w:rsidP="00163131">
            <w:pPr>
              <w:rPr>
                <w:rFonts w:cs="Arial"/>
                <w:szCs w:val="19"/>
              </w:rPr>
            </w:pPr>
            <w:r w:rsidRPr="0038025C">
              <w:rPr>
                <w:rFonts w:cs="Arial"/>
                <w:szCs w:val="19"/>
              </w:rPr>
              <w:t>Rucaparib</w:t>
            </w:r>
            <w:r>
              <w:rPr>
                <w:rFonts w:cs="Arial"/>
                <w:szCs w:val="19"/>
              </w:rPr>
              <w:t xml:space="preserve"> (</w:t>
            </w:r>
            <w:proofErr w:type="spellStart"/>
            <w:r>
              <w:rPr>
                <w:rFonts w:cs="Arial"/>
                <w:i/>
                <w:iCs/>
                <w:szCs w:val="19"/>
              </w:rPr>
              <w:t>Rubraca</w:t>
            </w:r>
            <w:proofErr w:type="spellEnd"/>
            <w:r>
              <w:rPr>
                <w:rFonts w:cs="Arial"/>
                <w:szCs w:val="19"/>
              </w:rPr>
              <w:t xml:space="preserve">) </w:t>
            </w:r>
          </w:p>
          <w:p w14:paraId="284EDB2D" w14:textId="0D232C2C" w:rsidR="00163131" w:rsidRDefault="00163131" w:rsidP="00163131">
            <w:pPr>
              <w:rPr>
                <w:rFonts w:cs="Arial"/>
                <w:szCs w:val="19"/>
              </w:rPr>
            </w:pPr>
            <w:r w:rsidRPr="00CE13B2">
              <w:rPr>
                <w:rFonts w:cs="Arial"/>
                <w:sz w:val="16"/>
                <w:szCs w:val="16"/>
              </w:rPr>
              <w:t>200mg, 250mg and 300mg tablets</w:t>
            </w:r>
          </w:p>
        </w:tc>
        <w:tc>
          <w:tcPr>
            <w:tcW w:w="3775" w:type="pct"/>
            <w:shd w:val="clear" w:color="auto" w:fill="auto"/>
            <w:tcMar>
              <w:top w:w="57" w:type="dxa"/>
              <w:left w:w="170" w:type="dxa"/>
              <w:bottom w:w="57" w:type="dxa"/>
              <w:right w:w="170" w:type="dxa"/>
            </w:tcMar>
          </w:tcPr>
          <w:p w14:paraId="743B1234" w14:textId="64651917" w:rsidR="00163131" w:rsidRDefault="00163131" w:rsidP="00163131">
            <w:pPr>
              <w:tabs>
                <w:tab w:val="center" w:pos="3152"/>
              </w:tabs>
              <w:rPr>
                <w:rFonts w:cs="Arial"/>
                <w:szCs w:val="19"/>
                <w:lang w:val="en-US"/>
              </w:rPr>
            </w:pPr>
            <w:r w:rsidRPr="0038025C">
              <w:rPr>
                <w:rFonts w:cs="Arial"/>
                <w:szCs w:val="19"/>
                <w:lang w:val="en-US"/>
              </w:rPr>
              <w:t>Monotherapy for the maintenance treatment of adults with advanced (FIGO Stages III and IV) high-grade epithelial ovarian, fallopian tube, or primary peritoneal cancer who are in response (complete or partial) following completion of first-line platinum-based chemotherapy</w:t>
            </w:r>
            <w:r>
              <w:rPr>
                <w:rFonts w:cs="Arial"/>
                <w:szCs w:val="19"/>
                <w:lang w:val="en-US"/>
              </w:rPr>
              <w:t xml:space="preserve"> </w:t>
            </w:r>
            <w:r w:rsidRPr="00E1488A">
              <w:rPr>
                <w:rFonts w:cs="Arial"/>
                <w:sz w:val="16"/>
                <w:szCs w:val="16"/>
                <w:lang w:val="en-US"/>
              </w:rPr>
              <w:t>[new indication]</w:t>
            </w:r>
          </w:p>
        </w:tc>
      </w:tr>
      <w:tr w:rsidR="00163131" w14:paraId="65373DA9" w14:textId="77777777" w:rsidTr="004C0BF2">
        <w:tc>
          <w:tcPr>
            <w:tcW w:w="1225" w:type="pct"/>
            <w:shd w:val="clear" w:color="auto" w:fill="auto"/>
            <w:tcMar>
              <w:top w:w="57" w:type="dxa"/>
              <w:left w:w="170" w:type="dxa"/>
              <w:bottom w:w="57" w:type="dxa"/>
              <w:right w:w="170" w:type="dxa"/>
            </w:tcMar>
          </w:tcPr>
          <w:p w14:paraId="6962C4A1" w14:textId="77777777" w:rsidR="00163131" w:rsidRDefault="00163131" w:rsidP="00163131">
            <w:pPr>
              <w:rPr>
                <w:rFonts w:cs="Arial"/>
                <w:szCs w:val="19"/>
              </w:rPr>
            </w:pPr>
            <w:r>
              <w:rPr>
                <w:rFonts w:cs="Arial"/>
                <w:szCs w:val="19"/>
              </w:rPr>
              <w:t>Selinexor (</w:t>
            </w:r>
            <w:proofErr w:type="spellStart"/>
            <w:r>
              <w:rPr>
                <w:rFonts w:cs="Arial"/>
                <w:i/>
                <w:iCs/>
                <w:szCs w:val="19"/>
              </w:rPr>
              <w:t>Nexpovio</w:t>
            </w:r>
            <w:proofErr w:type="spellEnd"/>
            <w:r>
              <w:rPr>
                <w:rFonts w:cs="Arial"/>
                <w:szCs w:val="19"/>
              </w:rPr>
              <w:t>)</w:t>
            </w:r>
          </w:p>
          <w:p w14:paraId="15245058" w14:textId="0D1E3EAA" w:rsidR="00163131" w:rsidRDefault="00163131" w:rsidP="00163131">
            <w:pPr>
              <w:rPr>
                <w:rFonts w:cs="Arial"/>
                <w:szCs w:val="19"/>
              </w:rPr>
            </w:pPr>
            <w:r w:rsidRPr="009F70F3">
              <w:rPr>
                <w:rFonts w:cs="Arial"/>
                <w:sz w:val="16"/>
                <w:szCs w:val="16"/>
              </w:rPr>
              <w:t>20mg tablet</w:t>
            </w:r>
          </w:p>
        </w:tc>
        <w:tc>
          <w:tcPr>
            <w:tcW w:w="3775" w:type="pct"/>
            <w:shd w:val="clear" w:color="auto" w:fill="auto"/>
            <w:tcMar>
              <w:top w:w="57" w:type="dxa"/>
              <w:left w:w="170" w:type="dxa"/>
              <w:bottom w:w="57" w:type="dxa"/>
              <w:right w:w="170" w:type="dxa"/>
            </w:tcMar>
          </w:tcPr>
          <w:p w14:paraId="2D2AFCF6" w14:textId="51389D9F" w:rsidR="00163131" w:rsidRDefault="00163131" w:rsidP="00163131">
            <w:pPr>
              <w:tabs>
                <w:tab w:val="center" w:pos="3152"/>
              </w:tabs>
              <w:rPr>
                <w:rFonts w:cs="Arial"/>
                <w:szCs w:val="19"/>
                <w:lang w:val="en-US"/>
              </w:rPr>
            </w:pPr>
            <w:r>
              <w:rPr>
                <w:rFonts w:cs="Arial"/>
                <w:szCs w:val="19"/>
              </w:rPr>
              <w:t xml:space="preserve">Use </w:t>
            </w:r>
            <w:r w:rsidRPr="00DF3BBB">
              <w:rPr>
                <w:rFonts w:cs="Arial"/>
                <w:szCs w:val="19"/>
              </w:rPr>
              <w:t>in combination with dexamethasone for the treatment of multiple myeloma in adults who have received at least four prior therapies and whose disease is refractory to at least two proteasome inhibitors, two immunomodulatory agents and an anti-CD38 monoclonal antibody, and who have demonstrated disease progression on the last therapy</w:t>
            </w:r>
          </w:p>
        </w:tc>
      </w:tr>
      <w:tr w:rsidR="00163131" w14:paraId="32092796" w14:textId="77777777" w:rsidTr="004C0BF2">
        <w:tc>
          <w:tcPr>
            <w:tcW w:w="1225" w:type="pct"/>
            <w:shd w:val="clear" w:color="auto" w:fill="auto"/>
            <w:tcMar>
              <w:top w:w="57" w:type="dxa"/>
              <w:left w:w="170" w:type="dxa"/>
              <w:bottom w:w="57" w:type="dxa"/>
              <w:right w:w="170" w:type="dxa"/>
            </w:tcMar>
          </w:tcPr>
          <w:p w14:paraId="3602CDD9" w14:textId="77777777" w:rsidR="00163131" w:rsidRDefault="00163131" w:rsidP="00163131">
            <w:pPr>
              <w:rPr>
                <w:rFonts w:cs="Arial"/>
                <w:szCs w:val="19"/>
              </w:rPr>
            </w:pPr>
            <w:r>
              <w:rPr>
                <w:rFonts w:cs="Arial"/>
                <w:szCs w:val="19"/>
              </w:rPr>
              <w:t>Selinexor (</w:t>
            </w:r>
            <w:proofErr w:type="spellStart"/>
            <w:r>
              <w:rPr>
                <w:rFonts w:cs="Arial"/>
                <w:i/>
                <w:iCs/>
                <w:szCs w:val="19"/>
              </w:rPr>
              <w:t>Nexpovio</w:t>
            </w:r>
            <w:proofErr w:type="spellEnd"/>
            <w:r>
              <w:rPr>
                <w:rFonts w:cs="Arial"/>
                <w:szCs w:val="19"/>
              </w:rPr>
              <w:t>)</w:t>
            </w:r>
          </w:p>
          <w:p w14:paraId="0E23309B" w14:textId="249FBB80" w:rsidR="00163131" w:rsidRDefault="00163131" w:rsidP="00163131">
            <w:pPr>
              <w:rPr>
                <w:rFonts w:cs="Arial"/>
                <w:szCs w:val="19"/>
              </w:rPr>
            </w:pPr>
            <w:r w:rsidRPr="009F70F3">
              <w:rPr>
                <w:rFonts w:cs="Arial"/>
                <w:sz w:val="16"/>
                <w:szCs w:val="16"/>
              </w:rPr>
              <w:t>20mg tablet</w:t>
            </w:r>
          </w:p>
        </w:tc>
        <w:tc>
          <w:tcPr>
            <w:tcW w:w="3775" w:type="pct"/>
            <w:shd w:val="clear" w:color="auto" w:fill="auto"/>
            <w:tcMar>
              <w:top w:w="57" w:type="dxa"/>
              <w:left w:w="170" w:type="dxa"/>
              <w:bottom w:w="57" w:type="dxa"/>
              <w:right w:w="170" w:type="dxa"/>
            </w:tcMar>
          </w:tcPr>
          <w:p w14:paraId="770C6845" w14:textId="1EE8E3C9" w:rsidR="00163131" w:rsidRDefault="00163131" w:rsidP="00163131">
            <w:pPr>
              <w:tabs>
                <w:tab w:val="center" w:pos="3152"/>
              </w:tabs>
              <w:rPr>
                <w:rFonts w:cs="Arial"/>
                <w:szCs w:val="19"/>
                <w:lang w:val="en-US"/>
              </w:rPr>
            </w:pPr>
            <w:r>
              <w:rPr>
                <w:rFonts w:cs="Arial"/>
                <w:szCs w:val="19"/>
                <w:lang w:val="en-US"/>
              </w:rPr>
              <w:t>U</w:t>
            </w:r>
            <w:r w:rsidRPr="009F70F3">
              <w:rPr>
                <w:rFonts w:cs="Arial"/>
                <w:szCs w:val="19"/>
                <w:lang w:val="en-US"/>
              </w:rPr>
              <w:t xml:space="preserve">se in combination with bortezomib and dexamethasone </w:t>
            </w:r>
            <w:r>
              <w:rPr>
                <w:rFonts w:cs="Arial"/>
                <w:szCs w:val="19"/>
                <w:lang w:val="en-US"/>
              </w:rPr>
              <w:t>for the t</w:t>
            </w:r>
            <w:r w:rsidRPr="008905C5">
              <w:rPr>
                <w:rFonts w:cs="Arial"/>
                <w:szCs w:val="19"/>
                <w:lang w:val="en-US"/>
              </w:rPr>
              <w:t xml:space="preserve">reatment of </w:t>
            </w:r>
            <w:r>
              <w:rPr>
                <w:rFonts w:cs="Arial"/>
                <w:szCs w:val="19"/>
                <w:lang w:val="en-US"/>
              </w:rPr>
              <w:t xml:space="preserve">adults with </w:t>
            </w:r>
            <w:r w:rsidRPr="008905C5">
              <w:rPr>
                <w:rFonts w:cs="Arial"/>
                <w:szCs w:val="19"/>
                <w:lang w:val="en-US"/>
              </w:rPr>
              <w:t>multiple myeloma who have received ≥1 prior therapy</w:t>
            </w:r>
            <w:r>
              <w:rPr>
                <w:rFonts w:cs="Arial"/>
                <w:szCs w:val="19"/>
                <w:lang w:val="en-US"/>
              </w:rPr>
              <w:t xml:space="preserve"> </w:t>
            </w:r>
            <w:r w:rsidRPr="009F70F3">
              <w:rPr>
                <w:rFonts w:cs="Arial"/>
                <w:sz w:val="16"/>
                <w:szCs w:val="16"/>
                <w:lang w:val="en-US"/>
              </w:rPr>
              <w:t>[new indication]</w:t>
            </w:r>
          </w:p>
        </w:tc>
      </w:tr>
      <w:tr w:rsidR="00163131" w14:paraId="05F2DEC8" w14:textId="77777777" w:rsidTr="004C0BF2">
        <w:tc>
          <w:tcPr>
            <w:tcW w:w="1225" w:type="pct"/>
            <w:shd w:val="clear" w:color="auto" w:fill="auto"/>
            <w:tcMar>
              <w:top w:w="57" w:type="dxa"/>
              <w:left w:w="170" w:type="dxa"/>
              <w:bottom w:w="57" w:type="dxa"/>
              <w:right w:w="170" w:type="dxa"/>
            </w:tcMar>
          </w:tcPr>
          <w:p w14:paraId="424643C2" w14:textId="77777777" w:rsidR="00163131" w:rsidRPr="006E11F2" w:rsidRDefault="00163131" w:rsidP="00163131">
            <w:pPr>
              <w:rPr>
                <w:rFonts w:cs="Arial"/>
                <w:color w:val="000000" w:themeColor="text1"/>
                <w:szCs w:val="19"/>
              </w:rPr>
            </w:pPr>
            <w:r w:rsidRPr="006E11F2">
              <w:rPr>
                <w:rFonts w:cs="Arial"/>
                <w:color w:val="000000" w:themeColor="text1"/>
                <w:szCs w:val="19"/>
              </w:rPr>
              <w:t>Tenofovir alafenamide</w:t>
            </w:r>
          </w:p>
          <w:p w14:paraId="39F5EBEC" w14:textId="619F15C8" w:rsidR="00163131" w:rsidRPr="00D50AB3" w:rsidRDefault="00163131" w:rsidP="00163131">
            <w:pPr>
              <w:rPr>
                <w:rFonts w:cs="Arial"/>
                <w:color w:val="FF0000"/>
                <w:szCs w:val="19"/>
              </w:rPr>
            </w:pPr>
            <w:r w:rsidRPr="006E11F2">
              <w:rPr>
                <w:rFonts w:cs="Arial"/>
                <w:color w:val="000000" w:themeColor="text1"/>
                <w:szCs w:val="19"/>
              </w:rPr>
              <w:t>(</w:t>
            </w:r>
            <w:proofErr w:type="spellStart"/>
            <w:r w:rsidRPr="006E11F2">
              <w:rPr>
                <w:rFonts w:cs="Arial"/>
                <w:i/>
                <w:iCs/>
                <w:color w:val="000000" w:themeColor="text1"/>
                <w:szCs w:val="19"/>
              </w:rPr>
              <w:t>Vemlidy</w:t>
            </w:r>
            <w:proofErr w:type="spellEnd"/>
            <w:r w:rsidRPr="006E11F2">
              <w:rPr>
                <w:rFonts w:cs="Arial"/>
                <w:color w:val="000000" w:themeColor="text1"/>
                <w:szCs w:val="19"/>
              </w:rPr>
              <w:t xml:space="preserve">) </w:t>
            </w:r>
            <w:r w:rsidR="006E11F2" w:rsidRPr="006E11F2">
              <w:rPr>
                <w:rFonts w:cs="Arial"/>
                <w:color w:val="000000" w:themeColor="text1"/>
                <w:sz w:val="16"/>
                <w:szCs w:val="16"/>
              </w:rPr>
              <w:t>25mg tablet</w:t>
            </w:r>
          </w:p>
        </w:tc>
        <w:tc>
          <w:tcPr>
            <w:tcW w:w="3775" w:type="pct"/>
            <w:shd w:val="clear" w:color="auto" w:fill="auto"/>
            <w:tcMar>
              <w:top w:w="57" w:type="dxa"/>
              <w:left w:w="170" w:type="dxa"/>
              <w:bottom w:w="57" w:type="dxa"/>
              <w:right w:w="170" w:type="dxa"/>
            </w:tcMar>
          </w:tcPr>
          <w:p w14:paraId="2A687F92" w14:textId="35098865" w:rsidR="00E60FBF" w:rsidRPr="00E60FBF" w:rsidRDefault="00163131" w:rsidP="00163131">
            <w:pPr>
              <w:tabs>
                <w:tab w:val="center" w:pos="3152"/>
              </w:tabs>
              <w:rPr>
                <w:rFonts w:cs="Arial"/>
                <w:sz w:val="16"/>
                <w:szCs w:val="16"/>
                <w:lang w:val="en-US"/>
              </w:rPr>
            </w:pPr>
            <w:r>
              <w:rPr>
                <w:rFonts w:cs="Arial"/>
                <w:szCs w:val="19"/>
                <w:lang w:val="en-US"/>
              </w:rPr>
              <w:t>T</w:t>
            </w:r>
            <w:r w:rsidRPr="00890272">
              <w:rPr>
                <w:rFonts w:cs="Arial"/>
                <w:szCs w:val="19"/>
                <w:lang w:val="en-US"/>
              </w:rPr>
              <w:t xml:space="preserve">reatment of chronic hepatitis B in adults and paediatric patients </w:t>
            </w:r>
            <w:r>
              <w:rPr>
                <w:rFonts w:cs="Arial"/>
                <w:szCs w:val="19"/>
                <w:lang w:val="en-US"/>
              </w:rPr>
              <w:t>aged ≥</w:t>
            </w:r>
            <w:r w:rsidRPr="00890272">
              <w:rPr>
                <w:rFonts w:cs="Arial"/>
                <w:szCs w:val="19"/>
                <w:lang w:val="en-US"/>
              </w:rPr>
              <w:t xml:space="preserve">6 years weighing </w:t>
            </w:r>
            <w:r>
              <w:rPr>
                <w:rFonts w:cs="Arial"/>
                <w:szCs w:val="19"/>
                <w:lang w:val="en-US"/>
              </w:rPr>
              <w:t>≥</w:t>
            </w:r>
            <w:r w:rsidRPr="00890272">
              <w:rPr>
                <w:rFonts w:cs="Arial"/>
                <w:szCs w:val="19"/>
                <w:lang w:val="en-US"/>
              </w:rPr>
              <w:t>25kg</w:t>
            </w:r>
            <w:r>
              <w:rPr>
                <w:rFonts w:cs="Arial"/>
                <w:szCs w:val="19"/>
                <w:lang w:val="en-US"/>
              </w:rPr>
              <w:t xml:space="preserve"> </w:t>
            </w:r>
            <w:r w:rsidRPr="00890272">
              <w:rPr>
                <w:rFonts w:cs="Arial"/>
                <w:sz w:val="16"/>
                <w:szCs w:val="16"/>
                <w:lang w:val="en-US"/>
              </w:rPr>
              <w:t xml:space="preserve">[licence change from use only in </w:t>
            </w:r>
            <w:r>
              <w:rPr>
                <w:rFonts w:cs="Arial"/>
                <w:sz w:val="16"/>
                <w:szCs w:val="16"/>
                <w:lang w:val="en-US"/>
              </w:rPr>
              <w:t>patients aged ≥12 years</w:t>
            </w:r>
            <w:r w:rsidRPr="00890272">
              <w:rPr>
                <w:rFonts w:cs="Arial"/>
                <w:sz w:val="16"/>
                <w:szCs w:val="16"/>
                <w:lang w:val="en-US"/>
              </w:rPr>
              <w:t>]</w:t>
            </w:r>
          </w:p>
        </w:tc>
      </w:tr>
      <w:tr w:rsidR="00163131" w14:paraId="787A2AD6" w14:textId="77777777" w:rsidTr="004C0BF2">
        <w:tc>
          <w:tcPr>
            <w:tcW w:w="1225" w:type="pct"/>
            <w:shd w:val="clear" w:color="auto" w:fill="auto"/>
            <w:tcMar>
              <w:top w:w="57" w:type="dxa"/>
              <w:left w:w="170" w:type="dxa"/>
              <w:bottom w:w="57" w:type="dxa"/>
              <w:right w:w="170" w:type="dxa"/>
            </w:tcMar>
          </w:tcPr>
          <w:p w14:paraId="1399EBA9" w14:textId="60F4DD55" w:rsidR="00163131" w:rsidRPr="00D50AB3" w:rsidRDefault="00163131" w:rsidP="00163131">
            <w:pPr>
              <w:rPr>
                <w:rFonts w:cs="Arial"/>
                <w:color w:val="FF0000"/>
                <w:szCs w:val="19"/>
              </w:rPr>
            </w:pPr>
            <w:r w:rsidRPr="00D476DA">
              <w:rPr>
                <w:rFonts w:cs="Arial"/>
                <w:color w:val="000000" w:themeColor="text1"/>
                <w:szCs w:val="19"/>
              </w:rPr>
              <w:t xml:space="preserve">Trastuzumab </w:t>
            </w:r>
            <w:proofErr w:type="spellStart"/>
            <w:r w:rsidRPr="00D476DA">
              <w:rPr>
                <w:rFonts w:cs="Arial"/>
                <w:color w:val="000000" w:themeColor="text1"/>
                <w:szCs w:val="19"/>
              </w:rPr>
              <w:t>deruxtecan</w:t>
            </w:r>
            <w:proofErr w:type="spellEnd"/>
            <w:r w:rsidRPr="00D476DA">
              <w:rPr>
                <w:rFonts w:cs="Arial"/>
                <w:color w:val="000000" w:themeColor="text1"/>
                <w:szCs w:val="19"/>
              </w:rPr>
              <w:t xml:space="preserve"> (</w:t>
            </w:r>
            <w:proofErr w:type="spellStart"/>
            <w:r w:rsidRPr="00D476DA">
              <w:rPr>
                <w:rFonts w:cs="Arial"/>
                <w:i/>
                <w:iCs/>
                <w:color w:val="000000" w:themeColor="text1"/>
                <w:szCs w:val="19"/>
              </w:rPr>
              <w:t>Enhertu</w:t>
            </w:r>
            <w:proofErr w:type="spellEnd"/>
            <w:r w:rsidRPr="00D476DA">
              <w:rPr>
                <w:rFonts w:cs="Arial"/>
                <w:color w:val="000000" w:themeColor="text1"/>
                <w:szCs w:val="19"/>
              </w:rPr>
              <w:t>)</w:t>
            </w:r>
            <w:r w:rsidR="00D476DA" w:rsidRPr="00D476DA">
              <w:rPr>
                <w:rFonts w:cs="Arial"/>
                <w:color w:val="000000" w:themeColor="text1"/>
                <w:szCs w:val="19"/>
              </w:rPr>
              <w:t xml:space="preserve"> </w:t>
            </w:r>
            <w:r w:rsidR="00D476DA" w:rsidRPr="00D476DA">
              <w:rPr>
                <w:rFonts w:cs="Arial"/>
                <w:color w:val="000000" w:themeColor="text1"/>
                <w:sz w:val="16"/>
                <w:szCs w:val="16"/>
              </w:rPr>
              <w:t>100mg vial</w:t>
            </w:r>
          </w:p>
        </w:tc>
        <w:tc>
          <w:tcPr>
            <w:tcW w:w="3775" w:type="pct"/>
            <w:shd w:val="clear" w:color="auto" w:fill="auto"/>
            <w:tcMar>
              <w:top w:w="57" w:type="dxa"/>
              <w:left w:w="170" w:type="dxa"/>
              <w:bottom w:w="57" w:type="dxa"/>
              <w:right w:w="170" w:type="dxa"/>
            </w:tcMar>
          </w:tcPr>
          <w:p w14:paraId="0CA1CBB0" w14:textId="77777777" w:rsidR="004C0BF2" w:rsidRDefault="00163131" w:rsidP="00163131">
            <w:pPr>
              <w:tabs>
                <w:tab w:val="center" w:pos="3152"/>
              </w:tabs>
              <w:rPr>
                <w:rFonts w:cs="Arial"/>
                <w:szCs w:val="19"/>
                <w:lang w:val="en-US"/>
              </w:rPr>
            </w:pPr>
            <w:r>
              <w:rPr>
                <w:rFonts w:cs="Arial"/>
                <w:szCs w:val="19"/>
                <w:lang w:val="en-US"/>
              </w:rPr>
              <w:t xml:space="preserve">Use </w:t>
            </w:r>
            <w:r w:rsidRPr="003D62CB">
              <w:rPr>
                <w:rFonts w:cs="Arial"/>
                <w:szCs w:val="19"/>
                <w:lang w:val="en-US"/>
              </w:rPr>
              <w:t xml:space="preserve">as monotherapy for the treatment of adults with advanced </w:t>
            </w:r>
            <w:r>
              <w:rPr>
                <w:rFonts w:cs="Arial"/>
                <w:szCs w:val="19"/>
                <w:lang w:val="en-US"/>
              </w:rPr>
              <w:t>non-small cell lung cancer</w:t>
            </w:r>
            <w:r w:rsidRPr="003D62CB">
              <w:rPr>
                <w:rFonts w:cs="Arial"/>
                <w:szCs w:val="19"/>
                <w:lang w:val="en-US"/>
              </w:rPr>
              <w:t xml:space="preserve"> whose tumours have an activating HER2 (ERBB2) mutation and who require systemic therapy following platinum-based chemotherapy with or without </w:t>
            </w:r>
            <w:proofErr w:type="gramStart"/>
            <w:r w:rsidRPr="003D62CB">
              <w:rPr>
                <w:rFonts w:cs="Arial"/>
                <w:szCs w:val="19"/>
                <w:lang w:val="en-US"/>
              </w:rPr>
              <w:t>immunotherapy</w:t>
            </w:r>
            <w:proofErr w:type="gramEnd"/>
            <w:r>
              <w:rPr>
                <w:rFonts w:cs="Arial"/>
                <w:szCs w:val="19"/>
                <w:lang w:val="en-US"/>
              </w:rPr>
              <w:t xml:space="preserve"> </w:t>
            </w:r>
          </w:p>
          <w:p w14:paraId="12F26786" w14:textId="7AEA6140" w:rsidR="00163131" w:rsidRDefault="00163131" w:rsidP="00163131">
            <w:pPr>
              <w:tabs>
                <w:tab w:val="center" w:pos="3152"/>
              </w:tabs>
              <w:rPr>
                <w:rFonts w:cs="Arial"/>
                <w:szCs w:val="19"/>
                <w:lang w:val="en-US"/>
              </w:rPr>
            </w:pPr>
            <w:r w:rsidRPr="003D62CB">
              <w:rPr>
                <w:rFonts w:cs="Arial"/>
                <w:sz w:val="16"/>
                <w:szCs w:val="16"/>
                <w:lang w:val="en-US"/>
              </w:rPr>
              <w:t>[new indication]</w:t>
            </w:r>
          </w:p>
        </w:tc>
      </w:tr>
      <w:tr w:rsidR="00163131" w14:paraId="4E7B5470" w14:textId="77777777" w:rsidTr="004C0BF2">
        <w:tc>
          <w:tcPr>
            <w:tcW w:w="1225" w:type="pct"/>
            <w:shd w:val="clear" w:color="auto" w:fill="auto"/>
            <w:tcMar>
              <w:top w:w="57" w:type="dxa"/>
              <w:left w:w="170" w:type="dxa"/>
              <w:bottom w:w="57" w:type="dxa"/>
              <w:right w:w="170" w:type="dxa"/>
            </w:tcMar>
          </w:tcPr>
          <w:p w14:paraId="13270544" w14:textId="77777777" w:rsidR="00163131" w:rsidRDefault="00163131" w:rsidP="00163131">
            <w:pPr>
              <w:rPr>
                <w:rFonts w:cs="Arial"/>
                <w:szCs w:val="19"/>
              </w:rPr>
            </w:pPr>
            <w:r>
              <w:rPr>
                <w:rFonts w:cs="Arial"/>
                <w:szCs w:val="19"/>
              </w:rPr>
              <w:t>Ustekinumab (</w:t>
            </w:r>
            <w:r>
              <w:rPr>
                <w:rFonts w:cs="Arial"/>
                <w:i/>
                <w:iCs/>
                <w:szCs w:val="19"/>
              </w:rPr>
              <w:t>Stelara</w:t>
            </w:r>
            <w:r>
              <w:rPr>
                <w:rFonts w:cs="Arial"/>
                <w:szCs w:val="19"/>
              </w:rPr>
              <w:t>)</w:t>
            </w:r>
          </w:p>
          <w:p w14:paraId="2F330E92" w14:textId="5B01CAC2" w:rsidR="00163131" w:rsidRPr="00A075A3" w:rsidRDefault="00163131" w:rsidP="00163131">
            <w:pPr>
              <w:rPr>
                <w:rFonts w:cs="Arial"/>
                <w:szCs w:val="19"/>
              </w:rPr>
            </w:pPr>
            <w:r w:rsidRPr="00101A41">
              <w:rPr>
                <w:rFonts w:cs="Arial"/>
                <w:sz w:val="16"/>
                <w:szCs w:val="16"/>
              </w:rPr>
              <w:t>45mg</w:t>
            </w:r>
            <w:r>
              <w:rPr>
                <w:rFonts w:cs="Arial"/>
                <w:sz w:val="16"/>
                <w:szCs w:val="16"/>
              </w:rPr>
              <w:t xml:space="preserve"> in 0.5mL</w:t>
            </w:r>
            <w:r w:rsidRPr="00101A41">
              <w:rPr>
                <w:rFonts w:cs="Arial"/>
                <w:sz w:val="16"/>
                <w:szCs w:val="16"/>
              </w:rPr>
              <w:t xml:space="preserve"> and 90mg</w:t>
            </w:r>
            <w:r>
              <w:rPr>
                <w:rFonts w:cs="Arial"/>
                <w:sz w:val="16"/>
                <w:szCs w:val="16"/>
              </w:rPr>
              <w:t xml:space="preserve"> in 1mL</w:t>
            </w:r>
            <w:r w:rsidRPr="00101A41">
              <w:rPr>
                <w:rFonts w:cs="Arial"/>
                <w:sz w:val="16"/>
                <w:szCs w:val="16"/>
              </w:rPr>
              <w:t xml:space="preserve"> prefilled pens</w:t>
            </w:r>
          </w:p>
        </w:tc>
        <w:tc>
          <w:tcPr>
            <w:tcW w:w="3775" w:type="pct"/>
            <w:shd w:val="clear" w:color="auto" w:fill="auto"/>
            <w:tcMar>
              <w:top w:w="57" w:type="dxa"/>
              <w:left w:w="170" w:type="dxa"/>
              <w:bottom w:w="57" w:type="dxa"/>
              <w:right w:w="170" w:type="dxa"/>
            </w:tcMar>
          </w:tcPr>
          <w:p w14:paraId="54C2C138" w14:textId="6ECC5222" w:rsidR="00163131" w:rsidRPr="00A075A3" w:rsidRDefault="00163131" w:rsidP="00163131">
            <w:pPr>
              <w:tabs>
                <w:tab w:val="center" w:pos="3152"/>
              </w:tabs>
              <w:rPr>
                <w:rFonts w:cs="Arial"/>
                <w:szCs w:val="19"/>
                <w:lang w:val="en-US"/>
              </w:rPr>
            </w:pPr>
            <w:r>
              <w:rPr>
                <w:rFonts w:cs="Arial"/>
                <w:szCs w:val="19"/>
                <w:lang w:val="en-US"/>
              </w:rPr>
              <w:t>T</w:t>
            </w:r>
            <w:r w:rsidRPr="00101A41">
              <w:rPr>
                <w:rFonts w:cs="Arial"/>
                <w:szCs w:val="19"/>
                <w:lang w:val="en-US"/>
              </w:rPr>
              <w:t>reatment of moderate to severe plaque psoriasis in adults who failed to respond to, or who have a contraindication to, or are intolerant to other systemic therapies including ciclosporin, methotrexate (MTX) or PUVA (psoralen and ultraviolet A); use alone or in combination with MTX, for treatment of active psoriatic arthritis in adults when the response to previous non-biological disease-modifying anti-rheumatic drug (DMARD) therapy has been inadequate; treatment of adults with moderately to severely active Crohn´s disease who have had an inadequate response with, lost response to, or were intolerant to either conventional therapy or a TNFα antagonist or have medical contraindications to such therapies; treatment of adults with moderately to severely active ulcerative colitis who have had an inadequate response with, lost response to, or were intolerant to either conventional therapy or a biologic or have medical contraindications to such therapies</w:t>
            </w:r>
            <w:r>
              <w:rPr>
                <w:rFonts w:cs="Arial"/>
                <w:szCs w:val="19"/>
                <w:lang w:val="en-US"/>
              </w:rPr>
              <w:t xml:space="preserve"> </w:t>
            </w:r>
            <w:r w:rsidRPr="00101A41">
              <w:rPr>
                <w:rFonts w:cs="Arial"/>
                <w:sz w:val="16"/>
                <w:szCs w:val="16"/>
                <w:lang w:val="en-US"/>
              </w:rPr>
              <w:t>[new prefilled pen formulations]</w:t>
            </w:r>
          </w:p>
        </w:tc>
      </w:tr>
      <w:tr w:rsidR="00163131" w14:paraId="6590D1BA" w14:textId="77777777" w:rsidTr="004C0BF2">
        <w:tc>
          <w:tcPr>
            <w:tcW w:w="1225" w:type="pct"/>
            <w:shd w:val="clear" w:color="auto" w:fill="auto"/>
            <w:tcMar>
              <w:top w:w="57" w:type="dxa"/>
              <w:left w:w="170" w:type="dxa"/>
              <w:bottom w:w="57" w:type="dxa"/>
              <w:right w:w="170" w:type="dxa"/>
            </w:tcMar>
          </w:tcPr>
          <w:p w14:paraId="08AEB1F0" w14:textId="77777777" w:rsidR="00163131" w:rsidRDefault="00163131" w:rsidP="00163131">
            <w:proofErr w:type="spellStart"/>
            <w:r w:rsidRPr="00EF12C3">
              <w:rPr>
                <w:rFonts w:cs="Arial"/>
                <w:szCs w:val="19"/>
              </w:rPr>
              <w:t>Vonicog</w:t>
            </w:r>
            <w:proofErr w:type="spellEnd"/>
            <w:r w:rsidRPr="00EF12C3">
              <w:rPr>
                <w:rFonts w:cs="Arial"/>
                <w:szCs w:val="19"/>
              </w:rPr>
              <w:t xml:space="preserve"> alfa </w:t>
            </w:r>
            <w:r>
              <w:rPr>
                <w:rFonts w:cs="Arial"/>
                <w:szCs w:val="19"/>
              </w:rPr>
              <w:t>(</w:t>
            </w:r>
            <w:proofErr w:type="spellStart"/>
            <w:r>
              <w:rPr>
                <w:rFonts w:cs="Arial"/>
                <w:i/>
                <w:iCs/>
                <w:szCs w:val="19"/>
              </w:rPr>
              <w:t>Veyvondi</w:t>
            </w:r>
            <w:proofErr w:type="spellEnd"/>
            <w:r>
              <w:rPr>
                <w:rFonts w:cs="Arial"/>
                <w:szCs w:val="19"/>
              </w:rPr>
              <w:t>)</w:t>
            </w:r>
            <w:r>
              <w:t xml:space="preserve"> </w:t>
            </w:r>
          </w:p>
          <w:p w14:paraId="35509D9E" w14:textId="609F313C" w:rsidR="00163131" w:rsidRPr="00FF5ADC" w:rsidRDefault="00163131" w:rsidP="00163131">
            <w:pPr>
              <w:rPr>
                <w:rFonts w:cs="Arial"/>
                <w:szCs w:val="19"/>
              </w:rPr>
            </w:pPr>
            <w:r w:rsidRPr="005663C5">
              <w:rPr>
                <w:rFonts w:cs="Arial"/>
                <w:sz w:val="16"/>
                <w:szCs w:val="16"/>
              </w:rPr>
              <w:t>650IU and 1,300IU vials</w:t>
            </w:r>
          </w:p>
        </w:tc>
        <w:tc>
          <w:tcPr>
            <w:tcW w:w="3775" w:type="pct"/>
            <w:shd w:val="clear" w:color="auto" w:fill="auto"/>
            <w:tcMar>
              <w:top w:w="57" w:type="dxa"/>
              <w:left w:w="170" w:type="dxa"/>
              <w:bottom w:w="57" w:type="dxa"/>
              <w:right w:w="170" w:type="dxa"/>
            </w:tcMar>
          </w:tcPr>
          <w:p w14:paraId="70BB8957" w14:textId="463ED7B7" w:rsidR="00163131" w:rsidRDefault="00163131" w:rsidP="00163131">
            <w:pPr>
              <w:tabs>
                <w:tab w:val="center" w:pos="3152"/>
              </w:tabs>
              <w:rPr>
                <w:rFonts w:cs="Arial"/>
                <w:color w:val="000000"/>
                <w:sz w:val="18"/>
                <w:szCs w:val="18"/>
                <w:lang w:val="en-US"/>
              </w:rPr>
            </w:pPr>
            <w:r w:rsidRPr="00EF12C3">
              <w:rPr>
                <w:rFonts w:cs="Arial"/>
                <w:szCs w:val="19"/>
                <w:lang w:val="en-US"/>
              </w:rPr>
              <w:t>Prevention and treatment of haemorrhage or surgical bleeding in adults age</w:t>
            </w:r>
            <w:r>
              <w:rPr>
                <w:rFonts w:cs="Arial"/>
                <w:szCs w:val="19"/>
                <w:lang w:val="en-US"/>
              </w:rPr>
              <w:t>d</w:t>
            </w:r>
            <w:r w:rsidRPr="00EF12C3">
              <w:rPr>
                <w:rFonts w:cs="Arial"/>
                <w:szCs w:val="19"/>
                <w:lang w:val="en-US"/>
              </w:rPr>
              <w:t xml:space="preserve"> </w:t>
            </w:r>
            <w:r>
              <w:rPr>
                <w:rFonts w:cs="Arial"/>
                <w:szCs w:val="19"/>
                <w:lang w:val="en-US"/>
              </w:rPr>
              <w:t>≥</w:t>
            </w:r>
            <w:r w:rsidRPr="00EF12C3">
              <w:rPr>
                <w:rFonts w:cs="Arial"/>
                <w:szCs w:val="19"/>
                <w:lang w:val="en-US"/>
              </w:rPr>
              <w:t>18 years with von Willebrand disease, when desmopressin treatment alone is ineffective or contraindicated</w:t>
            </w:r>
            <w:r>
              <w:rPr>
                <w:rFonts w:cs="Arial"/>
                <w:szCs w:val="19"/>
                <w:lang w:val="en-US"/>
              </w:rPr>
              <w:t xml:space="preserve"> </w:t>
            </w:r>
            <w:r w:rsidRPr="00345E88">
              <w:rPr>
                <w:rFonts w:cs="Arial"/>
                <w:sz w:val="16"/>
                <w:szCs w:val="16"/>
                <w:lang w:val="en-US"/>
              </w:rPr>
              <w:t>[licence change to include prevention of haemorrhage]</w:t>
            </w:r>
          </w:p>
        </w:tc>
      </w:tr>
      <w:tr w:rsidR="00163131" w:rsidRPr="00862949" w14:paraId="2166A1E1" w14:textId="77777777" w:rsidTr="001C68C8">
        <w:tc>
          <w:tcPr>
            <w:tcW w:w="5000" w:type="pct"/>
            <w:gridSpan w:val="2"/>
            <w:shd w:val="clear" w:color="auto" w:fill="auto"/>
            <w:tcMar>
              <w:top w:w="0" w:type="dxa"/>
              <w:bottom w:w="0" w:type="dxa"/>
            </w:tcMar>
          </w:tcPr>
          <w:p w14:paraId="7FCAC7F9" w14:textId="77777777" w:rsidR="00163131" w:rsidRPr="00862949" w:rsidRDefault="00163131" w:rsidP="00163131">
            <w:pPr>
              <w:rPr>
                <w:rFonts w:cs="Arial"/>
                <w:b/>
                <w:noProof/>
                <w:sz w:val="8"/>
                <w:szCs w:val="8"/>
              </w:rPr>
            </w:pPr>
          </w:p>
        </w:tc>
      </w:tr>
      <w:tr w:rsidR="00163131" w:rsidRPr="00862949" w14:paraId="01419E3C" w14:textId="77777777" w:rsidTr="001C68C8">
        <w:tc>
          <w:tcPr>
            <w:tcW w:w="5000" w:type="pct"/>
            <w:gridSpan w:val="2"/>
            <w:shd w:val="clear" w:color="auto" w:fill="DAEEF3"/>
            <w:tcMar>
              <w:top w:w="0" w:type="dxa"/>
              <w:bottom w:w="0" w:type="dxa"/>
            </w:tcMar>
          </w:tcPr>
          <w:p w14:paraId="795D097B" w14:textId="77777777" w:rsidR="00163131" w:rsidRPr="00862949" w:rsidRDefault="00163131" w:rsidP="00163131">
            <w:pPr>
              <w:rPr>
                <w:rFonts w:cs="Arial"/>
                <w:b/>
                <w:i/>
                <w:noProof/>
                <w:sz w:val="8"/>
                <w:szCs w:val="8"/>
              </w:rPr>
            </w:pPr>
          </w:p>
        </w:tc>
      </w:tr>
    </w:tbl>
    <w:p w14:paraId="3B9C10C9" w14:textId="2ADB1833" w:rsidR="00A81694" w:rsidRDefault="00A81694" w:rsidP="00EB3E6F">
      <w:pPr>
        <w:tabs>
          <w:tab w:val="left" w:pos="2087"/>
        </w:tabs>
      </w:pPr>
    </w:p>
    <w:p w14:paraId="4AE939BE" w14:textId="77777777" w:rsidR="00993727" w:rsidRDefault="00993727" w:rsidP="00EB3E6F">
      <w:pPr>
        <w:tabs>
          <w:tab w:val="left" w:pos="2087"/>
        </w:tabs>
      </w:pPr>
    </w:p>
    <w:p w14:paraId="0E069540" w14:textId="77777777" w:rsidR="001A782D" w:rsidRDefault="001A782D" w:rsidP="00EB3E6F">
      <w:pPr>
        <w:tabs>
          <w:tab w:val="left" w:pos="2087"/>
        </w:tabs>
      </w:pPr>
    </w:p>
    <w:tbl>
      <w:tblPr>
        <w:tblW w:w="5170" w:type="pct"/>
        <w:tblInd w:w="-176" w:type="dxa"/>
        <w:tblLayout w:type="fixed"/>
        <w:tblLook w:val="01E0" w:firstRow="1" w:lastRow="1" w:firstColumn="1" w:lastColumn="1" w:noHBand="0" w:noVBand="0"/>
      </w:tblPr>
      <w:tblGrid>
        <w:gridCol w:w="2430"/>
        <w:gridCol w:w="623"/>
        <w:gridCol w:w="7498"/>
      </w:tblGrid>
      <w:tr w:rsidR="005A7E09" w:rsidRPr="00862949" w14:paraId="51A47E11" w14:textId="77777777" w:rsidTr="005A7E09">
        <w:tc>
          <w:tcPr>
            <w:tcW w:w="5000" w:type="pct"/>
            <w:gridSpan w:val="3"/>
            <w:shd w:val="clear" w:color="auto" w:fill="0070C0"/>
            <w:tcMar>
              <w:top w:w="85" w:type="dxa"/>
              <w:bottom w:w="85" w:type="dxa"/>
            </w:tcMar>
            <w:vAlign w:val="bottom"/>
          </w:tcPr>
          <w:p w14:paraId="6D3CD42C" w14:textId="77777777" w:rsidR="005A7E09" w:rsidRPr="00862949" w:rsidRDefault="005A7E09" w:rsidP="005A7E09">
            <w:pPr>
              <w:rPr>
                <w:rFonts w:cs="Arial"/>
                <w:color w:val="FFFFFF"/>
                <w:sz w:val="15"/>
                <w:szCs w:val="15"/>
              </w:rPr>
            </w:pPr>
            <w:r w:rsidRPr="00862949">
              <w:rPr>
                <w:rFonts w:cs="Arial"/>
                <w:b/>
                <w:bCs/>
                <w:iCs/>
                <w:color w:val="FFFFFF"/>
                <w:sz w:val="28"/>
                <w:szCs w:val="28"/>
                <w:lang w:val="en-US"/>
              </w:rPr>
              <w:t xml:space="preserve">Regulatory changes in the </w:t>
            </w:r>
            <w:r w:rsidR="00AA1F49">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5A7E09" w:rsidRPr="00862949" w14:paraId="44A33663" w14:textId="77777777" w:rsidTr="005A7E09">
        <w:tc>
          <w:tcPr>
            <w:tcW w:w="5000" w:type="pct"/>
            <w:gridSpan w:val="3"/>
            <w:shd w:val="clear" w:color="auto" w:fill="DAEEF3"/>
            <w:tcMar>
              <w:top w:w="0" w:type="dxa"/>
              <w:bottom w:w="0" w:type="dxa"/>
            </w:tcMar>
          </w:tcPr>
          <w:p w14:paraId="2E85232D" w14:textId="77777777" w:rsidR="005A7E09" w:rsidRPr="00862949" w:rsidRDefault="005A7E09" w:rsidP="005A7E09">
            <w:pPr>
              <w:rPr>
                <w:rFonts w:cs="Arial"/>
                <w:b/>
                <w:bCs/>
                <w:i/>
                <w:iCs/>
                <w:color w:val="000000"/>
                <w:sz w:val="8"/>
                <w:szCs w:val="8"/>
                <w:lang w:val="en-US"/>
              </w:rPr>
            </w:pPr>
          </w:p>
        </w:tc>
      </w:tr>
      <w:tr w:rsidR="005A7E09" w:rsidRPr="00862949" w14:paraId="3B493FC1" w14:textId="77777777" w:rsidTr="005A7E09">
        <w:tc>
          <w:tcPr>
            <w:tcW w:w="5000" w:type="pct"/>
            <w:gridSpan w:val="3"/>
            <w:shd w:val="clear" w:color="auto" w:fill="00B050"/>
            <w:tcMar>
              <w:top w:w="57" w:type="dxa"/>
              <w:bottom w:w="57" w:type="dxa"/>
            </w:tcMar>
          </w:tcPr>
          <w:p w14:paraId="446A40EB" w14:textId="77777777" w:rsidR="005A7E09" w:rsidRPr="00433D3E" w:rsidRDefault="005A7E09" w:rsidP="00EB3E6F">
            <w:pPr>
              <w:rPr>
                <w:rFonts w:cs="Arial"/>
                <w:color w:val="FFFFFF"/>
                <w:sz w:val="20"/>
                <w:szCs w:val="20"/>
              </w:rPr>
            </w:pPr>
            <w:r w:rsidRPr="00433D3E">
              <w:rPr>
                <w:rFonts w:cs="Arial"/>
                <w:b/>
                <w:bCs/>
                <w:i/>
                <w:iCs/>
                <w:color w:val="FFFFFF"/>
                <w:sz w:val="22"/>
                <w:szCs w:val="20"/>
                <w:lang w:val="en-US"/>
              </w:rPr>
              <w:t xml:space="preserve">Approved in the </w:t>
            </w:r>
            <w:r w:rsidR="0048777D">
              <w:rPr>
                <w:rFonts w:cs="Arial"/>
                <w:b/>
                <w:bCs/>
                <w:i/>
                <w:iCs/>
                <w:color w:val="FFFFFF"/>
                <w:sz w:val="22"/>
                <w:szCs w:val="20"/>
                <w:lang w:val="en-US"/>
              </w:rPr>
              <w:t>UK</w:t>
            </w:r>
          </w:p>
        </w:tc>
      </w:tr>
      <w:tr w:rsidR="00247547" w14:paraId="3D1B0269" w14:textId="77777777" w:rsidTr="00355B51">
        <w:tc>
          <w:tcPr>
            <w:tcW w:w="1447" w:type="pct"/>
            <w:gridSpan w:val="2"/>
            <w:shd w:val="clear" w:color="auto" w:fill="auto"/>
            <w:tcMar>
              <w:top w:w="57" w:type="dxa"/>
              <w:bottom w:w="57" w:type="dxa"/>
            </w:tcMar>
          </w:tcPr>
          <w:p w14:paraId="041F946D" w14:textId="0A007389" w:rsidR="00247547" w:rsidRPr="003C6117" w:rsidRDefault="003C6117" w:rsidP="007D01FD">
            <w:pPr>
              <w:rPr>
                <w:rFonts w:cs="Arial"/>
                <w:szCs w:val="19"/>
              </w:rPr>
            </w:pPr>
            <w:r>
              <w:rPr>
                <w:rFonts w:cs="Arial"/>
                <w:szCs w:val="19"/>
              </w:rPr>
              <w:t>Adalimumab biosimilar (</w:t>
            </w:r>
            <w:proofErr w:type="spellStart"/>
            <w:r>
              <w:rPr>
                <w:rFonts w:cs="Arial"/>
                <w:i/>
                <w:iCs/>
                <w:szCs w:val="19"/>
              </w:rPr>
              <w:t>Yuflyma</w:t>
            </w:r>
            <w:proofErr w:type="spellEnd"/>
            <w:r>
              <w:rPr>
                <w:rFonts w:cs="Arial"/>
                <w:szCs w:val="19"/>
              </w:rPr>
              <w:t xml:space="preserve">) </w:t>
            </w:r>
            <w:r w:rsidRPr="003C6117">
              <w:rPr>
                <w:rFonts w:cs="Arial"/>
                <w:sz w:val="16"/>
                <w:szCs w:val="16"/>
              </w:rPr>
              <w:t>20mg in 0.2mL prefilled syringe</w:t>
            </w:r>
          </w:p>
        </w:tc>
        <w:tc>
          <w:tcPr>
            <w:tcW w:w="3553" w:type="pct"/>
            <w:shd w:val="clear" w:color="auto" w:fill="auto"/>
            <w:tcMar>
              <w:top w:w="57" w:type="dxa"/>
              <w:bottom w:w="57" w:type="dxa"/>
            </w:tcMar>
          </w:tcPr>
          <w:p w14:paraId="4A8DCDBF" w14:textId="064ABD2E" w:rsidR="00247547" w:rsidRPr="002B10C1" w:rsidRDefault="003C6117" w:rsidP="007D01FD">
            <w:pPr>
              <w:tabs>
                <w:tab w:val="center" w:pos="3152"/>
              </w:tabs>
              <w:rPr>
                <w:rFonts w:cs="Arial"/>
                <w:szCs w:val="19"/>
                <w:lang w:val="en-US"/>
              </w:rPr>
            </w:pPr>
            <w:r w:rsidRPr="003C6117">
              <w:rPr>
                <w:rFonts w:cs="Arial"/>
                <w:szCs w:val="19"/>
                <w:lang w:val="en-US"/>
              </w:rPr>
              <w:t xml:space="preserve">Treatment of juvenile idiopathic arthritis, </w:t>
            </w:r>
            <w:proofErr w:type="spellStart"/>
            <w:r w:rsidRPr="003C6117">
              <w:rPr>
                <w:rFonts w:cs="Arial"/>
                <w:szCs w:val="19"/>
                <w:lang w:val="en-US"/>
              </w:rPr>
              <w:t>paediatric</w:t>
            </w:r>
            <w:proofErr w:type="spellEnd"/>
            <w:r w:rsidRPr="003C6117">
              <w:rPr>
                <w:rFonts w:cs="Arial"/>
                <w:szCs w:val="19"/>
                <w:lang w:val="en-US"/>
              </w:rPr>
              <w:t xml:space="preserve"> plaque psoriasis, </w:t>
            </w:r>
            <w:proofErr w:type="spellStart"/>
            <w:r w:rsidRPr="003C6117">
              <w:rPr>
                <w:rFonts w:cs="Arial"/>
                <w:szCs w:val="19"/>
                <w:lang w:val="en-US"/>
              </w:rPr>
              <w:t>paediatric</w:t>
            </w:r>
            <w:proofErr w:type="spellEnd"/>
            <w:r w:rsidRPr="003C6117">
              <w:rPr>
                <w:rFonts w:cs="Arial"/>
                <w:szCs w:val="19"/>
                <w:lang w:val="en-US"/>
              </w:rPr>
              <w:t xml:space="preserve"> Crohn´s disease and </w:t>
            </w:r>
            <w:proofErr w:type="spellStart"/>
            <w:r w:rsidRPr="003C6117">
              <w:rPr>
                <w:rFonts w:cs="Arial"/>
                <w:szCs w:val="19"/>
                <w:lang w:val="en-US"/>
              </w:rPr>
              <w:t>paediatric</w:t>
            </w:r>
            <w:proofErr w:type="spellEnd"/>
            <w:r w:rsidRPr="003C6117">
              <w:rPr>
                <w:rFonts w:cs="Arial"/>
                <w:szCs w:val="19"/>
                <w:lang w:val="en-US"/>
              </w:rPr>
              <w:t xml:space="preserve"> uveitis</w:t>
            </w:r>
            <w:r>
              <w:rPr>
                <w:rFonts w:cs="Arial"/>
                <w:szCs w:val="19"/>
                <w:lang w:val="en-US"/>
              </w:rPr>
              <w:t xml:space="preserve"> </w:t>
            </w:r>
            <w:r w:rsidRPr="003C6117">
              <w:rPr>
                <w:rFonts w:cs="Arial"/>
                <w:sz w:val="16"/>
                <w:szCs w:val="16"/>
                <w:lang w:val="en-US"/>
              </w:rPr>
              <w:t>[new strength]</w:t>
            </w:r>
          </w:p>
        </w:tc>
      </w:tr>
      <w:tr w:rsidR="00E032C9" w14:paraId="3CD3B295" w14:textId="77777777" w:rsidTr="00355B51">
        <w:tc>
          <w:tcPr>
            <w:tcW w:w="1447" w:type="pct"/>
            <w:gridSpan w:val="2"/>
            <w:shd w:val="clear" w:color="auto" w:fill="auto"/>
            <w:tcMar>
              <w:top w:w="57" w:type="dxa"/>
              <w:bottom w:w="57" w:type="dxa"/>
            </w:tcMar>
          </w:tcPr>
          <w:p w14:paraId="103E1534" w14:textId="4DC33652" w:rsidR="00E032C9" w:rsidRDefault="00E032C9" w:rsidP="00E032C9">
            <w:pPr>
              <w:rPr>
                <w:rFonts w:cs="Arial"/>
                <w:szCs w:val="19"/>
              </w:rPr>
            </w:pPr>
            <w:r w:rsidRPr="0012702E">
              <w:rPr>
                <w:rFonts w:cs="Arial"/>
                <w:szCs w:val="19"/>
              </w:rPr>
              <w:t>Aflibercept</w:t>
            </w:r>
            <w:r>
              <w:rPr>
                <w:rFonts w:cs="Arial"/>
                <w:szCs w:val="19"/>
              </w:rPr>
              <w:t xml:space="preserve"> (</w:t>
            </w:r>
            <w:r>
              <w:rPr>
                <w:rFonts w:cs="Arial"/>
                <w:i/>
                <w:iCs/>
                <w:szCs w:val="19"/>
              </w:rPr>
              <w:t xml:space="preserve">Eylea </w:t>
            </w:r>
            <w:r w:rsidRPr="00E032C9">
              <w:rPr>
                <w:rFonts w:cs="Arial"/>
                <w:i/>
                <w:iCs/>
                <w:szCs w:val="19"/>
              </w:rPr>
              <w:t>114.3 mg/ml</w:t>
            </w:r>
            <w:r>
              <w:rPr>
                <w:rFonts w:cs="Arial"/>
                <w:szCs w:val="19"/>
              </w:rPr>
              <w:t xml:space="preserve">) </w:t>
            </w:r>
            <w:r w:rsidRPr="00E032C9">
              <w:rPr>
                <w:rFonts w:cs="Arial"/>
                <w:sz w:val="16"/>
                <w:szCs w:val="16"/>
              </w:rPr>
              <w:t>30.1mg in 0.263ml vial</w:t>
            </w:r>
          </w:p>
        </w:tc>
        <w:tc>
          <w:tcPr>
            <w:tcW w:w="3553" w:type="pct"/>
            <w:shd w:val="clear" w:color="auto" w:fill="auto"/>
            <w:tcMar>
              <w:top w:w="57" w:type="dxa"/>
              <w:bottom w:w="57" w:type="dxa"/>
            </w:tcMar>
          </w:tcPr>
          <w:p w14:paraId="1B215A7D" w14:textId="77777777" w:rsidR="004C0BF2" w:rsidRDefault="00E032C9" w:rsidP="00E032C9">
            <w:pPr>
              <w:tabs>
                <w:tab w:val="center" w:pos="3152"/>
              </w:tabs>
              <w:rPr>
                <w:rFonts w:cs="Arial"/>
                <w:sz w:val="16"/>
                <w:szCs w:val="16"/>
                <w:lang w:val="en-US"/>
              </w:rPr>
            </w:pPr>
            <w:r w:rsidRPr="0012702E">
              <w:rPr>
                <w:rFonts w:cs="Arial"/>
                <w:szCs w:val="19"/>
                <w:lang w:val="en-US"/>
              </w:rPr>
              <w:t>Treatment of</w:t>
            </w:r>
            <w:r>
              <w:rPr>
                <w:rFonts w:cs="Arial"/>
                <w:szCs w:val="19"/>
                <w:lang w:val="en-US"/>
              </w:rPr>
              <w:t xml:space="preserve"> adults with </w:t>
            </w:r>
            <w:r w:rsidRPr="0012702E">
              <w:rPr>
                <w:rFonts w:cs="Arial"/>
                <w:szCs w:val="19"/>
                <w:lang w:val="en-US"/>
              </w:rPr>
              <w:t xml:space="preserve">neovascular (wet) age-related macular degeneration </w:t>
            </w:r>
            <w:r>
              <w:rPr>
                <w:rFonts w:cs="Arial"/>
                <w:szCs w:val="19"/>
                <w:lang w:val="en-US"/>
              </w:rPr>
              <w:t>and</w:t>
            </w:r>
            <w:r w:rsidRPr="0012702E">
              <w:rPr>
                <w:rFonts w:cs="Arial"/>
                <w:szCs w:val="19"/>
                <w:lang w:val="en-US"/>
              </w:rPr>
              <w:t xml:space="preserve"> visual impairment due to diabetic macular oedema</w:t>
            </w:r>
            <w:r>
              <w:rPr>
                <w:rFonts w:cs="Arial"/>
                <w:szCs w:val="19"/>
                <w:lang w:val="en-US"/>
              </w:rPr>
              <w:t xml:space="preserve"> </w:t>
            </w:r>
            <w:r w:rsidRPr="0012702E">
              <w:rPr>
                <w:rFonts w:cs="Arial"/>
                <w:sz w:val="16"/>
                <w:szCs w:val="16"/>
                <w:lang w:val="en-US"/>
              </w:rPr>
              <w:t xml:space="preserve">[EU] </w:t>
            </w:r>
          </w:p>
          <w:p w14:paraId="38C01ADF" w14:textId="360FE718" w:rsidR="00E032C9" w:rsidRPr="008B058E" w:rsidRDefault="00E032C9" w:rsidP="00E032C9">
            <w:pPr>
              <w:tabs>
                <w:tab w:val="center" w:pos="3152"/>
              </w:tabs>
              <w:rPr>
                <w:rFonts w:cs="Arial"/>
                <w:szCs w:val="19"/>
                <w:lang w:val="en-US"/>
              </w:rPr>
            </w:pPr>
            <w:r w:rsidRPr="0012702E">
              <w:rPr>
                <w:rFonts w:cs="Arial"/>
                <w:sz w:val="16"/>
                <w:szCs w:val="16"/>
                <w:lang w:val="en-US"/>
              </w:rPr>
              <w:t>[new high-dose</w:t>
            </w:r>
            <w:r>
              <w:rPr>
                <w:rFonts w:cs="Arial"/>
                <w:sz w:val="16"/>
                <w:szCs w:val="16"/>
                <w:lang w:val="en-US"/>
              </w:rPr>
              <w:t xml:space="preserve"> extended-interval</w:t>
            </w:r>
            <w:r w:rsidRPr="0012702E">
              <w:rPr>
                <w:rFonts w:cs="Arial"/>
                <w:sz w:val="16"/>
                <w:szCs w:val="16"/>
                <w:lang w:val="en-US"/>
              </w:rPr>
              <w:t xml:space="preserve"> formulation]</w:t>
            </w:r>
          </w:p>
        </w:tc>
      </w:tr>
      <w:tr w:rsidR="00E032C9" w14:paraId="3B22F288" w14:textId="77777777" w:rsidTr="00355B51">
        <w:tc>
          <w:tcPr>
            <w:tcW w:w="1447" w:type="pct"/>
            <w:gridSpan w:val="2"/>
            <w:shd w:val="clear" w:color="auto" w:fill="auto"/>
            <w:tcMar>
              <w:top w:w="57" w:type="dxa"/>
              <w:bottom w:w="57" w:type="dxa"/>
            </w:tcMar>
          </w:tcPr>
          <w:p w14:paraId="503850CF" w14:textId="06BB925B" w:rsidR="00E032C9" w:rsidRPr="008B058E" w:rsidRDefault="00E032C9" w:rsidP="00E032C9">
            <w:pPr>
              <w:rPr>
                <w:rFonts w:cs="Arial"/>
                <w:szCs w:val="19"/>
              </w:rPr>
            </w:pPr>
            <w:r>
              <w:rPr>
                <w:rFonts w:cs="Arial"/>
                <w:szCs w:val="19"/>
              </w:rPr>
              <w:t>Diclofenac (</w:t>
            </w:r>
            <w:proofErr w:type="spellStart"/>
            <w:r>
              <w:rPr>
                <w:rFonts w:cs="Arial"/>
                <w:i/>
                <w:iCs/>
                <w:szCs w:val="19"/>
              </w:rPr>
              <w:t>Voltarol</w:t>
            </w:r>
            <w:proofErr w:type="spellEnd"/>
            <w:r>
              <w:rPr>
                <w:rFonts w:cs="Arial"/>
                <w:i/>
                <w:iCs/>
                <w:szCs w:val="19"/>
              </w:rPr>
              <w:t xml:space="preserve"> </w:t>
            </w:r>
            <w:r w:rsidRPr="008B058E">
              <w:rPr>
                <w:rFonts w:cs="Arial"/>
                <w:i/>
                <w:iCs/>
                <w:szCs w:val="19"/>
              </w:rPr>
              <w:t>ONE A DAY Muscle Pain Relief</w:t>
            </w:r>
            <w:r>
              <w:rPr>
                <w:rFonts w:cs="Arial"/>
                <w:szCs w:val="19"/>
              </w:rPr>
              <w:t xml:space="preserve">) </w:t>
            </w:r>
            <w:r w:rsidRPr="008B058E">
              <w:rPr>
                <w:rFonts w:cs="Arial"/>
                <w:sz w:val="16"/>
                <w:szCs w:val="16"/>
              </w:rPr>
              <w:t>140mg plaster</w:t>
            </w:r>
          </w:p>
        </w:tc>
        <w:tc>
          <w:tcPr>
            <w:tcW w:w="3553" w:type="pct"/>
            <w:shd w:val="clear" w:color="auto" w:fill="auto"/>
            <w:tcMar>
              <w:top w:w="57" w:type="dxa"/>
              <w:bottom w:w="57" w:type="dxa"/>
            </w:tcMar>
          </w:tcPr>
          <w:p w14:paraId="765CF1A6" w14:textId="77777777" w:rsidR="00E032C9" w:rsidRPr="008B058E" w:rsidRDefault="00E032C9" w:rsidP="00E032C9">
            <w:pPr>
              <w:tabs>
                <w:tab w:val="center" w:pos="3152"/>
              </w:tabs>
              <w:rPr>
                <w:rFonts w:cs="Arial"/>
                <w:szCs w:val="19"/>
                <w:lang w:val="en-US"/>
              </w:rPr>
            </w:pPr>
            <w:r w:rsidRPr="008B058E">
              <w:rPr>
                <w:rFonts w:cs="Arial"/>
                <w:szCs w:val="19"/>
                <w:lang w:val="en-US"/>
              </w:rPr>
              <w:t>Local symptomatic short-term treatment (max. 7 days) of pain in acute strains, sprains</w:t>
            </w:r>
          </w:p>
          <w:p w14:paraId="1B80E6CC" w14:textId="499D0BDB" w:rsidR="00E032C9" w:rsidRDefault="00E032C9" w:rsidP="00E032C9">
            <w:pPr>
              <w:tabs>
                <w:tab w:val="center" w:pos="3152"/>
              </w:tabs>
              <w:rPr>
                <w:rFonts w:cs="Arial"/>
                <w:sz w:val="18"/>
                <w:szCs w:val="18"/>
                <w:lang w:val="en-US"/>
              </w:rPr>
            </w:pPr>
            <w:r w:rsidRPr="008B058E">
              <w:rPr>
                <w:rFonts w:cs="Arial"/>
                <w:szCs w:val="19"/>
                <w:lang w:val="en-US"/>
              </w:rPr>
              <w:t xml:space="preserve">or bruises of the extremities following blunt trauma in adolescents </w:t>
            </w:r>
            <w:r>
              <w:rPr>
                <w:rFonts w:cs="Arial"/>
                <w:szCs w:val="19"/>
                <w:lang w:val="en-US"/>
              </w:rPr>
              <w:t>aged</w:t>
            </w:r>
            <w:r w:rsidRPr="008B058E">
              <w:rPr>
                <w:rFonts w:cs="Arial"/>
                <w:szCs w:val="19"/>
                <w:lang w:val="en-US"/>
              </w:rPr>
              <w:t xml:space="preserve"> </w:t>
            </w:r>
            <w:r>
              <w:rPr>
                <w:rFonts w:cs="Arial"/>
                <w:szCs w:val="19"/>
                <w:lang w:val="en-US"/>
              </w:rPr>
              <w:t>≥</w:t>
            </w:r>
            <w:r w:rsidRPr="008B058E">
              <w:rPr>
                <w:rFonts w:cs="Arial"/>
                <w:szCs w:val="19"/>
                <w:lang w:val="en-US"/>
              </w:rPr>
              <w:t>16 years and adults</w:t>
            </w:r>
            <w:r>
              <w:rPr>
                <w:rFonts w:cs="Arial"/>
                <w:szCs w:val="19"/>
                <w:lang w:val="en-US"/>
              </w:rPr>
              <w:t xml:space="preserve"> </w:t>
            </w:r>
            <w:r w:rsidRPr="008B058E">
              <w:rPr>
                <w:rFonts w:cs="Arial"/>
                <w:sz w:val="16"/>
                <w:szCs w:val="16"/>
                <w:lang w:val="en-US"/>
              </w:rPr>
              <w:t>[new once a day formulation]</w:t>
            </w:r>
          </w:p>
        </w:tc>
      </w:tr>
      <w:tr w:rsidR="00E032C9" w14:paraId="6A63D0DF" w14:textId="77777777" w:rsidTr="00355B51">
        <w:tc>
          <w:tcPr>
            <w:tcW w:w="1447" w:type="pct"/>
            <w:gridSpan w:val="2"/>
            <w:shd w:val="clear" w:color="auto" w:fill="auto"/>
            <w:tcMar>
              <w:top w:w="57" w:type="dxa"/>
              <w:bottom w:w="57" w:type="dxa"/>
            </w:tcMar>
          </w:tcPr>
          <w:p w14:paraId="5EB6E579" w14:textId="77777777" w:rsidR="00E032C9" w:rsidRDefault="00E032C9" w:rsidP="00E032C9">
            <w:pPr>
              <w:rPr>
                <w:rFonts w:cs="Arial"/>
                <w:szCs w:val="19"/>
              </w:rPr>
            </w:pPr>
            <w:r w:rsidRPr="002A7902">
              <w:rPr>
                <w:rFonts w:cs="Arial"/>
                <w:szCs w:val="19"/>
              </w:rPr>
              <w:t>Eculizumab biosimilar</w:t>
            </w:r>
            <w:r>
              <w:rPr>
                <w:rFonts w:cs="Arial"/>
                <w:szCs w:val="19"/>
              </w:rPr>
              <w:t xml:space="preserve"> (</w:t>
            </w:r>
            <w:proofErr w:type="spellStart"/>
            <w:r>
              <w:rPr>
                <w:rFonts w:cs="Arial"/>
                <w:i/>
                <w:iCs/>
                <w:szCs w:val="19"/>
              </w:rPr>
              <w:t>Bekemv</w:t>
            </w:r>
            <w:proofErr w:type="spellEnd"/>
            <w:r>
              <w:rPr>
                <w:rFonts w:cs="Arial"/>
                <w:szCs w:val="19"/>
              </w:rPr>
              <w:t>)</w:t>
            </w:r>
          </w:p>
          <w:p w14:paraId="141FF48C" w14:textId="29477E8C" w:rsidR="00E032C9" w:rsidRPr="002A7902" w:rsidRDefault="00E032C9" w:rsidP="00E032C9">
            <w:pPr>
              <w:rPr>
                <w:rFonts w:cs="Arial"/>
                <w:szCs w:val="19"/>
              </w:rPr>
            </w:pPr>
            <w:r w:rsidRPr="002A7902">
              <w:rPr>
                <w:rFonts w:cs="Arial"/>
                <w:sz w:val="16"/>
                <w:szCs w:val="16"/>
              </w:rPr>
              <w:t>300mg in 30mL vial</w:t>
            </w:r>
          </w:p>
        </w:tc>
        <w:tc>
          <w:tcPr>
            <w:tcW w:w="3553" w:type="pct"/>
            <w:shd w:val="clear" w:color="auto" w:fill="auto"/>
            <w:tcMar>
              <w:top w:w="57" w:type="dxa"/>
              <w:bottom w:w="57" w:type="dxa"/>
            </w:tcMar>
          </w:tcPr>
          <w:p w14:paraId="28F56D03" w14:textId="0B85300B" w:rsidR="00E032C9" w:rsidRPr="008B058E" w:rsidRDefault="00E032C9" w:rsidP="00E032C9">
            <w:pPr>
              <w:tabs>
                <w:tab w:val="center" w:pos="3152"/>
              </w:tabs>
              <w:rPr>
                <w:rFonts w:cs="Arial"/>
                <w:szCs w:val="19"/>
                <w:lang w:val="en-US"/>
              </w:rPr>
            </w:pPr>
            <w:r w:rsidRPr="002A7902">
              <w:rPr>
                <w:rFonts w:cs="Arial"/>
                <w:szCs w:val="19"/>
                <w:lang w:val="en-US"/>
              </w:rPr>
              <w:t xml:space="preserve">Use in adults and children for the treatment of atypical </w:t>
            </w:r>
            <w:proofErr w:type="spellStart"/>
            <w:r w:rsidRPr="002A7902">
              <w:rPr>
                <w:rFonts w:cs="Arial"/>
                <w:szCs w:val="19"/>
                <w:lang w:val="en-US"/>
              </w:rPr>
              <w:t>haemolytic</w:t>
            </w:r>
            <w:proofErr w:type="spellEnd"/>
            <w:r w:rsidRPr="002A7902">
              <w:rPr>
                <w:rFonts w:cs="Arial"/>
                <w:szCs w:val="19"/>
                <w:lang w:val="en-US"/>
              </w:rPr>
              <w:t xml:space="preserve"> </w:t>
            </w:r>
            <w:proofErr w:type="spellStart"/>
            <w:r w:rsidRPr="002A7902">
              <w:rPr>
                <w:rFonts w:cs="Arial"/>
                <w:szCs w:val="19"/>
                <w:lang w:val="en-US"/>
              </w:rPr>
              <w:t>uraemic</w:t>
            </w:r>
            <w:proofErr w:type="spellEnd"/>
            <w:r w:rsidRPr="002A7902">
              <w:rPr>
                <w:rFonts w:cs="Arial"/>
                <w:szCs w:val="19"/>
                <w:lang w:val="en-US"/>
              </w:rPr>
              <w:t xml:space="preserve"> syndrome</w:t>
            </w:r>
            <w:r>
              <w:rPr>
                <w:rFonts w:cs="Arial"/>
                <w:szCs w:val="19"/>
                <w:lang w:val="en-US"/>
              </w:rPr>
              <w:t xml:space="preserve"> </w:t>
            </w:r>
            <w:r w:rsidRPr="002A7902">
              <w:rPr>
                <w:rFonts w:cs="Arial"/>
                <w:sz w:val="16"/>
                <w:szCs w:val="16"/>
                <w:lang w:val="en-US"/>
              </w:rPr>
              <w:t>[new indication]</w:t>
            </w:r>
          </w:p>
        </w:tc>
      </w:tr>
      <w:tr w:rsidR="000D6EDF" w14:paraId="0421BAB9" w14:textId="77777777" w:rsidTr="00355B51">
        <w:tc>
          <w:tcPr>
            <w:tcW w:w="1447" w:type="pct"/>
            <w:gridSpan w:val="2"/>
            <w:shd w:val="clear" w:color="auto" w:fill="auto"/>
            <w:tcMar>
              <w:top w:w="57" w:type="dxa"/>
              <w:bottom w:w="57" w:type="dxa"/>
            </w:tcMar>
          </w:tcPr>
          <w:p w14:paraId="0639AD34" w14:textId="77777777" w:rsidR="000D6EDF" w:rsidRDefault="000D6EDF" w:rsidP="000D6EDF">
            <w:pPr>
              <w:rPr>
                <w:rFonts w:cs="Arial"/>
                <w:szCs w:val="19"/>
              </w:rPr>
            </w:pPr>
            <w:proofErr w:type="spellStart"/>
            <w:r w:rsidRPr="001E69A8">
              <w:rPr>
                <w:rFonts w:cs="Arial"/>
                <w:szCs w:val="19"/>
              </w:rPr>
              <w:t>Elranatamab</w:t>
            </w:r>
            <w:proofErr w:type="spellEnd"/>
            <w:r>
              <w:rPr>
                <w:rFonts w:cs="Arial"/>
                <w:szCs w:val="19"/>
              </w:rPr>
              <w:t xml:space="preserve"> (</w:t>
            </w:r>
            <w:proofErr w:type="spellStart"/>
            <w:r w:rsidRPr="001E69A8">
              <w:rPr>
                <w:rFonts w:cs="Arial"/>
                <w:i/>
                <w:iCs/>
                <w:szCs w:val="19"/>
              </w:rPr>
              <w:t>Elrexfio</w:t>
            </w:r>
            <w:proofErr w:type="spellEnd"/>
            <w:r>
              <w:rPr>
                <w:rFonts w:cs="Arial"/>
                <w:szCs w:val="19"/>
              </w:rPr>
              <w:t xml:space="preserve">) </w:t>
            </w:r>
          </w:p>
          <w:p w14:paraId="0F659799" w14:textId="49B029A0" w:rsidR="000D6EDF" w:rsidRDefault="000D6EDF" w:rsidP="000D6EDF">
            <w:pPr>
              <w:rPr>
                <w:rFonts w:cs="Arial"/>
                <w:szCs w:val="19"/>
              </w:rPr>
            </w:pPr>
            <w:r w:rsidRPr="000D6EDF">
              <w:rPr>
                <w:rFonts w:cs="Arial"/>
                <w:sz w:val="16"/>
                <w:szCs w:val="16"/>
              </w:rPr>
              <w:t>44mg in 1.1mL and 76mg in 1.9mL vials</w:t>
            </w:r>
          </w:p>
        </w:tc>
        <w:tc>
          <w:tcPr>
            <w:tcW w:w="3553" w:type="pct"/>
            <w:shd w:val="clear" w:color="auto" w:fill="auto"/>
            <w:tcMar>
              <w:top w:w="57" w:type="dxa"/>
              <w:bottom w:w="57" w:type="dxa"/>
            </w:tcMar>
          </w:tcPr>
          <w:p w14:paraId="47758FFD" w14:textId="3EBAFE8E" w:rsidR="000D6EDF" w:rsidRPr="000E0CF5" w:rsidRDefault="000D6EDF" w:rsidP="000D6EDF">
            <w:pPr>
              <w:tabs>
                <w:tab w:val="center" w:pos="3152"/>
              </w:tabs>
              <w:rPr>
                <w:rFonts w:cs="Arial"/>
                <w:szCs w:val="19"/>
                <w:lang w:val="en-US"/>
              </w:rPr>
            </w:pPr>
            <w:r>
              <w:rPr>
                <w:rFonts w:cs="Arial"/>
                <w:szCs w:val="19"/>
                <w:lang w:val="en-US"/>
              </w:rPr>
              <w:t>M</w:t>
            </w:r>
            <w:r w:rsidRPr="001E69A8">
              <w:rPr>
                <w:rFonts w:cs="Arial"/>
                <w:szCs w:val="19"/>
                <w:lang w:val="en-US"/>
              </w:rPr>
              <w:t>onotherapy for the treatment of adults with relapsed and refractory multiple myeloma, who have received at least three prior therapies, including an immunomodulatory agent, a proteasome inhibitor, and an anti-CD38 antibody and have demonstrated disease progression on the last therapy</w:t>
            </w:r>
          </w:p>
        </w:tc>
      </w:tr>
      <w:tr w:rsidR="000D6EDF" w14:paraId="0F482852" w14:textId="77777777" w:rsidTr="00355B51">
        <w:tc>
          <w:tcPr>
            <w:tcW w:w="1447" w:type="pct"/>
            <w:gridSpan w:val="2"/>
            <w:shd w:val="clear" w:color="auto" w:fill="auto"/>
            <w:tcMar>
              <w:top w:w="57" w:type="dxa"/>
              <w:bottom w:w="57" w:type="dxa"/>
            </w:tcMar>
          </w:tcPr>
          <w:p w14:paraId="43BE0850" w14:textId="77777777" w:rsidR="000D6EDF" w:rsidRDefault="000D6EDF" w:rsidP="000D6EDF">
            <w:pPr>
              <w:rPr>
                <w:rFonts w:cs="Arial"/>
                <w:szCs w:val="19"/>
              </w:rPr>
            </w:pPr>
            <w:r>
              <w:rPr>
                <w:rFonts w:cs="Arial"/>
                <w:szCs w:val="19"/>
              </w:rPr>
              <w:t>Enalapril (</w:t>
            </w:r>
            <w:proofErr w:type="spellStart"/>
            <w:r w:rsidRPr="000E0CF5">
              <w:rPr>
                <w:rFonts w:cs="Arial"/>
                <w:i/>
                <w:iCs/>
                <w:szCs w:val="19"/>
              </w:rPr>
              <w:t>Aqumeldi</w:t>
            </w:r>
            <w:proofErr w:type="spellEnd"/>
            <w:r>
              <w:rPr>
                <w:rFonts w:cs="Arial"/>
                <w:szCs w:val="19"/>
              </w:rPr>
              <w:t>)</w:t>
            </w:r>
          </w:p>
          <w:p w14:paraId="3E231527" w14:textId="75D25A24" w:rsidR="000D6EDF" w:rsidRPr="0026615A" w:rsidRDefault="000D6EDF" w:rsidP="000D6EDF">
            <w:pPr>
              <w:rPr>
                <w:rFonts w:cs="Arial"/>
                <w:szCs w:val="19"/>
              </w:rPr>
            </w:pPr>
            <w:r w:rsidRPr="000E0CF5">
              <w:rPr>
                <w:rFonts w:cs="Arial"/>
                <w:sz w:val="16"/>
                <w:szCs w:val="16"/>
              </w:rPr>
              <w:t xml:space="preserve">0.25mg </w:t>
            </w:r>
            <w:proofErr w:type="spellStart"/>
            <w:r w:rsidRPr="000E0CF5">
              <w:rPr>
                <w:rFonts w:cs="Arial"/>
                <w:sz w:val="16"/>
                <w:szCs w:val="16"/>
              </w:rPr>
              <w:t>orodispersible</w:t>
            </w:r>
            <w:proofErr w:type="spellEnd"/>
            <w:r w:rsidRPr="000E0CF5">
              <w:rPr>
                <w:rFonts w:cs="Arial"/>
                <w:sz w:val="16"/>
                <w:szCs w:val="16"/>
              </w:rPr>
              <w:t xml:space="preserve"> tablet</w:t>
            </w:r>
          </w:p>
        </w:tc>
        <w:tc>
          <w:tcPr>
            <w:tcW w:w="3553" w:type="pct"/>
            <w:shd w:val="clear" w:color="auto" w:fill="auto"/>
            <w:tcMar>
              <w:top w:w="57" w:type="dxa"/>
              <w:bottom w:w="57" w:type="dxa"/>
            </w:tcMar>
          </w:tcPr>
          <w:p w14:paraId="59A1F1E6" w14:textId="77777777" w:rsidR="000D6EDF" w:rsidRDefault="000D6EDF" w:rsidP="000D6EDF">
            <w:pPr>
              <w:tabs>
                <w:tab w:val="center" w:pos="3152"/>
              </w:tabs>
              <w:rPr>
                <w:rFonts w:cs="Arial"/>
                <w:szCs w:val="19"/>
                <w:lang w:val="en-US"/>
              </w:rPr>
            </w:pPr>
            <w:r w:rsidRPr="000E0CF5">
              <w:rPr>
                <w:rFonts w:cs="Arial"/>
                <w:szCs w:val="19"/>
                <w:lang w:val="en-US"/>
              </w:rPr>
              <w:t xml:space="preserve">Treatment of heart failure in children </w:t>
            </w:r>
            <w:r>
              <w:rPr>
                <w:rFonts w:cs="Arial"/>
                <w:szCs w:val="19"/>
                <w:lang w:val="en-US"/>
              </w:rPr>
              <w:t xml:space="preserve">aged </w:t>
            </w:r>
            <w:r w:rsidRPr="000E0CF5">
              <w:rPr>
                <w:rFonts w:cs="Arial"/>
                <w:szCs w:val="19"/>
                <w:lang w:val="en-US"/>
              </w:rPr>
              <w:t xml:space="preserve">from birth to </w:t>
            </w:r>
            <w:r>
              <w:rPr>
                <w:rFonts w:cs="Arial"/>
                <w:szCs w:val="19"/>
                <w:lang w:val="en-US"/>
              </w:rPr>
              <w:t>&lt;</w:t>
            </w:r>
            <w:r w:rsidRPr="000E0CF5">
              <w:rPr>
                <w:rFonts w:cs="Arial"/>
                <w:szCs w:val="19"/>
                <w:lang w:val="en-US"/>
              </w:rPr>
              <w:t xml:space="preserve">18 </w:t>
            </w:r>
            <w:proofErr w:type="gramStart"/>
            <w:r w:rsidRPr="000E0CF5">
              <w:rPr>
                <w:rFonts w:cs="Arial"/>
                <w:szCs w:val="19"/>
                <w:lang w:val="en-US"/>
              </w:rPr>
              <w:t>years</w:t>
            </w:r>
            <w:proofErr w:type="gramEnd"/>
            <w:r>
              <w:rPr>
                <w:rFonts w:cs="Arial"/>
                <w:szCs w:val="19"/>
                <w:lang w:val="en-US"/>
              </w:rPr>
              <w:t xml:space="preserve"> </w:t>
            </w:r>
          </w:p>
          <w:p w14:paraId="62EF3EC6" w14:textId="3DE6C860" w:rsidR="000D6EDF" w:rsidRDefault="000D6EDF" w:rsidP="000D6EDF">
            <w:pPr>
              <w:tabs>
                <w:tab w:val="center" w:pos="3152"/>
              </w:tabs>
              <w:rPr>
                <w:rFonts w:cs="Arial"/>
                <w:szCs w:val="19"/>
                <w:lang w:val="en-US"/>
              </w:rPr>
            </w:pPr>
            <w:r w:rsidRPr="000E0CF5">
              <w:rPr>
                <w:rFonts w:cs="Arial"/>
                <w:sz w:val="16"/>
                <w:szCs w:val="16"/>
                <w:lang w:val="en-US"/>
              </w:rPr>
              <w:t xml:space="preserve">[new </w:t>
            </w:r>
            <w:proofErr w:type="spellStart"/>
            <w:r w:rsidRPr="000E0CF5">
              <w:rPr>
                <w:rFonts w:cs="Arial"/>
                <w:sz w:val="16"/>
                <w:szCs w:val="16"/>
                <w:lang w:val="en-US"/>
              </w:rPr>
              <w:t>orodispersible</w:t>
            </w:r>
            <w:proofErr w:type="spellEnd"/>
            <w:r w:rsidRPr="000E0CF5">
              <w:rPr>
                <w:rFonts w:cs="Arial"/>
                <w:sz w:val="16"/>
                <w:szCs w:val="16"/>
                <w:lang w:val="en-US"/>
              </w:rPr>
              <w:t xml:space="preserve"> tablet formulation]</w:t>
            </w:r>
          </w:p>
        </w:tc>
      </w:tr>
      <w:tr w:rsidR="000D6EDF" w14:paraId="71E7F145" w14:textId="77777777" w:rsidTr="00355B51">
        <w:tc>
          <w:tcPr>
            <w:tcW w:w="1447" w:type="pct"/>
            <w:gridSpan w:val="2"/>
            <w:shd w:val="clear" w:color="auto" w:fill="auto"/>
            <w:tcMar>
              <w:top w:w="57" w:type="dxa"/>
              <w:bottom w:w="57" w:type="dxa"/>
            </w:tcMar>
          </w:tcPr>
          <w:p w14:paraId="46BF1DC1" w14:textId="48A1F7E9" w:rsidR="000D6EDF" w:rsidRPr="002F73AD" w:rsidRDefault="000D6EDF" w:rsidP="000D6EDF">
            <w:pPr>
              <w:rPr>
                <w:rFonts w:cs="Arial"/>
                <w:szCs w:val="19"/>
              </w:rPr>
            </w:pPr>
            <w:proofErr w:type="spellStart"/>
            <w:r w:rsidRPr="0026615A">
              <w:rPr>
                <w:rFonts w:cs="Arial"/>
                <w:szCs w:val="19"/>
              </w:rPr>
              <w:t>Gefapixant</w:t>
            </w:r>
            <w:proofErr w:type="spellEnd"/>
            <w:r>
              <w:rPr>
                <w:rFonts w:cs="Arial"/>
                <w:szCs w:val="19"/>
              </w:rPr>
              <w:t xml:space="preserve"> (</w:t>
            </w:r>
            <w:proofErr w:type="spellStart"/>
            <w:r>
              <w:rPr>
                <w:rFonts w:cs="Arial"/>
                <w:i/>
                <w:iCs/>
                <w:szCs w:val="19"/>
              </w:rPr>
              <w:t>Lyfnua</w:t>
            </w:r>
            <w:proofErr w:type="spellEnd"/>
            <w:r>
              <w:rPr>
                <w:rFonts w:cs="Arial"/>
                <w:szCs w:val="19"/>
              </w:rPr>
              <w:t xml:space="preserve">) </w:t>
            </w:r>
            <w:r w:rsidRPr="00ED331D">
              <w:rPr>
                <w:rFonts w:cs="Arial"/>
                <w:sz w:val="16"/>
                <w:szCs w:val="16"/>
              </w:rPr>
              <w:t>45mg tablet</w:t>
            </w:r>
          </w:p>
        </w:tc>
        <w:tc>
          <w:tcPr>
            <w:tcW w:w="3553" w:type="pct"/>
            <w:shd w:val="clear" w:color="auto" w:fill="auto"/>
            <w:tcMar>
              <w:top w:w="57" w:type="dxa"/>
              <w:bottom w:w="57" w:type="dxa"/>
            </w:tcMar>
          </w:tcPr>
          <w:p w14:paraId="2CE5407E" w14:textId="089D3319" w:rsidR="000D6EDF" w:rsidRPr="00A075A3" w:rsidRDefault="000D6EDF" w:rsidP="000D6EDF">
            <w:pPr>
              <w:tabs>
                <w:tab w:val="center" w:pos="3152"/>
              </w:tabs>
              <w:rPr>
                <w:rFonts w:cs="Arial"/>
                <w:szCs w:val="19"/>
                <w:lang w:val="en-US"/>
              </w:rPr>
            </w:pPr>
            <w:r>
              <w:rPr>
                <w:rFonts w:cs="Arial"/>
                <w:szCs w:val="19"/>
                <w:lang w:val="en-US"/>
              </w:rPr>
              <w:t xml:space="preserve">Use </w:t>
            </w:r>
            <w:r w:rsidRPr="0026615A">
              <w:rPr>
                <w:rFonts w:cs="Arial"/>
                <w:szCs w:val="19"/>
                <w:lang w:val="en-US"/>
              </w:rPr>
              <w:t>in adults for the treatment of refractory or unexplained chronic cough</w:t>
            </w:r>
          </w:p>
        </w:tc>
      </w:tr>
      <w:tr w:rsidR="000D6EDF" w14:paraId="438B91AF" w14:textId="77777777" w:rsidTr="00355B51">
        <w:tc>
          <w:tcPr>
            <w:tcW w:w="1447" w:type="pct"/>
            <w:gridSpan w:val="2"/>
            <w:shd w:val="clear" w:color="auto" w:fill="auto"/>
            <w:tcMar>
              <w:top w:w="57" w:type="dxa"/>
              <w:bottom w:w="57" w:type="dxa"/>
            </w:tcMar>
          </w:tcPr>
          <w:p w14:paraId="1546484F" w14:textId="77777777" w:rsidR="000D6EDF" w:rsidRDefault="000D6EDF" w:rsidP="000D6EDF">
            <w:pPr>
              <w:rPr>
                <w:rFonts w:cs="Arial"/>
                <w:szCs w:val="19"/>
              </w:rPr>
            </w:pPr>
            <w:proofErr w:type="spellStart"/>
            <w:r>
              <w:rPr>
                <w:rFonts w:cs="Arial"/>
                <w:szCs w:val="19"/>
              </w:rPr>
              <w:t>Luspatercept</w:t>
            </w:r>
            <w:proofErr w:type="spellEnd"/>
            <w:r>
              <w:rPr>
                <w:rFonts w:cs="Arial"/>
                <w:szCs w:val="19"/>
              </w:rPr>
              <w:t xml:space="preserve"> (</w:t>
            </w:r>
            <w:proofErr w:type="spellStart"/>
            <w:r>
              <w:rPr>
                <w:rFonts w:cs="Arial"/>
                <w:i/>
                <w:iCs/>
                <w:szCs w:val="19"/>
              </w:rPr>
              <w:t>Reblozyl</w:t>
            </w:r>
            <w:proofErr w:type="spellEnd"/>
            <w:r>
              <w:rPr>
                <w:rFonts w:cs="Arial"/>
                <w:szCs w:val="19"/>
              </w:rPr>
              <w:t xml:space="preserve">) </w:t>
            </w:r>
          </w:p>
          <w:p w14:paraId="6A1FD98D" w14:textId="5AA20929" w:rsidR="000D6EDF" w:rsidRPr="002844B4" w:rsidRDefault="000D6EDF" w:rsidP="000D6EDF">
            <w:pPr>
              <w:rPr>
                <w:rFonts w:cs="Arial"/>
                <w:szCs w:val="19"/>
              </w:rPr>
            </w:pPr>
            <w:r w:rsidRPr="002844B4">
              <w:rPr>
                <w:rFonts w:cs="Arial"/>
                <w:sz w:val="16"/>
                <w:szCs w:val="16"/>
              </w:rPr>
              <w:t>25mg and 75mg vials</w:t>
            </w:r>
          </w:p>
        </w:tc>
        <w:tc>
          <w:tcPr>
            <w:tcW w:w="3553" w:type="pct"/>
            <w:shd w:val="clear" w:color="auto" w:fill="auto"/>
            <w:tcMar>
              <w:top w:w="57" w:type="dxa"/>
              <w:bottom w:w="57" w:type="dxa"/>
            </w:tcMar>
          </w:tcPr>
          <w:p w14:paraId="5AA6AA16" w14:textId="77777777" w:rsidR="000D6EDF" w:rsidRDefault="000D6EDF" w:rsidP="000D6EDF">
            <w:pPr>
              <w:tabs>
                <w:tab w:val="num" w:pos="720"/>
                <w:tab w:val="center" w:pos="3152"/>
              </w:tabs>
              <w:rPr>
                <w:rFonts w:cs="Arial"/>
                <w:szCs w:val="19"/>
                <w:lang w:val="en-US"/>
              </w:rPr>
            </w:pPr>
            <w:r w:rsidRPr="002844B4">
              <w:rPr>
                <w:rFonts w:cs="Arial"/>
                <w:szCs w:val="19"/>
                <w:lang w:val="en-US"/>
              </w:rPr>
              <w:t xml:space="preserve">Treatment of adults with transfusion-dependent </w:t>
            </w:r>
            <w:proofErr w:type="spellStart"/>
            <w:r w:rsidRPr="002844B4">
              <w:rPr>
                <w:rFonts w:cs="Arial"/>
                <w:szCs w:val="19"/>
                <w:lang w:val="en-US"/>
              </w:rPr>
              <w:t>anaemia</w:t>
            </w:r>
            <w:proofErr w:type="spellEnd"/>
            <w:r w:rsidRPr="002844B4">
              <w:rPr>
                <w:rFonts w:cs="Arial"/>
                <w:szCs w:val="19"/>
                <w:lang w:val="en-US"/>
              </w:rPr>
              <w:t xml:space="preserve"> due to very low, low and intermediate-risk myelodysplastic syndromes with ring </w:t>
            </w:r>
            <w:proofErr w:type="spellStart"/>
            <w:r w:rsidRPr="002844B4">
              <w:rPr>
                <w:rFonts w:cs="Arial"/>
                <w:szCs w:val="19"/>
                <w:lang w:val="en-US"/>
              </w:rPr>
              <w:t>sideroblasts</w:t>
            </w:r>
            <w:proofErr w:type="spellEnd"/>
            <w:r w:rsidRPr="002844B4">
              <w:rPr>
                <w:rFonts w:cs="Arial"/>
                <w:szCs w:val="19"/>
                <w:lang w:val="en-US"/>
              </w:rPr>
              <w:t xml:space="preserve">, who had an unsatisfactory response to or are ineligible for erythropoietin-based </w:t>
            </w:r>
            <w:proofErr w:type="gramStart"/>
            <w:r w:rsidRPr="002844B4">
              <w:rPr>
                <w:rFonts w:cs="Arial"/>
                <w:szCs w:val="19"/>
                <w:lang w:val="en-US"/>
              </w:rPr>
              <w:t>therapy</w:t>
            </w:r>
            <w:proofErr w:type="gramEnd"/>
            <w:r>
              <w:rPr>
                <w:rFonts w:cs="Arial"/>
                <w:szCs w:val="19"/>
                <w:lang w:val="en-US"/>
              </w:rPr>
              <w:t xml:space="preserve"> </w:t>
            </w:r>
          </w:p>
          <w:p w14:paraId="62E9EF3B" w14:textId="49A1AE40" w:rsidR="000D6EDF" w:rsidRPr="00A075A3" w:rsidRDefault="000D6EDF" w:rsidP="000D6EDF">
            <w:pPr>
              <w:tabs>
                <w:tab w:val="num" w:pos="720"/>
                <w:tab w:val="center" w:pos="3152"/>
              </w:tabs>
              <w:rPr>
                <w:rFonts w:cs="Arial"/>
                <w:szCs w:val="19"/>
                <w:lang w:val="en-US"/>
              </w:rPr>
            </w:pPr>
            <w:r w:rsidRPr="002844B4">
              <w:rPr>
                <w:rFonts w:cs="Arial"/>
                <w:sz w:val="16"/>
                <w:szCs w:val="16"/>
                <w:lang w:val="en-US"/>
              </w:rPr>
              <w:t>[new indication]</w:t>
            </w:r>
          </w:p>
        </w:tc>
      </w:tr>
      <w:tr w:rsidR="00877E27" w14:paraId="3A66EA20" w14:textId="77777777" w:rsidTr="00355B51">
        <w:tc>
          <w:tcPr>
            <w:tcW w:w="1447" w:type="pct"/>
            <w:gridSpan w:val="2"/>
            <w:shd w:val="clear" w:color="auto" w:fill="auto"/>
            <w:tcMar>
              <w:top w:w="57" w:type="dxa"/>
              <w:bottom w:w="57" w:type="dxa"/>
            </w:tcMar>
          </w:tcPr>
          <w:p w14:paraId="58E1FF39" w14:textId="77777777" w:rsidR="00877E27" w:rsidRPr="00F85FE4" w:rsidRDefault="00877E27" w:rsidP="00877E27">
            <w:pPr>
              <w:rPr>
                <w:rFonts w:cs="Arial"/>
                <w:color w:val="000000" w:themeColor="text1"/>
                <w:szCs w:val="19"/>
              </w:rPr>
            </w:pPr>
            <w:proofErr w:type="spellStart"/>
            <w:r w:rsidRPr="00F85FE4">
              <w:rPr>
                <w:rFonts w:cs="Arial"/>
                <w:color w:val="000000" w:themeColor="text1"/>
                <w:szCs w:val="19"/>
              </w:rPr>
              <w:t>Momelotinib</w:t>
            </w:r>
            <w:proofErr w:type="spellEnd"/>
            <w:r w:rsidRPr="00F85FE4">
              <w:rPr>
                <w:rFonts w:cs="Arial"/>
                <w:color w:val="000000" w:themeColor="text1"/>
                <w:szCs w:val="19"/>
              </w:rPr>
              <w:t xml:space="preserve"> (</w:t>
            </w:r>
            <w:proofErr w:type="spellStart"/>
            <w:r w:rsidRPr="00F85FE4">
              <w:rPr>
                <w:rFonts w:cs="Arial"/>
                <w:i/>
                <w:iCs/>
                <w:color w:val="000000" w:themeColor="text1"/>
                <w:szCs w:val="19"/>
              </w:rPr>
              <w:t>Omjjara</w:t>
            </w:r>
            <w:proofErr w:type="spellEnd"/>
            <w:r w:rsidRPr="00F85FE4">
              <w:rPr>
                <w:rFonts w:cs="Arial"/>
                <w:color w:val="000000" w:themeColor="text1"/>
                <w:szCs w:val="19"/>
              </w:rPr>
              <w:t xml:space="preserve">) </w:t>
            </w:r>
          </w:p>
          <w:p w14:paraId="74422F8D" w14:textId="4D7D3EE0" w:rsidR="00877E27" w:rsidRPr="00F85FE4" w:rsidRDefault="00877E27" w:rsidP="00877E27">
            <w:pPr>
              <w:rPr>
                <w:rFonts w:cs="Arial"/>
                <w:color w:val="000000" w:themeColor="text1"/>
                <w:szCs w:val="19"/>
              </w:rPr>
            </w:pPr>
            <w:r w:rsidRPr="00F85FE4">
              <w:rPr>
                <w:rFonts w:cs="Arial"/>
                <w:color w:val="000000" w:themeColor="text1"/>
                <w:sz w:val="16"/>
                <w:szCs w:val="16"/>
              </w:rPr>
              <w:t>100mg, 150mg and 200mg tablets</w:t>
            </w:r>
          </w:p>
        </w:tc>
        <w:tc>
          <w:tcPr>
            <w:tcW w:w="3553" w:type="pct"/>
            <w:shd w:val="clear" w:color="auto" w:fill="auto"/>
            <w:tcMar>
              <w:top w:w="57" w:type="dxa"/>
              <w:bottom w:w="57" w:type="dxa"/>
            </w:tcMar>
          </w:tcPr>
          <w:p w14:paraId="2A272298" w14:textId="2F8715FD" w:rsidR="00877E27" w:rsidRPr="00F85FE4" w:rsidRDefault="00F85FE4" w:rsidP="00877E27">
            <w:pPr>
              <w:tabs>
                <w:tab w:val="center" w:pos="3152"/>
              </w:tabs>
              <w:rPr>
                <w:rFonts w:cs="Arial"/>
                <w:color w:val="000000" w:themeColor="text1"/>
                <w:szCs w:val="19"/>
                <w:lang w:val="en-US"/>
              </w:rPr>
            </w:pPr>
            <w:r w:rsidRPr="00F85FE4">
              <w:rPr>
                <w:rFonts w:cs="Arial"/>
                <w:color w:val="000000" w:themeColor="text1"/>
                <w:szCs w:val="19"/>
                <w:lang w:val="en-US"/>
              </w:rPr>
              <w:t>T</w:t>
            </w:r>
            <w:r w:rsidRPr="00F85FE4">
              <w:rPr>
                <w:rFonts w:cs="Arial"/>
                <w:color w:val="000000" w:themeColor="text1"/>
                <w:szCs w:val="19"/>
                <w:lang w:val="en-US"/>
              </w:rPr>
              <w:t xml:space="preserve">reatment of disease-related splenomegaly or symptoms in adults with moderate to severe </w:t>
            </w:r>
            <w:proofErr w:type="spellStart"/>
            <w:r w:rsidRPr="00F85FE4">
              <w:rPr>
                <w:rFonts w:cs="Arial"/>
                <w:color w:val="000000" w:themeColor="text1"/>
                <w:szCs w:val="19"/>
                <w:lang w:val="en-US"/>
              </w:rPr>
              <w:t>anaemia</w:t>
            </w:r>
            <w:proofErr w:type="spellEnd"/>
            <w:r w:rsidRPr="00F85FE4">
              <w:rPr>
                <w:rFonts w:cs="Arial"/>
                <w:color w:val="000000" w:themeColor="text1"/>
                <w:szCs w:val="19"/>
                <w:lang w:val="en-US"/>
              </w:rPr>
              <w:t xml:space="preserve"> who have primary myelofibrosis, post </w:t>
            </w:r>
            <w:proofErr w:type="spellStart"/>
            <w:r w:rsidRPr="00F85FE4">
              <w:rPr>
                <w:rFonts w:cs="Arial"/>
                <w:color w:val="000000" w:themeColor="text1"/>
                <w:szCs w:val="19"/>
                <w:lang w:val="en-US"/>
              </w:rPr>
              <w:t>polycythaemia</w:t>
            </w:r>
            <w:proofErr w:type="spellEnd"/>
            <w:r w:rsidRPr="00F85FE4">
              <w:rPr>
                <w:rFonts w:cs="Arial"/>
                <w:color w:val="000000" w:themeColor="text1"/>
                <w:szCs w:val="19"/>
                <w:lang w:val="en-US"/>
              </w:rPr>
              <w:t xml:space="preserve"> vera myelofibrosis or post essential </w:t>
            </w:r>
            <w:proofErr w:type="spellStart"/>
            <w:r w:rsidRPr="00F85FE4">
              <w:rPr>
                <w:rFonts w:cs="Arial"/>
                <w:color w:val="000000" w:themeColor="text1"/>
                <w:szCs w:val="19"/>
                <w:lang w:val="en-US"/>
              </w:rPr>
              <w:t>thrombocythaemia</w:t>
            </w:r>
            <w:proofErr w:type="spellEnd"/>
            <w:r w:rsidRPr="00F85FE4">
              <w:rPr>
                <w:rFonts w:cs="Arial"/>
                <w:color w:val="000000" w:themeColor="text1"/>
                <w:szCs w:val="19"/>
                <w:lang w:val="en-US"/>
              </w:rPr>
              <w:t xml:space="preserve"> myelofibrosis and who are Janus Kinase inhibitor naïve or have been treated with </w:t>
            </w:r>
            <w:proofErr w:type="spellStart"/>
            <w:r w:rsidRPr="00F85FE4">
              <w:rPr>
                <w:rFonts w:cs="Arial"/>
                <w:color w:val="000000" w:themeColor="text1"/>
                <w:szCs w:val="19"/>
                <w:lang w:val="en-US"/>
              </w:rPr>
              <w:t>ruxolitinib</w:t>
            </w:r>
            <w:proofErr w:type="spellEnd"/>
          </w:p>
        </w:tc>
      </w:tr>
      <w:tr w:rsidR="00877E27" w14:paraId="434B9543" w14:textId="77777777" w:rsidTr="00355B51">
        <w:tc>
          <w:tcPr>
            <w:tcW w:w="1447" w:type="pct"/>
            <w:gridSpan w:val="2"/>
            <w:shd w:val="clear" w:color="auto" w:fill="auto"/>
            <w:tcMar>
              <w:top w:w="57" w:type="dxa"/>
              <w:bottom w:w="57" w:type="dxa"/>
            </w:tcMar>
          </w:tcPr>
          <w:p w14:paraId="5C60CBF3" w14:textId="54B377D1" w:rsidR="00877E27" w:rsidRPr="00791778" w:rsidRDefault="00877E27" w:rsidP="00877E27">
            <w:pPr>
              <w:rPr>
                <w:rFonts w:cs="Arial"/>
                <w:color w:val="000000" w:themeColor="text1"/>
                <w:szCs w:val="19"/>
              </w:rPr>
            </w:pPr>
            <w:proofErr w:type="spellStart"/>
            <w:r w:rsidRPr="00791778">
              <w:rPr>
                <w:rFonts w:cs="Arial"/>
                <w:color w:val="000000" w:themeColor="text1"/>
                <w:szCs w:val="19"/>
              </w:rPr>
              <w:t>Rezafungin</w:t>
            </w:r>
            <w:proofErr w:type="spellEnd"/>
            <w:r w:rsidRPr="00791778">
              <w:rPr>
                <w:rFonts w:cs="Arial"/>
                <w:color w:val="000000" w:themeColor="text1"/>
                <w:szCs w:val="19"/>
              </w:rPr>
              <w:t xml:space="preserve"> (</w:t>
            </w:r>
            <w:proofErr w:type="spellStart"/>
            <w:r w:rsidRPr="00791778">
              <w:rPr>
                <w:rFonts w:cs="Arial"/>
                <w:i/>
                <w:iCs/>
                <w:color w:val="000000" w:themeColor="text1"/>
                <w:szCs w:val="19"/>
              </w:rPr>
              <w:t>Rezzayo</w:t>
            </w:r>
            <w:proofErr w:type="spellEnd"/>
            <w:r w:rsidRPr="00791778">
              <w:rPr>
                <w:rFonts w:cs="Arial"/>
                <w:color w:val="000000" w:themeColor="text1"/>
                <w:szCs w:val="19"/>
              </w:rPr>
              <w:t>)</w:t>
            </w:r>
            <w:r w:rsidR="004C0BF2" w:rsidRPr="00791778">
              <w:rPr>
                <w:rFonts w:cs="Arial"/>
                <w:color w:val="000000" w:themeColor="text1"/>
                <w:szCs w:val="19"/>
              </w:rPr>
              <w:t xml:space="preserve"> </w:t>
            </w:r>
            <w:r w:rsidR="004C0BF2" w:rsidRPr="00791778">
              <w:rPr>
                <w:rFonts w:cs="Arial"/>
                <w:color w:val="000000" w:themeColor="text1"/>
                <w:sz w:val="16"/>
                <w:szCs w:val="16"/>
              </w:rPr>
              <w:t>200mg vial</w:t>
            </w:r>
          </w:p>
        </w:tc>
        <w:tc>
          <w:tcPr>
            <w:tcW w:w="3553" w:type="pct"/>
            <w:shd w:val="clear" w:color="auto" w:fill="auto"/>
            <w:tcMar>
              <w:top w:w="57" w:type="dxa"/>
              <w:bottom w:w="57" w:type="dxa"/>
            </w:tcMar>
          </w:tcPr>
          <w:p w14:paraId="087D2044" w14:textId="419A3973" w:rsidR="00877E27" w:rsidRPr="00791778" w:rsidRDefault="00877E27" w:rsidP="00877E27">
            <w:pPr>
              <w:tabs>
                <w:tab w:val="center" w:pos="3152"/>
              </w:tabs>
              <w:rPr>
                <w:rFonts w:cs="Arial"/>
                <w:color w:val="000000" w:themeColor="text1"/>
                <w:szCs w:val="19"/>
                <w:lang w:val="en-US"/>
              </w:rPr>
            </w:pPr>
            <w:r w:rsidRPr="00791778">
              <w:rPr>
                <w:rFonts w:cs="Arial"/>
                <w:color w:val="000000" w:themeColor="text1"/>
                <w:szCs w:val="19"/>
                <w:lang w:val="en-US"/>
              </w:rPr>
              <w:t>Treatment of adults with invasive candidiasis</w:t>
            </w:r>
          </w:p>
        </w:tc>
      </w:tr>
      <w:tr w:rsidR="00877E27" w14:paraId="55D365F1" w14:textId="77777777" w:rsidTr="00355B51">
        <w:tc>
          <w:tcPr>
            <w:tcW w:w="1447" w:type="pct"/>
            <w:gridSpan w:val="2"/>
            <w:shd w:val="clear" w:color="auto" w:fill="auto"/>
            <w:tcMar>
              <w:top w:w="57" w:type="dxa"/>
              <w:bottom w:w="57" w:type="dxa"/>
            </w:tcMar>
          </w:tcPr>
          <w:p w14:paraId="65C6E8DA" w14:textId="77777777" w:rsidR="00877E27" w:rsidRPr="00BF6B00" w:rsidRDefault="00877E27" w:rsidP="00877E27">
            <w:pPr>
              <w:rPr>
                <w:rFonts w:cs="Arial"/>
                <w:color w:val="000000" w:themeColor="text1"/>
                <w:szCs w:val="19"/>
              </w:rPr>
            </w:pPr>
            <w:proofErr w:type="spellStart"/>
            <w:r w:rsidRPr="00BF6B00">
              <w:rPr>
                <w:rFonts w:cs="Arial"/>
                <w:color w:val="000000" w:themeColor="text1"/>
                <w:szCs w:val="19"/>
              </w:rPr>
              <w:t>Tirzepatide</w:t>
            </w:r>
            <w:proofErr w:type="spellEnd"/>
            <w:r w:rsidRPr="00BF6B00">
              <w:rPr>
                <w:rFonts w:cs="Arial"/>
                <w:color w:val="000000" w:themeColor="text1"/>
                <w:szCs w:val="19"/>
              </w:rPr>
              <w:t xml:space="preserve"> (</w:t>
            </w:r>
            <w:proofErr w:type="spellStart"/>
            <w:r w:rsidRPr="00BF6B00">
              <w:rPr>
                <w:rFonts w:cs="Arial"/>
                <w:i/>
                <w:iCs/>
                <w:color w:val="000000" w:themeColor="text1"/>
                <w:szCs w:val="19"/>
              </w:rPr>
              <w:t>Mounjaro</w:t>
            </w:r>
            <w:proofErr w:type="spellEnd"/>
            <w:r w:rsidRPr="00BF6B00">
              <w:rPr>
                <w:rFonts w:cs="Arial"/>
                <w:i/>
                <w:iCs/>
                <w:color w:val="000000" w:themeColor="text1"/>
                <w:szCs w:val="19"/>
              </w:rPr>
              <w:t xml:space="preserve"> </w:t>
            </w:r>
            <w:proofErr w:type="spellStart"/>
            <w:r w:rsidRPr="00BF6B00">
              <w:rPr>
                <w:rFonts w:cs="Arial"/>
                <w:i/>
                <w:iCs/>
                <w:color w:val="000000" w:themeColor="text1"/>
                <w:szCs w:val="19"/>
              </w:rPr>
              <w:t>KwikPen</w:t>
            </w:r>
            <w:proofErr w:type="spellEnd"/>
            <w:r w:rsidRPr="00BF6B00">
              <w:rPr>
                <w:rFonts w:cs="Arial"/>
                <w:color w:val="000000" w:themeColor="text1"/>
                <w:szCs w:val="19"/>
              </w:rPr>
              <w:t xml:space="preserve">) </w:t>
            </w:r>
          </w:p>
          <w:p w14:paraId="22496A0D" w14:textId="4FF0B746" w:rsidR="00877E27" w:rsidRPr="00BF6B00" w:rsidRDefault="00877E27" w:rsidP="00877E27">
            <w:pPr>
              <w:rPr>
                <w:rFonts w:cs="Arial"/>
                <w:color w:val="000000" w:themeColor="text1"/>
                <w:szCs w:val="19"/>
              </w:rPr>
            </w:pPr>
            <w:r w:rsidRPr="00BF6B00">
              <w:rPr>
                <w:rFonts w:cs="Arial"/>
                <w:color w:val="000000" w:themeColor="text1"/>
                <w:sz w:val="16"/>
                <w:szCs w:val="16"/>
              </w:rPr>
              <w:t>2.5mg/dose, 5mg/dose, 7.5mg/dose, 10mg/dose, 12.5mg/dose and 15mg/dose prefilled pen</w:t>
            </w:r>
          </w:p>
        </w:tc>
        <w:tc>
          <w:tcPr>
            <w:tcW w:w="3553" w:type="pct"/>
            <w:shd w:val="clear" w:color="auto" w:fill="auto"/>
            <w:tcMar>
              <w:top w:w="57" w:type="dxa"/>
              <w:bottom w:w="57" w:type="dxa"/>
            </w:tcMar>
          </w:tcPr>
          <w:p w14:paraId="757648CA" w14:textId="5F9A76BA" w:rsidR="00877E27" w:rsidRPr="00BF6B00" w:rsidRDefault="00BF6B00" w:rsidP="00BF6B00">
            <w:pPr>
              <w:tabs>
                <w:tab w:val="center" w:pos="3152"/>
              </w:tabs>
              <w:rPr>
                <w:rFonts w:cs="Arial"/>
                <w:color w:val="000000" w:themeColor="text1"/>
                <w:szCs w:val="19"/>
                <w:lang w:val="en-US"/>
              </w:rPr>
            </w:pPr>
            <w:r>
              <w:rPr>
                <w:rFonts w:cs="Arial"/>
                <w:color w:val="000000" w:themeColor="text1"/>
                <w:szCs w:val="19"/>
                <w:lang w:val="en-US"/>
              </w:rPr>
              <w:t>T</w:t>
            </w:r>
            <w:r w:rsidRPr="00BF6B00">
              <w:rPr>
                <w:rFonts w:cs="Arial"/>
                <w:color w:val="000000" w:themeColor="text1"/>
                <w:szCs w:val="19"/>
                <w:lang w:val="en-US"/>
              </w:rPr>
              <w:t>reatment of adults with insufficiently controlled type 2 diabetes mellitus as an adjunct to diet and exercise as monotherapy when metformin is considered inappropriate due to intolerance or contraindications, and in addition to other medicinal products for the treatment of diabetes. Also for weight management, including weight loss and weight maintenance, as an adjunct to a reduced-calorie diet and increased physical activity in adults with an initial Body Mass Index (BMI) of ≥30kg/m2</w:t>
            </w:r>
            <w:r>
              <w:rPr>
                <w:rFonts w:cs="Arial"/>
                <w:color w:val="000000" w:themeColor="text1"/>
                <w:szCs w:val="19"/>
                <w:lang w:val="en-US"/>
              </w:rPr>
              <w:t xml:space="preserve"> </w:t>
            </w:r>
            <w:r w:rsidRPr="00BF6B00">
              <w:rPr>
                <w:rFonts w:cs="Arial"/>
                <w:color w:val="000000" w:themeColor="text1"/>
                <w:szCs w:val="19"/>
                <w:lang w:val="en-US"/>
              </w:rPr>
              <w:t xml:space="preserve">(obesity) or ≥27kg/m2 to </w:t>
            </w:r>
            <w:r>
              <w:rPr>
                <w:rFonts w:cs="Arial"/>
                <w:color w:val="000000" w:themeColor="text1"/>
                <w:szCs w:val="19"/>
                <w:lang w:val="en-US"/>
              </w:rPr>
              <w:t>&lt;</w:t>
            </w:r>
            <w:r w:rsidRPr="00BF6B00">
              <w:rPr>
                <w:rFonts w:cs="Arial"/>
                <w:color w:val="000000" w:themeColor="text1"/>
                <w:szCs w:val="19"/>
                <w:lang w:val="en-US"/>
              </w:rPr>
              <w:t xml:space="preserve">30kg/m2 (overweight) in the presence of at least one weight-related comorbid condition (e.g., hypertension, </w:t>
            </w:r>
            <w:proofErr w:type="spellStart"/>
            <w:r w:rsidRPr="00BF6B00">
              <w:rPr>
                <w:rFonts w:cs="Arial"/>
                <w:color w:val="000000" w:themeColor="text1"/>
                <w:szCs w:val="19"/>
                <w:lang w:val="en-US"/>
              </w:rPr>
              <w:t>dyslipidaemia</w:t>
            </w:r>
            <w:proofErr w:type="spellEnd"/>
            <w:r w:rsidRPr="00BF6B00">
              <w:rPr>
                <w:rFonts w:cs="Arial"/>
                <w:color w:val="000000" w:themeColor="text1"/>
                <w:szCs w:val="19"/>
                <w:lang w:val="en-US"/>
              </w:rPr>
              <w:t xml:space="preserve">, obstructive sleep </w:t>
            </w:r>
            <w:proofErr w:type="spellStart"/>
            <w:r w:rsidRPr="00BF6B00">
              <w:rPr>
                <w:rFonts w:cs="Arial"/>
                <w:color w:val="000000" w:themeColor="text1"/>
                <w:szCs w:val="19"/>
                <w:lang w:val="en-US"/>
              </w:rPr>
              <w:t>apnoea</w:t>
            </w:r>
            <w:proofErr w:type="spellEnd"/>
            <w:r w:rsidRPr="00BF6B00">
              <w:rPr>
                <w:rFonts w:cs="Arial"/>
                <w:color w:val="000000" w:themeColor="text1"/>
                <w:szCs w:val="19"/>
                <w:lang w:val="en-US"/>
              </w:rPr>
              <w:t>, cardiovascular disease, prediabetes, or type 2 diabetes mellitus)</w:t>
            </w:r>
            <w:r w:rsidRPr="00BF6B00">
              <w:rPr>
                <w:rFonts w:cs="Arial"/>
                <w:color w:val="000000" w:themeColor="text1"/>
                <w:sz w:val="16"/>
                <w:szCs w:val="19"/>
                <w:lang w:val="en-US"/>
              </w:rPr>
              <w:t xml:space="preserve"> </w:t>
            </w:r>
            <w:r w:rsidR="00877E27" w:rsidRPr="00BF6B00">
              <w:rPr>
                <w:rFonts w:cs="Arial"/>
                <w:color w:val="000000" w:themeColor="text1"/>
                <w:sz w:val="16"/>
                <w:szCs w:val="16"/>
                <w:lang w:val="en-US"/>
              </w:rPr>
              <w:t>[new multi-dose pen formulation]</w:t>
            </w:r>
          </w:p>
        </w:tc>
      </w:tr>
      <w:tr w:rsidR="00877E27" w14:paraId="2FCC2EBB" w14:textId="77777777" w:rsidTr="00355B51">
        <w:tc>
          <w:tcPr>
            <w:tcW w:w="1447" w:type="pct"/>
            <w:gridSpan w:val="2"/>
            <w:shd w:val="clear" w:color="auto" w:fill="auto"/>
            <w:tcMar>
              <w:top w:w="57" w:type="dxa"/>
              <w:bottom w:w="57" w:type="dxa"/>
            </w:tcMar>
          </w:tcPr>
          <w:p w14:paraId="582A6091" w14:textId="77777777" w:rsidR="00877E27" w:rsidRDefault="00877E27" w:rsidP="00877E27">
            <w:proofErr w:type="spellStart"/>
            <w:r>
              <w:rPr>
                <w:rFonts w:cs="Arial"/>
                <w:szCs w:val="19"/>
              </w:rPr>
              <w:t>Vamorolone</w:t>
            </w:r>
            <w:proofErr w:type="spellEnd"/>
            <w:r>
              <w:rPr>
                <w:rFonts w:cs="Arial"/>
                <w:szCs w:val="19"/>
              </w:rPr>
              <w:t xml:space="preserve"> (</w:t>
            </w:r>
            <w:proofErr w:type="spellStart"/>
            <w:r>
              <w:rPr>
                <w:rFonts w:cs="Arial"/>
                <w:i/>
                <w:iCs/>
                <w:szCs w:val="19"/>
              </w:rPr>
              <w:t>Agamree</w:t>
            </w:r>
            <w:proofErr w:type="spellEnd"/>
            <w:r>
              <w:rPr>
                <w:rFonts w:cs="Arial"/>
                <w:szCs w:val="19"/>
              </w:rPr>
              <w:t>)</w:t>
            </w:r>
            <w:r>
              <w:t xml:space="preserve"> </w:t>
            </w:r>
          </w:p>
          <w:p w14:paraId="45AA0CE5" w14:textId="6CC7878B" w:rsidR="00877E27" w:rsidRPr="00E02DC9" w:rsidRDefault="00877E27" w:rsidP="00877E27">
            <w:pPr>
              <w:rPr>
                <w:rFonts w:cs="Arial"/>
                <w:szCs w:val="19"/>
              </w:rPr>
            </w:pPr>
            <w:r w:rsidRPr="00D608E8">
              <w:rPr>
                <w:rFonts w:cs="Arial"/>
                <w:sz w:val="16"/>
                <w:szCs w:val="16"/>
              </w:rPr>
              <w:t>40mg in 1mL oral suspension</w:t>
            </w:r>
          </w:p>
        </w:tc>
        <w:tc>
          <w:tcPr>
            <w:tcW w:w="3553" w:type="pct"/>
            <w:shd w:val="clear" w:color="auto" w:fill="auto"/>
            <w:tcMar>
              <w:top w:w="57" w:type="dxa"/>
              <w:bottom w:w="57" w:type="dxa"/>
            </w:tcMar>
          </w:tcPr>
          <w:p w14:paraId="27BD9A10" w14:textId="3DA7DCC7" w:rsidR="00877E27" w:rsidRPr="00A075A3" w:rsidRDefault="00877E27" w:rsidP="00877E27">
            <w:pPr>
              <w:tabs>
                <w:tab w:val="center" w:pos="3152"/>
              </w:tabs>
              <w:rPr>
                <w:rFonts w:cs="Arial"/>
                <w:szCs w:val="19"/>
                <w:lang w:val="en-US"/>
              </w:rPr>
            </w:pPr>
            <w:r w:rsidRPr="00E924F2">
              <w:rPr>
                <w:rFonts w:cs="Arial"/>
                <w:szCs w:val="19"/>
                <w:lang w:val="en-US"/>
              </w:rPr>
              <w:t xml:space="preserve">Treatment of Duchenne muscular dystrophy in patients aged </w:t>
            </w:r>
            <w:r>
              <w:rPr>
                <w:rFonts w:cs="Arial"/>
                <w:szCs w:val="19"/>
                <w:lang w:val="en-US"/>
              </w:rPr>
              <w:t>≥</w:t>
            </w:r>
            <w:r w:rsidRPr="00E924F2">
              <w:rPr>
                <w:rFonts w:cs="Arial"/>
                <w:szCs w:val="19"/>
                <w:lang w:val="en-US"/>
              </w:rPr>
              <w:t>4 years</w:t>
            </w:r>
          </w:p>
        </w:tc>
      </w:tr>
      <w:tr w:rsidR="00877E27" w14:paraId="0BF973F5" w14:textId="77777777" w:rsidTr="00355B51">
        <w:tc>
          <w:tcPr>
            <w:tcW w:w="1447" w:type="pct"/>
            <w:gridSpan w:val="2"/>
            <w:shd w:val="clear" w:color="auto" w:fill="auto"/>
            <w:tcMar>
              <w:top w:w="57" w:type="dxa"/>
              <w:bottom w:w="57" w:type="dxa"/>
            </w:tcMar>
          </w:tcPr>
          <w:p w14:paraId="6199517D" w14:textId="77777777" w:rsidR="00877E27" w:rsidRDefault="00877E27" w:rsidP="00877E27">
            <w:pPr>
              <w:rPr>
                <w:rFonts w:cs="Arial"/>
                <w:szCs w:val="19"/>
              </w:rPr>
            </w:pPr>
            <w:proofErr w:type="spellStart"/>
            <w:r>
              <w:rPr>
                <w:rFonts w:cs="Arial"/>
                <w:szCs w:val="19"/>
              </w:rPr>
              <w:t>Zilucoplan</w:t>
            </w:r>
            <w:proofErr w:type="spellEnd"/>
            <w:r>
              <w:rPr>
                <w:rFonts w:cs="Arial"/>
                <w:szCs w:val="19"/>
              </w:rPr>
              <w:t xml:space="preserve"> (</w:t>
            </w:r>
            <w:proofErr w:type="spellStart"/>
            <w:r w:rsidRPr="00031BF2">
              <w:rPr>
                <w:rFonts w:cs="Arial"/>
                <w:i/>
                <w:iCs/>
                <w:szCs w:val="19"/>
              </w:rPr>
              <w:t>Zilbrysq</w:t>
            </w:r>
            <w:proofErr w:type="spellEnd"/>
            <w:r>
              <w:rPr>
                <w:rFonts w:cs="Arial"/>
                <w:szCs w:val="19"/>
              </w:rPr>
              <w:t>)</w:t>
            </w:r>
          </w:p>
          <w:p w14:paraId="47298A62" w14:textId="1F85EF68" w:rsidR="00877E27" w:rsidRPr="002A6DA7" w:rsidRDefault="00877E27" w:rsidP="00877E27">
            <w:pPr>
              <w:rPr>
                <w:rFonts w:cs="Arial"/>
                <w:szCs w:val="19"/>
              </w:rPr>
            </w:pPr>
            <w:r w:rsidRPr="00031BF2">
              <w:rPr>
                <w:rFonts w:cs="Arial"/>
                <w:sz w:val="16"/>
                <w:szCs w:val="16"/>
              </w:rPr>
              <w:t>16.6mg in 0.416mL, 23mg in 0.574mL and 32.4mg in 0.81mL prefilled syringes</w:t>
            </w:r>
          </w:p>
        </w:tc>
        <w:tc>
          <w:tcPr>
            <w:tcW w:w="3553" w:type="pct"/>
            <w:shd w:val="clear" w:color="auto" w:fill="auto"/>
            <w:tcMar>
              <w:top w:w="57" w:type="dxa"/>
              <w:bottom w:w="57" w:type="dxa"/>
            </w:tcMar>
          </w:tcPr>
          <w:p w14:paraId="1FAEB243" w14:textId="3A3772D5" w:rsidR="00877E27" w:rsidRPr="00A075A3" w:rsidRDefault="00877E27" w:rsidP="00877E27">
            <w:pPr>
              <w:tabs>
                <w:tab w:val="center" w:pos="3152"/>
              </w:tabs>
              <w:rPr>
                <w:rFonts w:cs="Arial"/>
                <w:szCs w:val="19"/>
                <w:lang w:val="en-US"/>
              </w:rPr>
            </w:pPr>
            <w:r>
              <w:rPr>
                <w:rFonts w:cs="Arial"/>
                <w:szCs w:val="19"/>
                <w:lang w:val="en-US"/>
              </w:rPr>
              <w:t>U</w:t>
            </w:r>
            <w:r w:rsidRPr="00031BF2">
              <w:rPr>
                <w:rFonts w:cs="Arial"/>
                <w:szCs w:val="19"/>
                <w:lang w:val="en-US"/>
              </w:rPr>
              <w:t>se as an add-on to standard therapy for the treatment of generalised myasthenia gravis in adults who are anti-acetylcholine receptor antibody positive</w:t>
            </w:r>
          </w:p>
        </w:tc>
      </w:tr>
      <w:tr w:rsidR="00877E27" w:rsidRPr="00862949" w14:paraId="30CA5F43" w14:textId="77777777" w:rsidTr="005A7E09">
        <w:tc>
          <w:tcPr>
            <w:tcW w:w="5000" w:type="pct"/>
            <w:gridSpan w:val="3"/>
            <w:shd w:val="clear" w:color="auto" w:fill="auto"/>
            <w:tcMar>
              <w:top w:w="0" w:type="dxa"/>
              <w:bottom w:w="0" w:type="dxa"/>
            </w:tcMar>
          </w:tcPr>
          <w:p w14:paraId="7BE239A5" w14:textId="77777777" w:rsidR="00877E27" w:rsidRPr="00862949" w:rsidRDefault="00877E27" w:rsidP="00877E27">
            <w:pPr>
              <w:jc w:val="center"/>
              <w:rPr>
                <w:rFonts w:cs="Arial"/>
                <w:noProof/>
                <w:sz w:val="8"/>
                <w:szCs w:val="8"/>
              </w:rPr>
            </w:pPr>
          </w:p>
        </w:tc>
      </w:tr>
      <w:tr w:rsidR="00877E27" w:rsidRPr="000F19E1" w14:paraId="7B894E39" w14:textId="77777777" w:rsidTr="00155BD9">
        <w:tc>
          <w:tcPr>
            <w:tcW w:w="1152" w:type="pct"/>
            <w:shd w:val="clear" w:color="auto" w:fill="DAEEF3"/>
            <w:tcMar>
              <w:top w:w="0" w:type="dxa"/>
              <w:bottom w:w="0" w:type="dxa"/>
            </w:tcMar>
          </w:tcPr>
          <w:p w14:paraId="5EB54B9B" w14:textId="77777777" w:rsidR="00877E27" w:rsidRPr="000F19E1" w:rsidRDefault="00877E27" w:rsidP="00877E27">
            <w:pPr>
              <w:rPr>
                <w:rFonts w:cs="Arial"/>
                <w:bCs/>
                <w:sz w:val="8"/>
                <w:szCs w:val="8"/>
              </w:rPr>
            </w:pPr>
          </w:p>
        </w:tc>
        <w:tc>
          <w:tcPr>
            <w:tcW w:w="3848" w:type="pct"/>
            <w:gridSpan w:val="2"/>
            <w:shd w:val="clear" w:color="auto" w:fill="DAEEF3"/>
            <w:tcMar>
              <w:top w:w="0" w:type="dxa"/>
              <w:bottom w:w="0" w:type="dxa"/>
            </w:tcMar>
          </w:tcPr>
          <w:p w14:paraId="6C2250F9" w14:textId="77777777" w:rsidR="00877E27" w:rsidRPr="000F19E1" w:rsidRDefault="00877E27" w:rsidP="00877E27">
            <w:pPr>
              <w:tabs>
                <w:tab w:val="center" w:pos="3152"/>
              </w:tabs>
              <w:rPr>
                <w:rFonts w:cs="Arial"/>
                <w:sz w:val="8"/>
                <w:szCs w:val="8"/>
                <w:lang w:val="en-US"/>
              </w:rPr>
            </w:pPr>
          </w:p>
        </w:tc>
      </w:tr>
      <w:tr w:rsidR="00877E27" w:rsidRPr="00831779" w14:paraId="347E5569" w14:textId="77777777" w:rsidTr="00D6452A">
        <w:tc>
          <w:tcPr>
            <w:tcW w:w="5000" w:type="pct"/>
            <w:gridSpan w:val="3"/>
            <w:shd w:val="clear" w:color="auto" w:fill="00B050"/>
            <w:tcMar>
              <w:top w:w="57" w:type="dxa"/>
              <w:bottom w:w="57" w:type="dxa"/>
            </w:tcMar>
          </w:tcPr>
          <w:p w14:paraId="5D8AE4F4" w14:textId="77777777" w:rsidR="00877E27" w:rsidRPr="00831779" w:rsidRDefault="00877E27" w:rsidP="00877E27">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877E27" w:rsidRPr="00A075A3" w14:paraId="320D6A20" w14:textId="77777777" w:rsidTr="00D6452A">
        <w:tc>
          <w:tcPr>
            <w:tcW w:w="1447" w:type="pct"/>
            <w:gridSpan w:val="2"/>
            <w:shd w:val="clear" w:color="auto" w:fill="auto"/>
            <w:tcMar>
              <w:top w:w="57" w:type="dxa"/>
              <w:bottom w:w="57" w:type="dxa"/>
            </w:tcMar>
          </w:tcPr>
          <w:p w14:paraId="5C9007FC" w14:textId="77777777" w:rsidR="00877E27" w:rsidRDefault="00877E27" w:rsidP="00877E27">
            <w:pPr>
              <w:rPr>
                <w:rFonts w:cs="Arial"/>
                <w:szCs w:val="19"/>
              </w:rPr>
            </w:pPr>
            <w:r w:rsidRPr="000B179B">
              <w:rPr>
                <w:rFonts w:cs="Arial"/>
                <w:szCs w:val="19"/>
              </w:rPr>
              <w:t xml:space="preserve">Cefepime + </w:t>
            </w:r>
            <w:proofErr w:type="spellStart"/>
            <w:r w:rsidRPr="000B179B">
              <w:rPr>
                <w:rFonts w:cs="Arial"/>
                <w:szCs w:val="19"/>
              </w:rPr>
              <w:t>enmetazobactam</w:t>
            </w:r>
            <w:proofErr w:type="spellEnd"/>
            <w:r w:rsidRPr="000B179B">
              <w:rPr>
                <w:rFonts w:cs="Arial"/>
                <w:szCs w:val="19"/>
              </w:rPr>
              <w:t xml:space="preserve">  </w:t>
            </w:r>
          </w:p>
          <w:p w14:paraId="6D9F5EC7" w14:textId="1C8F289D" w:rsidR="00877E27" w:rsidRPr="00813950" w:rsidRDefault="00877E27" w:rsidP="00877E27">
            <w:pPr>
              <w:rPr>
                <w:rFonts w:cs="Arial"/>
                <w:szCs w:val="19"/>
              </w:rPr>
            </w:pPr>
            <w:r>
              <w:rPr>
                <w:rFonts w:cs="Arial"/>
                <w:szCs w:val="19"/>
              </w:rPr>
              <w:t>(</w:t>
            </w:r>
            <w:proofErr w:type="spellStart"/>
            <w:r>
              <w:rPr>
                <w:rFonts w:cs="Arial"/>
                <w:i/>
                <w:iCs/>
                <w:szCs w:val="19"/>
              </w:rPr>
              <w:t>Exblifep</w:t>
            </w:r>
            <w:proofErr w:type="spellEnd"/>
            <w:r>
              <w:rPr>
                <w:rFonts w:cs="Arial"/>
                <w:szCs w:val="19"/>
              </w:rPr>
              <w:t>)</w:t>
            </w:r>
          </w:p>
        </w:tc>
        <w:tc>
          <w:tcPr>
            <w:tcW w:w="3553" w:type="pct"/>
            <w:shd w:val="clear" w:color="auto" w:fill="auto"/>
            <w:tcMar>
              <w:top w:w="57" w:type="dxa"/>
              <w:bottom w:w="57" w:type="dxa"/>
            </w:tcMar>
          </w:tcPr>
          <w:p w14:paraId="1603FCFE" w14:textId="3B15CF40" w:rsidR="00877E27" w:rsidRPr="00A075A3" w:rsidRDefault="00877E27" w:rsidP="00877E27">
            <w:pPr>
              <w:tabs>
                <w:tab w:val="center" w:pos="3152"/>
              </w:tabs>
              <w:rPr>
                <w:rFonts w:cs="Arial"/>
                <w:szCs w:val="19"/>
                <w:lang w:val="en-US"/>
              </w:rPr>
            </w:pPr>
            <w:r w:rsidRPr="000B179B">
              <w:rPr>
                <w:rFonts w:cs="Arial"/>
                <w:szCs w:val="19"/>
                <w:lang w:val="en-US"/>
              </w:rPr>
              <w:t>Treatment of the following infections in adults: Complicated urinary tract infections including pyelonephritis</w:t>
            </w:r>
            <w:r>
              <w:rPr>
                <w:rFonts w:cs="Arial"/>
                <w:szCs w:val="19"/>
                <w:lang w:val="en-US"/>
              </w:rPr>
              <w:t>, h</w:t>
            </w:r>
            <w:r w:rsidRPr="000B179B">
              <w:rPr>
                <w:rFonts w:cs="Arial"/>
                <w:szCs w:val="19"/>
                <w:lang w:val="en-US"/>
              </w:rPr>
              <w:t xml:space="preserve">ospital-acquired pneumonia including ventilator associated pneumonia, </w:t>
            </w:r>
            <w:r>
              <w:rPr>
                <w:rFonts w:cs="Arial"/>
                <w:szCs w:val="19"/>
                <w:lang w:val="en-US"/>
              </w:rPr>
              <w:t>and tr</w:t>
            </w:r>
            <w:r w:rsidRPr="000B179B">
              <w:rPr>
                <w:rFonts w:cs="Arial"/>
                <w:szCs w:val="19"/>
                <w:lang w:val="en-US"/>
              </w:rPr>
              <w:t xml:space="preserve">eatment of patients with </w:t>
            </w:r>
            <w:proofErr w:type="spellStart"/>
            <w:r w:rsidRPr="000B179B">
              <w:rPr>
                <w:rFonts w:cs="Arial"/>
                <w:szCs w:val="19"/>
                <w:lang w:val="en-US"/>
              </w:rPr>
              <w:t>bacteraemia</w:t>
            </w:r>
            <w:proofErr w:type="spellEnd"/>
            <w:r w:rsidRPr="000B179B">
              <w:rPr>
                <w:rFonts w:cs="Arial"/>
                <w:szCs w:val="19"/>
                <w:lang w:val="en-US"/>
              </w:rPr>
              <w:t xml:space="preserve"> that occurs in association with, or is suspected to be associated with, any of the infections listed above</w:t>
            </w:r>
            <w:r>
              <w:rPr>
                <w:rFonts w:cs="Arial"/>
                <w:szCs w:val="19"/>
                <w:lang w:val="en-US"/>
              </w:rPr>
              <w:t xml:space="preserve"> </w:t>
            </w:r>
            <w:r w:rsidRPr="000B179B">
              <w:rPr>
                <w:rFonts w:cs="Arial"/>
                <w:sz w:val="16"/>
                <w:szCs w:val="16"/>
                <w:lang w:val="en-US"/>
              </w:rPr>
              <w:t>[EU]</w:t>
            </w:r>
          </w:p>
        </w:tc>
      </w:tr>
      <w:tr w:rsidR="00877E27" w:rsidRPr="000F19E1" w14:paraId="5AB15CB0" w14:textId="77777777" w:rsidTr="00D6452A">
        <w:tc>
          <w:tcPr>
            <w:tcW w:w="1447" w:type="pct"/>
            <w:gridSpan w:val="2"/>
            <w:shd w:val="clear" w:color="auto" w:fill="auto"/>
            <w:tcMar>
              <w:top w:w="0" w:type="dxa"/>
              <w:bottom w:w="0" w:type="dxa"/>
            </w:tcMar>
          </w:tcPr>
          <w:p w14:paraId="0CF3E557" w14:textId="77777777" w:rsidR="00877E27" w:rsidRPr="000F19E1" w:rsidRDefault="00877E27" w:rsidP="00877E27">
            <w:pPr>
              <w:rPr>
                <w:rFonts w:cs="Arial"/>
                <w:bCs/>
                <w:sz w:val="8"/>
                <w:szCs w:val="8"/>
              </w:rPr>
            </w:pPr>
          </w:p>
        </w:tc>
        <w:tc>
          <w:tcPr>
            <w:tcW w:w="3553" w:type="pct"/>
            <w:shd w:val="clear" w:color="auto" w:fill="auto"/>
            <w:tcMar>
              <w:top w:w="0" w:type="dxa"/>
              <w:bottom w:w="0" w:type="dxa"/>
            </w:tcMar>
          </w:tcPr>
          <w:p w14:paraId="03B1E52B" w14:textId="77777777" w:rsidR="00877E27" w:rsidRPr="000F19E1" w:rsidRDefault="00877E27" w:rsidP="00877E27">
            <w:pPr>
              <w:tabs>
                <w:tab w:val="center" w:pos="3152"/>
              </w:tabs>
              <w:rPr>
                <w:rFonts w:cs="Arial"/>
                <w:sz w:val="8"/>
                <w:szCs w:val="8"/>
                <w:lang w:val="en-US"/>
              </w:rPr>
            </w:pPr>
          </w:p>
        </w:tc>
      </w:tr>
      <w:tr w:rsidR="00877E27" w:rsidRPr="000F19E1" w14:paraId="6BBE03EE" w14:textId="77777777" w:rsidTr="00D6452A">
        <w:tc>
          <w:tcPr>
            <w:tcW w:w="1152" w:type="pct"/>
            <w:shd w:val="clear" w:color="auto" w:fill="DAEEF3"/>
            <w:tcMar>
              <w:top w:w="0" w:type="dxa"/>
              <w:bottom w:w="0" w:type="dxa"/>
            </w:tcMar>
          </w:tcPr>
          <w:p w14:paraId="613DC35F" w14:textId="77777777" w:rsidR="00877E27" w:rsidRPr="000F19E1" w:rsidRDefault="00877E27" w:rsidP="00877E27">
            <w:pPr>
              <w:rPr>
                <w:rFonts w:cs="Arial"/>
                <w:bCs/>
                <w:sz w:val="8"/>
                <w:szCs w:val="8"/>
              </w:rPr>
            </w:pPr>
          </w:p>
        </w:tc>
        <w:tc>
          <w:tcPr>
            <w:tcW w:w="3848" w:type="pct"/>
            <w:gridSpan w:val="2"/>
            <w:shd w:val="clear" w:color="auto" w:fill="DAEEF3"/>
            <w:tcMar>
              <w:top w:w="0" w:type="dxa"/>
              <w:bottom w:w="0" w:type="dxa"/>
            </w:tcMar>
          </w:tcPr>
          <w:p w14:paraId="197D01E2" w14:textId="77777777" w:rsidR="00877E27" w:rsidRPr="000F19E1" w:rsidRDefault="00877E27" w:rsidP="00877E27">
            <w:pPr>
              <w:tabs>
                <w:tab w:val="center" w:pos="3152"/>
              </w:tabs>
              <w:rPr>
                <w:rFonts w:cs="Arial"/>
                <w:sz w:val="8"/>
                <w:szCs w:val="8"/>
                <w:lang w:val="en-US"/>
              </w:rPr>
            </w:pPr>
          </w:p>
        </w:tc>
      </w:tr>
    </w:tbl>
    <w:p w14:paraId="133AAE3A" w14:textId="77777777" w:rsidR="0048777D" w:rsidRDefault="0048777D"/>
    <w:p w14:paraId="2DB9AFD4" w14:textId="77777777" w:rsidR="004A2928" w:rsidRDefault="004A2928"/>
    <w:p w14:paraId="755B52E5" w14:textId="77777777" w:rsidR="004A2928" w:rsidRDefault="004A2928"/>
    <w:p w14:paraId="22F4E85C" w14:textId="77777777" w:rsidR="004A2928" w:rsidRDefault="004A2928"/>
    <w:tbl>
      <w:tblPr>
        <w:tblW w:w="5170" w:type="pct"/>
        <w:tblInd w:w="-176" w:type="dxa"/>
        <w:tblLayout w:type="fixed"/>
        <w:tblLook w:val="01E0" w:firstRow="1" w:lastRow="1" w:firstColumn="1" w:lastColumn="1" w:noHBand="0" w:noVBand="0"/>
      </w:tblPr>
      <w:tblGrid>
        <w:gridCol w:w="2431"/>
        <w:gridCol w:w="580"/>
        <w:gridCol w:w="7540"/>
      </w:tblGrid>
      <w:tr w:rsidR="0021490D" w:rsidRPr="00862949" w14:paraId="5F69BA73" w14:textId="77777777" w:rsidTr="00D6452A">
        <w:tc>
          <w:tcPr>
            <w:tcW w:w="5000" w:type="pct"/>
            <w:gridSpan w:val="3"/>
            <w:shd w:val="clear" w:color="auto" w:fill="0070C0"/>
            <w:tcMar>
              <w:top w:w="85" w:type="dxa"/>
              <w:bottom w:w="85" w:type="dxa"/>
            </w:tcMar>
            <w:vAlign w:val="bottom"/>
          </w:tcPr>
          <w:p w14:paraId="4D3AAF73" w14:textId="77777777" w:rsidR="0021490D" w:rsidRPr="00862949" w:rsidRDefault="0021490D" w:rsidP="00D6452A">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1C3A55" w:rsidRPr="000F19E1" w14:paraId="32258705" w14:textId="77777777" w:rsidTr="00155BD9">
        <w:tc>
          <w:tcPr>
            <w:tcW w:w="1152" w:type="pct"/>
            <w:shd w:val="clear" w:color="auto" w:fill="DAEEF3"/>
            <w:tcMar>
              <w:top w:w="0" w:type="dxa"/>
              <w:bottom w:w="0" w:type="dxa"/>
            </w:tcMar>
          </w:tcPr>
          <w:p w14:paraId="7622A84A" w14:textId="77777777" w:rsidR="001C3A55" w:rsidRPr="000F19E1" w:rsidRDefault="001C3A55" w:rsidP="00510003">
            <w:pPr>
              <w:rPr>
                <w:rFonts w:cs="Arial"/>
                <w:bCs/>
                <w:sz w:val="8"/>
                <w:szCs w:val="8"/>
              </w:rPr>
            </w:pPr>
          </w:p>
        </w:tc>
        <w:tc>
          <w:tcPr>
            <w:tcW w:w="3848" w:type="pct"/>
            <w:gridSpan w:val="2"/>
            <w:shd w:val="clear" w:color="auto" w:fill="DAEEF3"/>
            <w:tcMar>
              <w:top w:w="0" w:type="dxa"/>
              <w:bottom w:w="0" w:type="dxa"/>
            </w:tcMar>
          </w:tcPr>
          <w:p w14:paraId="2A9F08E8" w14:textId="77777777" w:rsidR="001C3A55" w:rsidRPr="000F19E1" w:rsidRDefault="001C3A55" w:rsidP="00510003">
            <w:pPr>
              <w:tabs>
                <w:tab w:val="center" w:pos="3152"/>
              </w:tabs>
              <w:rPr>
                <w:rFonts w:cs="Arial"/>
                <w:sz w:val="8"/>
                <w:szCs w:val="8"/>
                <w:lang w:val="en-US"/>
              </w:rPr>
            </w:pPr>
          </w:p>
        </w:tc>
      </w:tr>
      <w:tr w:rsidR="001C3A55" w:rsidRPr="00433D3E" w14:paraId="40BDB4E7" w14:textId="77777777" w:rsidTr="00155BD9">
        <w:tc>
          <w:tcPr>
            <w:tcW w:w="5000" w:type="pct"/>
            <w:gridSpan w:val="3"/>
            <w:shd w:val="clear" w:color="auto" w:fill="00B050"/>
            <w:tcMar>
              <w:top w:w="57" w:type="dxa"/>
              <w:bottom w:w="57" w:type="dxa"/>
            </w:tcMar>
          </w:tcPr>
          <w:p w14:paraId="64B9A361" w14:textId="77777777" w:rsidR="001C3A55" w:rsidRPr="0021490D" w:rsidRDefault="001C3A55" w:rsidP="00B94311">
            <w:pPr>
              <w:rPr>
                <w:rFonts w:cs="Arial"/>
                <w:noProof/>
                <w:color w:val="FFFFFF"/>
                <w:sz w:val="16"/>
                <w:szCs w:val="16"/>
              </w:rPr>
            </w:pPr>
            <w:r>
              <w:rPr>
                <w:rFonts w:cs="Arial"/>
                <w:b/>
                <w:bCs/>
                <w:i/>
                <w:iCs/>
                <w:color w:val="FFFFFF"/>
                <w:sz w:val="22"/>
                <w:szCs w:val="20"/>
                <w:lang w:val="en-US"/>
              </w:rPr>
              <w:t xml:space="preserve">Recommended for approval in </w:t>
            </w:r>
            <w:r w:rsidRPr="00433D3E">
              <w:rPr>
                <w:rFonts w:cs="Arial"/>
                <w:b/>
                <w:bCs/>
                <w:i/>
                <w:iCs/>
                <w:color w:val="FFFFFF"/>
                <w:sz w:val="22"/>
                <w:szCs w:val="20"/>
                <w:lang w:val="en-US"/>
              </w:rPr>
              <w:t xml:space="preserve">the </w:t>
            </w:r>
            <w:r w:rsidR="0048777D">
              <w:rPr>
                <w:rFonts w:cs="Arial"/>
                <w:b/>
                <w:bCs/>
                <w:i/>
                <w:iCs/>
                <w:color w:val="FFFFFF"/>
                <w:sz w:val="22"/>
                <w:szCs w:val="20"/>
                <w:lang w:val="en-US"/>
              </w:rPr>
              <w:t>UK</w:t>
            </w:r>
            <w:r w:rsidR="00B94311">
              <w:rPr>
                <w:rFonts w:cs="Arial"/>
                <w:b/>
                <w:bCs/>
                <w:i/>
                <w:iCs/>
                <w:color w:val="FFFFFF"/>
                <w:sz w:val="22"/>
                <w:szCs w:val="20"/>
                <w:lang w:val="en-US"/>
              </w:rPr>
              <w:t xml:space="preserve"> or </w:t>
            </w:r>
            <w:r w:rsidRPr="00433D3E">
              <w:rPr>
                <w:rFonts w:cs="Arial"/>
                <w:b/>
                <w:bCs/>
                <w:i/>
                <w:iCs/>
                <w:color w:val="FFFFFF"/>
                <w:sz w:val="22"/>
                <w:szCs w:val="20"/>
                <w:lang w:val="en-US"/>
              </w:rPr>
              <w:t>EU</w:t>
            </w:r>
            <w:r w:rsidR="0021490D">
              <w:rPr>
                <w:rFonts w:cs="Arial"/>
                <w:b/>
                <w:bCs/>
                <w:i/>
                <w:iCs/>
                <w:color w:val="FFFFFF"/>
                <w:sz w:val="22"/>
                <w:szCs w:val="20"/>
                <w:lang w:val="en-US"/>
              </w:rPr>
              <w:t xml:space="preserve"> </w:t>
            </w:r>
            <w:r w:rsidR="0021490D" w:rsidRPr="0021490D">
              <w:rPr>
                <w:rFonts w:cs="Arial"/>
                <w:b/>
                <w:bCs/>
                <w:color w:val="FFFFFF"/>
                <w:sz w:val="16"/>
                <w:szCs w:val="14"/>
                <w:lang w:val="en-US"/>
              </w:rPr>
              <w:t>(continued)</w:t>
            </w:r>
          </w:p>
        </w:tc>
      </w:tr>
      <w:tr w:rsidR="004A2928" w:rsidRPr="00A075A3" w14:paraId="649D6A7D" w14:textId="77777777" w:rsidTr="004A2928">
        <w:tc>
          <w:tcPr>
            <w:tcW w:w="1427" w:type="pct"/>
            <w:gridSpan w:val="2"/>
            <w:shd w:val="clear" w:color="auto" w:fill="auto"/>
            <w:tcMar>
              <w:top w:w="57" w:type="dxa"/>
              <w:bottom w:w="57" w:type="dxa"/>
            </w:tcMar>
          </w:tcPr>
          <w:p w14:paraId="1DE21A5B" w14:textId="77777777" w:rsidR="004A2928" w:rsidRDefault="004A2928" w:rsidP="004A2928">
            <w:pPr>
              <w:rPr>
                <w:rFonts w:cs="Arial"/>
                <w:szCs w:val="19"/>
              </w:rPr>
            </w:pPr>
            <w:proofErr w:type="spellStart"/>
            <w:r w:rsidRPr="000B179B">
              <w:rPr>
                <w:rFonts w:cs="Arial"/>
                <w:szCs w:val="19"/>
              </w:rPr>
              <w:t>Efbemalenograstim</w:t>
            </w:r>
            <w:proofErr w:type="spellEnd"/>
            <w:r w:rsidRPr="000B179B">
              <w:rPr>
                <w:rFonts w:cs="Arial"/>
                <w:szCs w:val="19"/>
              </w:rPr>
              <w:t xml:space="preserve"> alfa </w:t>
            </w:r>
          </w:p>
          <w:p w14:paraId="334AB9CD" w14:textId="0619DD98" w:rsidR="004A2928" w:rsidRPr="00631375" w:rsidRDefault="004A2928" w:rsidP="004A2928">
            <w:pPr>
              <w:rPr>
                <w:rFonts w:cs="Arial"/>
                <w:szCs w:val="19"/>
              </w:rPr>
            </w:pPr>
            <w:r>
              <w:rPr>
                <w:rFonts w:cs="Arial"/>
                <w:szCs w:val="19"/>
              </w:rPr>
              <w:t>(</w:t>
            </w:r>
            <w:proofErr w:type="spellStart"/>
            <w:r w:rsidRPr="000B179B">
              <w:rPr>
                <w:rFonts w:cs="Arial"/>
                <w:i/>
                <w:iCs/>
                <w:szCs w:val="19"/>
              </w:rPr>
              <w:t>Ryzneuta</w:t>
            </w:r>
            <w:proofErr w:type="spellEnd"/>
            <w:r>
              <w:rPr>
                <w:rFonts w:cs="Arial"/>
                <w:szCs w:val="19"/>
              </w:rPr>
              <w:t>)</w:t>
            </w:r>
          </w:p>
        </w:tc>
        <w:tc>
          <w:tcPr>
            <w:tcW w:w="3573" w:type="pct"/>
            <w:shd w:val="clear" w:color="auto" w:fill="auto"/>
            <w:tcMar>
              <w:top w:w="57" w:type="dxa"/>
              <w:bottom w:w="57" w:type="dxa"/>
            </w:tcMar>
          </w:tcPr>
          <w:p w14:paraId="54C6AB10" w14:textId="2956BD1A" w:rsidR="004A2928" w:rsidRPr="00631375" w:rsidRDefault="004A2928" w:rsidP="004A2928">
            <w:pPr>
              <w:tabs>
                <w:tab w:val="center" w:pos="3152"/>
              </w:tabs>
              <w:rPr>
                <w:rFonts w:cs="Arial"/>
                <w:szCs w:val="19"/>
                <w:lang w:val="en-US"/>
              </w:rPr>
            </w:pPr>
            <w:r w:rsidRPr="000B179B">
              <w:rPr>
                <w:rFonts w:cs="Arial"/>
                <w:szCs w:val="19"/>
                <w:lang w:val="en-US"/>
              </w:rPr>
              <w:t>Reduction in the duration of neutropenia and the incidence of febrile neutropenia in adults treated with cytotoxic chemotherapy for malignancy (</w:t>
            </w:r>
            <w:proofErr w:type="gramStart"/>
            <w:r w:rsidRPr="000B179B">
              <w:rPr>
                <w:rFonts w:cs="Arial"/>
                <w:szCs w:val="19"/>
                <w:lang w:val="en-US"/>
              </w:rPr>
              <w:t>with the exception of</w:t>
            </w:r>
            <w:proofErr w:type="gramEnd"/>
            <w:r w:rsidRPr="000B179B">
              <w:rPr>
                <w:rFonts w:cs="Arial"/>
                <w:szCs w:val="19"/>
                <w:lang w:val="en-US"/>
              </w:rPr>
              <w:t xml:space="preserve"> chronic myeloid </w:t>
            </w:r>
            <w:proofErr w:type="spellStart"/>
            <w:r w:rsidRPr="000B179B">
              <w:rPr>
                <w:rFonts w:cs="Arial"/>
                <w:szCs w:val="19"/>
                <w:lang w:val="en-US"/>
              </w:rPr>
              <w:t>leukaemia</w:t>
            </w:r>
            <w:proofErr w:type="spellEnd"/>
            <w:r w:rsidRPr="000B179B">
              <w:rPr>
                <w:rFonts w:cs="Arial"/>
                <w:szCs w:val="19"/>
                <w:lang w:val="en-US"/>
              </w:rPr>
              <w:t xml:space="preserve"> and myelodysplastic syndromes)</w:t>
            </w:r>
            <w:r>
              <w:rPr>
                <w:rFonts w:cs="Arial"/>
                <w:szCs w:val="19"/>
                <w:lang w:val="en-US"/>
              </w:rPr>
              <w:t xml:space="preserve"> </w:t>
            </w:r>
            <w:r w:rsidRPr="000B179B">
              <w:rPr>
                <w:rFonts w:cs="Arial"/>
                <w:sz w:val="16"/>
                <w:szCs w:val="16"/>
                <w:lang w:val="en-US"/>
              </w:rPr>
              <w:t>[EU]</w:t>
            </w:r>
          </w:p>
        </w:tc>
      </w:tr>
      <w:tr w:rsidR="004A2928" w:rsidRPr="00A075A3" w14:paraId="31FFB425" w14:textId="77777777" w:rsidTr="004A2928">
        <w:tc>
          <w:tcPr>
            <w:tcW w:w="1427" w:type="pct"/>
            <w:gridSpan w:val="2"/>
            <w:shd w:val="clear" w:color="auto" w:fill="auto"/>
            <w:tcMar>
              <w:top w:w="57" w:type="dxa"/>
              <w:bottom w:w="57" w:type="dxa"/>
            </w:tcMar>
          </w:tcPr>
          <w:p w14:paraId="0B6488C1" w14:textId="77777777" w:rsidR="004A2928" w:rsidRDefault="004A2928" w:rsidP="004A2928">
            <w:pPr>
              <w:rPr>
                <w:rFonts w:cs="Arial"/>
                <w:szCs w:val="19"/>
              </w:rPr>
            </w:pPr>
            <w:proofErr w:type="spellStart"/>
            <w:r w:rsidRPr="00631375">
              <w:rPr>
                <w:rFonts w:cs="Arial"/>
                <w:szCs w:val="19"/>
              </w:rPr>
              <w:t>Idecabtagene</w:t>
            </w:r>
            <w:proofErr w:type="spellEnd"/>
            <w:r w:rsidRPr="00631375">
              <w:rPr>
                <w:rFonts w:cs="Arial"/>
                <w:szCs w:val="19"/>
              </w:rPr>
              <w:t xml:space="preserve"> </w:t>
            </w:r>
            <w:proofErr w:type="spellStart"/>
            <w:r w:rsidRPr="00631375">
              <w:rPr>
                <w:rFonts w:cs="Arial"/>
                <w:szCs w:val="19"/>
              </w:rPr>
              <w:t>vicleucel</w:t>
            </w:r>
            <w:proofErr w:type="spellEnd"/>
            <w:r w:rsidRPr="00631375">
              <w:rPr>
                <w:rFonts w:cs="Arial"/>
                <w:szCs w:val="19"/>
              </w:rPr>
              <w:t> </w:t>
            </w:r>
            <w:r>
              <w:rPr>
                <w:rFonts w:cs="Arial"/>
                <w:szCs w:val="19"/>
              </w:rPr>
              <w:t xml:space="preserve"> </w:t>
            </w:r>
          </w:p>
          <w:p w14:paraId="54C58F91" w14:textId="2ADF166D" w:rsidR="004A2928" w:rsidRDefault="004A2928" w:rsidP="004A2928">
            <w:pPr>
              <w:rPr>
                <w:rFonts w:cs="Arial"/>
                <w:szCs w:val="19"/>
              </w:rPr>
            </w:pPr>
            <w:r>
              <w:rPr>
                <w:rFonts w:cs="Arial"/>
                <w:szCs w:val="19"/>
              </w:rPr>
              <w:t>(</w:t>
            </w:r>
            <w:proofErr w:type="spellStart"/>
            <w:r w:rsidRPr="00631375">
              <w:rPr>
                <w:rFonts w:cs="Arial"/>
                <w:i/>
                <w:iCs/>
                <w:szCs w:val="19"/>
              </w:rPr>
              <w:t>Abecma</w:t>
            </w:r>
            <w:proofErr w:type="spellEnd"/>
            <w:r>
              <w:rPr>
                <w:rFonts w:cs="Arial"/>
                <w:szCs w:val="19"/>
              </w:rPr>
              <w:t>)</w:t>
            </w:r>
          </w:p>
        </w:tc>
        <w:tc>
          <w:tcPr>
            <w:tcW w:w="3573" w:type="pct"/>
            <w:shd w:val="clear" w:color="auto" w:fill="auto"/>
            <w:tcMar>
              <w:top w:w="57" w:type="dxa"/>
              <w:bottom w:w="57" w:type="dxa"/>
            </w:tcMar>
          </w:tcPr>
          <w:p w14:paraId="3A217E86" w14:textId="4B6C23EC" w:rsidR="004A2928" w:rsidRPr="00A6646F" w:rsidRDefault="004A2928" w:rsidP="004A2928">
            <w:pPr>
              <w:tabs>
                <w:tab w:val="center" w:pos="3152"/>
              </w:tabs>
              <w:rPr>
                <w:rFonts w:cs="Arial"/>
                <w:szCs w:val="19"/>
                <w:lang w:val="en-US"/>
              </w:rPr>
            </w:pPr>
            <w:r w:rsidRPr="00631375">
              <w:rPr>
                <w:rFonts w:cs="Arial"/>
                <w:szCs w:val="19"/>
                <w:lang w:val="en-US"/>
              </w:rPr>
              <w:t>Treatment of adults with relapsed and refractory multiple myeloma who have received at least two prior therapies, including an immunomodulatory agent, a proteasome inhibitor and an anti CD38 antibody and have demonstrated disease progression on the last therapy</w:t>
            </w:r>
            <w:r>
              <w:rPr>
                <w:rFonts w:cs="Arial"/>
                <w:szCs w:val="19"/>
                <w:lang w:val="en-US"/>
              </w:rPr>
              <w:t xml:space="preserve"> </w:t>
            </w:r>
            <w:r w:rsidRPr="00631375">
              <w:rPr>
                <w:rFonts w:cs="Arial"/>
                <w:sz w:val="16"/>
                <w:szCs w:val="16"/>
                <w:lang w:val="en-US"/>
              </w:rPr>
              <w:t>[EU] [licence change from use only after three prior therapies]</w:t>
            </w:r>
          </w:p>
        </w:tc>
      </w:tr>
      <w:tr w:rsidR="004A2928" w:rsidRPr="00A075A3" w14:paraId="26F00B7F" w14:textId="77777777" w:rsidTr="004A2928">
        <w:tc>
          <w:tcPr>
            <w:tcW w:w="1427" w:type="pct"/>
            <w:gridSpan w:val="2"/>
            <w:shd w:val="clear" w:color="auto" w:fill="auto"/>
            <w:tcMar>
              <w:top w:w="57" w:type="dxa"/>
              <w:bottom w:w="57" w:type="dxa"/>
            </w:tcMar>
          </w:tcPr>
          <w:p w14:paraId="358A5321" w14:textId="2133D2E7" w:rsidR="004A2928" w:rsidRPr="00A6646F" w:rsidRDefault="004A2928" w:rsidP="004A2928">
            <w:pPr>
              <w:rPr>
                <w:rFonts w:cs="Arial"/>
                <w:szCs w:val="19"/>
              </w:rPr>
            </w:pPr>
            <w:r>
              <w:rPr>
                <w:rFonts w:cs="Arial"/>
                <w:szCs w:val="19"/>
              </w:rPr>
              <w:t>Latanoprost (</w:t>
            </w:r>
            <w:proofErr w:type="spellStart"/>
            <w:r>
              <w:rPr>
                <w:rFonts w:cs="Arial"/>
                <w:i/>
                <w:iCs/>
                <w:szCs w:val="19"/>
              </w:rPr>
              <w:t>Catiolanze</w:t>
            </w:r>
            <w:proofErr w:type="spellEnd"/>
            <w:r>
              <w:rPr>
                <w:rFonts w:cs="Arial"/>
                <w:szCs w:val="19"/>
              </w:rPr>
              <w:t>)</w:t>
            </w:r>
          </w:p>
        </w:tc>
        <w:tc>
          <w:tcPr>
            <w:tcW w:w="3573" w:type="pct"/>
            <w:shd w:val="clear" w:color="auto" w:fill="auto"/>
            <w:tcMar>
              <w:top w:w="57" w:type="dxa"/>
              <w:bottom w:w="57" w:type="dxa"/>
            </w:tcMar>
          </w:tcPr>
          <w:p w14:paraId="7D7B84B7" w14:textId="77777777" w:rsidR="004A2928" w:rsidRDefault="004A2928" w:rsidP="004A2928">
            <w:pPr>
              <w:tabs>
                <w:tab w:val="center" w:pos="3152"/>
              </w:tabs>
              <w:rPr>
                <w:rFonts w:cs="Arial"/>
                <w:sz w:val="16"/>
                <w:szCs w:val="16"/>
                <w:lang w:val="en-US"/>
              </w:rPr>
            </w:pPr>
            <w:r w:rsidRPr="00A6646F">
              <w:rPr>
                <w:rFonts w:cs="Arial"/>
                <w:szCs w:val="19"/>
                <w:lang w:val="en-US"/>
              </w:rPr>
              <w:t xml:space="preserve">Reduction of elevated intraocular pressure (IOP) in adults with open angle glaucoma or ocular hypertension and reduction of elevated IOP in children </w:t>
            </w:r>
            <w:r>
              <w:rPr>
                <w:rFonts w:cs="Arial"/>
                <w:szCs w:val="19"/>
                <w:lang w:val="en-US"/>
              </w:rPr>
              <w:t>aged ≥</w:t>
            </w:r>
            <w:r w:rsidRPr="00A6646F">
              <w:rPr>
                <w:rFonts w:cs="Arial"/>
                <w:szCs w:val="19"/>
                <w:lang w:val="en-US"/>
              </w:rPr>
              <w:t>4 years and adolescents with elevated IOP and paediatric glaucoma</w:t>
            </w:r>
            <w:r>
              <w:rPr>
                <w:rFonts w:cs="Arial"/>
                <w:szCs w:val="19"/>
                <w:lang w:val="en-US"/>
              </w:rPr>
              <w:t xml:space="preserve"> </w:t>
            </w:r>
            <w:r w:rsidRPr="00A6646F">
              <w:rPr>
                <w:rFonts w:cs="Arial"/>
                <w:sz w:val="16"/>
                <w:szCs w:val="16"/>
                <w:lang w:val="en-US"/>
              </w:rPr>
              <w:t xml:space="preserve">[EU] </w:t>
            </w:r>
          </w:p>
          <w:p w14:paraId="16A3DA07" w14:textId="6D05402A" w:rsidR="004A2928" w:rsidRPr="00A075A3" w:rsidRDefault="004A2928" w:rsidP="004A2928">
            <w:pPr>
              <w:tabs>
                <w:tab w:val="center" w:pos="3152"/>
              </w:tabs>
              <w:rPr>
                <w:rFonts w:cs="Arial"/>
                <w:szCs w:val="19"/>
                <w:lang w:val="en-US"/>
              </w:rPr>
            </w:pPr>
            <w:r w:rsidRPr="00A6646F">
              <w:rPr>
                <w:rFonts w:cs="Arial"/>
                <w:sz w:val="16"/>
                <w:szCs w:val="16"/>
                <w:lang w:val="en-US"/>
              </w:rPr>
              <w:t xml:space="preserve">[new </w:t>
            </w:r>
            <w:proofErr w:type="spellStart"/>
            <w:r w:rsidRPr="00A6646F">
              <w:rPr>
                <w:rFonts w:cs="Arial"/>
                <w:sz w:val="16"/>
                <w:szCs w:val="16"/>
                <w:lang w:val="en-US"/>
              </w:rPr>
              <w:t>benzalkonimum</w:t>
            </w:r>
            <w:proofErr w:type="spellEnd"/>
            <w:r w:rsidRPr="00A6646F">
              <w:rPr>
                <w:rFonts w:cs="Arial"/>
                <w:sz w:val="16"/>
                <w:szCs w:val="16"/>
                <w:lang w:val="en-US"/>
              </w:rPr>
              <w:t xml:space="preserve"> chloride-free formulation]</w:t>
            </w:r>
          </w:p>
        </w:tc>
      </w:tr>
      <w:tr w:rsidR="004A2928" w:rsidRPr="00A075A3" w14:paraId="256A62A4" w14:textId="77777777" w:rsidTr="004A2928">
        <w:tc>
          <w:tcPr>
            <w:tcW w:w="1427" w:type="pct"/>
            <w:gridSpan w:val="2"/>
            <w:shd w:val="clear" w:color="auto" w:fill="auto"/>
            <w:tcMar>
              <w:top w:w="57" w:type="dxa"/>
              <w:bottom w:w="57" w:type="dxa"/>
            </w:tcMar>
          </w:tcPr>
          <w:p w14:paraId="61F5CF84" w14:textId="4D7263AF" w:rsidR="004A2928" w:rsidRPr="003825DA" w:rsidRDefault="004A2928" w:rsidP="004A2928">
            <w:pPr>
              <w:rPr>
                <w:rFonts w:cs="Arial"/>
                <w:szCs w:val="19"/>
              </w:rPr>
            </w:pPr>
            <w:proofErr w:type="spellStart"/>
            <w:r w:rsidRPr="003825DA">
              <w:rPr>
                <w:rFonts w:cs="Arial"/>
                <w:szCs w:val="19"/>
              </w:rPr>
              <w:t>Pegcetacoplan</w:t>
            </w:r>
            <w:proofErr w:type="spellEnd"/>
            <w:r>
              <w:rPr>
                <w:rFonts w:cs="Arial"/>
                <w:szCs w:val="19"/>
              </w:rPr>
              <w:t xml:space="preserve"> (</w:t>
            </w:r>
            <w:proofErr w:type="spellStart"/>
            <w:r>
              <w:rPr>
                <w:rFonts w:cs="Arial"/>
                <w:i/>
                <w:iCs/>
                <w:szCs w:val="19"/>
              </w:rPr>
              <w:t>Aspaveli</w:t>
            </w:r>
            <w:proofErr w:type="spellEnd"/>
            <w:r>
              <w:rPr>
                <w:rFonts w:cs="Arial"/>
                <w:szCs w:val="19"/>
              </w:rPr>
              <w:t>)</w:t>
            </w:r>
          </w:p>
        </w:tc>
        <w:tc>
          <w:tcPr>
            <w:tcW w:w="3573" w:type="pct"/>
            <w:shd w:val="clear" w:color="auto" w:fill="auto"/>
            <w:tcMar>
              <w:top w:w="57" w:type="dxa"/>
              <w:bottom w:w="57" w:type="dxa"/>
            </w:tcMar>
          </w:tcPr>
          <w:p w14:paraId="58DDD58B" w14:textId="77777777" w:rsidR="004A2928" w:rsidRDefault="004A2928" w:rsidP="004A2928">
            <w:pPr>
              <w:tabs>
                <w:tab w:val="center" w:pos="3152"/>
              </w:tabs>
              <w:rPr>
                <w:rFonts w:cs="Arial"/>
                <w:sz w:val="16"/>
                <w:szCs w:val="16"/>
                <w:lang w:val="en-US"/>
              </w:rPr>
            </w:pPr>
            <w:r>
              <w:rPr>
                <w:rFonts w:cs="Arial"/>
                <w:szCs w:val="19"/>
                <w:lang w:val="en-US"/>
              </w:rPr>
              <w:t xml:space="preserve">Use </w:t>
            </w:r>
            <w:r w:rsidRPr="003825DA">
              <w:rPr>
                <w:rFonts w:cs="Arial"/>
                <w:szCs w:val="19"/>
                <w:lang w:val="en-US"/>
              </w:rPr>
              <w:t xml:space="preserve">as monotherapy in the treatment of adults with paroxysmal nocturnal </w:t>
            </w:r>
            <w:proofErr w:type="spellStart"/>
            <w:r w:rsidRPr="003825DA">
              <w:rPr>
                <w:rFonts w:cs="Arial"/>
                <w:szCs w:val="19"/>
                <w:lang w:val="en-US"/>
              </w:rPr>
              <w:t>haemoglobinuria</w:t>
            </w:r>
            <w:proofErr w:type="spellEnd"/>
            <w:r w:rsidRPr="003825DA">
              <w:rPr>
                <w:rFonts w:cs="Arial"/>
                <w:szCs w:val="19"/>
                <w:lang w:val="en-US"/>
              </w:rPr>
              <w:t xml:space="preserve"> who have </w:t>
            </w:r>
            <w:proofErr w:type="spellStart"/>
            <w:r w:rsidRPr="003825DA">
              <w:rPr>
                <w:rFonts w:cs="Arial"/>
                <w:szCs w:val="19"/>
                <w:lang w:val="en-US"/>
              </w:rPr>
              <w:t>haemolytic</w:t>
            </w:r>
            <w:proofErr w:type="spellEnd"/>
            <w:r w:rsidRPr="003825DA">
              <w:rPr>
                <w:rFonts w:cs="Arial"/>
                <w:szCs w:val="19"/>
                <w:lang w:val="en-US"/>
              </w:rPr>
              <w:t xml:space="preserve"> </w:t>
            </w:r>
            <w:proofErr w:type="spellStart"/>
            <w:r w:rsidRPr="003825DA">
              <w:rPr>
                <w:rFonts w:cs="Arial"/>
                <w:szCs w:val="19"/>
                <w:lang w:val="en-US"/>
              </w:rPr>
              <w:t>anaemia</w:t>
            </w:r>
            <w:proofErr w:type="spellEnd"/>
            <w:r>
              <w:rPr>
                <w:rFonts w:cs="Arial"/>
                <w:szCs w:val="19"/>
                <w:lang w:val="en-US"/>
              </w:rPr>
              <w:t xml:space="preserve"> </w:t>
            </w:r>
            <w:r>
              <w:rPr>
                <w:rFonts w:cs="Arial"/>
                <w:sz w:val="16"/>
                <w:szCs w:val="16"/>
                <w:lang w:val="en-US"/>
              </w:rPr>
              <w:t>[</w:t>
            </w:r>
            <w:r w:rsidRPr="003825DA">
              <w:rPr>
                <w:rFonts w:cs="Arial"/>
                <w:sz w:val="16"/>
                <w:szCs w:val="16"/>
                <w:lang w:val="en-US"/>
              </w:rPr>
              <w:t xml:space="preserve">EU] </w:t>
            </w:r>
          </w:p>
          <w:p w14:paraId="2E26E6A0" w14:textId="6C49736C" w:rsidR="004A2928" w:rsidRDefault="004A2928" w:rsidP="004A2928">
            <w:pPr>
              <w:tabs>
                <w:tab w:val="center" w:pos="3152"/>
              </w:tabs>
              <w:rPr>
                <w:rFonts w:cs="Arial"/>
                <w:szCs w:val="19"/>
                <w:lang w:val="en-US"/>
              </w:rPr>
            </w:pPr>
            <w:r w:rsidRPr="003825DA">
              <w:rPr>
                <w:rFonts w:cs="Arial"/>
                <w:sz w:val="16"/>
                <w:szCs w:val="16"/>
                <w:lang w:val="en-US"/>
              </w:rPr>
              <w:t>[licence change from use only after 3 months of treatment with a C5 inhibitor]</w:t>
            </w:r>
          </w:p>
        </w:tc>
      </w:tr>
      <w:tr w:rsidR="004A2928" w14:paraId="1E0DEF67" w14:textId="77777777" w:rsidTr="004A2928">
        <w:tc>
          <w:tcPr>
            <w:tcW w:w="1427" w:type="pct"/>
            <w:gridSpan w:val="2"/>
            <w:shd w:val="clear" w:color="auto" w:fill="auto"/>
            <w:tcMar>
              <w:top w:w="57" w:type="dxa"/>
              <w:bottom w:w="57" w:type="dxa"/>
            </w:tcMar>
          </w:tcPr>
          <w:p w14:paraId="7D56F13C" w14:textId="03C85672" w:rsidR="004A2928" w:rsidRPr="009352CE" w:rsidRDefault="004A2928" w:rsidP="004A2928">
            <w:pPr>
              <w:rPr>
                <w:rFonts w:cs="Arial"/>
                <w:szCs w:val="19"/>
              </w:rPr>
            </w:pPr>
            <w:r w:rsidRPr="009352CE">
              <w:rPr>
                <w:rFonts w:cs="Arial"/>
                <w:szCs w:val="19"/>
              </w:rPr>
              <w:t>Pneumococcal conjugate vaccine </w:t>
            </w:r>
            <w:r>
              <w:rPr>
                <w:rFonts w:cs="Arial"/>
                <w:szCs w:val="19"/>
              </w:rPr>
              <w:t>(</w:t>
            </w:r>
            <w:r>
              <w:rPr>
                <w:rFonts w:cs="Arial"/>
                <w:i/>
                <w:iCs/>
                <w:szCs w:val="19"/>
              </w:rPr>
              <w:t>Prevenar 20</w:t>
            </w:r>
            <w:r>
              <w:rPr>
                <w:rFonts w:cs="Arial"/>
                <w:szCs w:val="19"/>
              </w:rPr>
              <w:t>)</w:t>
            </w:r>
          </w:p>
        </w:tc>
        <w:tc>
          <w:tcPr>
            <w:tcW w:w="3573" w:type="pct"/>
            <w:shd w:val="clear" w:color="auto" w:fill="auto"/>
            <w:tcMar>
              <w:top w:w="57" w:type="dxa"/>
              <w:bottom w:w="57" w:type="dxa"/>
            </w:tcMar>
          </w:tcPr>
          <w:p w14:paraId="0B718BD4" w14:textId="01EF39C6" w:rsidR="004A2928" w:rsidRDefault="004A2928" w:rsidP="004A2928">
            <w:pPr>
              <w:tabs>
                <w:tab w:val="center" w:pos="3152"/>
              </w:tabs>
              <w:rPr>
                <w:rFonts w:cs="Arial"/>
                <w:szCs w:val="19"/>
                <w:lang w:val="en-US"/>
              </w:rPr>
            </w:pPr>
            <w:r w:rsidRPr="009352CE">
              <w:rPr>
                <w:rFonts w:cs="Arial"/>
                <w:szCs w:val="19"/>
                <w:lang w:val="en-US"/>
              </w:rPr>
              <w:t xml:space="preserve">Active immunisation for the prevention of invasive disease, pneumonia and acute otitis media caused by </w:t>
            </w:r>
            <w:r w:rsidRPr="009352CE">
              <w:rPr>
                <w:rFonts w:cs="Arial"/>
                <w:i/>
                <w:iCs/>
                <w:szCs w:val="19"/>
                <w:lang w:val="en-US"/>
              </w:rPr>
              <w:t>Streptococcus pneumoniae</w:t>
            </w:r>
            <w:r w:rsidRPr="009352CE">
              <w:rPr>
                <w:rFonts w:cs="Arial"/>
                <w:szCs w:val="19"/>
                <w:lang w:val="en-US"/>
              </w:rPr>
              <w:t xml:space="preserve"> in infants, children and adolescents </w:t>
            </w:r>
            <w:r>
              <w:rPr>
                <w:rFonts w:cs="Arial"/>
                <w:szCs w:val="19"/>
                <w:lang w:val="en-US"/>
              </w:rPr>
              <w:t>aged</w:t>
            </w:r>
            <w:r w:rsidRPr="009352CE">
              <w:rPr>
                <w:rFonts w:cs="Arial"/>
                <w:szCs w:val="19"/>
                <w:lang w:val="en-US"/>
              </w:rPr>
              <w:t xml:space="preserve"> 6 weeks to </w:t>
            </w:r>
            <w:r>
              <w:rPr>
                <w:rFonts w:cs="Arial"/>
                <w:szCs w:val="19"/>
                <w:lang w:val="en-US"/>
              </w:rPr>
              <w:t>&lt;</w:t>
            </w:r>
            <w:r w:rsidRPr="009352CE">
              <w:rPr>
                <w:rFonts w:cs="Arial"/>
                <w:szCs w:val="19"/>
                <w:lang w:val="en-US"/>
              </w:rPr>
              <w:t xml:space="preserve">18 years </w:t>
            </w:r>
            <w:r w:rsidRPr="009352CE">
              <w:rPr>
                <w:rFonts w:cs="Arial"/>
                <w:sz w:val="16"/>
                <w:szCs w:val="16"/>
                <w:lang w:val="en-US"/>
              </w:rPr>
              <w:t xml:space="preserve">[EU] [new indication and new brand name, was </w:t>
            </w:r>
            <w:proofErr w:type="spellStart"/>
            <w:r w:rsidRPr="009352CE">
              <w:rPr>
                <w:rFonts w:cs="Arial"/>
                <w:i/>
                <w:iCs/>
                <w:sz w:val="16"/>
                <w:szCs w:val="16"/>
                <w:lang w:val="en-US"/>
              </w:rPr>
              <w:t>Apexxnar</w:t>
            </w:r>
            <w:proofErr w:type="spellEnd"/>
            <w:r w:rsidRPr="009352CE">
              <w:rPr>
                <w:rFonts w:cs="Arial"/>
                <w:sz w:val="16"/>
                <w:szCs w:val="16"/>
                <w:lang w:val="en-US"/>
              </w:rPr>
              <w:t>]</w:t>
            </w:r>
          </w:p>
        </w:tc>
      </w:tr>
      <w:tr w:rsidR="004A2928" w:rsidRPr="00A075A3" w14:paraId="5675AB29" w14:textId="77777777" w:rsidTr="004A2928">
        <w:tc>
          <w:tcPr>
            <w:tcW w:w="1427" w:type="pct"/>
            <w:gridSpan w:val="2"/>
            <w:shd w:val="clear" w:color="auto" w:fill="auto"/>
            <w:tcMar>
              <w:top w:w="57" w:type="dxa"/>
              <w:bottom w:w="57" w:type="dxa"/>
            </w:tcMar>
          </w:tcPr>
          <w:p w14:paraId="17A5FC6A" w14:textId="7C574021" w:rsidR="004A2928" w:rsidRPr="007C23DF" w:rsidRDefault="004A2928" w:rsidP="004A2928">
            <w:pPr>
              <w:rPr>
                <w:rFonts w:cs="Arial"/>
                <w:szCs w:val="19"/>
              </w:rPr>
            </w:pPr>
            <w:proofErr w:type="spellStart"/>
            <w:r w:rsidRPr="007C23DF">
              <w:rPr>
                <w:rFonts w:cs="Arial"/>
                <w:szCs w:val="19"/>
              </w:rPr>
              <w:t>Selpercatinib</w:t>
            </w:r>
            <w:proofErr w:type="spellEnd"/>
            <w:r>
              <w:rPr>
                <w:rFonts w:cs="Arial"/>
                <w:szCs w:val="19"/>
              </w:rPr>
              <w:t xml:space="preserve"> (</w:t>
            </w:r>
            <w:proofErr w:type="spellStart"/>
            <w:r>
              <w:rPr>
                <w:rFonts w:cs="Arial"/>
                <w:i/>
                <w:iCs/>
                <w:szCs w:val="19"/>
              </w:rPr>
              <w:t>Retsevmo</w:t>
            </w:r>
            <w:proofErr w:type="spellEnd"/>
            <w:r>
              <w:rPr>
                <w:rFonts w:cs="Arial"/>
                <w:szCs w:val="19"/>
              </w:rPr>
              <w:t>)</w:t>
            </w:r>
          </w:p>
        </w:tc>
        <w:tc>
          <w:tcPr>
            <w:tcW w:w="3573" w:type="pct"/>
            <w:shd w:val="clear" w:color="auto" w:fill="auto"/>
            <w:tcMar>
              <w:top w:w="57" w:type="dxa"/>
              <w:bottom w:w="57" w:type="dxa"/>
            </w:tcMar>
          </w:tcPr>
          <w:p w14:paraId="55D1389C" w14:textId="64D55E25" w:rsidR="004A2928" w:rsidRDefault="004A2928" w:rsidP="004A2928">
            <w:pPr>
              <w:tabs>
                <w:tab w:val="num" w:pos="720"/>
                <w:tab w:val="center" w:pos="3152"/>
              </w:tabs>
              <w:rPr>
                <w:rFonts w:cs="Arial"/>
                <w:szCs w:val="19"/>
                <w:lang w:val="en-US"/>
              </w:rPr>
            </w:pPr>
            <w:r>
              <w:rPr>
                <w:rFonts w:cs="Arial"/>
                <w:szCs w:val="19"/>
                <w:lang w:val="en-US"/>
              </w:rPr>
              <w:t xml:space="preserve">Use as </w:t>
            </w:r>
            <w:r w:rsidRPr="007C23DF">
              <w:rPr>
                <w:rFonts w:cs="Arial"/>
                <w:szCs w:val="19"/>
                <w:lang w:val="en-US"/>
              </w:rPr>
              <w:t xml:space="preserve">monotherapy for the treatment of adults and adolescents </w:t>
            </w:r>
            <w:r>
              <w:rPr>
                <w:rFonts w:cs="Arial"/>
                <w:szCs w:val="19"/>
                <w:lang w:val="en-US"/>
              </w:rPr>
              <w:t>aged ≥</w:t>
            </w:r>
            <w:r w:rsidRPr="007C23DF">
              <w:rPr>
                <w:rFonts w:cs="Arial"/>
                <w:szCs w:val="19"/>
                <w:lang w:val="en-US"/>
              </w:rPr>
              <w:t xml:space="preserve">12 years </w:t>
            </w:r>
            <w:r>
              <w:rPr>
                <w:rFonts w:cs="Arial"/>
                <w:szCs w:val="19"/>
                <w:lang w:val="en-US"/>
              </w:rPr>
              <w:t xml:space="preserve">with </w:t>
            </w:r>
            <w:r w:rsidRPr="007C23DF">
              <w:rPr>
                <w:rFonts w:cs="Arial"/>
                <w:szCs w:val="19"/>
                <w:lang w:val="en-US"/>
              </w:rPr>
              <w:t>advanced RET fusion-positive thyroid cancer who are radioactive iodine-refractory (if radioactive iodine is appropriate)</w:t>
            </w:r>
            <w:r>
              <w:rPr>
                <w:rFonts w:cs="Arial"/>
                <w:szCs w:val="19"/>
                <w:lang w:val="en-US"/>
              </w:rPr>
              <w:t xml:space="preserve"> </w:t>
            </w:r>
            <w:r w:rsidRPr="007C23DF">
              <w:rPr>
                <w:rFonts w:cs="Arial"/>
                <w:sz w:val="16"/>
                <w:szCs w:val="16"/>
                <w:lang w:val="en-US"/>
              </w:rPr>
              <w:t>[EU] [new indication]</w:t>
            </w:r>
          </w:p>
        </w:tc>
      </w:tr>
      <w:tr w:rsidR="004A2928" w:rsidRPr="000F19E1" w14:paraId="1908EF83" w14:textId="77777777" w:rsidTr="004A2928">
        <w:tc>
          <w:tcPr>
            <w:tcW w:w="1427" w:type="pct"/>
            <w:gridSpan w:val="2"/>
            <w:shd w:val="clear" w:color="auto" w:fill="auto"/>
            <w:tcMar>
              <w:top w:w="0" w:type="dxa"/>
              <w:bottom w:w="0" w:type="dxa"/>
            </w:tcMar>
          </w:tcPr>
          <w:p w14:paraId="7AB28996" w14:textId="77777777" w:rsidR="004A2928" w:rsidRPr="000F19E1" w:rsidRDefault="004A2928" w:rsidP="004A2928">
            <w:pPr>
              <w:rPr>
                <w:rFonts w:cs="Arial"/>
                <w:bCs/>
                <w:sz w:val="8"/>
                <w:szCs w:val="8"/>
              </w:rPr>
            </w:pPr>
          </w:p>
        </w:tc>
        <w:tc>
          <w:tcPr>
            <w:tcW w:w="3573" w:type="pct"/>
            <w:shd w:val="clear" w:color="auto" w:fill="auto"/>
            <w:tcMar>
              <w:top w:w="0" w:type="dxa"/>
              <w:bottom w:w="0" w:type="dxa"/>
            </w:tcMar>
          </w:tcPr>
          <w:p w14:paraId="2E554A1C" w14:textId="77777777" w:rsidR="004A2928" w:rsidRPr="000F19E1" w:rsidRDefault="004A2928" w:rsidP="004A2928">
            <w:pPr>
              <w:tabs>
                <w:tab w:val="center" w:pos="3152"/>
              </w:tabs>
              <w:rPr>
                <w:rFonts w:cs="Arial"/>
                <w:sz w:val="8"/>
                <w:szCs w:val="8"/>
                <w:lang w:val="en-US"/>
              </w:rPr>
            </w:pPr>
          </w:p>
        </w:tc>
      </w:tr>
      <w:tr w:rsidR="004A2928" w:rsidRPr="000F19E1" w14:paraId="5FBB7DB6" w14:textId="77777777" w:rsidTr="00155BD9">
        <w:tc>
          <w:tcPr>
            <w:tcW w:w="1152" w:type="pct"/>
            <w:shd w:val="clear" w:color="auto" w:fill="DAEEF3"/>
            <w:tcMar>
              <w:top w:w="0" w:type="dxa"/>
              <w:bottom w:w="0" w:type="dxa"/>
            </w:tcMar>
          </w:tcPr>
          <w:p w14:paraId="06D9382E" w14:textId="77777777" w:rsidR="004A2928" w:rsidRPr="000F19E1" w:rsidRDefault="004A2928" w:rsidP="004A2928">
            <w:pPr>
              <w:rPr>
                <w:rFonts w:cs="Arial"/>
                <w:bCs/>
                <w:sz w:val="8"/>
                <w:szCs w:val="8"/>
              </w:rPr>
            </w:pPr>
          </w:p>
        </w:tc>
        <w:tc>
          <w:tcPr>
            <w:tcW w:w="3848" w:type="pct"/>
            <w:gridSpan w:val="2"/>
            <w:shd w:val="clear" w:color="auto" w:fill="DAEEF3"/>
            <w:tcMar>
              <w:top w:w="0" w:type="dxa"/>
              <w:bottom w:w="0" w:type="dxa"/>
            </w:tcMar>
          </w:tcPr>
          <w:p w14:paraId="564CEA0B" w14:textId="77777777" w:rsidR="004A2928" w:rsidRPr="000F19E1" w:rsidRDefault="004A2928" w:rsidP="004A2928">
            <w:pPr>
              <w:tabs>
                <w:tab w:val="center" w:pos="3152"/>
              </w:tabs>
              <w:rPr>
                <w:rFonts w:cs="Arial"/>
                <w:sz w:val="8"/>
                <w:szCs w:val="8"/>
                <w:lang w:val="en-US"/>
              </w:rPr>
            </w:pPr>
          </w:p>
        </w:tc>
      </w:tr>
      <w:tr w:rsidR="004A2928" w:rsidRPr="00433D3E" w14:paraId="4A71BBE9" w14:textId="77777777" w:rsidTr="00155BD9">
        <w:tc>
          <w:tcPr>
            <w:tcW w:w="5000" w:type="pct"/>
            <w:gridSpan w:val="3"/>
            <w:shd w:val="clear" w:color="auto" w:fill="00B050"/>
            <w:tcMar>
              <w:top w:w="57" w:type="dxa"/>
              <w:bottom w:w="57" w:type="dxa"/>
            </w:tcMar>
          </w:tcPr>
          <w:p w14:paraId="36D2A787" w14:textId="77777777" w:rsidR="004A2928" w:rsidRPr="00433D3E" w:rsidRDefault="004A2928" w:rsidP="004A2928">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p>
        </w:tc>
      </w:tr>
      <w:tr w:rsidR="004A2928" w:rsidRPr="00A075A3" w14:paraId="308E2484" w14:textId="77777777" w:rsidTr="004A2928">
        <w:tc>
          <w:tcPr>
            <w:tcW w:w="1427" w:type="pct"/>
            <w:gridSpan w:val="2"/>
            <w:shd w:val="clear" w:color="auto" w:fill="auto"/>
            <w:tcMar>
              <w:top w:w="57" w:type="dxa"/>
              <w:bottom w:w="57" w:type="dxa"/>
            </w:tcMar>
          </w:tcPr>
          <w:p w14:paraId="2AE4F17F" w14:textId="4FE76365" w:rsidR="004A2928" w:rsidRDefault="004A2928" w:rsidP="004A2928">
            <w:pPr>
              <w:rPr>
                <w:rFonts w:cs="Arial"/>
                <w:szCs w:val="19"/>
              </w:rPr>
            </w:pPr>
            <w:r w:rsidRPr="005D56FC">
              <w:rPr>
                <w:rFonts w:cs="Arial"/>
                <w:szCs w:val="19"/>
              </w:rPr>
              <w:t xml:space="preserve">Aflibercept biosimilar </w:t>
            </w:r>
            <w:r>
              <w:rPr>
                <w:rFonts w:cs="Arial"/>
                <w:szCs w:val="19"/>
              </w:rPr>
              <w:t xml:space="preserve">– </w:t>
            </w:r>
            <w:r w:rsidRPr="005D56FC">
              <w:rPr>
                <w:rFonts w:cs="Arial"/>
                <w:szCs w:val="19"/>
              </w:rPr>
              <w:t>ABP 938</w:t>
            </w:r>
          </w:p>
        </w:tc>
        <w:tc>
          <w:tcPr>
            <w:tcW w:w="3573" w:type="pct"/>
            <w:shd w:val="clear" w:color="auto" w:fill="auto"/>
            <w:tcMar>
              <w:top w:w="57" w:type="dxa"/>
              <w:bottom w:w="57" w:type="dxa"/>
            </w:tcMar>
          </w:tcPr>
          <w:p w14:paraId="2C1158F3" w14:textId="5CE87F26" w:rsidR="004A2928" w:rsidRDefault="004A2928" w:rsidP="004A2928">
            <w:pPr>
              <w:tabs>
                <w:tab w:val="center" w:pos="3152"/>
              </w:tabs>
              <w:rPr>
                <w:rFonts w:cs="Arial"/>
                <w:szCs w:val="19"/>
                <w:lang w:val="en-US"/>
              </w:rPr>
            </w:pPr>
            <w:r>
              <w:rPr>
                <w:rFonts w:cs="Arial"/>
                <w:szCs w:val="19"/>
                <w:lang w:val="en-US"/>
              </w:rPr>
              <w:t>Wet a</w:t>
            </w:r>
            <w:r w:rsidRPr="005D56FC">
              <w:rPr>
                <w:rFonts w:cs="Arial"/>
                <w:szCs w:val="19"/>
                <w:lang w:val="en-US"/>
              </w:rPr>
              <w:t>ge-related macular degeneration</w:t>
            </w:r>
            <w:r>
              <w:rPr>
                <w:rFonts w:cs="Arial"/>
                <w:szCs w:val="19"/>
                <w:lang w:val="en-US"/>
              </w:rPr>
              <w:t>,</w:t>
            </w:r>
            <w:r w:rsidRPr="005D56FC">
              <w:rPr>
                <w:rFonts w:cs="Arial"/>
                <w:szCs w:val="19"/>
                <w:lang w:val="en-US"/>
              </w:rPr>
              <w:t xml:space="preserve"> macular oedema following retinal vein occlusion, diabetic macular </w:t>
            </w:r>
            <w:proofErr w:type="gramStart"/>
            <w:r w:rsidRPr="005D56FC">
              <w:rPr>
                <w:rFonts w:cs="Arial"/>
                <w:szCs w:val="19"/>
                <w:lang w:val="en-US"/>
              </w:rPr>
              <w:t>oedema</w:t>
            </w:r>
            <w:proofErr w:type="gramEnd"/>
            <w:r w:rsidRPr="005D56FC">
              <w:rPr>
                <w:rFonts w:cs="Arial"/>
                <w:szCs w:val="19"/>
                <w:lang w:val="en-US"/>
              </w:rPr>
              <w:t xml:space="preserve"> and diabetic retinopathy in patients with diabetic macular oedema</w:t>
            </w:r>
            <w:r>
              <w:rPr>
                <w:rFonts w:cs="Arial"/>
                <w:szCs w:val="19"/>
                <w:lang w:val="en-US"/>
              </w:rPr>
              <w:t xml:space="preserve"> </w:t>
            </w:r>
            <w:r w:rsidRPr="005D56FC">
              <w:rPr>
                <w:rFonts w:cs="Arial"/>
                <w:sz w:val="16"/>
                <w:szCs w:val="16"/>
                <w:lang w:val="en-US"/>
              </w:rPr>
              <w:t>[UK]</w:t>
            </w:r>
          </w:p>
        </w:tc>
      </w:tr>
      <w:tr w:rsidR="004A2928" w:rsidRPr="00A075A3" w14:paraId="5F0EACF8" w14:textId="77777777" w:rsidTr="004A2928">
        <w:tc>
          <w:tcPr>
            <w:tcW w:w="1427" w:type="pct"/>
            <w:gridSpan w:val="2"/>
            <w:shd w:val="clear" w:color="auto" w:fill="auto"/>
            <w:tcMar>
              <w:top w:w="57" w:type="dxa"/>
              <w:bottom w:w="57" w:type="dxa"/>
            </w:tcMar>
          </w:tcPr>
          <w:p w14:paraId="2444A29D" w14:textId="5C99B9B9" w:rsidR="004A2928" w:rsidRDefault="004A2928" w:rsidP="004A2928">
            <w:pPr>
              <w:rPr>
                <w:rFonts w:cs="Arial"/>
                <w:szCs w:val="19"/>
              </w:rPr>
            </w:pPr>
            <w:proofErr w:type="spellStart"/>
            <w:r>
              <w:rPr>
                <w:rFonts w:cs="Arial"/>
                <w:szCs w:val="19"/>
              </w:rPr>
              <w:t>Amivantamab</w:t>
            </w:r>
            <w:proofErr w:type="spellEnd"/>
            <w:r>
              <w:rPr>
                <w:rFonts w:cs="Arial"/>
                <w:szCs w:val="19"/>
              </w:rPr>
              <w:t xml:space="preserve"> (</w:t>
            </w:r>
            <w:proofErr w:type="spellStart"/>
            <w:r>
              <w:rPr>
                <w:rFonts w:cs="Arial"/>
                <w:i/>
                <w:iCs/>
                <w:szCs w:val="19"/>
              </w:rPr>
              <w:t>Rybrevant</w:t>
            </w:r>
            <w:proofErr w:type="spellEnd"/>
            <w:r>
              <w:rPr>
                <w:rFonts w:cs="Arial"/>
                <w:szCs w:val="19"/>
              </w:rPr>
              <w:t xml:space="preserve">) </w:t>
            </w:r>
          </w:p>
        </w:tc>
        <w:tc>
          <w:tcPr>
            <w:tcW w:w="3573" w:type="pct"/>
            <w:shd w:val="clear" w:color="auto" w:fill="auto"/>
            <w:tcMar>
              <w:top w:w="57" w:type="dxa"/>
              <w:bottom w:w="57" w:type="dxa"/>
            </w:tcMar>
          </w:tcPr>
          <w:p w14:paraId="781F2D02" w14:textId="1076CDE5" w:rsidR="004A2928" w:rsidRDefault="004A2928" w:rsidP="004A2928">
            <w:pPr>
              <w:tabs>
                <w:tab w:val="center" w:pos="3152"/>
              </w:tabs>
              <w:rPr>
                <w:rFonts w:cs="Arial"/>
                <w:szCs w:val="19"/>
                <w:lang w:val="en-US"/>
              </w:rPr>
            </w:pPr>
            <w:r>
              <w:rPr>
                <w:rFonts w:cs="Arial"/>
                <w:szCs w:val="19"/>
                <w:lang w:val="en-US"/>
              </w:rPr>
              <w:t>Use in</w:t>
            </w:r>
            <w:r w:rsidRPr="00D07253">
              <w:rPr>
                <w:rFonts w:cs="Arial"/>
                <w:szCs w:val="19"/>
                <w:lang w:val="en-US"/>
              </w:rPr>
              <w:t xml:space="preserve"> combination with carboplatin and pemetrexed for the treatment of adults with advanced non-small cell lung cancer with epidermal growth factor receptor Exon 19 deletions or Exon 21 L858R substitution mutations after failure of prior therapy including a third-generation EGFR tyrosine kinase inhibitor</w:t>
            </w:r>
            <w:r>
              <w:rPr>
                <w:rFonts w:cs="Arial"/>
                <w:szCs w:val="19"/>
                <w:lang w:val="en-US"/>
              </w:rPr>
              <w:t xml:space="preserve"> </w:t>
            </w:r>
            <w:r w:rsidRPr="00701FFF">
              <w:rPr>
                <w:rFonts w:cs="Arial"/>
                <w:sz w:val="16"/>
                <w:szCs w:val="16"/>
                <w:lang w:val="en-US"/>
              </w:rPr>
              <w:t>[</w:t>
            </w:r>
            <w:r>
              <w:rPr>
                <w:rFonts w:cs="Arial"/>
                <w:sz w:val="16"/>
                <w:szCs w:val="16"/>
                <w:lang w:val="en-US"/>
              </w:rPr>
              <w:t>EU</w:t>
            </w:r>
            <w:r w:rsidRPr="00701FFF">
              <w:rPr>
                <w:rFonts w:cs="Arial"/>
                <w:sz w:val="16"/>
                <w:szCs w:val="16"/>
                <w:lang w:val="en-US"/>
              </w:rPr>
              <w:t>]</w:t>
            </w:r>
            <w:r>
              <w:rPr>
                <w:rFonts w:cs="Arial"/>
                <w:sz w:val="16"/>
                <w:szCs w:val="16"/>
                <w:lang w:val="en-US"/>
              </w:rPr>
              <w:t xml:space="preserve"> [new indication]</w:t>
            </w:r>
          </w:p>
        </w:tc>
      </w:tr>
      <w:tr w:rsidR="004A2928" w:rsidRPr="00A075A3" w14:paraId="38C7F045" w14:textId="77777777" w:rsidTr="004A2928">
        <w:tc>
          <w:tcPr>
            <w:tcW w:w="1427" w:type="pct"/>
            <w:gridSpan w:val="2"/>
            <w:shd w:val="clear" w:color="auto" w:fill="auto"/>
            <w:tcMar>
              <w:top w:w="57" w:type="dxa"/>
              <w:bottom w:w="57" w:type="dxa"/>
            </w:tcMar>
          </w:tcPr>
          <w:p w14:paraId="0842B9A2" w14:textId="32870EAC" w:rsidR="004A2928" w:rsidRPr="00C466BC" w:rsidRDefault="004A2928" w:rsidP="004A2928">
            <w:pPr>
              <w:rPr>
                <w:rFonts w:cs="Arial"/>
                <w:szCs w:val="19"/>
              </w:rPr>
            </w:pPr>
            <w:proofErr w:type="spellStart"/>
            <w:r>
              <w:rPr>
                <w:rFonts w:cs="Arial"/>
                <w:szCs w:val="19"/>
              </w:rPr>
              <w:t>Amivantamab</w:t>
            </w:r>
            <w:proofErr w:type="spellEnd"/>
            <w:r>
              <w:rPr>
                <w:rFonts w:cs="Arial"/>
                <w:szCs w:val="19"/>
              </w:rPr>
              <w:t xml:space="preserve"> (</w:t>
            </w:r>
            <w:proofErr w:type="spellStart"/>
            <w:r>
              <w:rPr>
                <w:rFonts w:cs="Arial"/>
                <w:i/>
                <w:iCs/>
                <w:szCs w:val="19"/>
              </w:rPr>
              <w:t>Rybrevant</w:t>
            </w:r>
            <w:proofErr w:type="spellEnd"/>
            <w:r>
              <w:rPr>
                <w:rFonts w:cs="Arial"/>
                <w:szCs w:val="19"/>
              </w:rPr>
              <w:t xml:space="preserve">) </w:t>
            </w:r>
          </w:p>
        </w:tc>
        <w:tc>
          <w:tcPr>
            <w:tcW w:w="3573" w:type="pct"/>
            <w:shd w:val="clear" w:color="auto" w:fill="auto"/>
            <w:tcMar>
              <w:top w:w="57" w:type="dxa"/>
              <w:bottom w:w="57" w:type="dxa"/>
            </w:tcMar>
          </w:tcPr>
          <w:p w14:paraId="02D8231E" w14:textId="175A68A4" w:rsidR="004A2928" w:rsidRPr="00A075A3" w:rsidRDefault="004A2928" w:rsidP="004A2928">
            <w:pPr>
              <w:tabs>
                <w:tab w:val="center" w:pos="3152"/>
              </w:tabs>
              <w:rPr>
                <w:rFonts w:cs="Arial"/>
                <w:szCs w:val="19"/>
                <w:lang w:val="en-US"/>
              </w:rPr>
            </w:pPr>
            <w:r>
              <w:rPr>
                <w:rFonts w:cs="Arial"/>
                <w:szCs w:val="19"/>
                <w:lang w:val="en-US"/>
              </w:rPr>
              <w:t xml:space="preserve">Use in </w:t>
            </w:r>
            <w:r w:rsidRPr="00701FFF">
              <w:rPr>
                <w:rFonts w:cs="Arial"/>
                <w:szCs w:val="19"/>
                <w:lang w:val="en-US"/>
              </w:rPr>
              <w:t xml:space="preserve">combination with </w:t>
            </w:r>
            <w:proofErr w:type="spellStart"/>
            <w:r>
              <w:rPr>
                <w:rFonts w:cs="Arial"/>
                <w:szCs w:val="19"/>
                <w:lang w:val="en-US"/>
              </w:rPr>
              <w:t>lazertinib</w:t>
            </w:r>
            <w:proofErr w:type="spellEnd"/>
            <w:r w:rsidRPr="00701FFF">
              <w:rPr>
                <w:rFonts w:cs="Arial"/>
                <w:szCs w:val="19"/>
                <w:lang w:val="en-US"/>
              </w:rPr>
              <w:t xml:space="preserve"> for the first-line treatment of adults with advanced non-small cell lung cancer with common epidermal growth factor receptor mutations, including exon 19 deletions or exon 21 L858R substitution mutations</w:t>
            </w:r>
            <w:r>
              <w:rPr>
                <w:rFonts w:cs="Arial"/>
                <w:szCs w:val="19"/>
                <w:lang w:val="en-US"/>
              </w:rPr>
              <w:t xml:space="preserve"> </w:t>
            </w:r>
            <w:r w:rsidRPr="00701FFF">
              <w:rPr>
                <w:rFonts w:cs="Arial"/>
                <w:sz w:val="16"/>
                <w:szCs w:val="16"/>
                <w:lang w:val="en-US"/>
              </w:rPr>
              <w:t>[</w:t>
            </w:r>
            <w:r>
              <w:rPr>
                <w:rFonts w:cs="Arial"/>
                <w:sz w:val="16"/>
                <w:szCs w:val="16"/>
                <w:lang w:val="en-US"/>
              </w:rPr>
              <w:t>EU</w:t>
            </w:r>
            <w:r w:rsidRPr="00701FFF">
              <w:rPr>
                <w:rFonts w:cs="Arial"/>
                <w:sz w:val="16"/>
                <w:szCs w:val="16"/>
                <w:lang w:val="en-US"/>
              </w:rPr>
              <w:t>]</w:t>
            </w:r>
            <w:r>
              <w:rPr>
                <w:rFonts w:cs="Arial"/>
                <w:sz w:val="16"/>
                <w:szCs w:val="16"/>
                <w:lang w:val="en-US"/>
              </w:rPr>
              <w:t xml:space="preserve"> [new indication]</w:t>
            </w:r>
          </w:p>
        </w:tc>
      </w:tr>
      <w:tr w:rsidR="004A2928" w:rsidRPr="00A075A3" w14:paraId="48A42773" w14:textId="77777777" w:rsidTr="004A2928">
        <w:tc>
          <w:tcPr>
            <w:tcW w:w="1427" w:type="pct"/>
            <w:gridSpan w:val="2"/>
            <w:shd w:val="clear" w:color="auto" w:fill="auto"/>
            <w:tcMar>
              <w:top w:w="57" w:type="dxa"/>
              <w:bottom w:w="57" w:type="dxa"/>
            </w:tcMar>
          </w:tcPr>
          <w:p w14:paraId="3F7E6E1E" w14:textId="50C54AB5" w:rsidR="004A2928" w:rsidRPr="00B16DBA" w:rsidRDefault="004A2928" w:rsidP="004A2928">
            <w:pPr>
              <w:rPr>
                <w:rFonts w:cs="Arial"/>
                <w:szCs w:val="19"/>
              </w:rPr>
            </w:pPr>
            <w:r>
              <w:rPr>
                <w:rFonts w:cs="Arial"/>
                <w:szCs w:val="19"/>
              </w:rPr>
              <w:t>Apremilast (</w:t>
            </w:r>
            <w:r>
              <w:rPr>
                <w:rFonts w:cs="Arial"/>
                <w:i/>
                <w:iCs/>
                <w:szCs w:val="19"/>
              </w:rPr>
              <w:t>Otezla</w:t>
            </w:r>
            <w:r>
              <w:rPr>
                <w:rFonts w:cs="Arial"/>
                <w:szCs w:val="19"/>
              </w:rPr>
              <w:t>)</w:t>
            </w:r>
          </w:p>
        </w:tc>
        <w:tc>
          <w:tcPr>
            <w:tcW w:w="3573" w:type="pct"/>
            <w:shd w:val="clear" w:color="auto" w:fill="auto"/>
            <w:tcMar>
              <w:top w:w="57" w:type="dxa"/>
              <w:bottom w:w="57" w:type="dxa"/>
            </w:tcMar>
          </w:tcPr>
          <w:p w14:paraId="705359AD" w14:textId="32257575" w:rsidR="004A2928" w:rsidRDefault="004A2928" w:rsidP="004A2928">
            <w:pPr>
              <w:tabs>
                <w:tab w:val="center" w:pos="3152"/>
              </w:tabs>
              <w:rPr>
                <w:rFonts w:cs="Arial"/>
                <w:szCs w:val="19"/>
                <w:lang w:val="en-US"/>
              </w:rPr>
            </w:pPr>
            <w:r w:rsidRPr="00B16DBA">
              <w:rPr>
                <w:rFonts w:cs="Arial"/>
                <w:szCs w:val="19"/>
                <w:lang w:val="en-US"/>
              </w:rPr>
              <w:t>Treatment of moderate to severe chronic plaque psoriasis in children and adolescents age</w:t>
            </w:r>
            <w:r>
              <w:rPr>
                <w:rFonts w:cs="Arial"/>
                <w:szCs w:val="19"/>
                <w:lang w:val="en-US"/>
              </w:rPr>
              <w:t>d</w:t>
            </w:r>
            <w:r w:rsidRPr="00B16DBA">
              <w:rPr>
                <w:rFonts w:cs="Arial"/>
                <w:szCs w:val="19"/>
                <w:lang w:val="en-US"/>
              </w:rPr>
              <w:t xml:space="preserve"> </w:t>
            </w:r>
            <w:r>
              <w:rPr>
                <w:rFonts w:cs="Arial"/>
                <w:szCs w:val="19"/>
                <w:lang w:val="en-US"/>
              </w:rPr>
              <w:t>≥</w:t>
            </w:r>
            <w:r w:rsidRPr="00B16DBA">
              <w:rPr>
                <w:rFonts w:cs="Arial"/>
                <w:szCs w:val="19"/>
                <w:lang w:val="en-US"/>
              </w:rPr>
              <w:t>6 years who have a contraindication, have an inadequate response, or are intolerant to at least one other systemic therapy or phototherapy</w:t>
            </w:r>
            <w:r>
              <w:rPr>
                <w:rFonts w:cs="Arial"/>
                <w:szCs w:val="19"/>
                <w:lang w:val="en-US"/>
              </w:rPr>
              <w:t xml:space="preserve"> </w:t>
            </w:r>
            <w:r w:rsidRPr="00B16DBA">
              <w:rPr>
                <w:rFonts w:cs="Arial"/>
                <w:sz w:val="16"/>
                <w:szCs w:val="16"/>
                <w:lang w:val="en-US"/>
              </w:rPr>
              <w:t>[EU] [new indication]</w:t>
            </w:r>
          </w:p>
        </w:tc>
      </w:tr>
      <w:tr w:rsidR="004A2928" w:rsidRPr="00A075A3" w14:paraId="44CAA983" w14:textId="77777777" w:rsidTr="004A2928">
        <w:tc>
          <w:tcPr>
            <w:tcW w:w="1427" w:type="pct"/>
            <w:gridSpan w:val="2"/>
            <w:shd w:val="clear" w:color="auto" w:fill="auto"/>
            <w:tcMar>
              <w:top w:w="57" w:type="dxa"/>
              <w:bottom w:w="57" w:type="dxa"/>
            </w:tcMar>
          </w:tcPr>
          <w:p w14:paraId="2FD5CC25" w14:textId="28C784C1" w:rsidR="004A2928" w:rsidRPr="005D2028" w:rsidRDefault="004A2928" w:rsidP="004A2928">
            <w:pPr>
              <w:rPr>
                <w:rFonts w:cs="Arial"/>
                <w:szCs w:val="19"/>
              </w:rPr>
            </w:pPr>
            <w:r>
              <w:rPr>
                <w:rFonts w:cs="Arial"/>
                <w:szCs w:val="19"/>
              </w:rPr>
              <w:t>Autologou</w:t>
            </w:r>
            <w:r w:rsidRPr="005D2028">
              <w:rPr>
                <w:rFonts w:cs="Arial"/>
                <w:szCs w:val="19"/>
              </w:rPr>
              <w:t>s human chondrocytes in vitro expanded</w:t>
            </w:r>
            <w:r>
              <w:rPr>
                <w:rFonts w:cs="Arial"/>
                <w:szCs w:val="19"/>
              </w:rPr>
              <w:t xml:space="preserve"> (</w:t>
            </w:r>
            <w:proofErr w:type="spellStart"/>
            <w:r>
              <w:rPr>
                <w:rFonts w:cs="Arial"/>
                <w:i/>
                <w:iCs/>
                <w:szCs w:val="19"/>
              </w:rPr>
              <w:t>Jelrix</w:t>
            </w:r>
            <w:proofErr w:type="spellEnd"/>
            <w:r>
              <w:rPr>
                <w:rFonts w:cs="Arial"/>
                <w:szCs w:val="19"/>
              </w:rPr>
              <w:t>)</w:t>
            </w:r>
          </w:p>
        </w:tc>
        <w:tc>
          <w:tcPr>
            <w:tcW w:w="3573" w:type="pct"/>
            <w:shd w:val="clear" w:color="auto" w:fill="auto"/>
            <w:tcMar>
              <w:top w:w="57" w:type="dxa"/>
              <w:bottom w:w="57" w:type="dxa"/>
            </w:tcMar>
          </w:tcPr>
          <w:p w14:paraId="3805779E" w14:textId="0C5C9F6F" w:rsidR="004A2928" w:rsidRPr="00F52308" w:rsidRDefault="004A2928" w:rsidP="004A2928">
            <w:pPr>
              <w:tabs>
                <w:tab w:val="center" w:pos="3152"/>
              </w:tabs>
              <w:rPr>
                <w:rFonts w:cs="Arial"/>
                <w:szCs w:val="19"/>
                <w:lang w:val="en-US"/>
              </w:rPr>
            </w:pPr>
            <w:r>
              <w:rPr>
                <w:rFonts w:cs="Arial"/>
                <w:szCs w:val="19"/>
                <w:lang w:val="en-US"/>
              </w:rPr>
              <w:t xml:space="preserve">Treatment of </w:t>
            </w:r>
            <w:r w:rsidRPr="005D2028">
              <w:rPr>
                <w:rFonts w:cs="Arial"/>
                <w:szCs w:val="19"/>
                <w:lang w:val="en-US"/>
              </w:rPr>
              <w:t>traumatic cartilage defects of the knee</w:t>
            </w:r>
            <w:r>
              <w:rPr>
                <w:rFonts w:cs="Arial"/>
                <w:szCs w:val="19"/>
                <w:lang w:val="en-US"/>
              </w:rPr>
              <w:t xml:space="preserve"> </w:t>
            </w:r>
            <w:r w:rsidRPr="005D2028">
              <w:rPr>
                <w:rFonts w:cs="Arial"/>
                <w:sz w:val="16"/>
                <w:szCs w:val="16"/>
                <w:lang w:val="en-US"/>
              </w:rPr>
              <w:t>[EU]</w:t>
            </w:r>
            <w:r>
              <w:rPr>
                <w:rFonts w:cs="Arial"/>
                <w:sz w:val="16"/>
                <w:szCs w:val="16"/>
                <w:lang w:val="en-US"/>
              </w:rPr>
              <w:t xml:space="preserve"> </w:t>
            </w:r>
          </w:p>
        </w:tc>
      </w:tr>
      <w:tr w:rsidR="004A2928" w:rsidRPr="00A075A3" w14:paraId="27B38C18" w14:textId="77777777" w:rsidTr="004A2928">
        <w:tc>
          <w:tcPr>
            <w:tcW w:w="1427" w:type="pct"/>
            <w:gridSpan w:val="2"/>
            <w:shd w:val="clear" w:color="auto" w:fill="auto"/>
            <w:tcMar>
              <w:top w:w="57" w:type="dxa"/>
              <w:bottom w:w="57" w:type="dxa"/>
            </w:tcMar>
          </w:tcPr>
          <w:p w14:paraId="196D0707" w14:textId="0B8B4198" w:rsidR="004A2928" w:rsidRDefault="004A2928" w:rsidP="004A2928">
            <w:pPr>
              <w:rPr>
                <w:rFonts w:cs="Arial"/>
                <w:szCs w:val="19"/>
              </w:rPr>
            </w:pPr>
            <w:proofErr w:type="spellStart"/>
            <w:r>
              <w:rPr>
                <w:rFonts w:cs="Arial"/>
                <w:szCs w:val="19"/>
              </w:rPr>
              <w:t>Belzutifan</w:t>
            </w:r>
            <w:proofErr w:type="spellEnd"/>
            <w:r>
              <w:rPr>
                <w:rFonts w:cs="Arial"/>
                <w:szCs w:val="19"/>
              </w:rPr>
              <w:t xml:space="preserve"> (</w:t>
            </w:r>
            <w:proofErr w:type="spellStart"/>
            <w:r>
              <w:rPr>
                <w:rFonts w:cs="Arial"/>
                <w:i/>
                <w:iCs/>
                <w:szCs w:val="19"/>
              </w:rPr>
              <w:t>Welireg</w:t>
            </w:r>
            <w:proofErr w:type="spellEnd"/>
            <w:r>
              <w:rPr>
                <w:rFonts w:cs="Arial"/>
                <w:szCs w:val="19"/>
              </w:rPr>
              <w:t>)</w:t>
            </w:r>
          </w:p>
        </w:tc>
        <w:tc>
          <w:tcPr>
            <w:tcW w:w="3573" w:type="pct"/>
            <w:shd w:val="clear" w:color="auto" w:fill="auto"/>
            <w:tcMar>
              <w:top w:w="57" w:type="dxa"/>
              <w:bottom w:w="57" w:type="dxa"/>
            </w:tcMar>
          </w:tcPr>
          <w:p w14:paraId="06B34D92" w14:textId="636C1537" w:rsidR="004A2928" w:rsidRPr="00285ED2" w:rsidRDefault="004A2928" w:rsidP="004A2928">
            <w:pPr>
              <w:tabs>
                <w:tab w:val="center" w:pos="3152"/>
              </w:tabs>
              <w:rPr>
                <w:rFonts w:cs="Arial"/>
                <w:i/>
                <w:iCs/>
                <w:szCs w:val="19"/>
                <w:lang w:val="en-US"/>
              </w:rPr>
            </w:pPr>
            <w:r w:rsidRPr="00285ED2">
              <w:rPr>
                <w:rFonts w:cs="Arial"/>
                <w:szCs w:val="19"/>
                <w:lang w:val="en-US"/>
              </w:rPr>
              <w:t>Treatment of adults with von Hippel-Lindau disease</w:t>
            </w:r>
            <w:r>
              <w:rPr>
                <w:rFonts w:cs="Arial"/>
                <w:szCs w:val="19"/>
                <w:lang w:val="en-US"/>
              </w:rPr>
              <w:t xml:space="preserve"> </w:t>
            </w:r>
            <w:r>
              <w:rPr>
                <w:rFonts w:cs="Arial"/>
                <w:sz w:val="16"/>
                <w:szCs w:val="16"/>
                <w:lang w:val="en-US"/>
              </w:rPr>
              <w:t>[E</w:t>
            </w:r>
            <w:r w:rsidRPr="00285ED2">
              <w:rPr>
                <w:rFonts w:cs="Arial"/>
                <w:sz w:val="16"/>
                <w:szCs w:val="16"/>
                <w:lang w:val="en-US"/>
              </w:rPr>
              <w:t xml:space="preserve">U] </w:t>
            </w:r>
            <w:r w:rsidRPr="00285ED2">
              <w:rPr>
                <w:rFonts w:cs="Arial"/>
                <w:i/>
                <w:iCs/>
                <w:sz w:val="16"/>
                <w:szCs w:val="16"/>
                <w:lang w:val="en-US"/>
              </w:rPr>
              <w:t>Note: Already launched in UK</w:t>
            </w:r>
          </w:p>
        </w:tc>
      </w:tr>
      <w:tr w:rsidR="004A2928" w:rsidRPr="00A075A3" w14:paraId="69800C4B" w14:textId="77777777" w:rsidTr="004A2928">
        <w:tc>
          <w:tcPr>
            <w:tcW w:w="1427" w:type="pct"/>
            <w:gridSpan w:val="2"/>
            <w:shd w:val="clear" w:color="auto" w:fill="auto"/>
            <w:tcMar>
              <w:top w:w="57" w:type="dxa"/>
              <w:bottom w:w="57" w:type="dxa"/>
            </w:tcMar>
          </w:tcPr>
          <w:p w14:paraId="5BD47A9F" w14:textId="17ECB195" w:rsidR="004A2928" w:rsidRPr="005D2028" w:rsidRDefault="004A2928" w:rsidP="004A2928">
            <w:pPr>
              <w:rPr>
                <w:rFonts w:cs="Arial"/>
                <w:szCs w:val="19"/>
              </w:rPr>
            </w:pPr>
            <w:proofErr w:type="spellStart"/>
            <w:r>
              <w:rPr>
                <w:rFonts w:cs="Arial"/>
                <w:szCs w:val="19"/>
              </w:rPr>
              <w:t>Belzutifan</w:t>
            </w:r>
            <w:proofErr w:type="spellEnd"/>
            <w:r>
              <w:rPr>
                <w:rFonts w:cs="Arial"/>
                <w:szCs w:val="19"/>
              </w:rPr>
              <w:t xml:space="preserve"> (</w:t>
            </w:r>
            <w:proofErr w:type="spellStart"/>
            <w:r>
              <w:rPr>
                <w:rFonts w:cs="Arial"/>
                <w:i/>
                <w:iCs/>
                <w:szCs w:val="19"/>
              </w:rPr>
              <w:t>Welireg</w:t>
            </w:r>
            <w:proofErr w:type="spellEnd"/>
            <w:r>
              <w:rPr>
                <w:rFonts w:cs="Arial"/>
                <w:szCs w:val="19"/>
              </w:rPr>
              <w:t>)</w:t>
            </w:r>
          </w:p>
        </w:tc>
        <w:tc>
          <w:tcPr>
            <w:tcW w:w="3573" w:type="pct"/>
            <w:shd w:val="clear" w:color="auto" w:fill="auto"/>
            <w:tcMar>
              <w:top w:w="57" w:type="dxa"/>
              <w:bottom w:w="57" w:type="dxa"/>
            </w:tcMar>
          </w:tcPr>
          <w:p w14:paraId="01711004" w14:textId="04D7811D" w:rsidR="004A2928" w:rsidRPr="00F52308" w:rsidRDefault="004A2928" w:rsidP="004A2928">
            <w:pPr>
              <w:tabs>
                <w:tab w:val="center" w:pos="3152"/>
              </w:tabs>
              <w:rPr>
                <w:rFonts w:cs="Arial"/>
                <w:szCs w:val="19"/>
                <w:lang w:val="en-US"/>
              </w:rPr>
            </w:pPr>
            <w:r>
              <w:rPr>
                <w:rFonts w:cs="Arial"/>
                <w:szCs w:val="19"/>
                <w:lang w:val="en-US"/>
              </w:rPr>
              <w:t>Treatment of advanced r</w:t>
            </w:r>
            <w:r w:rsidRPr="005D2028">
              <w:rPr>
                <w:rFonts w:cs="Arial"/>
                <w:szCs w:val="19"/>
                <w:lang w:val="en-US"/>
              </w:rPr>
              <w:t xml:space="preserve">enal cell carcinoma in adults </w:t>
            </w:r>
            <w:r>
              <w:rPr>
                <w:rFonts w:cs="Arial"/>
                <w:szCs w:val="19"/>
                <w:lang w:val="en-US"/>
              </w:rPr>
              <w:t>as</w:t>
            </w:r>
            <w:r w:rsidRPr="005D2028">
              <w:rPr>
                <w:rFonts w:cs="Arial"/>
                <w:szCs w:val="19"/>
                <w:lang w:val="en-US"/>
              </w:rPr>
              <w:t xml:space="preserve"> second-line monotherapy</w:t>
            </w:r>
            <w:r>
              <w:rPr>
                <w:rFonts w:cs="Arial"/>
                <w:szCs w:val="19"/>
                <w:lang w:val="en-US"/>
              </w:rPr>
              <w:t xml:space="preserve"> </w:t>
            </w:r>
            <w:r w:rsidRPr="00701FFF">
              <w:rPr>
                <w:rFonts w:cs="Arial"/>
                <w:sz w:val="16"/>
                <w:szCs w:val="16"/>
                <w:lang w:val="en-US"/>
              </w:rPr>
              <w:t>[</w:t>
            </w:r>
            <w:r>
              <w:rPr>
                <w:rFonts w:cs="Arial"/>
                <w:sz w:val="16"/>
                <w:szCs w:val="16"/>
                <w:lang w:val="en-US"/>
              </w:rPr>
              <w:t>EU</w:t>
            </w:r>
            <w:r w:rsidRPr="00701FFF">
              <w:rPr>
                <w:rFonts w:cs="Arial"/>
                <w:sz w:val="16"/>
                <w:szCs w:val="16"/>
                <w:lang w:val="en-US"/>
              </w:rPr>
              <w:t>]</w:t>
            </w:r>
            <w:r>
              <w:rPr>
                <w:rFonts w:cs="Arial"/>
                <w:sz w:val="16"/>
                <w:szCs w:val="16"/>
                <w:lang w:val="en-US"/>
              </w:rPr>
              <w:t xml:space="preserve"> [new indication]</w:t>
            </w:r>
          </w:p>
        </w:tc>
      </w:tr>
      <w:tr w:rsidR="004A2928" w:rsidRPr="00A075A3" w14:paraId="0BE695E3" w14:textId="77777777" w:rsidTr="004A2928">
        <w:tc>
          <w:tcPr>
            <w:tcW w:w="1427" w:type="pct"/>
            <w:gridSpan w:val="2"/>
            <w:shd w:val="clear" w:color="auto" w:fill="auto"/>
            <w:tcMar>
              <w:top w:w="57" w:type="dxa"/>
              <w:bottom w:w="57" w:type="dxa"/>
            </w:tcMar>
          </w:tcPr>
          <w:p w14:paraId="738818A0" w14:textId="5A745A55" w:rsidR="004A2928" w:rsidRPr="00676A97" w:rsidRDefault="004A2928" w:rsidP="004A2928">
            <w:pPr>
              <w:rPr>
                <w:rFonts w:cs="Arial"/>
                <w:i/>
                <w:iCs/>
                <w:szCs w:val="19"/>
              </w:rPr>
            </w:pPr>
            <w:proofErr w:type="spellStart"/>
            <w:r>
              <w:rPr>
                <w:rFonts w:cs="Arial"/>
                <w:szCs w:val="19"/>
              </w:rPr>
              <w:t>Benralizumab</w:t>
            </w:r>
            <w:proofErr w:type="spellEnd"/>
            <w:r>
              <w:rPr>
                <w:rFonts w:cs="Arial"/>
                <w:szCs w:val="19"/>
              </w:rPr>
              <w:t xml:space="preserve"> (</w:t>
            </w:r>
            <w:r w:rsidRPr="00676A97">
              <w:rPr>
                <w:rFonts w:cs="Arial"/>
                <w:i/>
                <w:iCs/>
                <w:szCs w:val="19"/>
              </w:rPr>
              <w:t>Fasenra</w:t>
            </w:r>
            <w:r>
              <w:rPr>
                <w:rFonts w:cs="Arial"/>
                <w:szCs w:val="19"/>
              </w:rPr>
              <w:t>)</w:t>
            </w:r>
          </w:p>
        </w:tc>
        <w:tc>
          <w:tcPr>
            <w:tcW w:w="3573" w:type="pct"/>
            <w:shd w:val="clear" w:color="auto" w:fill="auto"/>
            <w:tcMar>
              <w:top w:w="57" w:type="dxa"/>
              <w:bottom w:w="57" w:type="dxa"/>
            </w:tcMar>
          </w:tcPr>
          <w:p w14:paraId="4725B03B" w14:textId="51880E09" w:rsidR="004A2928" w:rsidRPr="00C02434" w:rsidRDefault="004A2928" w:rsidP="004A2928">
            <w:pPr>
              <w:tabs>
                <w:tab w:val="center" w:pos="3152"/>
              </w:tabs>
              <w:rPr>
                <w:rFonts w:cs="Arial"/>
                <w:szCs w:val="19"/>
                <w:lang w:val="en-US"/>
              </w:rPr>
            </w:pPr>
            <w:r w:rsidRPr="00676A97">
              <w:rPr>
                <w:rFonts w:cs="Arial"/>
                <w:szCs w:val="19"/>
                <w:lang w:val="en-US"/>
              </w:rPr>
              <w:t>Treatment of eosinophilic granulomatosis with polyangiitis</w:t>
            </w:r>
            <w:r>
              <w:rPr>
                <w:rFonts w:cs="Arial"/>
                <w:szCs w:val="19"/>
                <w:lang w:val="en-US"/>
              </w:rPr>
              <w:t xml:space="preserve"> in adults </w:t>
            </w:r>
            <w:r w:rsidRPr="00676A97">
              <w:rPr>
                <w:rFonts w:cs="Arial"/>
                <w:sz w:val="16"/>
                <w:szCs w:val="16"/>
                <w:lang w:val="en-US"/>
              </w:rPr>
              <w:t>[EU] [new indication]</w:t>
            </w:r>
          </w:p>
        </w:tc>
      </w:tr>
      <w:tr w:rsidR="004A2928" w:rsidRPr="00A075A3" w14:paraId="5B6436EF" w14:textId="77777777" w:rsidTr="004A2928">
        <w:tc>
          <w:tcPr>
            <w:tcW w:w="1427" w:type="pct"/>
            <w:gridSpan w:val="2"/>
            <w:shd w:val="clear" w:color="auto" w:fill="auto"/>
            <w:tcMar>
              <w:top w:w="57" w:type="dxa"/>
              <w:bottom w:w="57" w:type="dxa"/>
            </w:tcMar>
          </w:tcPr>
          <w:p w14:paraId="20CEDA55" w14:textId="4837BB18" w:rsidR="004A2928" w:rsidRPr="00C02434" w:rsidRDefault="004A2928" w:rsidP="004A2928">
            <w:pPr>
              <w:rPr>
                <w:rFonts w:cs="Arial"/>
                <w:szCs w:val="19"/>
              </w:rPr>
            </w:pPr>
            <w:r>
              <w:rPr>
                <w:rFonts w:cs="Arial"/>
                <w:szCs w:val="19"/>
              </w:rPr>
              <w:t>Dupilumab (</w:t>
            </w:r>
            <w:r>
              <w:rPr>
                <w:rFonts w:cs="Arial"/>
                <w:i/>
                <w:iCs/>
                <w:szCs w:val="19"/>
              </w:rPr>
              <w:t>Dupixent</w:t>
            </w:r>
            <w:r>
              <w:rPr>
                <w:rFonts w:cs="Arial"/>
                <w:szCs w:val="19"/>
              </w:rPr>
              <w:t>)</w:t>
            </w:r>
          </w:p>
        </w:tc>
        <w:tc>
          <w:tcPr>
            <w:tcW w:w="3573" w:type="pct"/>
            <w:shd w:val="clear" w:color="auto" w:fill="auto"/>
            <w:tcMar>
              <w:top w:w="57" w:type="dxa"/>
              <w:bottom w:w="57" w:type="dxa"/>
            </w:tcMar>
          </w:tcPr>
          <w:p w14:paraId="3A9AB024" w14:textId="71BF0718" w:rsidR="004A2928" w:rsidRPr="00904DC6" w:rsidRDefault="004A2928" w:rsidP="004A2928">
            <w:pPr>
              <w:tabs>
                <w:tab w:val="center" w:pos="3152"/>
              </w:tabs>
              <w:rPr>
                <w:rFonts w:cs="Arial"/>
                <w:szCs w:val="19"/>
                <w:lang w:val="en-US"/>
              </w:rPr>
            </w:pPr>
            <w:r w:rsidRPr="00C02434">
              <w:rPr>
                <w:rFonts w:cs="Arial"/>
                <w:szCs w:val="19"/>
                <w:lang w:val="en-US"/>
              </w:rPr>
              <w:t xml:space="preserve">Treatment of moderate to severe eosinophilic </w:t>
            </w:r>
            <w:proofErr w:type="spellStart"/>
            <w:r w:rsidRPr="00C02434">
              <w:rPr>
                <w:rFonts w:cs="Arial"/>
                <w:szCs w:val="19"/>
                <w:lang w:val="en-US"/>
              </w:rPr>
              <w:t>oesophagitis</w:t>
            </w:r>
            <w:proofErr w:type="spellEnd"/>
            <w:r>
              <w:rPr>
                <w:rFonts w:cs="Arial"/>
                <w:szCs w:val="19"/>
                <w:lang w:val="en-US"/>
              </w:rPr>
              <w:t xml:space="preserve"> in </w:t>
            </w:r>
            <w:proofErr w:type="spellStart"/>
            <w:r>
              <w:rPr>
                <w:rFonts w:cs="Arial"/>
                <w:szCs w:val="19"/>
                <w:lang w:val="en-US"/>
              </w:rPr>
              <w:t>paediatric</w:t>
            </w:r>
            <w:proofErr w:type="spellEnd"/>
            <w:r>
              <w:rPr>
                <w:rFonts w:cs="Arial"/>
                <w:szCs w:val="19"/>
                <w:lang w:val="en-US"/>
              </w:rPr>
              <w:t xml:space="preserve"> patients aged ≥1 year </w:t>
            </w:r>
            <w:r w:rsidRPr="00C02434">
              <w:rPr>
                <w:rFonts w:cs="Arial"/>
                <w:sz w:val="16"/>
                <w:szCs w:val="16"/>
                <w:lang w:val="en-US"/>
              </w:rPr>
              <w:t>[EU] [licence change from use only in patients aged ≥12 years]</w:t>
            </w:r>
          </w:p>
        </w:tc>
      </w:tr>
      <w:tr w:rsidR="004A2928" w:rsidRPr="00A075A3" w14:paraId="1BDBD6A4" w14:textId="77777777" w:rsidTr="004A2928">
        <w:tc>
          <w:tcPr>
            <w:tcW w:w="1427" w:type="pct"/>
            <w:gridSpan w:val="2"/>
            <w:shd w:val="clear" w:color="auto" w:fill="auto"/>
            <w:tcMar>
              <w:top w:w="57" w:type="dxa"/>
              <w:bottom w:w="57" w:type="dxa"/>
            </w:tcMar>
          </w:tcPr>
          <w:p w14:paraId="254C50F3" w14:textId="344FA220" w:rsidR="004A2928" w:rsidRDefault="004A2928" w:rsidP="004A2928">
            <w:pPr>
              <w:rPr>
                <w:rFonts w:cs="Arial"/>
                <w:szCs w:val="19"/>
              </w:rPr>
            </w:pPr>
            <w:r w:rsidRPr="00904DC6">
              <w:rPr>
                <w:rFonts w:cs="Arial"/>
                <w:szCs w:val="19"/>
              </w:rPr>
              <w:t>Eliglustat</w:t>
            </w:r>
            <w:r>
              <w:rPr>
                <w:rFonts w:cs="Arial"/>
                <w:szCs w:val="19"/>
              </w:rPr>
              <w:t xml:space="preserve"> (</w:t>
            </w:r>
            <w:proofErr w:type="spellStart"/>
            <w:r>
              <w:rPr>
                <w:rFonts w:cs="Arial"/>
                <w:i/>
                <w:iCs/>
                <w:szCs w:val="19"/>
              </w:rPr>
              <w:t>Cerdelga</w:t>
            </w:r>
            <w:proofErr w:type="spellEnd"/>
            <w:r>
              <w:rPr>
                <w:rFonts w:cs="Arial"/>
                <w:szCs w:val="19"/>
              </w:rPr>
              <w:t>)</w:t>
            </w:r>
          </w:p>
        </w:tc>
        <w:tc>
          <w:tcPr>
            <w:tcW w:w="3573" w:type="pct"/>
            <w:shd w:val="clear" w:color="auto" w:fill="auto"/>
            <w:tcMar>
              <w:top w:w="57" w:type="dxa"/>
              <w:bottom w:w="57" w:type="dxa"/>
            </w:tcMar>
          </w:tcPr>
          <w:p w14:paraId="5A9AB8C4" w14:textId="77777777" w:rsidR="004A2928" w:rsidRDefault="004A2928" w:rsidP="004A2928">
            <w:pPr>
              <w:tabs>
                <w:tab w:val="center" w:pos="3152"/>
              </w:tabs>
              <w:rPr>
                <w:rFonts w:cs="Arial"/>
                <w:sz w:val="16"/>
                <w:szCs w:val="16"/>
                <w:lang w:val="en-US"/>
              </w:rPr>
            </w:pPr>
            <w:r w:rsidRPr="00904DC6">
              <w:rPr>
                <w:rFonts w:cs="Arial"/>
                <w:szCs w:val="19"/>
                <w:lang w:val="en-US"/>
              </w:rPr>
              <w:t>Treatment of paediatric patients with G</w:t>
            </w:r>
            <w:r>
              <w:rPr>
                <w:rFonts w:cs="Arial"/>
                <w:szCs w:val="19"/>
                <w:lang w:val="en-US"/>
              </w:rPr>
              <w:t>aucher’s disease type 1</w:t>
            </w:r>
            <w:r w:rsidRPr="00904DC6">
              <w:rPr>
                <w:rFonts w:cs="Arial"/>
                <w:szCs w:val="19"/>
                <w:lang w:val="en-US"/>
              </w:rPr>
              <w:t xml:space="preserve"> </w:t>
            </w:r>
            <w:r>
              <w:rPr>
                <w:rFonts w:cs="Arial"/>
                <w:szCs w:val="19"/>
                <w:lang w:val="en-US"/>
              </w:rPr>
              <w:t>aged ≥</w:t>
            </w:r>
            <w:r w:rsidRPr="00904DC6">
              <w:rPr>
                <w:rFonts w:cs="Arial"/>
                <w:szCs w:val="19"/>
                <w:lang w:val="en-US"/>
              </w:rPr>
              <w:t xml:space="preserve">6 years with a minimum body weight of 15kg, who have been previously treated with enzyme replacement therapy, and who are CYP2D6 poor </w:t>
            </w:r>
            <w:proofErr w:type="spellStart"/>
            <w:r w:rsidRPr="00904DC6">
              <w:rPr>
                <w:rFonts w:cs="Arial"/>
                <w:szCs w:val="19"/>
                <w:lang w:val="en-US"/>
              </w:rPr>
              <w:t>metabolisers</w:t>
            </w:r>
            <w:proofErr w:type="spellEnd"/>
            <w:r w:rsidRPr="00904DC6">
              <w:rPr>
                <w:rFonts w:cs="Arial"/>
                <w:szCs w:val="19"/>
                <w:lang w:val="en-US"/>
              </w:rPr>
              <w:t xml:space="preserve">, intermediate </w:t>
            </w:r>
            <w:proofErr w:type="spellStart"/>
            <w:proofErr w:type="gramStart"/>
            <w:r w:rsidRPr="00904DC6">
              <w:rPr>
                <w:rFonts w:cs="Arial"/>
                <w:szCs w:val="19"/>
                <w:lang w:val="en-US"/>
              </w:rPr>
              <w:t>metabolisers</w:t>
            </w:r>
            <w:proofErr w:type="spellEnd"/>
            <w:proofErr w:type="gramEnd"/>
            <w:r w:rsidRPr="00904DC6">
              <w:rPr>
                <w:rFonts w:cs="Arial"/>
                <w:szCs w:val="19"/>
                <w:lang w:val="en-US"/>
              </w:rPr>
              <w:t xml:space="preserve"> or extensive </w:t>
            </w:r>
            <w:proofErr w:type="spellStart"/>
            <w:r w:rsidRPr="00904DC6">
              <w:rPr>
                <w:rFonts w:cs="Arial"/>
                <w:szCs w:val="19"/>
                <w:lang w:val="en-US"/>
              </w:rPr>
              <w:t>metabolisers</w:t>
            </w:r>
            <w:proofErr w:type="spellEnd"/>
            <w:r w:rsidRPr="00904DC6">
              <w:rPr>
                <w:rFonts w:cs="Arial"/>
                <w:szCs w:val="19"/>
                <w:lang w:val="en-US"/>
              </w:rPr>
              <w:t xml:space="preserve"> </w:t>
            </w:r>
            <w:r w:rsidRPr="00904DC6">
              <w:rPr>
                <w:rFonts w:cs="Arial"/>
                <w:sz w:val="16"/>
                <w:szCs w:val="16"/>
                <w:lang w:val="en-US"/>
              </w:rPr>
              <w:t xml:space="preserve">[EU] </w:t>
            </w:r>
          </w:p>
          <w:p w14:paraId="7BCA52EA" w14:textId="74F448D3" w:rsidR="004A2928" w:rsidRPr="00C02434" w:rsidRDefault="004A2928" w:rsidP="004A2928">
            <w:pPr>
              <w:tabs>
                <w:tab w:val="center" w:pos="3152"/>
              </w:tabs>
              <w:rPr>
                <w:rFonts w:cs="Arial"/>
                <w:szCs w:val="19"/>
                <w:lang w:val="en-US"/>
              </w:rPr>
            </w:pPr>
            <w:r w:rsidRPr="00904DC6">
              <w:rPr>
                <w:rFonts w:cs="Arial"/>
                <w:sz w:val="16"/>
                <w:szCs w:val="16"/>
                <w:lang w:val="en-US"/>
              </w:rPr>
              <w:t>[</w:t>
            </w:r>
            <w:proofErr w:type="spellStart"/>
            <w:r w:rsidRPr="00904DC6">
              <w:rPr>
                <w:rFonts w:cs="Arial"/>
                <w:sz w:val="16"/>
                <w:szCs w:val="16"/>
                <w:lang w:val="en-US"/>
              </w:rPr>
              <w:t>licence</w:t>
            </w:r>
            <w:proofErr w:type="spellEnd"/>
            <w:r w:rsidRPr="00904DC6">
              <w:rPr>
                <w:rFonts w:cs="Arial"/>
                <w:sz w:val="16"/>
                <w:szCs w:val="16"/>
                <w:lang w:val="en-US"/>
              </w:rPr>
              <w:t xml:space="preserve"> change from use only in adults</w:t>
            </w:r>
            <w:r>
              <w:rPr>
                <w:rFonts w:cs="Arial"/>
                <w:sz w:val="16"/>
                <w:szCs w:val="16"/>
                <w:lang w:val="en-US"/>
              </w:rPr>
              <w:t xml:space="preserve"> and new 21mg capsule</w:t>
            </w:r>
            <w:r w:rsidRPr="00904DC6">
              <w:rPr>
                <w:rFonts w:cs="Arial"/>
                <w:sz w:val="16"/>
                <w:szCs w:val="16"/>
                <w:lang w:val="en-US"/>
              </w:rPr>
              <w:t>]</w:t>
            </w:r>
          </w:p>
        </w:tc>
      </w:tr>
      <w:tr w:rsidR="004A2928" w:rsidRPr="000F19E1" w14:paraId="4358A80E" w14:textId="77777777" w:rsidTr="004A2928">
        <w:tc>
          <w:tcPr>
            <w:tcW w:w="1427" w:type="pct"/>
            <w:gridSpan w:val="2"/>
            <w:shd w:val="clear" w:color="auto" w:fill="auto"/>
            <w:tcMar>
              <w:top w:w="0" w:type="dxa"/>
              <w:bottom w:w="0" w:type="dxa"/>
            </w:tcMar>
          </w:tcPr>
          <w:p w14:paraId="500E156F" w14:textId="77777777" w:rsidR="004A2928" w:rsidRPr="000F19E1" w:rsidRDefault="004A2928" w:rsidP="004A2928">
            <w:pPr>
              <w:rPr>
                <w:rFonts w:cs="Arial"/>
                <w:bCs/>
                <w:sz w:val="8"/>
                <w:szCs w:val="8"/>
              </w:rPr>
            </w:pPr>
          </w:p>
        </w:tc>
        <w:tc>
          <w:tcPr>
            <w:tcW w:w="3573" w:type="pct"/>
            <w:shd w:val="clear" w:color="auto" w:fill="auto"/>
            <w:tcMar>
              <w:top w:w="0" w:type="dxa"/>
              <w:bottom w:w="0" w:type="dxa"/>
            </w:tcMar>
          </w:tcPr>
          <w:p w14:paraId="47592E79" w14:textId="77777777" w:rsidR="004A2928" w:rsidRPr="000F19E1" w:rsidRDefault="004A2928" w:rsidP="004A2928">
            <w:pPr>
              <w:tabs>
                <w:tab w:val="center" w:pos="3152"/>
              </w:tabs>
              <w:rPr>
                <w:rFonts w:cs="Arial"/>
                <w:sz w:val="8"/>
                <w:szCs w:val="8"/>
                <w:lang w:val="en-US"/>
              </w:rPr>
            </w:pPr>
          </w:p>
        </w:tc>
      </w:tr>
      <w:tr w:rsidR="004A2928" w:rsidRPr="000F19E1" w14:paraId="60335A39" w14:textId="77777777" w:rsidTr="00155BD9">
        <w:tc>
          <w:tcPr>
            <w:tcW w:w="1152" w:type="pct"/>
            <w:shd w:val="clear" w:color="auto" w:fill="DAEEF3"/>
            <w:tcMar>
              <w:top w:w="0" w:type="dxa"/>
              <w:bottom w:w="0" w:type="dxa"/>
            </w:tcMar>
          </w:tcPr>
          <w:p w14:paraId="3B340198" w14:textId="77777777" w:rsidR="004A2928" w:rsidRPr="000F19E1" w:rsidRDefault="004A2928" w:rsidP="004A2928">
            <w:pPr>
              <w:rPr>
                <w:rFonts w:cs="Arial"/>
                <w:bCs/>
                <w:sz w:val="8"/>
                <w:szCs w:val="8"/>
              </w:rPr>
            </w:pPr>
          </w:p>
        </w:tc>
        <w:tc>
          <w:tcPr>
            <w:tcW w:w="3848" w:type="pct"/>
            <w:gridSpan w:val="2"/>
            <w:shd w:val="clear" w:color="auto" w:fill="DAEEF3"/>
            <w:tcMar>
              <w:top w:w="0" w:type="dxa"/>
              <w:bottom w:w="0" w:type="dxa"/>
            </w:tcMar>
          </w:tcPr>
          <w:p w14:paraId="552DFC42" w14:textId="77777777" w:rsidR="004A2928" w:rsidRPr="000F19E1" w:rsidRDefault="004A2928" w:rsidP="004A2928">
            <w:pPr>
              <w:tabs>
                <w:tab w:val="center" w:pos="3152"/>
              </w:tabs>
              <w:rPr>
                <w:rFonts w:cs="Arial"/>
                <w:sz w:val="8"/>
                <w:szCs w:val="8"/>
                <w:lang w:val="en-US"/>
              </w:rPr>
            </w:pPr>
          </w:p>
        </w:tc>
      </w:tr>
    </w:tbl>
    <w:p w14:paraId="2EAC09AA" w14:textId="02CFE8A9" w:rsidR="00EA3721" w:rsidRDefault="00EA3721"/>
    <w:p w14:paraId="04C4F76F" w14:textId="77777777" w:rsidR="00F42187" w:rsidRDefault="00F42187"/>
    <w:tbl>
      <w:tblPr>
        <w:tblW w:w="5170" w:type="pct"/>
        <w:tblInd w:w="-176" w:type="dxa"/>
        <w:tblLayout w:type="fixed"/>
        <w:tblLook w:val="01E0" w:firstRow="1" w:lastRow="1" w:firstColumn="1" w:lastColumn="1" w:noHBand="0" w:noVBand="0"/>
      </w:tblPr>
      <w:tblGrid>
        <w:gridCol w:w="2431"/>
        <w:gridCol w:w="863"/>
        <w:gridCol w:w="7257"/>
      </w:tblGrid>
      <w:tr w:rsidR="00F42187" w:rsidRPr="00862949" w14:paraId="4304C80A" w14:textId="77777777" w:rsidTr="00065AFF">
        <w:tc>
          <w:tcPr>
            <w:tcW w:w="5000" w:type="pct"/>
            <w:gridSpan w:val="3"/>
            <w:shd w:val="clear" w:color="auto" w:fill="0070C0"/>
            <w:tcMar>
              <w:top w:w="85" w:type="dxa"/>
              <w:bottom w:w="85" w:type="dxa"/>
            </w:tcMar>
            <w:vAlign w:val="bottom"/>
          </w:tcPr>
          <w:p w14:paraId="13551B4B" w14:textId="77777777" w:rsidR="00F42187" w:rsidRPr="00862949" w:rsidRDefault="00F42187" w:rsidP="00065AFF">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F42187" w:rsidRPr="000F19E1" w14:paraId="7A9F48B8" w14:textId="77777777" w:rsidTr="00065AFF">
        <w:tc>
          <w:tcPr>
            <w:tcW w:w="1152" w:type="pct"/>
            <w:shd w:val="clear" w:color="auto" w:fill="DAEEF3"/>
            <w:tcMar>
              <w:top w:w="0" w:type="dxa"/>
              <w:bottom w:w="0" w:type="dxa"/>
            </w:tcMar>
          </w:tcPr>
          <w:p w14:paraId="297AFF87" w14:textId="77777777" w:rsidR="00F42187" w:rsidRPr="000F19E1" w:rsidRDefault="00F42187" w:rsidP="00065AFF">
            <w:pPr>
              <w:rPr>
                <w:rFonts w:cs="Arial"/>
                <w:bCs/>
                <w:sz w:val="8"/>
                <w:szCs w:val="8"/>
              </w:rPr>
            </w:pPr>
          </w:p>
        </w:tc>
        <w:tc>
          <w:tcPr>
            <w:tcW w:w="3848" w:type="pct"/>
            <w:gridSpan w:val="2"/>
            <w:shd w:val="clear" w:color="auto" w:fill="DAEEF3"/>
            <w:tcMar>
              <w:top w:w="0" w:type="dxa"/>
              <w:bottom w:w="0" w:type="dxa"/>
            </w:tcMar>
          </w:tcPr>
          <w:p w14:paraId="6EA993FD" w14:textId="77777777" w:rsidR="00F42187" w:rsidRPr="000F19E1" w:rsidRDefault="00F42187" w:rsidP="00065AFF">
            <w:pPr>
              <w:tabs>
                <w:tab w:val="center" w:pos="3152"/>
              </w:tabs>
              <w:rPr>
                <w:rFonts w:cs="Arial"/>
                <w:sz w:val="8"/>
                <w:szCs w:val="8"/>
                <w:lang w:val="en-US"/>
              </w:rPr>
            </w:pPr>
          </w:p>
        </w:tc>
      </w:tr>
      <w:tr w:rsidR="00F42187" w:rsidRPr="00433D3E" w14:paraId="62F6DF47" w14:textId="77777777" w:rsidTr="00065AFF">
        <w:tc>
          <w:tcPr>
            <w:tcW w:w="5000" w:type="pct"/>
            <w:gridSpan w:val="3"/>
            <w:shd w:val="clear" w:color="auto" w:fill="00B050"/>
            <w:tcMar>
              <w:top w:w="57" w:type="dxa"/>
              <w:bottom w:w="57" w:type="dxa"/>
            </w:tcMar>
          </w:tcPr>
          <w:p w14:paraId="2D7B018A" w14:textId="0F62ED66" w:rsidR="00F42187" w:rsidRPr="00433D3E" w:rsidRDefault="00F42187" w:rsidP="00065AFF">
            <w:pPr>
              <w:rPr>
                <w:rFonts w:cs="Arial"/>
                <w:noProof/>
                <w:color w:val="FFFFFF"/>
                <w:sz w:val="16"/>
                <w:szCs w:val="16"/>
              </w:rPr>
            </w:pPr>
            <w:r w:rsidRPr="00433D3E">
              <w:rPr>
                <w:rFonts w:cs="Arial"/>
                <w:b/>
                <w:bCs/>
                <w:i/>
                <w:iCs/>
                <w:color w:val="FFFFFF"/>
                <w:sz w:val="22"/>
                <w:szCs w:val="20"/>
                <w:lang w:val="en-US"/>
              </w:rPr>
              <w:t xml:space="preserve">Filed for approval in the </w:t>
            </w:r>
            <w:r>
              <w:rPr>
                <w:rFonts w:cs="Arial"/>
                <w:b/>
                <w:bCs/>
                <w:i/>
                <w:iCs/>
                <w:color w:val="FFFFFF"/>
                <w:sz w:val="22"/>
                <w:szCs w:val="20"/>
                <w:lang w:val="en-US"/>
              </w:rPr>
              <w:t xml:space="preserve">UK or </w:t>
            </w:r>
            <w:r w:rsidRPr="00433D3E">
              <w:rPr>
                <w:rFonts w:cs="Arial"/>
                <w:b/>
                <w:bCs/>
                <w:i/>
                <w:iCs/>
                <w:color w:val="FFFFFF"/>
                <w:sz w:val="22"/>
                <w:szCs w:val="20"/>
                <w:lang w:val="en-US"/>
              </w:rPr>
              <w:t>EU</w:t>
            </w:r>
            <w:r>
              <w:rPr>
                <w:rFonts w:cs="Arial"/>
                <w:b/>
                <w:bCs/>
                <w:i/>
                <w:iCs/>
                <w:color w:val="FFFFFF"/>
                <w:sz w:val="22"/>
                <w:szCs w:val="20"/>
                <w:lang w:val="en-US"/>
              </w:rPr>
              <w:t xml:space="preserve"> </w:t>
            </w:r>
            <w:r w:rsidRPr="00F42187">
              <w:rPr>
                <w:rFonts w:cs="Arial"/>
                <w:b/>
                <w:bCs/>
                <w:color w:val="FFFFFF"/>
                <w:sz w:val="16"/>
                <w:szCs w:val="14"/>
                <w:lang w:val="en-US"/>
              </w:rPr>
              <w:t>(continued)</w:t>
            </w:r>
          </w:p>
        </w:tc>
      </w:tr>
      <w:tr w:rsidR="00F42187" w:rsidRPr="00A075A3" w14:paraId="3512B79A" w14:textId="77777777" w:rsidTr="00065AFF">
        <w:tc>
          <w:tcPr>
            <w:tcW w:w="1561" w:type="pct"/>
            <w:gridSpan w:val="2"/>
            <w:shd w:val="clear" w:color="auto" w:fill="auto"/>
            <w:tcMar>
              <w:top w:w="57" w:type="dxa"/>
              <w:bottom w:w="57" w:type="dxa"/>
            </w:tcMar>
          </w:tcPr>
          <w:p w14:paraId="2870B727" w14:textId="77777777" w:rsidR="00F42187" w:rsidRPr="00896AE9" w:rsidRDefault="00F42187" w:rsidP="00065AFF">
            <w:pPr>
              <w:rPr>
                <w:rFonts w:cs="Arial"/>
                <w:szCs w:val="19"/>
              </w:rPr>
            </w:pPr>
            <w:proofErr w:type="spellStart"/>
            <w:r w:rsidRPr="00F52308">
              <w:rPr>
                <w:rFonts w:cs="Arial"/>
                <w:szCs w:val="19"/>
              </w:rPr>
              <w:t>Fexapotide</w:t>
            </w:r>
            <w:proofErr w:type="spellEnd"/>
            <w:r w:rsidRPr="00F52308">
              <w:rPr>
                <w:rFonts w:cs="Arial"/>
                <w:szCs w:val="19"/>
              </w:rPr>
              <w:t xml:space="preserve"> </w:t>
            </w:r>
            <w:proofErr w:type="spellStart"/>
            <w:r w:rsidRPr="00F52308">
              <w:rPr>
                <w:rFonts w:cs="Arial"/>
                <w:szCs w:val="19"/>
              </w:rPr>
              <w:t>triflutate</w:t>
            </w:r>
            <w:proofErr w:type="spellEnd"/>
          </w:p>
        </w:tc>
        <w:tc>
          <w:tcPr>
            <w:tcW w:w="3439" w:type="pct"/>
            <w:shd w:val="clear" w:color="auto" w:fill="auto"/>
            <w:tcMar>
              <w:top w:w="57" w:type="dxa"/>
              <w:bottom w:w="57" w:type="dxa"/>
            </w:tcMar>
          </w:tcPr>
          <w:p w14:paraId="072F1A5B" w14:textId="77777777" w:rsidR="00F42187" w:rsidRPr="00A075A3" w:rsidRDefault="00F42187" w:rsidP="00065AFF">
            <w:pPr>
              <w:tabs>
                <w:tab w:val="center" w:pos="3152"/>
              </w:tabs>
              <w:rPr>
                <w:rFonts w:cs="Arial"/>
                <w:szCs w:val="19"/>
                <w:lang w:val="en-US"/>
              </w:rPr>
            </w:pPr>
            <w:r w:rsidRPr="00F52308">
              <w:rPr>
                <w:rFonts w:cs="Arial"/>
                <w:szCs w:val="19"/>
                <w:lang w:val="en-US"/>
              </w:rPr>
              <w:t xml:space="preserve">Treatment of symptoms of benign prostate </w:t>
            </w:r>
            <w:r>
              <w:rPr>
                <w:rFonts w:cs="Arial"/>
                <w:szCs w:val="19"/>
                <w:lang w:val="en-US"/>
              </w:rPr>
              <w:t xml:space="preserve">hyperplasia </w:t>
            </w:r>
            <w:r w:rsidRPr="00701FFF">
              <w:rPr>
                <w:rFonts w:cs="Arial"/>
                <w:sz w:val="16"/>
                <w:szCs w:val="16"/>
                <w:lang w:val="en-US"/>
              </w:rPr>
              <w:t>[UK]</w:t>
            </w:r>
          </w:p>
        </w:tc>
      </w:tr>
      <w:tr w:rsidR="00F42187" w:rsidRPr="00A075A3" w14:paraId="57C26073" w14:textId="77777777" w:rsidTr="00065AFF">
        <w:tc>
          <w:tcPr>
            <w:tcW w:w="1561" w:type="pct"/>
            <w:gridSpan w:val="2"/>
            <w:shd w:val="clear" w:color="auto" w:fill="auto"/>
            <w:tcMar>
              <w:top w:w="57" w:type="dxa"/>
              <w:bottom w:w="57" w:type="dxa"/>
            </w:tcMar>
          </w:tcPr>
          <w:p w14:paraId="2A1A5EAC" w14:textId="77777777" w:rsidR="00F42187" w:rsidRPr="00896AE9" w:rsidRDefault="00F42187" w:rsidP="00065AFF">
            <w:pPr>
              <w:rPr>
                <w:rFonts w:cs="Arial"/>
                <w:szCs w:val="19"/>
              </w:rPr>
            </w:pPr>
            <w:proofErr w:type="spellStart"/>
            <w:r w:rsidRPr="00676F37">
              <w:rPr>
                <w:rFonts w:cs="Arial"/>
                <w:szCs w:val="19"/>
              </w:rPr>
              <w:t>Govorestat</w:t>
            </w:r>
            <w:proofErr w:type="spellEnd"/>
            <w:r>
              <w:rPr>
                <w:rFonts w:cs="Arial"/>
                <w:szCs w:val="19"/>
              </w:rPr>
              <w:t xml:space="preserve"> </w:t>
            </w:r>
          </w:p>
        </w:tc>
        <w:tc>
          <w:tcPr>
            <w:tcW w:w="3439" w:type="pct"/>
            <w:shd w:val="clear" w:color="auto" w:fill="auto"/>
            <w:tcMar>
              <w:top w:w="57" w:type="dxa"/>
              <w:bottom w:w="57" w:type="dxa"/>
            </w:tcMar>
          </w:tcPr>
          <w:p w14:paraId="50AEAA26" w14:textId="77777777" w:rsidR="00F42187" w:rsidRPr="00A075A3" w:rsidRDefault="00F42187" w:rsidP="00065AFF">
            <w:pPr>
              <w:tabs>
                <w:tab w:val="center" w:pos="3152"/>
              </w:tabs>
              <w:rPr>
                <w:rFonts w:cs="Arial"/>
                <w:szCs w:val="19"/>
                <w:lang w:val="en-US"/>
              </w:rPr>
            </w:pPr>
            <w:r>
              <w:rPr>
                <w:rFonts w:cs="Arial"/>
                <w:szCs w:val="19"/>
                <w:lang w:val="en-US"/>
              </w:rPr>
              <w:t xml:space="preserve">Treatment of classic </w:t>
            </w:r>
            <w:proofErr w:type="spellStart"/>
            <w:r>
              <w:rPr>
                <w:rFonts w:cs="Arial"/>
                <w:szCs w:val="19"/>
                <w:lang w:val="en-US"/>
              </w:rPr>
              <w:t>g</w:t>
            </w:r>
            <w:r w:rsidRPr="00EB3332">
              <w:rPr>
                <w:rFonts w:cs="Arial"/>
                <w:szCs w:val="19"/>
                <w:lang w:val="en-US"/>
              </w:rPr>
              <w:t>alactosaemia</w:t>
            </w:r>
            <w:proofErr w:type="spellEnd"/>
            <w:r w:rsidRPr="00EB3332">
              <w:rPr>
                <w:rFonts w:cs="Arial"/>
                <w:szCs w:val="19"/>
                <w:lang w:val="en-US"/>
              </w:rPr>
              <w:t xml:space="preserve"> in children </w:t>
            </w:r>
            <w:r w:rsidRPr="00EB3332">
              <w:rPr>
                <w:rFonts w:cs="Arial"/>
                <w:sz w:val="16"/>
                <w:szCs w:val="16"/>
                <w:lang w:val="en-US"/>
              </w:rPr>
              <w:t>[EU]</w:t>
            </w:r>
          </w:p>
        </w:tc>
      </w:tr>
      <w:tr w:rsidR="00F42187" w14:paraId="50734AB7" w14:textId="77777777" w:rsidTr="00065AFF">
        <w:tc>
          <w:tcPr>
            <w:tcW w:w="1561" w:type="pct"/>
            <w:gridSpan w:val="2"/>
            <w:shd w:val="clear" w:color="auto" w:fill="auto"/>
            <w:tcMar>
              <w:top w:w="57" w:type="dxa"/>
              <w:bottom w:w="57" w:type="dxa"/>
            </w:tcMar>
          </w:tcPr>
          <w:p w14:paraId="56FB0427" w14:textId="77777777" w:rsidR="00F42187" w:rsidRPr="00606711" w:rsidRDefault="00F42187" w:rsidP="00065AFF">
            <w:pPr>
              <w:rPr>
                <w:rFonts w:cs="Arial"/>
                <w:szCs w:val="19"/>
              </w:rPr>
            </w:pPr>
            <w:r w:rsidRPr="00606711">
              <w:rPr>
                <w:rFonts w:cs="Arial"/>
                <w:szCs w:val="19"/>
              </w:rPr>
              <w:t>Human fibrinogen + human thrombin </w:t>
            </w:r>
            <w:r>
              <w:rPr>
                <w:rFonts w:cs="Arial"/>
                <w:szCs w:val="19"/>
              </w:rPr>
              <w:t>(</w:t>
            </w:r>
            <w:proofErr w:type="spellStart"/>
            <w:r>
              <w:rPr>
                <w:rFonts w:cs="Arial"/>
                <w:i/>
                <w:iCs/>
                <w:szCs w:val="19"/>
              </w:rPr>
              <w:t>VeraSeal</w:t>
            </w:r>
            <w:proofErr w:type="spellEnd"/>
            <w:r>
              <w:rPr>
                <w:rFonts w:cs="Arial"/>
                <w:szCs w:val="19"/>
              </w:rPr>
              <w:t>)</w:t>
            </w:r>
          </w:p>
        </w:tc>
        <w:tc>
          <w:tcPr>
            <w:tcW w:w="3439" w:type="pct"/>
            <w:shd w:val="clear" w:color="auto" w:fill="auto"/>
            <w:tcMar>
              <w:top w:w="57" w:type="dxa"/>
              <w:bottom w:w="57" w:type="dxa"/>
            </w:tcMar>
          </w:tcPr>
          <w:p w14:paraId="76DB26FA" w14:textId="77777777" w:rsidR="00F42187" w:rsidRDefault="00F42187" w:rsidP="00065AFF">
            <w:pPr>
              <w:tabs>
                <w:tab w:val="center" w:pos="3152"/>
              </w:tabs>
              <w:rPr>
                <w:rFonts w:cs="Arial"/>
                <w:szCs w:val="19"/>
                <w:lang w:val="en-US"/>
              </w:rPr>
            </w:pPr>
            <w:r w:rsidRPr="00606711">
              <w:rPr>
                <w:rFonts w:cs="Arial"/>
                <w:szCs w:val="19"/>
                <w:lang w:val="en-US"/>
              </w:rPr>
              <w:t xml:space="preserve">Supportive treatment in patients </w:t>
            </w:r>
            <w:r>
              <w:rPr>
                <w:rFonts w:cs="Arial"/>
                <w:szCs w:val="19"/>
                <w:lang w:val="en-US"/>
              </w:rPr>
              <w:t xml:space="preserve">of all ages </w:t>
            </w:r>
            <w:r w:rsidRPr="00606711">
              <w:rPr>
                <w:rFonts w:cs="Arial"/>
                <w:szCs w:val="19"/>
                <w:lang w:val="en-US"/>
              </w:rPr>
              <w:t>where standard surgical techniques are insufficient</w:t>
            </w:r>
            <w:r>
              <w:rPr>
                <w:rFonts w:cs="Arial"/>
                <w:szCs w:val="19"/>
                <w:lang w:val="en-US"/>
              </w:rPr>
              <w:t xml:space="preserve">, </w:t>
            </w:r>
            <w:r w:rsidRPr="00606711">
              <w:rPr>
                <w:rFonts w:cs="Arial"/>
                <w:szCs w:val="19"/>
                <w:lang w:val="en-US"/>
              </w:rPr>
              <w:t xml:space="preserve">for improvement of </w:t>
            </w:r>
            <w:proofErr w:type="spellStart"/>
            <w:r w:rsidRPr="00606711">
              <w:rPr>
                <w:rFonts w:cs="Arial"/>
                <w:szCs w:val="19"/>
                <w:lang w:val="en-US"/>
              </w:rPr>
              <w:t>haemostasis</w:t>
            </w:r>
            <w:proofErr w:type="spellEnd"/>
            <w:r>
              <w:rPr>
                <w:rFonts w:cs="Arial"/>
                <w:szCs w:val="19"/>
                <w:lang w:val="en-US"/>
              </w:rPr>
              <w:t xml:space="preserve"> and </w:t>
            </w:r>
            <w:r w:rsidRPr="00606711">
              <w:rPr>
                <w:rFonts w:cs="Arial"/>
                <w:szCs w:val="19"/>
                <w:lang w:val="en-US"/>
              </w:rPr>
              <w:t xml:space="preserve">as suture support </w:t>
            </w:r>
            <w:r>
              <w:rPr>
                <w:rFonts w:cs="Arial"/>
                <w:szCs w:val="19"/>
                <w:lang w:val="en-US"/>
              </w:rPr>
              <w:t>(</w:t>
            </w:r>
            <w:r w:rsidRPr="00606711">
              <w:rPr>
                <w:rFonts w:cs="Arial"/>
                <w:szCs w:val="19"/>
                <w:lang w:val="en-US"/>
              </w:rPr>
              <w:t>in vascular surgery</w:t>
            </w:r>
            <w:r>
              <w:rPr>
                <w:rFonts w:cs="Arial"/>
                <w:szCs w:val="19"/>
                <w:lang w:val="en-US"/>
              </w:rPr>
              <w:t xml:space="preserve">) </w:t>
            </w:r>
            <w:r w:rsidRPr="00606711">
              <w:rPr>
                <w:rFonts w:cs="Arial"/>
                <w:sz w:val="16"/>
                <w:szCs w:val="16"/>
                <w:lang w:val="en-US"/>
              </w:rPr>
              <w:t>[UK] [licence change from use only in adults]</w:t>
            </w:r>
          </w:p>
        </w:tc>
      </w:tr>
      <w:tr w:rsidR="00F42187" w:rsidRPr="00460B68" w14:paraId="0B3A7E2C" w14:textId="77777777" w:rsidTr="00065AFF">
        <w:tc>
          <w:tcPr>
            <w:tcW w:w="1561" w:type="pct"/>
            <w:gridSpan w:val="2"/>
            <w:shd w:val="clear" w:color="auto" w:fill="auto"/>
            <w:tcMar>
              <w:top w:w="57" w:type="dxa"/>
              <w:bottom w:w="57" w:type="dxa"/>
            </w:tcMar>
          </w:tcPr>
          <w:p w14:paraId="72063F18" w14:textId="77777777" w:rsidR="00F42187" w:rsidRPr="004910AC" w:rsidRDefault="00F42187" w:rsidP="00065AFF">
            <w:pPr>
              <w:rPr>
                <w:rFonts w:cs="Arial"/>
                <w:szCs w:val="19"/>
              </w:rPr>
            </w:pPr>
            <w:r>
              <w:rPr>
                <w:rFonts w:cs="Arial"/>
                <w:szCs w:val="19"/>
              </w:rPr>
              <w:t xml:space="preserve">Lazertinib </w:t>
            </w:r>
          </w:p>
        </w:tc>
        <w:tc>
          <w:tcPr>
            <w:tcW w:w="3439" w:type="pct"/>
            <w:shd w:val="clear" w:color="auto" w:fill="auto"/>
            <w:tcMar>
              <w:top w:w="57" w:type="dxa"/>
              <w:bottom w:w="57" w:type="dxa"/>
            </w:tcMar>
          </w:tcPr>
          <w:p w14:paraId="74AF7C25" w14:textId="77777777" w:rsidR="00F42187" w:rsidRPr="00460B68" w:rsidRDefault="00F42187" w:rsidP="00065AFF">
            <w:pPr>
              <w:tabs>
                <w:tab w:val="center" w:pos="3152"/>
              </w:tabs>
              <w:rPr>
                <w:rFonts w:cs="Arial"/>
                <w:szCs w:val="19"/>
                <w:lang w:val="en-US"/>
              </w:rPr>
            </w:pPr>
            <w:r>
              <w:rPr>
                <w:rFonts w:cs="Arial"/>
                <w:szCs w:val="19"/>
                <w:lang w:val="en-US"/>
              </w:rPr>
              <w:t xml:space="preserve">Use in </w:t>
            </w:r>
            <w:r w:rsidRPr="00701FFF">
              <w:rPr>
                <w:rFonts w:cs="Arial"/>
                <w:szCs w:val="19"/>
                <w:lang w:val="en-US"/>
              </w:rPr>
              <w:t xml:space="preserve">combination with </w:t>
            </w:r>
            <w:proofErr w:type="spellStart"/>
            <w:r w:rsidRPr="00701FFF">
              <w:rPr>
                <w:rFonts w:cs="Arial"/>
                <w:szCs w:val="19"/>
                <w:lang w:val="en-US"/>
              </w:rPr>
              <w:t>amivantamab</w:t>
            </w:r>
            <w:proofErr w:type="spellEnd"/>
            <w:r w:rsidRPr="00701FFF">
              <w:rPr>
                <w:rFonts w:cs="Arial"/>
                <w:szCs w:val="19"/>
                <w:lang w:val="en-US"/>
              </w:rPr>
              <w:t xml:space="preserve"> for the first-line treatment of adults with advanced non-small cell lung cancer with common epidermal growth factor receptor mutations, including exon 19 deletions or exon 21 L858R substitution mutations</w:t>
            </w:r>
            <w:r>
              <w:rPr>
                <w:rFonts w:cs="Arial"/>
                <w:szCs w:val="19"/>
                <w:lang w:val="en-US"/>
              </w:rPr>
              <w:t xml:space="preserve"> </w:t>
            </w:r>
            <w:r w:rsidRPr="00701FFF">
              <w:rPr>
                <w:rFonts w:cs="Arial"/>
                <w:sz w:val="16"/>
                <w:szCs w:val="16"/>
                <w:lang w:val="en-US"/>
              </w:rPr>
              <w:t>[</w:t>
            </w:r>
            <w:r>
              <w:rPr>
                <w:rFonts w:cs="Arial"/>
                <w:sz w:val="16"/>
                <w:szCs w:val="16"/>
                <w:lang w:val="en-US"/>
              </w:rPr>
              <w:t>EU</w:t>
            </w:r>
            <w:r w:rsidRPr="00701FFF">
              <w:rPr>
                <w:rFonts w:cs="Arial"/>
                <w:sz w:val="16"/>
                <w:szCs w:val="16"/>
                <w:lang w:val="en-US"/>
              </w:rPr>
              <w:t>]</w:t>
            </w:r>
          </w:p>
        </w:tc>
      </w:tr>
      <w:tr w:rsidR="00F42187" w:rsidRPr="00460B68" w14:paraId="1AB5FEC7" w14:textId="77777777" w:rsidTr="00065AFF">
        <w:tc>
          <w:tcPr>
            <w:tcW w:w="1561" w:type="pct"/>
            <w:gridSpan w:val="2"/>
            <w:shd w:val="clear" w:color="auto" w:fill="auto"/>
            <w:tcMar>
              <w:top w:w="57" w:type="dxa"/>
              <w:bottom w:w="57" w:type="dxa"/>
            </w:tcMar>
          </w:tcPr>
          <w:p w14:paraId="5E0712A8" w14:textId="77777777" w:rsidR="00F42187" w:rsidRDefault="00F42187" w:rsidP="00065AFF">
            <w:pPr>
              <w:rPr>
                <w:rFonts w:cs="Arial"/>
                <w:szCs w:val="19"/>
              </w:rPr>
            </w:pPr>
            <w:proofErr w:type="spellStart"/>
            <w:r w:rsidRPr="00D67800">
              <w:rPr>
                <w:rFonts w:cs="Arial"/>
                <w:szCs w:val="19"/>
              </w:rPr>
              <w:t>Marstacimab</w:t>
            </w:r>
            <w:proofErr w:type="spellEnd"/>
            <w:r>
              <w:rPr>
                <w:rFonts w:cs="Arial"/>
                <w:szCs w:val="19"/>
              </w:rPr>
              <w:t xml:space="preserve"> </w:t>
            </w:r>
          </w:p>
        </w:tc>
        <w:tc>
          <w:tcPr>
            <w:tcW w:w="3439" w:type="pct"/>
            <w:shd w:val="clear" w:color="auto" w:fill="auto"/>
            <w:tcMar>
              <w:top w:w="57" w:type="dxa"/>
              <w:bottom w:w="57" w:type="dxa"/>
            </w:tcMar>
          </w:tcPr>
          <w:p w14:paraId="5063AB78" w14:textId="77777777" w:rsidR="00F42187" w:rsidRPr="00460B68" w:rsidRDefault="00F42187" w:rsidP="00065AFF">
            <w:pPr>
              <w:tabs>
                <w:tab w:val="center" w:pos="3152"/>
              </w:tabs>
              <w:rPr>
                <w:rFonts w:cs="Arial"/>
                <w:szCs w:val="19"/>
                <w:lang w:val="en-US"/>
              </w:rPr>
            </w:pPr>
            <w:r w:rsidRPr="00812736">
              <w:rPr>
                <w:rFonts w:cs="Arial"/>
                <w:szCs w:val="19"/>
                <w:lang w:val="en-US"/>
              </w:rPr>
              <w:t>Routine prophylaxis of bleeding episodes in patients with haemophilia A or haemophilia B</w:t>
            </w:r>
            <w:r>
              <w:rPr>
                <w:rFonts w:cs="Arial"/>
                <w:szCs w:val="19"/>
                <w:lang w:val="en-US"/>
              </w:rPr>
              <w:t xml:space="preserve"> </w:t>
            </w:r>
            <w:r w:rsidRPr="00AB6DF5">
              <w:rPr>
                <w:rFonts w:cs="Arial"/>
                <w:sz w:val="16"/>
                <w:szCs w:val="16"/>
                <w:lang w:val="en-US"/>
              </w:rPr>
              <w:t>[EU]</w:t>
            </w:r>
          </w:p>
        </w:tc>
      </w:tr>
      <w:tr w:rsidR="00F42187" w:rsidRPr="00AF3A7A" w14:paraId="7551F5BF" w14:textId="77777777" w:rsidTr="00065AFF">
        <w:tc>
          <w:tcPr>
            <w:tcW w:w="1561" w:type="pct"/>
            <w:gridSpan w:val="2"/>
            <w:shd w:val="clear" w:color="auto" w:fill="auto"/>
            <w:tcMar>
              <w:top w:w="57" w:type="dxa"/>
              <w:bottom w:w="57" w:type="dxa"/>
            </w:tcMar>
          </w:tcPr>
          <w:p w14:paraId="52FBC626" w14:textId="77777777" w:rsidR="00F42187" w:rsidRPr="004C45B2" w:rsidRDefault="00F42187" w:rsidP="00065AFF">
            <w:pPr>
              <w:rPr>
                <w:rFonts w:cs="Arial"/>
                <w:szCs w:val="19"/>
              </w:rPr>
            </w:pPr>
            <w:r>
              <w:rPr>
                <w:rFonts w:cs="Arial"/>
                <w:szCs w:val="19"/>
              </w:rPr>
              <w:t>Melatonin (</w:t>
            </w:r>
            <w:proofErr w:type="spellStart"/>
            <w:r>
              <w:rPr>
                <w:rFonts w:cs="Arial"/>
                <w:i/>
                <w:iCs/>
                <w:szCs w:val="19"/>
              </w:rPr>
              <w:t>Slenyto</w:t>
            </w:r>
            <w:proofErr w:type="spellEnd"/>
            <w:r>
              <w:rPr>
                <w:rFonts w:cs="Arial"/>
                <w:szCs w:val="19"/>
              </w:rPr>
              <w:t>)</w:t>
            </w:r>
          </w:p>
        </w:tc>
        <w:tc>
          <w:tcPr>
            <w:tcW w:w="3439" w:type="pct"/>
            <w:shd w:val="clear" w:color="auto" w:fill="auto"/>
            <w:tcMar>
              <w:top w:w="57" w:type="dxa"/>
              <w:bottom w:w="57" w:type="dxa"/>
            </w:tcMar>
          </w:tcPr>
          <w:p w14:paraId="1FED7FF1" w14:textId="77777777" w:rsidR="00F42187" w:rsidRPr="00AF3A7A" w:rsidRDefault="00F42187" w:rsidP="00065AFF">
            <w:pPr>
              <w:tabs>
                <w:tab w:val="center" w:pos="3152"/>
              </w:tabs>
              <w:rPr>
                <w:rFonts w:cs="Arial"/>
                <w:szCs w:val="19"/>
                <w:lang w:val="en-US"/>
              </w:rPr>
            </w:pPr>
            <w:r w:rsidRPr="004C45B2">
              <w:rPr>
                <w:rFonts w:cs="Arial"/>
                <w:szCs w:val="19"/>
                <w:lang w:val="en-US"/>
              </w:rPr>
              <w:t>Treatment of neurogenetic disorders (</w:t>
            </w:r>
            <w:proofErr w:type="gramStart"/>
            <w:r w:rsidRPr="004C45B2">
              <w:rPr>
                <w:rFonts w:cs="Arial"/>
                <w:szCs w:val="19"/>
                <w:lang w:val="en-US"/>
              </w:rPr>
              <w:t>e.g.</w:t>
            </w:r>
            <w:proofErr w:type="gramEnd"/>
            <w:r w:rsidRPr="004C45B2">
              <w:rPr>
                <w:rFonts w:cs="Arial"/>
                <w:szCs w:val="19"/>
                <w:lang w:val="en-US"/>
              </w:rPr>
              <w:t xml:space="preserve"> Angelman syndrome, Rett syndrome, </w:t>
            </w:r>
            <w:r>
              <w:rPr>
                <w:rFonts w:cs="Arial"/>
                <w:szCs w:val="19"/>
                <w:lang w:val="en-US"/>
              </w:rPr>
              <w:t>t</w:t>
            </w:r>
            <w:r w:rsidRPr="004C45B2">
              <w:rPr>
                <w:rFonts w:cs="Arial"/>
                <w:szCs w:val="19"/>
                <w:lang w:val="en-US"/>
              </w:rPr>
              <w:t>uberous sclerosis complex and Williams syndrome)</w:t>
            </w:r>
            <w:r>
              <w:rPr>
                <w:rFonts w:cs="Arial"/>
                <w:szCs w:val="19"/>
                <w:lang w:val="en-US"/>
              </w:rPr>
              <w:t xml:space="preserve"> </w:t>
            </w:r>
            <w:r w:rsidRPr="004C45B2">
              <w:rPr>
                <w:rFonts w:cs="Arial"/>
                <w:sz w:val="16"/>
                <w:szCs w:val="16"/>
                <w:lang w:val="en-US"/>
              </w:rPr>
              <w:t>[EU] [new indication]</w:t>
            </w:r>
          </w:p>
        </w:tc>
      </w:tr>
      <w:tr w:rsidR="00F42187" w14:paraId="690F8C45" w14:textId="77777777" w:rsidTr="00065AFF">
        <w:tc>
          <w:tcPr>
            <w:tcW w:w="1561" w:type="pct"/>
            <w:gridSpan w:val="2"/>
            <w:shd w:val="clear" w:color="auto" w:fill="auto"/>
            <w:tcMar>
              <w:top w:w="57" w:type="dxa"/>
              <w:bottom w:w="57" w:type="dxa"/>
            </w:tcMar>
          </w:tcPr>
          <w:p w14:paraId="644D9F3D" w14:textId="77777777" w:rsidR="00F42187" w:rsidRPr="003A0080" w:rsidRDefault="00F42187" w:rsidP="00065AFF">
            <w:pPr>
              <w:rPr>
                <w:rFonts w:cs="Arial"/>
                <w:szCs w:val="19"/>
              </w:rPr>
            </w:pPr>
            <w:proofErr w:type="spellStart"/>
            <w:r>
              <w:rPr>
                <w:rFonts w:cs="Arial"/>
                <w:szCs w:val="19"/>
              </w:rPr>
              <w:t>O</w:t>
            </w:r>
            <w:r w:rsidRPr="00AF3A7A">
              <w:rPr>
                <w:rFonts w:cs="Arial"/>
                <w:szCs w:val="19"/>
              </w:rPr>
              <w:t>devixibat</w:t>
            </w:r>
            <w:proofErr w:type="spellEnd"/>
            <w:r w:rsidRPr="00AF3A7A">
              <w:rPr>
                <w:rFonts w:cs="Arial"/>
                <w:szCs w:val="19"/>
              </w:rPr>
              <w:t> </w:t>
            </w:r>
          </w:p>
        </w:tc>
        <w:tc>
          <w:tcPr>
            <w:tcW w:w="3439" w:type="pct"/>
            <w:shd w:val="clear" w:color="auto" w:fill="auto"/>
            <w:tcMar>
              <w:top w:w="57" w:type="dxa"/>
              <w:bottom w:w="57" w:type="dxa"/>
            </w:tcMar>
          </w:tcPr>
          <w:p w14:paraId="10E2D4EF" w14:textId="77777777" w:rsidR="00F42187" w:rsidRDefault="00F42187" w:rsidP="00065AFF">
            <w:pPr>
              <w:tabs>
                <w:tab w:val="center" w:pos="3152"/>
              </w:tabs>
              <w:rPr>
                <w:rFonts w:cs="Arial"/>
                <w:szCs w:val="19"/>
                <w:lang w:val="en-US"/>
              </w:rPr>
            </w:pPr>
            <w:r w:rsidRPr="00AF3A7A">
              <w:rPr>
                <w:rFonts w:cs="Arial"/>
                <w:szCs w:val="19"/>
                <w:lang w:val="en-US"/>
              </w:rPr>
              <w:t xml:space="preserve">Treatment of cholestatic pruritus in Alagille syndrome in patients aged </w:t>
            </w:r>
            <w:r>
              <w:rPr>
                <w:rFonts w:cs="Arial"/>
                <w:szCs w:val="19"/>
                <w:lang w:val="en-US"/>
              </w:rPr>
              <w:t>≥</w:t>
            </w:r>
            <w:r w:rsidRPr="00AF3A7A">
              <w:rPr>
                <w:rFonts w:cs="Arial"/>
                <w:szCs w:val="19"/>
                <w:lang w:val="en-US"/>
              </w:rPr>
              <w:t xml:space="preserve">6 months </w:t>
            </w:r>
            <w:r w:rsidRPr="00AF3A7A">
              <w:rPr>
                <w:rFonts w:cs="Arial"/>
                <w:sz w:val="16"/>
                <w:szCs w:val="16"/>
                <w:lang w:val="en-US"/>
              </w:rPr>
              <w:t>[EU] [new formulation with new indication]</w:t>
            </w:r>
          </w:p>
        </w:tc>
      </w:tr>
      <w:tr w:rsidR="00F42187" w14:paraId="283AA7DA" w14:textId="77777777" w:rsidTr="00065AFF">
        <w:tc>
          <w:tcPr>
            <w:tcW w:w="1561" w:type="pct"/>
            <w:gridSpan w:val="2"/>
            <w:shd w:val="clear" w:color="auto" w:fill="auto"/>
            <w:tcMar>
              <w:top w:w="57" w:type="dxa"/>
              <w:bottom w:w="57" w:type="dxa"/>
            </w:tcMar>
          </w:tcPr>
          <w:p w14:paraId="14851CCB" w14:textId="77777777" w:rsidR="00F42187" w:rsidRPr="00692AD4" w:rsidRDefault="00F42187" w:rsidP="00065AFF">
            <w:pPr>
              <w:rPr>
                <w:rFonts w:cs="Arial"/>
                <w:szCs w:val="19"/>
              </w:rPr>
            </w:pPr>
            <w:r>
              <w:rPr>
                <w:rFonts w:cs="Arial"/>
                <w:szCs w:val="19"/>
              </w:rPr>
              <w:t>Osimertinib (</w:t>
            </w:r>
            <w:proofErr w:type="spellStart"/>
            <w:r>
              <w:rPr>
                <w:rFonts w:cs="Arial"/>
                <w:i/>
                <w:iCs/>
                <w:szCs w:val="19"/>
              </w:rPr>
              <w:t>Tagrisso</w:t>
            </w:r>
            <w:proofErr w:type="spellEnd"/>
            <w:r>
              <w:rPr>
                <w:rFonts w:cs="Arial"/>
                <w:szCs w:val="19"/>
              </w:rPr>
              <w:t>)</w:t>
            </w:r>
          </w:p>
        </w:tc>
        <w:tc>
          <w:tcPr>
            <w:tcW w:w="3439" w:type="pct"/>
            <w:shd w:val="clear" w:color="auto" w:fill="auto"/>
            <w:tcMar>
              <w:top w:w="57" w:type="dxa"/>
              <w:bottom w:w="57" w:type="dxa"/>
            </w:tcMar>
          </w:tcPr>
          <w:p w14:paraId="51AE5689" w14:textId="77777777" w:rsidR="00F42187" w:rsidRDefault="00F42187" w:rsidP="00065AFF">
            <w:pPr>
              <w:tabs>
                <w:tab w:val="center" w:pos="3152"/>
              </w:tabs>
              <w:rPr>
                <w:rFonts w:cs="Arial"/>
                <w:szCs w:val="19"/>
                <w:lang w:val="en-US"/>
              </w:rPr>
            </w:pPr>
            <w:r>
              <w:rPr>
                <w:rFonts w:cs="Arial"/>
                <w:szCs w:val="19"/>
                <w:lang w:val="en-US"/>
              </w:rPr>
              <w:t xml:space="preserve">Use </w:t>
            </w:r>
            <w:r w:rsidRPr="00692AD4">
              <w:rPr>
                <w:rFonts w:cs="Arial"/>
                <w:szCs w:val="19"/>
                <w:lang w:val="en-US"/>
              </w:rPr>
              <w:t>in combination with pemetrexed and platinum-based chemotherapy for the first-line treatment of adults with locally advanced or metastatic non-small cell lung cancer with activating epidermal growth factor receptor mutations</w:t>
            </w:r>
            <w:r>
              <w:rPr>
                <w:rFonts w:cs="Arial"/>
                <w:szCs w:val="19"/>
                <w:lang w:val="en-US"/>
              </w:rPr>
              <w:t xml:space="preserve"> </w:t>
            </w:r>
            <w:r w:rsidRPr="00692AD4">
              <w:rPr>
                <w:rFonts w:cs="Arial"/>
                <w:sz w:val="16"/>
                <w:szCs w:val="16"/>
                <w:lang w:val="en-US"/>
              </w:rPr>
              <w:t xml:space="preserve">[EU] </w:t>
            </w:r>
            <w:r>
              <w:rPr>
                <w:rFonts w:cs="Arial"/>
                <w:sz w:val="16"/>
                <w:szCs w:val="16"/>
                <w:lang w:val="en-US"/>
              </w:rPr>
              <w:t>[</w:t>
            </w:r>
            <w:r w:rsidRPr="00692AD4">
              <w:rPr>
                <w:rFonts w:cs="Arial"/>
                <w:sz w:val="16"/>
                <w:szCs w:val="16"/>
                <w:lang w:val="en-US"/>
              </w:rPr>
              <w:t>new indication]</w:t>
            </w:r>
          </w:p>
        </w:tc>
      </w:tr>
      <w:tr w:rsidR="00F42187" w14:paraId="3462B007" w14:textId="77777777" w:rsidTr="00065AFF">
        <w:tc>
          <w:tcPr>
            <w:tcW w:w="1561" w:type="pct"/>
            <w:gridSpan w:val="2"/>
            <w:shd w:val="clear" w:color="auto" w:fill="auto"/>
            <w:tcMar>
              <w:top w:w="57" w:type="dxa"/>
              <w:bottom w:w="57" w:type="dxa"/>
            </w:tcMar>
          </w:tcPr>
          <w:p w14:paraId="6D46271E" w14:textId="77777777" w:rsidR="00F42187" w:rsidRPr="00877DA3" w:rsidRDefault="00F42187" w:rsidP="00065AFF">
            <w:pPr>
              <w:rPr>
                <w:rFonts w:cs="Arial"/>
                <w:szCs w:val="19"/>
              </w:rPr>
            </w:pPr>
            <w:r>
              <w:rPr>
                <w:rFonts w:cs="Arial"/>
                <w:szCs w:val="19"/>
              </w:rPr>
              <w:t>Remdesivir (</w:t>
            </w:r>
            <w:proofErr w:type="spellStart"/>
            <w:r>
              <w:rPr>
                <w:rFonts w:cs="Arial"/>
                <w:i/>
                <w:iCs/>
                <w:szCs w:val="19"/>
              </w:rPr>
              <w:t>Veklury</w:t>
            </w:r>
            <w:proofErr w:type="spellEnd"/>
            <w:r>
              <w:rPr>
                <w:rFonts w:cs="Arial"/>
                <w:szCs w:val="19"/>
              </w:rPr>
              <w:t>)</w:t>
            </w:r>
          </w:p>
        </w:tc>
        <w:tc>
          <w:tcPr>
            <w:tcW w:w="3439" w:type="pct"/>
            <w:shd w:val="clear" w:color="auto" w:fill="auto"/>
            <w:tcMar>
              <w:top w:w="57" w:type="dxa"/>
              <w:bottom w:w="57" w:type="dxa"/>
            </w:tcMar>
          </w:tcPr>
          <w:p w14:paraId="37578A55" w14:textId="77777777" w:rsidR="00F42187" w:rsidRDefault="00F42187" w:rsidP="00065AFF">
            <w:pPr>
              <w:tabs>
                <w:tab w:val="center" w:pos="3152"/>
              </w:tabs>
              <w:rPr>
                <w:rFonts w:cs="Arial"/>
                <w:szCs w:val="19"/>
                <w:lang w:val="en-US"/>
              </w:rPr>
            </w:pPr>
            <w:r w:rsidRPr="00877DA3">
              <w:rPr>
                <w:rFonts w:cs="Arial"/>
                <w:szCs w:val="19"/>
              </w:rPr>
              <w:t>Treatment of coronavirus disease 2019 (COVID-19) in</w:t>
            </w:r>
            <w:r>
              <w:rPr>
                <w:rFonts w:cs="Arial"/>
                <w:szCs w:val="19"/>
              </w:rPr>
              <w:t xml:space="preserve"> </w:t>
            </w:r>
            <w:r w:rsidRPr="00877DA3">
              <w:rPr>
                <w:rFonts w:cs="Arial"/>
                <w:szCs w:val="19"/>
              </w:rPr>
              <w:t xml:space="preserve">paediatric patients weighing </w:t>
            </w:r>
            <w:r>
              <w:rPr>
                <w:rFonts w:cs="Arial"/>
                <w:szCs w:val="19"/>
              </w:rPr>
              <w:t>≥</w:t>
            </w:r>
            <w:r w:rsidRPr="00877DA3">
              <w:rPr>
                <w:rFonts w:cs="Arial"/>
                <w:szCs w:val="19"/>
              </w:rPr>
              <w:t>1.5kg</w:t>
            </w:r>
            <w:r>
              <w:rPr>
                <w:rFonts w:cs="Arial"/>
                <w:szCs w:val="19"/>
              </w:rPr>
              <w:t xml:space="preserve"> </w:t>
            </w:r>
            <w:r w:rsidRPr="00877DA3">
              <w:rPr>
                <w:rFonts w:cs="Arial"/>
                <w:sz w:val="16"/>
                <w:szCs w:val="16"/>
              </w:rPr>
              <w:t>[EU] [licence change from use only in patients weighting ≥3kg]</w:t>
            </w:r>
          </w:p>
        </w:tc>
      </w:tr>
      <w:tr w:rsidR="00F42187" w:rsidRPr="00460B68" w14:paraId="5D7E3FAC" w14:textId="77777777" w:rsidTr="00065AFF">
        <w:tc>
          <w:tcPr>
            <w:tcW w:w="1561" w:type="pct"/>
            <w:gridSpan w:val="2"/>
            <w:shd w:val="clear" w:color="auto" w:fill="auto"/>
            <w:tcMar>
              <w:top w:w="57" w:type="dxa"/>
              <w:bottom w:w="57" w:type="dxa"/>
            </w:tcMar>
          </w:tcPr>
          <w:p w14:paraId="4907CB84" w14:textId="77777777" w:rsidR="00F42187" w:rsidRPr="004910AC" w:rsidRDefault="00F42187" w:rsidP="00065AFF">
            <w:pPr>
              <w:rPr>
                <w:rFonts w:cs="Arial"/>
                <w:szCs w:val="19"/>
              </w:rPr>
            </w:pPr>
            <w:proofErr w:type="spellStart"/>
            <w:r w:rsidRPr="003A0080">
              <w:rPr>
                <w:rFonts w:cs="Arial"/>
                <w:szCs w:val="19"/>
              </w:rPr>
              <w:t>Repotrectinib</w:t>
            </w:r>
            <w:proofErr w:type="spellEnd"/>
            <w:r>
              <w:rPr>
                <w:rFonts w:cs="Arial"/>
                <w:szCs w:val="19"/>
              </w:rPr>
              <w:t xml:space="preserve"> (</w:t>
            </w:r>
            <w:proofErr w:type="spellStart"/>
            <w:r w:rsidRPr="003A0080">
              <w:rPr>
                <w:rFonts w:cs="Arial"/>
                <w:i/>
                <w:iCs/>
                <w:szCs w:val="19"/>
              </w:rPr>
              <w:t>Augtyro</w:t>
            </w:r>
            <w:proofErr w:type="spellEnd"/>
            <w:r>
              <w:rPr>
                <w:rFonts w:cs="Arial"/>
                <w:szCs w:val="19"/>
              </w:rPr>
              <w:t>)</w:t>
            </w:r>
          </w:p>
        </w:tc>
        <w:tc>
          <w:tcPr>
            <w:tcW w:w="3439" w:type="pct"/>
            <w:shd w:val="clear" w:color="auto" w:fill="auto"/>
            <w:tcMar>
              <w:top w:w="57" w:type="dxa"/>
              <w:bottom w:w="57" w:type="dxa"/>
            </w:tcMar>
          </w:tcPr>
          <w:p w14:paraId="4B177206" w14:textId="77777777" w:rsidR="00F42187" w:rsidRPr="00460B68" w:rsidRDefault="00F42187" w:rsidP="00065AFF">
            <w:pPr>
              <w:tabs>
                <w:tab w:val="center" w:pos="3152"/>
              </w:tabs>
              <w:rPr>
                <w:rFonts w:cs="Arial"/>
                <w:szCs w:val="19"/>
                <w:lang w:val="en-US"/>
              </w:rPr>
            </w:pPr>
            <w:r>
              <w:rPr>
                <w:rFonts w:cs="Arial"/>
                <w:szCs w:val="19"/>
                <w:lang w:val="en-US"/>
              </w:rPr>
              <w:t>Treatment of locally a</w:t>
            </w:r>
            <w:r w:rsidRPr="003A0080">
              <w:rPr>
                <w:rFonts w:cs="Arial"/>
                <w:szCs w:val="19"/>
                <w:lang w:val="en-US"/>
              </w:rPr>
              <w:t xml:space="preserve">dvanced </w:t>
            </w:r>
            <w:r>
              <w:rPr>
                <w:rFonts w:cs="Arial"/>
                <w:szCs w:val="19"/>
                <w:lang w:val="en-US"/>
              </w:rPr>
              <w:t xml:space="preserve">or metastatic </w:t>
            </w:r>
            <w:r w:rsidRPr="003A0080">
              <w:rPr>
                <w:rFonts w:cs="Arial"/>
                <w:szCs w:val="19"/>
                <w:lang w:val="en-US"/>
              </w:rPr>
              <w:t xml:space="preserve">ROS1-positive non-small cell lung cancer in TKI-naïve and -pretreated adults and NTRK-positive locally advanced or metastatic solid tumors in TKI-naïve and -pretreated adults and children aged </w:t>
            </w:r>
            <w:r>
              <w:rPr>
                <w:rFonts w:cs="Arial"/>
                <w:szCs w:val="19"/>
                <w:lang w:val="en-US"/>
              </w:rPr>
              <w:t>≥</w:t>
            </w:r>
            <w:r w:rsidRPr="003A0080">
              <w:rPr>
                <w:rFonts w:cs="Arial"/>
                <w:szCs w:val="19"/>
                <w:lang w:val="en-US"/>
              </w:rPr>
              <w:t xml:space="preserve">12 years </w:t>
            </w:r>
            <w:r w:rsidRPr="003A0080">
              <w:rPr>
                <w:rFonts w:cs="Arial"/>
                <w:sz w:val="16"/>
                <w:szCs w:val="16"/>
                <w:lang w:val="en-US"/>
              </w:rPr>
              <w:t>[EU]</w:t>
            </w:r>
          </w:p>
        </w:tc>
      </w:tr>
      <w:tr w:rsidR="00490F09" w:rsidRPr="002D7598" w14:paraId="67961034" w14:textId="77777777" w:rsidTr="00065AFF">
        <w:tc>
          <w:tcPr>
            <w:tcW w:w="1561" w:type="pct"/>
            <w:gridSpan w:val="2"/>
            <w:shd w:val="clear" w:color="auto" w:fill="auto"/>
            <w:tcMar>
              <w:top w:w="57" w:type="dxa"/>
              <w:bottom w:w="57" w:type="dxa"/>
            </w:tcMar>
          </w:tcPr>
          <w:p w14:paraId="7FD748DF" w14:textId="7DC7457E" w:rsidR="00490F09" w:rsidRDefault="00490F09" w:rsidP="00065AFF">
            <w:pPr>
              <w:rPr>
                <w:rFonts w:cs="Arial"/>
                <w:szCs w:val="19"/>
              </w:rPr>
            </w:pPr>
            <w:r>
              <w:rPr>
                <w:rFonts w:cs="Arial"/>
                <w:szCs w:val="19"/>
              </w:rPr>
              <w:t>Respira</w:t>
            </w:r>
            <w:r w:rsidRPr="00490F09">
              <w:rPr>
                <w:rFonts w:cs="Arial"/>
                <w:szCs w:val="19"/>
              </w:rPr>
              <w:t>tory syncytial virus vaccine</w:t>
            </w:r>
          </w:p>
        </w:tc>
        <w:tc>
          <w:tcPr>
            <w:tcW w:w="3439" w:type="pct"/>
            <w:shd w:val="clear" w:color="auto" w:fill="auto"/>
            <w:tcMar>
              <w:top w:w="57" w:type="dxa"/>
              <w:bottom w:w="57" w:type="dxa"/>
            </w:tcMar>
          </w:tcPr>
          <w:p w14:paraId="0A907E36" w14:textId="77777777" w:rsidR="00490F09" w:rsidRDefault="00490F09" w:rsidP="00490F09">
            <w:pPr>
              <w:tabs>
                <w:tab w:val="center" w:pos="3152"/>
              </w:tabs>
              <w:rPr>
                <w:rFonts w:cs="Arial"/>
                <w:sz w:val="16"/>
                <w:szCs w:val="16"/>
                <w:lang w:val="en-US"/>
              </w:rPr>
            </w:pPr>
            <w:r>
              <w:rPr>
                <w:rFonts w:cs="Arial"/>
                <w:szCs w:val="19"/>
                <w:lang w:val="en-US"/>
              </w:rPr>
              <w:t>Prevention of r</w:t>
            </w:r>
            <w:r w:rsidRPr="00490F09">
              <w:rPr>
                <w:rFonts w:cs="Arial"/>
                <w:szCs w:val="19"/>
                <w:lang w:val="en-US"/>
              </w:rPr>
              <w:t xml:space="preserve">espiratory syncytial virus infection in people aged </w:t>
            </w:r>
            <w:r>
              <w:rPr>
                <w:rFonts w:cs="Arial"/>
                <w:szCs w:val="19"/>
                <w:lang w:val="en-US"/>
              </w:rPr>
              <w:t>≥</w:t>
            </w:r>
            <w:r w:rsidRPr="00490F09">
              <w:rPr>
                <w:rFonts w:cs="Arial"/>
                <w:szCs w:val="19"/>
                <w:lang w:val="en-US"/>
              </w:rPr>
              <w:t xml:space="preserve">60 </w:t>
            </w:r>
            <w:proofErr w:type="gramStart"/>
            <w:r w:rsidRPr="00490F09">
              <w:rPr>
                <w:rFonts w:cs="Arial"/>
                <w:sz w:val="16"/>
                <w:szCs w:val="16"/>
                <w:lang w:val="en-US"/>
              </w:rPr>
              <w:t>years</w:t>
            </w:r>
            <w:proofErr w:type="gramEnd"/>
            <w:r w:rsidRPr="00490F09">
              <w:rPr>
                <w:rFonts w:cs="Arial"/>
                <w:sz w:val="16"/>
                <w:szCs w:val="16"/>
                <w:lang w:val="en-US"/>
              </w:rPr>
              <w:t xml:space="preserve"> </w:t>
            </w:r>
          </w:p>
          <w:p w14:paraId="0113970A" w14:textId="60C1EC3B" w:rsidR="00490F09" w:rsidRPr="002D7598" w:rsidRDefault="00490F09" w:rsidP="00490F09">
            <w:pPr>
              <w:tabs>
                <w:tab w:val="center" w:pos="3152"/>
              </w:tabs>
              <w:rPr>
                <w:rFonts w:cs="Arial"/>
                <w:szCs w:val="19"/>
                <w:lang w:val="en-US"/>
              </w:rPr>
            </w:pPr>
            <w:r w:rsidRPr="00490F09">
              <w:rPr>
                <w:rFonts w:cs="Arial"/>
                <w:sz w:val="16"/>
                <w:szCs w:val="16"/>
                <w:lang w:val="en-US"/>
              </w:rPr>
              <w:t xml:space="preserve">[UK and EU] </w:t>
            </w:r>
            <w:r>
              <w:rPr>
                <w:rFonts w:cs="Arial"/>
                <w:sz w:val="16"/>
                <w:szCs w:val="16"/>
                <w:lang w:val="en-US"/>
              </w:rPr>
              <w:t>[</w:t>
            </w:r>
            <w:r w:rsidRPr="00490F09">
              <w:rPr>
                <w:rFonts w:cs="Arial"/>
                <w:sz w:val="16"/>
                <w:szCs w:val="16"/>
                <w:lang w:val="en-US"/>
              </w:rPr>
              <w:t>new Moderna formulation]</w:t>
            </w:r>
          </w:p>
        </w:tc>
      </w:tr>
      <w:tr w:rsidR="00F42187" w:rsidRPr="002D7598" w14:paraId="51BD804C" w14:textId="77777777" w:rsidTr="00065AFF">
        <w:tc>
          <w:tcPr>
            <w:tcW w:w="1561" w:type="pct"/>
            <w:gridSpan w:val="2"/>
            <w:shd w:val="clear" w:color="auto" w:fill="auto"/>
            <w:tcMar>
              <w:top w:w="57" w:type="dxa"/>
              <w:bottom w:w="57" w:type="dxa"/>
            </w:tcMar>
          </w:tcPr>
          <w:p w14:paraId="4F5D8E1D" w14:textId="77777777" w:rsidR="00F42187" w:rsidRDefault="00F42187" w:rsidP="00065AFF">
            <w:pPr>
              <w:rPr>
                <w:rFonts w:cs="Arial"/>
                <w:szCs w:val="19"/>
              </w:rPr>
            </w:pPr>
            <w:r>
              <w:rPr>
                <w:rFonts w:cs="Arial"/>
                <w:szCs w:val="19"/>
              </w:rPr>
              <w:t>Rituxima</w:t>
            </w:r>
            <w:r w:rsidRPr="002D7598">
              <w:rPr>
                <w:rFonts w:cs="Arial"/>
                <w:szCs w:val="19"/>
              </w:rPr>
              <w:t xml:space="preserve">b biosimilar </w:t>
            </w:r>
            <w:r>
              <w:rPr>
                <w:rFonts w:cs="Arial"/>
                <w:szCs w:val="19"/>
              </w:rPr>
              <w:t xml:space="preserve">– </w:t>
            </w:r>
            <w:r w:rsidRPr="002D7598">
              <w:rPr>
                <w:rFonts w:cs="Arial"/>
                <w:szCs w:val="19"/>
              </w:rPr>
              <w:t>DRL</w:t>
            </w:r>
            <w:r>
              <w:rPr>
                <w:rFonts w:cs="Arial"/>
                <w:szCs w:val="19"/>
              </w:rPr>
              <w:t>_</w:t>
            </w:r>
            <w:r w:rsidRPr="002D7598">
              <w:rPr>
                <w:rFonts w:cs="Arial"/>
                <w:szCs w:val="19"/>
              </w:rPr>
              <w:t>RI </w:t>
            </w:r>
          </w:p>
        </w:tc>
        <w:tc>
          <w:tcPr>
            <w:tcW w:w="3439" w:type="pct"/>
            <w:shd w:val="clear" w:color="auto" w:fill="auto"/>
            <w:tcMar>
              <w:top w:w="57" w:type="dxa"/>
              <w:bottom w:w="57" w:type="dxa"/>
            </w:tcMar>
          </w:tcPr>
          <w:p w14:paraId="5321C633" w14:textId="77777777" w:rsidR="00F42187" w:rsidRPr="002D7598" w:rsidRDefault="00F42187" w:rsidP="00065AFF">
            <w:pPr>
              <w:tabs>
                <w:tab w:val="center" w:pos="3152"/>
              </w:tabs>
              <w:rPr>
                <w:rFonts w:cs="Arial"/>
                <w:szCs w:val="19"/>
                <w:lang w:val="en-US"/>
              </w:rPr>
            </w:pPr>
            <w:r w:rsidRPr="002D7598">
              <w:rPr>
                <w:rFonts w:cs="Arial"/>
                <w:szCs w:val="19"/>
                <w:lang w:val="en-US"/>
              </w:rPr>
              <w:t>Non-Hodgkin's lymphoma</w:t>
            </w:r>
            <w:r>
              <w:rPr>
                <w:rFonts w:cs="Arial"/>
                <w:szCs w:val="19"/>
                <w:lang w:val="en-US"/>
              </w:rPr>
              <w:t xml:space="preserve"> and other </w:t>
            </w:r>
            <w:proofErr w:type="spellStart"/>
            <w:r>
              <w:rPr>
                <w:rFonts w:cs="Arial"/>
                <w:i/>
                <w:iCs/>
                <w:szCs w:val="19"/>
                <w:lang w:val="en-US"/>
              </w:rPr>
              <w:t>Mabthera</w:t>
            </w:r>
            <w:proofErr w:type="spellEnd"/>
            <w:r>
              <w:rPr>
                <w:rFonts w:cs="Arial"/>
                <w:i/>
                <w:iCs/>
                <w:szCs w:val="19"/>
                <w:lang w:val="en-US"/>
              </w:rPr>
              <w:t xml:space="preserve"> </w:t>
            </w:r>
            <w:r>
              <w:rPr>
                <w:rFonts w:cs="Arial"/>
                <w:szCs w:val="19"/>
                <w:lang w:val="en-US"/>
              </w:rPr>
              <w:t xml:space="preserve">indications </w:t>
            </w:r>
            <w:r w:rsidRPr="002D7598">
              <w:rPr>
                <w:rFonts w:cs="Arial"/>
                <w:sz w:val="16"/>
                <w:szCs w:val="16"/>
                <w:lang w:val="en-US"/>
              </w:rPr>
              <w:t>[UK and EU]</w:t>
            </w:r>
          </w:p>
        </w:tc>
      </w:tr>
      <w:tr w:rsidR="00F42187" w:rsidRPr="00C5010E" w14:paraId="00764178" w14:textId="77777777" w:rsidTr="00065AFF">
        <w:tc>
          <w:tcPr>
            <w:tcW w:w="1561" w:type="pct"/>
            <w:gridSpan w:val="2"/>
            <w:shd w:val="clear" w:color="auto" w:fill="auto"/>
            <w:tcMar>
              <w:top w:w="57" w:type="dxa"/>
              <w:bottom w:w="57" w:type="dxa"/>
            </w:tcMar>
          </w:tcPr>
          <w:p w14:paraId="6DEFC16B" w14:textId="77777777" w:rsidR="00F42187" w:rsidRPr="006E1E9F" w:rsidRDefault="00F42187" w:rsidP="00065AFF">
            <w:pPr>
              <w:rPr>
                <w:rFonts w:cs="Arial"/>
                <w:szCs w:val="19"/>
              </w:rPr>
            </w:pPr>
            <w:proofErr w:type="spellStart"/>
            <w:r>
              <w:rPr>
                <w:rFonts w:cs="Arial"/>
                <w:szCs w:val="19"/>
              </w:rPr>
              <w:t>Ruxolitinib</w:t>
            </w:r>
            <w:proofErr w:type="spellEnd"/>
            <w:r>
              <w:rPr>
                <w:rFonts w:cs="Arial"/>
                <w:szCs w:val="19"/>
              </w:rPr>
              <w:t xml:space="preserve"> (</w:t>
            </w:r>
            <w:proofErr w:type="spellStart"/>
            <w:r>
              <w:rPr>
                <w:rFonts w:cs="Arial"/>
                <w:i/>
                <w:iCs/>
                <w:szCs w:val="19"/>
              </w:rPr>
              <w:t>Jakavi</w:t>
            </w:r>
            <w:proofErr w:type="spellEnd"/>
            <w:r>
              <w:rPr>
                <w:rFonts w:cs="Arial"/>
                <w:szCs w:val="19"/>
              </w:rPr>
              <w:t>)</w:t>
            </w:r>
          </w:p>
        </w:tc>
        <w:tc>
          <w:tcPr>
            <w:tcW w:w="3439" w:type="pct"/>
            <w:shd w:val="clear" w:color="auto" w:fill="auto"/>
            <w:tcMar>
              <w:top w:w="57" w:type="dxa"/>
              <w:bottom w:w="57" w:type="dxa"/>
            </w:tcMar>
          </w:tcPr>
          <w:p w14:paraId="21DC0F99" w14:textId="77777777" w:rsidR="00F42187" w:rsidRDefault="00F42187" w:rsidP="00065AFF">
            <w:pPr>
              <w:tabs>
                <w:tab w:val="center" w:pos="3152"/>
              </w:tabs>
              <w:rPr>
                <w:rFonts w:cs="Arial"/>
                <w:sz w:val="16"/>
                <w:szCs w:val="16"/>
                <w:lang w:val="en-US"/>
              </w:rPr>
            </w:pPr>
            <w:r w:rsidRPr="006E1E9F">
              <w:rPr>
                <w:rFonts w:cs="Arial"/>
                <w:szCs w:val="19"/>
                <w:lang w:val="en-US"/>
              </w:rPr>
              <w:t xml:space="preserve">Treatment of paediatric patients aged </w:t>
            </w:r>
            <w:r>
              <w:rPr>
                <w:rFonts w:cs="Arial"/>
                <w:szCs w:val="19"/>
                <w:lang w:val="en-US"/>
              </w:rPr>
              <w:t>≥</w:t>
            </w:r>
            <w:r w:rsidRPr="006E1E9F">
              <w:rPr>
                <w:rFonts w:cs="Arial"/>
                <w:szCs w:val="19"/>
                <w:lang w:val="en-US"/>
              </w:rPr>
              <w:t xml:space="preserve">28 days </w:t>
            </w:r>
            <w:r>
              <w:rPr>
                <w:rFonts w:cs="Arial"/>
                <w:szCs w:val="19"/>
                <w:lang w:val="en-US"/>
              </w:rPr>
              <w:t>with</w:t>
            </w:r>
            <w:r w:rsidRPr="006E1E9F">
              <w:rPr>
                <w:rFonts w:cs="Arial"/>
                <w:szCs w:val="19"/>
                <w:lang w:val="en-US"/>
              </w:rPr>
              <w:t xml:space="preserve"> acute </w:t>
            </w:r>
            <w:r>
              <w:rPr>
                <w:rFonts w:cs="Arial"/>
                <w:szCs w:val="19"/>
                <w:lang w:val="en-US"/>
              </w:rPr>
              <w:t xml:space="preserve">graft versus host disease </w:t>
            </w:r>
            <w:r w:rsidRPr="00E2051A">
              <w:rPr>
                <w:rFonts w:cs="Arial"/>
                <w:sz w:val="16"/>
                <w:szCs w:val="16"/>
                <w:lang w:val="en-US"/>
              </w:rPr>
              <w:t xml:space="preserve">[EU] </w:t>
            </w:r>
          </w:p>
          <w:p w14:paraId="124F1F73" w14:textId="77777777" w:rsidR="00F42187" w:rsidRPr="00C5010E" w:rsidRDefault="00F42187" w:rsidP="00065AFF">
            <w:pPr>
              <w:tabs>
                <w:tab w:val="center" w:pos="3152"/>
              </w:tabs>
              <w:rPr>
                <w:rFonts w:cs="Arial"/>
                <w:szCs w:val="19"/>
                <w:lang w:val="en-US"/>
              </w:rPr>
            </w:pPr>
            <w:r w:rsidRPr="00E2051A">
              <w:rPr>
                <w:rFonts w:cs="Arial"/>
                <w:sz w:val="16"/>
                <w:szCs w:val="16"/>
                <w:lang w:val="en-US"/>
              </w:rPr>
              <w:t>[licence change from use only in patients aged ≥12 years and new oral solution formulation]</w:t>
            </w:r>
          </w:p>
        </w:tc>
      </w:tr>
      <w:tr w:rsidR="00F42187" w:rsidRPr="00C5010E" w14:paraId="52EE10E2" w14:textId="77777777" w:rsidTr="00065AFF">
        <w:tc>
          <w:tcPr>
            <w:tcW w:w="1561" w:type="pct"/>
            <w:gridSpan w:val="2"/>
            <w:shd w:val="clear" w:color="auto" w:fill="auto"/>
            <w:tcMar>
              <w:top w:w="57" w:type="dxa"/>
              <w:bottom w:w="57" w:type="dxa"/>
            </w:tcMar>
          </w:tcPr>
          <w:p w14:paraId="53BA3F08" w14:textId="77777777" w:rsidR="00F42187" w:rsidRDefault="00F42187" w:rsidP="00065AFF">
            <w:pPr>
              <w:rPr>
                <w:rFonts w:cs="Arial"/>
                <w:szCs w:val="19"/>
              </w:rPr>
            </w:pPr>
            <w:proofErr w:type="spellStart"/>
            <w:r>
              <w:rPr>
                <w:rFonts w:cs="Arial"/>
                <w:szCs w:val="19"/>
              </w:rPr>
              <w:t>Ruxolitinib</w:t>
            </w:r>
            <w:proofErr w:type="spellEnd"/>
            <w:r>
              <w:rPr>
                <w:rFonts w:cs="Arial"/>
                <w:szCs w:val="19"/>
              </w:rPr>
              <w:t xml:space="preserve"> (</w:t>
            </w:r>
            <w:proofErr w:type="spellStart"/>
            <w:r>
              <w:rPr>
                <w:rFonts w:cs="Arial"/>
                <w:i/>
                <w:iCs/>
                <w:szCs w:val="19"/>
              </w:rPr>
              <w:t>Jakavi</w:t>
            </w:r>
            <w:proofErr w:type="spellEnd"/>
            <w:r>
              <w:rPr>
                <w:rFonts w:cs="Arial"/>
                <w:szCs w:val="19"/>
              </w:rPr>
              <w:t>)</w:t>
            </w:r>
          </w:p>
        </w:tc>
        <w:tc>
          <w:tcPr>
            <w:tcW w:w="3439" w:type="pct"/>
            <w:shd w:val="clear" w:color="auto" w:fill="auto"/>
            <w:tcMar>
              <w:top w:w="57" w:type="dxa"/>
              <w:bottom w:w="57" w:type="dxa"/>
            </w:tcMar>
          </w:tcPr>
          <w:p w14:paraId="2B10F6B7" w14:textId="77777777" w:rsidR="00F42187" w:rsidRDefault="00F42187" w:rsidP="00065AFF">
            <w:pPr>
              <w:tabs>
                <w:tab w:val="center" w:pos="3152"/>
              </w:tabs>
              <w:rPr>
                <w:rFonts w:cs="Arial"/>
                <w:sz w:val="16"/>
                <w:szCs w:val="16"/>
                <w:lang w:val="en-US"/>
              </w:rPr>
            </w:pPr>
            <w:r w:rsidRPr="006E1E9F">
              <w:rPr>
                <w:rFonts w:cs="Arial"/>
                <w:szCs w:val="19"/>
                <w:lang w:val="en-US"/>
              </w:rPr>
              <w:t xml:space="preserve">Treatment of paediatric patients aged </w:t>
            </w:r>
            <w:r>
              <w:rPr>
                <w:rFonts w:cs="Arial"/>
                <w:szCs w:val="19"/>
                <w:lang w:val="en-US"/>
              </w:rPr>
              <w:t>≥</w:t>
            </w:r>
            <w:r w:rsidRPr="006E1E9F">
              <w:rPr>
                <w:rFonts w:cs="Arial"/>
                <w:szCs w:val="19"/>
                <w:lang w:val="en-US"/>
              </w:rPr>
              <w:t xml:space="preserve">28 days </w:t>
            </w:r>
            <w:r>
              <w:rPr>
                <w:rFonts w:cs="Arial"/>
                <w:szCs w:val="19"/>
                <w:lang w:val="en-US"/>
              </w:rPr>
              <w:t>with</w:t>
            </w:r>
            <w:r w:rsidRPr="006E1E9F">
              <w:rPr>
                <w:rFonts w:cs="Arial"/>
                <w:szCs w:val="19"/>
                <w:lang w:val="en-US"/>
              </w:rPr>
              <w:t xml:space="preserve"> chronic </w:t>
            </w:r>
            <w:r>
              <w:rPr>
                <w:rFonts w:cs="Arial"/>
                <w:szCs w:val="19"/>
                <w:lang w:val="en-US"/>
              </w:rPr>
              <w:t xml:space="preserve">graft versus host disease </w:t>
            </w:r>
            <w:r w:rsidRPr="00E2051A">
              <w:rPr>
                <w:rFonts w:cs="Arial"/>
                <w:sz w:val="16"/>
                <w:szCs w:val="16"/>
                <w:lang w:val="en-US"/>
              </w:rPr>
              <w:t xml:space="preserve">[EU] </w:t>
            </w:r>
          </w:p>
          <w:p w14:paraId="44D5A37F" w14:textId="77777777" w:rsidR="00F42187" w:rsidRPr="00C5010E" w:rsidRDefault="00F42187" w:rsidP="00065AFF">
            <w:pPr>
              <w:tabs>
                <w:tab w:val="center" w:pos="3152"/>
              </w:tabs>
              <w:rPr>
                <w:rFonts w:cs="Arial"/>
                <w:szCs w:val="19"/>
                <w:lang w:val="en-US"/>
              </w:rPr>
            </w:pPr>
            <w:r w:rsidRPr="00E2051A">
              <w:rPr>
                <w:rFonts w:cs="Arial"/>
                <w:sz w:val="16"/>
                <w:szCs w:val="16"/>
                <w:lang w:val="en-US"/>
              </w:rPr>
              <w:t>[licence change from use only in patients aged ≥12 years and new oral solution formulation]</w:t>
            </w:r>
          </w:p>
        </w:tc>
      </w:tr>
      <w:tr w:rsidR="00F42187" w:rsidRPr="00AB6DF5" w14:paraId="62333295" w14:textId="77777777" w:rsidTr="00065AFF">
        <w:tc>
          <w:tcPr>
            <w:tcW w:w="1561" w:type="pct"/>
            <w:gridSpan w:val="2"/>
            <w:shd w:val="clear" w:color="auto" w:fill="auto"/>
            <w:tcMar>
              <w:top w:w="57" w:type="dxa"/>
              <w:bottom w:w="57" w:type="dxa"/>
            </w:tcMar>
          </w:tcPr>
          <w:p w14:paraId="120A8E76" w14:textId="1DD5E01F" w:rsidR="00F42187" w:rsidRPr="00454A70" w:rsidRDefault="00F42187" w:rsidP="00065AFF">
            <w:pPr>
              <w:rPr>
                <w:rFonts w:cs="Arial"/>
                <w:szCs w:val="19"/>
              </w:rPr>
            </w:pPr>
            <w:r>
              <w:rPr>
                <w:rFonts w:cs="Arial"/>
                <w:szCs w:val="19"/>
              </w:rPr>
              <w:t>Sarilumab (</w:t>
            </w:r>
            <w:r>
              <w:rPr>
                <w:rFonts w:cs="Arial"/>
                <w:i/>
                <w:iCs/>
                <w:szCs w:val="19"/>
              </w:rPr>
              <w:t>Ke</w:t>
            </w:r>
            <w:r w:rsidR="00485E19">
              <w:rPr>
                <w:rFonts w:cs="Arial"/>
                <w:i/>
                <w:iCs/>
                <w:szCs w:val="19"/>
              </w:rPr>
              <w:t>vz</w:t>
            </w:r>
            <w:r>
              <w:rPr>
                <w:rFonts w:cs="Arial"/>
                <w:i/>
                <w:iCs/>
                <w:szCs w:val="19"/>
              </w:rPr>
              <w:t>ara</w:t>
            </w:r>
            <w:r>
              <w:rPr>
                <w:rFonts w:cs="Arial"/>
                <w:szCs w:val="19"/>
              </w:rPr>
              <w:t>)</w:t>
            </w:r>
          </w:p>
        </w:tc>
        <w:tc>
          <w:tcPr>
            <w:tcW w:w="3439" w:type="pct"/>
            <w:shd w:val="clear" w:color="auto" w:fill="auto"/>
            <w:tcMar>
              <w:top w:w="57" w:type="dxa"/>
              <w:bottom w:w="57" w:type="dxa"/>
            </w:tcMar>
          </w:tcPr>
          <w:p w14:paraId="3A080EF9" w14:textId="77777777" w:rsidR="00F42187" w:rsidRPr="00AB6DF5" w:rsidRDefault="00F42187" w:rsidP="00065AFF">
            <w:pPr>
              <w:tabs>
                <w:tab w:val="center" w:pos="3152"/>
              </w:tabs>
              <w:rPr>
                <w:rFonts w:cs="Arial"/>
                <w:szCs w:val="19"/>
                <w:lang w:val="en-US"/>
              </w:rPr>
            </w:pPr>
            <w:r w:rsidRPr="00C5010E">
              <w:rPr>
                <w:rFonts w:cs="Arial"/>
                <w:szCs w:val="19"/>
                <w:lang w:val="en-US"/>
              </w:rPr>
              <w:t xml:space="preserve">Treatment of active polyarticular-course juvenile idiopathic arthritis in patients </w:t>
            </w:r>
            <w:r>
              <w:rPr>
                <w:rFonts w:cs="Arial"/>
                <w:szCs w:val="19"/>
                <w:lang w:val="en-US"/>
              </w:rPr>
              <w:t>aged ≥</w:t>
            </w:r>
            <w:r w:rsidRPr="00C5010E">
              <w:rPr>
                <w:rFonts w:cs="Arial"/>
                <w:szCs w:val="19"/>
                <w:lang w:val="en-US"/>
              </w:rPr>
              <w:t xml:space="preserve">2 years </w:t>
            </w:r>
            <w:r w:rsidRPr="00C5010E">
              <w:rPr>
                <w:rFonts w:cs="Arial"/>
                <w:sz w:val="16"/>
                <w:szCs w:val="16"/>
                <w:lang w:val="en-US"/>
              </w:rPr>
              <w:t>[EU] [new indication and new strength of 175mg/mL solution for injection in vial]</w:t>
            </w:r>
          </w:p>
        </w:tc>
      </w:tr>
      <w:tr w:rsidR="00F42187" w:rsidRPr="00AB6DF5" w14:paraId="7D906C37" w14:textId="77777777" w:rsidTr="00065AFF">
        <w:tc>
          <w:tcPr>
            <w:tcW w:w="1561" w:type="pct"/>
            <w:gridSpan w:val="2"/>
            <w:shd w:val="clear" w:color="auto" w:fill="auto"/>
            <w:tcMar>
              <w:top w:w="57" w:type="dxa"/>
              <w:bottom w:w="57" w:type="dxa"/>
            </w:tcMar>
          </w:tcPr>
          <w:p w14:paraId="61286CF2" w14:textId="7B118B72" w:rsidR="00F42187" w:rsidRPr="00AB6DF5" w:rsidRDefault="00F42187" w:rsidP="00065AFF">
            <w:pPr>
              <w:rPr>
                <w:rFonts w:cs="Arial"/>
                <w:szCs w:val="19"/>
              </w:rPr>
            </w:pPr>
            <w:r>
              <w:rPr>
                <w:rFonts w:cs="Arial"/>
                <w:szCs w:val="19"/>
              </w:rPr>
              <w:t>Sarilumab (</w:t>
            </w:r>
            <w:r>
              <w:rPr>
                <w:rFonts w:cs="Arial"/>
                <w:i/>
                <w:iCs/>
                <w:szCs w:val="19"/>
              </w:rPr>
              <w:t>Kev</w:t>
            </w:r>
            <w:r w:rsidR="00485E19">
              <w:rPr>
                <w:rFonts w:cs="Arial"/>
                <w:i/>
                <w:iCs/>
                <w:szCs w:val="19"/>
              </w:rPr>
              <w:t>z</w:t>
            </w:r>
            <w:r>
              <w:rPr>
                <w:rFonts w:cs="Arial"/>
                <w:i/>
                <w:iCs/>
                <w:szCs w:val="19"/>
              </w:rPr>
              <w:t>ara</w:t>
            </w:r>
            <w:r>
              <w:rPr>
                <w:rFonts w:cs="Arial"/>
                <w:szCs w:val="19"/>
              </w:rPr>
              <w:t>)</w:t>
            </w:r>
          </w:p>
        </w:tc>
        <w:tc>
          <w:tcPr>
            <w:tcW w:w="3439" w:type="pct"/>
            <w:shd w:val="clear" w:color="auto" w:fill="auto"/>
            <w:tcMar>
              <w:top w:w="57" w:type="dxa"/>
              <w:bottom w:w="57" w:type="dxa"/>
            </w:tcMar>
          </w:tcPr>
          <w:p w14:paraId="66E8728D" w14:textId="77777777" w:rsidR="00F42187" w:rsidRDefault="00F42187" w:rsidP="00065AFF">
            <w:pPr>
              <w:tabs>
                <w:tab w:val="center" w:pos="3152"/>
              </w:tabs>
              <w:rPr>
                <w:rFonts w:cs="Arial"/>
                <w:sz w:val="16"/>
                <w:szCs w:val="16"/>
                <w:lang w:val="en-US"/>
              </w:rPr>
            </w:pPr>
            <w:r>
              <w:rPr>
                <w:rFonts w:cs="Arial"/>
                <w:szCs w:val="19"/>
                <w:lang w:val="en-US"/>
              </w:rPr>
              <w:t>Treatment of p</w:t>
            </w:r>
            <w:r w:rsidRPr="00454A70">
              <w:rPr>
                <w:rFonts w:cs="Arial"/>
                <w:szCs w:val="19"/>
                <w:lang w:val="en-US"/>
              </w:rPr>
              <w:t>olymyalgia rheumatica in adults who have had an inadequate response to corticosteroids or who cannot tolerate corticosteroid taper</w:t>
            </w:r>
            <w:r>
              <w:rPr>
                <w:rFonts w:cs="Arial"/>
                <w:szCs w:val="19"/>
                <w:lang w:val="en-US"/>
              </w:rPr>
              <w:t xml:space="preserve"> </w:t>
            </w:r>
            <w:r w:rsidRPr="00454A70">
              <w:rPr>
                <w:rFonts w:cs="Arial"/>
                <w:sz w:val="16"/>
                <w:szCs w:val="16"/>
                <w:lang w:val="en-US"/>
              </w:rPr>
              <w:t xml:space="preserve">[EU] </w:t>
            </w:r>
          </w:p>
          <w:p w14:paraId="7E7F87FA" w14:textId="77777777" w:rsidR="00F42187" w:rsidRPr="00AB6DF5" w:rsidRDefault="00F42187" w:rsidP="00065AFF">
            <w:pPr>
              <w:tabs>
                <w:tab w:val="center" w:pos="3152"/>
              </w:tabs>
              <w:rPr>
                <w:rFonts w:cs="Arial"/>
                <w:szCs w:val="19"/>
                <w:lang w:val="en-US"/>
              </w:rPr>
            </w:pPr>
            <w:r w:rsidRPr="00454A70">
              <w:rPr>
                <w:rFonts w:cs="Arial"/>
                <w:sz w:val="16"/>
                <w:szCs w:val="16"/>
                <w:lang w:val="en-US"/>
              </w:rPr>
              <w:t>[new indication]</w:t>
            </w:r>
          </w:p>
        </w:tc>
      </w:tr>
      <w:tr w:rsidR="00F42187" w:rsidRPr="003F02CB" w14:paraId="62CA2A95" w14:textId="77777777" w:rsidTr="00065AFF">
        <w:tc>
          <w:tcPr>
            <w:tcW w:w="1561" w:type="pct"/>
            <w:gridSpan w:val="2"/>
            <w:shd w:val="clear" w:color="auto" w:fill="auto"/>
            <w:tcMar>
              <w:top w:w="57" w:type="dxa"/>
              <w:bottom w:w="57" w:type="dxa"/>
            </w:tcMar>
          </w:tcPr>
          <w:p w14:paraId="2894777D" w14:textId="77777777" w:rsidR="00F42187" w:rsidRPr="002446F5" w:rsidRDefault="00F42187" w:rsidP="00065AFF">
            <w:pPr>
              <w:rPr>
                <w:rFonts w:cs="Arial"/>
                <w:szCs w:val="19"/>
              </w:rPr>
            </w:pPr>
            <w:proofErr w:type="spellStart"/>
            <w:r w:rsidRPr="00AB6DF5">
              <w:rPr>
                <w:rFonts w:cs="Arial"/>
                <w:szCs w:val="19"/>
              </w:rPr>
              <w:t>Setmelanotide</w:t>
            </w:r>
            <w:proofErr w:type="spellEnd"/>
            <w:r>
              <w:rPr>
                <w:rFonts w:cs="Arial"/>
                <w:szCs w:val="19"/>
              </w:rPr>
              <w:t xml:space="preserve"> (</w:t>
            </w:r>
            <w:proofErr w:type="spellStart"/>
            <w:r>
              <w:rPr>
                <w:rFonts w:cs="Arial"/>
                <w:i/>
                <w:iCs/>
                <w:szCs w:val="19"/>
              </w:rPr>
              <w:t>Imcivree</w:t>
            </w:r>
            <w:proofErr w:type="spellEnd"/>
            <w:r>
              <w:rPr>
                <w:rFonts w:cs="Arial"/>
                <w:szCs w:val="19"/>
              </w:rPr>
              <w:t>)</w:t>
            </w:r>
          </w:p>
        </w:tc>
        <w:tc>
          <w:tcPr>
            <w:tcW w:w="3439" w:type="pct"/>
            <w:shd w:val="clear" w:color="auto" w:fill="auto"/>
            <w:tcMar>
              <w:top w:w="57" w:type="dxa"/>
              <w:bottom w:w="57" w:type="dxa"/>
            </w:tcMar>
          </w:tcPr>
          <w:p w14:paraId="62B8B37A" w14:textId="77777777" w:rsidR="00F42187" w:rsidRPr="003F02CB" w:rsidRDefault="00F42187" w:rsidP="00065AFF">
            <w:pPr>
              <w:tabs>
                <w:tab w:val="center" w:pos="3152"/>
              </w:tabs>
              <w:rPr>
                <w:rFonts w:cs="Arial"/>
                <w:szCs w:val="19"/>
                <w:lang w:val="en-US"/>
              </w:rPr>
            </w:pPr>
            <w:r w:rsidRPr="00AB6DF5">
              <w:rPr>
                <w:rFonts w:cs="Arial"/>
                <w:szCs w:val="19"/>
                <w:lang w:val="en-US"/>
              </w:rPr>
              <w:t xml:space="preserve">Treatment of obesity and the control of hunger associated with genetically confirmed Bardet-Biedl syndrome, loss-of-function biallelic pro-opiomelanocortin, including PCSK1, deficiency or biallelic leptin receptor deficiency in adults and children </w:t>
            </w:r>
            <w:r>
              <w:rPr>
                <w:rFonts w:cs="Arial"/>
                <w:szCs w:val="19"/>
                <w:lang w:val="en-US"/>
              </w:rPr>
              <w:t>aged 2 to 5</w:t>
            </w:r>
            <w:r w:rsidRPr="00AB6DF5">
              <w:rPr>
                <w:rFonts w:cs="Arial"/>
                <w:szCs w:val="19"/>
                <w:lang w:val="en-US"/>
              </w:rPr>
              <w:t xml:space="preserve"> years </w:t>
            </w:r>
            <w:r w:rsidRPr="00AB6DF5">
              <w:rPr>
                <w:rFonts w:cs="Arial"/>
                <w:sz w:val="16"/>
                <w:szCs w:val="16"/>
                <w:lang w:val="en-US"/>
              </w:rPr>
              <w:t>[EU] [licence change from use only in patients aged from 6 years]</w:t>
            </w:r>
          </w:p>
        </w:tc>
      </w:tr>
      <w:tr w:rsidR="00F42187" w14:paraId="4BBD0541" w14:textId="77777777" w:rsidTr="00065AFF">
        <w:tc>
          <w:tcPr>
            <w:tcW w:w="1561" w:type="pct"/>
            <w:gridSpan w:val="2"/>
            <w:shd w:val="clear" w:color="auto" w:fill="auto"/>
            <w:tcMar>
              <w:top w:w="57" w:type="dxa"/>
              <w:bottom w:w="57" w:type="dxa"/>
            </w:tcMar>
          </w:tcPr>
          <w:p w14:paraId="00D0791D" w14:textId="77777777" w:rsidR="00F42187" w:rsidRPr="0062480F" w:rsidRDefault="00F42187" w:rsidP="00065AFF">
            <w:pPr>
              <w:rPr>
                <w:rFonts w:cs="Arial"/>
                <w:szCs w:val="19"/>
              </w:rPr>
            </w:pPr>
            <w:r>
              <w:rPr>
                <w:rFonts w:cs="Arial"/>
                <w:szCs w:val="19"/>
              </w:rPr>
              <w:t>Testosterone (</w:t>
            </w:r>
            <w:proofErr w:type="spellStart"/>
            <w:r>
              <w:rPr>
                <w:rFonts w:cs="Arial"/>
                <w:i/>
                <w:iCs/>
                <w:szCs w:val="19"/>
              </w:rPr>
              <w:t>Androfeme</w:t>
            </w:r>
            <w:proofErr w:type="spellEnd"/>
            <w:r>
              <w:rPr>
                <w:rFonts w:cs="Arial"/>
                <w:szCs w:val="19"/>
              </w:rPr>
              <w:t>)</w:t>
            </w:r>
          </w:p>
        </w:tc>
        <w:tc>
          <w:tcPr>
            <w:tcW w:w="3439" w:type="pct"/>
            <w:shd w:val="clear" w:color="auto" w:fill="auto"/>
            <w:tcMar>
              <w:top w:w="57" w:type="dxa"/>
              <w:bottom w:w="57" w:type="dxa"/>
            </w:tcMar>
          </w:tcPr>
          <w:p w14:paraId="58C2FEFD" w14:textId="77777777" w:rsidR="00F42187" w:rsidRDefault="00F42187" w:rsidP="00065AFF">
            <w:pPr>
              <w:tabs>
                <w:tab w:val="center" w:pos="3152"/>
              </w:tabs>
              <w:rPr>
                <w:rFonts w:cs="Arial"/>
                <w:szCs w:val="19"/>
                <w:lang w:val="en-US"/>
              </w:rPr>
            </w:pPr>
            <w:r>
              <w:rPr>
                <w:rFonts w:cs="Arial"/>
                <w:szCs w:val="19"/>
                <w:lang w:val="en-US"/>
              </w:rPr>
              <w:t xml:space="preserve">Treatment of </w:t>
            </w:r>
            <w:r w:rsidRPr="0062480F">
              <w:rPr>
                <w:rFonts w:cs="Arial"/>
                <w:szCs w:val="19"/>
                <w:lang w:val="en-US"/>
              </w:rPr>
              <w:t>hypoactive sexual desire dysfunction in post-menopausal women</w:t>
            </w:r>
            <w:r>
              <w:rPr>
                <w:rFonts w:cs="Arial"/>
                <w:szCs w:val="19"/>
                <w:lang w:val="en-US"/>
              </w:rPr>
              <w:t xml:space="preserve"> </w:t>
            </w:r>
            <w:r w:rsidRPr="0062480F">
              <w:rPr>
                <w:rFonts w:cs="Arial"/>
                <w:sz w:val="16"/>
                <w:szCs w:val="16"/>
                <w:lang w:val="en-US"/>
              </w:rPr>
              <w:t>[UK]</w:t>
            </w:r>
          </w:p>
        </w:tc>
      </w:tr>
      <w:tr w:rsidR="00F42187" w:rsidRPr="00272180" w14:paraId="077EF956" w14:textId="77777777" w:rsidTr="00065AFF">
        <w:tc>
          <w:tcPr>
            <w:tcW w:w="1561" w:type="pct"/>
            <w:gridSpan w:val="2"/>
            <w:shd w:val="clear" w:color="auto" w:fill="auto"/>
            <w:tcMar>
              <w:top w:w="57" w:type="dxa"/>
              <w:bottom w:w="57" w:type="dxa"/>
            </w:tcMar>
          </w:tcPr>
          <w:p w14:paraId="2D7F6FA6" w14:textId="77777777" w:rsidR="00F42187" w:rsidRDefault="00F42187" w:rsidP="00065AFF">
            <w:pPr>
              <w:rPr>
                <w:rFonts w:cs="Arial"/>
                <w:szCs w:val="19"/>
              </w:rPr>
            </w:pPr>
            <w:r w:rsidRPr="00FA24B0">
              <w:rPr>
                <w:rFonts w:cs="Arial"/>
                <w:szCs w:val="19"/>
              </w:rPr>
              <w:t xml:space="preserve">Ustekinumab biosimilar </w:t>
            </w:r>
          </w:p>
          <w:p w14:paraId="0CEAEF67" w14:textId="77777777" w:rsidR="00F42187" w:rsidRPr="00AB6DF5" w:rsidRDefault="00F42187" w:rsidP="00065AFF">
            <w:pPr>
              <w:rPr>
                <w:rFonts w:cs="Arial"/>
                <w:szCs w:val="19"/>
              </w:rPr>
            </w:pPr>
            <w:r w:rsidRPr="00FA24B0">
              <w:rPr>
                <w:rFonts w:cs="Arial"/>
                <w:szCs w:val="19"/>
              </w:rPr>
              <w:t>(DMB-3115) </w:t>
            </w:r>
          </w:p>
        </w:tc>
        <w:tc>
          <w:tcPr>
            <w:tcW w:w="3439" w:type="pct"/>
            <w:shd w:val="clear" w:color="auto" w:fill="auto"/>
            <w:tcMar>
              <w:top w:w="57" w:type="dxa"/>
              <w:bottom w:w="57" w:type="dxa"/>
            </w:tcMar>
          </w:tcPr>
          <w:p w14:paraId="2BEEE975" w14:textId="77777777" w:rsidR="00F42187" w:rsidRPr="00272180" w:rsidRDefault="00F42187" w:rsidP="00065AFF">
            <w:pPr>
              <w:tabs>
                <w:tab w:val="center" w:pos="3152"/>
              </w:tabs>
              <w:rPr>
                <w:rFonts w:cs="Arial"/>
                <w:szCs w:val="19"/>
                <w:lang w:val="en-US"/>
              </w:rPr>
            </w:pPr>
            <w:r>
              <w:rPr>
                <w:rFonts w:cs="Arial"/>
                <w:szCs w:val="19"/>
                <w:lang w:val="en-US"/>
              </w:rPr>
              <w:t>Treatment of m</w:t>
            </w:r>
            <w:r w:rsidRPr="00FA24B0">
              <w:rPr>
                <w:rFonts w:cs="Arial"/>
                <w:szCs w:val="19"/>
                <w:lang w:val="en-US"/>
              </w:rPr>
              <w:t xml:space="preserve">oderate to severe chronic plaque </w:t>
            </w:r>
            <w:r>
              <w:rPr>
                <w:rFonts w:cs="Arial"/>
                <w:szCs w:val="19"/>
                <w:lang w:val="en-US"/>
              </w:rPr>
              <w:t xml:space="preserve">psoriasis </w:t>
            </w:r>
            <w:r w:rsidRPr="00FA24B0">
              <w:rPr>
                <w:rFonts w:cs="Arial"/>
                <w:szCs w:val="19"/>
                <w:lang w:val="en-US"/>
              </w:rPr>
              <w:t xml:space="preserve">in adults and other </w:t>
            </w:r>
            <w:r w:rsidRPr="00FA24B0">
              <w:rPr>
                <w:rFonts w:cs="Arial"/>
                <w:i/>
                <w:iCs/>
                <w:szCs w:val="19"/>
                <w:lang w:val="en-US"/>
              </w:rPr>
              <w:t>Stelara</w:t>
            </w:r>
            <w:r w:rsidRPr="00FA24B0">
              <w:rPr>
                <w:rFonts w:cs="Arial"/>
                <w:szCs w:val="19"/>
                <w:lang w:val="en-US"/>
              </w:rPr>
              <w:t xml:space="preserve"> indications</w:t>
            </w:r>
            <w:r>
              <w:rPr>
                <w:rFonts w:cs="Arial"/>
                <w:szCs w:val="19"/>
                <w:lang w:val="en-US"/>
              </w:rPr>
              <w:t xml:space="preserve"> </w:t>
            </w:r>
            <w:r w:rsidRPr="00FA24B0">
              <w:rPr>
                <w:rFonts w:cs="Arial"/>
                <w:sz w:val="16"/>
                <w:szCs w:val="16"/>
                <w:lang w:val="en-US"/>
              </w:rPr>
              <w:t>[EU]</w:t>
            </w:r>
          </w:p>
        </w:tc>
      </w:tr>
      <w:tr w:rsidR="00F42187" w:rsidRPr="000F19E1" w14:paraId="7E2E8A66" w14:textId="77777777" w:rsidTr="00065AFF">
        <w:tc>
          <w:tcPr>
            <w:tcW w:w="1561" w:type="pct"/>
            <w:gridSpan w:val="2"/>
            <w:shd w:val="clear" w:color="auto" w:fill="auto"/>
            <w:tcMar>
              <w:top w:w="0" w:type="dxa"/>
              <w:bottom w:w="0" w:type="dxa"/>
            </w:tcMar>
          </w:tcPr>
          <w:p w14:paraId="2D3004D3" w14:textId="77777777" w:rsidR="00F42187" w:rsidRPr="000F19E1" w:rsidRDefault="00F42187" w:rsidP="00065AFF">
            <w:pPr>
              <w:rPr>
                <w:rFonts w:cs="Arial"/>
                <w:bCs/>
                <w:sz w:val="8"/>
                <w:szCs w:val="8"/>
              </w:rPr>
            </w:pPr>
          </w:p>
        </w:tc>
        <w:tc>
          <w:tcPr>
            <w:tcW w:w="3439" w:type="pct"/>
            <w:shd w:val="clear" w:color="auto" w:fill="auto"/>
            <w:tcMar>
              <w:top w:w="0" w:type="dxa"/>
              <w:bottom w:w="0" w:type="dxa"/>
            </w:tcMar>
          </w:tcPr>
          <w:p w14:paraId="2635EF6A" w14:textId="77777777" w:rsidR="00F42187" w:rsidRPr="000F19E1" w:rsidRDefault="00F42187" w:rsidP="00065AFF">
            <w:pPr>
              <w:tabs>
                <w:tab w:val="center" w:pos="3152"/>
              </w:tabs>
              <w:rPr>
                <w:rFonts w:cs="Arial"/>
                <w:sz w:val="8"/>
                <w:szCs w:val="8"/>
                <w:lang w:val="en-US"/>
              </w:rPr>
            </w:pPr>
          </w:p>
        </w:tc>
      </w:tr>
      <w:tr w:rsidR="00F42187" w:rsidRPr="000F19E1" w14:paraId="25C1E2F5" w14:textId="77777777" w:rsidTr="00065AFF">
        <w:tc>
          <w:tcPr>
            <w:tcW w:w="1152" w:type="pct"/>
            <w:shd w:val="clear" w:color="auto" w:fill="DAEEF3"/>
            <w:tcMar>
              <w:top w:w="0" w:type="dxa"/>
              <w:bottom w:w="0" w:type="dxa"/>
            </w:tcMar>
          </w:tcPr>
          <w:p w14:paraId="5A80638A" w14:textId="77777777" w:rsidR="00F42187" w:rsidRPr="000F19E1" w:rsidRDefault="00F42187" w:rsidP="00065AFF">
            <w:pPr>
              <w:rPr>
                <w:rFonts w:cs="Arial"/>
                <w:bCs/>
                <w:sz w:val="8"/>
                <w:szCs w:val="8"/>
              </w:rPr>
            </w:pPr>
          </w:p>
        </w:tc>
        <w:tc>
          <w:tcPr>
            <w:tcW w:w="3848" w:type="pct"/>
            <w:gridSpan w:val="2"/>
            <w:shd w:val="clear" w:color="auto" w:fill="DAEEF3"/>
            <w:tcMar>
              <w:top w:w="0" w:type="dxa"/>
              <w:bottom w:w="0" w:type="dxa"/>
            </w:tcMar>
          </w:tcPr>
          <w:p w14:paraId="0A7781F9" w14:textId="77777777" w:rsidR="00F42187" w:rsidRPr="000F19E1" w:rsidRDefault="00F42187" w:rsidP="00065AFF">
            <w:pPr>
              <w:tabs>
                <w:tab w:val="center" w:pos="3152"/>
              </w:tabs>
              <w:rPr>
                <w:rFonts w:cs="Arial"/>
                <w:sz w:val="8"/>
                <w:szCs w:val="8"/>
                <w:lang w:val="en-US"/>
              </w:rPr>
            </w:pPr>
          </w:p>
        </w:tc>
      </w:tr>
    </w:tbl>
    <w:p w14:paraId="58EFDC7E" w14:textId="77777777" w:rsidR="00EA3721" w:rsidRDefault="00EA3721"/>
    <w:p w14:paraId="3BE1C48A" w14:textId="77777777" w:rsidR="00EA3721" w:rsidRDefault="00EA3721"/>
    <w:p w14:paraId="5EF3AA88" w14:textId="77777777" w:rsidR="00EA3721" w:rsidRDefault="00EA3721">
      <w:r>
        <w:br w:type="page"/>
      </w:r>
    </w:p>
    <w:p w14:paraId="7D1D4FC4" w14:textId="5E06DBCD" w:rsidR="00EA3721" w:rsidRDefault="00EA3721"/>
    <w:tbl>
      <w:tblPr>
        <w:tblW w:w="5170" w:type="pct"/>
        <w:tblInd w:w="-176" w:type="dxa"/>
        <w:tblLayout w:type="fixed"/>
        <w:tblLook w:val="01E0" w:firstRow="1" w:lastRow="1" w:firstColumn="1" w:lastColumn="1" w:noHBand="0" w:noVBand="0"/>
      </w:tblPr>
      <w:tblGrid>
        <w:gridCol w:w="2430"/>
        <w:gridCol w:w="298"/>
        <w:gridCol w:w="131"/>
        <w:gridCol w:w="7692"/>
      </w:tblGrid>
      <w:tr w:rsidR="00EA3721" w:rsidRPr="00862949" w14:paraId="3AC7FE9D" w14:textId="77777777" w:rsidTr="00065AFF">
        <w:tc>
          <w:tcPr>
            <w:tcW w:w="5000" w:type="pct"/>
            <w:gridSpan w:val="4"/>
            <w:shd w:val="clear" w:color="auto" w:fill="0070C0"/>
            <w:tcMar>
              <w:top w:w="85" w:type="dxa"/>
              <w:bottom w:w="85" w:type="dxa"/>
            </w:tcMar>
            <w:vAlign w:val="bottom"/>
          </w:tcPr>
          <w:p w14:paraId="1B2D7AAD" w14:textId="77777777" w:rsidR="00EA3721" w:rsidRPr="00862949" w:rsidRDefault="00EA3721" w:rsidP="00065AFF">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EA3721" w:rsidRPr="000F19E1" w14:paraId="6CB23079" w14:textId="77777777" w:rsidTr="00065AFF">
        <w:tc>
          <w:tcPr>
            <w:tcW w:w="1152" w:type="pct"/>
            <w:shd w:val="clear" w:color="auto" w:fill="DAEEF3"/>
            <w:tcMar>
              <w:top w:w="0" w:type="dxa"/>
              <w:bottom w:w="0" w:type="dxa"/>
            </w:tcMar>
          </w:tcPr>
          <w:p w14:paraId="257F969E" w14:textId="77777777" w:rsidR="00EA3721" w:rsidRPr="000F19E1" w:rsidRDefault="00EA3721" w:rsidP="00065AFF">
            <w:pPr>
              <w:rPr>
                <w:rFonts w:cs="Arial"/>
                <w:bCs/>
                <w:sz w:val="8"/>
                <w:szCs w:val="8"/>
              </w:rPr>
            </w:pPr>
          </w:p>
        </w:tc>
        <w:tc>
          <w:tcPr>
            <w:tcW w:w="3848" w:type="pct"/>
            <w:gridSpan w:val="3"/>
            <w:shd w:val="clear" w:color="auto" w:fill="DAEEF3"/>
            <w:tcMar>
              <w:top w:w="0" w:type="dxa"/>
              <w:bottom w:w="0" w:type="dxa"/>
            </w:tcMar>
          </w:tcPr>
          <w:p w14:paraId="2AC1ED1D" w14:textId="77777777" w:rsidR="00EA3721" w:rsidRPr="000F19E1" w:rsidRDefault="00EA3721" w:rsidP="00065AFF">
            <w:pPr>
              <w:tabs>
                <w:tab w:val="center" w:pos="3152"/>
              </w:tabs>
              <w:rPr>
                <w:rFonts w:cs="Arial"/>
                <w:sz w:val="8"/>
                <w:szCs w:val="8"/>
                <w:lang w:val="en-US"/>
              </w:rPr>
            </w:pPr>
          </w:p>
        </w:tc>
      </w:tr>
      <w:tr w:rsidR="00B1032F" w:rsidRPr="00126CCD" w14:paraId="39C46507" w14:textId="77777777" w:rsidTr="00155BD9">
        <w:tc>
          <w:tcPr>
            <w:tcW w:w="5000" w:type="pct"/>
            <w:gridSpan w:val="4"/>
            <w:shd w:val="clear" w:color="auto" w:fill="00B050"/>
            <w:tcMar>
              <w:top w:w="57" w:type="dxa"/>
              <w:bottom w:w="57" w:type="dxa"/>
            </w:tcMar>
          </w:tcPr>
          <w:p w14:paraId="2D192C47" w14:textId="255AFD16" w:rsidR="00B1032F" w:rsidRPr="004642B4" w:rsidRDefault="00B1032F" w:rsidP="00B1032F">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p>
        </w:tc>
      </w:tr>
      <w:tr w:rsidR="00545D0D" w14:paraId="54046D62" w14:textId="77777777" w:rsidTr="001F60D8">
        <w:tc>
          <w:tcPr>
            <w:tcW w:w="1293" w:type="pct"/>
            <w:gridSpan w:val="2"/>
            <w:shd w:val="clear" w:color="auto" w:fill="auto"/>
            <w:tcMar>
              <w:top w:w="57" w:type="dxa"/>
              <w:bottom w:w="57" w:type="dxa"/>
            </w:tcMar>
          </w:tcPr>
          <w:p w14:paraId="5DA0CDD6" w14:textId="526D2DED" w:rsidR="00545D0D" w:rsidRPr="00545D0D" w:rsidRDefault="00545D0D" w:rsidP="009B3AD0">
            <w:pPr>
              <w:rPr>
                <w:rFonts w:cs="Arial"/>
                <w:szCs w:val="19"/>
              </w:rPr>
            </w:pPr>
            <w:r w:rsidRPr="00545D0D">
              <w:rPr>
                <w:rFonts w:cs="Arial"/>
                <w:szCs w:val="19"/>
              </w:rPr>
              <w:t xml:space="preserve">Anti-CD3 ricin chain A conjugate </w:t>
            </w:r>
            <w:r>
              <w:rPr>
                <w:rFonts w:cs="Arial"/>
                <w:szCs w:val="19"/>
              </w:rPr>
              <w:t>(</w:t>
            </w:r>
            <w:r>
              <w:rPr>
                <w:rFonts w:cs="Arial"/>
                <w:i/>
                <w:iCs/>
                <w:szCs w:val="19"/>
              </w:rPr>
              <w:t>T-Guard</w:t>
            </w:r>
            <w:r>
              <w:rPr>
                <w:rFonts w:cs="Arial"/>
                <w:szCs w:val="19"/>
              </w:rPr>
              <w:t>)</w:t>
            </w:r>
          </w:p>
        </w:tc>
        <w:tc>
          <w:tcPr>
            <w:tcW w:w="3707" w:type="pct"/>
            <w:gridSpan w:val="2"/>
            <w:shd w:val="clear" w:color="auto" w:fill="auto"/>
            <w:tcMar>
              <w:top w:w="57" w:type="dxa"/>
              <w:bottom w:w="57" w:type="dxa"/>
            </w:tcMar>
          </w:tcPr>
          <w:p w14:paraId="6B2A94BE" w14:textId="77777777" w:rsidR="0022515B" w:rsidRDefault="00545D0D" w:rsidP="009B3AD0">
            <w:pPr>
              <w:tabs>
                <w:tab w:val="center" w:pos="3152"/>
              </w:tabs>
              <w:rPr>
                <w:rFonts w:cs="Arial"/>
                <w:szCs w:val="19"/>
                <w:lang w:val="en-US"/>
              </w:rPr>
            </w:pPr>
            <w:r w:rsidRPr="00545D0D">
              <w:rPr>
                <w:rFonts w:cs="Arial"/>
                <w:szCs w:val="19"/>
                <w:lang w:val="en-US"/>
              </w:rPr>
              <w:t>Graft versus host disease</w:t>
            </w:r>
            <w:r>
              <w:rPr>
                <w:rFonts w:cs="Arial"/>
                <w:szCs w:val="19"/>
                <w:lang w:val="en-US"/>
              </w:rPr>
              <w:t xml:space="preserve"> in adults – development </w:t>
            </w:r>
            <w:proofErr w:type="gramStart"/>
            <w:r>
              <w:rPr>
                <w:rFonts w:cs="Arial"/>
                <w:szCs w:val="19"/>
                <w:lang w:val="en-US"/>
              </w:rPr>
              <w:t>discontinued</w:t>
            </w:r>
            <w:proofErr w:type="gramEnd"/>
            <w:r>
              <w:rPr>
                <w:rFonts w:cs="Arial"/>
                <w:szCs w:val="19"/>
                <w:lang w:val="en-US"/>
              </w:rPr>
              <w:t xml:space="preserve"> </w:t>
            </w:r>
          </w:p>
          <w:p w14:paraId="7D056BC5" w14:textId="0030CCB9" w:rsidR="00545D0D" w:rsidRDefault="00545D0D" w:rsidP="009B3AD0">
            <w:pPr>
              <w:tabs>
                <w:tab w:val="center" w:pos="3152"/>
              </w:tabs>
              <w:rPr>
                <w:rFonts w:cs="Arial"/>
                <w:szCs w:val="19"/>
                <w:lang w:val="en-US"/>
              </w:rPr>
            </w:pPr>
            <w:r>
              <w:rPr>
                <w:rFonts w:cs="Arial"/>
                <w:szCs w:val="19"/>
                <w:lang w:val="en-US"/>
              </w:rPr>
              <w:t>(</w:t>
            </w:r>
            <w:proofErr w:type="gramStart"/>
            <w:r>
              <w:rPr>
                <w:rFonts w:cs="Arial"/>
                <w:szCs w:val="19"/>
                <w:lang w:val="en-US"/>
              </w:rPr>
              <w:t>safety</w:t>
            </w:r>
            <w:proofErr w:type="gramEnd"/>
            <w:r>
              <w:rPr>
                <w:rFonts w:cs="Arial"/>
                <w:szCs w:val="19"/>
                <w:lang w:val="en-US"/>
              </w:rPr>
              <w:t xml:space="preserve"> concern and company failed)</w:t>
            </w:r>
          </w:p>
        </w:tc>
      </w:tr>
      <w:tr w:rsidR="007010CD" w14:paraId="24CCC278" w14:textId="77777777" w:rsidTr="001F60D8">
        <w:tc>
          <w:tcPr>
            <w:tcW w:w="1293" w:type="pct"/>
            <w:gridSpan w:val="2"/>
            <w:shd w:val="clear" w:color="auto" w:fill="auto"/>
            <w:tcMar>
              <w:top w:w="57" w:type="dxa"/>
              <w:bottom w:w="57" w:type="dxa"/>
            </w:tcMar>
          </w:tcPr>
          <w:p w14:paraId="43E27C23" w14:textId="49D4DE6B" w:rsidR="007010CD" w:rsidRPr="00474411" w:rsidRDefault="007010CD" w:rsidP="009B3AD0">
            <w:pPr>
              <w:rPr>
                <w:rFonts w:cs="Arial"/>
                <w:szCs w:val="19"/>
              </w:rPr>
            </w:pPr>
            <w:r>
              <w:rPr>
                <w:rFonts w:cs="Arial"/>
                <w:szCs w:val="19"/>
              </w:rPr>
              <w:t>Arbaclofen (</w:t>
            </w:r>
            <w:proofErr w:type="spellStart"/>
            <w:r w:rsidRPr="007010CD">
              <w:rPr>
                <w:rFonts w:cs="Arial"/>
                <w:i/>
                <w:iCs/>
                <w:szCs w:val="19"/>
              </w:rPr>
              <w:t>Ontinua</w:t>
            </w:r>
            <w:proofErr w:type="spellEnd"/>
            <w:r w:rsidRPr="007010CD">
              <w:rPr>
                <w:rFonts w:cs="Arial"/>
                <w:i/>
                <w:iCs/>
                <w:szCs w:val="19"/>
              </w:rPr>
              <w:t xml:space="preserve"> ER</w:t>
            </w:r>
            <w:r>
              <w:rPr>
                <w:rFonts w:cs="Arial"/>
                <w:szCs w:val="19"/>
              </w:rPr>
              <w:t>)</w:t>
            </w:r>
          </w:p>
        </w:tc>
        <w:tc>
          <w:tcPr>
            <w:tcW w:w="3707" w:type="pct"/>
            <w:gridSpan w:val="2"/>
            <w:shd w:val="clear" w:color="auto" w:fill="auto"/>
            <w:tcMar>
              <w:top w:w="57" w:type="dxa"/>
              <w:bottom w:w="57" w:type="dxa"/>
            </w:tcMar>
          </w:tcPr>
          <w:p w14:paraId="5510CA61" w14:textId="77777777" w:rsidR="0022515B" w:rsidRDefault="007010CD" w:rsidP="007010CD">
            <w:pPr>
              <w:tabs>
                <w:tab w:val="center" w:pos="3152"/>
              </w:tabs>
              <w:rPr>
                <w:rFonts w:cs="Arial"/>
                <w:szCs w:val="19"/>
                <w:lang w:val="en-US"/>
              </w:rPr>
            </w:pPr>
            <w:r w:rsidRPr="007010CD">
              <w:rPr>
                <w:rFonts w:cs="Arial"/>
                <w:szCs w:val="19"/>
                <w:lang w:val="en-US"/>
              </w:rPr>
              <w:t>Multiple sclerosis</w:t>
            </w:r>
            <w:r>
              <w:rPr>
                <w:rFonts w:cs="Arial"/>
                <w:szCs w:val="19"/>
                <w:lang w:val="en-US"/>
              </w:rPr>
              <w:t>-associated</w:t>
            </w:r>
            <w:r w:rsidRPr="007010CD">
              <w:rPr>
                <w:rFonts w:cs="Arial"/>
                <w:szCs w:val="19"/>
                <w:lang w:val="en-US"/>
              </w:rPr>
              <w:t xml:space="preserve"> spasticity in adults</w:t>
            </w:r>
            <w:r>
              <w:rPr>
                <w:rFonts w:cs="Arial"/>
                <w:szCs w:val="19"/>
                <w:lang w:val="en-US"/>
              </w:rPr>
              <w:t xml:space="preserve"> – development </w:t>
            </w:r>
            <w:proofErr w:type="gramStart"/>
            <w:r>
              <w:rPr>
                <w:rFonts w:cs="Arial"/>
                <w:szCs w:val="19"/>
                <w:lang w:val="en-US"/>
              </w:rPr>
              <w:t>discontinued</w:t>
            </w:r>
            <w:proofErr w:type="gramEnd"/>
            <w:r>
              <w:rPr>
                <w:rFonts w:cs="Arial"/>
                <w:szCs w:val="19"/>
                <w:lang w:val="en-US"/>
              </w:rPr>
              <w:t xml:space="preserve"> </w:t>
            </w:r>
          </w:p>
          <w:p w14:paraId="62C11844" w14:textId="0F47EB0B" w:rsidR="007010CD" w:rsidRDefault="007010CD" w:rsidP="007010CD">
            <w:pPr>
              <w:tabs>
                <w:tab w:val="center" w:pos="3152"/>
              </w:tabs>
              <w:rPr>
                <w:rFonts w:cs="Arial"/>
                <w:szCs w:val="19"/>
                <w:lang w:val="en-US"/>
              </w:rPr>
            </w:pPr>
            <w:r>
              <w:rPr>
                <w:rFonts w:cs="Arial"/>
                <w:szCs w:val="19"/>
                <w:lang w:val="en-US"/>
              </w:rPr>
              <w:t>(</w:t>
            </w:r>
            <w:proofErr w:type="gramStart"/>
            <w:r>
              <w:rPr>
                <w:rFonts w:cs="Arial"/>
                <w:szCs w:val="19"/>
                <w:lang w:val="en-US"/>
              </w:rPr>
              <w:t>company</w:t>
            </w:r>
            <w:proofErr w:type="gramEnd"/>
            <w:r>
              <w:rPr>
                <w:rFonts w:cs="Arial"/>
                <w:szCs w:val="19"/>
                <w:lang w:val="en-US"/>
              </w:rPr>
              <w:t xml:space="preserve"> decision)</w:t>
            </w:r>
          </w:p>
        </w:tc>
      </w:tr>
      <w:tr w:rsidR="009B3AD0" w14:paraId="43960401" w14:textId="77777777" w:rsidTr="001F60D8">
        <w:tc>
          <w:tcPr>
            <w:tcW w:w="1293" w:type="pct"/>
            <w:gridSpan w:val="2"/>
            <w:shd w:val="clear" w:color="auto" w:fill="auto"/>
            <w:tcMar>
              <w:top w:w="57" w:type="dxa"/>
              <w:bottom w:w="57" w:type="dxa"/>
            </w:tcMar>
          </w:tcPr>
          <w:p w14:paraId="3E649117" w14:textId="0CD0F370" w:rsidR="009B3AD0" w:rsidRDefault="009B3AD0" w:rsidP="009B3AD0">
            <w:pPr>
              <w:rPr>
                <w:rFonts w:cs="Arial"/>
                <w:szCs w:val="19"/>
              </w:rPr>
            </w:pPr>
            <w:proofErr w:type="spellStart"/>
            <w:r w:rsidRPr="00474411">
              <w:rPr>
                <w:rFonts w:cs="Arial"/>
                <w:szCs w:val="19"/>
              </w:rPr>
              <w:t>Cemacabtagene</w:t>
            </w:r>
            <w:proofErr w:type="spellEnd"/>
            <w:r w:rsidRPr="00474411">
              <w:rPr>
                <w:rFonts w:cs="Arial"/>
                <w:szCs w:val="19"/>
              </w:rPr>
              <w:t xml:space="preserve"> </w:t>
            </w:r>
            <w:proofErr w:type="spellStart"/>
            <w:r w:rsidRPr="00474411">
              <w:rPr>
                <w:rFonts w:cs="Arial"/>
                <w:szCs w:val="19"/>
              </w:rPr>
              <w:t>ansegedleucel</w:t>
            </w:r>
            <w:proofErr w:type="spellEnd"/>
            <w:r w:rsidRPr="00474411">
              <w:rPr>
                <w:rFonts w:cs="Arial"/>
                <w:szCs w:val="19"/>
              </w:rPr>
              <w:t> </w:t>
            </w:r>
          </w:p>
        </w:tc>
        <w:tc>
          <w:tcPr>
            <w:tcW w:w="3707" w:type="pct"/>
            <w:gridSpan w:val="2"/>
            <w:shd w:val="clear" w:color="auto" w:fill="auto"/>
            <w:tcMar>
              <w:top w:w="57" w:type="dxa"/>
              <w:bottom w:w="57" w:type="dxa"/>
            </w:tcMar>
          </w:tcPr>
          <w:p w14:paraId="331EE723" w14:textId="4717C09E" w:rsidR="009B3AD0" w:rsidRPr="00C05FAF" w:rsidRDefault="009B3AD0" w:rsidP="009B3AD0">
            <w:pPr>
              <w:tabs>
                <w:tab w:val="center" w:pos="3152"/>
              </w:tabs>
              <w:rPr>
                <w:rFonts w:cs="Arial"/>
                <w:szCs w:val="19"/>
                <w:lang w:val="en-US"/>
              </w:rPr>
            </w:pPr>
            <w:r>
              <w:rPr>
                <w:rFonts w:cs="Arial"/>
                <w:szCs w:val="19"/>
                <w:lang w:val="en-US"/>
              </w:rPr>
              <w:t>R</w:t>
            </w:r>
            <w:r w:rsidRPr="00CA6BB6">
              <w:rPr>
                <w:rFonts w:cs="Arial"/>
                <w:szCs w:val="19"/>
                <w:lang w:val="en-US"/>
              </w:rPr>
              <w:t xml:space="preserve">elapsed or refractory </w:t>
            </w:r>
            <w:r>
              <w:rPr>
                <w:rFonts w:cs="Arial"/>
                <w:szCs w:val="19"/>
                <w:lang w:val="en-US"/>
              </w:rPr>
              <w:t>d</w:t>
            </w:r>
            <w:r w:rsidRPr="00CA6BB6">
              <w:rPr>
                <w:rFonts w:cs="Arial"/>
                <w:szCs w:val="19"/>
                <w:lang w:val="en-US"/>
              </w:rPr>
              <w:t>iffuse large B-cell lymphoma in adults</w:t>
            </w:r>
            <w:r>
              <w:rPr>
                <w:rFonts w:cs="Arial"/>
                <w:szCs w:val="19"/>
                <w:lang w:val="en-US"/>
              </w:rPr>
              <w:t>,</w:t>
            </w:r>
            <w:r w:rsidRPr="00CA6BB6">
              <w:rPr>
                <w:rFonts w:cs="Arial"/>
                <w:szCs w:val="19"/>
                <w:lang w:val="en-US"/>
              </w:rPr>
              <w:t xml:space="preserve"> third-line or greater</w:t>
            </w:r>
            <w:r>
              <w:rPr>
                <w:rFonts w:cs="Arial"/>
                <w:szCs w:val="19"/>
                <w:lang w:val="en-US"/>
              </w:rPr>
              <w:t xml:space="preserve"> – development discontinued (company decision)</w:t>
            </w:r>
          </w:p>
        </w:tc>
      </w:tr>
      <w:tr w:rsidR="00305EA8" w14:paraId="17CD8334" w14:textId="77777777" w:rsidTr="001F60D8">
        <w:tc>
          <w:tcPr>
            <w:tcW w:w="1293" w:type="pct"/>
            <w:gridSpan w:val="2"/>
            <w:shd w:val="clear" w:color="auto" w:fill="auto"/>
            <w:tcMar>
              <w:top w:w="57" w:type="dxa"/>
              <w:bottom w:w="57" w:type="dxa"/>
            </w:tcMar>
          </w:tcPr>
          <w:p w14:paraId="1E3C975F" w14:textId="107249B6" w:rsidR="00305EA8" w:rsidRDefault="00305EA8" w:rsidP="00305EA8">
            <w:pPr>
              <w:rPr>
                <w:rFonts w:cs="Arial"/>
                <w:szCs w:val="19"/>
              </w:rPr>
            </w:pPr>
            <w:r>
              <w:rPr>
                <w:rFonts w:cs="Arial"/>
                <w:szCs w:val="19"/>
              </w:rPr>
              <w:t>Durval</w:t>
            </w:r>
            <w:r w:rsidRPr="008B2F38">
              <w:rPr>
                <w:rFonts w:cs="Arial"/>
                <w:szCs w:val="19"/>
              </w:rPr>
              <w:t>umab</w:t>
            </w:r>
            <w:r>
              <w:rPr>
                <w:rFonts w:cs="Arial"/>
                <w:szCs w:val="19"/>
              </w:rPr>
              <w:t xml:space="preserve"> </w:t>
            </w:r>
          </w:p>
        </w:tc>
        <w:tc>
          <w:tcPr>
            <w:tcW w:w="3707" w:type="pct"/>
            <w:gridSpan w:val="2"/>
            <w:shd w:val="clear" w:color="auto" w:fill="auto"/>
            <w:tcMar>
              <w:top w:w="57" w:type="dxa"/>
              <w:bottom w:w="57" w:type="dxa"/>
            </w:tcMar>
          </w:tcPr>
          <w:p w14:paraId="1587DA47" w14:textId="02C59F3B" w:rsidR="00305EA8" w:rsidRDefault="00305EA8" w:rsidP="00305EA8">
            <w:pPr>
              <w:tabs>
                <w:tab w:val="center" w:pos="3152"/>
              </w:tabs>
              <w:rPr>
                <w:rFonts w:cs="Arial"/>
                <w:szCs w:val="19"/>
                <w:lang w:val="en-US"/>
              </w:rPr>
            </w:pPr>
            <w:r>
              <w:rPr>
                <w:rFonts w:cs="Arial"/>
                <w:szCs w:val="19"/>
                <w:lang w:val="en-US"/>
              </w:rPr>
              <w:t>M</w:t>
            </w:r>
            <w:r w:rsidRPr="008B2F38">
              <w:rPr>
                <w:rFonts w:cs="Arial"/>
                <w:szCs w:val="19"/>
                <w:lang w:val="en-US"/>
              </w:rPr>
              <w:t xml:space="preserve">etastatic </w:t>
            </w:r>
            <w:r>
              <w:rPr>
                <w:rFonts w:cs="Arial"/>
                <w:szCs w:val="19"/>
                <w:lang w:val="en-US"/>
              </w:rPr>
              <w:t>n</w:t>
            </w:r>
            <w:r w:rsidRPr="008B2F38">
              <w:rPr>
                <w:rFonts w:cs="Arial"/>
                <w:szCs w:val="19"/>
                <w:lang w:val="en-US"/>
              </w:rPr>
              <w:t xml:space="preserve">on-small cell lung cancer </w:t>
            </w:r>
            <w:r>
              <w:rPr>
                <w:rFonts w:cs="Arial"/>
                <w:szCs w:val="19"/>
                <w:lang w:val="en-US"/>
              </w:rPr>
              <w:t>with</w:t>
            </w:r>
            <w:r w:rsidRPr="008B2F38">
              <w:rPr>
                <w:rFonts w:cs="Arial"/>
                <w:szCs w:val="19"/>
                <w:lang w:val="en-US"/>
              </w:rPr>
              <w:t xml:space="preserve"> no EGFR/ALK mutations in adults</w:t>
            </w:r>
            <w:r>
              <w:rPr>
                <w:rFonts w:cs="Arial"/>
                <w:szCs w:val="19"/>
                <w:lang w:val="en-US"/>
              </w:rPr>
              <w:t>,</w:t>
            </w:r>
            <w:r w:rsidRPr="008B2F38">
              <w:rPr>
                <w:rFonts w:cs="Arial"/>
                <w:szCs w:val="19"/>
                <w:lang w:val="en-US"/>
              </w:rPr>
              <w:t xml:space="preserve"> first-line with </w:t>
            </w:r>
            <w:proofErr w:type="spellStart"/>
            <w:r>
              <w:rPr>
                <w:rFonts w:cs="Arial"/>
                <w:szCs w:val="19"/>
                <w:lang w:val="en-US"/>
              </w:rPr>
              <w:t>tremelimumab</w:t>
            </w:r>
            <w:proofErr w:type="spellEnd"/>
            <w:r w:rsidRPr="008B2F38">
              <w:rPr>
                <w:rFonts w:cs="Arial"/>
                <w:szCs w:val="19"/>
                <w:lang w:val="en-US"/>
              </w:rPr>
              <w:t xml:space="preserve"> and chemotherapy</w:t>
            </w:r>
            <w:r>
              <w:rPr>
                <w:rFonts w:cs="Arial"/>
                <w:szCs w:val="19"/>
                <w:lang w:val="en-US"/>
              </w:rPr>
              <w:t xml:space="preserve"> – UK development discontinued (company decision)</w:t>
            </w:r>
          </w:p>
        </w:tc>
      </w:tr>
      <w:tr w:rsidR="00305EA8" w14:paraId="24CB6D0E" w14:textId="77777777" w:rsidTr="001F60D8">
        <w:tc>
          <w:tcPr>
            <w:tcW w:w="1293" w:type="pct"/>
            <w:gridSpan w:val="2"/>
            <w:shd w:val="clear" w:color="auto" w:fill="auto"/>
            <w:tcMar>
              <w:top w:w="57" w:type="dxa"/>
              <w:bottom w:w="57" w:type="dxa"/>
            </w:tcMar>
          </w:tcPr>
          <w:p w14:paraId="5B0761C9" w14:textId="2C8B3B09" w:rsidR="00305EA8" w:rsidRPr="00446634" w:rsidRDefault="00305EA8" w:rsidP="00305EA8">
            <w:pPr>
              <w:rPr>
                <w:rFonts w:cs="Arial"/>
                <w:szCs w:val="19"/>
              </w:rPr>
            </w:pPr>
            <w:proofErr w:type="spellStart"/>
            <w:r>
              <w:rPr>
                <w:rFonts w:cs="Arial"/>
                <w:szCs w:val="19"/>
              </w:rPr>
              <w:t>Evobrutinib</w:t>
            </w:r>
            <w:proofErr w:type="spellEnd"/>
            <w:r>
              <w:rPr>
                <w:rFonts w:cs="Arial"/>
                <w:szCs w:val="19"/>
              </w:rPr>
              <w:t xml:space="preserve"> </w:t>
            </w:r>
          </w:p>
        </w:tc>
        <w:tc>
          <w:tcPr>
            <w:tcW w:w="3707" w:type="pct"/>
            <w:gridSpan w:val="2"/>
            <w:shd w:val="clear" w:color="auto" w:fill="auto"/>
            <w:tcMar>
              <w:top w:w="57" w:type="dxa"/>
              <w:bottom w:w="57" w:type="dxa"/>
            </w:tcMar>
          </w:tcPr>
          <w:p w14:paraId="453F346F" w14:textId="19FC217E" w:rsidR="00305EA8" w:rsidRPr="00BB200F" w:rsidRDefault="00305EA8" w:rsidP="00305EA8">
            <w:pPr>
              <w:tabs>
                <w:tab w:val="center" w:pos="3152"/>
              </w:tabs>
              <w:rPr>
                <w:rFonts w:cs="Arial"/>
                <w:szCs w:val="19"/>
                <w:lang w:val="en-US"/>
              </w:rPr>
            </w:pPr>
            <w:r>
              <w:rPr>
                <w:rFonts w:cs="Arial"/>
                <w:szCs w:val="19"/>
                <w:lang w:val="en-US"/>
              </w:rPr>
              <w:t>Multiple sclerosis in adults – development discontinued (lack of efficacy)</w:t>
            </w:r>
          </w:p>
        </w:tc>
      </w:tr>
      <w:tr w:rsidR="00305EA8" w14:paraId="20F0D0AD" w14:textId="77777777" w:rsidTr="001F60D8">
        <w:tc>
          <w:tcPr>
            <w:tcW w:w="1293" w:type="pct"/>
            <w:gridSpan w:val="2"/>
            <w:shd w:val="clear" w:color="auto" w:fill="auto"/>
            <w:tcMar>
              <w:top w:w="57" w:type="dxa"/>
              <w:bottom w:w="57" w:type="dxa"/>
            </w:tcMar>
          </w:tcPr>
          <w:p w14:paraId="6BCDBD79" w14:textId="11FDA364" w:rsidR="00305EA8" w:rsidRPr="009B3AD0" w:rsidRDefault="00305EA8" w:rsidP="00305EA8">
            <w:pPr>
              <w:rPr>
                <w:rFonts w:cs="Arial"/>
                <w:szCs w:val="19"/>
              </w:rPr>
            </w:pPr>
            <w:proofErr w:type="spellStart"/>
            <w:r w:rsidRPr="00446634">
              <w:rPr>
                <w:rFonts w:cs="Arial"/>
                <w:szCs w:val="19"/>
              </w:rPr>
              <w:t>Exebacase</w:t>
            </w:r>
            <w:proofErr w:type="spellEnd"/>
            <w:r>
              <w:rPr>
                <w:rFonts w:cs="Arial"/>
                <w:szCs w:val="19"/>
              </w:rPr>
              <w:t xml:space="preserve"> </w:t>
            </w:r>
          </w:p>
        </w:tc>
        <w:tc>
          <w:tcPr>
            <w:tcW w:w="3707" w:type="pct"/>
            <w:gridSpan w:val="2"/>
            <w:shd w:val="clear" w:color="auto" w:fill="auto"/>
            <w:tcMar>
              <w:top w:w="57" w:type="dxa"/>
              <w:bottom w:w="57" w:type="dxa"/>
            </w:tcMar>
          </w:tcPr>
          <w:p w14:paraId="4EEACE15" w14:textId="16607C34" w:rsidR="00305EA8" w:rsidRDefault="00305EA8" w:rsidP="00305EA8">
            <w:pPr>
              <w:tabs>
                <w:tab w:val="center" w:pos="3152"/>
              </w:tabs>
              <w:rPr>
                <w:rFonts w:cs="Arial"/>
                <w:szCs w:val="19"/>
                <w:lang w:val="en-US"/>
              </w:rPr>
            </w:pPr>
            <w:r w:rsidRPr="00446634">
              <w:rPr>
                <w:rFonts w:cs="Arial"/>
                <w:i/>
                <w:iCs/>
                <w:szCs w:val="19"/>
                <w:lang w:val="en-US"/>
              </w:rPr>
              <w:t>Staphylococcus aureus</w:t>
            </w:r>
            <w:r w:rsidRPr="00446634">
              <w:rPr>
                <w:rFonts w:cs="Arial"/>
                <w:szCs w:val="19"/>
                <w:lang w:val="en-US"/>
              </w:rPr>
              <w:t xml:space="preserve"> </w:t>
            </w:r>
            <w:proofErr w:type="spellStart"/>
            <w:r w:rsidRPr="00446634">
              <w:rPr>
                <w:rFonts w:cs="Arial"/>
                <w:szCs w:val="19"/>
                <w:lang w:val="en-US"/>
              </w:rPr>
              <w:t>bacteraemia</w:t>
            </w:r>
            <w:proofErr w:type="spellEnd"/>
            <w:r w:rsidRPr="00446634">
              <w:rPr>
                <w:rFonts w:cs="Arial"/>
                <w:szCs w:val="19"/>
                <w:lang w:val="en-US"/>
              </w:rPr>
              <w:t>, including right-sided endocarditis</w:t>
            </w:r>
            <w:r w:rsidR="00525C36">
              <w:rPr>
                <w:rFonts w:cs="Arial"/>
                <w:szCs w:val="19"/>
                <w:lang w:val="en-US"/>
              </w:rPr>
              <w:t xml:space="preserve"> in adults and </w:t>
            </w:r>
            <w:proofErr w:type="spellStart"/>
            <w:r w:rsidR="00525C36">
              <w:rPr>
                <w:rFonts w:cs="Arial"/>
                <w:szCs w:val="19"/>
                <w:lang w:val="en-US"/>
              </w:rPr>
              <w:t>aolescents</w:t>
            </w:r>
            <w:proofErr w:type="spellEnd"/>
            <w:r>
              <w:rPr>
                <w:rFonts w:cs="Arial"/>
                <w:szCs w:val="19"/>
                <w:lang w:val="en-US"/>
              </w:rPr>
              <w:t xml:space="preserve"> – development discontinued (lack of efficacy and company failed)</w:t>
            </w:r>
          </w:p>
        </w:tc>
      </w:tr>
      <w:tr w:rsidR="00305EA8" w14:paraId="04B61EAB" w14:textId="77777777" w:rsidTr="001F60D8">
        <w:tc>
          <w:tcPr>
            <w:tcW w:w="1293" w:type="pct"/>
            <w:gridSpan w:val="2"/>
            <w:shd w:val="clear" w:color="auto" w:fill="auto"/>
            <w:tcMar>
              <w:top w:w="57" w:type="dxa"/>
              <w:bottom w:w="57" w:type="dxa"/>
            </w:tcMar>
          </w:tcPr>
          <w:p w14:paraId="6D246F7B" w14:textId="0A66CC5C" w:rsidR="00305EA8" w:rsidRPr="00C05FAF" w:rsidRDefault="00305EA8" w:rsidP="00305EA8">
            <w:pPr>
              <w:rPr>
                <w:rFonts w:cs="Arial"/>
                <w:szCs w:val="19"/>
              </w:rPr>
            </w:pPr>
            <w:proofErr w:type="spellStart"/>
            <w:r w:rsidRPr="009B3AD0">
              <w:rPr>
                <w:rFonts w:cs="Arial"/>
                <w:szCs w:val="19"/>
              </w:rPr>
              <w:t>Granexin</w:t>
            </w:r>
            <w:proofErr w:type="spellEnd"/>
            <w:r>
              <w:rPr>
                <w:rFonts w:cs="Arial"/>
                <w:szCs w:val="19"/>
              </w:rPr>
              <w:t xml:space="preserve"> </w:t>
            </w:r>
          </w:p>
        </w:tc>
        <w:tc>
          <w:tcPr>
            <w:tcW w:w="3707" w:type="pct"/>
            <w:gridSpan w:val="2"/>
            <w:shd w:val="clear" w:color="auto" w:fill="auto"/>
            <w:tcMar>
              <w:top w:w="57" w:type="dxa"/>
              <w:bottom w:w="57" w:type="dxa"/>
            </w:tcMar>
          </w:tcPr>
          <w:p w14:paraId="29D5A8B6" w14:textId="78277DF0" w:rsidR="00305EA8" w:rsidRDefault="00305EA8" w:rsidP="00305EA8">
            <w:pPr>
              <w:tabs>
                <w:tab w:val="center" w:pos="3152"/>
              </w:tabs>
              <w:rPr>
                <w:rFonts w:cs="Arial"/>
                <w:szCs w:val="19"/>
                <w:lang w:val="en-US"/>
              </w:rPr>
            </w:pPr>
            <w:r>
              <w:rPr>
                <w:rFonts w:cs="Arial"/>
                <w:szCs w:val="19"/>
                <w:lang w:val="en-US"/>
              </w:rPr>
              <w:t>Diabetic foot ulcer in adults – development discontinued (company decision)</w:t>
            </w:r>
          </w:p>
        </w:tc>
      </w:tr>
      <w:tr w:rsidR="00305EA8" w14:paraId="0EEB923F" w14:textId="77777777" w:rsidTr="001F60D8">
        <w:tc>
          <w:tcPr>
            <w:tcW w:w="1293" w:type="pct"/>
            <w:gridSpan w:val="2"/>
            <w:shd w:val="clear" w:color="auto" w:fill="auto"/>
            <w:tcMar>
              <w:top w:w="57" w:type="dxa"/>
              <w:bottom w:w="57" w:type="dxa"/>
            </w:tcMar>
          </w:tcPr>
          <w:p w14:paraId="59C343B6" w14:textId="677BBAAA" w:rsidR="00305EA8" w:rsidRPr="00BA2C20" w:rsidRDefault="00305EA8" w:rsidP="00305EA8">
            <w:pPr>
              <w:rPr>
                <w:rFonts w:cs="Arial"/>
                <w:szCs w:val="19"/>
              </w:rPr>
            </w:pPr>
            <w:proofErr w:type="spellStart"/>
            <w:r w:rsidRPr="001A779A">
              <w:rPr>
                <w:rFonts w:cs="Arial"/>
                <w:szCs w:val="19"/>
              </w:rPr>
              <w:t>Infigratinib</w:t>
            </w:r>
            <w:proofErr w:type="spellEnd"/>
            <w:r>
              <w:rPr>
                <w:rFonts w:cs="Arial"/>
                <w:szCs w:val="19"/>
              </w:rPr>
              <w:t xml:space="preserve"> </w:t>
            </w:r>
          </w:p>
        </w:tc>
        <w:tc>
          <w:tcPr>
            <w:tcW w:w="3707" w:type="pct"/>
            <w:gridSpan w:val="2"/>
            <w:shd w:val="clear" w:color="auto" w:fill="auto"/>
            <w:tcMar>
              <w:top w:w="57" w:type="dxa"/>
              <w:bottom w:w="57" w:type="dxa"/>
            </w:tcMar>
          </w:tcPr>
          <w:p w14:paraId="330982CC" w14:textId="57422CE4" w:rsidR="00305EA8" w:rsidRPr="00C05FAF" w:rsidRDefault="00305EA8" w:rsidP="00305EA8">
            <w:pPr>
              <w:tabs>
                <w:tab w:val="center" w:pos="3152"/>
              </w:tabs>
              <w:rPr>
                <w:rFonts w:cs="Arial"/>
                <w:szCs w:val="19"/>
                <w:lang w:val="en-US"/>
              </w:rPr>
            </w:pPr>
            <w:r>
              <w:rPr>
                <w:rFonts w:cs="Arial"/>
                <w:szCs w:val="19"/>
                <w:lang w:val="en-US"/>
              </w:rPr>
              <w:t>Urothelial cancer</w:t>
            </w:r>
            <w:r w:rsidR="005F582A">
              <w:rPr>
                <w:rFonts w:cs="Arial"/>
                <w:szCs w:val="19"/>
                <w:lang w:val="en-US"/>
              </w:rPr>
              <w:t xml:space="preserve"> in adults</w:t>
            </w:r>
            <w:r>
              <w:rPr>
                <w:rFonts w:cs="Arial"/>
                <w:szCs w:val="19"/>
                <w:lang w:val="en-US"/>
              </w:rPr>
              <w:t xml:space="preserve"> – development discontinued (company decision)</w:t>
            </w:r>
          </w:p>
        </w:tc>
      </w:tr>
      <w:tr w:rsidR="00305EA8" w14:paraId="024FEC2C" w14:textId="77777777" w:rsidTr="001F60D8">
        <w:tc>
          <w:tcPr>
            <w:tcW w:w="1293" w:type="pct"/>
            <w:gridSpan w:val="2"/>
            <w:shd w:val="clear" w:color="auto" w:fill="auto"/>
            <w:tcMar>
              <w:top w:w="57" w:type="dxa"/>
              <w:bottom w:w="57" w:type="dxa"/>
            </w:tcMar>
          </w:tcPr>
          <w:p w14:paraId="7E562EF5" w14:textId="028EA97F" w:rsidR="00305EA8" w:rsidRPr="00582EF2" w:rsidRDefault="00305EA8" w:rsidP="00305EA8">
            <w:pPr>
              <w:rPr>
                <w:rFonts w:cs="Arial"/>
                <w:szCs w:val="19"/>
              </w:rPr>
            </w:pPr>
            <w:proofErr w:type="spellStart"/>
            <w:r w:rsidRPr="00EA2F97">
              <w:rPr>
                <w:rFonts w:cs="Arial"/>
                <w:szCs w:val="19"/>
              </w:rPr>
              <w:t>Ladiratuzumab</w:t>
            </w:r>
            <w:proofErr w:type="spellEnd"/>
            <w:r w:rsidRPr="00EA2F97">
              <w:rPr>
                <w:rFonts w:cs="Arial"/>
                <w:szCs w:val="19"/>
              </w:rPr>
              <w:t xml:space="preserve"> </w:t>
            </w:r>
            <w:proofErr w:type="spellStart"/>
            <w:r w:rsidRPr="00EA2F97">
              <w:rPr>
                <w:rFonts w:cs="Arial"/>
                <w:szCs w:val="19"/>
              </w:rPr>
              <w:t>vedotin</w:t>
            </w:r>
            <w:proofErr w:type="spellEnd"/>
            <w:r w:rsidRPr="00EA2F97">
              <w:rPr>
                <w:rFonts w:cs="Arial"/>
                <w:szCs w:val="19"/>
              </w:rPr>
              <w:t> </w:t>
            </w:r>
          </w:p>
        </w:tc>
        <w:tc>
          <w:tcPr>
            <w:tcW w:w="3707" w:type="pct"/>
            <w:gridSpan w:val="2"/>
            <w:shd w:val="clear" w:color="auto" w:fill="auto"/>
            <w:tcMar>
              <w:top w:w="57" w:type="dxa"/>
              <w:bottom w:w="57" w:type="dxa"/>
            </w:tcMar>
          </w:tcPr>
          <w:p w14:paraId="4B54766C" w14:textId="009688EE" w:rsidR="00305EA8" w:rsidRDefault="00305EA8" w:rsidP="00305EA8">
            <w:pPr>
              <w:tabs>
                <w:tab w:val="center" w:pos="3152"/>
              </w:tabs>
              <w:rPr>
                <w:rFonts w:cs="Arial"/>
                <w:szCs w:val="19"/>
                <w:lang w:val="en-US"/>
              </w:rPr>
            </w:pPr>
            <w:r>
              <w:rPr>
                <w:rFonts w:cs="Arial"/>
                <w:szCs w:val="19"/>
                <w:lang w:val="en-US"/>
              </w:rPr>
              <w:t>I</w:t>
            </w:r>
            <w:r w:rsidRPr="00EA2F97">
              <w:rPr>
                <w:rFonts w:cs="Arial"/>
                <w:szCs w:val="19"/>
                <w:lang w:val="en-US"/>
              </w:rPr>
              <w:t>noperable or metastatic</w:t>
            </w:r>
            <w:r>
              <w:rPr>
                <w:rFonts w:cs="Arial"/>
                <w:szCs w:val="19"/>
                <w:lang w:val="en-US"/>
              </w:rPr>
              <w:t xml:space="preserve"> solid tumours</w:t>
            </w:r>
            <w:r w:rsidRPr="00EA2F97">
              <w:rPr>
                <w:rFonts w:cs="Arial"/>
                <w:szCs w:val="19"/>
                <w:lang w:val="en-US"/>
              </w:rPr>
              <w:t xml:space="preserve"> in adults</w:t>
            </w:r>
            <w:r>
              <w:rPr>
                <w:rFonts w:cs="Arial"/>
                <w:szCs w:val="19"/>
                <w:lang w:val="en-US"/>
              </w:rPr>
              <w:t>, second-line therapy – development discontinued (company decision)</w:t>
            </w:r>
          </w:p>
        </w:tc>
      </w:tr>
      <w:tr w:rsidR="00305EA8" w14:paraId="0731FBC4" w14:textId="77777777" w:rsidTr="001F60D8">
        <w:tc>
          <w:tcPr>
            <w:tcW w:w="1293" w:type="pct"/>
            <w:gridSpan w:val="2"/>
            <w:shd w:val="clear" w:color="auto" w:fill="auto"/>
            <w:tcMar>
              <w:top w:w="57" w:type="dxa"/>
              <w:bottom w:w="57" w:type="dxa"/>
            </w:tcMar>
          </w:tcPr>
          <w:p w14:paraId="4F240CC8" w14:textId="4D80E4D1" w:rsidR="00305EA8" w:rsidRPr="000C5DE6" w:rsidRDefault="00305EA8" w:rsidP="00305EA8">
            <w:pPr>
              <w:rPr>
                <w:rFonts w:cs="Arial"/>
                <w:szCs w:val="19"/>
              </w:rPr>
            </w:pPr>
            <w:r>
              <w:rPr>
                <w:rFonts w:cs="Arial"/>
                <w:szCs w:val="19"/>
              </w:rPr>
              <w:t>Lenvatinib (</w:t>
            </w:r>
            <w:proofErr w:type="spellStart"/>
            <w:r>
              <w:rPr>
                <w:rFonts w:cs="Arial"/>
                <w:i/>
                <w:iCs/>
                <w:szCs w:val="19"/>
              </w:rPr>
              <w:t>Lenvima</w:t>
            </w:r>
            <w:proofErr w:type="spellEnd"/>
            <w:r>
              <w:rPr>
                <w:rFonts w:cs="Arial"/>
                <w:szCs w:val="19"/>
              </w:rPr>
              <w:t>)</w:t>
            </w:r>
          </w:p>
        </w:tc>
        <w:tc>
          <w:tcPr>
            <w:tcW w:w="3707" w:type="pct"/>
            <w:gridSpan w:val="2"/>
            <w:shd w:val="clear" w:color="auto" w:fill="auto"/>
            <w:tcMar>
              <w:top w:w="57" w:type="dxa"/>
              <w:bottom w:w="57" w:type="dxa"/>
            </w:tcMar>
          </w:tcPr>
          <w:p w14:paraId="350B225C" w14:textId="7634AFD8" w:rsidR="00305EA8" w:rsidRDefault="00305EA8" w:rsidP="00305EA8">
            <w:pPr>
              <w:tabs>
                <w:tab w:val="center" w:pos="3152"/>
              </w:tabs>
              <w:rPr>
                <w:rFonts w:cs="Arial"/>
                <w:szCs w:val="19"/>
                <w:lang w:val="en-US"/>
              </w:rPr>
            </w:pPr>
            <w:r>
              <w:rPr>
                <w:rFonts w:cs="Arial"/>
                <w:szCs w:val="19"/>
                <w:lang w:val="en-US"/>
              </w:rPr>
              <w:t>A</w:t>
            </w:r>
            <w:r w:rsidRPr="000C5DE6">
              <w:rPr>
                <w:rFonts w:cs="Arial"/>
                <w:szCs w:val="19"/>
                <w:lang w:val="en-US"/>
              </w:rPr>
              <w:t>dvanced or recurrent</w:t>
            </w:r>
            <w:r>
              <w:rPr>
                <w:rFonts w:cs="Arial"/>
                <w:szCs w:val="19"/>
                <w:lang w:val="en-US"/>
              </w:rPr>
              <w:t xml:space="preserve"> endometrial cancer</w:t>
            </w:r>
            <w:r w:rsidRPr="000C5DE6">
              <w:rPr>
                <w:rFonts w:cs="Arial"/>
                <w:szCs w:val="19"/>
                <w:lang w:val="en-US"/>
              </w:rPr>
              <w:t xml:space="preserve"> in adults</w:t>
            </w:r>
            <w:r>
              <w:rPr>
                <w:rFonts w:cs="Arial"/>
                <w:szCs w:val="19"/>
                <w:lang w:val="en-US"/>
              </w:rPr>
              <w:t>,</w:t>
            </w:r>
            <w:r w:rsidRPr="000C5DE6">
              <w:rPr>
                <w:rFonts w:cs="Arial"/>
                <w:szCs w:val="19"/>
                <w:lang w:val="en-US"/>
              </w:rPr>
              <w:t xml:space="preserve"> first-line with pembrolizumab</w:t>
            </w:r>
            <w:r>
              <w:rPr>
                <w:rFonts w:cs="Arial"/>
                <w:szCs w:val="19"/>
                <w:lang w:val="en-US"/>
              </w:rPr>
              <w:t xml:space="preserve"> – development discontinued (lack of efficacy)</w:t>
            </w:r>
          </w:p>
        </w:tc>
      </w:tr>
      <w:tr w:rsidR="00305EA8" w14:paraId="26B7FC63" w14:textId="77777777" w:rsidTr="001F60D8">
        <w:tc>
          <w:tcPr>
            <w:tcW w:w="1293" w:type="pct"/>
            <w:gridSpan w:val="2"/>
            <w:shd w:val="clear" w:color="auto" w:fill="auto"/>
            <w:tcMar>
              <w:top w:w="57" w:type="dxa"/>
              <w:bottom w:w="57" w:type="dxa"/>
            </w:tcMar>
          </w:tcPr>
          <w:p w14:paraId="14A8B59C" w14:textId="2506C805" w:rsidR="00305EA8" w:rsidRDefault="00305EA8" w:rsidP="00305EA8">
            <w:pPr>
              <w:rPr>
                <w:rFonts w:cs="Arial"/>
                <w:szCs w:val="19"/>
              </w:rPr>
            </w:pPr>
            <w:r>
              <w:rPr>
                <w:rFonts w:cs="Arial"/>
                <w:szCs w:val="19"/>
              </w:rPr>
              <w:t>Lenvatinib (</w:t>
            </w:r>
            <w:proofErr w:type="spellStart"/>
            <w:r>
              <w:rPr>
                <w:rFonts w:cs="Arial"/>
                <w:i/>
                <w:iCs/>
                <w:szCs w:val="19"/>
              </w:rPr>
              <w:t>Lenvima</w:t>
            </w:r>
            <w:proofErr w:type="spellEnd"/>
            <w:r>
              <w:rPr>
                <w:rFonts w:cs="Arial"/>
                <w:szCs w:val="19"/>
              </w:rPr>
              <w:t>)</w:t>
            </w:r>
          </w:p>
        </w:tc>
        <w:tc>
          <w:tcPr>
            <w:tcW w:w="3707" w:type="pct"/>
            <w:gridSpan w:val="2"/>
            <w:shd w:val="clear" w:color="auto" w:fill="auto"/>
            <w:tcMar>
              <w:top w:w="57" w:type="dxa"/>
              <w:bottom w:w="57" w:type="dxa"/>
            </w:tcMar>
          </w:tcPr>
          <w:p w14:paraId="274BEC61" w14:textId="1F878870" w:rsidR="00305EA8" w:rsidRDefault="00305EA8" w:rsidP="00305EA8">
            <w:pPr>
              <w:tabs>
                <w:tab w:val="center" w:pos="3152"/>
              </w:tabs>
              <w:rPr>
                <w:rFonts w:cs="Arial"/>
                <w:szCs w:val="19"/>
                <w:lang w:val="en-US"/>
              </w:rPr>
            </w:pPr>
            <w:r>
              <w:rPr>
                <w:rFonts w:cs="Arial"/>
                <w:szCs w:val="19"/>
                <w:lang w:val="en-US"/>
              </w:rPr>
              <w:t>M</w:t>
            </w:r>
            <w:r w:rsidRPr="00C10C13">
              <w:rPr>
                <w:rFonts w:cs="Arial"/>
                <w:szCs w:val="19"/>
                <w:lang w:val="en-US"/>
              </w:rPr>
              <w:t xml:space="preserve">etastatic </w:t>
            </w:r>
            <w:r>
              <w:rPr>
                <w:rFonts w:cs="Arial"/>
                <w:szCs w:val="19"/>
                <w:lang w:val="en-US"/>
              </w:rPr>
              <w:t>n</w:t>
            </w:r>
            <w:r w:rsidRPr="00C10C13">
              <w:rPr>
                <w:rFonts w:cs="Arial"/>
                <w:szCs w:val="19"/>
                <w:lang w:val="en-US"/>
              </w:rPr>
              <w:t>on-small cell lung cancer in adults</w:t>
            </w:r>
            <w:r>
              <w:rPr>
                <w:rFonts w:cs="Arial"/>
                <w:szCs w:val="19"/>
                <w:lang w:val="en-US"/>
              </w:rPr>
              <w:t>,</w:t>
            </w:r>
            <w:r w:rsidRPr="00C10C13">
              <w:rPr>
                <w:rFonts w:cs="Arial"/>
                <w:szCs w:val="19"/>
                <w:lang w:val="en-US"/>
              </w:rPr>
              <w:t xml:space="preserve"> </w:t>
            </w:r>
            <w:proofErr w:type="gramStart"/>
            <w:r w:rsidRPr="00C10C13">
              <w:rPr>
                <w:rFonts w:cs="Arial"/>
                <w:szCs w:val="19"/>
                <w:lang w:val="en-US"/>
              </w:rPr>
              <w:t>second-line</w:t>
            </w:r>
            <w:proofErr w:type="gramEnd"/>
            <w:r w:rsidRPr="00C10C13">
              <w:rPr>
                <w:rFonts w:cs="Arial"/>
                <w:szCs w:val="19"/>
                <w:lang w:val="en-US"/>
              </w:rPr>
              <w:t xml:space="preserve"> with pembrolizumab </w:t>
            </w:r>
            <w:r>
              <w:rPr>
                <w:rFonts w:cs="Arial"/>
                <w:szCs w:val="19"/>
                <w:lang w:val="en-US"/>
              </w:rPr>
              <w:t>– development discontinued (lack of efficacy)</w:t>
            </w:r>
          </w:p>
        </w:tc>
      </w:tr>
      <w:tr w:rsidR="00305EA8" w14:paraId="3CEDEC63" w14:textId="77777777" w:rsidTr="001F60D8">
        <w:tc>
          <w:tcPr>
            <w:tcW w:w="1293" w:type="pct"/>
            <w:gridSpan w:val="2"/>
            <w:shd w:val="clear" w:color="auto" w:fill="auto"/>
            <w:tcMar>
              <w:top w:w="57" w:type="dxa"/>
              <w:bottom w:w="57" w:type="dxa"/>
            </w:tcMar>
          </w:tcPr>
          <w:p w14:paraId="26D918D2" w14:textId="5484C192" w:rsidR="00305EA8" w:rsidRDefault="00305EA8" w:rsidP="00305EA8">
            <w:pPr>
              <w:rPr>
                <w:rFonts w:cs="Arial"/>
                <w:szCs w:val="19"/>
              </w:rPr>
            </w:pPr>
            <w:r>
              <w:rPr>
                <w:rFonts w:cs="Arial"/>
                <w:szCs w:val="19"/>
              </w:rPr>
              <w:t>Lenvatinib (</w:t>
            </w:r>
            <w:proofErr w:type="spellStart"/>
            <w:r>
              <w:rPr>
                <w:rFonts w:cs="Arial"/>
                <w:i/>
                <w:iCs/>
                <w:szCs w:val="19"/>
              </w:rPr>
              <w:t>Lenvima</w:t>
            </w:r>
            <w:proofErr w:type="spellEnd"/>
            <w:r>
              <w:rPr>
                <w:rFonts w:cs="Arial"/>
                <w:szCs w:val="19"/>
              </w:rPr>
              <w:t>)</w:t>
            </w:r>
          </w:p>
        </w:tc>
        <w:tc>
          <w:tcPr>
            <w:tcW w:w="3707" w:type="pct"/>
            <w:gridSpan w:val="2"/>
            <w:shd w:val="clear" w:color="auto" w:fill="auto"/>
            <w:tcMar>
              <w:top w:w="57" w:type="dxa"/>
              <w:bottom w:w="57" w:type="dxa"/>
            </w:tcMar>
          </w:tcPr>
          <w:p w14:paraId="719A063B" w14:textId="7B4DA6F3" w:rsidR="00305EA8" w:rsidRDefault="00305EA8" w:rsidP="00305EA8">
            <w:pPr>
              <w:tabs>
                <w:tab w:val="center" w:pos="3152"/>
              </w:tabs>
              <w:rPr>
                <w:rFonts w:cs="Arial"/>
                <w:szCs w:val="19"/>
                <w:lang w:val="en-US"/>
              </w:rPr>
            </w:pPr>
            <w:r>
              <w:rPr>
                <w:rFonts w:cs="Arial"/>
                <w:szCs w:val="19"/>
                <w:lang w:val="en-US"/>
              </w:rPr>
              <w:t>Metastatic non-squamous n</w:t>
            </w:r>
            <w:r w:rsidRPr="007E60B7">
              <w:rPr>
                <w:rFonts w:cs="Arial"/>
                <w:szCs w:val="19"/>
                <w:lang w:val="en-US"/>
              </w:rPr>
              <w:t>on-small cell lung cancer in adults</w:t>
            </w:r>
            <w:r>
              <w:rPr>
                <w:rFonts w:cs="Arial"/>
                <w:szCs w:val="19"/>
                <w:lang w:val="en-US"/>
              </w:rPr>
              <w:t>,</w:t>
            </w:r>
            <w:r w:rsidRPr="007E60B7">
              <w:rPr>
                <w:rFonts w:cs="Arial"/>
                <w:szCs w:val="19"/>
                <w:lang w:val="en-US"/>
              </w:rPr>
              <w:t xml:space="preserve"> first-line with pemetrexed</w:t>
            </w:r>
            <w:r>
              <w:rPr>
                <w:rFonts w:cs="Arial"/>
                <w:szCs w:val="19"/>
                <w:lang w:val="en-US"/>
              </w:rPr>
              <w:t>,</w:t>
            </w:r>
            <w:r w:rsidRPr="007E60B7">
              <w:rPr>
                <w:rFonts w:cs="Arial"/>
                <w:szCs w:val="19"/>
                <w:lang w:val="en-US"/>
              </w:rPr>
              <w:t xml:space="preserve"> platinum chemotherapy </w:t>
            </w:r>
            <w:r>
              <w:rPr>
                <w:rFonts w:cs="Arial"/>
                <w:szCs w:val="19"/>
                <w:lang w:val="en-US"/>
              </w:rPr>
              <w:t>and</w:t>
            </w:r>
            <w:r w:rsidRPr="007E60B7">
              <w:rPr>
                <w:rFonts w:cs="Arial"/>
                <w:szCs w:val="19"/>
                <w:lang w:val="en-US"/>
              </w:rPr>
              <w:t xml:space="preserve"> pembrolizumab </w:t>
            </w:r>
            <w:r>
              <w:rPr>
                <w:rFonts w:cs="Arial"/>
                <w:szCs w:val="19"/>
                <w:lang w:val="en-US"/>
              </w:rPr>
              <w:t>– development discontinued (lack of efficacy)</w:t>
            </w:r>
          </w:p>
        </w:tc>
      </w:tr>
      <w:tr w:rsidR="00305EA8" w14:paraId="2A5BEC7E" w14:textId="77777777" w:rsidTr="001F60D8">
        <w:tc>
          <w:tcPr>
            <w:tcW w:w="1293" w:type="pct"/>
            <w:gridSpan w:val="2"/>
            <w:shd w:val="clear" w:color="auto" w:fill="auto"/>
            <w:tcMar>
              <w:top w:w="57" w:type="dxa"/>
              <w:bottom w:w="57" w:type="dxa"/>
            </w:tcMar>
          </w:tcPr>
          <w:p w14:paraId="7591A369" w14:textId="789CF572" w:rsidR="00305EA8" w:rsidRDefault="00305EA8" w:rsidP="00305EA8">
            <w:pPr>
              <w:rPr>
                <w:rFonts w:cs="Arial"/>
                <w:szCs w:val="19"/>
              </w:rPr>
            </w:pPr>
            <w:proofErr w:type="spellStart"/>
            <w:r w:rsidRPr="00727A31">
              <w:rPr>
                <w:rFonts w:cs="Arial"/>
                <w:szCs w:val="19"/>
              </w:rPr>
              <w:t>Leriglitazone</w:t>
            </w:r>
            <w:proofErr w:type="spellEnd"/>
            <w:r>
              <w:rPr>
                <w:rFonts w:cs="Arial"/>
                <w:szCs w:val="19"/>
              </w:rPr>
              <w:t xml:space="preserve"> (</w:t>
            </w:r>
            <w:proofErr w:type="spellStart"/>
            <w:r w:rsidRPr="00727A31">
              <w:rPr>
                <w:rFonts w:cs="Arial"/>
                <w:i/>
                <w:iCs/>
                <w:szCs w:val="19"/>
              </w:rPr>
              <w:t>Nezglyal</w:t>
            </w:r>
            <w:proofErr w:type="spellEnd"/>
            <w:r>
              <w:rPr>
                <w:rFonts w:cs="Arial"/>
                <w:szCs w:val="19"/>
              </w:rPr>
              <w:t>)</w:t>
            </w:r>
          </w:p>
        </w:tc>
        <w:tc>
          <w:tcPr>
            <w:tcW w:w="3707" w:type="pct"/>
            <w:gridSpan w:val="2"/>
            <w:shd w:val="clear" w:color="auto" w:fill="auto"/>
            <w:tcMar>
              <w:top w:w="57" w:type="dxa"/>
              <w:bottom w:w="57" w:type="dxa"/>
            </w:tcMar>
          </w:tcPr>
          <w:p w14:paraId="6F36F4D8" w14:textId="4F985581" w:rsidR="00305EA8" w:rsidRDefault="00305EA8" w:rsidP="00305EA8">
            <w:pPr>
              <w:tabs>
                <w:tab w:val="center" w:pos="3152"/>
              </w:tabs>
              <w:rPr>
                <w:rFonts w:cs="Arial"/>
                <w:szCs w:val="19"/>
                <w:lang w:val="en-US"/>
              </w:rPr>
            </w:pPr>
            <w:r w:rsidRPr="00727A31">
              <w:rPr>
                <w:rFonts w:cs="Arial"/>
                <w:szCs w:val="19"/>
                <w:lang w:val="en-US"/>
              </w:rPr>
              <w:t>Treatment of cerebral progression and myelopathy in male patients with adrenoleukodystrophy</w:t>
            </w:r>
            <w:r>
              <w:rPr>
                <w:rFonts w:cs="Arial"/>
                <w:szCs w:val="19"/>
                <w:lang w:val="en-US"/>
              </w:rPr>
              <w:t xml:space="preserve"> – not recommended for approval in EU</w:t>
            </w:r>
          </w:p>
        </w:tc>
      </w:tr>
      <w:tr w:rsidR="00305EA8" w14:paraId="4E4B4E98" w14:textId="77777777" w:rsidTr="001F60D8">
        <w:tc>
          <w:tcPr>
            <w:tcW w:w="1293" w:type="pct"/>
            <w:gridSpan w:val="2"/>
            <w:shd w:val="clear" w:color="auto" w:fill="auto"/>
            <w:tcMar>
              <w:top w:w="57" w:type="dxa"/>
              <w:bottom w:w="57" w:type="dxa"/>
            </w:tcMar>
          </w:tcPr>
          <w:p w14:paraId="20E6A043" w14:textId="050E71A9" w:rsidR="00305EA8" w:rsidRPr="00582EF2" w:rsidRDefault="00305EA8" w:rsidP="00305EA8">
            <w:pPr>
              <w:rPr>
                <w:rFonts w:cs="Arial"/>
                <w:szCs w:val="19"/>
              </w:rPr>
            </w:pPr>
            <w:proofErr w:type="spellStart"/>
            <w:r>
              <w:rPr>
                <w:rFonts w:cs="Arial"/>
                <w:szCs w:val="19"/>
              </w:rPr>
              <w:t>Linrodostat</w:t>
            </w:r>
            <w:proofErr w:type="spellEnd"/>
            <w:r>
              <w:rPr>
                <w:rFonts w:cs="Arial"/>
                <w:szCs w:val="19"/>
              </w:rPr>
              <w:t xml:space="preserve"> </w:t>
            </w:r>
          </w:p>
        </w:tc>
        <w:tc>
          <w:tcPr>
            <w:tcW w:w="3707" w:type="pct"/>
            <w:gridSpan w:val="2"/>
            <w:shd w:val="clear" w:color="auto" w:fill="auto"/>
            <w:tcMar>
              <w:top w:w="57" w:type="dxa"/>
              <w:bottom w:w="57" w:type="dxa"/>
            </w:tcMar>
          </w:tcPr>
          <w:p w14:paraId="4A9EEF33" w14:textId="53C1F64E" w:rsidR="00305EA8" w:rsidRPr="00582EF2" w:rsidRDefault="00305EA8" w:rsidP="00305EA8">
            <w:pPr>
              <w:tabs>
                <w:tab w:val="center" w:pos="3152"/>
              </w:tabs>
              <w:rPr>
                <w:rFonts w:cs="Arial"/>
                <w:szCs w:val="19"/>
                <w:lang w:val="en-US"/>
              </w:rPr>
            </w:pPr>
            <w:r>
              <w:rPr>
                <w:rFonts w:cs="Arial"/>
                <w:szCs w:val="19"/>
                <w:lang w:val="en-US"/>
              </w:rPr>
              <w:t>Muscle invasive b</w:t>
            </w:r>
            <w:r w:rsidRPr="00CF50DB">
              <w:rPr>
                <w:rFonts w:cs="Arial"/>
                <w:szCs w:val="19"/>
                <w:lang w:val="en-US"/>
              </w:rPr>
              <w:t>ladder cancer in adult</w:t>
            </w:r>
            <w:r>
              <w:rPr>
                <w:rFonts w:cs="Arial"/>
                <w:szCs w:val="19"/>
                <w:lang w:val="en-US"/>
              </w:rPr>
              <w:t>s,</w:t>
            </w:r>
            <w:r w:rsidRPr="00CF50DB">
              <w:rPr>
                <w:rFonts w:cs="Arial"/>
                <w:szCs w:val="19"/>
                <w:lang w:val="en-US"/>
              </w:rPr>
              <w:t xml:space="preserve"> neoadjuvant therapy with nivolumab, gemcitabine and cisplatin</w:t>
            </w:r>
            <w:r>
              <w:rPr>
                <w:rFonts w:cs="Arial"/>
                <w:szCs w:val="19"/>
                <w:lang w:val="en-US"/>
              </w:rPr>
              <w:t xml:space="preserve"> – development discontinued (company decision)</w:t>
            </w:r>
          </w:p>
        </w:tc>
      </w:tr>
      <w:tr w:rsidR="00305EA8" w14:paraId="284641DB" w14:textId="77777777" w:rsidTr="001F60D8">
        <w:tc>
          <w:tcPr>
            <w:tcW w:w="1293" w:type="pct"/>
            <w:gridSpan w:val="2"/>
            <w:shd w:val="clear" w:color="auto" w:fill="auto"/>
            <w:tcMar>
              <w:top w:w="57" w:type="dxa"/>
              <w:bottom w:w="57" w:type="dxa"/>
            </w:tcMar>
          </w:tcPr>
          <w:p w14:paraId="2394479A" w14:textId="666912C3" w:rsidR="00305EA8" w:rsidRPr="00672A42" w:rsidRDefault="00305EA8" w:rsidP="00305EA8">
            <w:pPr>
              <w:rPr>
                <w:rFonts w:cs="Arial"/>
                <w:szCs w:val="19"/>
              </w:rPr>
            </w:pPr>
            <w:r w:rsidRPr="00582EF2">
              <w:rPr>
                <w:rFonts w:cs="Arial"/>
                <w:szCs w:val="19"/>
              </w:rPr>
              <w:t>Liraglutide</w:t>
            </w:r>
            <w:r>
              <w:rPr>
                <w:rFonts w:cs="Arial"/>
                <w:szCs w:val="19"/>
              </w:rPr>
              <w:t xml:space="preserve"> (</w:t>
            </w:r>
            <w:proofErr w:type="spellStart"/>
            <w:r>
              <w:rPr>
                <w:rFonts w:cs="Arial"/>
                <w:i/>
                <w:iCs/>
                <w:szCs w:val="19"/>
              </w:rPr>
              <w:t>Saxenda</w:t>
            </w:r>
            <w:proofErr w:type="spellEnd"/>
            <w:r>
              <w:rPr>
                <w:rFonts w:cs="Arial"/>
                <w:szCs w:val="19"/>
              </w:rPr>
              <w:t>)</w:t>
            </w:r>
          </w:p>
        </w:tc>
        <w:tc>
          <w:tcPr>
            <w:tcW w:w="3707" w:type="pct"/>
            <w:gridSpan w:val="2"/>
            <w:shd w:val="clear" w:color="auto" w:fill="auto"/>
            <w:tcMar>
              <w:top w:w="57" w:type="dxa"/>
              <w:bottom w:w="57" w:type="dxa"/>
            </w:tcMar>
          </w:tcPr>
          <w:p w14:paraId="0A8B97AB" w14:textId="6801C30A" w:rsidR="00305EA8" w:rsidRDefault="00305EA8" w:rsidP="00305EA8">
            <w:pPr>
              <w:tabs>
                <w:tab w:val="center" w:pos="3152"/>
              </w:tabs>
              <w:rPr>
                <w:rFonts w:cs="Arial"/>
                <w:szCs w:val="19"/>
                <w:lang w:val="en-US"/>
              </w:rPr>
            </w:pPr>
            <w:r w:rsidRPr="00582EF2">
              <w:rPr>
                <w:rFonts w:cs="Arial"/>
                <w:szCs w:val="19"/>
                <w:lang w:val="en-US"/>
              </w:rPr>
              <w:t>Prader-Willi syndrome in children</w:t>
            </w:r>
            <w:r>
              <w:rPr>
                <w:rFonts w:cs="Arial"/>
                <w:szCs w:val="19"/>
                <w:lang w:val="en-US"/>
              </w:rPr>
              <w:t xml:space="preserve"> – development discontinued (lack of efficacy)</w:t>
            </w:r>
          </w:p>
        </w:tc>
      </w:tr>
      <w:tr w:rsidR="00305EA8" w14:paraId="2B5FB820" w14:textId="77777777" w:rsidTr="001F60D8">
        <w:tc>
          <w:tcPr>
            <w:tcW w:w="1293" w:type="pct"/>
            <w:gridSpan w:val="2"/>
            <w:shd w:val="clear" w:color="auto" w:fill="auto"/>
            <w:tcMar>
              <w:top w:w="57" w:type="dxa"/>
              <w:bottom w:w="57" w:type="dxa"/>
            </w:tcMar>
          </w:tcPr>
          <w:p w14:paraId="508AE762" w14:textId="6CFF9C34" w:rsidR="00305EA8" w:rsidRDefault="00305EA8" w:rsidP="00305EA8">
            <w:pPr>
              <w:rPr>
                <w:rFonts w:cs="Arial"/>
                <w:szCs w:val="19"/>
              </w:rPr>
            </w:pPr>
            <w:proofErr w:type="spellStart"/>
            <w:r>
              <w:rPr>
                <w:rFonts w:cs="Arial"/>
                <w:szCs w:val="19"/>
              </w:rPr>
              <w:t>M</w:t>
            </w:r>
            <w:r w:rsidRPr="006063A7">
              <w:rPr>
                <w:rFonts w:cs="Arial"/>
                <w:szCs w:val="19"/>
              </w:rPr>
              <w:t>otolimod</w:t>
            </w:r>
            <w:proofErr w:type="spellEnd"/>
            <w:r w:rsidRPr="006063A7">
              <w:rPr>
                <w:rFonts w:cs="Arial"/>
                <w:szCs w:val="19"/>
              </w:rPr>
              <w:t> </w:t>
            </w:r>
          </w:p>
        </w:tc>
        <w:tc>
          <w:tcPr>
            <w:tcW w:w="3707" w:type="pct"/>
            <w:gridSpan w:val="2"/>
            <w:shd w:val="clear" w:color="auto" w:fill="auto"/>
            <w:tcMar>
              <w:top w:w="57" w:type="dxa"/>
              <w:bottom w:w="57" w:type="dxa"/>
            </w:tcMar>
          </w:tcPr>
          <w:p w14:paraId="7BDB6933" w14:textId="009DA8B6" w:rsidR="00305EA8" w:rsidRDefault="00305EA8" w:rsidP="00305EA8">
            <w:pPr>
              <w:tabs>
                <w:tab w:val="center" w:pos="3152"/>
              </w:tabs>
              <w:rPr>
                <w:rFonts w:cs="Arial"/>
                <w:szCs w:val="19"/>
                <w:lang w:val="en-US"/>
              </w:rPr>
            </w:pPr>
            <w:proofErr w:type="spellStart"/>
            <w:r>
              <w:rPr>
                <w:rFonts w:cs="Arial"/>
                <w:szCs w:val="19"/>
                <w:lang w:val="en-US"/>
              </w:rPr>
              <w:t>Resectable</w:t>
            </w:r>
            <w:proofErr w:type="spellEnd"/>
            <w:r>
              <w:rPr>
                <w:rFonts w:cs="Arial"/>
                <w:szCs w:val="19"/>
                <w:lang w:val="en-US"/>
              </w:rPr>
              <w:t xml:space="preserve"> s</w:t>
            </w:r>
            <w:r w:rsidRPr="006063A7">
              <w:rPr>
                <w:rFonts w:cs="Arial"/>
                <w:szCs w:val="19"/>
                <w:lang w:val="en-US"/>
              </w:rPr>
              <w:t xml:space="preserve">quamous cell carcinoma </w:t>
            </w:r>
            <w:r>
              <w:rPr>
                <w:rFonts w:cs="Arial"/>
                <w:szCs w:val="19"/>
                <w:lang w:val="en-US"/>
              </w:rPr>
              <w:t xml:space="preserve">of head and neck </w:t>
            </w:r>
            <w:r w:rsidRPr="006063A7">
              <w:rPr>
                <w:rFonts w:cs="Arial"/>
                <w:szCs w:val="19"/>
                <w:lang w:val="en-US"/>
              </w:rPr>
              <w:t>in adults</w:t>
            </w:r>
            <w:r>
              <w:rPr>
                <w:rFonts w:cs="Arial"/>
                <w:szCs w:val="19"/>
                <w:lang w:val="en-US"/>
              </w:rPr>
              <w:t xml:space="preserve">, </w:t>
            </w:r>
            <w:r w:rsidRPr="006063A7">
              <w:rPr>
                <w:rFonts w:cs="Arial"/>
                <w:szCs w:val="19"/>
                <w:lang w:val="en-US"/>
              </w:rPr>
              <w:t>with nivolumab</w:t>
            </w:r>
            <w:r>
              <w:rPr>
                <w:rFonts w:cs="Arial"/>
                <w:szCs w:val="19"/>
                <w:lang w:val="en-US"/>
              </w:rPr>
              <w:t xml:space="preserve"> – development discontinued (company decision)</w:t>
            </w:r>
          </w:p>
        </w:tc>
      </w:tr>
      <w:tr w:rsidR="00305EA8" w14:paraId="75CE3C86" w14:textId="77777777" w:rsidTr="001F60D8">
        <w:tc>
          <w:tcPr>
            <w:tcW w:w="1293" w:type="pct"/>
            <w:gridSpan w:val="2"/>
            <w:shd w:val="clear" w:color="auto" w:fill="auto"/>
            <w:tcMar>
              <w:top w:w="57" w:type="dxa"/>
              <w:bottom w:w="57" w:type="dxa"/>
            </w:tcMar>
          </w:tcPr>
          <w:p w14:paraId="54CB652D" w14:textId="69823EFF" w:rsidR="00305EA8" w:rsidRDefault="00305EA8" w:rsidP="00305EA8">
            <w:pPr>
              <w:rPr>
                <w:rFonts w:cs="Arial"/>
                <w:szCs w:val="19"/>
              </w:rPr>
            </w:pPr>
            <w:r>
              <w:rPr>
                <w:rFonts w:cs="Arial"/>
                <w:szCs w:val="19"/>
              </w:rPr>
              <w:t>Nivolumab (</w:t>
            </w:r>
            <w:proofErr w:type="spellStart"/>
            <w:r w:rsidRPr="00402101">
              <w:rPr>
                <w:rFonts w:cs="Arial"/>
                <w:i/>
                <w:iCs/>
                <w:szCs w:val="19"/>
              </w:rPr>
              <w:t>Opdivo</w:t>
            </w:r>
            <w:proofErr w:type="spellEnd"/>
            <w:r>
              <w:rPr>
                <w:rFonts w:cs="Arial"/>
                <w:szCs w:val="19"/>
              </w:rPr>
              <w:t>)</w:t>
            </w:r>
          </w:p>
        </w:tc>
        <w:tc>
          <w:tcPr>
            <w:tcW w:w="3707" w:type="pct"/>
            <w:gridSpan w:val="2"/>
            <w:shd w:val="clear" w:color="auto" w:fill="auto"/>
            <w:tcMar>
              <w:top w:w="57" w:type="dxa"/>
              <w:bottom w:w="57" w:type="dxa"/>
            </w:tcMar>
          </w:tcPr>
          <w:p w14:paraId="19F56271" w14:textId="570BA490" w:rsidR="00305EA8" w:rsidRDefault="00305EA8" w:rsidP="00305EA8">
            <w:pPr>
              <w:tabs>
                <w:tab w:val="center" w:pos="3152"/>
              </w:tabs>
              <w:rPr>
                <w:rFonts w:cs="Arial"/>
                <w:szCs w:val="19"/>
                <w:lang w:val="en-US"/>
              </w:rPr>
            </w:pPr>
            <w:r w:rsidRPr="005D2028">
              <w:rPr>
                <w:rFonts w:cs="Arial"/>
                <w:szCs w:val="19"/>
                <w:lang w:val="en-US"/>
              </w:rPr>
              <w:t>High-risk, HR-positive, HER2-negative</w:t>
            </w:r>
            <w:r>
              <w:rPr>
                <w:rFonts w:cs="Arial"/>
                <w:szCs w:val="19"/>
                <w:lang w:val="en-US"/>
              </w:rPr>
              <w:t xml:space="preserve"> breast cancer</w:t>
            </w:r>
            <w:r w:rsidRPr="005D2028">
              <w:rPr>
                <w:rFonts w:cs="Arial"/>
                <w:szCs w:val="19"/>
                <w:lang w:val="en-US"/>
              </w:rPr>
              <w:t xml:space="preserve"> in adults</w:t>
            </w:r>
            <w:r>
              <w:rPr>
                <w:rFonts w:cs="Arial"/>
                <w:szCs w:val="19"/>
                <w:lang w:val="en-US"/>
              </w:rPr>
              <w:t>,</w:t>
            </w:r>
            <w:r w:rsidRPr="005D2028">
              <w:rPr>
                <w:rFonts w:cs="Arial"/>
                <w:szCs w:val="19"/>
                <w:lang w:val="en-US"/>
              </w:rPr>
              <w:t xml:space="preserve"> neoadjuvant therapy </w:t>
            </w:r>
            <w:r>
              <w:rPr>
                <w:rFonts w:cs="Arial"/>
                <w:szCs w:val="19"/>
                <w:lang w:val="en-US"/>
              </w:rPr>
              <w:t>– development discontinued (company decision)</w:t>
            </w:r>
          </w:p>
        </w:tc>
      </w:tr>
      <w:tr w:rsidR="00305EA8" w14:paraId="0B6104DC" w14:textId="77777777" w:rsidTr="001F60D8">
        <w:tc>
          <w:tcPr>
            <w:tcW w:w="1293" w:type="pct"/>
            <w:gridSpan w:val="2"/>
            <w:shd w:val="clear" w:color="auto" w:fill="auto"/>
            <w:tcMar>
              <w:top w:w="57" w:type="dxa"/>
              <w:bottom w:w="57" w:type="dxa"/>
            </w:tcMar>
          </w:tcPr>
          <w:p w14:paraId="7BD3B9E4" w14:textId="74B02E45" w:rsidR="00305EA8" w:rsidRPr="00402101" w:rsidRDefault="00305EA8" w:rsidP="00305EA8">
            <w:pPr>
              <w:rPr>
                <w:rFonts w:cs="Arial"/>
                <w:i/>
                <w:iCs/>
                <w:szCs w:val="19"/>
              </w:rPr>
            </w:pPr>
            <w:r>
              <w:rPr>
                <w:rFonts w:cs="Arial"/>
                <w:szCs w:val="19"/>
              </w:rPr>
              <w:t>Nivolumab (</w:t>
            </w:r>
            <w:proofErr w:type="spellStart"/>
            <w:r w:rsidRPr="00402101">
              <w:rPr>
                <w:rFonts w:cs="Arial"/>
                <w:i/>
                <w:iCs/>
                <w:szCs w:val="19"/>
              </w:rPr>
              <w:t>Opdivo</w:t>
            </w:r>
            <w:proofErr w:type="spellEnd"/>
            <w:r>
              <w:rPr>
                <w:rFonts w:cs="Arial"/>
                <w:szCs w:val="19"/>
              </w:rPr>
              <w:t>)</w:t>
            </w:r>
          </w:p>
        </w:tc>
        <w:tc>
          <w:tcPr>
            <w:tcW w:w="3707" w:type="pct"/>
            <w:gridSpan w:val="2"/>
            <w:shd w:val="clear" w:color="auto" w:fill="auto"/>
            <w:tcMar>
              <w:top w:w="57" w:type="dxa"/>
              <w:bottom w:w="57" w:type="dxa"/>
            </w:tcMar>
          </w:tcPr>
          <w:p w14:paraId="048F5FF6" w14:textId="608BF60D" w:rsidR="00305EA8" w:rsidRDefault="00305EA8" w:rsidP="00305EA8">
            <w:pPr>
              <w:tabs>
                <w:tab w:val="center" w:pos="3152"/>
              </w:tabs>
              <w:rPr>
                <w:rFonts w:cs="Arial"/>
                <w:szCs w:val="19"/>
                <w:lang w:val="en-US"/>
              </w:rPr>
            </w:pPr>
            <w:r>
              <w:rPr>
                <w:rFonts w:cs="Arial"/>
                <w:szCs w:val="19"/>
                <w:lang w:val="en-US"/>
              </w:rPr>
              <w:t>H</w:t>
            </w:r>
            <w:r w:rsidRPr="003C4EDF">
              <w:rPr>
                <w:rFonts w:cs="Arial"/>
                <w:szCs w:val="19"/>
                <w:lang w:val="en-US"/>
              </w:rPr>
              <w:t>igh risk HR-positive, HER2-negative</w:t>
            </w:r>
            <w:r>
              <w:rPr>
                <w:rFonts w:cs="Arial"/>
                <w:szCs w:val="19"/>
                <w:lang w:val="en-US"/>
              </w:rPr>
              <w:t xml:space="preserve"> breast cancer</w:t>
            </w:r>
            <w:r w:rsidRPr="003C4EDF">
              <w:rPr>
                <w:rFonts w:cs="Arial"/>
                <w:szCs w:val="19"/>
                <w:lang w:val="en-US"/>
              </w:rPr>
              <w:t xml:space="preserve"> in adults</w:t>
            </w:r>
            <w:r>
              <w:rPr>
                <w:rFonts w:cs="Arial"/>
                <w:szCs w:val="19"/>
                <w:lang w:val="en-US"/>
              </w:rPr>
              <w:t>,</w:t>
            </w:r>
            <w:r w:rsidRPr="003C4EDF">
              <w:rPr>
                <w:rFonts w:cs="Arial"/>
                <w:szCs w:val="19"/>
                <w:lang w:val="en-US"/>
              </w:rPr>
              <w:t xml:space="preserve"> peri-adjuvant therapy</w:t>
            </w:r>
            <w:r>
              <w:rPr>
                <w:rFonts w:cs="Arial"/>
                <w:szCs w:val="19"/>
                <w:lang w:val="en-US"/>
              </w:rPr>
              <w:t xml:space="preserve"> – development discontinued (company decision)</w:t>
            </w:r>
          </w:p>
        </w:tc>
      </w:tr>
      <w:tr w:rsidR="00305EA8" w14:paraId="0211ADBE" w14:textId="77777777" w:rsidTr="001F60D8">
        <w:tc>
          <w:tcPr>
            <w:tcW w:w="1293" w:type="pct"/>
            <w:gridSpan w:val="2"/>
            <w:shd w:val="clear" w:color="auto" w:fill="auto"/>
            <w:tcMar>
              <w:top w:w="57" w:type="dxa"/>
              <w:bottom w:w="57" w:type="dxa"/>
            </w:tcMar>
          </w:tcPr>
          <w:p w14:paraId="2E22223E" w14:textId="547AB190" w:rsidR="00305EA8" w:rsidRDefault="00305EA8" w:rsidP="00305EA8">
            <w:pPr>
              <w:rPr>
                <w:rFonts w:cs="Arial"/>
                <w:szCs w:val="19"/>
              </w:rPr>
            </w:pPr>
            <w:r>
              <w:rPr>
                <w:rFonts w:cs="Arial"/>
                <w:szCs w:val="19"/>
              </w:rPr>
              <w:t>Nivolumab (</w:t>
            </w:r>
            <w:proofErr w:type="spellStart"/>
            <w:r w:rsidRPr="00402101">
              <w:rPr>
                <w:rFonts w:cs="Arial"/>
                <w:i/>
                <w:iCs/>
                <w:szCs w:val="19"/>
              </w:rPr>
              <w:t>Opdivo</w:t>
            </w:r>
            <w:proofErr w:type="spellEnd"/>
            <w:r>
              <w:rPr>
                <w:rFonts w:cs="Arial"/>
                <w:szCs w:val="19"/>
              </w:rPr>
              <w:t>)</w:t>
            </w:r>
          </w:p>
        </w:tc>
        <w:tc>
          <w:tcPr>
            <w:tcW w:w="3707" w:type="pct"/>
            <w:gridSpan w:val="2"/>
            <w:shd w:val="clear" w:color="auto" w:fill="auto"/>
            <w:tcMar>
              <w:top w:w="57" w:type="dxa"/>
              <w:bottom w:w="57" w:type="dxa"/>
            </w:tcMar>
          </w:tcPr>
          <w:p w14:paraId="6E88682E" w14:textId="01FABED4" w:rsidR="00305EA8" w:rsidRDefault="00305EA8" w:rsidP="00305EA8">
            <w:pPr>
              <w:tabs>
                <w:tab w:val="center" w:pos="3152"/>
              </w:tabs>
              <w:rPr>
                <w:rFonts w:cs="Arial"/>
                <w:szCs w:val="19"/>
                <w:lang w:val="en-US"/>
              </w:rPr>
            </w:pPr>
            <w:r>
              <w:rPr>
                <w:rFonts w:cs="Arial"/>
                <w:szCs w:val="19"/>
                <w:lang w:val="en-US"/>
              </w:rPr>
              <w:t>Localised r</w:t>
            </w:r>
            <w:r w:rsidRPr="00402101">
              <w:rPr>
                <w:rFonts w:cs="Arial"/>
                <w:szCs w:val="19"/>
                <w:lang w:val="en-US"/>
              </w:rPr>
              <w:t>enal cell carcinoma in adults</w:t>
            </w:r>
            <w:r>
              <w:rPr>
                <w:rFonts w:cs="Arial"/>
                <w:szCs w:val="19"/>
                <w:lang w:val="en-US"/>
              </w:rPr>
              <w:t>,</w:t>
            </w:r>
            <w:r w:rsidRPr="00402101">
              <w:rPr>
                <w:rFonts w:cs="Arial"/>
                <w:szCs w:val="19"/>
                <w:lang w:val="en-US"/>
              </w:rPr>
              <w:t xml:space="preserve"> adjuvant therapy with/without ipilimumab</w:t>
            </w:r>
            <w:r>
              <w:rPr>
                <w:rFonts w:cs="Arial"/>
                <w:szCs w:val="19"/>
                <w:lang w:val="en-US"/>
              </w:rPr>
              <w:t xml:space="preserve"> – development discontinued (lack of efficacy)</w:t>
            </w:r>
          </w:p>
        </w:tc>
      </w:tr>
      <w:tr w:rsidR="00305EA8" w14:paraId="19C18051" w14:textId="77777777" w:rsidTr="001F60D8">
        <w:tc>
          <w:tcPr>
            <w:tcW w:w="1293" w:type="pct"/>
            <w:gridSpan w:val="2"/>
            <w:shd w:val="clear" w:color="auto" w:fill="auto"/>
            <w:tcMar>
              <w:top w:w="57" w:type="dxa"/>
              <w:bottom w:w="57" w:type="dxa"/>
            </w:tcMar>
          </w:tcPr>
          <w:p w14:paraId="01029E77" w14:textId="02D3EDA4" w:rsidR="00305EA8" w:rsidRPr="0093587E" w:rsidRDefault="00305EA8" w:rsidP="00305EA8">
            <w:pPr>
              <w:rPr>
                <w:rFonts w:cs="Arial"/>
                <w:szCs w:val="19"/>
              </w:rPr>
            </w:pPr>
            <w:r>
              <w:rPr>
                <w:rFonts w:cs="Arial"/>
                <w:szCs w:val="19"/>
              </w:rPr>
              <w:t>Olaparib (</w:t>
            </w:r>
            <w:r>
              <w:rPr>
                <w:rFonts w:cs="Arial"/>
                <w:i/>
                <w:iCs/>
                <w:szCs w:val="19"/>
              </w:rPr>
              <w:t>Lynparza</w:t>
            </w:r>
            <w:r>
              <w:rPr>
                <w:rFonts w:cs="Arial"/>
                <w:szCs w:val="19"/>
              </w:rPr>
              <w:t>)</w:t>
            </w:r>
          </w:p>
        </w:tc>
        <w:tc>
          <w:tcPr>
            <w:tcW w:w="3707" w:type="pct"/>
            <w:gridSpan w:val="2"/>
            <w:shd w:val="clear" w:color="auto" w:fill="auto"/>
            <w:tcMar>
              <w:top w:w="57" w:type="dxa"/>
              <w:bottom w:w="57" w:type="dxa"/>
            </w:tcMar>
          </w:tcPr>
          <w:p w14:paraId="5C85F2D3" w14:textId="78D7C731" w:rsidR="00305EA8" w:rsidRDefault="00305EA8" w:rsidP="00305EA8">
            <w:pPr>
              <w:tabs>
                <w:tab w:val="center" w:pos="3152"/>
              </w:tabs>
              <w:rPr>
                <w:rFonts w:cs="Arial"/>
                <w:szCs w:val="19"/>
                <w:lang w:val="en-US"/>
              </w:rPr>
            </w:pPr>
            <w:r>
              <w:rPr>
                <w:rFonts w:cs="Arial"/>
                <w:szCs w:val="19"/>
                <w:lang w:val="en-US"/>
              </w:rPr>
              <w:t>P</w:t>
            </w:r>
            <w:r w:rsidRPr="0093587E">
              <w:rPr>
                <w:rFonts w:cs="Arial"/>
                <w:szCs w:val="19"/>
                <w:lang w:val="en-US"/>
              </w:rPr>
              <w:t>latinum refractory or resistant, BRCA1/2-negative</w:t>
            </w:r>
            <w:r>
              <w:rPr>
                <w:rFonts w:cs="Arial"/>
                <w:szCs w:val="19"/>
                <w:lang w:val="en-US"/>
              </w:rPr>
              <w:t xml:space="preserve"> o</w:t>
            </w:r>
            <w:r w:rsidRPr="0093587E">
              <w:rPr>
                <w:rFonts w:cs="Arial"/>
                <w:szCs w:val="19"/>
                <w:lang w:val="en-US"/>
              </w:rPr>
              <w:t>varian cancer in adults</w:t>
            </w:r>
            <w:r>
              <w:rPr>
                <w:rFonts w:cs="Arial"/>
                <w:szCs w:val="19"/>
                <w:lang w:val="en-US"/>
              </w:rPr>
              <w:t>,</w:t>
            </w:r>
            <w:r w:rsidRPr="0093587E">
              <w:rPr>
                <w:rFonts w:cs="Arial"/>
                <w:szCs w:val="19"/>
                <w:lang w:val="en-US"/>
              </w:rPr>
              <w:t xml:space="preserve"> </w:t>
            </w:r>
            <w:proofErr w:type="gramStart"/>
            <w:r w:rsidRPr="0093587E">
              <w:rPr>
                <w:rFonts w:cs="Arial"/>
                <w:szCs w:val="19"/>
                <w:lang w:val="en-US"/>
              </w:rPr>
              <w:t>second-line</w:t>
            </w:r>
            <w:proofErr w:type="gramEnd"/>
            <w:r w:rsidRPr="0093587E">
              <w:rPr>
                <w:rFonts w:cs="Arial"/>
                <w:szCs w:val="19"/>
                <w:lang w:val="en-US"/>
              </w:rPr>
              <w:t xml:space="preserve"> plus with </w:t>
            </w:r>
            <w:proofErr w:type="spellStart"/>
            <w:r w:rsidRPr="0093587E">
              <w:rPr>
                <w:rFonts w:cs="Arial"/>
                <w:szCs w:val="19"/>
                <w:lang w:val="en-US"/>
              </w:rPr>
              <w:t>alpelisib</w:t>
            </w:r>
            <w:proofErr w:type="spellEnd"/>
            <w:r w:rsidRPr="0093587E">
              <w:rPr>
                <w:rFonts w:cs="Arial"/>
                <w:szCs w:val="19"/>
                <w:lang w:val="en-US"/>
              </w:rPr>
              <w:t xml:space="preserve">  </w:t>
            </w:r>
            <w:r>
              <w:rPr>
                <w:rFonts w:cs="Arial"/>
                <w:szCs w:val="19"/>
                <w:lang w:val="en-US"/>
              </w:rPr>
              <w:t xml:space="preserve"> - development discontinued (lack of efficacy and safety concern)</w:t>
            </w:r>
          </w:p>
        </w:tc>
      </w:tr>
      <w:tr w:rsidR="00305EA8" w14:paraId="2A93B3E3" w14:textId="77777777" w:rsidTr="001F60D8">
        <w:tc>
          <w:tcPr>
            <w:tcW w:w="1293" w:type="pct"/>
            <w:gridSpan w:val="2"/>
            <w:shd w:val="clear" w:color="auto" w:fill="auto"/>
            <w:tcMar>
              <w:top w:w="57" w:type="dxa"/>
              <w:bottom w:w="57" w:type="dxa"/>
            </w:tcMar>
          </w:tcPr>
          <w:p w14:paraId="179AD149" w14:textId="77777777" w:rsidR="00305EA8" w:rsidRDefault="00305EA8" w:rsidP="00305EA8">
            <w:pPr>
              <w:rPr>
                <w:rFonts w:cs="Arial"/>
                <w:szCs w:val="19"/>
              </w:rPr>
            </w:pPr>
            <w:proofErr w:type="spellStart"/>
            <w:r w:rsidRPr="00B531A6">
              <w:rPr>
                <w:rFonts w:cs="Arial"/>
                <w:szCs w:val="19"/>
              </w:rPr>
              <w:t>Oportuzumab</w:t>
            </w:r>
            <w:proofErr w:type="spellEnd"/>
            <w:r w:rsidRPr="00B531A6">
              <w:rPr>
                <w:rFonts w:cs="Arial"/>
                <w:szCs w:val="19"/>
              </w:rPr>
              <w:t xml:space="preserve"> </w:t>
            </w:r>
            <w:proofErr w:type="spellStart"/>
            <w:r w:rsidRPr="00B531A6">
              <w:rPr>
                <w:rFonts w:cs="Arial"/>
                <w:szCs w:val="19"/>
              </w:rPr>
              <w:t>monatox</w:t>
            </w:r>
            <w:proofErr w:type="spellEnd"/>
            <w:r w:rsidRPr="00B531A6">
              <w:rPr>
                <w:rFonts w:cs="Arial"/>
                <w:szCs w:val="19"/>
              </w:rPr>
              <w:t> </w:t>
            </w:r>
          </w:p>
          <w:p w14:paraId="05572057" w14:textId="0DB5EEE7" w:rsidR="00305EA8" w:rsidRPr="00B531A6" w:rsidRDefault="00305EA8" w:rsidP="00305EA8">
            <w:pPr>
              <w:rPr>
                <w:rFonts w:cs="Arial"/>
                <w:szCs w:val="19"/>
              </w:rPr>
            </w:pPr>
            <w:r>
              <w:rPr>
                <w:rFonts w:cs="Arial"/>
                <w:szCs w:val="19"/>
              </w:rPr>
              <w:t>(</w:t>
            </w:r>
            <w:proofErr w:type="spellStart"/>
            <w:r>
              <w:rPr>
                <w:rFonts w:cs="Arial"/>
                <w:i/>
                <w:iCs/>
                <w:szCs w:val="19"/>
              </w:rPr>
              <w:t>Vicineum</w:t>
            </w:r>
            <w:proofErr w:type="spellEnd"/>
            <w:r>
              <w:rPr>
                <w:rFonts w:cs="Arial"/>
                <w:szCs w:val="19"/>
              </w:rPr>
              <w:t>)</w:t>
            </w:r>
          </w:p>
        </w:tc>
        <w:tc>
          <w:tcPr>
            <w:tcW w:w="3707" w:type="pct"/>
            <w:gridSpan w:val="2"/>
            <w:shd w:val="clear" w:color="auto" w:fill="auto"/>
            <w:tcMar>
              <w:top w:w="57" w:type="dxa"/>
              <w:bottom w:w="57" w:type="dxa"/>
            </w:tcMar>
          </w:tcPr>
          <w:p w14:paraId="7A806445" w14:textId="3068AFD6" w:rsidR="00305EA8" w:rsidRDefault="00305EA8" w:rsidP="00305EA8">
            <w:pPr>
              <w:tabs>
                <w:tab w:val="center" w:pos="3152"/>
              </w:tabs>
              <w:rPr>
                <w:rFonts w:cs="Arial"/>
                <w:szCs w:val="19"/>
                <w:lang w:val="en-US"/>
              </w:rPr>
            </w:pPr>
            <w:r>
              <w:rPr>
                <w:rFonts w:cs="Arial"/>
                <w:szCs w:val="19"/>
                <w:lang w:val="en-US"/>
              </w:rPr>
              <w:t>Bladder cancer</w:t>
            </w:r>
            <w:r w:rsidR="005F582A">
              <w:rPr>
                <w:rFonts w:cs="Arial"/>
                <w:szCs w:val="19"/>
                <w:lang w:val="en-US"/>
              </w:rPr>
              <w:t xml:space="preserve"> in adults</w:t>
            </w:r>
            <w:r>
              <w:rPr>
                <w:rFonts w:cs="Arial"/>
                <w:szCs w:val="19"/>
                <w:lang w:val="en-US"/>
              </w:rPr>
              <w:t xml:space="preserve"> – development discontinued (company decision)</w:t>
            </w:r>
          </w:p>
        </w:tc>
      </w:tr>
      <w:tr w:rsidR="00305EA8" w14:paraId="7EB37496" w14:textId="77777777" w:rsidTr="001F60D8">
        <w:tc>
          <w:tcPr>
            <w:tcW w:w="1293" w:type="pct"/>
            <w:gridSpan w:val="2"/>
            <w:shd w:val="clear" w:color="auto" w:fill="auto"/>
            <w:tcMar>
              <w:top w:w="57" w:type="dxa"/>
              <w:bottom w:w="57" w:type="dxa"/>
            </w:tcMar>
          </w:tcPr>
          <w:p w14:paraId="05B44A54" w14:textId="57B88437" w:rsidR="00305EA8" w:rsidRPr="00EF2CAB" w:rsidRDefault="00305EA8" w:rsidP="00305EA8">
            <w:pPr>
              <w:rPr>
                <w:rFonts w:cs="Arial"/>
                <w:szCs w:val="19"/>
              </w:rPr>
            </w:pPr>
            <w:proofErr w:type="spellStart"/>
            <w:r w:rsidRPr="00EF2CAB">
              <w:rPr>
                <w:rFonts w:cs="Arial"/>
                <w:szCs w:val="19"/>
              </w:rPr>
              <w:t>Oteseconazole</w:t>
            </w:r>
            <w:proofErr w:type="spellEnd"/>
            <w:r>
              <w:rPr>
                <w:rFonts w:cs="Arial"/>
                <w:szCs w:val="19"/>
              </w:rPr>
              <w:t xml:space="preserve"> (</w:t>
            </w:r>
            <w:proofErr w:type="spellStart"/>
            <w:r>
              <w:rPr>
                <w:rFonts w:cs="Arial"/>
                <w:i/>
                <w:iCs/>
                <w:szCs w:val="19"/>
              </w:rPr>
              <w:t>Vivjoa</w:t>
            </w:r>
            <w:proofErr w:type="spellEnd"/>
            <w:r>
              <w:rPr>
                <w:rFonts w:cs="Arial"/>
                <w:szCs w:val="19"/>
              </w:rPr>
              <w:t>)</w:t>
            </w:r>
          </w:p>
        </w:tc>
        <w:tc>
          <w:tcPr>
            <w:tcW w:w="3707" w:type="pct"/>
            <w:gridSpan w:val="2"/>
            <w:shd w:val="clear" w:color="auto" w:fill="auto"/>
            <w:tcMar>
              <w:top w:w="57" w:type="dxa"/>
              <w:bottom w:w="57" w:type="dxa"/>
            </w:tcMar>
          </w:tcPr>
          <w:p w14:paraId="70942745" w14:textId="1CEB83D9" w:rsidR="00305EA8" w:rsidRDefault="00305EA8" w:rsidP="00305EA8">
            <w:pPr>
              <w:tabs>
                <w:tab w:val="center" w:pos="3152"/>
              </w:tabs>
              <w:rPr>
                <w:rFonts w:cs="Arial"/>
                <w:szCs w:val="19"/>
                <w:lang w:val="en-US"/>
              </w:rPr>
            </w:pPr>
            <w:r w:rsidRPr="00EF2CAB">
              <w:rPr>
                <w:rFonts w:cs="Arial"/>
                <w:szCs w:val="19"/>
                <w:lang w:val="en-US"/>
              </w:rPr>
              <w:t xml:space="preserve">Treatment and prevention of recurrent </w:t>
            </w:r>
            <w:r>
              <w:rPr>
                <w:rFonts w:cs="Arial"/>
                <w:szCs w:val="19"/>
                <w:lang w:val="en-US"/>
              </w:rPr>
              <w:t>vulvovaginal candidiasis in adults – development discontinued (company decision)</w:t>
            </w:r>
          </w:p>
        </w:tc>
      </w:tr>
      <w:tr w:rsidR="00305EA8" w14:paraId="54326CC6" w14:textId="77777777" w:rsidTr="001F60D8">
        <w:tc>
          <w:tcPr>
            <w:tcW w:w="1293" w:type="pct"/>
            <w:gridSpan w:val="2"/>
            <w:shd w:val="clear" w:color="auto" w:fill="auto"/>
            <w:tcMar>
              <w:top w:w="57" w:type="dxa"/>
              <w:bottom w:w="57" w:type="dxa"/>
            </w:tcMar>
          </w:tcPr>
          <w:p w14:paraId="05CC7936" w14:textId="432C7B4F" w:rsidR="00305EA8" w:rsidRDefault="00305EA8" w:rsidP="00305EA8">
            <w:pPr>
              <w:rPr>
                <w:rFonts w:cs="Arial"/>
                <w:szCs w:val="19"/>
              </w:rPr>
            </w:pPr>
            <w:r>
              <w:rPr>
                <w:rFonts w:cs="Arial"/>
                <w:szCs w:val="19"/>
              </w:rPr>
              <w:t>P</w:t>
            </w:r>
            <w:r w:rsidRPr="00C66ACA">
              <w:rPr>
                <w:rFonts w:cs="Arial"/>
                <w:szCs w:val="19"/>
              </w:rPr>
              <w:t xml:space="preserve">aclitaxel + </w:t>
            </w:r>
            <w:proofErr w:type="spellStart"/>
            <w:r w:rsidRPr="00C66ACA">
              <w:rPr>
                <w:rFonts w:cs="Arial"/>
                <w:szCs w:val="19"/>
              </w:rPr>
              <w:t>encequidar</w:t>
            </w:r>
            <w:proofErr w:type="spellEnd"/>
            <w:r w:rsidRPr="00C66ACA">
              <w:rPr>
                <w:rFonts w:cs="Arial"/>
                <w:szCs w:val="19"/>
              </w:rPr>
              <w:t> </w:t>
            </w:r>
          </w:p>
        </w:tc>
        <w:tc>
          <w:tcPr>
            <w:tcW w:w="3707" w:type="pct"/>
            <w:gridSpan w:val="2"/>
            <w:shd w:val="clear" w:color="auto" w:fill="auto"/>
            <w:tcMar>
              <w:top w:w="57" w:type="dxa"/>
              <w:bottom w:w="57" w:type="dxa"/>
            </w:tcMar>
          </w:tcPr>
          <w:p w14:paraId="1052D141" w14:textId="24A54C1A" w:rsidR="00305EA8" w:rsidRDefault="00305EA8" w:rsidP="00305EA8">
            <w:pPr>
              <w:tabs>
                <w:tab w:val="center" w:pos="3152"/>
              </w:tabs>
              <w:rPr>
                <w:rFonts w:cs="Arial"/>
                <w:szCs w:val="19"/>
                <w:lang w:val="en-US"/>
              </w:rPr>
            </w:pPr>
            <w:r>
              <w:rPr>
                <w:rFonts w:cs="Arial"/>
                <w:szCs w:val="19"/>
                <w:lang w:val="en-US"/>
              </w:rPr>
              <w:t>Breast cancer in adults – development discontinued (company failed)</w:t>
            </w:r>
          </w:p>
        </w:tc>
      </w:tr>
      <w:tr w:rsidR="00305EA8" w14:paraId="66AC8E30" w14:textId="77777777" w:rsidTr="001F60D8">
        <w:tc>
          <w:tcPr>
            <w:tcW w:w="1293" w:type="pct"/>
            <w:gridSpan w:val="2"/>
            <w:shd w:val="clear" w:color="auto" w:fill="auto"/>
            <w:tcMar>
              <w:top w:w="57" w:type="dxa"/>
              <w:bottom w:w="57" w:type="dxa"/>
            </w:tcMar>
          </w:tcPr>
          <w:p w14:paraId="4E7B4557" w14:textId="5D1E0D33" w:rsidR="00305EA8" w:rsidRDefault="00305EA8" w:rsidP="00305EA8">
            <w:pPr>
              <w:rPr>
                <w:rFonts w:cs="Arial"/>
                <w:szCs w:val="19"/>
              </w:rPr>
            </w:pPr>
            <w:proofErr w:type="spellStart"/>
            <w:r>
              <w:rPr>
                <w:rFonts w:cs="Arial"/>
                <w:szCs w:val="19"/>
              </w:rPr>
              <w:t>Pamrevlumab</w:t>
            </w:r>
            <w:proofErr w:type="spellEnd"/>
            <w:r>
              <w:rPr>
                <w:rFonts w:cs="Arial"/>
                <w:szCs w:val="19"/>
              </w:rPr>
              <w:t xml:space="preserve"> </w:t>
            </w:r>
          </w:p>
        </w:tc>
        <w:tc>
          <w:tcPr>
            <w:tcW w:w="3707" w:type="pct"/>
            <w:gridSpan w:val="2"/>
            <w:shd w:val="clear" w:color="auto" w:fill="auto"/>
            <w:tcMar>
              <w:top w:w="57" w:type="dxa"/>
              <w:bottom w:w="57" w:type="dxa"/>
            </w:tcMar>
          </w:tcPr>
          <w:p w14:paraId="6A1FF2A5" w14:textId="116900C3" w:rsidR="00305EA8" w:rsidRDefault="00305EA8" w:rsidP="00305EA8">
            <w:pPr>
              <w:tabs>
                <w:tab w:val="center" w:pos="3152"/>
              </w:tabs>
              <w:rPr>
                <w:rFonts w:cs="Arial"/>
                <w:szCs w:val="19"/>
                <w:lang w:val="en-US"/>
              </w:rPr>
            </w:pPr>
            <w:r>
              <w:rPr>
                <w:rFonts w:cs="Arial"/>
                <w:szCs w:val="19"/>
                <w:lang w:val="en-US"/>
              </w:rPr>
              <w:t xml:space="preserve">Duchenne muscular dystrophy </w:t>
            </w:r>
            <w:r w:rsidR="005F582A" w:rsidRPr="005F582A">
              <w:rPr>
                <w:rFonts w:cs="Arial"/>
                <w:szCs w:val="19"/>
                <w:lang w:val="en-US"/>
              </w:rPr>
              <w:t xml:space="preserve">in children aged 6 to 11 years </w:t>
            </w:r>
            <w:r>
              <w:rPr>
                <w:rFonts w:cs="Arial"/>
                <w:szCs w:val="19"/>
                <w:lang w:val="en-US"/>
              </w:rPr>
              <w:t>– development discontinued (lack of efficacy)</w:t>
            </w:r>
          </w:p>
        </w:tc>
      </w:tr>
      <w:tr w:rsidR="00305EA8" w:rsidRPr="000F19E1" w14:paraId="08093391" w14:textId="77777777" w:rsidTr="001F60D8">
        <w:tc>
          <w:tcPr>
            <w:tcW w:w="1293" w:type="pct"/>
            <w:gridSpan w:val="2"/>
            <w:shd w:val="clear" w:color="auto" w:fill="auto"/>
            <w:tcMar>
              <w:top w:w="0" w:type="dxa"/>
              <w:bottom w:w="0" w:type="dxa"/>
            </w:tcMar>
          </w:tcPr>
          <w:p w14:paraId="784FD031" w14:textId="77777777" w:rsidR="00305EA8" w:rsidRPr="000F19E1" w:rsidRDefault="00305EA8" w:rsidP="00305EA8">
            <w:pPr>
              <w:rPr>
                <w:rFonts w:cs="Arial"/>
                <w:bCs/>
                <w:sz w:val="8"/>
                <w:szCs w:val="8"/>
              </w:rPr>
            </w:pPr>
          </w:p>
        </w:tc>
        <w:tc>
          <w:tcPr>
            <w:tcW w:w="3707" w:type="pct"/>
            <w:gridSpan w:val="2"/>
            <w:shd w:val="clear" w:color="auto" w:fill="auto"/>
            <w:tcMar>
              <w:top w:w="0" w:type="dxa"/>
              <w:bottom w:w="0" w:type="dxa"/>
            </w:tcMar>
          </w:tcPr>
          <w:p w14:paraId="28F2DCB1" w14:textId="77777777" w:rsidR="00305EA8" w:rsidRPr="000F19E1" w:rsidRDefault="00305EA8" w:rsidP="00305EA8">
            <w:pPr>
              <w:tabs>
                <w:tab w:val="center" w:pos="3152"/>
              </w:tabs>
              <w:rPr>
                <w:rFonts w:cs="Arial"/>
                <w:sz w:val="8"/>
                <w:szCs w:val="8"/>
                <w:lang w:val="en-US"/>
              </w:rPr>
            </w:pPr>
          </w:p>
        </w:tc>
      </w:tr>
      <w:tr w:rsidR="00305EA8" w:rsidRPr="000F19E1" w14:paraId="79BD15CB" w14:textId="77777777" w:rsidTr="00155BD9">
        <w:tc>
          <w:tcPr>
            <w:tcW w:w="1355" w:type="pct"/>
            <w:gridSpan w:val="3"/>
            <w:shd w:val="clear" w:color="auto" w:fill="DAEEF3"/>
            <w:tcMar>
              <w:top w:w="0" w:type="dxa"/>
              <w:bottom w:w="0" w:type="dxa"/>
            </w:tcMar>
          </w:tcPr>
          <w:p w14:paraId="640BFD2B" w14:textId="77777777" w:rsidR="00305EA8" w:rsidRPr="000F19E1" w:rsidRDefault="00305EA8" w:rsidP="00305EA8">
            <w:pPr>
              <w:rPr>
                <w:rFonts w:cs="Arial"/>
                <w:bCs/>
                <w:sz w:val="8"/>
                <w:szCs w:val="8"/>
              </w:rPr>
            </w:pPr>
          </w:p>
        </w:tc>
        <w:tc>
          <w:tcPr>
            <w:tcW w:w="3645" w:type="pct"/>
            <w:shd w:val="clear" w:color="auto" w:fill="DAEEF3"/>
            <w:tcMar>
              <w:top w:w="0" w:type="dxa"/>
              <w:bottom w:w="0" w:type="dxa"/>
            </w:tcMar>
          </w:tcPr>
          <w:p w14:paraId="3AFC3D01" w14:textId="77777777" w:rsidR="00305EA8" w:rsidRPr="000F19E1" w:rsidRDefault="00305EA8" w:rsidP="00305EA8">
            <w:pPr>
              <w:tabs>
                <w:tab w:val="center" w:pos="3152"/>
              </w:tabs>
              <w:rPr>
                <w:rFonts w:cs="Arial"/>
                <w:sz w:val="8"/>
                <w:szCs w:val="8"/>
                <w:lang w:val="en-US"/>
              </w:rPr>
            </w:pPr>
          </w:p>
        </w:tc>
      </w:tr>
    </w:tbl>
    <w:p w14:paraId="65FA030E" w14:textId="77777777" w:rsidR="001A42CE" w:rsidRDefault="001A42CE">
      <w:pPr>
        <w:rPr>
          <w:sz w:val="18"/>
        </w:rPr>
      </w:pPr>
    </w:p>
    <w:p w14:paraId="43542918" w14:textId="77777777" w:rsidR="00A81694" w:rsidRDefault="00A81694">
      <w:pPr>
        <w:rPr>
          <w:sz w:val="18"/>
        </w:rPr>
      </w:pPr>
    </w:p>
    <w:p w14:paraId="79636378" w14:textId="77777777" w:rsidR="00A75BCB" w:rsidRDefault="00A75BCB"/>
    <w:tbl>
      <w:tblPr>
        <w:tblW w:w="5170" w:type="pct"/>
        <w:tblInd w:w="-176" w:type="dxa"/>
        <w:tblLayout w:type="fixed"/>
        <w:tblLook w:val="01E0" w:firstRow="1" w:lastRow="1" w:firstColumn="1" w:lastColumn="1" w:noHBand="0" w:noVBand="0"/>
      </w:tblPr>
      <w:tblGrid>
        <w:gridCol w:w="2430"/>
        <w:gridCol w:w="298"/>
        <w:gridCol w:w="131"/>
        <w:gridCol w:w="7692"/>
      </w:tblGrid>
      <w:tr w:rsidR="00D35ED4" w:rsidRPr="00862949" w14:paraId="60613BB8" w14:textId="77777777" w:rsidTr="00065AFF">
        <w:tc>
          <w:tcPr>
            <w:tcW w:w="5000" w:type="pct"/>
            <w:gridSpan w:val="4"/>
            <w:shd w:val="clear" w:color="auto" w:fill="0070C0"/>
            <w:tcMar>
              <w:top w:w="85" w:type="dxa"/>
              <w:bottom w:w="85" w:type="dxa"/>
            </w:tcMar>
            <w:vAlign w:val="bottom"/>
          </w:tcPr>
          <w:p w14:paraId="1C180414" w14:textId="77777777" w:rsidR="00D35ED4" w:rsidRPr="00862949" w:rsidRDefault="00D35ED4" w:rsidP="00065AFF">
            <w:pPr>
              <w:rPr>
                <w:rFonts w:cs="Arial"/>
                <w:color w:val="FFFFFF"/>
                <w:sz w:val="15"/>
                <w:szCs w:val="15"/>
              </w:rPr>
            </w:pPr>
            <w:r w:rsidRPr="00862949">
              <w:rPr>
                <w:rFonts w:cs="Arial"/>
                <w:b/>
                <w:bCs/>
                <w:iCs/>
                <w:color w:val="FFFFFF"/>
                <w:sz w:val="28"/>
                <w:szCs w:val="28"/>
                <w:lang w:val="en-US"/>
              </w:rPr>
              <w:t xml:space="preserve">Regulatory changes in the </w:t>
            </w:r>
            <w:r>
              <w:rPr>
                <w:rFonts w:cs="Arial"/>
                <w:b/>
                <w:bCs/>
                <w:iCs/>
                <w:color w:val="FFFFFF"/>
                <w:sz w:val="28"/>
                <w:szCs w:val="28"/>
                <w:lang w:val="en-US"/>
              </w:rPr>
              <w:t xml:space="preserve">UK or </w:t>
            </w:r>
            <w:r w:rsidRPr="00862949">
              <w:rPr>
                <w:rFonts w:cs="Arial"/>
                <w:b/>
                <w:bCs/>
                <w:iCs/>
                <w:color w:val="FFFFFF"/>
                <w:sz w:val="28"/>
                <w:szCs w:val="28"/>
                <w:lang w:val="en-US"/>
              </w:rPr>
              <w:t>EU</w:t>
            </w:r>
            <w:r w:rsidRPr="00862949">
              <w:rPr>
                <w:rFonts w:cs="Arial"/>
                <w:b/>
                <w:bCs/>
                <w:iCs/>
                <w:color w:val="FFFFFF"/>
                <w:sz w:val="28"/>
                <w:szCs w:val="28"/>
                <w:lang w:val="en-US"/>
              </w:rPr>
              <w:tab/>
            </w:r>
          </w:p>
        </w:tc>
      </w:tr>
      <w:tr w:rsidR="00D35ED4" w:rsidRPr="000F19E1" w14:paraId="10692617" w14:textId="77777777" w:rsidTr="00065AFF">
        <w:tc>
          <w:tcPr>
            <w:tcW w:w="1152" w:type="pct"/>
            <w:shd w:val="clear" w:color="auto" w:fill="DAEEF3"/>
            <w:tcMar>
              <w:top w:w="0" w:type="dxa"/>
              <w:bottom w:w="0" w:type="dxa"/>
            </w:tcMar>
          </w:tcPr>
          <w:p w14:paraId="0D3CF47D" w14:textId="77777777" w:rsidR="00D35ED4" w:rsidRPr="000F19E1" w:rsidRDefault="00D35ED4" w:rsidP="00065AFF">
            <w:pPr>
              <w:rPr>
                <w:rFonts w:cs="Arial"/>
                <w:bCs/>
                <w:sz w:val="8"/>
                <w:szCs w:val="8"/>
              </w:rPr>
            </w:pPr>
          </w:p>
        </w:tc>
        <w:tc>
          <w:tcPr>
            <w:tcW w:w="3848" w:type="pct"/>
            <w:gridSpan w:val="3"/>
            <w:shd w:val="clear" w:color="auto" w:fill="DAEEF3"/>
            <w:tcMar>
              <w:top w:w="0" w:type="dxa"/>
              <w:bottom w:w="0" w:type="dxa"/>
            </w:tcMar>
          </w:tcPr>
          <w:p w14:paraId="767C0F70" w14:textId="77777777" w:rsidR="00D35ED4" w:rsidRPr="000F19E1" w:rsidRDefault="00D35ED4" w:rsidP="00065AFF">
            <w:pPr>
              <w:tabs>
                <w:tab w:val="center" w:pos="3152"/>
              </w:tabs>
              <w:rPr>
                <w:rFonts w:cs="Arial"/>
                <w:sz w:val="8"/>
                <w:szCs w:val="8"/>
                <w:lang w:val="en-US"/>
              </w:rPr>
            </w:pPr>
          </w:p>
        </w:tc>
      </w:tr>
      <w:tr w:rsidR="00D35ED4" w:rsidRPr="004642B4" w14:paraId="32BD88B5" w14:textId="77777777" w:rsidTr="00065AFF">
        <w:tc>
          <w:tcPr>
            <w:tcW w:w="5000" w:type="pct"/>
            <w:gridSpan w:val="4"/>
            <w:shd w:val="clear" w:color="auto" w:fill="00B050"/>
            <w:tcMar>
              <w:top w:w="57" w:type="dxa"/>
              <w:bottom w:w="57" w:type="dxa"/>
            </w:tcMar>
          </w:tcPr>
          <w:p w14:paraId="2CE6F123" w14:textId="523F222F" w:rsidR="00D35ED4" w:rsidRPr="004642B4" w:rsidRDefault="00D35ED4" w:rsidP="00065AFF">
            <w:pPr>
              <w:rPr>
                <w:rFonts w:cs="Arial"/>
                <w:noProof/>
                <w:color w:val="FFFFFF"/>
                <w:sz w:val="16"/>
                <w:szCs w:val="16"/>
              </w:rPr>
            </w:pPr>
            <w:r w:rsidRPr="004642B4">
              <w:rPr>
                <w:rFonts w:cs="Arial"/>
                <w:b/>
                <w:bCs/>
                <w:i/>
                <w:iCs/>
                <w:color w:val="FFFFFF"/>
                <w:sz w:val="22"/>
                <w:szCs w:val="20"/>
                <w:lang w:val="en-US"/>
              </w:rPr>
              <w:t xml:space="preserve">Other </w:t>
            </w:r>
            <w:r>
              <w:rPr>
                <w:rFonts w:cs="Arial"/>
                <w:b/>
                <w:bCs/>
                <w:i/>
                <w:iCs/>
                <w:color w:val="FFFFFF"/>
                <w:sz w:val="22"/>
                <w:szCs w:val="20"/>
                <w:lang w:val="en-US"/>
              </w:rPr>
              <w:t>UK/</w:t>
            </w:r>
            <w:r w:rsidRPr="004642B4">
              <w:rPr>
                <w:rFonts w:cs="Arial"/>
                <w:b/>
                <w:bCs/>
                <w:i/>
                <w:iCs/>
                <w:color w:val="FFFFFF"/>
                <w:sz w:val="22"/>
                <w:szCs w:val="20"/>
                <w:lang w:val="en-US"/>
              </w:rPr>
              <w:t>EU developments</w:t>
            </w:r>
            <w:r>
              <w:rPr>
                <w:rFonts w:cs="Arial"/>
                <w:b/>
                <w:bCs/>
                <w:i/>
                <w:iCs/>
                <w:color w:val="FFFFFF"/>
                <w:sz w:val="22"/>
                <w:szCs w:val="20"/>
                <w:lang w:val="en-US"/>
              </w:rPr>
              <w:t xml:space="preserve"> </w:t>
            </w:r>
            <w:r w:rsidRPr="00D35ED4">
              <w:rPr>
                <w:rFonts w:cs="Arial"/>
                <w:b/>
                <w:bCs/>
                <w:color w:val="FFFFFF"/>
                <w:sz w:val="16"/>
                <w:szCs w:val="14"/>
                <w:lang w:val="en-US"/>
              </w:rPr>
              <w:t>(continued)</w:t>
            </w:r>
          </w:p>
        </w:tc>
      </w:tr>
      <w:tr w:rsidR="00D35ED4" w:rsidRPr="005D27EC" w14:paraId="0487ECD9" w14:textId="77777777" w:rsidTr="00065AFF">
        <w:tc>
          <w:tcPr>
            <w:tcW w:w="1293" w:type="pct"/>
            <w:gridSpan w:val="2"/>
            <w:shd w:val="clear" w:color="auto" w:fill="auto"/>
            <w:tcMar>
              <w:top w:w="57" w:type="dxa"/>
              <w:bottom w:w="57" w:type="dxa"/>
            </w:tcMar>
          </w:tcPr>
          <w:p w14:paraId="17B70C42" w14:textId="77777777" w:rsidR="00D35ED4" w:rsidRPr="00631375" w:rsidRDefault="00D35ED4" w:rsidP="00065AFF">
            <w:pPr>
              <w:rPr>
                <w:rFonts w:cs="Arial"/>
                <w:szCs w:val="19"/>
              </w:rPr>
            </w:pPr>
            <w:proofErr w:type="spellStart"/>
            <w:r>
              <w:rPr>
                <w:rFonts w:cs="Arial"/>
                <w:szCs w:val="19"/>
              </w:rPr>
              <w:t>Pegcetacoplan</w:t>
            </w:r>
            <w:proofErr w:type="spellEnd"/>
            <w:r>
              <w:rPr>
                <w:rFonts w:cs="Arial"/>
                <w:szCs w:val="19"/>
              </w:rPr>
              <w:t xml:space="preserve"> (</w:t>
            </w:r>
            <w:proofErr w:type="spellStart"/>
            <w:r>
              <w:rPr>
                <w:rFonts w:cs="Arial"/>
                <w:i/>
                <w:iCs/>
                <w:szCs w:val="19"/>
              </w:rPr>
              <w:t>Syfovre</w:t>
            </w:r>
            <w:proofErr w:type="spellEnd"/>
            <w:r>
              <w:rPr>
                <w:rFonts w:cs="Arial"/>
                <w:szCs w:val="19"/>
              </w:rPr>
              <w:t>)</w:t>
            </w:r>
          </w:p>
        </w:tc>
        <w:tc>
          <w:tcPr>
            <w:tcW w:w="3707" w:type="pct"/>
            <w:gridSpan w:val="2"/>
            <w:shd w:val="clear" w:color="auto" w:fill="auto"/>
            <w:tcMar>
              <w:top w:w="57" w:type="dxa"/>
              <w:bottom w:w="57" w:type="dxa"/>
            </w:tcMar>
          </w:tcPr>
          <w:p w14:paraId="645DFB8B" w14:textId="11641E86" w:rsidR="00D35ED4" w:rsidRPr="005D27EC" w:rsidRDefault="00D35ED4" w:rsidP="00065AFF">
            <w:pPr>
              <w:tabs>
                <w:tab w:val="center" w:pos="3152"/>
              </w:tabs>
              <w:rPr>
                <w:rFonts w:cs="Arial"/>
                <w:szCs w:val="19"/>
                <w:lang w:val="en-US"/>
              </w:rPr>
            </w:pPr>
            <w:r w:rsidRPr="00631375">
              <w:rPr>
                <w:rFonts w:cs="Arial"/>
                <w:szCs w:val="19"/>
                <w:lang w:val="en-US"/>
              </w:rPr>
              <w:t>Treatment of geographic atrophy secondary to age-related macular degeneration</w:t>
            </w:r>
            <w:r>
              <w:rPr>
                <w:rFonts w:cs="Arial"/>
                <w:szCs w:val="19"/>
                <w:lang w:val="en-US"/>
              </w:rPr>
              <w:t xml:space="preserve"> </w:t>
            </w:r>
            <w:r w:rsidR="005F582A">
              <w:rPr>
                <w:rFonts w:cs="Arial"/>
                <w:szCs w:val="19"/>
                <w:lang w:val="en-US"/>
              </w:rPr>
              <w:t xml:space="preserve">in adults </w:t>
            </w:r>
            <w:r>
              <w:rPr>
                <w:rFonts w:cs="Arial"/>
                <w:szCs w:val="19"/>
                <w:lang w:val="en-US"/>
              </w:rPr>
              <w:t>– not recommended for approval in EU</w:t>
            </w:r>
          </w:p>
        </w:tc>
      </w:tr>
      <w:tr w:rsidR="00D35ED4" w14:paraId="3F1BC14B" w14:textId="77777777" w:rsidTr="00065AFF">
        <w:tc>
          <w:tcPr>
            <w:tcW w:w="1293" w:type="pct"/>
            <w:gridSpan w:val="2"/>
            <w:shd w:val="clear" w:color="auto" w:fill="auto"/>
            <w:tcMar>
              <w:top w:w="57" w:type="dxa"/>
              <w:bottom w:w="57" w:type="dxa"/>
            </w:tcMar>
          </w:tcPr>
          <w:p w14:paraId="6D960324" w14:textId="77777777" w:rsidR="00D35ED4" w:rsidRDefault="00D35ED4" w:rsidP="00065AFF">
            <w:pPr>
              <w:rPr>
                <w:rFonts w:cs="Arial"/>
                <w:szCs w:val="19"/>
              </w:rPr>
            </w:pPr>
            <w:r>
              <w:rPr>
                <w:rFonts w:cs="Arial"/>
                <w:szCs w:val="19"/>
              </w:rPr>
              <w:t>Pembrolizumab (</w:t>
            </w:r>
            <w:r w:rsidRPr="00C10C13">
              <w:rPr>
                <w:rFonts w:cs="Arial"/>
                <w:i/>
                <w:iCs/>
                <w:szCs w:val="19"/>
              </w:rPr>
              <w:t>Keytruda</w:t>
            </w:r>
            <w:r>
              <w:rPr>
                <w:rFonts w:cs="Arial"/>
                <w:szCs w:val="19"/>
              </w:rPr>
              <w:t>)</w:t>
            </w:r>
          </w:p>
        </w:tc>
        <w:tc>
          <w:tcPr>
            <w:tcW w:w="3707" w:type="pct"/>
            <w:gridSpan w:val="2"/>
            <w:shd w:val="clear" w:color="auto" w:fill="auto"/>
            <w:tcMar>
              <w:top w:w="57" w:type="dxa"/>
              <w:bottom w:w="57" w:type="dxa"/>
            </w:tcMar>
          </w:tcPr>
          <w:p w14:paraId="2F0372C4" w14:textId="77777777" w:rsidR="00D35ED4" w:rsidRDefault="00D35ED4" w:rsidP="00065AFF">
            <w:pPr>
              <w:tabs>
                <w:tab w:val="center" w:pos="3152"/>
              </w:tabs>
              <w:rPr>
                <w:rFonts w:cs="Arial"/>
                <w:szCs w:val="19"/>
                <w:lang w:val="en-US"/>
              </w:rPr>
            </w:pPr>
            <w:r w:rsidRPr="005D27EC">
              <w:rPr>
                <w:rFonts w:cs="Arial"/>
                <w:szCs w:val="19"/>
                <w:lang w:val="en-US"/>
              </w:rPr>
              <w:tab/>
              <w:t>Inoperable locally advanced or metastatic, triple-negative</w:t>
            </w:r>
            <w:r>
              <w:rPr>
                <w:rFonts w:cs="Arial"/>
                <w:szCs w:val="19"/>
                <w:lang w:val="en-US"/>
              </w:rPr>
              <w:t xml:space="preserve"> breast cancer </w:t>
            </w:r>
            <w:r w:rsidRPr="005D27EC">
              <w:rPr>
                <w:rFonts w:cs="Arial"/>
                <w:szCs w:val="19"/>
                <w:lang w:val="en-US"/>
              </w:rPr>
              <w:t>in adults</w:t>
            </w:r>
            <w:r>
              <w:rPr>
                <w:rFonts w:cs="Arial"/>
                <w:szCs w:val="19"/>
                <w:lang w:val="en-US"/>
              </w:rPr>
              <w:t>,</w:t>
            </w:r>
            <w:r w:rsidRPr="005D27EC">
              <w:rPr>
                <w:rFonts w:cs="Arial"/>
                <w:szCs w:val="19"/>
                <w:lang w:val="en-US"/>
              </w:rPr>
              <w:t xml:space="preserve"> first-line with chemotherapy and then maintenance with </w:t>
            </w:r>
            <w:proofErr w:type="spellStart"/>
            <w:r w:rsidRPr="005D27EC">
              <w:rPr>
                <w:rFonts w:cs="Arial"/>
                <w:szCs w:val="19"/>
                <w:lang w:val="en-US"/>
              </w:rPr>
              <w:t>olaparib</w:t>
            </w:r>
            <w:proofErr w:type="spellEnd"/>
            <w:r>
              <w:rPr>
                <w:rFonts w:cs="Arial"/>
                <w:szCs w:val="19"/>
                <w:lang w:val="en-US"/>
              </w:rPr>
              <w:t xml:space="preserve"> – development </w:t>
            </w:r>
            <w:proofErr w:type="gramStart"/>
            <w:r>
              <w:rPr>
                <w:rFonts w:cs="Arial"/>
                <w:szCs w:val="19"/>
                <w:lang w:val="en-US"/>
              </w:rPr>
              <w:t>discontinued</w:t>
            </w:r>
            <w:proofErr w:type="gramEnd"/>
            <w:r>
              <w:rPr>
                <w:rFonts w:cs="Arial"/>
                <w:szCs w:val="19"/>
                <w:lang w:val="en-US"/>
              </w:rPr>
              <w:t xml:space="preserve"> </w:t>
            </w:r>
          </w:p>
          <w:p w14:paraId="32569841" w14:textId="77777777" w:rsidR="00D35ED4" w:rsidRDefault="00D35ED4" w:rsidP="00065AFF">
            <w:pPr>
              <w:tabs>
                <w:tab w:val="center" w:pos="3152"/>
              </w:tabs>
              <w:rPr>
                <w:rFonts w:cs="Arial"/>
                <w:szCs w:val="19"/>
                <w:lang w:val="en-US"/>
              </w:rPr>
            </w:pPr>
            <w:r>
              <w:rPr>
                <w:rFonts w:cs="Arial"/>
                <w:szCs w:val="19"/>
                <w:lang w:val="en-US"/>
              </w:rPr>
              <w:t>(</w:t>
            </w:r>
            <w:proofErr w:type="gramStart"/>
            <w:r>
              <w:rPr>
                <w:rFonts w:cs="Arial"/>
                <w:szCs w:val="19"/>
                <w:lang w:val="en-US"/>
              </w:rPr>
              <w:t>lack</w:t>
            </w:r>
            <w:proofErr w:type="gramEnd"/>
            <w:r>
              <w:rPr>
                <w:rFonts w:cs="Arial"/>
                <w:szCs w:val="19"/>
                <w:lang w:val="en-US"/>
              </w:rPr>
              <w:t xml:space="preserve"> of efficacy)</w:t>
            </w:r>
          </w:p>
        </w:tc>
      </w:tr>
      <w:tr w:rsidR="00D35ED4" w:rsidRPr="008E641A" w14:paraId="490FB28B" w14:textId="77777777" w:rsidTr="00065AFF">
        <w:tc>
          <w:tcPr>
            <w:tcW w:w="1293" w:type="pct"/>
            <w:gridSpan w:val="2"/>
            <w:shd w:val="clear" w:color="auto" w:fill="auto"/>
            <w:tcMar>
              <w:top w:w="57" w:type="dxa"/>
              <w:bottom w:w="57" w:type="dxa"/>
            </w:tcMar>
          </w:tcPr>
          <w:p w14:paraId="26D31F42" w14:textId="77777777" w:rsidR="00D35ED4" w:rsidRPr="00660B05" w:rsidRDefault="00D35ED4" w:rsidP="00065AFF">
            <w:pPr>
              <w:rPr>
                <w:rFonts w:cs="Arial"/>
                <w:szCs w:val="19"/>
              </w:rPr>
            </w:pPr>
            <w:r>
              <w:rPr>
                <w:rFonts w:cs="Arial"/>
                <w:szCs w:val="19"/>
              </w:rPr>
              <w:t>Pembrolizumab (</w:t>
            </w:r>
            <w:r w:rsidRPr="00C10C13">
              <w:rPr>
                <w:rFonts w:cs="Arial"/>
                <w:i/>
                <w:iCs/>
                <w:szCs w:val="19"/>
              </w:rPr>
              <w:t>Keytruda</w:t>
            </w:r>
            <w:r>
              <w:rPr>
                <w:rFonts w:cs="Arial"/>
                <w:szCs w:val="19"/>
              </w:rPr>
              <w:t>)</w:t>
            </w:r>
          </w:p>
        </w:tc>
        <w:tc>
          <w:tcPr>
            <w:tcW w:w="3707" w:type="pct"/>
            <w:gridSpan w:val="2"/>
            <w:shd w:val="clear" w:color="auto" w:fill="auto"/>
            <w:tcMar>
              <w:top w:w="57" w:type="dxa"/>
              <w:bottom w:w="57" w:type="dxa"/>
            </w:tcMar>
          </w:tcPr>
          <w:p w14:paraId="0C62E59F" w14:textId="77777777" w:rsidR="00D35ED4" w:rsidRPr="008E641A" w:rsidRDefault="00D35ED4" w:rsidP="00065AFF">
            <w:pPr>
              <w:tabs>
                <w:tab w:val="center" w:pos="3152"/>
              </w:tabs>
              <w:rPr>
                <w:rFonts w:cs="Arial"/>
                <w:szCs w:val="19"/>
                <w:lang w:val="en-US"/>
              </w:rPr>
            </w:pPr>
            <w:r>
              <w:rPr>
                <w:rFonts w:cs="Arial"/>
                <w:szCs w:val="19"/>
                <w:lang w:val="en-US"/>
              </w:rPr>
              <w:t>A</w:t>
            </w:r>
            <w:r w:rsidRPr="000C5DE6">
              <w:rPr>
                <w:rFonts w:cs="Arial"/>
                <w:szCs w:val="19"/>
                <w:lang w:val="en-US"/>
              </w:rPr>
              <w:t>dvanced or recurrent</w:t>
            </w:r>
            <w:r>
              <w:rPr>
                <w:rFonts w:cs="Arial"/>
                <w:szCs w:val="19"/>
                <w:lang w:val="en-US"/>
              </w:rPr>
              <w:t xml:space="preserve"> endometrial cancer</w:t>
            </w:r>
            <w:r w:rsidRPr="000C5DE6">
              <w:rPr>
                <w:rFonts w:cs="Arial"/>
                <w:szCs w:val="19"/>
                <w:lang w:val="en-US"/>
              </w:rPr>
              <w:t xml:space="preserve"> in adults</w:t>
            </w:r>
            <w:r>
              <w:rPr>
                <w:rFonts w:cs="Arial"/>
                <w:szCs w:val="19"/>
                <w:lang w:val="en-US"/>
              </w:rPr>
              <w:t>,</w:t>
            </w:r>
            <w:r w:rsidRPr="000C5DE6">
              <w:rPr>
                <w:rFonts w:cs="Arial"/>
                <w:szCs w:val="19"/>
                <w:lang w:val="en-US"/>
              </w:rPr>
              <w:t xml:space="preserve"> first-line with </w:t>
            </w:r>
            <w:proofErr w:type="spellStart"/>
            <w:r>
              <w:rPr>
                <w:rFonts w:cs="Arial"/>
                <w:szCs w:val="19"/>
                <w:lang w:val="en-US"/>
              </w:rPr>
              <w:t>lenvatinib</w:t>
            </w:r>
            <w:proofErr w:type="spellEnd"/>
            <w:r>
              <w:rPr>
                <w:rFonts w:cs="Arial"/>
                <w:szCs w:val="19"/>
                <w:lang w:val="en-US"/>
              </w:rPr>
              <w:t xml:space="preserve"> – development discontinued (lack of efficacy)</w:t>
            </w:r>
          </w:p>
        </w:tc>
      </w:tr>
      <w:tr w:rsidR="00D35ED4" w14:paraId="7FAD3352" w14:textId="77777777" w:rsidTr="00065AFF">
        <w:tc>
          <w:tcPr>
            <w:tcW w:w="1293" w:type="pct"/>
            <w:gridSpan w:val="2"/>
            <w:shd w:val="clear" w:color="auto" w:fill="auto"/>
            <w:tcMar>
              <w:top w:w="57" w:type="dxa"/>
              <w:bottom w:w="57" w:type="dxa"/>
            </w:tcMar>
          </w:tcPr>
          <w:p w14:paraId="7A4157A8" w14:textId="77777777" w:rsidR="00D35ED4" w:rsidRDefault="00D35ED4" w:rsidP="00065AFF">
            <w:pPr>
              <w:rPr>
                <w:rFonts w:cs="Arial"/>
                <w:szCs w:val="19"/>
              </w:rPr>
            </w:pPr>
            <w:r>
              <w:rPr>
                <w:rFonts w:cs="Arial"/>
                <w:szCs w:val="19"/>
              </w:rPr>
              <w:t>Pembrolizumab (</w:t>
            </w:r>
            <w:r w:rsidRPr="00C10C13">
              <w:rPr>
                <w:rFonts w:cs="Arial"/>
                <w:i/>
                <w:iCs/>
                <w:szCs w:val="19"/>
              </w:rPr>
              <w:t>Keytruda</w:t>
            </w:r>
            <w:r>
              <w:rPr>
                <w:rFonts w:cs="Arial"/>
                <w:szCs w:val="19"/>
              </w:rPr>
              <w:t>)</w:t>
            </w:r>
          </w:p>
        </w:tc>
        <w:tc>
          <w:tcPr>
            <w:tcW w:w="3707" w:type="pct"/>
            <w:gridSpan w:val="2"/>
            <w:shd w:val="clear" w:color="auto" w:fill="auto"/>
            <w:tcMar>
              <w:top w:w="57" w:type="dxa"/>
              <w:bottom w:w="57" w:type="dxa"/>
            </w:tcMar>
          </w:tcPr>
          <w:p w14:paraId="37CCCE14" w14:textId="77777777" w:rsidR="00D35ED4" w:rsidRDefault="00D35ED4" w:rsidP="00065AFF">
            <w:pPr>
              <w:tabs>
                <w:tab w:val="center" w:pos="3152"/>
              </w:tabs>
              <w:rPr>
                <w:rFonts w:cs="Arial"/>
                <w:szCs w:val="19"/>
                <w:lang w:val="en-US"/>
              </w:rPr>
            </w:pPr>
            <w:proofErr w:type="spellStart"/>
            <w:r>
              <w:rPr>
                <w:rFonts w:cs="Arial"/>
                <w:szCs w:val="19"/>
                <w:lang w:val="en-US"/>
              </w:rPr>
              <w:t>Resectable</w:t>
            </w:r>
            <w:proofErr w:type="spellEnd"/>
            <w:r>
              <w:rPr>
                <w:rFonts w:cs="Arial"/>
                <w:szCs w:val="19"/>
                <w:lang w:val="en-US"/>
              </w:rPr>
              <w:t xml:space="preserve"> </w:t>
            </w:r>
            <w:proofErr w:type="spellStart"/>
            <w:r>
              <w:rPr>
                <w:rFonts w:cs="Arial"/>
                <w:szCs w:val="19"/>
                <w:lang w:val="en-US"/>
              </w:rPr>
              <w:t>localised</w:t>
            </w:r>
            <w:proofErr w:type="spellEnd"/>
            <w:r>
              <w:rPr>
                <w:rFonts w:cs="Arial"/>
                <w:szCs w:val="19"/>
                <w:lang w:val="en-US"/>
              </w:rPr>
              <w:t xml:space="preserve"> g</w:t>
            </w:r>
            <w:r w:rsidRPr="00CF0D7A">
              <w:rPr>
                <w:rFonts w:cs="Arial"/>
                <w:szCs w:val="19"/>
                <w:lang w:val="en-US"/>
              </w:rPr>
              <w:t>astric or gastro-oesophageal junction adenocarcinoma</w:t>
            </w:r>
            <w:r>
              <w:rPr>
                <w:rFonts w:cs="Arial"/>
                <w:szCs w:val="19"/>
                <w:lang w:val="en-US"/>
              </w:rPr>
              <w:t>,</w:t>
            </w:r>
            <w:r w:rsidRPr="00CF0D7A">
              <w:rPr>
                <w:rFonts w:cs="Arial"/>
                <w:szCs w:val="19"/>
                <w:lang w:val="en-US"/>
              </w:rPr>
              <w:t xml:space="preserve"> neoadjuvant and adjuvant in previously untreated </w:t>
            </w:r>
            <w:r>
              <w:rPr>
                <w:rFonts w:cs="Arial"/>
                <w:szCs w:val="19"/>
                <w:lang w:val="en-US"/>
              </w:rPr>
              <w:t xml:space="preserve">adults – development </w:t>
            </w:r>
            <w:proofErr w:type="gramStart"/>
            <w:r>
              <w:rPr>
                <w:rFonts w:cs="Arial"/>
                <w:szCs w:val="19"/>
                <w:lang w:val="en-US"/>
              </w:rPr>
              <w:t>discontinued</w:t>
            </w:r>
            <w:proofErr w:type="gramEnd"/>
            <w:r>
              <w:rPr>
                <w:rFonts w:cs="Arial"/>
                <w:szCs w:val="19"/>
                <w:lang w:val="en-US"/>
              </w:rPr>
              <w:t xml:space="preserve"> </w:t>
            </w:r>
          </w:p>
          <w:p w14:paraId="470AAD75" w14:textId="77777777" w:rsidR="00D35ED4" w:rsidRDefault="00D35ED4" w:rsidP="00065AFF">
            <w:pPr>
              <w:tabs>
                <w:tab w:val="center" w:pos="3152"/>
              </w:tabs>
              <w:rPr>
                <w:rFonts w:cs="Arial"/>
                <w:szCs w:val="19"/>
                <w:lang w:val="en-US"/>
              </w:rPr>
            </w:pPr>
            <w:r>
              <w:rPr>
                <w:rFonts w:cs="Arial"/>
                <w:szCs w:val="19"/>
                <w:lang w:val="en-US"/>
              </w:rPr>
              <w:t>(</w:t>
            </w:r>
            <w:proofErr w:type="gramStart"/>
            <w:r>
              <w:rPr>
                <w:rFonts w:cs="Arial"/>
                <w:szCs w:val="19"/>
                <w:lang w:val="en-US"/>
              </w:rPr>
              <w:t>lack</w:t>
            </w:r>
            <w:proofErr w:type="gramEnd"/>
            <w:r>
              <w:rPr>
                <w:rFonts w:cs="Arial"/>
                <w:szCs w:val="19"/>
                <w:lang w:val="en-US"/>
              </w:rPr>
              <w:t xml:space="preserve"> of efficacy)</w:t>
            </w:r>
          </w:p>
        </w:tc>
      </w:tr>
      <w:tr w:rsidR="00D35ED4" w14:paraId="53917E7E" w14:textId="77777777" w:rsidTr="00065AFF">
        <w:tc>
          <w:tcPr>
            <w:tcW w:w="1293" w:type="pct"/>
            <w:gridSpan w:val="2"/>
            <w:shd w:val="clear" w:color="auto" w:fill="auto"/>
            <w:tcMar>
              <w:top w:w="57" w:type="dxa"/>
              <w:bottom w:w="57" w:type="dxa"/>
            </w:tcMar>
          </w:tcPr>
          <w:p w14:paraId="3296DE7B" w14:textId="77777777" w:rsidR="00D35ED4" w:rsidRDefault="00D35ED4" w:rsidP="00065AFF">
            <w:pPr>
              <w:rPr>
                <w:rFonts w:cs="Arial"/>
                <w:szCs w:val="19"/>
              </w:rPr>
            </w:pPr>
            <w:r>
              <w:rPr>
                <w:rFonts w:cs="Arial"/>
                <w:szCs w:val="19"/>
              </w:rPr>
              <w:t>Pembrolizumab (</w:t>
            </w:r>
            <w:r w:rsidRPr="00C10C13">
              <w:rPr>
                <w:rFonts w:cs="Arial"/>
                <w:i/>
                <w:iCs/>
                <w:szCs w:val="19"/>
              </w:rPr>
              <w:t>Keytruda</w:t>
            </w:r>
            <w:r>
              <w:rPr>
                <w:rFonts w:cs="Arial"/>
                <w:szCs w:val="19"/>
              </w:rPr>
              <w:t>)</w:t>
            </w:r>
          </w:p>
        </w:tc>
        <w:tc>
          <w:tcPr>
            <w:tcW w:w="3707" w:type="pct"/>
            <w:gridSpan w:val="2"/>
            <w:shd w:val="clear" w:color="auto" w:fill="auto"/>
            <w:tcMar>
              <w:top w:w="57" w:type="dxa"/>
              <w:bottom w:w="57" w:type="dxa"/>
            </w:tcMar>
          </w:tcPr>
          <w:p w14:paraId="60E1DABD" w14:textId="77777777" w:rsidR="00D35ED4" w:rsidRDefault="00D35ED4" w:rsidP="00065AFF">
            <w:pPr>
              <w:tabs>
                <w:tab w:val="center" w:pos="3152"/>
              </w:tabs>
              <w:rPr>
                <w:rFonts w:cs="Arial"/>
                <w:szCs w:val="19"/>
                <w:lang w:val="en-US"/>
              </w:rPr>
            </w:pPr>
            <w:r>
              <w:rPr>
                <w:rFonts w:cs="Arial"/>
                <w:szCs w:val="19"/>
                <w:lang w:val="en-US"/>
              </w:rPr>
              <w:t>M</w:t>
            </w:r>
            <w:r w:rsidRPr="00C10C13">
              <w:rPr>
                <w:rFonts w:cs="Arial"/>
                <w:szCs w:val="19"/>
                <w:lang w:val="en-US"/>
              </w:rPr>
              <w:t xml:space="preserve">etastatic </w:t>
            </w:r>
            <w:r>
              <w:rPr>
                <w:rFonts w:cs="Arial"/>
                <w:szCs w:val="19"/>
                <w:lang w:val="en-US"/>
              </w:rPr>
              <w:t>n</w:t>
            </w:r>
            <w:r w:rsidRPr="00C10C13">
              <w:rPr>
                <w:rFonts w:cs="Arial"/>
                <w:szCs w:val="19"/>
                <w:lang w:val="en-US"/>
              </w:rPr>
              <w:t>on-small cell lung cancer in adults</w:t>
            </w:r>
            <w:r>
              <w:rPr>
                <w:rFonts w:cs="Arial"/>
                <w:szCs w:val="19"/>
                <w:lang w:val="en-US"/>
              </w:rPr>
              <w:t>,</w:t>
            </w:r>
            <w:r w:rsidRPr="00C10C13">
              <w:rPr>
                <w:rFonts w:cs="Arial"/>
                <w:szCs w:val="19"/>
                <w:lang w:val="en-US"/>
              </w:rPr>
              <w:t xml:space="preserve"> </w:t>
            </w:r>
            <w:proofErr w:type="gramStart"/>
            <w:r w:rsidRPr="00C10C13">
              <w:rPr>
                <w:rFonts w:cs="Arial"/>
                <w:szCs w:val="19"/>
                <w:lang w:val="en-US"/>
              </w:rPr>
              <w:t>second-line</w:t>
            </w:r>
            <w:proofErr w:type="gramEnd"/>
            <w:r w:rsidRPr="00C10C13">
              <w:rPr>
                <w:rFonts w:cs="Arial"/>
                <w:szCs w:val="19"/>
                <w:lang w:val="en-US"/>
              </w:rPr>
              <w:t xml:space="preserve"> with </w:t>
            </w:r>
            <w:proofErr w:type="spellStart"/>
            <w:r>
              <w:rPr>
                <w:rFonts w:cs="Arial"/>
                <w:szCs w:val="19"/>
                <w:lang w:val="en-US"/>
              </w:rPr>
              <w:t>lenvatinib</w:t>
            </w:r>
            <w:proofErr w:type="spellEnd"/>
            <w:r w:rsidRPr="00C10C13">
              <w:rPr>
                <w:rFonts w:cs="Arial"/>
                <w:szCs w:val="19"/>
                <w:lang w:val="en-US"/>
              </w:rPr>
              <w:t xml:space="preserve"> </w:t>
            </w:r>
            <w:r>
              <w:rPr>
                <w:rFonts w:cs="Arial"/>
                <w:szCs w:val="19"/>
                <w:lang w:val="en-US"/>
              </w:rPr>
              <w:t>– development discontinued (lack of efficacy)</w:t>
            </w:r>
          </w:p>
        </w:tc>
      </w:tr>
      <w:tr w:rsidR="00D35ED4" w14:paraId="6DA1DAAE" w14:textId="77777777" w:rsidTr="00065AFF">
        <w:tc>
          <w:tcPr>
            <w:tcW w:w="1293" w:type="pct"/>
            <w:gridSpan w:val="2"/>
            <w:shd w:val="clear" w:color="auto" w:fill="auto"/>
            <w:tcMar>
              <w:top w:w="57" w:type="dxa"/>
              <w:bottom w:w="57" w:type="dxa"/>
            </w:tcMar>
          </w:tcPr>
          <w:p w14:paraId="0FAE8EF4" w14:textId="77777777" w:rsidR="00D35ED4" w:rsidRDefault="00D35ED4" w:rsidP="00065AFF">
            <w:pPr>
              <w:rPr>
                <w:rFonts w:cs="Arial"/>
                <w:szCs w:val="19"/>
              </w:rPr>
            </w:pPr>
            <w:r>
              <w:rPr>
                <w:rFonts w:cs="Arial"/>
                <w:szCs w:val="19"/>
              </w:rPr>
              <w:t>Pembrolizumab (</w:t>
            </w:r>
            <w:r w:rsidRPr="00C10C13">
              <w:rPr>
                <w:rFonts w:cs="Arial"/>
                <w:i/>
                <w:iCs/>
                <w:szCs w:val="19"/>
              </w:rPr>
              <w:t>Keytruda</w:t>
            </w:r>
            <w:r>
              <w:rPr>
                <w:rFonts w:cs="Arial"/>
                <w:szCs w:val="19"/>
              </w:rPr>
              <w:t>)</w:t>
            </w:r>
          </w:p>
        </w:tc>
        <w:tc>
          <w:tcPr>
            <w:tcW w:w="3707" w:type="pct"/>
            <w:gridSpan w:val="2"/>
            <w:shd w:val="clear" w:color="auto" w:fill="auto"/>
            <w:tcMar>
              <w:top w:w="57" w:type="dxa"/>
              <w:bottom w:w="57" w:type="dxa"/>
            </w:tcMar>
          </w:tcPr>
          <w:p w14:paraId="36AEDEB0" w14:textId="77777777" w:rsidR="00D35ED4" w:rsidRDefault="00D35ED4" w:rsidP="00065AFF">
            <w:pPr>
              <w:tabs>
                <w:tab w:val="center" w:pos="3152"/>
              </w:tabs>
              <w:rPr>
                <w:rFonts w:cs="Arial"/>
                <w:szCs w:val="19"/>
                <w:lang w:val="en-US"/>
              </w:rPr>
            </w:pPr>
            <w:r>
              <w:rPr>
                <w:rFonts w:cs="Arial"/>
                <w:szCs w:val="19"/>
                <w:lang w:val="en-US"/>
              </w:rPr>
              <w:t>Metastatic non-squamous n</w:t>
            </w:r>
            <w:r w:rsidRPr="007E60B7">
              <w:rPr>
                <w:rFonts w:cs="Arial"/>
                <w:szCs w:val="19"/>
                <w:lang w:val="en-US"/>
              </w:rPr>
              <w:t>on-small cell lung cancer in adults</w:t>
            </w:r>
            <w:r>
              <w:rPr>
                <w:rFonts w:cs="Arial"/>
                <w:szCs w:val="19"/>
                <w:lang w:val="en-US"/>
              </w:rPr>
              <w:t>,</w:t>
            </w:r>
            <w:r w:rsidRPr="007E60B7">
              <w:rPr>
                <w:rFonts w:cs="Arial"/>
                <w:szCs w:val="19"/>
                <w:lang w:val="en-US"/>
              </w:rPr>
              <w:t xml:space="preserve"> first-line with pemetrexed</w:t>
            </w:r>
            <w:r>
              <w:rPr>
                <w:rFonts w:cs="Arial"/>
                <w:szCs w:val="19"/>
                <w:lang w:val="en-US"/>
              </w:rPr>
              <w:t>,</w:t>
            </w:r>
            <w:r w:rsidRPr="007E60B7">
              <w:rPr>
                <w:rFonts w:cs="Arial"/>
                <w:szCs w:val="19"/>
                <w:lang w:val="en-US"/>
              </w:rPr>
              <w:t xml:space="preserve"> platinum chemotherapy </w:t>
            </w:r>
            <w:r>
              <w:rPr>
                <w:rFonts w:cs="Arial"/>
                <w:szCs w:val="19"/>
                <w:lang w:val="en-US"/>
              </w:rPr>
              <w:t>and</w:t>
            </w:r>
            <w:r w:rsidRPr="007E60B7">
              <w:rPr>
                <w:rFonts w:cs="Arial"/>
                <w:szCs w:val="19"/>
                <w:lang w:val="en-US"/>
              </w:rPr>
              <w:t xml:space="preserve"> </w:t>
            </w:r>
            <w:proofErr w:type="spellStart"/>
            <w:r>
              <w:rPr>
                <w:rFonts w:cs="Arial"/>
                <w:szCs w:val="19"/>
                <w:lang w:val="en-US"/>
              </w:rPr>
              <w:t>lenvatinib</w:t>
            </w:r>
            <w:proofErr w:type="spellEnd"/>
            <w:r w:rsidRPr="007E60B7">
              <w:rPr>
                <w:rFonts w:cs="Arial"/>
                <w:szCs w:val="19"/>
                <w:lang w:val="en-US"/>
              </w:rPr>
              <w:t xml:space="preserve"> </w:t>
            </w:r>
            <w:r>
              <w:rPr>
                <w:rFonts w:cs="Arial"/>
                <w:szCs w:val="19"/>
                <w:lang w:val="en-US"/>
              </w:rPr>
              <w:t>– development discontinued (lack of efficacy)</w:t>
            </w:r>
          </w:p>
        </w:tc>
      </w:tr>
      <w:tr w:rsidR="00D35ED4" w14:paraId="55EF8484" w14:textId="77777777" w:rsidTr="00065AFF">
        <w:tc>
          <w:tcPr>
            <w:tcW w:w="1293" w:type="pct"/>
            <w:gridSpan w:val="2"/>
            <w:shd w:val="clear" w:color="auto" w:fill="auto"/>
            <w:tcMar>
              <w:top w:w="57" w:type="dxa"/>
              <w:bottom w:w="57" w:type="dxa"/>
            </w:tcMar>
          </w:tcPr>
          <w:p w14:paraId="754F2FC2" w14:textId="77777777" w:rsidR="00D35ED4" w:rsidRDefault="00D35ED4" w:rsidP="00065AFF">
            <w:pPr>
              <w:rPr>
                <w:rFonts w:cs="Arial"/>
                <w:szCs w:val="19"/>
              </w:rPr>
            </w:pPr>
            <w:r>
              <w:rPr>
                <w:rFonts w:cs="Arial"/>
                <w:szCs w:val="19"/>
              </w:rPr>
              <w:t>Pembrolizumab (</w:t>
            </w:r>
            <w:r w:rsidRPr="00C10C13">
              <w:rPr>
                <w:rFonts w:cs="Arial"/>
                <w:i/>
                <w:iCs/>
                <w:szCs w:val="19"/>
              </w:rPr>
              <w:t>Keytruda</w:t>
            </w:r>
            <w:r>
              <w:rPr>
                <w:rFonts w:cs="Arial"/>
                <w:szCs w:val="19"/>
              </w:rPr>
              <w:t>)</w:t>
            </w:r>
          </w:p>
        </w:tc>
        <w:tc>
          <w:tcPr>
            <w:tcW w:w="3707" w:type="pct"/>
            <w:gridSpan w:val="2"/>
            <w:shd w:val="clear" w:color="auto" w:fill="auto"/>
            <w:tcMar>
              <w:top w:w="57" w:type="dxa"/>
              <w:bottom w:w="57" w:type="dxa"/>
            </w:tcMar>
          </w:tcPr>
          <w:p w14:paraId="79E80AB4" w14:textId="77777777" w:rsidR="00D35ED4" w:rsidRDefault="00D35ED4" w:rsidP="00065AFF">
            <w:pPr>
              <w:tabs>
                <w:tab w:val="center" w:pos="3152"/>
              </w:tabs>
              <w:rPr>
                <w:rFonts w:cs="Arial"/>
                <w:szCs w:val="19"/>
                <w:lang w:val="en-US"/>
              </w:rPr>
            </w:pPr>
            <w:r>
              <w:rPr>
                <w:rFonts w:cs="Arial"/>
                <w:szCs w:val="19"/>
                <w:lang w:val="en-US"/>
              </w:rPr>
              <w:t xml:space="preserve">Metastatic </w:t>
            </w:r>
            <w:r w:rsidRPr="00AA3150">
              <w:rPr>
                <w:rFonts w:cs="Arial"/>
                <w:szCs w:val="19"/>
                <w:lang w:val="en-US"/>
              </w:rPr>
              <w:t>non-squamous, TKI-resistant, EGFR-positive (Ex19del or L858R)</w:t>
            </w:r>
            <w:r>
              <w:rPr>
                <w:rFonts w:cs="Arial"/>
                <w:szCs w:val="19"/>
                <w:lang w:val="en-US"/>
              </w:rPr>
              <w:t xml:space="preserve"> n</w:t>
            </w:r>
            <w:r w:rsidRPr="00AA3150">
              <w:rPr>
                <w:rFonts w:cs="Arial"/>
                <w:szCs w:val="19"/>
                <w:lang w:val="en-US"/>
              </w:rPr>
              <w:t xml:space="preserve">on-small cell lung cancer </w:t>
            </w:r>
            <w:r>
              <w:rPr>
                <w:rFonts w:cs="Arial"/>
                <w:szCs w:val="19"/>
                <w:lang w:val="en-US"/>
              </w:rPr>
              <w:t>i</w:t>
            </w:r>
            <w:r w:rsidRPr="00AA3150">
              <w:rPr>
                <w:rFonts w:cs="Arial"/>
                <w:szCs w:val="19"/>
                <w:lang w:val="en-US"/>
              </w:rPr>
              <w:t>n adults</w:t>
            </w:r>
            <w:r>
              <w:rPr>
                <w:rFonts w:cs="Arial"/>
                <w:szCs w:val="19"/>
                <w:lang w:val="en-US"/>
              </w:rPr>
              <w:t>,</w:t>
            </w:r>
            <w:r w:rsidRPr="00AA3150">
              <w:rPr>
                <w:rFonts w:cs="Arial"/>
                <w:szCs w:val="19"/>
                <w:lang w:val="en-US"/>
              </w:rPr>
              <w:t xml:space="preserve"> </w:t>
            </w:r>
            <w:proofErr w:type="gramStart"/>
            <w:r w:rsidRPr="00AA3150">
              <w:rPr>
                <w:rFonts w:cs="Arial"/>
                <w:szCs w:val="19"/>
                <w:lang w:val="en-US"/>
              </w:rPr>
              <w:t>second-line</w:t>
            </w:r>
            <w:proofErr w:type="gramEnd"/>
            <w:r w:rsidRPr="00AA3150">
              <w:rPr>
                <w:rFonts w:cs="Arial"/>
                <w:szCs w:val="19"/>
                <w:lang w:val="en-US"/>
              </w:rPr>
              <w:t xml:space="preserve"> with chemotherapy</w:t>
            </w:r>
            <w:r>
              <w:rPr>
                <w:rFonts w:cs="Arial"/>
                <w:szCs w:val="19"/>
                <w:lang w:val="en-US"/>
              </w:rPr>
              <w:t xml:space="preserve"> – development discontinued (lack of efficacy)</w:t>
            </w:r>
          </w:p>
        </w:tc>
      </w:tr>
      <w:tr w:rsidR="00D35ED4" w14:paraId="0A27F103" w14:textId="77777777" w:rsidTr="00065AFF">
        <w:tc>
          <w:tcPr>
            <w:tcW w:w="1293" w:type="pct"/>
            <w:gridSpan w:val="2"/>
            <w:shd w:val="clear" w:color="auto" w:fill="auto"/>
            <w:tcMar>
              <w:top w:w="57" w:type="dxa"/>
              <w:bottom w:w="57" w:type="dxa"/>
            </w:tcMar>
          </w:tcPr>
          <w:p w14:paraId="60BB8FCC" w14:textId="77777777" w:rsidR="00D35ED4" w:rsidRPr="009A4DC4" w:rsidRDefault="00D35ED4" w:rsidP="00065AFF">
            <w:pPr>
              <w:rPr>
                <w:rFonts w:cs="Arial"/>
                <w:szCs w:val="19"/>
              </w:rPr>
            </w:pPr>
            <w:proofErr w:type="spellStart"/>
            <w:r>
              <w:rPr>
                <w:rFonts w:cs="Arial"/>
                <w:szCs w:val="19"/>
              </w:rPr>
              <w:t>Pralsetinib</w:t>
            </w:r>
            <w:proofErr w:type="spellEnd"/>
            <w:r>
              <w:rPr>
                <w:rFonts w:cs="Arial"/>
                <w:szCs w:val="19"/>
              </w:rPr>
              <w:t xml:space="preserve"> (</w:t>
            </w:r>
            <w:proofErr w:type="spellStart"/>
            <w:r>
              <w:rPr>
                <w:rFonts w:cs="Arial"/>
                <w:i/>
                <w:iCs/>
                <w:szCs w:val="19"/>
              </w:rPr>
              <w:t>Gavreto</w:t>
            </w:r>
            <w:proofErr w:type="spellEnd"/>
            <w:r>
              <w:rPr>
                <w:rFonts w:cs="Arial"/>
                <w:szCs w:val="19"/>
              </w:rPr>
              <w:t>)</w:t>
            </w:r>
          </w:p>
        </w:tc>
        <w:tc>
          <w:tcPr>
            <w:tcW w:w="3707" w:type="pct"/>
            <w:gridSpan w:val="2"/>
            <w:shd w:val="clear" w:color="auto" w:fill="auto"/>
            <w:tcMar>
              <w:top w:w="57" w:type="dxa"/>
              <w:bottom w:w="57" w:type="dxa"/>
            </w:tcMar>
          </w:tcPr>
          <w:p w14:paraId="168868C4" w14:textId="77777777" w:rsidR="00D35ED4" w:rsidRDefault="00D35ED4" w:rsidP="00065AFF">
            <w:pPr>
              <w:tabs>
                <w:tab w:val="center" w:pos="3152"/>
              </w:tabs>
              <w:rPr>
                <w:rFonts w:cs="Arial"/>
                <w:szCs w:val="19"/>
                <w:lang w:val="en-US"/>
              </w:rPr>
            </w:pPr>
            <w:r w:rsidRPr="009A4DC4">
              <w:rPr>
                <w:rFonts w:cs="Arial"/>
                <w:szCs w:val="19"/>
                <w:lang w:val="en-US"/>
              </w:rPr>
              <w:t xml:space="preserve">Advanced, RET fusion-positive </w:t>
            </w:r>
            <w:r>
              <w:rPr>
                <w:rFonts w:cs="Arial"/>
                <w:szCs w:val="19"/>
                <w:lang w:val="en-US"/>
              </w:rPr>
              <w:t>t</w:t>
            </w:r>
            <w:r w:rsidRPr="009A4DC4">
              <w:rPr>
                <w:rFonts w:cs="Arial"/>
                <w:szCs w:val="19"/>
                <w:lang w:val="en-US"/>
              </w:rPr>
              <w:t>hyroid cancer in adults</w:t>
            </w:r>
            <w:r>
              <w:rPr>
                <w:rFonts w:cs="Arial"/>
                <w:szCs w:val="19"/>
                <w:lang w:val="en-US"/>
              </w:rPr>
              <w:t xml:space="preserve"> – development discontinued (company decision)</w:t>
            </w:r>
          </w:p>
        </w:tc>
      </w:tr>
      <w:tr w:rsidR="00D35ED4" w14:paraId="680BCD6C" w14:textId="77777777" w:rsidTr="00065AFF">
        <w:tc>
          <w:tcPr>
            <w:tcW w:w="1293" w:type="pct"/>
            <w:gridSpan w:val="2"/>
            <w:shd w:val="clear" w:color="auto" w:fill="auto"/>
            <w:tcMar>
              <w:top w:w="57" w:type="dxa"/>
              <w:bottom w:w="57" w:type="dxa"/>
            </w:tcMar>
          </w:tcPr>
          <w:p w14:paraId="3955B058" w14:textId="77777777" w:rsidR="00D35ED4" w:rsidRPr="00F13969" w:rsidRDefault="00D35ED4" w:rsidP="00065AFF">
            <w:pPr>
              <w:rPr>
                <w:rFonts w:cs="Arial"/>
                <w:szCs w:val="19"/>
              </w:rPr>
            </w:pPr>
            <w:r w:rsidRPr="00F13969">
              <w:rPr>
                <w:rFonts w:cs="Arial"/>
                <w:szCs w:val="19"/>
              </w:rPr>
              <w:t xml:space="preserve">Respiratory syncytial virus vaccine </w:t>
            </w:r>
            <w:r>
              <w:rPr>
                <w:rFonts w:cs="Arial"/>
                <w:szCs w:val="19"/>
              </w:rPr>
              <w:t>(</w:t>
            </w:r>
            <w:proofErr w:type="spellStart"/>
            <w:r>
              <w:rPr>
                <w:rFonts w:cs="Arial"/>
                <w:i/>
                <w:iCs/>
                <w:szCs w:val="19"/>
              </w:rPr>
              <w:t>ResVax</w:t>
            </w:r>
            <w:proofErr w:type="spellEnd"/>
            <w:r>
              <w:rPr>
                <w:rFonts w:cs="Arial"/>
                <w:szCs w:val="19"/>
              </w:rPr>
              <w:t>)</w:t>
            </w:r>
          </w:p>
        </w:tc>
        <w:tc>
          <w:tcPr>
            <w:tcW w:w="3707" w:type="pct"/>
            <w:gridSpan w:val="2"/>
            <w:shd w:val="clear" w:color="auto" w:fill="auto"/>
            <w:tcMar>
              <w:top w:w="57" w:type="dxa"/>
              <w:bottom w:w="57" w:type="dxa"/>
            </w:tcMar>
          </w:tcPr>
          <w:p w14:paraId="275AF8E9" w14:textId="48F3C47C" w:rsidR="00D35ED4" w:rsidRDefault="00D35ED4" w:rsidP="00065AFF">
            <w:pPr>
              <w:tabs>
                <w:tab w:val="center" w:pos="3152"/>
              </w:tabs>
              <w:rPr>
                <w:rFonts w:cs="Arial"/>
                <w:szCs w:val="19"/>
                <w:lang w:val="en-US"/>
              </w:rPr>
            </w:pPr>
            <w:r>
              <w:rPr>
                <w:rFonts w:cs="Arial"/>
                <w:szCs w:val="19"/>
                <w:lang w:val="en-US"/>
              </w:rPr>
              <w:t>P</w:t>
            </w:r>
            <w:r w:rsidRPr="00F13969">
              <w:rPr>
                <w:rFonts w:cs="Arial"/>
                <w:szCs w:val="19"/>
                <w:lang w:val="en-US"/>
              </w:rPr>
              <w:t xml:space="preserve">revention </w:t>
            </w:r>
            <w:r>
              <w:rPr>
                <w:rFonts w:cs="Arial"/>
                <w:szCs w:val="19"/>
                <w:lang w:val="en-US"/>
              </w:rPr>
              <w:t>of r</w:t>
            </w:r>
            <w:r w:rsidRPr="00F13969">
              <w:rPr>
                <w:rFonts w:cs="Arial"/>
                <w:szCs w:val="19"/>
                <w:lang w:val="en-US"/>
              </w:rPr>
              <w:t xml:space="preserve">espiratory syncytial virus infection in infants by immunisation to pregnant women and in adults aged </w:t>
            </w:r>
            <w:r>
              <w:rPr>
                <w:rFonts w:cs="Arial"/>
                <w:szCs w:val="19"/>
                <w:lang w:val="en-US"/>
              </w:rPr>
              <w:t>≥</w:t>
            </w:r>
            <w:r w:rsidRPr="00F13969">
              <w:rPr>
                <w:rFonts w:cs="Arial"/>
                <w:szCs w:val="19"/>
                <w:lang w:val="en-US"/>
              </w:rPr>
              <w:t xml:space="preserve">60 years </w:t>
            </w:r>
            <w:r>
              <w:rPr>
                <w:rFonts w:cs="Arial"/>
                <w:szCs w:val="19"/>
                <w:lang w:val="en-US"/>
              </w:rPr>
              <w:t>– development discontinued (company decision)</w:t>
            </w:r>
          </w:p>
        </w:tc>
      </w:tr>
      <w:tr w:rsidR="002B31F9" w14:paraId="379C1A1F" w14:textId="77777777" w:rsidTr="00065AFF">
        <w:tc>
          <w:tcPr>
            <w:tcW w:w="1293" w:type="pct"/>
            <w:gridSpan w:val="2"/>
            <w:shd w:val="clear" w:color="auto" w:fill="auto"/>
            <w:tcMar>
              <w:top w:w="57" w:type="dxa"/>
              <w:bottom w:w="57" w:type="dxa"/>
            </w:tcMar>
          </w:tcPr>
          <w:p w14:paraId="688989B4" w14:textId="0908C37B" w:rsidR="002B31F9" w:rsidRDefault="002B31F9" w:rsidP="00065AFF">
            <w:pPr>
              <w:rPr>
                <w:rFonts w:cs="Arial"/>
                <w:szCs w:val="19"/>
              </w:rPr>
            </w:pPr>
            <w:proofErr w:type="spellStart"/>
            <w:r>
              <w:rPr>
                <w:rFonts w:cs="Arial"/>
                <w:szCs w:val="19"/>
              </w:rPr>
              <w:t>Sabatolimab</w:t>
            </w:r>
            <w:proofErr w:type="spellEnd"/>
          </w:p>
        </w:tc>
        <w:tc>
          <w:tcPr>
            <w:tcW w:w="3707" w:type="pct"/>
            <w:gridSpan w:val="2"/>
            <w:shd w:val="clear" w:color="auto" w:fill="auto"/>
            <w:tcMar>
              <w:top w:w="57" w:type="dxa"/>
              <w:bottom w:w="57" w:type="dxa"/>
            </w:tcMar>
          </w:tcPr>
          <w:p w14:paraId="7F749C46" w14:textId="245095AB" w:rsidR="002B31F9" w:rsidRDefault="002B31F9" w:rsidP="00065AFF">
            <w:pPr>
              <w:tabs>
                <w:tab w:val="center" w:pos="3152"/>
              </w:tabs>
              <w:rPr>
                <w:rFonts w:cs="Arial"/>
                <w:szCs w:val="19"/>
                <w:lang w:val="en-US"/>
              </w:rPr>
            </w:pPr>
            <w:r w:rsidRPr="002B31F9">
              <w:rPr>
                <w:rFonts w:cs="Arial"/>
                <w:szCs w:val="19"/>
                <w:lang w:val="en-US"/>
              </w:rPr>
              <w:t>Myelodysplastic syndromes</w:t>
            </w:r>
            <w:r w:rsidR="00CB0A92">
              <w:rPr>
                <w:rFonts w:cs="Arial"/>
                <w:szCs w:val="19"/>
                <w:lang w:val="en-US"/>
              </w:rPr>
              <w:t xml:space="preserve"> in adults</w:t>
            </w:r>
            <w:r>
              <w:rPr>
                <w:rFonts w:cs="Arial"/>
                <w:szCs w:val="19"/>
                <w:lang w:val="en-US"/>
              </w:rPr>
              <w:t xml:space="preserve"> – development discontinued (company decision)</w:t>
            </w:r>
          </w:p>
        </w:tc>
      </w:tr>
      <w:tr w:rsidR="00D35ED4" w14:paraId="15F27145" w14:textId="77777777" w:rsidTr="00065AFF">
        <w:tc>
          <w:tcPr>
            <w:tcW w:w="1293" w:type="pct"/>
            <w:gridSpan w:val="2"/>
            <w:shd w:val="clear" w:color="auto" w:fill="auto"/>
            <w:tcMar>
              <w:top w:w="57" w:type="dxa"/>
              <w:bottom w:w="57" w:type="dxa"/>
            </w:tcMar>
          </w:tcPr>
          <w:p w14:paraId="27D48CB7" w14:textId="77777777" w:rsidR="00D35ED4" w:rsidRPr="00715FE6" w:rsidRDefault="00D35ED4" w:rsidP="00065AFF">
            <w:pPr>
              <w:rPr>
                <w:rFonts w:cs="Arial"/>
                <w:szCs w:val="19"/>
              </w:rPr>
            </w:pPr>
            <w:r>
              <w:rPr>
                <w:rFonts w:cs="Arial"/>
                <w:szCs w:val="19"/>
              </w:rPr>
              <w:t>Tipifarnib (</w:t>
            </w:r>
            <w:proofErr w:type="spellStart"/>
            <w:r>
              <w:rPr>
                <w:rFonts w:cs="Arial"/>
                <w:i/>
                <w:iCs/>
                <w:szCs w:val="19"/>
              </w:rPr>
              <w:t>Zarnestra</w:t>
            </w:r>
            <w:proofErr w:type="spellEnd"/>
            <w:r>
              <w:rPr>
                <w:rFonts w:cs="Arial"/>
                <w:szCs w:val="19"/>
              </w:rPr>
              <w:t>)</w:t>
            </w:r>
          </w:p>
        </w:tc>
        <w:tc>
          <w:tcPr>
            <w:tcW w:w="3707" w:type="pct"/>
            <w:gridSpan w:val="2"/>
            <w:shd w:val="clear" w:color="auto" w:fill="auto"/>
            <w:tcMar>
              <w:top w:w="57" w:type="dxa"/>
              <w:bottom w:w="57" w:type="dxa"/>
            </w:tcMar>
          </w:tcPr>
          <w:p w14:paraId="20271236" w14:textId="7D44B4E2" w:rsidR="00D35ED4" w:rsidRDefault="00D35ED4" w:rsidP="00065AFF">
            <w:pPr>
              <w:tabs>
                <w:tab w:val="center" w:pos="3152"/>
              </w:tabs>
              <w:rPr>
                <w:rFonts w:cs="Arial"/>
                <w:szCs w:val="19"/>
                <w:lang w:val="en-US"/>
              </w:rPr>
            </w:pPr>
            <w:r>
              <w:rPr>
                <w:rFonts w:cs="Arial"/>
                <w:szCs w:val="19"/>
                <w:lang w:val="en-US"/>
              </w:rPr>
              <w:t>R</w:t>
            </w:r>
            <w:r w:rsidRPr="00715FE6">
              <w:rPr>
                <w:rFonts w:cs="Arial"/>
                <w:szCs w:val="19"/>
                <w:lang w:val="en-US"/>
              </w:rPr>
              <w:t xml:space="preserve">ecurrent or metastatic, squamous cell carcinoma </w:t>
            </w:r>
            <w:r>
              <w:rPr>
                <w:rFonts w:cs="Arial"/>
                <w:szCs w:val="19"/>
                <w:lang w:val="en-US"/>
              </w:rPr>
              <w:t>of head and neck</w:t>
            </w:r>
            <w:r w:rsidRPr="00715FE6">
              <w:rPr>
                <w:rFonts w:cs="Arial"/>
                <w:szCs w:val="19"/>
                <w:lang w:val="en-US"/>
              </w:rPr>
              <w:t>, HRAS mutation-positive</w:t>
            </w:r>
            <w:r w:rsidR="00CB0A92">
              <w:rPr>
                <w:rFonts w:cs="Arial"/>
                <w:szCs w:val="19"/>
                <w:lang w:val="en-US"/>
              </w:rPr>
              <w:t>, in adults</w:t>
            </w:r>
            <w:r>
              <w:rPr>
                <w:rFonts w:cs="Arial"/>
                <w:szCs w:val="19"/>
                <w:lang w:val="en-US"/>
              </w:rPr>
              <w:t xml:space="preserve"> – development discontinued (company decision)</w:t>
            </w:r>
          </w:p>
        </w:tc>
      </w:tr>
      <w:tr w:rsidR="00D35ED4" w14:paraId="3141714F" w14:textId="77777777" w:rsidTr="00065AFF">
        <w:tc>
          <w:tcPr>
            <w:tcW w:w="1293" w:type="pct"/>
            <w:gridSpan w:val="2"/>
            <w:shd w:val="clear" w:color="auto" w:fill="auto"/>
            <w:tcMar>
              <w:top w:w="57" w:type="dxa"/>
              <w:bottom w:w="57" w:type="dxa"/>
            </w:tcMar>
          </w:tcPr>
          <w:p w14:paraId="10F01AC4" w14:textId="77777777" w:rsidR="00D35ED4" w:rsidRPr="00A63D29" w:rsidRDefault="00D35ED4" w:rsidP="00065AFF">
            <w:pPr>
              <w:rPr>
                <w:rFonts w:cs="Arial"/>
                <w:szCs w:val="19"/>
              </w:rPr>
            </w:pPr>
            <w:r>
              <w:rPr>
                <w:rFonts w:cs="Arial"/>
                <w:szCs w:val="19"/>
              </w:rPr>
              <w:t>Tranexamic acid</w:t>
            </w:r>
          </w:p>
        </w:tc>
        <w:tc>
          <w:tcPr>
            <w:tcW w:w="3707" w:type="pct"/>
            <w:gridSpan w:val="2"/>
            <w:shd w:val="clear" w:color="auto" w:fill="auto"/>
            <w:tcMar>
              <w:top w:w="57" w:type="dxa"/>
              <w:bottom w:w="57" w:type="dxa"/>
            </w:tcMar>
          </w:tcPr>
          <w:p w14:paraId="663F9B9B" w14:textId="77777777" w:rsidR="00D35ED4" w:rsidRDefault="00D35ED4" w:rsidP="00065AFF">
            <w:pPr>
              <w:tabs>
                <w:tab w:val="center" w:pos="3152"/>
              </w:tabs>
              <w:rPr>
                <w:rFonts w:cs="Arial"/>
                <w:szCs w:val="19"/>
                <w:lang w:val="en-US"/>
              </w:rPr>
            </w:pPr>
            <w:r>
              <w:rPr>
                <w:rFonts w:cs="Arial"/>
                <w:szCs w:val="19"/>
                <w:lang w:val="en-US"/>
              </w:rPr>
              <w:t>P</w:t>
            </w:r>
            <w:r w:rsidRPr="00365963">
              <w:rPr>
                <w:rFonts w:cs="Arial"/>
                <w:szCs w:val="19"/>
                <w:lang w:val="en-US"/>
              </w:rPr>
              <w:t>revention of post-operative ileus and intra-abdominal adhesions in adults undergoing surgery</w:t>
            </w:r>
            <w:r>
              <w:rPr>
                <w:rFonts w:cs="Arial"/>
                <w:szCs w:val="19"/>
                <w:lang w:val="en-US"/>
              </w:rPr>
              <w:t xml:space="preserve"> – development discontinued (lack of efficacy)</w:t>
            </w:r>
          </w:p>
        </w:tc>
      </w:tr>
      <w:tr w:rsidR="00D35ED4" w14:paraId="519311AA" w14:textId="77777777" w:rsidTr="00065AFF">
        <w:tc>
          <w:tcPr>
            <w:tcW w:w="1293" w:type="pct"/>
            <w:gridSpan w:val="2"/>
            <w:shd w:val="clear" w:color="auto" w:fill="auto"/>
            <w:tcMar>
              <w:top w:w="57" w:type="dxa"/>
              <w:bottom w:w="57" w:type="dxa"/>
            </w:tcMar>
          </w:tcPr>
          <w:p w14:paraId="36A4C209" w14:textId="77777777" w:rsidR="00D35ED4" w:rsidRDefault="00D35ED4" w:rsidP="00065AFF">
            <w:pPr>
              <w:rPr>
                <w:rFonts w:cs="Arial"/>
                <w:szCs w:val="19"/>
              </w:rPr>
            </w:pPr>
            <w:proofErr w:type="spellStart"/>
            <w:r w:rsidRPr="008B2F38">
              <w:rPr>
                <w:rFonts w:cs="Arial"/>
                <w:szCs w:val="19"/>
              </w:rPr>
              <w:t>Tremelimumab</w:t>
            </w:r>
            <w:proofErr w:type="spellEnd"/>
            <w:r>
              <w:rPr>
                <w:rFonts w:cs="Arial"/>
                <w:szCs w:val="19"/>
              </w:rPr>
              <w:t xml:space="preserve"> </w:t>
            </w:r>
          </w:p>
        </w:tc>
        <w:tc>
          <w:tcPr>
            <w:tcW w:w="3707" w:type="pct"/>
            <w:gridSpan w:val="2"/>
            <w:shd w:val="clear" w:color="auto" w:fill="auto"/>
            <w:tcMar>
              <w:top w:w="57" w:type="dxa"/>
              <w:bottom w:w="57" w:type="dxa"/>
            </w:tcMar>
          </w:tcPr>
          <w:p w14:paraId="69B4A10B" w14:textId="77777777" w:rsidR="00D35ED4" w:rsidRDefault="00D35ED4" w:rsidP="00065AFF">
            <w:pPr>
              <w:tabs>
                <w:tab w:val="center" w:pos="3152"/>
              </w:tabs>
              <w:rPr>
                <w:rFonts w:cs="Arial"/>
                <w:szCs w:val="19"/>
                <w:lang w:val="en-US"/>
              </w:rPr>
            </w:pPr>
            <w:r>
              <w:rPr>
                <w:rFonts w:cs="Arial"/>
                <w:szCs w:val="19"/>
                <w:lang w:val="en-US"/>
              </w:rPr>
              <w:t>M</w:t>
            </w:r>
            <w:r w:rsidRPr="008B2F38">
              <w:rPr>
                <w:rFonts w:cs="Arial"/>
                <w:szCs w:val="19"/>
                <w:lang w:val="en-US"/>
              </w:rPr>
              <w:t xml:space="preserve">etastatic </w:t>
            </w:r>
            <w:r>
              <w:rPr>
                <w:rFonts w:cs="Arial"/>
                <w:szCs w:val="19"/>
                <w:lang w:val="en-US"/>
              </w:rPr>
              <w:t>n</w:t>
            </w:r>
            <w:r w:rsidRPr="008B2F38">
              <w:rPr>
                <w:rFonts w:cs="Arial"/>
                <w:szCs w:val="19"/>
                <w:lang w:val="en-US"/>
              </w:rPr>
              <w:t xml:space="preserve">on-small cell lung cancer </w:t>
            </w:r>
            <w:r>
              <w:rPr>
                <w:rFonts w:cs="Arial"/>
                <w:szCs w:val="19"/>
                <w:lang w:val="en-US"/>
              </w:rPr>
              <w:t>with</w:t>
            </w:r>
            <w:r w:rsidRPr="008B2F38">
              <w:rPr>
                <w:rFonts w:cs="Arial"/>
                <w:szCs w:val="19"/>
                <w:lang w:val="en-US"/>
              </w:rPr>
              <w:t xml:space="preserve"> no EGFR/ALK mutations in adults</w:t>
            </w:r>
            <w:r>
              <w:rPr>
                <w:rFonts w:cs="Arial"/>
                <w:szCs w:val="19"/>
                <w:lang w:val="en-US"/>
              </w:rPr>
              <w:t>,</w:t>
            </w:r>
            <w:r w:rsidRPr="008B2F38">
              <w:rPr>
                <w:rFonts w:cs="Arial"/>
                <w:szCs w:val="19"/>
                <w:lang w:val="en-US"/>
              </w:rPr>
              <w:t xml:space="preserve"> first-line with durvalumab and chemotherapy</w:t>
            </w:r>
            <w:r>
              <w:rPr>
                <w:rFonts w:cs="Arial"/>
                <w:szCs w:val="19"/>
                <w:lang w:val="en-US"/>
              </w:rPr>
              <w:t xml:space="preserve"> – UK development discontinued (company decision)</w:t>
            </w:r>
          </w:p>
        </w:tc>
      </w:tr>
      <w:tr w:rsidR="00D35ED4" w14:paraId="44D47426" w14:textId="77777777" w:rsidTr="00065AFF">
        <w:tc>
          <w:tcPr>
            <w:tcW w:w="1293" w:type="pct"/>
            <w:gridSpan w:val="2"/>
            <w:shd w:val="clear" w:color="auto" w:fill="auto"/>
            <w:tcMar>
              <w:top w:w="57" w:type="dxa"/>
              <w:bottom w:w="57" w:type="dxa"/>
            </w:tcMar>
          </w:tcPr>
          <w:p w14:paraId="12198B77" w14:textId="77777777" w:rsidR="00D35ED4" w:rsidRPr="001A6CD4" w:rsidRDefault="00D35ED4" w:rsidP="00065AFF">
            <w:pPr>
              <w:rPr>
                <w:rFonts w:cs="Arial"/>
                <w:szCs w:val="19"/>
              </w:rPr>
            </w:pPr>
            <w:r>
              <w:rPr>
                <w:rFonts w:cs="Arial"/>
                <w:szCs w:val="19"/>
              </w:rPr>
              <w:t>Tucatinib (</w:t>
            </w:r>
            <w:proofErr w:type="spellStart"/>
            <w:r>
              <w:rPr>
                <w:rFonts w:cs="Arial"/>
                <w:i/>
                <w:iCs/>
                <w:szCs w:val="19"/>
              </w:rPr>
              <w:t>Tukysa</w:t>
            </w:r>
            <w:proofErr w:type="spellEnd"/>
            <w:r>
              <w:rPr>
                <w:rFonts w:cs="Arial"/>
                <w:szCs w:val="19"/>
              </w:rPr>
              <w:t>)</w:t>
            </w:r>
          </w:p>
        </w:tc>
        <w:tc>
          <w:tcPr>
            <w:tcW w:w="3707" w:type="pct"/>
            <w:gridSpan w:val="2"/>
            <w:shd w:val="clear" w:color="auto" w:fill="auto"/>
            <w:tcMar>
              <w:top w:w="57" w:type="dxa"/>
              <w:bottom w:w="57" w:type="dxa"/>
            </w:tcMar>
          </w:tcPr>
          <w:p w14:paraId="79080C80" w14:textId="77777777" w:rsidR="00D35ED4" w:rsidRDefault="00D35ED4" w:rsidP="00065AFF">
            <w:pPr>
              <w:tabs>
                <w:tab w:val="center" w:pos="3152"/>
              </w:tabs>
              <w:rPr>
                <w:rFonts w:cs="Arial"/>
                <w:szCs w:val="19"/>
                <w:lang w:val="en-US"/>
              </w:rPr>
            </w:pPr>
            <w:r w:rsidRPr="001A6CD4">
              <w:rPr>
                <w:rFonts w:cs="Arial"/>
                <w:szCs w:val="19"/>
                <w:lang w:val="en-US"/>
              </w:rPr>
              <w:t>Unresectable, advanced, HER2-positive</w:t>
            </w:r>
            <w:r>
              <w:rPr>
                <w:rFonts w:cs="Arial"/>
                <w:szCs w:val="19"/>
                <w:lang w:val="en-US"/>
              </w:rPr>
              <w:t xml:space="preserve"> breast cancer</w:t>
            </w:r>
            <w:r w:rsidRPr="001A6CD4">
              <w:rPr>
                <w:rFonts w:cs="Arial"/>
                <w:szCs w:val="19"/>
                <w:lang w:val="en-US"/>
              </w:rPr>
              <w:t xml:space="preserve"> in adults</w:t>
            </w:r>
            <w:r>
              <w:rPr>
                <w:rFonts w:cs="Arial"/>
                <w:szCs w:val="19"/>
                <w:lang w:val="en-US"/>
              </w:rPr>
              <w:t xml:space="preserve">, </w:t>
            </w:r>
            <w:r w:rsidRPr="001A6CD4">
              <w:rPr>
                <w:rFonts w:cs="Arial"/>
                <w:szCs w:val="19"/>
                <w:lang w:val="en-US"/>
              </w:rPr>
              <w:t xml:space="preserve">second- or </w:t>
            </w:r>
            <w:proofErr w:type="gramStart"/>
            <w:r w:rsidRPr="001A6CD4">
              <w:rPr>
                <w:rFonts w:cs="Arial"/>
                <w:szCs w:val="19"/>
                <w:lang w:val="en-US"/>
              </w:rPr>
              <w:t>third-line</w:t>
            </w:r>
            <w:proofErr w:type="gramEnd"/>
            <w:r w:rsidRPr="001A6CD4">
              <w:rPr>
                <w:rFonts w:cs="Arial"/>
                <w:szCs w:val="19"/>
                <w:lang w:val="en-US"/>
              </w:rPr>
              <w:t xml:space="preserve"> with trastuzumab emtansine</w:t>
            </w:r>
            <w:r>
              <w:rPr>
                <w:rFonts w:cs="Arial"/>
                <w:szCs w:val="19"/>
                <w:lang w:val="en-US"/>
              </w:rPr>
              <w:t xml:space="preserve"> – UK and EU development discontinued (company decision)</w:t>
            </w:r>
          </w:p>
        </w:tc>
      </w:tr>
      <w:tr w:rsidR="00D35ED4" w14:paraId="78DF17DC" w14:textId="77777777" w:rsidTr="00065AFF">
        <w:tc>
          <w:tcPr>
            <w:tcW w:w="1293" w:type="pct"/>
            <w:gridSpan w:val="2"/>
            <w:shd w:val="clear" w:color="auto" w:fill="auto"/>
            <w:tcMar>
              <w:top w:w="57" w:type="dxa"/>
              <w:bottom w:w="57" w:type="dxa"/>
            </w:tcMar>
          </w:tcPr>
          <w:p w14:paraId="2578B424" w14:textId="77777777" w:rsidR="00D35ED4" w:rsidRPr="008B2F38" w:rsidRDefault="00D35ED4" w:rsidP="00065AFF">
            <w:pPr>
              <w:rPr>
                <w:rFonts w:cs="Arial"/>
                <w:szCs w:val="19"/>
              </w:rPr>
            </w:pPr>
            <w:r>
              <w:rPr>
                <w:rFonts w:cs="Arial"/>
                <w:szCs w:val="19"/>
              </w:rPr>
              <w:t>Tucatinib (</w:t>
            </w:r>
            <w:proofErr w:type="spellStart"/>
            <w:r>
              <w:rPr>
                <w:rFonts w:cs="Arial"/>
                <w:i/>
                <w:iCs/>
                <w:szCs w:val="19"/>
              </w:rPr>
              <w:t>Tukysa</w:t>
            </w:r>
            <w:proofErr w:type="spellEnd"/>
            <w:r>
              <w:rPr>
                <w:rFonts w:cs="Arial"/>
                <w:szCs w:val="19"/>
              </w:rPr>
              <w:t>)</w:t>
            </w:r>
          </w:p>
        </w:tc>
        <w:tc>
          <w:tcPr>
            <w:tcW w:w="3707" w:type="pct"/>
            <w:gridSpan w:val="2"/>
            <w:shd w:val="clear" w:color="auto" w:fill="auto"/>
            <w:tcMar>
              <w:top w:w="57" w:type="dxa"/>
              <w:bottom w:w="57" w:type="dxa"/>
            </w:tcMar>
          </w:tcPr>
          <w:p w14:paraId="22A396DB" w14:textId="469254DC" w:rsidR="00D35ED4" w:rsidRDefault="00D35ED4" w:rsidP="00065AFF">
            <w:pPr>
              <w:tabs>
                <w:tab w:val="center" w:pos="3152"/>
              </w:tabs>
              <w:rPr>
                <w:rFonts w:cs="Arial"/>
                <w:szCs w:val="19"/>
                <w:lang w:val="en-US"/>
              </w:rPr>
            </w:pPr>
            <w:r>
              <w:rPr>
                <w:rFonts w:cs="Arial"/>
                <w:szCs w:val="19"/>
                <w:lang w:val="en-US"/>
              </w:rPr>
              <w:t>U</w:t>
            </w:r>
            <w:r w:rsidRPr="00D90C26">
              <w:rPr>
                <w:rFonts w:cs="Arial"/>
                <w:szCs w:val="19"/>
                <w:lang w:val="en-US"/>
              </w:rPr>
              <w:t>nresectable, advanced</w:t>
            </w:r>
            <w:r>
              <w:rPr>
                <w:rFonts w:cs="Arial"/>
                <w:szCs w:val="19"/>
                <w:lang w:val="en-US"/>
              </w:rPr>
              <w:t>,</w:t>
            </w:r>
            <w:r w:rsidRPr="00D90C26">
              <w:rPr>
                <w:rFonts w:cs="Arial"/>
                <w:szCs w:val="19"/>
                <w:lang w:val="en-US"/>
              </w:rPr>
              <w:t xml:space="preserve"> HER2-positive</w:t>
            </w:r>
            <w:r>
              <w:rPr>
                <w:rFonts w:cs="Arial"/>
                <w:szCs w:val="19"/>
                <w:lang w:val="en-US"/>
              </w:rPr>
              <w:t xml:space="preserve"> g</w:t>
            </w:r>
            <w:r w:rsidRPr="00D90C26">
              <w:rPr>
                <w:rFonts w:cs="Arial"/>
                <w:szCs w:val="19"/>
                <w:lang w:val="en-US"/>
              </w:rPr>
              <w:t>astric or gastro-oesophageal junction cancer in adults</w:t>
            </w:r>
            <w:r>
              <w:rPr>
                <w:rFonts w:cs="Arial"/>
                <w:szCs w:val="19"/>
                <w:lang w:val="en-US"/>
              </w:rPr>
              <w:t xml:space="preserve">, </w:t>
            </w:r>
            <w:proofErr w:type="gramStart"/>
            <w:r w:rsidRPr="00D90C26">
              <w:rPr>
                <w:rFonts w:cs="Arial"/>
                <w:szCs w:val="19"/>
                <w:lang w:val="en-US"/>
              </w:rPr>
              <w:t>second-line</w:t>
            </w:r>
            <w:proofErr w:type="gramEnd"/>
            <w:r w:rsidRPr="00D90C26">
              <w:rPr>
                <w:rFonts w:cs="Arial"/>
                <w:szCs w:val="19"/>
                <w:lang w:val="en-US"/>
              </w:rPr>
              <w:t xml:space="preserve"> with trastuzumab, ramucirumab and paclitaxel</w:t>
            </w:r>
            <w:r>
              <w:rPr>
                <w:rFonts w:cs="Arial"/>
                <w:szCs w:val="19"/>
                <w:lang w:val="en-US"/>
              </w:rPr>
              <w:t xml:space="preserve"> – development discontinued (company decision)</w:t>
            </w:r>
          </w:p>
        </w:tc>
      </w:tr>
      <w:tr w:rsidR="00D35ED4" w:rsidRPr="000F19E1" w14:paraId="6E316B24" w14:textId="77777777" w:rsidTr="00065AFF">
        <w:tc>
          <w:tcPr>
            <w:tcW w:w="1293" w:type="pct"/>
            <w:gridSpan w:val="2"/>
            <w:shd w:val="clear" w:color="auto" w:fill="auto"/>
            <w:tcMar>
              <w:top w:w="0" w:type="dxa"/>
              <w:bottom w:w="0" w:type="dxa"/>
            </w:tcMar>
          </w:tcPr>
          <w:p w14:paraId="21A35DFE" w14:textId="77777777" w:rsidR="00D35ED4" w:rsidRPr="000F19E1" w:rsidRDefault="00D35ED4" w:rsidP="00065AFF">
            <w:pPr>
              <w:rPr>
                <w:rFonts w:cs="Arial"/>
                <w:bCs/>
                <w:sz w:val="8"/>
                <w:szCs w:val="8"/>
              </w:rPr>
            </w:pPr>
          </w:p>
        </w:tc>
        <w:tc>
          <w:tcPr>
            <w:tcW w:w="3707" w:type="pct"/>
            <w:gridSpan w:val="2"/>
            <w:shd w:val="clear" w:color="auto" w:fill="auto"/>
            <w:tcMar>
              <w:top w:w="0" w:type="dxa"/>
              <w:bottom w:w="0" w:type="dxa"/>
            </w:tcMar>
          </w:tcPr>
          <w:p w14:paraId="1359918C" w14:textId="77777777" w:rsidR="00D35ED4" w:rsidRPr="000F19E1" w:rsidRDefault="00D35ED4" w:rsidP="00065AFF">
            <w:pPr>
              <w:tabs>
                <w:tab w:val="center" w:pos="3152"/>
              </w:tabs>
              <w:rPr>
                <w:rFonts w:cs="Arial"/>
                <w:sz w:val="8"/>
                <w:szCs w:val="8"/>
                <w:lang w:val="en-US"/>
              </w:rPr>
            </w:pPr>
          </w:p>
        </w:tc>
      </w:tr>
      <w:tr w:rsidR="00D35ED4" w:rsidRPr="000F19E1" w14:paraId="144A2F03" w14:textId="77777777" w:rsidTr="00065AFF">
        <w:tc>
          <w:tcPr>
            <w:tcW w:w="1355" w:type="pct"/>
            <w:gridSpan w:val="3"/>
            <w:shd w:val="clear" w:color="auto" w:fill="DAEEF3"/>
            <w:tcMar>
              <w:top w:w="0" w:type="dxa"/>
              <w:bottom w:w="0" w:type="dxa"/>
            </w:tcMar>
          </w:tcPr>
          <w:p w14:paraId="78E848A0" w14:textId="77777777" w:rsidR="00D35ED4" w:rsidRPr="000F19E1" w:rsidRDefault="00D35ED4" w:rsidP="00065AFF">
            <w:pPr>
              <w:rPr>
                <w:rFonts w:cs="Arial"/>
                <w:bCs/>
                <w:sz w:val="8"/>
                <w:szCs w:val="8"/>
              </w:rPr>
            </w:pPr>
          </w:p>
        </w:tc>
        <w:tc>
          <w:tcPr>
            <w:tcW w:w="3645" w:type="pct"/>
            <w:shd w:val="clear" w:color="auto" w:fill="DAEEF3"/>
            <w:tcMar>
              <w:top w:w="0" w:type="dxa"/>
              <w:bottom w:w="0" w:type="dxa"/>
            </w:tcMar>
          </w:tcPr>
          <w:p w14:paraId="02370868" w14:textId="77777777" w:rsidR="00D35ED4" w:rsidRPr="000F19E1" w:rsidRDefault="00D35ED4" w:rsidP="00065AFF">
            <w:pPr>
              <w:tabs>
                <w:tab w:val="center" w:pos="3152"/>
              </w:tabs>
              <w:rPr>
                <w:rFonts w:cs="Arial"/>
                <w:sz w:val="8"/>
                <w:szCs w:val="8"/>
                <w:lang w:val="en-US"/>
              </w:rPr>
            </w:pPr>
          </w:p>
        </w:tc>
      </w:tr>
    </w:tbl>
    <w:p w14:paraId="74EBE994" w14:textId="77777777" w:rsidR="006825BB" w:rsidRPr="008949EF" w:rsidRDefault="006825BB" w:rsidP="003D16EF">
      <w:pPr>
        <w:rPr>
          <w:sz w:val="8"/>
          <w:szCs w:val="8"/>
        </w:rPr>
      </w:pPr>
    </w:p>
    <w:sectPr w:rsidR="006825BB" w:rsidRPr="008949EF" w:rsidSect="00F566AB">
      <w:headerReference w:type="even" r:id="rId15"/>
      <w:headerReference w:type="default" r:id="rId16"/>
      <w:footerReference w:type="default" r:id="rId17"/>
      <w:headerReference w:type="first" r:id="rId18"/>
      <w:type w:val="evenPage"/>
      <w:pgSz w:w="11906" w:h="16838" w:code="9"/>
      <w:pgMar w:top="1021" w:right="851" w:bottom="102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17650" w14:textId="77777777" w:rsidR="002F50B4" w:rsidRDefault="002F50B4">
      <w:r>
        <w:separator/>
      </w:r>
    </w:p>
  </w:endnote>
  <w:endnote w:type="continuationSeparator" w:id="0">
    <w:p w14:paraId="11AED9FD" w14:textId="77777777" w:rsidR="002F50B4" w:rsidRDefault="002F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303" w:type="dxa"/>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10980"/>
    </w:tblGrid>
    <w:tr w:rsidR="000D44DB" w:rsidRPr="00710A1C" w14:paraId="5D6106D2" w14:textId="77777777">
      <w:tc>
        <w:tcPr>
          <w:tcW w:w="10980" w:type="dxa"/>
          <w:shd w:val="clear" w:color="auto" w:fill="3366FF"/>
          <w:tcMar>
            <w:top w:w="28" w:type="dxa"/>
            <w:left w:w="57" w:type="dxa"/>
            <w:bottom w:w="28" w:type="dxa"/>
            <w:right w:w="57" w:type="dxa"/>
          </w:tcMar>
        </w:tcPr>
        <w:p w14:paraId="2AA6D5B3" w14:textId="77777777" w:rsidR="000D44DB" w:rsidRPr="00710A1C" w:rsidRDefault="000D44DB" w:rsidP="00710A1C">
          <w:pPr>
            <w:spacing w:before="60" w:after="60"/>
            <w:ind w:right="57"/>
            <w:rPr>
              <w:rFonts w:ascii="Verdana" w:hAnsi="Verdana" w:cs="Arial"/>
              <w:b/>
              <w:bCs/>
              <w:color w:val="000080"/>
              <w:sz w:val="15"/>
              <w:szCs w:val="15"/>
              <w:lang w:val="en-US"/>
            </w:rPr>
          </w:pPr>
          <w:r w:rsidRPr="00710A1C">
            <w:rPr>
              <w:rFonts w:ascii="Verdana" w:hAnsi="Verdana" w:cs="Arial"/>
              <w:b/>
              <w:bCs/>
              <w:color w:val="FFFFFF"/>
              <w:sz w:val="15"/>
              <w:szCs w:val="15"/>
              <w:lang w:val="en-US"/>
            </w:rPr>
            <w:t xml:space="preserve">If you do not wish to continue receiving NDO </w:t>
          </w:r>
          <w:r w:rsidRPr="00710A1C">
            <w:rPr>
              <w:rFonts w:ascii="Verdana" w:hAnsi="Verdana" w:cs="Arial"/>
              <w:b/>
              <w:bCs/>
              <w:i/>
              <w:color w:val="FFFFFF"/>
              <w:sz w:val="15"/>
              <w:szCs w:val="15"/>
              <w:lang w:val="en-US"/>
            </w:rPr>
            <w:t>Newsletter</w:t>
          </w:r>
          <w:r w:rsidRPr="00710A1C">
            <w:rPr>
              <w:rFonts w:ascii="Verdana" w:hAnsi="Verdana" w:cs="Arial"/>
              <w:b/>
              <w:bCs/>
              <w:color w:val="FFFFFF"/>
              <w:sz w:val="15"/>
              <w:szCs w:val="15"/>
              <w:lang w:val="en-US"/>
            </w:rPr>
            <w:t xml:space="preserve"> log in and update your profile at </w:t>
          </w:r>
          <w:hyperlink r:id="rId1" w:history="1">
            <w:r w:rsidRPr="00710A1C">
              <w:rPr>
                <w:rStyle w:val="Hyperlink"/>
                <w:rFonts w:cs="Arial"/>
                <w:b/>
                <w:bCs/>
                <w:color w:val="FFFFFF"/>
                <w:sz w:val="15"/>
                <w:szCs w:val="15"/>
                <w:lang w:val="en-US"/>
              </w:rPr>
              <w:t>www.ukmi.nhs.uk/ndo</w:t>
            </w:r>
          </w:hyperlink>
        </w:p>
      </w:tc>
    </w:tr>
    <w:tr w:rsidR="000D44DB" w14:paraId="7F0C7474" w14:textId="77777777">
      <w:tc>
        <w:tcPr>
          <w:tcW w:w="10980" w:type="dxa"/>
          <w:shd w:val="clear" w:color="auto" w:fill="auto"/>
          <w:tcMar>
            <w:left w:w="28" w:type="dxa"/>
            <w:right w:w="28" w:type="dxa"/>
          </w:tcMar>
        </w:tcPr>
        <w:p w14:paraId="6E4F9B79" w14:textId="77777777" w:rsidR="000D44DB" w:rsidRPr="00710A1C" w:rsidRDefault="000D44DB" w:rsidP="00710A1C">
          <w:pPr>
            <w:spacing w:before="120" w:after="60"/>
            <w:ind w:left="57" w:right="57"/>
            <w:rPr>
              <w:sz w:val="15"/>
              <w:szCs w:val="15"/>
            </w:rPr>
          </w:pPr>
          <w:r w:rsidRPr="00710A1C">
            <w:rPr>
              <w:rFonts w:ascii="Verdana" w:hAnsi="Verdana" w:cs="Arial"/>
              <w:b/>
              <w:bCs/>
              <w:color w:val="333399"/>
              <w:sz w:val="15"/>
              <w:szCs w:val="15"/>
              <w:lang w:val="en-US"/>
            </w:rPr>
            <w:t>In September 2011</w:t>
          </w:r>
          <w:r w:rsidRPr="00710A1C">
            <w:rPr>
              <w:rFonts w:ascii="Verdana" w:hAnsi="Verdana" w:cs="Arial"/>
              <w:bCs/>
              <w:color w:val="000000"/>
              <w:sz w:val="15"/>
              <w:szCs w:val="15"/>
              <w:lang w:val="en-US"/>
            </w:rPr>
            <w:t xml:space="preserve"> </w:t>
          </w:r>
          <w:r w:rsidRPr="00710A1C">
            <w:rPr>
              <w:rFonts w:ascii="Verdana" w:hAnsi="Verdana" w:cs="Arial"/>
              <w:b/>
              <w:bCs/>
              <w:color w:val="000000"/>
              <w:sz w:val="15"/>
              <w:szCs w:val="15"/>
              <w:lang w:val="en-US"/>
            </w:rPr>
            <w:t>| 229 monographs updated | 14 evidence-based evaluations added | 2,200 registered NDO users</w:t>
          </w:r>
        </w:p>
      </w:tc>
    </w:tr>
  </w:tbl>
  <w:p w14:paraId="1BDC7DF4" w14:textId="77777777" w:rsidR="000D44DB" w:rsidRDefault="000D4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01DBEEA7" w14:textId="77777777" w:rsidTr="001734BF">
      <w:trPr>
        <w:trHeight w:val="262"/>
      </w:trPr>
      <w:tc>
        <w:tcPr>
          <w:tcW w:w="10774" w:type="dxa"/>
          <w:shd w:val="clear" w:color="auto" w:fill="0070C0"/>
          <w:tcMar>
            <w:top w:w="28" w:type="dxa"/>
            <w:left w:w="57" w:type="dxa"/>
            <w:bottom w:w="28" w:type="dxa"/>
            <w:right w:w="57" w:type="dxa"/>
          </w:tcMar>
        </w:tcPr>
        <w:p w14:paraId="3A058C16"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 xml:space="preserve">This is </w:t>
          </w:r>
          <w:proofErr w:type="gramStart"/>
          <w:r w:rsidRPr="00114EBA">
            <w:rPr>
              <w:rFonts w:cs="Arial"/>
              <w:b/>
              <w:bCs/>
              <w:color w:val="FFFFFF"/>
              <w:sz w:val="17"/>
              <w:szCs w:val="17"/>
              <w:lang w:val="en-US"/>
            </w:rPr>
            <w:t>a</w:t>
          </w:r>
          <w:proofErr w:type="gramEnd"/>
          <w:r w:rsidRPr="00114EBA">
            <w:rPr>
              <w:rFonts w:cs="Arial"/>
              <w:b/>
              <w:bCs/>
              <w:color w:val="FFFFFF"/>
              <w:sz w:val="17"/>
              <w:szCs w:val="17"/>
              <w:lang w:val="en-US"/>
            </w:rPr>
            <w:t xml:space="preserve"> NHS document not to be used for commercial purposes</w:t>
          </w:r>
        </w:p>
      </w:tc>
    </w:tr>
    <w:tr w:rsidR="001F4283" w:rsidRPr="00862949" w14:paraId="73268FDA" w14:textId="77777777" w:rsidTr="001734BF">
      <w:trPr>
        <w:trHeight w:val="331"/>
      </w:trPr>
      <w:tc>
        <w:tcPr>
          <w:tcW w:w="10774" w:type="dxa"/>
          <w:shd w:val="clear" w:color="auto" w:fill="DAEEF3"/>
          <w:tcMar>
            <w:left w:w="28" w:type="dxa"/>
            <w:right w:w="28" w:type="dxa"/>
          </w:tcMar>
        </w:tcPr>
        <w:p w14:paraId="6D5F3B28"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796D5A1A"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29699A81" w14:textId="77777777" w:rsidR="000D44DB" w:rsidRDefault="000D44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227" w:type="dxa"/>
      <w:tblLook w:val="01E0" w:firstRow="1" w:lastRow="1" w:firstColumn="1" w:lastColumn="1" w:noHBand="0" w:noVBand="0"/>
    </w:tblPr>
    <w:tblGrid>
      <w:gridCol w:w="10774"/>
    </w:tblGrid>
    <w:tr w:rsidR="001F4283" w:rsidRPr="00862949" w14:paraId="3D56998F" w14:textId="77777777" w:rsidTr="001734BF">
      <w:trPr>
        <w:trHeight w:val="262"/>
      </w:trPr>
      <w:tc>
        <w:tcPr>
          <w:tcW w:w="10774" w:type="dxa"/>
          <w:shd w:val="clear" w:color="auto" w:fill="0070C0"/>
          <w:tcMar>
            <w:top w:w="28" w:type="dxa"/>
            <w:left w:w="57" w:type="dxa"/>
            <w:bottom w:w="28" w:type="dxa"/>
            <w:right w:w="57" w:type="dxa"/>
          </w:tcMar>
        </w:tcPr>
        <w:p w14:paraId="5AC47202" w14:textId="77777777" w:rsidR="001F4283" w:rsidRPr="00114EBA" w:rsidRDefault="001F4283" w:rsidP="001F4283">
          <w:pPr>
            <w:spacing w:before="60" w:after="60"/>
            <w:ind w:right="57"/>
            <w:jc w:val="center"/>
            <w:rPr>
              <w:rFonts w:cs="Arial"/>
              <w:bCs/>
              <w:color w:val="F2F2F2"/>
              <w:sz w:val="17"/>
              <w:szCs w:val="17"/>
              <w:lang w:val="en-US"/>
            </w:rPr>
          </w:pPr>
          <w:r w:rsidRPr="00114EBA">
            <w:rPr>
              <w:rFonts w:cs="Arial"/>
              <w:b/>
              <w:bCs/>
              <w:color w:val="FFFFFF"/>
              <w:sz w:val="17"/>
              <w:szCs w:val="17"/>
              <w:lang w:val="en-US"/>
            </w:rPr>
            <w:t xml:space="preserve">This is </w:t>
          </w:r>
          <w:proofErr w:type="gramStart"/>
          <w:r w:rsidRPr="00114EBA">
            <w:rPr>
              <w:rFonts w:cs="Arial"/>
              <w:b/>
              <w:bCs/>
              <w:color w:val="FFFFFF"/>
              <w:sz w:val="17"/>
              <w:szCs w:val="17"/>
              <w:lang w:val="en-US"/>
            </w:rPr>
            <w:t>a</w:t>
          </w:r>
          <w:proofErr w:type="gramEnd"/>
          <w:r w:rsidRPr="00114EBA">
            <w:rPr>
              <w:rFonts w:cs="Arial"/>
              <w:b/>
              <w:bCs/>
              <w:color w:val="FFFFFF"/>
              <w:sz w:val="17"/>
              <w:szCs w:val="17"/>
              <w:lang w:val="en-US"/>
            </w:rPr>
            <w:t xml:space="preserve"> NHS document not to be used for commercial purposes</w:t>
          </w:r>
        </w:p>
      </w:tc>
    </w:tr>
    <w:tr w:rsidR="001F4283" w:rsidRPr="00862949" w14:paraId="2917EEC4" w14:textId="77777777" w:rsidTr="001734BF">
      <w:trPr>
        <w:trHeight w:val="331"/>
      </w:trPr>
      <w:tc>
        <w:tcPr>
          <w:tcW w:w="10774" w:type="dxa"/>
          <w:shd w:val="clear" w:color="auto" w:fill="DAEEF3"/>
          <w:tcMar>
            <w:left w:w="28" w:type="dxa"/>
            <w:right w:w="28" w:type="dxa"/>
          </w:tcMar>
        </w:tcPr>
        <w:p w14:paraId="3E4DCCD4" w14:textId="77777777" w:rsidR="001F4283" w:rsidRDefault="001F4283" w:rsidP="001F4283">
          <w:pPr>
            <w:spacing w:before="60" w:after="60"/>
            <w:ind w:right="57"/>
            <w:rPr>
              <w:rFonts w:cs="Arial"/>
              <w:bCs/>
              <w:color w:val="000000"/>
              <w:sz w:val="17"/>
              <w:szCs w:val="17"/>
              <w:lang w:val="en-US"/>
            </w:rPr>
          </w:pPr>
          <w:r w:rsidRPr="00114EBA">
            <w:rPr>
              <w:rFonts w:cs="Arial"/>
              <w:bCs/>
              <w:color w:val="00B050"/>
              <w:sz w:val="17"/>
              <w:szCs w:val="17"/>
              <w:lang w:val="en-US"/>
            </w:rPr>
            <w:t>New Medicines</w:t>
          </w:r>
          <w:r w:rsidRPr="00114EBA">
            <w:rPr>
              <w:rFonts w:cs="Arial"/>
              <w:bCs/>
              <w:color w:val="F2F2F2"/>
              <w:sz w:val="17"/>
              <w:szCs w:val="17"/>
              <w:lang w:val="en-US"/>
            </w:rPr>
            <w:t xml:space="preserve"> </w:t>
          </w:r>
          <w:r w:rsidRPr="00114EBA">
            <w:rPr>
              <w:rStyle w:val="Hyperlink"/>
              <w:rFonts w:ascii="Arial" w:hAnsi="Arial"/>
              <w:i/>
              <w:color w:val="0070C0"/>
              <w:sz w:val="17"/>
              <w:szCs w:val="17"/>
              <w:u w:val="none"/>
            </w:rPr>
            <w:t>News</w:t>
          </w:r>
          <w:r w:rsidRPr="00114EBA">
            <w:rPr>
              <w:rFonts w:cs="Arial"/>
              <w:bCs/>
              <w:color w:val="F2F2F2"/>
              <w:sz w:val="17"/>
              <w:szCs w:val="17"/>
              <w:lang w:val="en-US"/>
            </w:rPr>
            <w:t xml:space="preserve"> </w:t>
          </w:r>
          <w:r w:rsidRPr="00114EBA">
            <w:rPr>
              <w:rFonts w:cs="Arial"/>
              <w:bCs/>
              <w:color w:val="000000"/>
              <w:sz w:val="17"/>
              <w:szCs w:val="17"/>
              <w:lang w:val="en-US"/>
            </w:rPr>
            <w:t xml:space="preserve">is one of several horizon scanning resources produced by </w:t>
          </w:r>
          <w:r>
            <w:rPr>
              <w:rFonts w:cs="Arial"/>
              <w:bCs/>
              <w:color w:val="000000"/>
              <w:sz w:val="17"/>
              <w:szCs w:val="17"/>
              <w:lang w:val="en-US"/>
            </w:rPr>
            <w:t>the Specialist Pharmacy Service</w:t>
          </w:r>
          <w:r w:rsidRPr="00114EBA">
            <w:rPr>
              <w:rFonts w:cs="Arial"/>
              <w:bCs/>
              <w:color w:val="000000"/>
              <w:sz w:val="17"/>
              <w:szCs w:val="17"/>
              <w:lang w:val="en-US"/>
            </w:rPr>
            <w:t xml:space="preserve"> to support managed introduction of new medicines into the NHS,</w:t>
          </w:r>
          <w:r w:rsidRPr="00114EBA">
            <w:rPr>
              <w:color w:val="000000"/>
              <w:sz w:val="17"/>
              <w:szCs w:val="17"/>
            </w:rPr>
            <w:t xml:space="preserve"> </w:t>
          </w:r>
          <w:r w:rsidRPr="00114EBA">
            <w:rPr>
              <w:rFonts w:cs="Arial"/>
              <w:bCs/>
              <w:color w:val="000000"/>
              <w:sz w:val="17"/>
              <w:szCs w:val="17"/>
              <w:lang w:val="en-US"/>
            </w:rPr>
            <w:t xml:space="preserve">to help organisations develop medicines management policies and to inform prescribing decisions when a product has been launched. </w:t>
          </w:r>
        </w:p>
        <w:p w14:paraId="49B7BE9A" w14:textId="77777777" w:rsidR="001F4283" w:rsidRPr="00114EBA" w:rsidRDefault="001F4283" w:rsidP="001F4283">
          <w:pPr>
            <w:spacing w:before="60" w:after="60"/>
            <w:ind w:right="57"/>
            <w:jc w:val="right"/>
            <w:rPr>
              <w:rFonts w:cs="Arial"/>
              <w:bCs/>
              <w:color w:val="000000"/>
              <w:sz w:val="17"/>
              <w:szCs w:val="17"/>
              <w:lang w:val="en-US"/>
            </w:rPr>
          </w:pPr>
          <w:r w:rsidRPr="00114EBA">
            <w:rPr>
              <w:rFonts w:cs="Arial"/>
              <w:bCs/>
              <w:color w:val="000000"/>
              <w:sz w:val="17"/>
              <w:szCs w:val="17"/>
              <w:lang w:val="en-US"/>
            </w:rPr>
            <w:t>For more information</w:t>
          </w:r>
          <w:r>
            <w:rPr>
              <w:rFonts w:cs="Arial"/>
              <w:bCs/>
              <w:color w:val="000000"/>
              <w:sz w:val="17"/>
              <w:szCs w:val="17"/>
              <w:lang w:val="en-US"/>
            </w:rPr>
            <w:t xml:space="preserve"> or </w:t>
          </w:r>
          <w:r w:rsidRPr="00114EBA">
            <w:rPr>
              <w:rFonts w:cs="Arial"/>
              <w:bCs/>
              <w:color w:val="000000"/>
              <w:sz w:val="17"/>
              <w:szCs w:val="17"/>
              <w:lang w:val="en-US"/>
            </w:rPr>
            <w:t>if you have a question about this newsletter, contact</w:t>
          </w:r>
          <w:r>
            <w:rPr>
              <w:rFonts w:cs="Arial"/>
              <w:bCs/>
              <w:color w:val="000000"/>
              <w:sz w:val="17"/>
              <w:szCs w:val="17"/>
              <w:lang w:val="en-US"/>
            </w:rPr>
            <w:t xml:space="preserve"> </w:t>
          </w:r>
          <w:hyperlink r:id="rId1" w:history="1">
            <w:r w:rsidRPr="00114EBA">
              <w:rPr>
                <w:rStyle w:val="Hyperlink"/>
                <w:rFonts w:ascii="Arial" w:hAnsi="Arial" w:cs="Arial"/>
                <w:bCs/>
                <w:sz w:val="17"/>
                <w:szCs w:val="17"/>
                <w:lang w:val="en-US"/>
              </w:rPr>
              <w:t>nwmedinfo@nhs.net</w:t>
            </w:r>
          </w:hyperlink>
          <w:r w:rsidRPr="00114EBA">
            <w:rPr>
              <w:rFonts w:cs="Arial"/>
              <w:bCs/>
              <w:color w:val="000000"/>
              <w:sz w:val="17"/>
              <w:szCs w:val="17"/>
              <w:lang w:val="en-US"/>
            </w:rPr>
            <w:t>.</w:t>
          </w:r>
        </w:p>
      </w:tc>
    </w:tr>
  </w:tbl>
  <w:p w14:paraId="162FA05C" w14:textId="77777777" w:rsidR="000D44DB" w:rsidRPr="00862949" w:rsidRDefault="000D44DB" w:rsidP="00F95449">
    <w:pPr>
      <w:spacing w:before="60" w:after="60"/>
      <w:ind w:left="57" w:right="57"/>
      <w:jc w:val="center"/>
      <w:rPr>
        <w:rFonts w:cs="Arial"/>
        <w:bCs/>
        <w:color w:val="333399"/>
        <w:sz w:val="8"/>
        <w:szCs w:val="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BDB1" w14:textId="77777777" w:rsidR="002F50B4" w:rsidRDefault="002F50B4">
      <w:r>
        <w:separator/>
      </w:r>
    </w:p>
  </w:footnote>
  <w:footnote w:type="continuationSeparator" w:id="0">
    <w:p w14:paraId="0CF4B085" w14:textId="77777777" w:rsidR="002F50B4" w:rsidRDefault="002F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606F" w14:textId="70D60809" w:rsidR="000D44DB" w:rsidRPr="00CD021E" w:rsidRDefault="00CD021E" w:rsidP="009A09B7">
    <w:pPr>
      <w:pStyle w:val="Header"/>
      <w:rPr>
        <w:rFonts w:ascii="Verdana" w:hAnsi="Verdana" w:cs="Arial"/>
        <w:b/>
        <w:bCs/>
        <w:i/>
        <w:color w:val="33CCCC"/>
        <w:sz w:val="52"/>
        <w:szCs w:val="5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216" behindDoc="1" locked="0" layoutInCell="1" allowOverlap="1" wp14:anchorId="0D87F20D" wp14:editId="335D8962">
          <wp:simplePos x="0" y="0"/>
          <wp:positionH relativeFrom="column">
            <wp:posOffset>5715000</wp:posOffset>
          </wp:positionH>
          <wp:positionV relativeFrom="paragraph">
            <wp:posOffset>10795</wp:posOffset>
          </wp:positionV>
          <wp:extent cx="816610" cy="463550"/>
          <wp:effectExtent l="0" t="0" r="2540" b="0"/>
          <wp:wrapTight wrapText="bothSides">
            <wp:wrapPolygon edited="0">
              <wp:start x="0" y="0"/>
              <wp:lineTo x="0" y="20416"/>
              <wp:lineTo x="21163" y="20416"/>
              <wp:lineTo x="21163" y="0"/>
              <wp:lineTo x="0" y="0"/>
            </wp:wrapPolygon>
          </wp:wrapTight>
          <wp:docPr id="18" name="Picture 18" descr="UKMi logo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KMi logo 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266C31F8" wp14:editId="1FC5C7DE">
          <wp:simplePos x="0" y="0"/>
          <wp:positionH relativeFrom="column">
            <wp:posOffset>5193665</wp:posOffset>
          </wp:positionH>
          <wp:positionV relativeFrom="paragraph">
            <wp:posOffset>116205</wp:posOffset>
          </wp:positionV>
          <wp:extent cx="533400" cy="219075"/>
          <wp:effectExtent l="0" t="0" r="0" b="9525"/>
          <wp:wrapTight wrapText="bothSides">
            <wp:wrapPolygon edited="0">
              <wp:start x="0" y="0"/>
              <wp:lineTo x="0" y="20661"/>
              <wp:lineTo x="20829" y="20661"/>
              <wp:lineTo x="20829" y="0"/>
              <wp:lineTo x="0" y="0"/>
            </wp:wrapPolygon>
          </wp:wrapTight>
          <wp:docPr id="19" name="Picture 19"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916226" wp14:editId="416EFEC2">
          <wp:extent cx="1075055" cy="467995"/>
          <wp:effectExtent l="0" t="0" r="0" b="8255"/>
          <wp:docPr id="20" name="Picture 20" descr="N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000D44DB" w:rsidRPr="00CD021E">
      <w:rPr>
        <w:rFonts w:ascii="Verdana" w:hAnsi="Verdana" w:cs="Arial"/>
        <w:b/>
        <w:bCs/>
        <w:i/>
        <w:color w:val="33CCCC"/>
        <w:sz w:val="44"/>
        <w:szCs w:val="44"/>
        <w14:shadow w14:blurRad="50800" w14:dist="38100" w14:dir="2700000" w14:sx="100000" w14:sy="100000" w14:kx="0" w14:ky="0" w14:algn="tl">
          <w14:srgbClr w14:val="000000">
            <w14:alpha w14:val="60000"/>
          </w14:srgbClr>
        </w14:shadow>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5A5F" w14:textId="5DFF2F0A" w:rsidR="000D44DB" w:rsidRPr="00CD021E" w:rsidRDefault="00A75BCB" w:rsidP="00BA65A9">
    <w:pPr>
      <w:pStyle w:val="Header"/>
      <w:ind w:left="-142"/>
      <w:rPr>
        <w:rFonts w:cs="Arial"/>
        <w:b/>
        <w:bCs/>
        <w:color w:val="244061"/>
        <w:sz w:val="32"/>
        <w:szCs w:val="32"/>
        <w14:shadow w14:blurRad="50800" w14:dist="38100" w14:dir="2700000" w14:sx="100000" w14:sy="100000" w14:kx="0" w14:ky="0" w14:algn="tl">
          <w14:srgbClr w14:val="000000">
            <w14:alpha w14:val="60000"/>
          </w14:srgbClr>
        </w14:shadow>
      </w:rPr>
    </w:pPr>
    <w:r>
      <w:rPr>
        <w:noProof/>
        <w:color w:val="00B050"/>
        <w:sz w:val="32"/>
        <w:szCs w:val="32"/>
      </w:rPr>
      <w:drawing>
        <wp:anchor distT="0" distB="0" distL="114300" distR="114300" simplePos="0" relativeHeight="251654144" behindDoc="0" locked="0" layoutInCell="1" allowOverlap="1" wp14:anchorId="5A301FBC" wp14:editId="033E4AA3">
          <wp:simplePos x="0" y="0"/>
          <wp:positionH relativeFrom="column">
            <wp:posOffset>6073775</wp:posOffset>
          </wp:positionH>
          <wp:positionV relativeFrom="paragraph">
            <wp:posOffset>-21590</wp:posOffset>
          </wp:positionV>
          <wp:extent cx="521335" cy="213995"/>
          <wp:effectExtent l="0" t="0" r="0" b="0"/>
          <wp:wrapNone/>
          <wp:docPr id="21" name="Picture 21"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AD47D" w14:textId="77777777" w:rsidR="000D44DB" w:rsidRPr="00CD021E" w:rsidRDefault="00CD021E" w:rsidP="00C3217F">
    <w:pPr>
      <w:pStyle w:val="Header"/>
      <w:tabs>
        <w:tab w:val="clear" w:pos="8306"/>
        <w:tab w:val="left" w:pos="7830"/>
      </w:tabs>
      <w:ind w:left="-255" w:hanging="142"/>
      <w:rPr>
        <w:rFonts w:cs="Arial"/>
        <w:b/>
        <w:bCs/>
        <w:i/>
        <w:color w:val="244061"/>
        <w:sz w:val="72"/>
        <w:szCs w:val="72"/>
        <w14:shadow w14:blurRad="50800" w14:dist="38100" w14:dir="2700000" w14:sx="100000" w14:sy="100000" w14:kx="0" w14:ky="0" w14:algn="tl">
          <w14:srgbClr w14:val="000000">
            <w14:alpha w14:val="60000"/>
          </w14:srgbClr>
        </w14:shadow>
      </w:rPr>
    </w:pPr>
    <w:r>
      <w:rPr>
        <w:rFonts w:cs="Arial"/>
        <w:b/>
        <w:bCs/>
        <w:noProof/>
        <w:color w:val="00B050"/>
        <w:sz w:val="72"/>
        <w:szCs w:val="72"/>
      </w:rPr>
      <w:drawing>
        <wp:anchor distT="0" distB="0" distL="114300" distR="114300" simplePos="0" relativeHeight="251661312" behindDoc="1" locked="0" layoutInCell="1" allowOverlap="1" wp14:anchorId="3B58162C" wp14:editId="3D575C55">
          <wp:simplePos x="0" y="0"/>
          <wp:positionH relativeFrom="column">
            <wp:posOffset>-360045</wp:posOffset>
          </wp:positionH>
          <wp:positionV relativeFrom="paragraph">
            <wp:posOffset>34925</wp:posOffset>
          </wp:positionV>
          <wp:extent cx="1051560" cy="448945"/>
          <wp:effectExtent l="0" t="0" r="0"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44894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r>
    <w:r w:rsidR="000D44DB" w:rsidRPr="00CD021E">
      <w:rPr>
        <w:rFonts w:cs="Arial"/>
        <w:b/>
        <w:bCs/>
        <w:color w:val="00B050"/>
        <w:sz w:val="72"/>
        <w:szCs w:val="72"/>
        <w14:shadow w14:blurRad="50800" w14:dist="38100" w14:dir="2700000" w14:sx="100000" w14:sy="100000" w14:kx="0" w14:ky="0" w14:algn="tl">
          <w14:srgbClr w14:val="000000">
            <w14:alpha w14:val="60000"/>
          </w14:srgbClr>
        </w14:shadow>
      </w:rPr>
      <w:tab/>
      <w:t xml:space="preserve">      New Medicines</w:t>
    </w:r>
    <w:r w:rsidR="000D44DB" w:rsidRPr="00CD021E">
      <w:rPr>
        <w:rFonts w:cs="Arial"/>
        <w:b/>
        <w:bCs/>
        <w:i/>
        <w:color w:val="244061"/>
        <w:sz w:val="72"/>
        <w:szCs w:val="72"/>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72"/>
        <w:szCs w:val="72"/>
        <w14:shadow w14:blurRad="50800" w14:dist="38100" w14:dir="2700000" w14:sx="100000" w14:sy="100000" w14:kx="0" w14:ky="0" w14:algn="tl">
          <w14:srgbClr w14:val="000000">
            <w14:alpha w14:val="60000"/>
          </w14:srgbClr>
        </w14:shadow>
      </w:rPr>
      <w:t>News</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D44DB" w:rsidRPr="00CD021E" w14:paraId="003DC834" w14:textId="77777777" w:rsidTr="002772ED">
      <w:tc>
        <w:tcPr>
          <w:tcW w:w="10774" w:type="dxa"/>
          <w:tcBorders>
            <w:top w:val="nil"/>
            <w:left w:val="nil"/>
            <w:bottom w:val="nil"/>
            <w:right w:val="nil"/>
          </w:tcBorders>
          <w:shd w:val="clear" w:color="auto" w:fill="DAEEF3"/>
        </w:tcPr>
        <w:p w14:paraId="7AE6B86B" w14:textId="707F4A49" w:rsidR="000D44DB" w:rsidRPr="00CD021E" w:rsidRDefault="002F50B4" w:rsidP="00EB3E6F">
          <w:pPr>
            <w:pStyle w:val="Header"/>
            <w:spacing w:before="60" w:after="60"/>
            <w:rPr>
              <w:rFonts w:cs="Arial"/>
              <w:b/>
              <w:bCs/>
              <w:color w:val="000000"/>
              <w:sz w:val="36"/>
              <w:szCs w:val="36"/>
              <w14:shadow w14:blurRad="50800" w14:dist="38100" w14:dir="2700000" w14:sx="100000" w14:sy="100000" w14:kx="0" w14:ky="0" w14:algn="tl">
                <w14:srgbClr w14:val="000000">
                  <w14:alpha w14:val="60000"/>
                </w14:srgbClr>
              </w14:shadow>
            </w:rPr>
          </w:pPr>
          <w:r>
            <w:rPr>
              <w:rFonts w:cs="Arial"/>
              <w:b/>
              <w:bCs/>
              <w:color w:val="0070C0"/>
              <w:sz w:val="36"/>
              <w:szCs w:val="36"/>
              <w14:shadow w14:blurRad="50800" w14:dist="38100" w14:dir="2700000" w14:sx="100000" w14:sy="100000" w14:kx="0" w14:ky="0" w14:algn="tl">
                <w14:srgbClr w14:val="000000">
                  <w14:alpha w14:val="60000"/>
                </w14:srgbClr>
              </w14:shadow>
            </w:rPr>
            <w:t>January</w:t>
          </w:r>
          <w:r w:rsidR="00A75BCB">
            <w:rPr>
              <w:rFonts w:cs="Arial"/>
              <w:b/>
              <w:bCs/>
              <w:color w:val="0070C0"/>
              <w:sz w:val="36"/>
              <w:szCs w:val="36"/>
              <w14:shadow w14:blurRad="50800" w14:dist="38100" w14:dir="2700000" w14:sx="100000" w14:sy="100000" w14:kx="0" w14:ky="0" w14:algn="tl">
                <w14:srgbClr w14:val="000000">
                  <w14:alpha w14:val="60000"/>
                </w14:srgbClr>
              </w14:shadow>
            </w:rPr>
            <w:t xml:space="preserve"> 202</w:t>
          </w:r>
          <w:r w:rsidR="001D7529">
            <w:rPr>
              <w:rFonts w:cs="Arial"/>
              <w:b/>
              <w:bCs/>
              <w:color w:val="0070C0"/>
              <w:sz w:val="36"/>
              <w:szCs w:val="36"/>
              <w14:shadow w14:blurRad="50800" w14:dist="38100" w14:dir="2700000" w14:sx="100000" w14:sy="100000" w14:kx="0" w14:ky="0" w14:algn="tl">
                <w14:srgbClr w14:val="000000">
                  <w14:alpha w14:val="60000"/>
                </w14:srgbClr>
              </w14:shadow>
            </w:rPr>
            <w:t>4</w:t>
          </w:r>
        </w:p>
      </w:tc>
    </w:tr>
    <w:tr w:rsidR="000D44DB" w:rsidRPr="00CD021E" w14:paraId="7E73D7F6" w14:textId="77777777" w:rsidTr="002772ED">
      <w:tc>
        <w:tcPr>
          <w:tcW w:w="10774" w:type="dxa"/>
          <w:tcBorders>
            <w:top w:val="nil"/>
            <w:left w:val="nil"/>
            <w:bottom w:val="nil"/>
            <w:right w:val="nil"/>
          </w:tcBorders>
          <w:shd w:val="clear" w:color="auto" w:fill="0070C0"/>
        </w:tcPr>
        <w:p w14:paraId="5D361295" w14:textId="77777777" w:rsidR="000D44DB" w:rsidRPr="00CD021E" w:rsidRDefault="000D44DB" w:rsidP="00395D20">
          <w:pPr>
            <w:pStyle w:val="Header"/>
            <w:tabs>
              <w:tab w:val="clear" w:pos="4153"/>
              <w:tab w:val="clear" w:pos="8306"/>
              <w:tab w:val="left" w:pos="2197"/>
            </w:tabs>
            <w:rPr>
              <w:rFonts w:cs="Arial"/>
              <w:b/>
              <w:bCs/>
              <w:color w:val="0070C0"/>
              <w:sz w:val="8"/>
              <w:szCs w:val="8"/>
              <w14:shadow w14:blurRad="50800" w14:dist="38100" w14:dir="2700000" w14:sx="100000" w14:sy="100000" w14:kx="0" w14:ky="0" w14:algn="tl">
                <w14:srgbClr w14:val="000000">
                  <w14:alpha w14:val="60000"/>
                </w14:srgbClr>
              </w14:shadow>
            </w:rPr>
          </w:pPr>
          <w:r w:rsidRPr="00CD021E">
            <w:rPr>
              <w:rFonts w:cs="Arial"/>
              <w:b/>
              <w:bCs/>
              <w:color w:val="0070C0"/>
              <w:sz w:val="28"/>
              <w:szCs w:val="28"/>
              <w14:shadow w14:blurRad="50800" w14:dist="38100" w14:dir="2700000" w14:sx="100000" w14:sy="100000" w14:kx="0" w14:ky="0" w14:algn="tl">
                <w14:srgbClr w14:val="000000">
                  <w14:alpha w14:val="60000"/>
                </w14:srgbClr>
              </w14:shadow>
            </w:rPr>
            <w:tab/>
          </w:r>
        </w:p>
      </w:tc>
    </w:tr>
    <w:tr w:rsidR="000D44DB" w:rsidRPr="00CD021E" w14:paraId="19249D27" w14:textId="77777777" w:rsidTr="002772ED">
      <w:tc>
        <w:tcPr>
          <w:tcW w:w="10774" w:type="dxa"/>
          <w:tcBorders>
            <w:top w:val="nil"/>
            <w:left w:val="nil"/>
            <w:bottom w:val="nil"/>
            <w:right w:val="nil"/>
          </w:tcBorders>
          <w:shd w:val="clear" w:color="auto" w:fill="DAEEF3"/>
        </w:tcPr>
        <w:p w14:paraId="3D30EDEE" w14:textId="77777777" w:rsidR="000D44DB" w:rsidRPr="00C315D6" w:rsidRDefault="00885CAE" w:rsidP="00CB6344">
          <w:pPr>
            <w:pStyle w:val="Header"/>
            <w:tabs>
              <w:tab w:val="clear" w:pos="4153"/>
              <w:tab w:val="clear" w:pos="8306"/>
              <w:tab w:val="left" w:pos="2197"/>
            </w:tabs>
            <w:spacing w:before="120" w:after="120"/>
            <w:rPr>
              <w:rFonts w:cs="Arial"/>
              <w:b/>
              <w:bCs/>
              <w:color w:val="0070C0"/>
              <w:sz w:val="18"/>
              <w:szCs w:val="18"/>
            </w:rPr>
          </w:pPr>
          <w:r w:rsidRPr="009B0BCE">
            <w:rPr>
              <w:rFonts w:cs="Arial"/>
              <w:b/>
              <w:bCs/>
              <w:color w:val="0070C0"/>
              <w:sz w:val="18"/>
              <w:szCs w:val="18"/>
            </w:rPr>
            <w:t xml:space="preserve">This newsletter is produced by </w:t>
          </w:r>
          <w:hyperlink r:id="rId3" w:history="1">
            <w:r w:rsidRPr="00551321">
              <w:rPr>
                <w:rStyle w:val="Hyperlink"/>
                <w:rFonts w:ascii="Arial" w:hAnsi="Arial" w:cs="Arial"/>
                <w:b/>
                <w:bCs/>
              </w:rPr>
              <w:t xml:space="preserve">SPS </w:t>
            </w:r>
            <w:r w:rsidR="003C4624">
              <w:rPr>
                <w:rStyle w:val="Hyperlink"/>
                <w:rFonts w:ascii="Arial" w:hAnsi="Arial" w:cs="Arial"/>
                <w:b/>
                <w:bCs/>
              </w:rPr>
              <w:t>H</w:t>
            </w:r>
            <w:r w:rsidRPr="00551321">
              <w:rPr>
                <w:rStyle w:val="Hyperlink"/>
                <w:rFonts w:ascii="Arial" w:hAnsi="Arial" w:cs="Arial"/>
                <w:b/>
                <w:bCs/>
              </w:rPr>
              <w:t xml:space="preserve">orizon </w:t>
            </w:r>
            <w:r w:rsidR="003C4624">
              <w:rPr>
                <w:rStyle w:val="Hyperlink"/>
                <w:rFonts w:ascii="Arial" w:hAnsi="Arial" w:cs="Arial"/>
                <w:b/>
                <w:bCs/>
              </w:rPr>
              <w:t>S</w:t>
            </w:r>
            <w:r w:rsidRPr="00551321">
              <w:rPr>
                <w:rStyle w:val="Hyperlink"/>
                <w:rFonts w:ascii="Arial" w:hAnsi="Arial" w:cs="Arial"/>
                <w:b/>
                <w:bCs/>
              </w:rPr>
              <w:t>canning</w:t>
            </w:r>
          </w:hyperlink>
          <w:r w:rsidRPr="009B0BCE">
            <w:rPr>
              <w:rFonts w:cs="Arial"/>
              <w:b/>
              <w:bCs/>
              <w:color w:val="0070C0"/>
              <w:sz w:val="18"/>
              <w:szCs w:val="18"/>
            </w:rPr>
            <w:t xml:space="preserve"> and highlights recent</w:t>
          </w:r>
          <w:r>
            <w:rPr>
              <w:rFonts w:cs="Arial"/>
              <w:b/>
              <w:bCs/>
              <w:color w:val="0070C0"/>
              <w:sz w:val="18"/>
              <w:szCs w:val="18"/>
            </w:rPr>
            <w:t xml:space="preserve"> new product launches and </w:t>
          </w:r>
          <w:r w:rsidRPr="009B0BCE">
            <w:rPr>
              <w:rFonts w:cs="Arial"/>
              <w:b/>
              <w:bCs/>
              <w:color w:val="0070C0"/>
              <w:sz w:val="18"/>
              <w:szCs w:val="18"/>
            </w:rPr>
            <w:t xml:space="preserve">medicines regulatory changes. More detailed information on medicines </w:t>
          </w:r>
          <w:r>
            <w:rPr>
              <w:rFonts w:cs="Arial"/>
              <w:b/>
              <w:bCs/>
              <w:color w:val="0070C0"/>
              <w:sz w:val="18"/>
              <w:szCs w:val="18"/>
            </w:rPr>
            <w:t>estimated</w:t>
          </w:r>
          <w:r w:rsidRPr="009B0BCE">
            <w:rPr>
              <w:rFonts w:cs="Arial"/>
              <w:b/>
              <w:bCs/>
              <w:color w:val="0070C0"/>
              <w:sz w:val="18"/>
              <w:szCs w:val="18"/>
            </w:rPr>
            <w:t xml:space="preserve"> to </w:t>
          </w:r>
          <w:r>
            <w:rPr>
              <w:rFonts w:cs="Arial"/>
              <w:b/>
              <w:bCs/>
              <w:color w:val="0070C0"/>
              <w:sz w:val="18"/>
              <w:szCs w:val="18"/>
            </w:rPr>
            <w:t>become available for use</w:t>
          </w:r>
          <w:r w:rsidRPr="009B0BCE">
            <w:rPr>
              <w:rFonts w:cs="Arial"/>
              <w:b/>
              <w:bCs/>
              <w:color w:val="0070C0"/>
              <w:sz w:val="18"/>
              <w:szCs w:val="18"/>
            </w:rPr>
            <w:t xml:space="preserve"> in the next 2</w:t>
          </w:r>
          <w:r>
            <w:rPr>
              <w:rFonts w:cs="Arial"/>
              <w:b/>
              <w:bCs/>
              <w:color w:val="0070C0"/>
              <w:sz w:val="18"/>
              <w:szCs w:val="18"/>
            </w:rPr>
            <w:t xml:space="preserve"> financial years</w:t>
          </w:r>
          <w:r w:rsidRPr="009B0BCE">
            <w:rPr>
              <w:rFonts w:cs="Arial"/>
              <w:b/>
              <w:bCs/>
              <w:color w:val="0070C0"/>
              <w:sz w:val="18"/>
              <w:szCs w:val="18"/>
            </w:rPr>
            <w:t xml:space="preserve"> and on marketed medicines expected to have major new indications approved</w:t>
          </w:r>
          <w:r>
            <w:rPr>
              <w:rFonts w:cs="Arial"/>
              <w:b/>
              <w:bCs/>
              <w:color w:val="0070C0"/>
              <w:sz w:val="18"/>
              <w:szCs w:val="18"/>
            </w:rPr>
            <w:t xml:space="preserve"> is</w:t>
          </w:r>
          <w:r w:rsidRPr="009B0BCE">
            <w:rPr>
              <w:rFonts w:cs="Arial"/>
              <w:b/>
              <w:bCs/>
              <w:color w:val="0070C0"/>
              <w:sz w:val="18"/>
              <w:szCs w:val="18"/>
            </w:rPr>
            <w:t xml:space="preserve"> in </w:t>
          </w:r>
          <w:hyperlink r:id="rId4" w:history="1">
            <w:r w:rsidRPr="009B0BCE">
              <w:rPr>
                <w:rStyle w:val="Hyperlink"/>
                <w:rFonts w:ascii="Arial" w:hAnsi="Arial" w:cs="Arial"/>
                <w:b/>
                <w:bCs/>
              </w:rPr>
              <w:t>Prescribing Outlook</w:t>
            </w:r>
          </w:hyperlink>
          <w:r w:rsidRPr="009B0BCE">
            <w:rPr>
              <w:rFonts w:cs="Arial"/>
              <w:b/>
              <w:bCs/>
              <w:color w:val="0070C0"/>
              <w:sz w:val="18"/>
              <w:szCs w:val="18"/>
            </w:rPr>
            <w:t>.</w:t>
          </w:r>
        </w:p>
      </w:tc>
    </w:tr>
  </w:tbl>
  <w:p w14:paraId="2CADA4E8" w14:textId="77777777" w:rsidR="000D44DB" w:rsidRPr="00CD021E" w:rsidRDefault="000D44DB" w:rsidP="00A56726">
    <w:pPr>
      <w:pStyle w:val="Header"/>
      <w:rPr>
        <w:rFonts w:cs="Arial"/>
        <w:b/>
        <w:bCs/>
        <w:color w:val="244061"/>
        <w:sz w:val="8"/>
        <w:szCs w:val="8"/>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9685" w14:textId="18CC4DEC" w:rsidR="0090527B" w:rsidRDefault="009052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3AFD" w14:textId="553568A5" w:rsidR="0090527B" w:rsidRDefault="00905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9B14" w14:textId="7CFC62F8" w:rsidR="000D44DB" w:rsidRPr="00CD021E" w:rsidRDefault="00A75BCB" w:rsidP="00AC0996">
    <w:pPr>
      <w:pStyle w:val="Header"/>
      <w:tabs>
        <w:tab w:val="clear" w:pos="8306"/>
        <w:tab w:val="left" w:pos="7830"/>
      </w:tabs>
      <w:spacing w:before="120"/>
      <w:ind w:left="-170"/>
      <w:rPr>
        <w:rFonts w:cs="Arial"/>
        <w:b/>
        <w:bCs/>
        <w:i/>
        <w:color w:val="31849B"/>
        <w:sz w:val="44"/>
        <w:szCs w:val="44"/>
        <w14:shadow w14:blurRad="50800" w14:dist="38100" w14:dir="2700000" w14:sx="100000" w14:sy="100000" w14:kx="0" w14:ky="0" w14:algn="tl">
          <w14:srgbClr w14:val="000000">
            <w14:alpha w14:val="60000"/>
          </w14:srgbClr>
        </w14:shadow>
      </w:rPr>
    </w:pPr>
    <w:r>
      <w:rPr>
        <w:rFonts w:cs="Arial"/>
        <w:noProof/>
        <w:color w:val="00A249"/>
        <w:sz w:val="40"/>
        <w:szCs w:val="40"/>
      </w:rPr>
      <w:drawing>
        <wp:anchor distT="0" distB="0" distL="114300" distR="114300" simplePos="0" relativeHeight="251658240" behindDoc="0" locked="0" layoutInCell="1" allowOverlap="1" wp14:anchorId="13E2DC45" wp14:editId="01290A07">
          <wp:simplePos x="0" y="0"/>
          <wp:positionH relativeFrom="column">
            <wp:posOffset>6182360</wp:posOffset>
          </wp:positionH>
          <wp:positionV relativeFrom="paragraph">
            <wp:posOffset>93345</wp:posOffset>
          </wp:positionV>
          <wp:extent cx="469265" cy="192405"/>
          <wp:effectExtent l="0" t="0" r="6985" b="0"/>
          <wp:wrapNone/>
          <wp:docPr id="8" name="Picture 8" descr="N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H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1E">
      <w:rPr>
        <w:noProof/>
      </w:rPr>
      <w:drawing>
        <wp:anchor distT="0" distB="0" distL="114300" distR="114300" simplePos="0" relativeHeight="251660288" behindDoc="0" locked="0" layoutInCell="1" allowOverlap="1" wp14:anchorId="253B4A96" wp14:editId="6EA92489">
          <wp:simplePos x="0" y="0"/>
          <wp:positionH relativeFrom="column">
            <wp:posOffset>-286385</wp:posOffset>
          </wp:positionH>
          <wp:positionV relativeFrom="paragraph">
            <wp:posOffset>8890</wp:posOffset>
          </wp:positionV>
          <wp:extent cx="940435" cy="40195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01955"/>
                  </a:xfrm>
                  <a:prstGeom prst="rect">
                    <a:avLst/>
                  </a:prstGeom>
                  <a:noFill/>
                </pic:spPr>
              </pic:pic>
            </a:graphicData>
          </a:graphic>
          <wp14:sizeRelH relativeFrom="page">
            <wp14:pctWidth>0</wp14:pctWidth>
          </wp14:sizeRelH>
          <wp14:sizeRelV relativeFrom="page">
            <wp14:pctHeight>0</wp14:pctHeight>
          </wp14:sizeRelV>
        </wp:anchor>
      </w:drawing>
    </w:r>
    <w:r w:rsidR="000D44DB" w:rsidRPr="00CD021E">
      <w:rPr>
        <w:rFonts w:cs="Arial"/>
        <w:b/>
        <w:bCs/>
        <w:color w:val="00A249"/>
        <w:sz w:val="44"/>
        <w:szCs w:val="44"/>
        <w14:shadow w14:blurRad="50800" w14:dist="38100" w14:dir="2700000" w14:sx="100000" w14:sy="100000" w14:kx="0" w14:ky="0" w14:algn="tl">
          <w14:srgbClr w14:val="000000">
            <w14:alpha w14:val="60000"/>
          </w14:srgbClr>
        </w14:shadow>
      </w:rPr>
      <w:t>New Medicines</w:t>
    </w:r>
    <w:r w:rsidR="000D44DB" w:rsidRPr="00CD021E">
      <w:rPr>
        <w:rFonts w:cs="Arial"/>
        <w:b/>
        <w:bCs/>
        <w:i/>
        <w:color w:val="244061"/>
        <w:sz w:val="44"/>
        <w:szCs w:val="44"/>
        <w14:shadow w14:blurRad="50800" w14:dist="38100" w14:dir="2700000" w14:sx="100000" w14:sy="100000" w14:kx="0" w14:ky="0" w14:algn="tl">
          <w14:srgbClr w14:val="000000">
            <w14:alpha w14:val="60000"/>
          </w14:srgbClr>
        </w14:shadow>
      </w:rPr>
      <w:t xml:space="preserve"> </w:t>
    </w:r>
    <w:r w:rsidR="000D44DB" w:rsidRPr="00CD021E">
      <w:rPr>
        <w:rFonts w:cs="Arial"/>
        <w:b/>
        <w:bCs/>
        <w:i/>
        <w:color w:val="0070C0"/>
        <w:sz w:val="44"/>
        <w:szCs w:val="44"/>
        <w14:shadow w14:blurRad="50800" w14:dist="38100" w14:dir="2700000" w14:sx="100000" w14:sy="100000" w14:kx="0" w14:ky="0" w14:algn="tl">
          <w14:srgbClr w14:val="000000">
            <w14:alpha w14:val="60000"/>
          </w14:srgbClr>
        </w14:shadow>
      </w:rPr>
      <w:t>News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08F0" w14:textId="21BC7085" w:rsidR="0090527B" w:rsidRDefault="0090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6EF9"/>
    <w:multiLevelType w:val="multilevel"/>
    <w:tmpl w:val="29F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55FA1"/>
    <w:multiLevelType w:val="hybridMultilevel"/>
    <w:tmpl w:val="BCF48EAE"/>
    <w:lvl w:ilvl="0" w:tplc="1AB04B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104711">
    <w:abstractNumId w:val="1"/>
  </w:num>
  <w:num w:numId="2" w16cid:durableId="42692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B4"/>
    <w:rsid w:val="0000035C"/>
    <w:rsid w:val="000005B6"/>
    <w:rsid w:val="000005EF"/>
    <w:rsid w:val="00000A0A"/>
    <w:rsid w:val="00000BE4"/>
    <w:rsid w:val="00000F87"/>
    <w:rsid w:val="0000199C"/>
    <w:rsid w:val="00001F19"/>
    <w:rsid w:val="0000290B"/>
    <w:rsid w:val="00002A08"/>
    <w:rsid w:val="00003329"/>
    <w:rsid w:val="00003421"/>
    <w:rsid w:val="000034B3"/>
    <w:rsid w:val="00003C95"/>
    <w:rsid w:val="00003D95"/>
    <w:rsid w:val="000042E9"/>
    <w:rsid w:val="00005014"/>
    <w:rsid w:val="00005119"/>
    <w:rsid w:val="00005271"/>
    <w:rsid w:val="000052F0"/>
    <w:rsid w:val="00005673"/>
    <w:rsid w:val="00005703"/>
    <w:rsid w:val="000057D2"/>
    <w:rsid w:val="00005CE9"/>
    <w:rsid w:val="00006527"/>
    <w:rsid w:val="000065F4"/>
    <w:rsid w:val="000072EC"/>
    <w:rsid w:val="0000751E"/>
    <w:rsid w:val="000075ED"/>
    <w:rsid w:val="0000769C"/>
    <w:rsid w:val="000102A1"/>
    <w:rsid w:val="000102E8"/>
    <w:rsid w:val="00010447"/>
    <w:rsid w:val="0001067C"/>
    <w:rsid w:val="00010B1D"/>
    <w:rsid w:val="00011176"/>
    <w:rsid w:val="000111C5"/>
    <w:rsid w:val="000114B1"/>
    <w:rsid w:val="00011D4B"/>
    <w:rsid w:val="00011E5B"/>
    <w:rsid w:val="00012B74"/>
    <w:rsid w:val="00012BA7"/>
    <w:rsid w:val="00012DCA"/>
    <w:rsid w:val="00012E19"/>
    <w:rsid w:val="00012E28"/>
    <w:rsid w:val="000132A0"/>
    <w:rsid w:val="00013575"/>
    <w:rsid w:val="000135BF"/>
    <w:rsid w:val="00013853"/>
    <w:rsid w:val="00013B16"/>
    <w:rsid w:val="00013CD9"/>
    <w:rsid w:val="00013E21"/>
    <w:rsid w:val="00014028"/>
    <w:rsid w:val="00014115"/>
    <w:rsid w:val="00014240"/>
    <w:rsid w:val="0001441B"/>
    <w:rsid w:val="00014631"/>
    <w:rsid w:val="00014657"/>
    <w:rsid w:val="000148ED"/>
    <w:rsid w:val="00014AFE"/>
    <w:rsid w:val="00015455"/>
    <w:rsid w:val="000158C2"/>
    <w:rsid w:val="00015915"/>
    <w:rsid w:val="000159C6"/>
    <w:rsid w:val="00015A48"/>
    <w:rsid w:val="00015B43"/>
    <w:rsid w:val="000165BE"/>
    <w:rsid w:val="000166D7"/>
    <w:rsid w:val="0001694F"/>
    <w:rsid w:val="00016C87"/>
    <w:rsid w:val="00016CDC"/>
    <w:rsid w:val="00016E17"/>
    <w:rsid w:val="000171BC"/>
    <w:rsid w:val="000173BA"/>
    <w:rsid w:val="0001791D"/>
    <w:rsid w:val="00017CA2"/>
    <w:rsid w:val="00017D66"/>
    <w:rsid w:val="00020261"/>
    <w:rsid w:val="000202B3"/>
    <w:rsid w:val="000202FE"/>
    <w:rsid w:val="000203F6"/>
    <w:rsid w:val="000207FB"/>
    <w:rsid w:val="00020D00"/>
    <w:rsid w:val="0002143C"/>
    <w:rsid w:val="0002181A"/>
    <w:rsid w:val="000225BB"/>
    <w:rsid w:val="000225EE"/>
    <w:rsid w:val="0002265E"/>
    <w:rsid w:val="0002269F"/>
    <w:rsid w:val="00022775"/>
    <w:rsid w:val="0002291B"/>
    <w:rsid w:val="000229C8"/>
    <w:rsid w:val="00022CCE"/>
    <w:rsid w:val="00022FB9"/>
    <w:rsid w:val="0002372C"/>
    <w:rsid w:val="00023B87"/>
    <w:rsid w:val="00023E2E"/>
    <w:rsid w:val="00023FBB"/>
    <w:rsid w:val="00025142"/>
    <w:rsid w:val="00025A1E"/>
    <w:rsid w:val="00025AD9"/>
    <w:rsid w:val="00025B8F"/>
    <w:rsid w:val="00026E35"/>
    <w:rsid w:val="00026FAE"/>
    <w:rsid w:val="0002715B"/>
    <w:rsid w:val="00027AC3"/>
    <w:rsid w:val="00027B21"/>
    <w:rsid w:val="00027C1C"/>
    <w:rsid w:val="00027D1D"/>
    <w:rsid w:val="00027E7C"/>
    <w:rsid w:val="00030002"/>
    <w:rsid w:val="0003000F"/>
    <w:rsid w:val="000305BA"/>
    <w:rsid w:val="00030663"/>
    <w:rsid w:val="0003082E"/>
    <w:rsid w:val="0003092A"/>
    <w:rsid w:val="00030ADE"/>
    <w:rsid w:val="00030B98"/>
    <w:rsid w:val="00030E87"/>
    <w:rsid w:val="00031218"/>
    <w:rsid w:val="00031336"/>
    <w:rsid w:val="00031909"/>
    <w:rsid w:val="00031BF2"/>
    <w:rsid w:val="00031E46"/>
    <w:rsid w:val="000320DC"/>
    <w:rsid w:val="000322AB"/>
    <w:rsid w:val="000327BA"/>
    <w:rsid w:val="00032BD9"/>
    <w:rsid w:val="0003313C"/>
    <w:rsid w:val="00033349"/>
    <w:rsid w:val="0003344C"/>
    <w:rsid w:val="000341CF"/>
    <w:rsid w:val="0003447E"/>
    <w:rsid w:val="0003499B"/>
    <w:rsid w:val="00034BCE"/>
    <w:rsid w:val="00034E8C"/>
    <w:rsid w:val="00035436"/>
    <w:rsid w:val="0003552B"/>
    <w:rsid w:val="00035B23"/>
    <w:rsid w:val="00035CA7"/>
    <w:rsid w:val="00035D82"/>
    <w:rsid w:val="00035DBD"/>
    <w:rsid w:val="00036A16"/>
    <w:rsid w:val="000373F3"/>
    <w:rsid w:val="0003742D"/>
    <w:rsid w:val="000374FF"/>
    <w:rsid w:val="000375C8"/>
    <w:rsid w:val="000378F6"/>
    <w:rsid w:val="000379EB"/>
    <w:rsid w:val="00037AE9"/>
    <w:rsid w:val="00037BAB"/>
    <w:rsid w:val="00037BE4"/>
    <w:rsid w:val="00040013"/>
    <w:rsid w:val="0004019A"/>
    <w:rsid w:val="000401A1"/>
    <w:rsid w:val="00040734"/>
    <w:rsid w:val="00040B83"/>
    <w:rsid w:val="00040CA3"/>
    <w:rsid w:val="00041148"/>
    <w:rsid w:val="000416FC"/>
    <w:rsid w:val="00041AC8"/>
    <w:rsid w:val="00041BDC"/>
    <w:rsid w:val="0004243E"/>
    <w:rsid w:val="000427D5"/>
    <w:rsid w:val="00042CCD"/>
    <w:rsid w:val="00043342"/>
    <w:rsid w:val="000435DE"/>
    <w:rsid w:val="00043A2D"/>
    <w:rsid w:val="00043ED2"/>
    <w:rsid w:val="00044148"/>
    <w:rsid w:val="00044204"/>
    <w:rsid w:val="00044475"/>
    <w:rsid w:val="00044C33"/>
    <w:rsid w:val="000452E2"/>
    <w:rsid w:val="00045745"/>
    <w:rsid w:val="0004575D"/>
    <w:rsid w:val="000457B4"/>
    <w:rsid w:val="00045D5B"/>
    <w:rsid w:val="00045DDF"/>
    <w:rsid w:val="0004601F"/>
    <w:rsid w:val="00046375"/>
    <w:rsid w:val="00046777"/>
    <w:rsid w:val="00046C42"/>
    <w:rsid w:val="00046CCE"/>
    <w:rsid w:val="0004702B"/>
    <w:rsid w:val="0004733A"/>
    <w:rsid w:val="00047608"/>
    <w:rsid w:val="00050249"/>
    <w:rsid w:val="000507C3"/>
    <w:rsid w:val="00050920"/>
    <w:rsid w:val="0005105D"/>
    <w:rsid w:val="000515F0"/>
    <w:rsid w:val="00051791"/>
    <w:rsid w:val="000518A6"/>
    <w:rsid w:val="000519EA"/>
    <w:rsid w:val="00051B61"/>
    <w:rsid w:val="00051F32"/>
    <w:rsid w:val="000523FE"/>
    <w:rsid w:val="00052436"/>
    <w:rsid w:val="000529B6"/>
    <w:rsid w:val="00052AD4"/>
    <w:rsid w:val="00052BA6"/>
    <w:rsid w:val="00053F21"/>
    <w:rsid w:val="00054462"/>
    <w:rsid w:val="0005460C"/>
    <w:rsid w:val="00056696"/>
    <w:rsid w:val="000566A1"/>
    <w:rsid w:val="00056809"/>
    <w:rsid w:val="00056DB0"/>
    <w:rsid w:val="000570FC"/>
    <w:rsid w:val="0005783A"/>
    <w:rsid w:val="00057C03"/>
    <w:rsid w:val="00057FA2"/>
    <w:rsid w:val="0006026C"/>
    <w:rsid w:val="0006036B"/>
    <w:rsid w:val="00060AC6"/>
    <w:rsid w:val="00060BB0"/>
    <w:rsid w:val="0006109A"/>
    <w:rsid w:val="0006141D"/>
    <w:rsid w:val="00061A5F"/>
    <w:rsid w:val="00061B9D"/>
    <w:rsid w:val="00061FEF"/>
    <w:rsid w:val="00062740"/>
    <w:rsid w:val="00062834"/>
    <w:rsid w:val="00062B47"/>
    <w:rsid w:val="00062F98"/>
    <w:rsid w:val="0006320B"/>
    <w:rsid w:val="00063C19"/>
    <w:rsid w:val="000646B3"/>
    <w:rsid w:val="00064C77"/>
    <w:rsid w:val="00064E8C"/>
    <w:rsid w:val="00064EB7"/>
    <w:rsid w:val="00064EF7"/>
    <w:rsid w:val="0006514E"/>
    <w:rsid w:val="000652C1"/>
    <w:rsid w:val="00065458"/>
    <w:rsid w:val="00066145"/>
    <w:rsid w:val="0006622F"/>
    <w:rsid w:val="00066787"/>
    <w:rsid w:val="00066A42"/>
    <w:rsid w:val="00066B48"/>
    <w:rsid w:val="00067279"/>
    <w:rsid w:val="000672F8"/>
    <w:rsid w:val="0006730B"/>
    <w:rsid w:val="00067942"/>
    <w:rsid w:val="00067D4E"/>
    <w:rsid w:val="00067D5B"/>
    <w:rsid w:val="000702DB"/>
    <w:rsid w:val="00070948"/>
    <w:rsid w:val="00070A7A"/>
    <w:rsid w:val="00071178"/>
    <w:rsid w:val="0007155B"/>
    <w:rsid w:val="000719B7"/>
    <w:rsid w:val="00071A86"/>
    <w:rsid w:val="00071BD9"/>
    <w:rsid w:val="00071DB1"/>
    <w:rsid w:val="0007203F"/>
    <w:rsid w:val="0007204B"/>
    <w:rsid w:val="00072F47"/>
    <w:rsid w:val="00073808"/>
    <w:rsid w:val="00074396"/>
    <w:rsid w:val="0007446E"/>
    <w:rsid w:val="00074745"/>
    <w:rsid w:val="00074951"/>
    <w:rsid w:val="00074F67"/>
    <w:rsid w:val="000752E8"/>
    <w:rsid w:val="000755B8"/>
    <w:rsid w:val="00075D05"/>
    <w:rsid w:val="00075D4B"/>
    <w:rsid w:val="0007679E"/>
    <w:rsid w:val="00077371"/>
    <w:rsid w:val="00077C0C"/>
    <w:rsid w:val="00080116"/>
    <w:rsid w:val="000808F9"/>
    <w:rsid w:val="00080A6B"/>
    <w:rsid w:val="00080EE8"/>
    <w:rsid w:val="0008125C"/>
    <w:rsid w:val="00081277"/>
    <w:rsid w:val="000813E4"/>
    <w:rsid w:val="00081417"/>
    <w:rsid w:val="0008159C"/>
    <w:rsid w:val="0008195B"/>
    <w:rsid w:val="00081990"/>
    <w:rsid w:val="00081CFF"/>
    <w:rsid w:val="0008258A"/>
    <w:rsid w:val="00082DF6"/>
    <w:rsid w:val="00082E64"/>
    <w:rsid w:val="0008303B"/>
    <w:rsid w:val="00083231"/>
    <w:rsid w:val="000834AE"/>
    <w:rsid w:val="00083FAC"/>
    <w:rsid w:val="0008405B"/>
    <w:rsid w:val="00084760"/>
    <w:rsid w:val="00085268"/>
    <w:rsid w:val="00085475"/>
    <w:rsid w:val="0008576B"/>
    <w:rsid w:val="000858D1"/>
    <w:rsid w:val="000859AA"/>
    <w:rsid w:val="00085A04"/>
    <w:rsid w:val="00085C5D"/>
    <w:rsid w:val="00085CCC"/>
    <w:rsid w:val="00085DA5"/>
    <w:rsid w:val="000863E2"/>
    <w:rsid w:val="000864A2"/>
    <w:rsid w:val="0008668D"/>
    <w:rsid w:val="00086F97"/>
    <w:rsid w:val="00087308"/>
    <w:rsid w:val="00087474"/>
    <w:rsid w:val="0008785C"/>
    <w:rsid w:val="00087A3E"/>
    <w:rsid w:val="00090233"/>
    <w:rsid w:val="000906FB"/>
    <w:rsid w:val="000907E5"/>
    <w:rsid w:val="00091245"/>
    <w:rsid w:val="00091EAA"/>
    <w:rsid w:val="00092238"/>
    <w:rsid w:val="0009266A"/>
    <w:rsid w:val="00092AEC"/>
    <w:rsid w:val="000933A6"/>
    <w:rsid w:val="00093CB7"/>
    <w:rsid w:val="0009414D"/>
    <w:rsid w:val="00094388"/>
    <w:rsid w:val="00094B31"/>
    <w:rsid w:val="00094FC6"/>
    <w:rsid w:val="0009514E"/>
    <w:rsid w:val="0009515F"/>
    <w:rsid w:val="000951E1"/>
    <w:rsid w:val="000954DD"/>
    <w:rsid w:val="000955AC"/>
    <w:rsid w:val="000957EA"/>
    <w:rsid w:val="00095818"/>
    <w:rsid w:val="00095974"/>
    <w:rsid w:val="00095B4D"/>
    <w:rsid w:val="00095EE7"/>
    <w:rsid w:val="000966BB"/>
    <w:rsid w:val="00096800"/>
    <w:rsid w:val="00096BBF"/>
    <w:rsid w:val="00096C4B"/>
    <w:rsid w:val="0009792A"/>
    <w:rsid w:val="00097B79"/>
    <w:rsid w:val="00097E17"/>
    <w:rsid w:val="000A0040"/>
    <w:rsid w:val="000A02AD"/>
    <w:rsid w:val="000A0B38"/>
    <w:rsid w:val="000A1199"/>
    <w:rsid w:val="000A22E9"/>
    <w:rsid w:val="000A241E"/>
    <w:rsid w:val="000A2810"/>
    <w:rsid w:val="000A289B"/>
    <w:rsid w:val="000A2C52"/>
    <w:rsid w:val="000A2E37"/>
    <w:rsid w:val="000A36D0"/>
    <w:rsid w:val="000A3B1E"/>
    <w:rsid w:val="000A41D4"/>
    <w:rsid w:val="000A421F"/>
    <w:rsid w:val="000A4BCB"/>
    <w:rsid w:val="000A4BE4"/>
    <w:rsid w:val="000A5077"/>
    <w:rsid w:val="000A50F2"/>
    <w:rsid w:val="000A534D"/>
    <w:rsid w:val="000A5ABE"/>
    <w:rsid w:val="000A5B0D"/>
    <w:rsid w:val="000A60E1"/>
    <w:rsid w:val="000A60F4"/>
    <w:rsid w:val="000A61FB"/>
    <w:rsid w:val="000A7A40"/>
    <w:rsid w:val="000A7AD6"/>
    <w:rsid w:val="000A7C5A"/>
    <w:rsid w:val="000B001D"/>
    <w:rsid w:val="000B015F"/>
    <w:rsid w:val="000B0274"/>
    <w:rsid w:val="000B038E"/>
    <w:rsid w:val="000B08CB"/>
    <w:rsid w:val="000B08D1"/>
    <w:rsid w:val="000B0A95"/>
    <w:rsid w:val="000B0ADF"/>
    <w:rsid w:val="000B0C23"/>
    <w:rsid w:val="000B179B"/>
    <w:rsid w:val="000B18C2"/>
    <w:rsid w:val="000B1AAB"/>
    <w:rsid w:val="000B1C18"/>
    <w:rsid w:val="000B1C59"/>
    <w:rsid w:val="000B2C16"/>
    <w:rsid w:val="000B2FC7"/>
    <w:rsid w:val="000B310F"/>
    <w:rsid w:val="000B38C0"/>
    <w:rsid w:val="000B3DAA"/>
    <w:rsid w:val="000B3EEB"/>
    <w:rsid w:val="000B466E"/>
    <w:rsid w:val="000B4681"/>
    <w:rsid w:val="000B4763"/>
    <w:rsid w:val="000B4E20"/>
    <w:rsid w:val="000B4EDC"/>
    <w:rsid w:val="000B5120"/>
    <w:rsid w:val="000B515F"/>
    <w:rsid w:val="000B5605"/>
    <w:rsid w:val="000B57AA"/>
    <w:rsid w:val="000B5AF8"/>
    <w:rsid w:val="000B5F2C"/>
    <w:rsid w:val="000B6184"/>
    <w:rsid w:val="000B6843"/>
    <w:rsid w:val="000B6EB2"/>
    <w:rsid w:val="000B706F"/>
    <w:rsid w:val="000B77F8"/>
    <w:rsid w:val="000B78CC"/>
    <w:rsid w:val="000B7AE2"/>
    <w:rsid w:val="000C0203"/>
    <w:rsid w:val="000C041C"/>
    <w:rsid w:val="000C091B"/>
    <w:rsid w:val="000C0F48"/>
    <w:rsid w:val="000C0F5C"/>
    <w:rsid w:val="000C1356"/>
    <w:rsid w:val="000C18D0"/>
    <w:rsid w:val="000C1FB5"/>
    <w:rsid w:val="000C20E9"/>
    <w:rsid w:val="000C2555"/>
    <w:rsid w:val="000C25C3"/>
    <w:rsid w:val="000C2DF1"/>
    <w:rsid w:val="000C3692"/>
    <w:rsid w:val="000C37AC"/>
    <w:rsid w:val="000C3B1F"/>
    <w:rsid w:val="000C43D9"/>
    <w:rsid w:val="000C44B7"/>
    <w:rsid w:val="000C458C"/>
    <w:rsid w:val="000C4D1E"/>
    <w:rsid w:val="000C5329"/>
    <w:rsid w:val="000C5D43"/>
    <w:rsid w:val="000C5DE6"/>
    <w:rsid w:val="000C5F42"/>
    <w:rsid w:val="000C60E6"/>
    <w:rsid w:val="000C6548"/>
    <w:rsid w:val="000C6591"/>
    <w:rsid w:val="000C6D2E"/>
    <w:rsid w:val="000C6E7C"/>
    <w:rsid w:val="000C709F"/>
    <w:rsid w:val="000C72CA"/>
    <w:rsid w:val="000C7872"/>
    <w:rsid w:val="000C7AFF"/>
    <w:rsid w:val="000C7BA9"/>
    <w:rsid w:val="000C7C7C"/>
    <w:rsid w:val="000C7CAA"/>
    <w:rsid w:val="000D0476"/>
    <w:rsid w:val="000D04C1"/>
    <w:rsid w:val="000D0624"/>
    <w:rsid w:val="000D0DF7"/>
    <w:rsid w:val="000D0E50"/>
    <w:rsid w:val="000D1171"/>
    <w:rsid w:val="000D13A6"/>
    <w:rsid w:val="000D2113"/>
    <w:rsid w:val="000D2266"/>
    <w:rsid w:val="000D2736"/>
    <w:rsid w:val="000D2C27"/>
    <w:rsid w:val="000D30E7"/>
    <w:rsid w:val="000D35F7"/>
    <w:rsid w:val="000D3646"/>
    <w:rsid w:val="000D3760"/>
    <w:rsid w:val="000D3BCC"/>
    <w:rsid w:val="000D43AC"/>
    <w:rsid w:val="000D44DB"/>
    <w:rsid w:val="000D4645"/>
    <w:rsid w:val="000D467B"/>
    <w:rsid w:val="000D58C9"/>
    <w:rsid w:val="000D5DA8"/>
    <w:rsid w:val="000D5F42"/>
    <w:rsid w:val="000D62F3"/>
    <w:rsid w:val="000D6630"/>
    <w:rsid w:val="000D682D"/>
    <w:rsid w:val="000D6EDF"/>
    <w:rsid w:val="000D7E24"/>
    <w:rsid w:val="000D7EAD"/>
    <w:rsid w:val="000E06CA"/>
    <w:rsid w:val="000E07FC"/>
    <w:rsid w:val="000E0B79"/>
    <w:rsid w:val="000E0C92"/>
    <w:rsid w:val="000E0CF5"/>
    <w:rsid w:val="000E0D69"/>
    <w:rsid w:val="000E0ECF"/>
    <w:rsid w:val="000E0F57"/>
    <w:rsid w:val="000E12A8"/>
    <w:rsid w:val="000E184E"/>
    <w:rsid w:val="000E1A44"/>
    <w:rsid w:val="000E1DE0"/>
    <w:rsid w:val="000E21D3"/>
    <w:rsid w:val="000E247B"/>
    <w:rsid w:val="000E247C"/>
    <w:rsid w:val="000E27E9"/>
    <w:rsid w:val="000E2A6C"/>
    <w:rsid w:val="000E2DC9"/>
    <w:rsid w:val="000E2E4B"/>
    <w:rsid w:val="000E2FF1"/>
    <w:rsid w:val="000E3DFD"/>
    <w:rsid w:val="000E4477"/>
    <w:rsid w:val="000E45E9"/>
    <w:rsid w:val="000E4A24"/>
    <w:rsid w:val="000E5217"/>
    <w:rsid w:val="000E5C17"/>
    <w:rsid w:val="000E6471"/>
    <w:rsid w:val="000E69A5"/>
    <w:rsid w:val="000E721B"/>
    <w:rsid w:val="000E74D2"/>
    <w:rsid w:val="000E789D"/>
    <w:rsid w:val="000F0055"/>
    <w:rsid w:val="000F0481"/>
    <w:rsid w:val="000F04BF"/>
    <w:rsid w:val="000F0699"/>
    <w:rsid w:val="000F078E"/>
    <w:rsid w:val="000F0BA2"/>
    <w:rsid w:val="000F0F98"/>
    <w:rsid w:val="000F1485"/>
    <w:rsid w:val="000F19E1"/>
    <w:rsid w:val="000F1B61"/>
    <w:rsid w:val="000F2032"/>
    <w:rsid w:val="000F22ED"/>
    <w:rsid w:val="000F2362"/>
    <w:rsid w:val="000F35A9"/>
    <w:rsid w:val="000F377A"/>
    <w:rsid w:val="000F3964"/>
    <w:rsid w:val="000F3BFE"/>
    <w:rsid w:val="000F3C1E"/>
    <w:rsid w:val="000F3DE4"/>
    <w:rsid w:val="000F3EC1"/>
    <w:rsid w:val="000F40FF"/>
    <w:rsid w:val="000F4328"/>
    <w:rsid w:val="000F4C32"/>
    <w:rsid w:val="000F4C9B"/>
    <w:rsid w:val="000F52A7"/>
    <w:rsid w:val="000F58A1"/>
    <w:rsid w:val="000F5AA4"/>
    <w:rsid w:val="000F5AC6"/>
    <w:rsid w:val="000F5C5A"/>
    <w:rsid w:val="000F5D25"/>
    <w:rsid w:val="000F613C"/>
    <w:rsid w:val="000F6357"/>
    <w:rsid w:val="000F6985"/>
    <w:rsid w:val="000F715A"/>
    <w:rsid w:val="000F72CB"/>
    <w:rsid w:val="000F7AE5"/>
    <w:rsid w:val="000F7B5F"/>
    <w:rsid w:val="001007E8"/>
    <w:rsid w:val="0010093F"/>
    <w:rsid w:val="00100AA8"/>
    <w:rsid w:val="00100B3E"/>
    <w:rsid w:val="0010109D"/>
    <w:rsid w:val="00101327"/>
    <w:rsid w:val="001017B0"/>
    <w:rsid w:val="0010229B"/>
    <w:rsid w:val="00102869"/>
    <w:rsid w:val="00102BB5"/>
    <w:rsid w:val="001036A5"/>
    <w:rsid w:val="001044CC"/>
    <w:rsid w:val="00104591"/>
    <w:rsid w:val="00104765"/>
    <w:rsid w:val="00104B62"/>
    <w:rsid w:val="00104CAF"/>
    <w:rsid w:val="00104F3E"/>
    <w:rsid w:val="00105230"/>
    <w:rsid w:val="001054D4"/>
    <w:rsid w:val="00105520"/>
    <w:rsid w:val="0010589B"/>
    <w:rsid w:val="00105BB1"/>
    <w:rsid w:val="00105C0B"/>
    <w:rsid w:val="00105CAF"/>
    <w:rsid w:val="0010629A"/>
    <w:rsid w:val="00106609"/>
    <w:rsid w:val="00106691"/>
    <w:rsid w:val="00107637"/>
    <w:rsid w:val="001079F5"/>
    <w:rsid w:val="00107BCE"/>
    <w:rsid w:val="00107E98"/>
    <w:rsid w:val="00110139"/>
    <w:rsid w:val="00110B0E"/>
    <w:rsid w:val="00110D86"/>
    <w:rsid w:val="00110E83"/>
    <w:rsid w:val="00110F6A"/>
    <w:rsid w:val="00111092"/>
    <w:rsid w:val="00111226"/>
    <w:rsid w:val="00111231"/>
    <w:rsid w:val="00111769"/>
    <w:rsid w:val="00111903"/>
    <w:rsid w:val="001119E0"/>
    <w:rsid w:val="001122A8"/>
    <w:rsid w:val="00112340"/>
    <w:rsid w:val="00112FE4"/>
    <w:rsid w:val="0011301C"/>
    <w:rsid w:val="0011309C"/>
    <w:rsid w:val="00113644"/>
    <w:rsid w:val="00113D17"/>
    <w:rsid w:val="00113E55"/>
    <w:rsid w:val="00113F26"/>
    <w:rsid w:val="0011452F"/>
    <w:rsid w:val="001146D7"/>
    <w:rsid w:val="00114791"/>
    <w:rsid w:val="001148C2"/>
    <w:rsid w:val="001149FA"/>
    <w:rsid w:val="00114A1E"/>
    <w:rsid w:val="00114AB9"/>
    <w:rsid w:val="00114DA9"/>
    <w:rsid w:val="00114EBA"/>
    <w:rsid w:val="00114F6B"/>
    <w:rsid w:val="0011546D"/>
    <w:rsid w:val="001155CF"/>
    <w:rsid w:val="00115872"/>
    <w:rsid w:val="00116043"/>
    <w:rsid w:val="001160C4"/>
    <w:rsid w:val="00116463"/>
    <w:rsid w:val="00116637"/>
    <w:rsid w:val="001168CC"/>
    <w:rsid w:val="001169DD"/>
    <w:rsid w:val="0011771E"/>
    <w:rsid w:val="001200DD"/>
    <w:rsid w:val="0012045D"/>
    <w:rsid w:val="001209AC"/>
    <w:rsid w:val="00120B32"/>
    <w:rsid w:val="0012143F"/>
    <w:rsid w:val="00122124"/>
    <w:rsid w:val="001221E3"/>
    <w:rsid w:val="0012226D"/>
    <w:rsid w:val="0012281C"/>
    <w:rsid w:val="00122966"/>
    <w:rsid w:val="00122EC3"/>
    <w:rsid w:val="00123512"/>
    <w:rsid w:val="00123811"/>
    <w:rsid w:val="00123C6D"/>
    <w:rsid w:val="00123EEA"/>
    <w:rsid w:val="00123FBB"/>
    <w:rsid w:val="001241B1"/>
    <w:rsid w:val="00124603"/>
    <w:rsid w:val="0012477A"/>
    <w:rsid w:val="00124CBF"/>
    <w:rsid w:val="00124FE3"/>
    <w:rsid w:val="0012683D"/>
    <w:rsid w:val="00126CCD"/>
    <w:rsid w:val="00126E8C"/>
    <w:rsid w:val="00127081"/>
    <w:rsid w:val="001271F3"/>
    <w:rsid w:val="0012736E"/>
    <w:rsid w:val="00127A3E"/>
    <w:rsid w:val="00130301"/>
    <w:rsid w:val="001304D0"/>
    <w:rsid w:val="00130543"/>
    <w:rsid w:val="00130B6B"/>
    <w:rsid w:val="00130D1C"/>
    <w:rsid w:val="001314D3"/>
    <w:rsid w:val="001314E0"/>
    <w:rsid w:val="0013190B"/>
    <w:rsid w:val="00131942"/>
    <w:rsid w:val="00131B41"/>
    <w:rsid w:val="00131B76"/>
    <w:rsid w:val="00131CFA"/>
    <w:rsid w:val="00131D4C"/>
    <w:rsid w:val="001325E6"/>
    <w:rsid w:val="0013261A"/>
    <w:rsid w:val="00132D15"/>
    <w:rsid w:val="001338F8"/>
    <w:rsid w:val="00134027"/>
    <w:rsid w:val="0013460E"/>
    <w:rsid w:val="00134DB3"/>
    <w:rsid w:val="00134DB5"/>
    <w:rsid w:val="00135434"/>
    <w:rsid w:val="00135B8B"/>
    <w:rsid w:val="00135D8F"/>
    <w:rsid w:val="00136298"/>
    <w:rsid w:val="00136887"/>
    <w:rsid w:val="00136EE3"/>
    <w:rsid w:val="00136FC4"/>
    <w:rsid w:val="001370F3"/>
    <w:rsid w:val="001373C5"/>
    <w:rsid w:val="001375C8"/>
    <w:rsid w:val="00137605"/>
    <w:rsid w:val="00137C23"/>
    <w:rsid w:val="00137EA2"/>
    <w:rsid w:val="00140395"/>
    <w:rsid w:val="00140724"/>
    <w:rsid w:val="0014076F"/>
    <w:rsid w:val="00140EF1"/>
    <w:rsid w:val="0014109C"/>
    <w:rsid w:val="001410D6"/>
    <w:rsid w:val="00141635"/>
    <w:rsid w:val="00141796"/>
    <w:rsid w:val="001429B9"/>
    <w:rsid w:val="00142EAA"/>
    <w:rsid w:val="00144258"/>
    <w:rsid w:val="00144425"/>
    <w:rsid w:val="0014519F"/>
    <w:rsid w:val="00145426"/>
    <w:rsid w:val="001455B3"/>
    <w:rsid w:val="00145984"/>
    <w:rsid w:val="001459AF"/>
    <w:rsid w:val="00145A91"/>
    <w:rsid w:val="00145B63"/>
    <w:rsid w:val="00145CFD"/>
    <w:rsid w:val="00145DFA"/>
    <w:rsid w:val="00146059"/>
    <w:rsid w:val="001460E1"/>
    <w:rsid w:val="00146C32"/>
    <w:rsid w:val="00147177"/>
    <w:rsid w:val="001473E8"/>
    <w:rsid w:val="001474FC"/>
    <w:rsid w:val="00147874"/>
    <w:rsid w:val="00147DEE"/>
    <w:rsid w:val="00147E5F"/>
    <w:rsid w:val="00150038"/>
    <w:rsid w:val="00150095"/>
    <w:rsid w:val="00150374"/>
    <w:rsid w:val="00150648"/>
    <w:rsid w:val="001507BD"/>
    <w:rsid w:val="001508D4"/>
    <w:rsid w:val="001509A6"/>
    <w:rsid w:val="00150AB6"/>
    <w:rsid w:val="0015194F"/>
    <w:rsid w:val="0015213C"/>
    <w:rsid w:val="001521A6"/>
    <w:rsid w:val="00153126"/>
    <w:rsid w:val="00153942"/>
    <w:rsid w:val="00153ECC"/>
    <w:rsid w:val="00154281"/>
    <w:rsid w:val="0015493E"/>
    <w:rsid w:val="0015496C"/>
    <w:rsid w:val="00154F9D"/>
    <w:rsid w:val="00155081"/>
    <w:rsid w:val="001552E6"/>
    <w:rsid w:val="0015546F"/>
    <w:rsid w:val="00155BD9"/>
    <w:rsid w:val="00155D5A"/>
    <w:rsid w:val="00156078"/>
    <w:rsid w:val="00156870"/>
    <w:rsid w:val="00156AAF"/>
    <w:rsid w:val="00156CE9"/>
    <w:rsid w:val="00157445"/>
    <w:rsid w:val="001575AB"/>
    <w:rsid w:val="00157760"/>
    <w:rsid w:val="00157B8C"/>
    <w:rsid w:val="00157C96"/>
    <w:rsid w:val="00160A03"/>
    <w:rsid w:val="00160C3F"/>
    <w:rsid w:val="00160C4D"/>
    <w:rsid w:val="00160CE3"/>
    <w:rsid w:val="00161702"/>
    <w:rsid w:val="00161AC5"/>
    <w:rsid w:val="00162022"/>
    <w:rsid w:val="0016202E"/>
    <w:rsid w:val="001620E8"/>
    <w:rsid w:val="00162453"/>
    <w:rsid w:val="00162626"/>
    <w:rsid w:val="00162C56"/>
    <w:rsid w:val="00163131"/>
    <w:rsid w:val="0016413C"/>
    <w:rsid w:val="001642D5"/>
    <w:rsid w:val="00164CA0"/>
    <w:rsid w:val="00164FB6"/>
    <w:rsid w:val="001650FE"/>
    <w:rsid w:val="001655B0"/>
    <w:rsid w:val="001655B4"/>
    <w:rsid w:val="001655F0"/>
    <w:rsid w:val="00165695"/>
    <w:rsid w:val="0016571D"/>
    <w:rsid w:val="00165736"/>
    <w:rsid w:val="001659BD"/>
    <w:rsid w:val="001659E9"/>
    <w:rsid w:val="0016613D"/>
    <w:rsid w:val="00166961"/>
    <w:rsid w:val="00166A99"/>
    <w:rsid w:val="00166B54"/>
    <w:rsid w:val="00166B7F"/>
    <w:rsid w:val="00166E75"/>
    <w:rsid w:val="00166FC3"/>
    <w:rsid w:val="00167172"/>
    <w:rsid w:val="00167697"/>
    <w:rsid w:val="0016788F"/>
    <w:rsid w:val="001678DC"/>
    <w:rsid w:val="00167A77"/>
    <w:rsid w:val="00167B77"/>
    <w:rsid w:val="00167C18"/>
    <w:rsid w:val="001705BD"/>
    <w:rsid w:val="00170609"/>
    <w:rsid w:val="00170759"/>
    <w:rsid w:val="001709F6"/>
    <w:rsid w:val="00170A84"/>
    <w:rsid w:val="00170FE8"/>
    <w:rsid w:val="0017100D"/>
    <w:rsid w:val="001714C4"/>
    <w:rsid w:val="00171709"/>
    <w:rsid w:val="00171736"/>
    <w:rsid w:val="001719DC"/>
    <w:rsid w:val="00171B78"/>
    <w:rsid w:val="00171F52"/>
    <w:rsid w:val="0017278A"/>
    <w:rsid w:val="001731F8"/>
    <w:rsid w:val="00173504"/>
    <w:rsid w:val="001736EE"/>
    <w:rsid w:val="001738EB"/>
    <w:rsid w:val="00173AE7"/>
    <w:rsid w:val="00173BE6"/>
    <w:rsid w:val="00173F9E"/>
    <w:rsid w:val="00174031"/>
    <w:rsid w:val="00174144"/>
    <w:rsid w:val="001745D3"/>
    <w:rsid w:val="00174929"/>
    <w:rsid w:val="0017531D"/>
    <w:rsid w:val="00175832"/>
    <w:rsid w:val="00175908"/>
    <w:rsid w:val="00175B07"/>
    <w:rsid w:val="001760AF"/>
    <w:rsid w:val="0017623C"/>
    <w:rsid w:val="00176569"/>
    <w:rsid w:val="001765B1"/>
    <w:rsid w:val="001766A3"/>
    <w:rsid w:val="00176A18"/>
    <w:rsid w:val="00176C78"/>
    <w:rsid w:val="00176D60"/>
    <w:rsid w:val="00176FAB"/>
    <w:rsid w:val="00177544"/>
    <w:rsid w:val="0017769E"/>
    <w:rsid w:val="0017782F"/>
    <w:rsid w:val="00177EF9"/>
    <w:rsid w:val="0018042E"/>
    <w:rsid w:val="001804CD"/>
    <w:rsid w:val="00180B42"/>
    <w:rsid w:val="00180D2E"/>
    <w:rsid w:val="00180F31"/>
    <w:rsid w:val="00181004"/>
    <w:rsid w:val="001812E2"/>
    <w:rsid w:val="001817C8"/>
    <w:rsid w:val="00181854"/>
    <w:rsid w:val="001819C5"/>
    <w:rsid w:val="00181FA9"/>
    <w:rsid w:val="00182666"/>
    <w:rsid w:val="00182900"/>
    <w:rsid w:val="00183709"/>
    <w:rsid w:val="00183750"/>
    <w:rsid w:val="001844DA"/>
    <w:rsid w:val="00184F1D"/>
    <w:rsid w:val="00185114"/>
    <w:rsid w:val="0018553B"/>
    <w:rsid w:val="00185C20"/>
    <w:rsid w:val="00185D40"/>
    <w:rsid w:val="0018631D"/>
    <w:rsid w:val="00186487"/>
    <w:rsid w:val="0018699B"/>
    <w:rsid w:val="00186F8A"/>
    <w:rsid w:val="001873D4"/>
    <w:rsid w:val="001877D8"/>
    <w:rsid w:val="0018793A"/>
    <w:rsid w:val="00187A70"/>
    <w:rsid w:val="00187BB1"/>
    <w:rsid w:val="00187C58"/>
    <w:rsid w:val="00187CDB"/>
    <w:rsid w:val="00187D87"/>
    <w:rsid w:val="00190171"/>
    <w:rsid w:val="001905A1"/>
    <w:rsid w:val="00190606"/>
    <w:rsid w:val="00190876"/>
    <w:rsid w:val="00190C73"/>
    <w:rsid w:val="00190CC6"/>
    <w:rsid w:val="00190DD4"/>
    <w:rsid w:val="00191B7B"/>
    <w:rsid w:val="00191C5D"/>
    <w:rsid w:val="00192083"/>
    <w:rsid w:val="00192383"/>
    <w:rsid w:val="00192F26"/>
    <w:rsid w:val="00193B7B"/>
    <w:rsid w:val="00193CF3"/>
    <w:rsid w:val="00193F5C"/>
    <w:rsid w:val="00194127"/>
    <w:rsid w:val="00194410"/>
    <w:rsid w:val="00194557"/>
    <w:rsid w:val="001948CB"/>
    <w:rsid w:val="00194D95"/>
    <w:rsid w:val="00194D9C"/>
    <w:rsid w:val="00194F99"/>
    <w:rsid w:val="00195377"/>
    <w:rsid w:val="00195A3C"/>
    <w:rsid w:val="00195D18"/>
    <w:rsid w:val="00195E3A"/>
    <w:rsid w:val="0019676F"/>
    <w:rsid w:val="0019683F"/>
    <w:rsid w:val="00196A61"/>
    <w:rsid w:val="00196A8B"/>
    <w:rsid w:val="0019715F"/>
    <w:rsid w:val="001972B1"/>
    <w:rsid w:val="001974D4"/>
    <w:rsid w:val="001975FB"/>
    <w:rsid w:val="001977EC"/>
    <w:rsid w:val="001978AE"/>
    <w:rsid w:val="00197BE4"/>
    <w:rsid w:val="001A0763"/>
    <w:rsid w:val="001A1339"/>
    <w:rsid w:val="001A1527"/>
    <w:rsid w:val="001A1555"/>
    <w:rsid w:val="001A1661"/>
    <w:rsid w:val="001A175F"/>
    <w:rsid w:val="001A19B4"/>
    <w:rsid w:val="001A1B68"/>
    <w:rsid w:val="001A1BB2"/>
    <w:rsid w:val="001A27B9"/>
    <w:rsid w:val="001A2A37"/>
    <w:rsid w:val="001A2B11"/>
    <w:rsid w:val="001A2F36"/>
    <w:rsid w:val="001A2FFF"/>
    <w:rsid w:val="001A31FA"/>
    <w:rsid w:val="001A3496"/>
    <w:rsid w:val="001A381D"/>
    <w:rsid w:val="001A3DFA"/>
    <w:rsid w:val="001A3EF1"/>
    <w:rsid w:val="001A4093"/>
    <w:rsid w:val="001A42CE"/>
    <w:rsid w:val="001A43F6"/>
    <w:rsid w:val="001A453A"/>
    <w:rsid w:val="001A46DA"/>
    <w:rsid w:val="001A4757"/>
    <w:rsid w:val="001A4D97"/>
    <w:rsid w:val="001A4FB3"/>
    <w:rsid w:val="001A501A"/>
    <w:rsid w:val="001A52CF"/>
    <w:rsid w:val="001A5914"/>
    <w:rsid w:val="001A5BFF"/>
    <w:rsid w:val="001A5E41"/>
    <w:rsid w:val="001A6195"/>
    <w:rsid w:val="001A62CD"/>
    <w:rsid w:val="001A639A"/>
    <w:rsid w:val="001A6519"/>
    <w:rsid w:val="001A6715"/>
    <w:rsid w:val="001A6A70"/>
    <w:rsid w:val="001A6CD4"/>
    <w:rsid w:val="001A6F06"/>
    <w:rsid w:val="001A719C"/>
    <w:rsid w:val="001A779A"/>
    <w:rsid w:val="001A782D"/>
    <w:rsid w:val="001A7C03"/>
    <w:rsid w:val="001A7CE0"/>
    <w:rsid w:val="001A7D50"/>
    <w:rsid w:val="001A7E97"/>
    <w:rsid w:val="001B0F05"/>
    <w:rsid w:val="001B10C5"/>
    <w:rsid w:val="001B12D9"/>
    <w:rsid w:val="001B12FB"/>
    <w:rsid w:val="001B16C8"/>
    <w:rsid w:val="001B1A60"/>
    <w:rsid w:val="001B1CF8"/>
    <w:rsid w:val="001B20B3"/>
    <w:rsid w:val="001B20EC"/>
    <w:rsid w:val="001B3187"/>
    <w:rsid w:val="001B322B"/>
    <w:rsid w:val="001B3587"/>
    <w:rsid w:val="001B364C"/>
    <w:rsid w:val="001B38ED"/>
    <w:rsid w:val="001B3B03"/>
    <w:rsid w:val="001B3C11"/>
    <w:rsid w:val="001B3C27"/>
    <w:rsid w:val="001B3C2A"/>
    <w:rsid w:val="001B4020"/>
    <w:rsid w:val="001B406D"/>
    <w:rsid w:val="001B40C8"/>
    <w:rsid w:val="001B42D3"/>
    <w:rsid w:val="001B5580"/>
    <w:rsid w:val="001B5808"/>
    <w:rsid w:val="001B5AEE"/>
    <w:rsid w:val="001B5E4E"/>
    <w:rsid w:val="001B5EBE"/>
    <w:rsid w:val="001B608F"/>
    <w:rsid w:val="001B6210"/>
    <w:rsid w:val="001B630E"/>
    <w:rsid w:val="001B6498"/>
    <w:rsid w:val="001B6EB6"/>
    <w:rsid w:val="001B700A"/>
    <w:rsid w:val="001B7294"/>
    <w:rsid w:val="001B7AC1"/>
    <w:rsid w:val="001B7C4F"/>
    <w:rsid w:val="001B7CFF"/>
    <w:rsid w:val="001C0985"/>
    <w:rsid w:val="001C0BB4"/>
    <w:rsid w:val="001C0CFC"/>
    <w:rsid w:val="001C0F6D"/>
    <w:rsid w:val="001C12DF"/>
    <w:rsid w:val="001C162D"/>
    <w:rsid w:val="001C19C1"/>
    <w:rsid w:val="001C21C3"/>
    <w:rsid w:val="001C2379"/>
    <w:rsid w:val="001C24D1"/>
    <w:rsid w:val="001C26D4"/>
    <w:rsid w:val="001C29D1"/>
    <w:rsid w:val="001C304B"/>
    <w:rsid w:val="001C3113"/>
    <w:rsid w:val="001C3616"/>
    <w:rsid w:val="001C372A"/>
    <w:rsid w:val="001C38E9"/>
    <w:rsid w:val="001C3A55"/>
    <w:rsid w:val="001C3A64"/>
    <w:rsid w:val="001C3A6B"/>
    <w:rsid w:val="001C42F0"/>
    <w:rsid w:val="001C44CF"/>
    <w:rsid w:val="001C4891"/>
    <w:rsid w:val="001C491E"/>
    <w:rsid w:val="001C51D6"/>
    <w:rsid w:val="001C52EB"/>
    <w:rsid w:val="001C53CD"/>
    <w:rsid w:val="001C5587"/>
    <w:rsid w:val="001C5C58"/>
    <w:rsid w:val="001C5F2F"/>
    <w:rsid w:val="001C6350"/>
    <w:rsid w:val="001C6762"/>
    <w:rsid w:val="001C6A94"/>
    <w:rsid w:val="001C6F75"/>
    <w:rsid w:val="001C7BB7"/>
    <w:rsid w:val="001C7F0D"/>
    <w:rsid w:val="001D00BE"/>
    <w:rsid w:val="001D059B"/>
    <w:rsid w:val="001D0BAA"/>
    <w:rsid w:val="001D194C"/>
    <w:rsid w:val="001D19F8"/>
    <w:rsid w:val="001D1AC6"/>
    <w:rsid w:val="001D1BE1"/>
    <w:rsid w:val="001D1C22"/>
    <w:rsid w:val="001D1CB8"/>
    <w:rsid w:val="001D1EE8"/>
    <w:rsid w:val="001D25F7"/>
    <w:rsid w:val="001D2869"/>
    <w:rsid w:val="001D3504"/>
    <w:rsid w:val="001D3E33"/>
    <w:rsid w:val="001D3FD1"/>
    <w:rsid w:val="001D44A9"/>
    <w:rsid w:val="001D477C"/>
    <w:rsid w:val="001D48C2"/>
    <w:rsid w:val="001D4F72"/>
    <w:rsid w:val="001D5156"/>
    <w:rsid w:val="001D51EE"/>
    <w:rsid w:val="001D553A"/>
    <w:rsid w:val="001D56D8"/>
    <w:rsid w:val="001D5D63"/>
    <w:rsid w:val="001D5E32"/>
    <w:rsid w:val="001D6609"/>
    <w:rsid w:val="001D662A"/>
    <w:rsid w:val="001D6674"/>
    <w:rsid w:val="001D68A9"/>
    <w:rsid w:val="001D69F6"/>
    <w:rsid w:val="001D6ED1"/>
    <w:rsid w:val="001D73E9"/>
    <w:rsid w:val="001D7529"/>
    <w:rsid w:val="001D7622"/>
    <w:rsid w:val="001D7849"/>
    <w:rsid w:val="001E0988"/>
    <w:rsid w:val="001E0B4B"/>
    <w:rsid w:val="001E1104"/>
    <w:rsid w:val="001E17EE"/>
    <w:rsid w:val="001E2057"/>
    <w:rsid w:val="001E3126"/>
    <w:rsid w:val="001E342F"/>
    <w:rsid w:val="001E3641"/>
    <w:rsid w:val="001E3BB7"/>
    <w:rsid w:val="001E4075"/>
    <w:rsid w:val="001E4458"/>
    <w:rsid w:val="001E4A4E"/>
    <w:rsid w:val="001E4EC8"/>
    <w:rsid w:val="001E5296"/>
    <w:rsid w:val="001E52D0"/>
    <w:rsid w:val="001E5898"/>
    <w:rsid w:val="001E679C"/>
    <w:rsid w:val="001E6E9B"/>
    <w:rsid w:val="001E74A2"/>
    <w:rsid w:val="001E7571"/>
    <w:rsid w:val="001E79EC"/>
    <w:rsid w:val="001E7C9C"/>
    <w:rsid w:val="001E7D80"/>
    <w:rsid w:val="001F0064"/>
    <w:rsid w:val="001F019D"/>
    <w:rsid w:val="001F02C9"/>
    <w:rsid w:val="001F04C1"/>
    <w:rsid w:val="001F066B"/>
    <w:rsid w:val="001F06CB"/>
    <w:rsid w:val="001F0917"/>
    <w:rsid w:val="001F0E07"/>
    <w:rsid w:val="001F10BF"/>
    <w:rsid w:val="001F1264"/>
    <w:rsid w:val="001F265E"/>
    <w:rsid w:val="001F27EF"/>
    <w:rsid w:val="001F2A08"/>
    <w:rsid w:val="001F2AF4"/>
    <w:rsid w:val="001F2BDD"/>
    <w:rsid w:val="001F2EC3"/>
    <w:rsid w:val="001F3A14"/>
    <w:rsid w:val="001F3F6B"/>
    <w:rsid w:val="001F4031"/>
    <w:rsid w:val="001F4041"/>
    <w:rsid w:val="001F4283"/>
    <w:rsid w:val="001F4BC4"/>
    <w:rsid w:val="001F4FE5"/>
    <w:rsid w:val="001F51FB"/>
    <w:rsid w:val="001F526D"/>
    <w:rsid w:val="001F60D8"/>
    <w:rsid w:val="001F6640"/>
    <w:rsid w:val="001F668A"/>
    <w:rsid w:val="001F692A"/>
    <w:rsid w:val="001F6A76"/>
    <w:rsid w:val="001F6B79"/>
    <w:rsid w:val="001F70B0"/>
    <w:rsid w:val="001F7219"/>
    <w:rsid w:val="001F7299"/>
    <w:rsid w:val="001F739B"/>
    <w:rsid w:val="001F74EC"/>
    <w:rsid w:val="001F7675"/>
    <w:rsid w:val="001F78C4"/>
    <w:rsid w:val="001F795D"/>
    <w:rsid w:val="001F7A57"/>
    <w:rsid w:val="001F7BE1"/>
    <w:rsid w:val="001F7FE3"/>
    <w:rsid w:val="0020001D"/>
    <w:rsid w:val="00200066"/>
    <w:rsid w:val="0020021E"/>
    <w:rsid w:val="00200846"/>
    <w:rsid w:val="002008F6"/>
    <w:rsid w:val="00200ACA"/>
    <w:rsid w:val="00200FAF"/>
    <w:rsid w:val="0020101A"/>
    <w:rsid w:val="002012D2"/>
    <w:rsid w:val="002014B8"/>
    <w:rsid w:val="002014D6"/>
    <w:rsid w:val="00201CE7"/>
    <w:rsid w:val="0020209C"/>
    <w:rsid w:val="00202205"/>
    <w:rsid w:val="002025B5"/>
    <w:rsid w:val="00202618"/>
    <w:rsid w:val="0020266D"/>
    <w:rsid w:val="00202F0E"/>
    <w:rsid w:val="002032D7"/>
    <w:rsid w:val="002035D3"/>
    <w:rsid w:val="00203771"/>
    <w:rsid w:val="00203EAB"/>
    <w:rsid w:val="00203EED"/>
    <w:rsid w:val="0020407D"/>
    <w:rsid w:val="002048E5"/>
    <w:rsid w:val="00205930"/>
    <w:rsid w:val="00206439"/>
    <w:rsid w:val="00206457"/>
    <w:rsid w:val="00206A85"/>
    <w:rsid w:val="00206B8C"/>
    <w:rsid w:val="00206B91"/>
    <w:rsid w:val="00206F96"/>
    <w:rsid w:val="00207716"/>
    <w:rsid w:val="00210012"/>
    <w:rsid w:val="002103DD"/>
    <w:rsid w:val="00210665"/>
    <w:rsid w:val="00210E29"/>
    <w:rsid w:val="002116E1"/>
    <w:rsid w:val="00211AEA"/>
    <w:rsid w:val="00211DBE"/>
    <w:rsid w:val="00211E03"/>
    <w:rsid w:val="00211E9E"/>
    <w:rsid w:val="002122ED"/>
    <w:rsid w:val="002129BF"/>
    <w:rsid w:val="00212C2D"/>
    <w:rsid w:val="002136A6"/>
    <w:rsid w:val="00213AAA"/>
    <w:rsid w:val="0021490D"/>
    <w:rsid w:val="00214A82"/>
    <w:rsid w:val="00214C79"/>
    <w:rsid w:val="00214D19"/>
    <w:rsid w:val="00214DE3"/>
    <w:rsid w:val="00215003"/>
    <w:rsid w:val="002152D9"/>
    <w:rsid w:val="00215812"/>
    <w:rsid w:val="00215CD2"/>
    <w:rsid w:val="00215D95"/>
    <w:rsid w:val="002164C7"/>
    <w:rsid w:val="0021683B"/>
    <w:rsid w:val="00216A24"/>
    <w:rsid w:val="00216A67"/>
    <w:rsid w:val="00216AC5"/>
    <w:rsid w:val="002170B5"/>
    <w:rsid w:val="00217308"/>
    <w:rsid w:val="002173B6"/>
    <w:rsid w:val="00217568"/>
    <w:rsid w:val="00217608"/>
    <w:rsid w:val="002176E7"/>
    <w:rsid w:val="00217885"/>
    <w:rsid w:val="002178E0"/>
    <w:rsid w:val="00217AF0"/>
    <w:rsid w:val="00217B22"/>
    <w:rsid w:val="00217C37"/>
    <w:rsid w:val="00217D57"/>
    <w:rsid w:val="00217E5F"/>
    <w:rsid w:val="00220199"/>
    <w:rsid w:val="00221008"/>
    <w:rsid w:val="00221168"/>
    <w:rsid w:val="00221460"/>
    <w:rsid w:val="00221936"/>
    <w:rsid w:val="002222EC"/>
    <w:rsid w:val="00222562"/>
    <w:rsid w:val="00222611"/>
    <w:rsid w:val="0022269C"/>
    <w:rsid w:val="00223048"/>
    <w:rsid w:val="002230B3"/>
    <w:rsid w:val="00223499"/>
    <w:rsid w:val="00223525"/>
    <w:rsid w:val="00223BD2"/>
    <w:rsid w:val="002243B2"/>
    <w:rsid w:val="00224558"/>
    <w:rsid w:val="002250B5"/>
    <w:rsid w:val="0022515B"/>
    <w:rsid w:val="00225968"/>
    <w:rsid w:val="00226AC8"/>
    <w:rsid w:val="00226B8B"/>
    <w:rsid w:val="00227007"/>
    <w:rsid w:val="00227831"/>
    <w:rsid w:val="00227D77"/>
    <w:rsid w:val="00227D9A"/>
    <w:rsid w:val="00227EE4"/>
    <w:rsid w:val="0023026E"/>
    <w:rsid w:val="002306DA"/>
    <w:rsid w:val="002308E6"/>
    <w:rsid w:val="00230AC9"/>
    <w:rsid w:val="00230ADF"/>
    <w:rsid w:val="00230D85"/>
    <w:rsid w:val="00230ED9"/>
    <w:rsid w:val="002313E1"/>
    <w:rsid w:val="0023181D"/>
    <w:rsid w:val="0023182B"/>
    <w:rsid w:val="00231D41"/>
    <w:rsid w:val="00232009"/>
    <w:rsid w:val="00232690"/>
    <w:rsid w:val="00232775"/>
    <w:rsid w:val="002328B4"/>
    <w:rsid w:val="00232CE9"/>
    <w:rsid w:val="00233281"/>
    <w:rsid w:val="00233467"/>
    <w:rsid w:val="002337E3"/>
    <w:rsid w:val="00233F46"/>
    <w:rsid w:val="002344C2"/>
    <w:rsid w:val="00234984"/>
    <w:rsid w:val="00234F01"/>
    <w:rsid w:val="002351A0"/>
    <w:rsid w:val="00235925"/>
    <w:rsid w:val="00235CCC"/>
    <w:rsid w:val="00236081"/>
    <w:rsid w:val="00236831"/>
    <w:rsid w:val="00236B8C"/>
    <w:rsid w:val="00236D6E"/>
    <w:rsid w:val="00236DF8"/>
    <w:rsid w:val="00236F7D"/>
    <w:rsid w:val="00237301"/>
    <w:rsid w:val="00237491"/>
    <w:rsid w:val="002375C3"/>
    <w:rsid w:val="00237742"/>
    <w:rsid w:val="002377CA"/>
    <w:rsid w:val="00237E30"/>
    <w:rsid w:val="002401AA"/>
    <w:rsid w:val="002403AB"/>
    <w:rsid w:val="00240540"/>
    <w:rsid w:val="002406C1"/>
    <w:rsid w:val="00240970"/>
    <w:rsid w:val="002413F9"/>
    <w:rsid w:val="002418C5"/>
    <w:rsid w:val="00241952"/>
    <w:rsid w:val="00241CE5"/>
    <w:rsid w:val="00242508"/>
    <w:rsid w:val="002428CD"/>
    <w:rsid w:val="00242E99"/>
    <w:rsid w:val="0024358F"/>
    <w:rsid w:val="002436C3"/>
    <w:rsid w:val="0024378C"/>
    <w:rsid w:val="00243B48"/>
    <w:rsid w:val="002442D2"/>
    <w:rsid w:val="002446F5"/>
    <w:rsid w:val="002452CD"/>
    <w:rsid w:val="00245778"/>
    <w:rsid w:val="002459A7"/>
    <w:rsid w:val="00245CD4"/>
    <w:rsid w:val="002461A0"/>
    <w:rsid w:val="00246381"/>
    <w:rsid w:val="0024647E"/>
    <w:rsid w:val="00246488"/>
    <w:rsid w:val="002464D6"/>
    <w:rsid w:val="00246D42"/>
    <w:rsid w:val="002474BB"/>
    <w:rsid w:val="00247547"/>
    <w:rsid w:val="0024757C"/>
    <w:rsid w:val="0024791E"/>
    <w:rsid w:val="00247DA9"/>
    <w:rsid w:val="00247EEF"/>
    <w:rsid w:val="00250008"/>
    <w:rsid w:val="00250197"/>
    <w:rsid w:val="00250199"/>
    <w:rsid w:val="00250BBC"/>
    <w:rsid w:val="0025166D"/>
    <w:rsid w:val="002517D6"/>
    <w:rsid w:val="00251857"/>
    <w:rsid w:val="00251CAD"/>
    <w:rsid w:val="00251CDB"/>
    <w:rsid w:val="00251F27"/>
    <w:rsid w:val="0025288D"/>
    <w:rsid w:val="0025295F"/>
    <w:rsid w:val="00252CAC"/>
    <w:rsid w:val="00252F03"/>
    <w:rsid w:val="00254068"/>
    <w:rsid w:val="00254132"/>
    <w:rsid w:val="0025437F"/>
    <w:rsid w:val="002543B7"/>
    <w:rsid w:val="002543E4"/>
    <w:rsid w:val="0025491D"/>
    <w:rsid w:val="00254C66"/>
    <w:rsid w:val="00254F01"/>
    <w:rsid w:val="00255EE8"/>
    <w:rsid w:val="00255FCE"/>
    <w:rsid w:val="00256194"/>
    <w:rsid w:val="002561EB"/>
    <w:rsid w:val="002562FC"/>
    <w:rsid w:val="0025655B"/>
    <w:rsid w:val="00256DF7"/>
    <w:rsid w:val="0025779A"/>
    <w:rsid w:val="0025779D"/>
    <w:rsid w:val="0026029A"/>
    <w:rsid w:val="00260D15"/>
    <w:rsid w:val="00260E67"/>
    <w:rsid w:val="00260F20"/>
    <w:rsid w:val="00261176"/>
    <w:rsid w:val="00261393"/>
    <w:rsid w:val="002613DB"/>
    <w:rsid w:val="002618A3"/>
    <w:rsid w:val="00262123"/>
    <w:rsid w:val="00262646"/>
    <w:rsid w:val="00262D2B"/>
    <w:rsid w:val="002636FF"/>
    <w:rsid w:val="002645DA"/>
    <w:rsid w:val="00264E7D"/>
    <w:rsid w:val="002657DE"/>
    <w:rsid w:val="002664C8"/>
    <w:rsid w:val="00266664"/>
    <w:rsid w:val="00266C14"/>
    <w:rsid w:val="00266FD1"/>
    <w:rsid w:val="00267219"/>
    <w:rsid w:val="002676F0"/>
    <w:rsid w:val="002678EF"/>
    <w:rsid w:val="00270446"/>
    <w:rsid w:val="002709C0"/>
    <w:rsid w:val="00270BFF"/>
    <w:rsid w:val="00270D16"/>
    <w:rsid w:val="00270ED1"/>
    <w:rsid w:val="0027103B"/>
    <w:rsid w:val="0027108A"/>
    <w:rsid w:val="0027121E"/>
    <w:rsid w:val="00271908"/>
    <w:rsid w:val="002719B4"/>
    <w:rsid w:val="00271DA3"/>
    <w:rsid w:val="00272180"/>
    <w:rsid w:val="00272224"/>
    <w:rsid w:val="0027239D"/>
    <w:rsid w:val="00272821"/>
    <w:rsid w:val="00272AB6"/>
    <w:rsid w:val="00272F4D"/>
    <w:rsid w:val="0027343A"/>
    <w:rsid w:val="0027364E"/>
    <w:rsid w:val="00273CD5"/>
    <w:rsid w:val="00274631"/>
    <w:rsid w:val="00274945"/>
    <w:rsid w:val="00274BBF"/>
    <w:rsid w:val="0027520A"/>
    <w:rsid w:val="00275496"/>
    <w:rsid w:val="0027561D"/>
    <w:rsid w:val="0027585D"/>
    <w:rsid w:val="00275FB4"/>
    <w:rsid w:val="00276E24"/>
    <w:rsid w:val="002772ED"/>
    <w:rsid w:val="00277358"/>
    <w:rsid w:val="00277383"/>
    <w:rsid w:val="0027787A"/>
    <w:rsid w:val="00277E59"/>
    <w:rsid w:val="00277F37"/>
    <w:rsid w:val="00277FA6"/>
    <w:rsid w:val="002803B0"/>
    <w:rsid w:val="0028083E"/>
    <w:rsid w:val="002808C0"/>
    <w:rsid w:val="00280A17"/>
    <w:rsid w:val="002810C1"/>
    <w:rsid w:val="0028153E"/>
    <w:rsid w:val="00281667"/>
    <w:rsid w:val="00281697"/>
    <w:rsid w:val="00281FAA"/>
    <w:rsid w:val="00281FDB"/>
    <w:rsid w:val="0028231C"/>
    <w:rsid w:val="002823E7"/>
    <w:rsid w:val="002824CF"/>
    <w:rsid w:val="002832D4"/>
    <w:rsid w:val="00283478"/>
    <w:rsid w:val="00283911"/>
    <w:rsid w:val="00283CB0"/>
    <w:rsid w:val="00283F18"/>
    <w:rsid w:val="00283F7A"/>
    <w:rsid w:val="00283F89"/>
    <w:rsid w:val="00284054"/>
    <w:rsid w:val="00284309"/>
    <w:rsid w:val="002844B4"/>
    <w:rsid w:val="0028484C"/>
    <w:rsid w:val="00284A2D"/>
    <w:rsid w:val="00284AC3"/>
    <w:rsid w:val="00284BAB"/>
    <w:rsid w:val="00284BEB"/>
    <w:rsid w:val="00285217"/>
    <w:rsid w:val="00285391"/>
    <w:rsid w:val="00285468"/>
    <w:rsid w:val="00285C95"/>
    <w:rsid w:val="00285DB7"/>
    <w:rsid w:val="00285ED2"/>
    <w:rsid w:val="0028600C"/>
    <w:rsid w:val="00286614"/>
    <w:rsid w:val="0028663B"/>
    <w:rsid w:val="002872FD"/>
    <w:rsid w:val="002873A1"/>
    <w:rsid w:val="00287719"/>
    <w:rsid w:val="00287779"/>
    <w:rsid w:val="002879F7"/>
    <w:rsid w:val="00287E8A"/>
    <w:rsid w:val="00290279"/>
    <w:rsid w:val="00290C6C"/>
    <w:rsid w:val="002910D9"/>
    <w:rsid w:val="00291C64"/>
    <w:rsid w:val="00291ECE"/>
    <w:rsid w:val="00292281"/>
    <w:rsid w:val="002922FD"/>
    <w:rsid w:val="002928CE"/>
    <w:rsid w:val="00292D97"/>
    <w:rsid w:val="00293126"/>
    <w:rsid w:val="002931D4"/>
    <w:rsid w:val="00293C95"/>
    <w:rsid w:val="00293CD8"/>
    <w:rsid w:val="002941AC"/>
    <w:rsid w:val="00294DEF"/>
    <w:rsid w:val="00295028"/>
    <w:rsid w:val="00295262"/>
    <w:rsid w:val="002955A7"/>
    <w:rsid w:val="002958D3"/>
    <w:rsid w:val="00295902"/>
    <w:rsid w:val="00295BB7"/>
    <w:rsid w:val="00295F1E"/>
    <w:rsid w:val="00295FEA"/>
    <w:rsid w:val="00296333"/>
    <w:rsid w:val="00296462"/>
    <w:rsid w:val="0029646F"/>
    <w:rsid w:val="00296630"/>
    <w:rsid w:val="00296802"/>
    <w:rsid w:val="002968A9"/>
    <w:rsid w:val="00296B5F"/>
    <w:rsid w:val="00296BAF"/>
    <w:rsid w:val="00296FDD"/>
    <w:rsid w:val="0029703E"/>
    <w:rsid w:val="002970D6"/>
    <w:rsid w:val="002970ED"/>
    <w:rsid w:val="00297669"/>
    <w:rsid w:val="00297711"/>
    <w:rsid w:val="00297BDD"/>
    <w:rsid w:val="00297D57"/>
    <w:rsid w:val="002A005D"/>
    <w:rsid w:val="002A0275"/>
    <w:rsid w:val="002A0C6D"/>
    <w:rsid w:val="002A0DC3"/>
    <w:rsid w:val="002A113E"/>
    <w:rsid w:val="002A13AA"/>
    <w:rsid w:val="002A1658"/>
    <w:rsid w:val="002A1691"/>
    <w:rsid w:val="002A1C66"/>
    <w:rsid w:val="002A1C73"/>
    <w:rsid w:val="002A2277"/>
    <w:rsid w:val="002A27A0"/>
    <w:rsid w:val="002A3751"/>
    <w:rsid w:val="002A38A0"/>
    <w:rsid w:val="002A3F2C"/>
    <w:rsid w:val="002A4093"/>
    <w:rsid w:val="002A4128"/>
    <w:rsid w:val="002A4668"/>
    <w:rsid w:val="002A48F7"/>
    <w:rsid w:val="002A4A88"/>
    <w:rsid w:val="002A5138"/>
    <w:rsid w:val="002A5147"/>
    <w:rsid w:val="002A552B"/>
    <w:rsid w:val="002A55E2"/>
    <w:rsid w:val="002A56EA"/>
    <w:rsid w:val="002A57FC"/>
    <w:rsid w:val="002A5875"/>
    <w:rsid w:val="002A59D9"/>
    <w:rsid w:val="002A6072"/>
    <w:rsid w:val="002A64C7"/>
    <w:rsid w:val="002A6761"/>
    <w:rsid w:val="002A6BD3"/>
    <w:rsid w:val="002A6DA7"/>
    <w:rsid w:val="002A72AF"/>
    <w:rsid w:val="002A72DE"/>
    <w:rsid w:val="002A75FA"/>
    <w:rsid w:val="002A7722"/>
    <w:rsid w:val="002A7902"/>
    <w:rsid w:val="002A7C62"/>
    <w:rsid w:val="002A7EDD"/>
    <w:rsid w:val="002A7FD3"/>
    <w:rsid w:val="002B0125"/>
    <w:rsid w:val="002B0601"/>
    <w:rsid w:val="002B0C0C"/>
    <w:rsid w:val="002B0D66"/>
    <w:rsid w:val="002B10C1"/>
    <w:rsid w:val="002B10D7"/>
    <w:rsid w:val="002B1B71"/>
    <w:rsid w:val="002B1C28"/>
    <w:rsid w:val="002B1D1D"/>
    <w:rsid w:val="002B2009"/>
    <w:rsid w:val="002B20ED"/>
    <w:rsid w:val="002B23C6"/>
    <w:rsid w:val="002B2526"/>
    <w:rsid w:val="002B28AE"/>
    <w:rsid w:val="002B2EDF"/>
    <w:rsid w:val="002B2FC0"/>
    <w:rsid w:val="002B2FD5"/>
    <w:rsid w:val="002B30EB"/>
    <w:rsid w:val="002B31A3"/>
    <w:rsid w:val="002B31F9"/>
    <w:rsid w:val="002B336E"/>
    <w:rsid w:val="002B34B2"/>
    <w:rsid w:val="002B38F1"/>
    <w:rsid w:val="002B3C01"/>
    <w:rsid w:val="002B3D58"/>
    <w:rsid w:val="002B435F"/>
    <w:rsid w:val="002B43A2"/>
    <w:rsid w:val="002B43C9"/>
    <w:rsid w:val="002B5110"/>
    <w:rsid w:val="002B51FD"/>
    <w:rsid w:val="002B5479"/>
    <w:rsid w:val="002B5C09"/>
    <w:rsid w:val="002B602B"/>
    <w:rsid w:val="002B64DB"/>
    <w:rsid w:val="002B6B56"/>
    <w:rsid w:val="002B6C12"/>
    <w:rsid w:val="002B72BD"/>
    <w:rsid w:val="002B7B36"/>
    <w:rsid w:val="002B7E68"/>
    <w:rsid w:val="002B7FAB"/>
    <w:rsid w:val="002C002D"/>
    <w:rsid w:val="002C029E"/>
    <w:rsid w:val="002C02C7"/>
    <w:rsid w:val="002C0380"/>
    <w:rsid w:val="002C077D"/>
    <w:rsid w:val="002C0931"/>
    <w:rsid w:val="002C10CE"/>
    <w:rsid w:val="002C1246"/>
    <w:rsid w:val="002C1393"/>
    <w:rsid w:val="002C179E"/>
    <w:rsid w:val="002C1B55"/>
    <w:rsid w:val="002C1C98"/>
    <w:rsid w:val="002C1ED9"/>
    <w:rsid w:val="002C2AC0"/>
    <w:rsid w:val="002C362D"/>
    <w:rsid w:val="002C3BCC"/>
    <w:rsid w:val="002C420F"/>
    <w:rsid w:val="002C426A"/>
    <w:rsid w:val="002C47BE"/>
    <w:rsid w:val="002C48CD"/>
    <w:rsid w:val="002C4ACD"/>
    <w:rsid w:val="002C51FF"/>
    <w:rsid w:val="002C5248"/>
    <w:rsid w:val="002C5267"/>
    <w:rsid w:val="002C5815"/>
    <w:rsid w:val="002C5863"/>
    <w:rsid w:val="002C5BCB"/>
    <w:rsid w:val="002C5C27"/>
    <w:rsid w:val="002C5EC5"/>
    <w:rsid w:val="002C6327"/>
    <w:rsid w:val="002C656E"/>
    <w:rsid w:val="002C686F"/>
    <w:rsid w:val="002C6B91"/>
    <w:rsid w:val="002C6BA2"/>
    <w:rsid w:val="002C6CA2"/>
    <w:rsid w:val="002C6F2A"/>
    <w:rsid w:val="002C70B9"/>
    <w:rsid w:val="002C716C"/>
    <w:rsid w:val="002C78F7"/>
    <w:rsid w:val="002C7C1C"/>
    <w:rsid w:val="002D02AE"/>
    <w:rsid w:val="002D06D3"/>
    <w:rsid w:val="002D074A"/>
    <w:rsid w:val="002D0A34"/>
    <w:rsid w:val="002D13A2"/>
    <w:rsid w:val="002D1513"/>
    <w:rsid w:val="002D1592"/>
    <w:rsid w:val="002D1932"/>
    <w:rsid w:val="002D194C"/>
    <w:rsid w:val="002D1A4A"/>
    <w:rsid w:val="002D202D"/>
    <w:rsid w:val="002D219F"/>
    <w:rsid w:val="002D2442"/>
    <w:rsid w:val="002D26ED"/>
    <w:rsid w:val="002D2901"/>
    <w:rsid w:val="002D2BDD"/>
    <w:rsid w:val="002D2D26"/>
    <w:rsid w:val="002D2F9B"/>
    <w:rsid w:val="002D3267"/>
    <w:rsid w:val="002D33E0"/>
    <w:rsid w:val="002D3400"/>
    <w:rsid w:val="002D3674"/>
    <w:rsid w:val="002D4119"/>
    <w:rsid w:val="002D424E"/>
    <w:rsid w:val="002D432D"/>
    <w:rsid w:val="002D4FCA"/>
    <w:rsid w:val="002D53FA"/>
    <w:rsid w:val="002D5439"/>
    <w:rsid w:val="002D5710"/>
    <w:rsid w:val="002D57DD"/>
    <w:rsid w:val="002D582F"/>
    <w:rsid w:val="002D5B8B"/>
    <w:rsid w:val="002D5BE6"/>
    <w:rsid w:val="002D655C"/>
    <w:rsid w:val="002D69C3"/>
    <w:rsid w:val="002D6EB1"/>
    <w:rsid w:val="002D7226"/>
    <w:rsid w:val="002D7598"/>
    <w:rsid w:val="002D779F"/>
    <w:rsid w:val="002D77A7"/>
    <w:rsid w:val="002D7C5E"/>
    <w:rsid w:val="002E070D"/>
    <w:rsid w:val="002E073E"/>
    <w:rsid w:val="002E0DCF"/>
    <w:rsid w:val="002E1352"/>
    <w:rsid w:val="002E1417"/>
    <w:rsid w:val="002E1873"/>
    <w:rsid w:val="002E2774"/>
    <w:rsid w:val="002E27E7"/>
    <w:rsid w:val="002E29CE"/>
    <w:rsid w:val="002E2B15"/>
    <w:rsid w:val="002E30EE"/>
    <w:rsid w:val="002E3651"/>
    <w:rsid w:val="002E367B"/>
    <w:rsid w:val="002E43EB"/>
    <w:rsid w:val="002E44A8"/>
    <w:rsid w:val="002E4627"/>
    <w:rsid w:val="002E4B6E"/>
    <w:rsid w:val="002E4E4E"/>
    <w:rsid w:val="002E5146"/>
    <w:rsid w:val="002E5748"/>
    <w:rsid w:val="002E57CF"/>
    <w:rsid w:val="002E595A"/>
    <w:rsid w:val="002E5991"/>
    <w:rsid w:val="002E5CE7"/>
    <w:rsid w:val="002E64B4"/>
    <w:rsid w:val="002E64FC"/>
    <w:rsid w:val="002E701E"/>
    <w:rsid w:val="002E7020"/>
    <w:rsid w:val="002E73C6"/>
    <w:rsid w:val="002E7CC8"/>
    <w:rsid w:val="002F0135"/>
    <w:rsid w:val="002F0446"/>
    <w:rsid w:val="002F0A87"/>
    <w:rsid w:val="002F0EA1"/>
    <w:rsid w:val="002F2242"/>
    <w:rsid w:val="002F244C"/>
    <w:rsid w:val="002F24CE"/>
    <w:rsid w:val="002F24D8"/>
    <w:rsid w:val="002F27FC"/>
    <w:rsid w:val="002F299B"/>
    <w:rsid w:val="002F2A3F"/>
    <w:rsid w:val="002F2C51"/>
    <w:rsid w:val="002F3890"/>
    <w:rsid w:val="002F3B20"/>
    <w:rsid w:val="002F4ABE"/>
    <w:rsid w:val="002F4AE9"/>
    <w:rsid w:val="002F50B4"/>
    <w:rsid w:val="002F51E1"/>
    <w:rsid w:val="002F561B"/>
    <w:rsid w:val="002F5B3D"/>
    <w:rsid w:val="002F697E"/>
    <w:rsid w:val="002F6A2E"/>
    <w:rsid w:val="002F6B4E"/>
    <w:rsid w:val="002F73AB"/>
    <w:rsid w:val="002F73AD"/>
    <w:rsid w:val="00300059"/>
    <w:rsid w:val="00300393"/>
    <w:rsid w:val="00300520"/>
    <w:rsid w:val="00300AE4"/>
    <w:rsid w:val="00300C62"/>
    <w:rsid w:val="00301756"/>
    <w:rsid w:val="0030185F"/>
    <w:rsid w:val="00302229"/>
    <w:rsid w:val="00302636"/>
    <w:rsid w:val="0030267A"/>
    <w:rsid w:val="00302715"/>
    <w:rsid w:val="00302957"/>
    <w:rsid w:val="00302C9E"/>
    <w:rsid w:val="003034DA"/>
    <w:rsid w:val="0030355A"/>
    <w:rsid w:val="00303866"/>
    <w:rsid w:val="00303CC6"/>
    <w:rsid w:val="00303CF1"/>
    <w:rsid w:val="0030453B"/>
    <w:rsid w:val="00304577"/>
    <w:rsid w:val="00304656"/>
    <w:rsid w:val="003048BD"/>
    <w:rsid w:val="00304ABA"/>
    <w:rsid w:val="00304D42"/>
    <w:rsid w:val="0030564B"/>
    <w:rsid w:val="00305A04"/>
    <w:rsid w:val="00305AD9"/>
    <w:rsid w:val="00305EA8"/>
    <w:rsid w:val="00305F70"/>
    <w:rsid w:val="00306641"/>
    <w:rsid w:val="003069A8"/>
    <w:rsid w:val="0030711A"/>
    <w:rsid w:val="003073A2"/>
    <w:rsid w:val="003078C4"/>
    <w:rsid w:val="00307E91"/>
    <w:rsid w:val="003102EC"/>
    <w:rsid w:val="00310786"/>
    <w:rsid w:val="003111E6"/>
    <w:rsid w:val="00311634"/>
    <w:rsid w:val="003117DF"/>
    <w:rsid w:val="00311D65"/>
    <w:rsid w:val="0031223E"/>
    <w:rsid w:val="00312ECF"/>
    <w:rsid w:val="00313BDB"/>
    <w:rsid w:val="00314148"/>
    <w:rsid w:val="00314648"/>
    <w:rsid w:val="0031470E"/>
    <w:rsid w:val="00314B94"/>
    <w:rsid w:val="0031590F"/>
    <w:rsid w:val="00315B98"/>
    <w:rsid w:val="00315BBF"/>
    <w:rsid w:val="00316376"/>
    <w:rsid w:val="003163DD"/>
    <w:rsid w:val="00316455"/>
    <w:rsid w:val="003168F4"/>
    <w:rsid w:val="00316FBB"/>
    <w:rsid w:val="00317A0A"/>
    <w:rsid w:val="00317AE6"/>
    <w:rsid w:val="00317CEC"/>
    <w:rsid w:val="0032048A"/>
    <w:rsid w:val="003206E0"/>
    <w:rsid w:val="003209CB"/>
    <w:rsid w:val="00320BAD"/>
    <w:rsid w:val="00320D0B"/>
    <w:rsid w:val="00320FE8"/>
    <w:rsid w:val="0032121F"/>
    <w:rsid w:val="00321788"/>
    <w:rsid w:val="00321BE4"/>
    <w:rsid w:val="00322892"/>
    <w:rsid w:val="0032292D"/>
    <w:rsid w:val="0032298C"/>
    <w:rsid w:val="003237A6"/>
    <w:rsid w:val="0032395B"/>
    <w:rsid w:val="00323C16"/>
    <w:rsid w:val="00323C42"/>
    <w:rsid w:val="00323E89"/>
    <w:rsid w:val="00324107"/>
    <w:rsid w:val="00324521"/>
    <w:rsid w:val="003247C9"/>
    <w:rsid w:val="00324E8B"/>
    <w:rsid w:val="00325027"/>
    <w:rsid w:val="0032527A"/>
    <w:rsid w:val="00325376"/>
    <w:rsid w:val="003253C8"/>
    <w:rsid w:val="00325C4E"/>
    <w:rsid w:val="00325D50"/>
    <w:rsid w:val="00325E0B"/>
    <w:rsid w:val="00325E3B"/>
    <w:rsid w:val="00326A49"/>
    <w:rsid w:val="00326D45"/>
    <w:rsid w:val="0032718E"/>
    <w:rsid w:val="003271F0"/>
    <w:rsid w:val="00327D5E"/>
    <w:rsid w:val="003304C7"/>
    <w:rsid w:val="00330516"/>
    <w:rsid w:val="00330519"/>
    <w:rsid w:val="003309C5"/>
    <w:rsid w:val="00330CB0"/>
    <w:rsid w:val="003316AF"/>
    <w:rsid w:val="00331E19"/>
    <w:rsid w:val="00332332"/>
    <w:rsid w:val="0033241E"/>
    <w:rsid w:val="003324DE"/>
    <w:rsid w:val="003326CC"/>
    <w:rsid w:val="003327C5"/>
    <w:rsid w:val="003328E3"/>
    <w:rsid w:val="00332D03"/>
    <w:rsid w:val="0033305D"/>
    <w:rsid w:val="003339B9"/>
    <w:rsid w:val="00333F11"/>
    <w:rsid w:val="0033402E"/>
    <w:rsid w:val="0033461F"/>
    <w:rsid w:val="003349B3"/>
    <w:rsid w:val="00334CFD"/>
    <w:rsid w:val="00334E1E"/>
    <w:rsid w:val="00335004"/>
    <w:rsid w:val="0033521F"/>
    <w:rsid w:val="00335FB8"/>
    <w:rsid w:val="00336166"/>
    <w:rsid w:val="003361B1"/>
    <w:rsid w:val="00336E33"/>
    <w:rsid w:val="00336EBB"/>
    <w:rsid w:val="0033762D"/>
    <w:rsid w:val="003379BA"/>
    <w:rsid w:val="00340303"/>
    <w:rsid w:val="0034038D"/>
    <w:rsid w:val="0034089C"/>
    <w:rsid w:val="00340BEA"/>
    <w:rsid w:val="00340F89"/>
    <w:rsid w:val="00341B3D"/>
    <w:rsid w:val="00341B8F"/>
    <w:rsid w:val="00341CA3"/>
    <w:rsid w:val="00341E5D"/>
    <w:rsid w:val="003420C4"/>
    <w:rsid w:val="00342233"/>
    <w:rsid w:val="00342728"/>
    <w:rsid w:val="00342C76"/>
    <w:rsid w:val="00342D6B"/>
    <w:rsid w:val="00343340"/>
    <w:rsid w:val="00343361"/>
    <w:rsid w:val="00343912"/>
    <w:rsid w:val="00343C82"/>
    <w:rsid w:val="0034409F"/>
    <w:rsid w:val="00344407"/>
    <w:rsid w:val="00344B74"/>
    <w:rsid w:val="00344C48"/>
    <w:rsid w:val="00344F44"/>
    <w:rsid w:val="00344FE7"/>
    <w:rsid w:val="00345955"/>
    <w:rsid w:val="00345C33"/>
    <w:rsid w:val="00345FAA"/>
    <w:rsid w:val="00346459"/>
    <w:rsid w:val="0034649F"/>
    <w:rsid w:val="003468F1"/>
    <w:rsid w:val="00346C32"/>
    <w:rsid w:val="00347072"/>
    <w:rsid w:val="00347414"/>
    <w:rsid w:val="003475C1"/>
    <w:rsid w:val="00347782"/>
    <w:rsid w:val="003479AF"/>
    <w:rsid w:val="00350390"/>
    <w:rsid w:val="003508FF"/>
    <w:rsid w:val="00350B83"/>
    <w:rsid w:val="00350E61"/>
    <w:rsid w:val="003512E5"/>
    <w:rsid w:val="0035147C"/>
    <w:rsid w:val="00351B63"/>
    <w:rsid w:val="00352144"/>
    <w:rsid w:val="003523AB"/>
    <w:rsid w:val="00352581"/>
    <w:rsid w:val="00352EA7"/>
    <w:rsid w:val="00353DAF"/>
    <w:rsid w:val="0035474A"/>
    <w:rsid w:val="00354CC4"/>
    <w:rsid w:val="00354D0C"/>
    <w:rsid w:val="00354DAE"/>
    <w:rsid w:val="00355241"/>
    <w:rsid w:val="0035528E"/>
    <w:rsid w:val="0035578E"/>
    <w:rsid w:val="00355825"/>
    <w:rsid w:val="00355A16"/>
    <w:rsid w:val="00355B51"/>
    <w:rsid w:val="00356626"/>
    <w:rsid w:val="00357023"/>
    <w:rsid w:val="003574E3"/>
    <w:rsid w:val="003575E6"/>
    <w:rsid w:val="00357E81"/>
    <w:rsid w:val="0036014A"/>
    <w:rsid w:val="00360153"/>
    <w:rsid w:val="00360316"/>
    <w:rsid w:val="00360AE9"/>
    <w:rsid w:val="00360F70"/>
    <w:rsid w:val="003610ED"/>
    <w:rsid w:val="00361DC0"/>
    <w:rsid w:val="00361F12"/>
    <w:rsid w:val="00362096"/>
    <w:rsid w:val="003620D8"/>
    <w:rsid w:val="00362421"/>
    <w:rsid w:val="00362C25"/>
    <w:rsid w:val="003630CC"/>
    <w:rsid w:val="0036312D"/>
    <w:rsid w:val="003634C1"/>
    <w:rsid w:val="00363BA7"/>
    <w:rsid w:val="0036427D"/>
    <w:rsid w:val="00364875"/>
    <w:rsid w:val="00364C1A"/>
    <w:rsid w:val="00365813"/>
    <w:rsid w:val="00365963"/>
    <w:rsid w:val="00365B22"/>
    <w:rsid w:val="00365B95"/>
    <w:rsid w:val="003661C5"/>
    <w:rsid w:val="003662E5"/>
    <w:rsid w:val="003666DC"/>
    <w:rsid w:val="00366B6A"/>
    <w:rsid w:val="00366D64"/>
    <w:rsid w:val="00367233"/>
    <w:rsid w:val="0036771C"/>
    <w:rsid w:val="0036792E"/>
    <w:rsid w:val="00367A5E"/>
    <w:rsid w:val="00367B65"/>
    <w:rsid w:val="00367BB1"/>
    <w:rsid w:val="00367D24"/>
    <w:rsid w:val="0037050D"/>
    <w:rsid w:val="003709D5"/>
    <w:rsid w:val="00370AA8"/>
    <w:rsid w:val="00370AE9"/>
    <w:rsid w:val="00370C38"/>
    <w:rsid w:val="00371254"/>
    <w:rsid w:val="003713AE"/>
    <w:rsid w:val="0037198B"/>
    <w:rsid w:val="003719D1"/>
    <w:rsid w:val="0037277E"/>
    <w:rsid w:val="0037294B"/>
    <w:rsid w:val="003729AD"/>
    <w:rsid w:val="00372E11"/>
    <w:rsid w:val="00372FAB"/>
    <w:rsid w:val="0037308D"/>
    <w:rsid w:val="003730B9"/>
    <w:rsid w:val="00373885"/>
    <w:rsid w:val="00373EB0"/>
    <w:rsid w:val="00374017"/>
    <w:rsid w:val="003745F4"/>
    <w:rsid w:val="00374661"/>
    <w:rsid w:val="00374914"/>
    <w:rsid w:val="00374992"/>
    <w:rsid w:val="00374E6B"/>
    <w:rsid w:val="00375D55"/>
    <w:rsid w:val="00375FF5"/>
    <w:rsid w:val="0037627E"/>
    <w:rsid w:val="003762D9"/>
    <w:rsid w:val="003765F0"/>
    <w:rsid w:val="00376668"/>
    <w:rsid w:val="00376A21"/>
    <w:rsid w:val="00376DA8"/>
    <w:rsid w:val="003770B5"/>
    <w:rsid w:val="003771CB"/>
    <w:rsid w:val="0037766D"/>
    <w:rsid w:val="00377B1E"/>
    <w:rsid w:val="00377BFB"/>
    <w:rsid w:val="00377DA9"/>
    <w:rsid w:val="0038016B"/>
    <w:rsid w:val="0038022C"/>
    <w:rsid w:val="00380683"/>
    <w:rsid w:val="003809C8"/>
    <w:rsid w:val="00380F9F"/>
    <w:rsid w:val="00381607"/>
    <w:rsid w:val="00381643"/>
    <w:rsid w:val="003818C6"/>
    <w:rsid w:val="0038195D"/>
    <w:rsid w:val="003825DA"/>
    <w:rsid w:val="00382698"/>
    <w:rsid w:val="003826DB"/>
    <w:rsid w:val="00382762"/>
    <w:rsid w:val="00382D32"/>
    <w:rsid w:val="00382E6A"/>
    <w:rsid w:val="00382F7E"/>
    <w:rsid w:val="00383059"/>
    <w:rsid w:val="003834DF"/>
    <w:rsid w:val="00383A8F"/>
    <w:rsid w:val="00383C0F"/>
    <w:rsid w:val="00383CAB"/>
    <w:rsid w:val="00383D55"/>
    <w:rsid w:val="00383E25"/>
    <w:rsid w:val="00384120"/>
    <w:rsid w:val="0038419E"/>
    <w:rsid w:val="00384865"/>
    <w:rsid w:val="00384C56"/>
    <w:rsid w:val="00384CE5"/>
    <w:rsid w:val="003857F4"/>
    <w:rsid w:val="00385BC6"/>
    <w:rsid w:val="00385EF9"/>
    <w:rsid w:val="00386415"/>
    <w:rsid w:val="003865C8"/>
    <w:rsid w:val="00386C60"/>
    <w:rsid w:val="00386D01"/>
    <w:rsid w:val="00387529"/>
    <w:rsid w:val="0039035E"/>
    <w:rsid w:val="003903F6"/>
    <w:rsid w:val="00390620"/>
    <w:rsid w:val="0039065B"/>
    <w:rsid w:val="00390732"/>
    <w:rsid w:val="00390AEA"/>
    <w:rsid w:val="0039104A"/>
    <w:rsid w:val="0039143C"/>
    <w:rsid w:val="0039174F"/>
    <w:rsid w:val="0039199B"/>
    <w:rsid w:val="003921FB"/>
    <w:rsid w:val="00392300"/>
    <w:rsid w:val="0039255E"/>
    <w:rsid w:val="00392796"/>
    <w:rsid w:val="00392C21"/>
    <w:rsid w:val="00393210"/>
    <w:rsid w:val="0039331E"/>
    <w:rsid w:val="00393882"/>
    <w:rsid w:val="003946D6"/>
    <w:rsid w:val="0039479A"/>
    <w:rsid w:val="00394B90"/>
    <w:rsid w:val="0039578A"/>
    <w:rsid w:val="00395D20"/>
    <w:rsid w:val="00395D28"/>
    <w:rsid w:val="003962B1"/>
    <w:rsid w:val="003962EA"/>
    <w:rsid w:val="00396F81"/>
    <w:rsid w:val="003972DA"/>
    <w:rsid w:val="0039753D"/>
    <w:rsid w:val="003976A2"/>
    <w:rsid w:val="003978EB"/>
    <w:rsid w:val="00397951"/>
    <w:rsid w:val="00397BEA"/>
    <w:rsid w:val="003A0080"/>
    <w:rsid w:val="003A073D"/>
    <w:rsid w:val="003A0CDC"/>
    <w:rsid w:val="003A0D57"/>
    <w:rsid w:val="003A0E08"/>
    <w:rsid w:val="003A1183"/>
    <w:rsid w:val="003A120F"/>
    <w:rsid w:val="003A1A56"/>
    <w:rsid w:val="003A25AD"/>
    <w:rsid w:val="003A26E3"/>
    <w:rsid w:val="003A2CE5"/>
    <w:rsid w:val="003A2F62"/>
    <w:rsid w:val="003A2F68"/>
    <w:rsid w:val="003A3028"/>
    <w:rsid w:val="003A33D8"/>
    <w:rsid w:val="003A3782"/>
    <w:rsid w:val="003A37C9"/>
    <w:rsid w:val="003A39AA"/>
    <w:rsid w:val="003A3C8A"/>
    <w:rsid w:val="003A3F32"/>
    <w:rsid w:val="003A40BC"/>
    <w:rsid w:val="003A4BD5"/>
    <w:rsid w:val="003A4BE5"/>
    <w:rsid w:val="003A4F03"/>
    <w:rsid w:val="003A4FAF"/>
    <w:rsid w:val="003A4FDF"/>
    <w:rsid w:val="003A5141"/>
    <w:rsid w:val="003A5689"/>
    <w:rsid w:val="003A56A2"/>
    <w:rsid w:val="003A6049"/>
    <w:rsid w:val="003A6B12"/>
    <w:rsid w:val="003A6D26"/>
    <w:rsid w:val="003A6E2C"/>
    <w:rsid w:val="003A715A"/>
    <w:rsid w:val="003A7594"/>
    <w:rsid w:val="003A7659"/>
    <w:rsid w:val="003A7B3A"/>
    <w:rsid w:val="003A7D64"/>
    <w:rsid w:val="003B0061"/>
    <w:rsid w:val="003B014D"/>
    <w:rsid w:val="003B0537"/>
    <w:rsid w:val="003B0D57"/>
    <w:rsid w:val="003B0E1F"/>
    <w:rsid w:val="003B169B"/>
    <w:rsid w:val="003B1A50"/>
    <w:rsid w:val="003B23DC"/>
    <w:rsid w:val="003B2A0B"/>
    <w:rsid w:val="003B2C6B"/>
    <w:rsid w:val="003B2E04"/>
    <w:rsid w:val="003B2FCA"/>
    <w:rsid w:val="003B36CB"/>
    <w:rsid w:val="003B37EE"/>
    <w:rsid w:val="003B3A4F"/>
    <w:rsid w:val="003B3C7C"/>
    <w:rsid w:val="003B3DE4"/>
    <w:rsid w:val="003B3F00"/>
    <w:rsid w:val="003B442D"/>
    <w:rsid w:val="003B4BAE"/>
    <w:rsid w:val="003B4DE1"/>
    <w:rsid w:val="003B4F04"/>
    <w:rsid w:val="003B4F0F"/>
    <w:rsid w:val="003B4F75"/>
    <w:rsid w:val="003B5210"/>
    <w:rsid w:val="003B5364"/>
    <w:rsid w:val="003B5410"/>
    <w:rsid w:val="003B55B3"/>
    <w:rsid w:val="003B56ED"/>
    <w:rsid w:val="003B5A9C"/>
    <w:rsid w:val="003B5BC4"/>
    <w:rsid w:val="003B5E5E"/>
    <w:rsid w:val="003B5F5B"/>
    <w:rsid w:val="003B60A5"/>
    <w:rsid w:val="003B61F9"/>
    <w:rsid w:val="003B6275"/>
    <w:rsid w:val="003B6519"/>
    <w:rsid w:val="003B6568"/>
    <w:rsid w:val="003B6AC6"/>
    <w:rsid w:val="003B755C"/>
    <w:rsid w:val="003B7E25"/>
    <w:rsid w:val="003B7ECB"/>
    <w:rsid w:val="003C010A"/>
    <w:rsid w:val="003C0C11"/>
    <w:rsid w:val="003C12D1"/>
    <w:rsid w:val="003C12E3"/>
    <w:rsid w:val="003C1324"/>
    <w:rsid w:val="003C2148"/>
    <w:rsid w:val="003C2320"/>
    <w:rsid w:val="003C236F"/>
    <w:rsid w:val="003C27A5"/>
    <w:rsid w:val="003C2BDF"/>
    <w:rsid w:val="003C2DC1"/>
    <w:rsid w:val="003C2E43"/>
    <w:rsid w:val="003C2F9E"/>
    <w:rsid w:val="003C32C5"/>
    <w:rsid w:val="003C3604"/>
    <w:rsid w:val="003C3631"/>
    <w:rsid w:val="003C39C7"/>
    <w:rsid w:val="003C3AAC"/>
    <w:rsid w:val="003C404C"/>
    <w:rsid w:val="003C41CE"/>
    <w:rsid w:val="003C44AD"/>
    <w:rsid w:val="003C4624"/>
    <w:rsid w:val="003C49A2"/>
    <w:rsid w:val="003C4C7E"/>
    <w:rsid w:val="003C4EDF"/>
    <w:rsid w:val="003C4FFE"/>
    <w:rsid w:val="003C5049"/>
    <w:rsid w:val="003C558A"/>
    <w:rsid w:val="003C55C6"/>
    <w:rsid w:val="003C55E3"/>
    <w:rsid w:val="003C5C3F"/>
    <w:rsid w:val="003C5E38"/>
    <w:rsid w:val="003C6117"/>
    <w:rsid w:val="003C6397"/>
    <w:rsid w:val="003C6399"/>
    <w:rsid w:val="003C63C2"/>
    <w:rsid w:val="003C652A"/>
    <w:rsid w:val="003C665E"/>
    <w:rsid w:val="003C69FB"/>
    <w:rsid w:val="003C71DE"/>
    <w:rsid w:val="003C7209"/>
    <w:rsid w:val="003C730A"/>
    <w:rsid w:val="003C7384"/>
    <w:rsid w:val="003C767E"/>
    <w:rsid w:val="003C78AA"/>
    <w:rsid w:val="003C79C7"/>
    <w:rsid w:val="003C7B15"/>
    <w:rsid w:val="003C7DAE"/>
    <w:rsid w:val="003C7F87"/>
    <w:rsid w:val="003C7FC2"/>
    <w:rsid w:val="003D000D"/>
    <w:rsid w:val="003D006D"/>
    <w:rsid w:val="003D033A"/>
    <w:rsid w:val="003D051B"/>
    <w:rsid w:val="003D0A61"/>
    <w:rsid w:val="003D0FB8"/>
    <w:rsid w:val="003D1616"/>
    <w:rsid w:val="003D16EF"/>
    <w:rsid w:val="003D2023"/>
    <w:rsid w:val="003D21E7"/>
    <w:rsid w:val="003D23FD"/>
    <w:rsid w:val="003D2477"/>
    <w:rsid w:val="003D2826"/>
    <w:rsid w:val="003D2915"/>
    <w:rsid w:val="003D298E"/>
    <w:rsid w:val="003D2E40"/>
    <w:rsid w:val="003D2ECA"/>
    <w:rsid w:val="003D3467"/>
    <w:rsid w:val="003D3668"/>
    <w:rsid w:val="003D3A89"/>
    <w:rsid w:val="003D3AF3"/>
    <w:rsid w:val="003D42F1"/>
    <w:rsid w:val="003D4486"/>
    <w:rsid w:val="003D4D1D"/>
    <w:rsid w:val="003D4EDC"/>
    <w:rsid w:val="003D4FF9"/>
    <w:rsid w:val="003D507F"/>
    <w:rsid w:val="003D5530"/>
    <w:rsid w:val="003D560C"/>
    <w:rsid w:val="003D5961"/>
    <w:rsid w:val="003D5A56"/>
    <w:rsid w:val="003D5CE8"/>
    <w:rsid w:val="003D5E09"/>
    <w:rsid w:val="003D64A6"/>
    <w:rsid w:val="003D6C63"/>
    <w:rsid w:val="003D6D36"/>
    <w:rsid w:val="003D6ED6"/>
    <w:rsid w:val="003D751B"/>
    <w:rsid w:val="003D76E5"/>
    <w:rsid w:val="003D781E"/>
    <w:rsid w:val="003D7A02"/>
    <w:rsid w:val="003D7C32"/>
    <w:rsid w:val="003D7C90"/>
    <w:rsid w:val="003E06F6"/>
    <w:rsid w:val="003E079F"/>
    <w:rsid w:val="003E097D"/>
    <w:rsid w:val="003E0FBF"/>
    <w:rsid w:val="003E10D0"/>
    <w:rsid w:val="003E1131"/>
    <w:rsid w:val="003E137F"/>
    <w:rsid w:val="003E14C9"/>
    <w:rsid w:val="003E18C3"/>
    <w:rsid w:val="003E26ED"/>
    <w:rsid w:val="003E2A10"/>
    <w:rsid w:val="003E2D28"/>
    <w:rsid w:val="003E2FF0"/>
    <w:rsid w:val="003E337B"/>
    <w:rsid w:val="003E3AB7"/>
    <w:rsid w:val="003E4923"/>
    <w:rsid w:val="003E4D74"/>
    <w:rsid w:val="003E51A4"/>
    <w:rsid w:val="003E5319"/>
    <w:rsid w:val="003E58C2"/>
    <w:rsid w:val="003E5916"/>
    <w:rsid w:val="003E5A76"/>
    <w:rsid w:val="003E6376"/>
    <w:rsid w:val="003E6687"/>
    <w:rsid w:val="003E6B27"/>
    <w:rsid w:val="003E6B9D"/>
    <w:rsid w:val="003E72B1"/>
    <w:rsid w:val="003E764F"/>
    <w:rsid w:val="003E7A12"/>
    <w:rsid w:val="003E7DC6"/>
    <w:rsid w:val="003F00DF"/>
    <w:rsid w:val="003F02CB"/>
    <w:rsid w:val="003F0522"/>
    <w:rsid w:val="003F0FD9"/>
    <w:rsid w:val="003F12EC"/>
    <w:rsid w:val="003F14FD"/>
    <w:rsid w:val="003F172A"/>
    <w:rsid w:val="003F1C3D"/>
    <w:rsid w:val="003F1FDA"/>
    <w:rsid w:val="003F23D3"/>
    <w:rsid w:val="003F25E9"/>
    <w:rsid w:val="003F2602"/>
    <w:rsid w:val="003F2678"/>
    <w:rsid w:val="003F2797"/>
    <w:rsid w:val="003F2FAE"/>
    <w:rsid w:val="003F33C3"/>
    <w:rsid w:val="003F37AB"/>
    <w:rsid w:val="003F387F"/>
    <w:rsid w:val="003F3ABA"/>
    <w:rsid w:val="003F3E96"/>
    <w:rsid w:val="003F452D"/>
    <w:rsid w:val="003F45D6"/>
    <w:rsid w:val="003F4BFE"/>
    <w:rsid w:val="003F4F25"/>
    <w:rsid w:val="003F5BE6"/>
    <w:rsid w:val="003F60FD"/>
    <w:rsid w:val="003F6D16"/>
    <w:rsid w:val="003F6D25"/>
    <w:rsid w:val="003F6F5A"/>
    <w:rsid w:val="003F7603"/>
    <w:rsid w:val="003F788F"/>
    <w:rsid w:val="003F797D"/>
    <w:rsid w:val="003F7A45"/>
    <w:rsid w:val="0040000C"/>
    <w:rsid w:val="004001E8"/>
    <w:rsid w:val="00400302"/>
    <w:rsid w:val="004009D9"/>
    <w:rsid w:val="00400F52"/>
    <w:rsid w:val="00401764"/>
    <w:rsid w:val="0040189C"/>
    <w:rsid w:val="00401C21"/>
    <w:rsid w:val="00402101"/>
    <w:rsid w:val="00402A89"/>
    <w:rsid w:val="00403293"/>
    <w:rsid w:val="0040338B"/>
    <w:rsid w:val="004035DD"/>
    <w:rsid w:val="004038B3"/>
    <w:rsid w:val="0040398A"/>
    <w:rsid w:val="00403CA0"/>
    <w:rsid w:val="00403E2F"/>
    <w:rsid w:val="00404BDC"/>
    <w:rsid w:val="00404D7B"/>
    <w:rsid w:val="00404E4D"/>
    <w:rsid w:val="00405871"/>
    <w:rsid w:val="00405CD9"/>
    <w:rsid w:val="0040653F"/>
    <w:rsid w:val="00406651"/>
    <w:rsid w:val="00406703"/>
    <w:rsid w:val="00406B25"/>
    <w:rsid w:val="00406BCD"/>
    <w:rsid w:val="0040736D"/>
    <w:rsid w:val="00407382"/>
    <w:rsid w:val="0040745B"/>
    <w:rsid w:val="0040758D"/>
    <w:rsid w:val="00407E97"/>
    <w:rsid w:val="00410065"/>
    <w:rsid w:val="00411FC4"/>
    <w:rsid w:val="0041234E"/>
    <w:rsid w:val="0041253D"/>
    <w:rsid w:val="00412813"/>
    <w:rsid w:val="004129C0"/>
    <w:rsid w:val="00412EE0"/>
    <w:rsid w:val="0041338E"/>
    <w:rsid w:val="004133C3"/>
    <w:rsid w:val="00413660"/>
    <w:rsid w:val="004137F1"/>
    <w:rsid w:val="0041384B"/>
    <w:rsid w:val="004138A4"/>
    <w:rsid w:val="00414055"/>
    <w:rsid w:val="004143E8"/>
    <w:rsid w:val="004144CF"/>
    <w:rsid w:val="0041463A"/>
    <w:rsid w:val="0041476E"/>
    <w:rsid w:val="00414823"/>
    <w:rsid w:val="004152CD"/>
    <w:rsid w:val="0041555C"/>
    <w:rsid w:val="00415A63"/>
    <w:rsid w:val="00415AC4"/>
    <w:rsid w:val="00415ED1"/>
    <w:rsid w:val="0041620C"/>
    <w:rsid w:val="00416BBD"/>
    <w:rsid w:val="00416C06"/>
    <w:rsid w:val="00416C36"/>
    <w:rsid w:val="004172A8"/>
    <w:rsid w:val="0041733C"/>
    <w:rsid w:val="0041772B"/>
    <w:rsid w:val="004179DB"/>
    <w:rsid w:val="004179EA"/>
    <w:rsid w:val="00417D4E"/>
    <w:rsid w:val="004200C3"/>
    <w:rsid w:val="00420212"/>
    <w:rsid w:val="00420865"/>
    <w:rsid w:val="00420A55"/>
    <w:rsid w:val="00420A5C"/>
    <w:rsid w:val="00420E60"/>
    <w:rsid w:val="0042178F"/>
    <w:rsid w:val="0042190C"/>
    <w:rsid w:val="004219A7"/>
    <w:rsid w:val="00422049"/>
    <w:rsid w:val="00422232"/>
    <w:rsid w:val="0042226E"/>
    <w:rsid w:val="004222F3"/>
    <w:rsid w:val="00423192"/>
    <w:rsid w:val="00423816"/>
    <w:rsid w:val="00423B70"/>
    <w:rsid w:val="00423BE9"/>
    <w:rsid w:val="00423D75"/>
    <w:rsid w:val="0042453A"/>
    <w:rsid w:val="0042465E"/>
    <w:rsid w:val="00424683"/>
    <w:rsid w:val="004246C9"/>
    <w:rsid w:val="00424B98"/>
    <w:rsid w:val="00424B9C"/>
    <w:rsid w:val="00425006"/>
    <w:rsid w:val="004255E5"/>
    <w:rsid w:val="00425DEC"/>
    <w:rsid w:val="004263BC"/>
    <w:rsid w:val="004270FE"/>
    <w:rsid w:val="0042793F"/>
    <w:rsid w:val="00427A97"/>
    <w:rsid w:val="00427D7C"/>
    <w:rsid w:val="00430378"/>
    <w:rsid w:val="00430858"/>
    <w:rsid w:val="00430BD9"/>
    <w:rsid w:val="0043106B"/>
    <w:rsid w:val="0043119A"/>
    <w:rsid w:val="004312B6"/>
    <w:rsid w:val="0043178A"/>
    <w:rsid w:val="004317C7"/>
    <w:rsid w:val="00431A22"/>
    <w:rsid w:val="0043230A"/>
    <w:rsid w:val="0043233C"/>
    <w:rsid w:val="00432422"/>
    <w:rsid w:val="004324FB"/>
    <w:rsid w:val="00432B97"/>
    <w:rsid w:val="004336E6"/>
    <w:rsid w:val="004337C6"/>
    <w:rsid w:val="0043393D"/>
    <w:rsid w:val="00433D25"/>
    <w:rsid w:val="00433D3E"/>
    <w:rsid w:val="00433F16"/>
    <w:rsid w:val="00434140"/>
    <w:rsid w:val="00434275"/>
    <w:rsid w:val="004346A9"/>
    <w:rsid w:val="00434904"/>
    <w:rsid w:val="00434B5B"/>
    <w:rsid w:val="00434B6E"/>
    <w:rsid w:val="00434EAB"/>
    <w:rsid w:val="00435761"/>
    <w:rsid w:val="00435AD6"/>
    <w:rsid w:val="004362B0"/>
    <w:rsid w:val="00436464"/>
    <w:rsid w:val="0043651B"/>
    <w:rsid w:val="004367C1"/>
    <w:rsid w:val="00436EBA"/>
    <w:rsid w:val="00436F1D"/>
    <w:rsid w:val="00436F32"/>
    <w:rsid w:val="00436F50"/>
    <w:rsid w:val="004373A2"/>
    <w:rsid w:val="0043769C"/>
    <w:rsid w:val="004376DB"/>
    <w:rsid w:val="004376EE"/>
    <w:rsid w:val="00437764"/>
    <w:rsid w:val="00437925"/>
    <w:rsid w:val="00437AA7"/>
    <w:rsid w:val="00437ABF"/>
    <w:rsid w:val="00437E05"/>
    <w:rsid w:val="00440608"/>
    <w:rsid w:val="004406EE"/>
    <w:rsid w:val="00440855"/>
    <w:rsid w:val="00440F2E"/>
    <w:rsid w:val="00441251"/>
    <w:rsid w:val="00441324"/>
    <w:rsid w:val="004413AD"/>
    <w:rsid w:val="004414B8"/>
    <w:rsid w:val="0044178A"/>
    <w:rsid w:val="004418A6"/>
    <w:rsid w:val="00441A2F"/>
    <w:rsid w:val="00441F70"/>
    <w:rsid w:val="004426B8"/>
    <w:rsid w:val="004428CE"/>
    <w:rsid w:val="00442EC7"/>
    <w:rsid w:val="00442F62"/>
    <w:rsid w:val="00443120"/>
    <w:rsid w:val="00443D7E"/>
    <w:rsid w:val="00443E53"/>
    <w:rsid w:val="00443E6D"/>
    <w:rsid w:val="0044411D"/>
    <w:rsid w:val="004442B5"/>
    <w:rsid w:val="00444A3B"/>
    <w:rsid w:val="00444C15"/>
    <w:rsid w:val="00444DE6"/>
    <w:rsid w:val="00444FE2"/>
    <w:rsid w:val="00445828"/>
    <w:rsid w:val="00445954"/>
    <w:rsid w:val="00445DC2"/>
    <w:rsid w:val="00445F43"/>
    <w:rsid w:val="00446634"/>
    <w:rsid w:val="004467D3"/>
    <w:rsid w:val="00446B0F"/>
    <w:rsid w:val="00446DC5"/>
    <w:rsid w:val="00446E09"/>
    <w:rsid w:val="00446EBD"/>
    <w:rsid w:val="00447030"/>
    <w:rsid w:val="00447884"/>
    <w:rsid w:val="00447B74"/>
    <w:rsid w:val="00447E6B"/>
    <w:rsid w:val="00447EB2"/>
    <w:rsid w:val="00447F8E"/>
    <w:rsid w:val="00450AEA"/>
    <w:rsid w:val="00450FDD"/>
    <w:rsid w:val="0045175C"/>
    <w:rsid w:val="00451C3D"/>
    <w:rsid w:val="00452298"/>
    <w:rsid w:val="004526DA"/>
    <w:rsid w:val="00452C33"/>
    <w:rsid w:val="00452C7B"/>
    <w:rsid w:val="00452CD6"/>
    <w:rsid w:val="0045334B"/>
    <w:rsid w:val="0045456C"/>
    <w:rsid w:val="004545B7"/>
    <w:rsid w:val="00454A70"/>
    <w:rsid w:val="00454FF5"/>
    <w:rsid w:val="004551A9"/>
    <w:rsid w:val="0045595B"/>
    <w:rsid w:val="004559AE"/>
    <w:rsid w:val="00455D79"/>
    <w:rsid w:val="00455F0E"/>
    <w:rsid w:val="00456453"/>
    <w:rsid w:val="00456B6B"/>
    <w:rsid w:val="00456BE5"/>
    <w:rsid w:val="00456DFE"/>
    <w:rsid w:val="004573E5"/>
    <w:rsid w:val="00457544"/>
    <w:rsid w:val="00457999"/>
    <w:rsid w:val="00457A73"/>
    <w:rsid w:val="00457E4A"/>
    <w:rsid w:val="00457F43"/>
    <w:rsid w:val="00460642"/>
    <w:rsid w:val="00460A31"/>
    <w:rsid w:val="00460B3B"/>
    <w:rsid w:val="00460B68"/>
    <w:rsid w:val="00461CC8"/>
    <w:rsid w:val="00462038"/>
    <w:rsid w:val="004621F4"/>
    <w:rsid w:val="0046286D"/>
    <w:rsid w:val="004629AB"/>
    <w:rsid w:val="00463171"/>
    <w:rsid w:val="004633E0"/>
    <w:rsid w:val="0046387D"/>
    <w:rsid w:val="004638DB"/>
    <w:rsid w:val="004642B4"/>
    <w:rsid w:val="0046486E"/>
    <w:rsid w:val="00464A42"/>
    <w:rsid w:val="00464CAE"/>
    <w:rsid w:val="00464E42"/>
    <w:rsid w:val="0046502C"/>
    <w:rsid w:val="004650E4"/>
    <w:rsid w:val="004655C6"/>
    <w:rsid w:val="00465634"/>
    <w:rsid w:val="004656BF"/>
    <w:rsid w:val="00465D17"/>
    <w:rsid w:val="004664DB"/>
    <w:rsid w:val="0046658D"/>
    <w:rsid w:val="00466FB5"/>
    <w:rsid w:val="004703E1"/>
    <w:rsid w:val="004709B2"/>
    <w:rsid w:val="00470BAF"/>
    <w:rsid w:val="00470C96"/>
    <w:rsid w:val="00470D00"/>
    <w:rsid w:val="00471B00"/>
    <w:rsid w:val="00472AE1"/>
    <w:rsid w:val="00472EA9"/>
    <w:rsid w:val="00473157"/>
    <w:rsid w:val="00473176"/>
    <w:rsid w:val="004734B6"/>
    <w:rsid w:val="004734C5"/>
    <w:rsid w:val="0047364B"/>
    <w:rsid w:val="0047374E"/>
    <w:rsid w:val="00473B3D"/>
    <w:rsid w:val="00473E7E"/>
    <w:rsid w:val="00473E90"/>
    <w:rsid w:val="00473EBB"/>
    <w:rsid w:val="004741F7"/>
    <w:rsid w:val="004742BB"/>
    <w:rsid w:val="00474411"/>
    <w:rsid w:val="004744DB"/>
    <w:rsid w:val="0047477B"/>
    <w:rsid w:val="0047497B"/>
    <w:rsid w:val="00474C6B"/>
    <w:rsid w:val="00475321"/>
    <w:rsid w:val="0047565B"/>
    <w:rsid w:val="0047634F"/>
    <w:rsid w:val="00476358"/>
    <w:rsid w:val="00476B07"/>
    <w:rsid w:val="00476C35"/>
    <w:rsid w:val="00476FD3"/>
    <w:rsid w:val="00477808"/>
    <w:rsid w:val="004779D0"/>
    <w:rsid w:val="00477C19"/>
    <w:rsid w:val="00477DBB"/>
    <w:rsid w:val="004801E0"/>
    <w:rsid w:val="00480BB7"/>
    <w:rsid w:val="00480EE3"/>
    <w:rsid w:val="004812FB"/>
    <w:rsid w:val="004816CA"/>
    <w:rsid w:val="004817BE"/>
    <w:rsid w:val="004817BF"/>
    <w:rsid w:val="00481E5F"/>
    <w:rsid w:val="00481E92"/>
    <w:rsid w:val="004826AF"/>
    <w:rsid w:val="0048272F"/>
    <w:rsid w:val="00482D54"/>
    <w:rsid w:val="00483271"/>
    <w:rsid w:val="004835C2"/>
    <w:rsid w:val="00483859"/>
    <w:rsid w:val="00483B46"/>
    <w:rsid w:val="00483D3B"/>
    <w:rsid w:val="004845F1"/>
    <w:rsid w:val="004850B3"/>
    <w:rsid w:val="004857E7"/>
    <w:rsid w:val="00485E19"/>
    <w:rsid w:val="00486130"/>
    <w:rsid w:val="004865A8"/>
    <w:rsid w:val="00486ADC"/>
    <w:rsid w:val="00486B96"/>
    <w:rsid w:val="00486C58"/>
    <w:rsid w:val="0048777D"/>
    <w:rsid w:val="004879AF"/>
    <w:rsid w:val="00487D18"/>
    <w:rsid w:val="00490038"/>
    <w:rsid w:val="00490059"/>
    <w:rsid w:val="00490162"/>
    <w:rsid w:val="004904F7"/>
    <w:rsid w:val="00490A5D"/>
    <w:rsid w:val="00490F09"/>
    <w:rsid w:val="00491030"/>
    <w:rsid w:val="004910AC"/>
    <w:rsid w:val="004914D8"/>
    <w:rsid w:val="004919E8"/>
    <w:rsid w:val="00491E18"/>
    <w:rsid w:val="00491F91"/>
    <w:rsid w:val="00491FF6"/>
    <w:rsid w:val="00492145"/>
    <w:rsid w:val="004928CE"/>
    <w:rsid w:val="00492A2F"/>
    <w:rsid w:val="00492BA1"/>
    <w:rsid w:val="00492D7E"/>
    <w:rsid w:val="00493540"/>
    <w:rsid w:val="00493607"/>
    <w:rsid w:val="004939E4"/>
    <w:rsid w:val="00493D36"/>
    <w:rsid w:val="00493E35"/>
    <w:rsid w:val="00494AD6"/>
    <w:rsid w:val="00495120"/>
    <w:rsid w:val="00495E67"/>
    <w:rsid w:val="004963F9"/>
    <w:rsid w:val="0049698A"/>
    <w:rsid w:val="00496B4E"/>
    <w:rsid w:val="00496DE2"/>
    <w:rsid w:val="00497448"/>
    <w:rsid w:val="004975AA"/>
    <w:rsid w:val="00497935"/>
    <w:rsid w:val="004A034A"/>
    <w:rsid w:val="004A0476"/>
    <w:rsid w:val="004A07D7"/>
    <w:rsid w:val="004A0A69"/>
    <w:rsid w:val="004A0F9E"/>
    <w:rsid w:val="004A10D4"/>
    <w:rsid w:val="004A1130"/>
    <w:rsid w:val="004A1219"/>
    <w:rsid w:val="004A1A77"/>
    <w:rsid w:val="004A1DAA"/>
    <w:rsid w:val="004A23D2"/>
    <w:rsid w:val="004A25A0"/>
    <w:rsid w:val="004A285D"/>
    <w:rsid w:val="004A2928"/>
    <w:rsid w:val="004A2D1D"/>
    <w:rsid w:val="004A302B"/>
    <w:rsid w:val="004A3242"/>
    <w:rsid w:val="004A3838"/>
    <w:rsid w:val="004A4467"/>
    <w:rsid w:val="004A4957"/>
    <w:rsid w:val="004A5258"/>
    <w:rsid w:val="004A5467"/>
    <w:rsid w:val="004A5AE2"/>
    <w:rsid w:val="004A5BB1"/>
    <w:rsid w:val="004A5CB1"/>
    <w:rsid w:val="004A5E3E"/>
    <w:rsid w:val="004A5EAA"/>
    <w:rsid w:val="004A638D"/>
    <w:rsid w:val="004A64EC"/>
    <w:rsid w:val="004A695F"/>
    <w:rsid w:val="004A697B"/>
    <w:rsid w:val="004A6A35"/>
    <w:rsid w:val="004A6EA6"/>
    <w:rsid w:val="004A7550"/>
    <w:rsid w:val="004A7966"/>
    <w:rsid w:val="004A7A54"/>
    <w:rsid w:val="004B0239"/>
    <w:rsid w:val="004B0379"/>
    <w:rsid w:val="004B0A69"/>
    <w:rsid w:val="004B0D1E"/>
    <w:rsid w:val="004B0E2E"/>
    <w:rsid w:val="004B1604"/>
    <w:rsid w:val="004B1701"/>
    <w:rsid w:val="004B1804"/>
    <w:rsid w:val="004B18CC"/>
    <w:rsid w:val="004B2609"/>
    <w:rsid w:val="004B2722"/>
    <w:rsid w:val="004B2F3D"/>
    <w:rsid w:val="004B32A0"/>
    <w:rsid w:val="004B36C1"/>
    <w:rsid w:val="004B3A60"/>
    <w:rsid w:val="004B3FCD"/>
    <w:rsid w:val="004B4C62"/>
    <w:rsid w:val="004B4D15"/>
    <w:rsid w:val="004B5064"/>
    <w:rsid w:val="004B5078"/>
    <w:rsid w:val="004B5096"/>
    <w:rsid w:val="004B51DA"/>
    <w:rsid w:val="004B54EF"/>
    <w:rsid w:val="004B592E"/>
    <w:rsid w:val="004B5CE2"/>
    <w:rsid w:val="004B5DAC"/>
    <w:rsid w:val="004B6147"/>
    <w:rsid w:val="004B6184"/>
    <w:rsid w:val="004B6634"/>
    <w:rsid w:val="004B67BB"/>
    <w:rsid w:val="004B67F1"/>
    <w:rsid w:val="004B6812"/>
    <w:rsid w:val="004B7293"/>
    <w:rsid w:val="004B7DD1"/>
    <w:rsid w:val="004C0096"/>
    <w:rsid w:val="004C00A3"/>
    <w:rsid w:val="004C00F4"/>
    <w:rsid w:val="004C037B"/>
    <w:rsid w:val="004C082A"/>
    <w:rsid w:val="004C0830"/>
    <w:rsid w:val="004C085B"/>
    <w:rsid w:val="004C0BDA"/>
    <w:rsid w:val="004C0BF2"/>
    <w:rsid w:val="004C1472"/>
    <w:rsid w:val="004C165E"/>
    <w:rsid w:val="004C1BF9"/>
    <w:rsid w:val="004C1C3E"/>
    <w:rsid w:val="004C23BD"/>
    <w:rsid w:val="004C2498"/>
    <w:rsid w:val="004C331E"/>
    <w:rsid w:val="004C333F"/>
    <w:rsid w:val="004C33BC"/>
    <w:rsid w:val="004C3D19"/>
    <w:rsid w:val="004C3FC0"/>
    <w:rsid w:val="004C42C9"/>
    <w:rsid w:val="004C45B2"/>
    <w:rsid w:val="004C4D54"/>
    <w:rsid w:val="004C5B42"/>
    <w:rsid w:val="004C5ECB"/>
    <w:rsid w:val="004C6672"/>
    <w:rsid w:val="004C68B6"/>
    <w:rsid w:val="004C74F1"/>
    <w:rsid w:val="004D039F"/>
    <w:rsid w:val="004D04F6"/>
    <w:rsid w:val="004D0ED5"/>
    <w:rsid w:val="004D12A8"/>
    <w:rsid w:val="004D1906"/>
    <w:rsid w:val="004D1C16"/>
    <w:rsid w:val="004D203B"/>
    <w:rsid w:val="004D240F"/>
    <w:rsid w:val="004D2434"/>
    <w:rsid w:val="004D2710"/>
    <w:rsid w:val="004D29CC"/>
    <w:rsid w:val="004D2AB8"/>
    <w:rsid w:val="004D2D7A"/>
    <w:rsid w:val="004D37B3"/>
    <w:rsid w:val="004D391B"/>
    <w:rsid w:val="004D3E11"/>
    <w:rsid w:val="004D4043"/>
    <w:rsid w:val="004D4304"/>
    <w:rsid w:val="004D470B"/>
    <w:rsid w:val="004D4CD1"/>
    <w:rsid w:val="004D4E73"/>
    <w:rsid w:val="004D503B"/>
    <w:rsid w:val="004D50AB"/>
    <w:rsid w:val="004D514C"/>
    <w:rsid w:val="004D524E"/>
    <w:rsid w:val="004D5266"/>
    <w:rsid w:val="004D54B7"/>
    <w:rsid w:val="004D60DF"/>
    <w:rsid w:val="004D6786"/>
    <w:rsid w:val="004D69E1"/>
    <w:rsid w:val="004D7869"/>
    <w:rsid w:val="004D7EE4"/>
    <w:rsid w:val="004E0137"/>
    <w:rsid w:val="004E11CF"/>
    <w:rsid w:val="004E121B"/>
    <w:rsid w:val="004E18E7"/>
    <w:rsid w:val="004E1E29"/>
    <w:rsid w:val="004E1ECE"/>
    <w:rsid w:val="004E1EF5"/>
    <w:rsid w:val="004E23F7"/>
    <w:rsid w:val="004E24D1"/>
    <w:rsid w:val="004E2A73"/>
    <w:rsid w:val="004E2B5D"/>
    <w:rsid w:val="004E3268"/>
    <w:rsid w:val="004E33F8"/>
    <w:rsid w:val="004E368A"/>
    <w:rsid w:val="004E3801"/>
    <w:rsid w:val="004E39C9"/>
    <w:rsid w:val="004E417F"/>
    <w:rsid w:val="004E41A1"/>
    <w:rsid w:val="004E4391"/>
    <w:rsid w:val="004E46F5"/>
    <w:rsid w:val="004E4CA8"/>
    <w:rsid w:val="004E4D78"/>
    <w:rsid w:val="004E4E20"/>
    <w:rsid w:val="004E500B"/>
    <w:rsid w:val="004E5153"/>
    <w:rsid w:val="004E5C65"/>
    <w:rsid w:val="004E687B"/>
    <w:rsid w:val="004E70F3"/>
    <w:rsid w:val="004E713A"/>
    <w:rsid w:val="004E7290"/>
    <w:rsid w:val="004E7649"/>
    <w:rsid w:val="004E79EC"/>
    <w:rsid w:val="004E7AD7"/>
    <w:rsid w:val="004E7B2E"/>
    <w:rsid w:val="004E7BDD"/>
    <w:rsid w:val="004F01D5"/>
    <w:rsid w:val="004F0439"/>
    <w:rsid w:val="004F0738"/>
    <w:rsid w:val="004F0A17"/>
    <w:rsid w:val="004F115C"/>
    <w:rsid w:val="004F13A0"/>
    <w:rsid w:val="004F17D0"/>
    <w:rsid w:val="004F1BB6"/>
    <w:rsid w:val="004F2044"/>
    <w:rsid w:val="004F20DC"/>
    <w:rsid w:val="004F23BA"/>
    <w:rsid w:val="004F33A6"/>
    <w:rsid w:val="004F35B2"/>
    <w:rsid w:val="004F35D6"/>
    <w:rsid w:val="004F3982"/>
    <w:rsid w:val="004F3A47"/>
    <w:rsid w:val="004F3AE1"/>
    <w:rsid w:val="004F3C71"/>
    <w:rsid w:val="004F3CDC"/>
    <w:rsid w:val="004F4537"/>
    <w:rsid w:val="004F4797"/>
    <w:rsid w:val="004F5068"/>
    <w:rsid w:val="004F51E9"/>
    <w:rsid w:val="004F54F5"/>
    <w:rsid w:val="004F551A"/>
    <w:rsid w:val="004F5C06"/>
    <w:rsid w:val="004F5FCC"/>
    <w:rsid w:val="004F63CD"/>
    <w:rsid w:val="004F63D5"/>
    <w:rsid w:val="004F64E4"/>
    <w:rsid w:val="004F662E"/>
    <w:rsid w:val="004F6A3A"/>
    <w:rsid w:val="004F6D13"/>
    <w:rsid w:val="004F6D20"/>
    <w:rsid w:val="004F6E61"/>
    <w:rsid w:val="004F71AC"/>
    <w:rsid w:val="004F75B7"/>
    <w:rsid w:val="004F783D"/>
    <w:rsid w:val="004F798E"/>
    <w:rsid w:val="005004E2"/>
    <w:rsid w:val="005009D1"/>
    <w:rsid w:val="005012E6"/>
    <w:rsid w:val="00501B88"/>
    <w:rsid w:val="0050246A"/>
    <w:rsid w:val="005025AD"/>
    <w:rsid w:val="005029B4"/>
    <w:rsid w:val="005033B1"/>
    <w:rsid w:val="0050348C"/>
    <w:rsid w:val="005039C8"/>
    <w:rsid w:val="00503A7E"/>
    <w:rsid w:val="00503ADE"/>
    <w:rsid w:val="00503BA8"/>
    <w:rsid w:val="00504660"/>
    <w:rsid w:val="00504D6A"/>
    <w:rsid w:val="00505BCC"/>
    <w:rsid w:val="00505CD4"/>
    <w:rsid w:val="00506869"/>
    <w:rsid w:val="00506974"/>
    <w:rsid w:val="00506E52"/>
    <w:rsid w:val="005072C5"/>
    <w:rsid w:val="005078D1"/>
    <w:rsid w:val="00510003"/>
    <w:rsid w:val="00510174"/>
    <w:rsid w:val="005104D5"/>
    <w:rsid w:val="0051091F"/>
    <w:rsid w:val="00510AC0"/>
    <w:rsid w:val="00511028"/>
    <w:rsid w:val="0051115B"/>
    <w:rsid w:val="00511482"/>
    <w:rsid w:val="00511611"/>
    <w:rsid w:val="005117FB"/>
    <w:rsid w:val="00511A63"/>
    <w:rsid w:val="00511A77"/>
    <w:rsid w:val="00511AC5"/>
    <w:rsid w:val="00512305"/>
    <w:rsid w:val="00512844"/>
    <w:rsid w:val="00512B6C"/>
    <w:rsid w:val="00512C52"/>
    <w:rsid w:val="00512FFF"/>
    <w:rsid w:val="00513075"/>
    <w:rsid w:val="0051350B"/>
    <w:rsid w:val="00513592"/>
    <w:rsid w:val="00513851"/>
    <w:rsid w:val="00513D9B"/>
    <w:rsid w:val="00514152"/>
    <w:rsid w:val="0051436F"/>
    <w:rsid w:val="0051498D"/>
    <w:rsid w:val="00514D56"/>
    <w:rsid w:val="00514F71"/>
    <w:rsid w:val="005158B6"/>
    <w:rsid w:val="005158C0"/>
    <w:rsid w:val="005159D9"/>
    <w:rsid w:val="00515A24"/>
    <w:rsid w:val="00515DD3"/>
    <w:rsid w:val="00515E0B"/>
    <w:rsid w:val="00515ED5"/>
    <w:rsid w:val="00516523"/>
    <w:rsid w:val="005166CD"/>
    <w:rsid w:val="00516705"/>
    <w:rsid w:val="005169BC"/>
    <w:rsid w:val="00516B0E"/>
    <w:rsid w:val="00517A06"/>
    <w:rsid w:val="00517BD2"/>
    <w:rsid w:val="00517CD1"/>
    <w:rsid w:val="00517FA7"/>
    <w:rsid w:val="0052026F"/>
    <w:rsid w:val="005203C5"/>
    <w:rsid w:val="0052042A"/>
    <w:rsid w:val="00520AA1"/>
    <w:rsid w:val="005213EA"/>
    <w:rsid w:val="00521578"/>
    <w:rsid w:val="00521BA2"/>
    <w:rsid w:val="0052217F"/>
    <w:rsid w:val="00522204"/>
    <w:rsid w:val="0052237E"/>
    <w:rsid w:val="0052269D"/>
    <w:rsid w:val="00522E94"/>
    <w:rsid w:val="00522EEE"/>
    <w:rsid w:val="005231EC"/>
    <w:rsid w:val="005233DC"/>
    <w:rsid w:val="00523E4B"/>
    <w:rsid w:val="005241BC"/>
    <w:rsid w:val="00524468"/>
    <w:rsid w:val="00524EDE"/>
    <w:rsid w:val="0052534A"/>
    <w:rsid w:val="005255A6"/>
    <w:rsid w:val="005255B4"/>
    <w:rsid w:val="00525C36"/>
    <w:rsid w:val="00526648"/>
    <w:rsid w:val="005266F3"/>
    <w:rsid w:val="0052770D"/>
    <w:rsid w:val="00527EBA"/>
    <w:rsid w:val="00527FDA"/>
    <w:rsid w:val="00530135"/>
    <w:rsid w:val="005302FC"/>
    <w:rsid w:val="00530B8F"/>
    <w:rsid w:val="005315C8"/>
    <w:rsid w:val="005315E4"/>
    <w:rsid w:val="005316DB"/>
    <w:rsid w:val="00531966"/>
    <w:rsid w:val="00532066"/>
    <w:rsid w:val="005321A2"/>
    <w:rsid w:val="0053222A"/>
    <w:rsid w:val="00532396"/>
    <w:rsid w:val="00532417"/>
    <w:rsid w:val="00532418"/>
    <w:rsid w:val="0053254C"/>
    <w:rsid w:val="00532933"/>
    <w:rsid w:val="00532A29"/>
    <w:rsid w:val="00532BC4"/>
    <w:rsid w:val="005332EE"/>
    <w:rsid w:val="00533380"/>
    <w:rsid w:val="005337F7"/>
    <w:rsid w:val="00533A0B"/>
    <w:rsid w:val="00533C23"/>
    <w:rsid w:val="00533C90"/>
    <w:rsid w:val="00534950"/>
    <w:rsid w:val="00534A0C"/>
    <w:rsid w:val="00534B75"/>
    <w:rsid w:val="00534E2E"/>
    <w:rsid w:val="005351E4"/>
    <w:rsid w:val="00535465"/>
    <w:rsid w:val="005355A6"/>
    <w:rsid w:val="0053561B"/>
    <w:rsid w:val="00535AC6"/>
    <w:rsid w:val="00535BD2"/>
    <w:rsid w:val="00535FD3"/>
    <w:rsid w:val="005360FC"/>
    <w:rsid w:val="005363F4"/>
    <w:rsid w:val="00536F72"/>
    <w:rsid w:val="00537690"/>
    <w:rsid w:val="00537A6F"/>
    <w:rsid w:val="00537B0E"/>
    <w:rsid w:val="00537EFF"/>
    <w:rsid w:val="00540565"/>
    <w:rsid w:val="00540AA0"/>
    <w:rsid w:val="0054113C"/>
    <w:rsid w:val="0054195C"/>
    <w:rsid w:val="00541BCD"/>
    <w:rsid w:val="00541CAA"/>
    <w:rsid w:val="00542522"/>
    <w:rsid w:val="00542AA2"/>
    <w:rsid w:val="00542B06"/>
    <w:rsid w:val="00542B7D"/>
    <w:rsid w:val="00542BCC"/>
    <w:rsid w:val="00542E14"/>
    <w:rsid w:val="00542FA8"/>
    <w:rsid w:val="00543058"/>
    <w:rsid w:val="00543BA1"/>
    <w:rsid w:val="00543FFA"/>
    <w:rsid w:val="00544148"/>
    <w:rsid w:val="00544398"/>
    <w:rsid w:val="0054463A"/>
    <w:rsid w:val="00544845"/>
    <w:rsid w:val="005448C9"/>
    <w:rsid w:val="00544B14"/>
    <w:rsid w:val="0054518F"/>
    <w:rsid w:val="00545300"/>
    <w:rsid w:val="0054571A"/>
    <w:rsid w:val="005457D4"/>
    <w:rsid w:val="0054591C"/>
    <w:rsid w:val="00545B9B"/>
    <w:rsid w:val="00545CBC"/>
    <w:rsid w:val="00545D0D"/>
    <w:rsid w:val="00545DF4"/>
    <w:rsid w:val="00545FB6"/>
    <w:rsid w:val="005463A2"/>
    <w:rsid w:val="0054677C"/>
    <w:rsid w:val="005469A6"/>
    <w:rsid w:val="00546B77"/>
    <w:rsid w:val="00547AA9"/>
    <w:rsid w:val="00550112"/>
    <w:rsid w:val="0055100A"/>
    <w:rsid w:val="005516B3"/>
    <w:rsid w:val="00551800"/>
    <w:rsid w:val="00551AE2"/>
    <w:rsid w:val="00551B81"/>
    <w:rsid w:val="00551C21"/>
    <w:rsid w:val="0055250F"/>
    <w:rsid w:val="00552BF6"/>
    <w:rsid w:val="005534FA"/>
    <w:rsid w:val="00553CA4"/>
    <w:rsid w:val="00554897"/>
    <w:rsid w:val="005550CA"/>
    <w:rsid w:val="0055522B"/>
    <w:rsid w:val="00555785"/>
    <w:rsid w:val="00555BDF"/>
    <w:rsid w:val="00555D4A"/>
    <w:rsid w:val="00555FBA"/>
    <w:rsid w:val="00556368"/>
    <w:rsid w:val="0055742C"/>
    <w:rsid w:val="00557471"/>
    <w:rsid w:val="005578D0"/>
    <w:rsid w:val="00557AA6"/>
    <w:rsid w:val="00560BA8"/>
    <w:rsid w:val="005610E1"/>
    <w:rsid w:val="005618E0"/>
    <w:rsid w:val="005619AA"/>
    <w:rsid w:val="00561B6E"/>
    <w:rsid w:val="00562334"/>
    <w:rsid w:val="00562394"/>
    <w:rsid w:val="00562BE1"/>
    <w:rsid w:val="00563106"/>
    <w:rsid w:val="00563255"/>
    <w:rsid w:val="00563563"/>
    <w:rsid w:val="005635AA"/>
    <w:rsid w:val="00563762"/>
    <w:rsid w:val="00563C9E"/>
    <w:rsid w:val="005640B5"/>
    <w:rsid w:val="005644F1"/>
    <w:rsid w:val="0056462D"/>
    <w:rsid w:val="00564A38"/>
    <w:rsid w:val="00564B47"/>
    <w:rsid w:val="00564B73"/>
    <w:rsid w:val="00564E65"/>
    <w:rsid w:val="00564E90"/>
    <w:rsid w:val="00564F88"/>
    <w:rsid w:val="00565212"/>
    <w:rsid w:val="005652AF"/>
    <w:rsid w:val="005652C6"/>
    <w:rsid w:val="00565929"/>
    <w:rsid w:val="00565AF7"/>
    <w:rsid w:val="00565E5B"/>
    <w:rsid w:val="00565E87"/>
    <w:rsid w:val="00566273"/>
    <w:rsid w:val="005662BC"/>
    <w:rsid w:val="005663C5"/>
    <w:rsid w:val="005665DB"/>
    <w:rsid w:val="005666D0"/>
    <w:rsid w:val="00566A09"/>
    <w:rsid w:val="00566A47"/>
    <w:rsid w:val="00566ACF"/>
    <w:rsid w:val="00566AE8"/>
    <w:rsid w:val="00566DA7"/>
    <w:rsid w:val="0057069F"/>
    <w:rsid w:val="00570776"/>
    <w:rsid w:val="00570FAD"/>
    <w:rsid w:val="00570FE4"/>
    <w:rsid w:val="00571B29"/>
    <w:rsid w:val="00571E28"/>
    <w:rsid w:val="0057277D"/>
    <w:rsid w:val="00572ACB"/>
    <w:rsid w:val="00572CEF"/>
    <w:rsid w:val="00572E2C"/>
    <w:rsid w:val="00573117"/>
    <w:rsid w:val="0057350C"/>
    <w:rsid w:val="00573BD3"/>
    <w:rsid w:val="00573D00"/>
    <w:rsid w:val="00573E67"/>
    <w:rsid w:val="00573F30"/>
    <w:rsid w:val="00574AA0"/>
    <w:rsid w:val="00574FCC"/>
    <w:rsid w:val="00575587"/>
    <w:rsid w:val="00575AAB"/>
    <w:rsid w:val="005769B5"/>
    <w:rsid w:val="00576CC9"/>
    <w:rsid w:val="00577116"/>
    <w:rsid w:val="00577515"/>
    <w:rsid w:val="005775E2"/>
    <w:rsid w:val="00577816"/>
    <w:rsid w:val="00577A1C"/>
    <w:rsid w:val="00577B64"/>
    <w:rsid w:val="005800B7"/>
    <w:rsid w:val="005802D0"/>
    <w:rsid w:val="005804DF"/>
    <w:rsid w:val="005807D8"/>
    <w:rsid w:val="00580CE8"/>
    <w:rsid w:val="00580D6B"/>
    <w:rsid w:val="00581383"/>
    <w:rsid w:val="00581737"/>
    <w:rsid w:val="00581C48"/>
    <w:rsid w:val="00581FC5"/>
    <w:rsid w:val="005820A6"/>
    <w:rsid w:val="0058212D"/>
    <w:rsid w:val="00582229"/>
    <w:rsid w:val="005822C5"/>
    <w:rsid w:val="00582516"/>
    <w:rsid w:val="00582C63"/>
    <w:rsid w:val="00582EF2"/>
    <w:rsid w:val="0058361C"/>
    <w:rsid w:val="00583778"/>
    <w:rsid w:val="0058383C"/>
    <w:rsid w:val="005838B8"/>
    <w:rsid w:val="0058391D"/>
    <w:rsid w:val="0058398E"/>
    <w:rsid w:val="00583C90"/>
    <w:rsid w:val="00584505"/>
    <w:rsid w:val="00584604"/>
    <w:rsid w:val="005846A8"/>
    <w:rsid w:val="005847E6"/>
    <w:rsid w:val="00584806"/>
    <w:rsid w:val="00584831"/>
    <w:rsid w:val="00584A09"/>
    <w:rsid w:val="00584A21"/>
    <w:rsid w:val="00584AB8"/>
    <w:rsid w:val="00584D83"/>
    <w:rsid w:val="005852EB"/>
    <w:rsid w:val="00585768"/>
    <w:rsid w:val="00585A42"/>
    <w:rsid w:val="00585F27"/>
    <w:rsid w:val="00586120"/>
    <w:rsid w:val="00586531"/>
    <w:rsid w:val="00586A0A"/>
    <w:rsid w:val="00586E21"/>
    <w:rsid w:val="00586EA5"/>
    <w:rsid w:val="00586F35"/>
    <w:rsid w:val="0058704D"/>
    <w:rsid w:val="00587430"/>
    <w:rsid w:val="0058746A"/>
    <w:rsid w:val="005874A3"/>
    <w:rsid w:val="00587C9D"/>
    <w:rsid w:val="00587D7C"/>
    <w:rsid w:val="00587DC2"/>
    <w:rsid w:val="00590176"/>
    <w:rsid w:val="00590567"/>
    <w:rsid w:val="00590750"/>
    <w:rsid w:val="00590BDF"/>
    <w:rsid w:val="00590F26"/>
    <w:rsid w:val="005913B3"/>
    <w:rsid w:val="00591656"/>
    <w:rsid w:val="00592157"/>
    <w:rsid w:val="005929EA"/>
    <w:rsid w:val="005929EC"/>
    <w:rsid w:val="00592CF7"/>
    <w:rsid w:val="00592EB2"/>
    <w:rsid w:val="00592F94"/>
    <w:rsid w:val="005934AC"/>
    <w:rsid w:val="0059365F"/>
    <w:rsid w:val="00593788"/>
    <w:rsid w:val="0059391A"/>
    <w:rsid w:val="00593A5A"/>
    <w:rsid w:val="00593C45"/>
    <w:rsid w:val="0059453A"/>
    <w:rsid w:val="00594AE8"/>
    <w:rsid w:val="00594B4B"/>
    <w:rsid w:val="00594BDC"/>
    <w:rsid w:val="005953E3"/>
    <w:rsid w:val="0059564B"/>
    <w:rsid w:val="005956AF"/>
    <w:rsid w:val="00595C9E"/>
    <w:rsid w:val="005960EF"/>
    <w:rsid w:val="005961D5"/>
    <w:rsid w:val="005962B7"/>
    <w:rsid w:val="00596420"/>
    <w:rsid w:val="005969C4"/>
    <w:rsid w:val="005969EC"/>
    <w:rsid w:val="005972A7"/>
    <w:rsid w:val="00597639"/>
    <w:rsid w:val="0059772F"/>
    <w:rsid w:val="00597DBA"/>
    <w:rsid w:val="005A02B1"/>
    <w:rsid w:val="005A057F"/>
    <w:rsid w:val="005A059E"/>
    <w:rsid w:val="005A05B4"/>
    <w:rsid w:val="005A06B0"/>
    <w:rsid w:val="005A0A58"/>
    <w:rsid w:val="005A0C38"/>
    <w:rsid w:val="005A0F4F"/>
    <w:rsid w:val="005A0FCF"/>
    <w:rsid w:val="005A183D"/>
    <w:rsid w:val="005A1A1F"/>
    <w:rsid w:val="005A1AF5"/>
    <w:rsid w:val="005A1D6F"/>
    <w:rsid w:val="005A242A"/>
    <w:rsid w:val="005A26CC"/>
    <w:rsid w:val="005A2B28"/>
    <w:rsid w:val="005A31F6"/>
    <w:rsid w:val="005A39B7"/>
    <w:rsid w:val="005A3AAC"/>
    <w:rsid w:val="005A4ACE"/>
    <w:rsid w:val="005A4E51"/>
    <w:rsid w:val="005A4FD2"/>
    <w:rsid w:val="005A5104"/>
    <w:rsid w:val="005A52C4"/>
    <w:rsid w:val="005A5975"/>
    <w:rsid w:val="005A59E3"/>
    <w:rsid w:val="005A663A"/>
    <w:rsid w:val="005A69B8"/>
    <w:rsid w:val="005A6B60"/>
    <w:rsid w:val="005A6DB1"/>
    <w:rsid w:val="005A729F"/>
    <w:rsid w:val="005A7396"/>
    <w:rsid w:val="005A73F3"/>
    <w:rsid w:val="005A7824"/>
    <w:rsid w:val="005A7E09"/>
    <w:rsid w:val="005A7F44"/>
    <w:rsid w:val="005B08FF"/>
    <w:rsid w:val="005B0F65"/>
    <w:rsid w:val="005B1334"/>
    <w:rsid w:val="005B19CD"/>
    <w:rsid w:val="005B2C14"/>
    <w:rsid w:val="005B2C54"/>
    <w:rsid w:val="005B3B48"/>
    <w:rsid w:val="005B4580"/>
    <w:rsid w:val="005B489D"/>
    <w:rsid w:val="005B4A6E"/>
    <w:rsid w:val="005B4C2D"/>
    <w:rsid w:val="005B5739"/>
    <w:rsid w:val="005B5791"/>
    <w:rsid w:val="005B6005"/>
    <w:rsid w:val="005B6213"/>
    <w:rsid w:val="005B62F3"/>
    <w:rsid w:val="005B6E3B"/>
    <w:rsid w:val="005B7047"/>
    <w:rsid w:val="005B711D"/>
    <w:rsid w:val="005B7276"/>
    <w:rsid w:val="005B785B"/>
    <w:rsid w:val="005B7BD0"/>
    <w:rsid w:val="005B7BEE"/>
    <w:rsid w:val="005B7D6D"/>
    <w:rsid w:val="005C0072"/>
    <w:rsid w:val="005C009B"/>
    <w:rsid w:val="005C01D9"/>
    <w:rsid w:val="005C0ACF"/>
    <w:rsid w:val="005C0C7B"/>
    <w:rsid w:val="005C0D5D"/>
    <w:rsid w:val="005C118D"/>
    <w:rsid w:val="005C126B"/>
    <w:rsid w:val="005C18B8"/>
    <w:rsid w:val="005C1B14"/>
    <w:rsid w:val="005C1F09"/>
    <w:rsid w:val="005C216F"/>
    <w:rsid w:val="005C244F"/>
    <w:rsid w:val="005C2625"/>
    <w:rsid w:val="005C26BE"/>
    <w:rsid w:val="005C29F5"/>
    <w:rsid w:val="005C2E8B"/>
    <w:rsid w:val="005C3959"/>
    <w:rsid w:val="005C3ADC"/>
    <w:rsid w:val="005C4A8B"/>
    <w:rsid w:val="005C4D91"/>
    <w:rsid w:val="005C6369"/>
    <w:rsid w:val="005C7170"/>
    <w:rsid w:val="005C743D"/>
    <w:rsid w:val="005D05B7"/>
    <w:rsid w:val="005D17FB"/>
    <w:rsid w:val="005D1956"/>
    <w:rsid w:val="005D1973"/>
    <w:rsid w:val="005D1E51"/>
    <w:rsid w:val="005D2028"/>
    <w:rsid w:val="005D24BC"/>
    <w:rsid w:val="005D26BD"/>
    <w:rsid w:val="005D27EC"/>
    <w:rsid w:val="005D28C6"/>
    <w:rsid w:val="005D2D22"/>
    <w:rsid w:val="005D34C9"/>
    <w:rsid w:val="005D34D5"/>
    <w:rsid w:val="005D37C7"/>
    <w:rsid w:val="005D41AA"/>
    <w:rsid w:val="005D4771"/>
    <w:rsid w:val="005D47AD"/>
    <w:rsid w:val="005D47E4"/>
    <w:rsid w:val="005D485D"/>
    <w:rsid w:val="005D4955"/>
    <w:rsid w:val="005D4DAC"/>
    <w:rsid w:val="005D51CD"/>
    <w:rsid w:val="005D5337"/>
    <w:rsid w:val="005D53B1"/>
    <w:rsid w:val="005D53BB"/>
    <w:rsid w:val="005D562A"/>
    <w:rsid w:val="005D5685"/>
    <w:rsid w:val="005D56FC"/>
    <w:rsid w:val="005D5831"/>
    <w:rsid w:val="005D589A"/>
    <w:rsid w:val="005D5ADE"/>
    <w:rsid w:val="005D5DC7"/>
    <w:rsid w:val="005D60F5"/>
    <w:rsid w:val="005D6411"/>
    <w:rsid w:val="005D6595"/>
    <w:rsid w:val="005D68E0"/>
    <w:rsid w:val="005D6C85"/>
    <w:rsid w:val="005D6D4E"/>
    <w:rsid w:val="005D707A"/>
    <w:rsid w:val="005D7268"/>
    <w:rsid w:val="005D7480"/>
    <w:rsid w:val="005D7556"/>
    <w:rsid w:val="005D78D0"/>
    <w:rsid w:val="005D7CCD"/>
    <w:rsid w:val="005D7D5E"/>
    <w:rsid w:val="005E0545"/>
    <w:rsid w:val="005E0829"/>
    <w:rsid w:val="005E08C6"/>
    <w:rsid w:val="005E08F5"/>
    <w:rsid w:val="005E0CA4"/>
    <w:rsid w:val="005E10A1"/>
    <w:rsid w:val="005E1164"/>
    <w:rsid w:val="005E11A1"/>
    <w:rsid w:val="005E12A3"/>
    <w:rsid w:val="005E1625"/>
    <w:rsid w:val="005E18E3"/>
    <w:rsid w:val="005E20EE"/>
    <w:rsid w:val="005E29DC"/>
    <w:rsid w:val="005E2C13"/>
    <w:rsid w:val="005E2DA3"/>
    <w:rsid w:val="005E3316"/>
    <w:rsid w:val="005E33FF"/>
    <w:rsid w:val="005E3455"/>
    <w:rsid w:val="005E365F"/>
    <w:rsid w:val="005E3A8B"/>
    <w:rsid w:val="005E3D47"/>
    <w:rsid w:val="005E3D69"/>
    <w:rsid w:val="005E413B"/>
    <w:rsid w:val="005E4150"/>
    <w:rsid w:val="005E4453"/>
    <w:rsid w:val="005E473D"/>
    <w:rsid w:val="005E4916"/>
    <w:rsid w:val="005E50A7"/>
    <w:rsid w:val="005E50F0"/>
    <w:rsid w:val="005E653B"/>
    <w:rsid w:val="005E6D07"/>
    <w:rsid w:val="005E6F38"/>
    <w:rsid w:val="005E6F3B"/>
    <w:rsid w:val="005E7606"/>
    <w:rsid w:val="005E7E61"/>
    <w:rsid w:val="005E7F69"/>
    <w:rsid w:val="005F00AF"/>
    <w:rsid w:val="005F00B0"/>
    <w:rsid w:val="005F0960"/>
    <w:rsid w:val="005F0CB7"/>
    <w:rsid w:val="005F0EF2"/>
    <w:rsid w:val="005F1083"/>
    <w:rsid w:val="005F1784"/>
    <w:rsid w:val="005F17B1"/>
    <w:rsid w:val="005F2955"/>
    <w:rsid w:val="005F3115"/>
    <w:rsid w:val="005F31C7"/>
    <w:rsid w:val="005F3411"/>
    <w:rsid w:val="005F3517"/>
    <w:rsid w:val="005F3752"/>
    <w:rsid w:val="005F380F"/>
    <w:rsid w:val="005F40C3"/>
    <w:rsid w:val="005F4128"/>
    <w:rsid w:val="005F42F9"/>
    <w:rsid w:val="005F4347"/>
    <w:rsid w:val="005F435C"/>
    <w:rsid w:val="005F49A9"/>
    <w:rsid w:val="005F4ABE"/>
    <w:rsid w:val="005F4C78"/>
    <w:rsid w:val="005F4F1D"/>
    <w:rsid w:val="005F5735"/>
    <w:rsid w:val="005F582A"/>
    <w:rsid w:val="005F5A1F"/>
    <w:rsid w:val="005F65BC"/>
    <w:rsid w:val="005F6645"/>
    <w:rsid w:val="005F67A3"/>
    <w:rsid w:val="005F6C8C"/>
    <w:rsid w:val="005F6CE5"/>
    <w:rsid w:val="005F6D92"/>
    <w:rsid w:val="005F7012"/>
    <w:rsid w:val="005F7017"/>
    <w:rsid w:val="005F7A87"/>
    <w:rsid w:val="005F7AD7"/>
    <w:rsid w:val="005F7DD2"/>
    <w:rsid w:val="006004F3"/>
    <w:rsid w:val="00600653"/>
    <w:rsid w:val="00600996"/>
    <w:rsid w:val="0060184C"/>
    <w:rsid w:val="00601E0D"/>
    <w:rsid w:val="006020F1"/>
    <w:rsid w:val="006022C7"/>
    <w:rsid w:val="00602778"/>
    <w:rsid w:val="00602D87"/>
    <w:rsid w:val="00602F91"/>
    <w:rsid w:val="00603232"/>
    <w:rsid w:val="006036B2"/>
    <w:rsid w:val="00603754"/>
    <w:rsid w:val="00603E5C"/>
    <w:rsid w:val="00603F06"/>
    <w:rsid w:val="0060439D"/>
    <w:rsid w:val="006043A8"/>
    <w:rsid w:val="00604BBE"/>
    <w:rsid w:val="0060605D"/>
    <w:rsid w:val="00606236"/>
    <w:rsid w:val="006063A7"/>
    <w:rsid w:val="00606711"/>
    <w:rsid w:val="00606886"/>
    <w:rsid w:val="00606B99"/>
    <w:rsid w:val="00606CB7"/>
    <w:rsid w:val="00607705"/>
    <w:rsid w:val="00607B52"/>
    <w:rsid w:val="00607F14"/>
    <w:rsid w:val="006109BB"/>
    <w:rsid w:val="0061106D"/>
    <w:rsid w:val="0061109B"/>
    <w:rsid w:val="0061134E"/>
    <w:rsid w:val="006113BD"/>
    <w:rsid w:val="006113CC"/>
    <w:rsid w:val="006117B4"/>
    <w:rsid w:val="00611953"/>
    <w:rsid w:val="00611C90"/>
    <w:rsid w:val="00611F6C"/>
    <w:rsid w:val="00612578"/>
    <w:rsid w:val="0061258B"/>
    <w:rsid w:val="006127BF"/>
    <w:rsid w:val="006128F8"/>
    <w:rsid w:val="00612A80"/>
    <w:rsid w:val="00612F0B"/>
    <w:rsid w:val="006130A6"/>
    <w:rsid w:val="0061356B"/>
    <w:rsid w:val="006137F8"/>
    <w:rsid w:val="006137FE"/>
    <w:rsid w:val="0061394D"/>
    <w:rsid w:val="00613C48"/>
    <w:rsid w:val="00613E3B"/>
    <w:rsid w:val="00613F1E"/>
    <w:rsid w:val="00614695"/>
    <w:rsid w:val="00614A56"/>
    <w:rsid w:val="00614CC2"/>
    <w:rsid w:val="00615085"/>
    <w:rsid w:val="0061540E"/>
    <w:rsid w:val="006158E5"/>
    <w:rsid w:val="00615C24"/>
    <w:rsid w:val="00615D1F"/>
    <w:rsid w:val="00616442"/>
    <w:rsid w:val="006164D9"/>
    <w:rsid w:val="006164F3"/>
    <w:rsid w:val="00616661"/>
    <w:rsid w:val="00616747"/>
    <w:rsid w:val="00616BDB"/>
    <w:rsid w:val="00616C25"/>
    <w:rsid w:val="00616CE0"/>
    <w:rsid w:val="00616D73"/>
    <w:rsid w:val="00617728"/>
    <w:rsid w:val="006177F6"/>
    <w:rsid w:val="00617B24"/>
    <w:rsid w:val="00617D7E"/>
    <w:rsid w:val="00617F8D"/>
    <w:rsid w:val="0062124C"/>
    <w:rsid w:val="0062157E"/>
    <w:rsid w:val="006218CE"/>
    <w:rsid w:val="006219C5"/>
    <w:rsid w:val="00621AEC"/>
    <w:rsid w:val="00622144"/>
    <w:rsid w:val="006231ED"/>
    <w:rsid w:val="0062388A"/>
    <w:rsid w:val="006238CC"/>
    <w:rsid w:val="006243E7"/>
    <w:rsid w:val="006245CA"/>
    <w:rsid w:val="0062480F"/>
    <w:rsid w:val="00624EEE"/>
    <w:rsid w:val="00624F7C"/>
    <w:rsid w:val="00625077"/>
    <w:rsid w:val="00625DC4"/>
    <w:rsid w:val="00626112"/>
    <w:rsid w:val="006262C6"/>
    <w:rsid w:val="0062643E"/>
    <w:rsid w:val="00626D56"/>
    <w:rsid w:val="00627100"/>
    <w:rsid w:val="00627384"/>
    <w:rsid w:val="006276AF"/>
    <w:rsid w:val="00627745"/>
    <w:rsid w:val="0062791F"/>
    <w:rsid w:val="00627B83"/>
    <w:rsid w:val="00627E57"/>
    <w:rsid w:val="00631375"/>
    <w:rsid w:val="00631C65"/>
    <w:rsid w:val="00631E20"/>
    <w:rsid w:val="00632A22"/>
    <w:rsid w:val="00632C95"/>
    <w:rsid w:val="006332A7"/>
    <w:rsid w:val="006336AF"/>
    <w:rsid w:val="00633874"/>
    <w:rsid w:val="00633889"/>
    <w:rsid w:val="006339D0"/>
    <w:rsid w:val="00633EAA"/>
    <w:rsid w:val="006340C6"/>
    <w:rsid w:val="006341ED"/>
    <w:rsid w:val="00634454"/>
    <w:rsid w:val="0063447D"/>
    <w:rsid w:val="00634937"/>
    <w:rsid w:val="00634D37"/>
    <w:rsid w:val="00635016"/>
    <w:rsid w:val="0063506E"/>
    <w:rsid w:val="0063573E"/>
    <w:rsid w:val="00636005"/>
    <w:rsid w:val="006360B8"/>
    <w:rsid w:val="006360F9"/>
    <w:rsid w:val="00636168"/>
    <w:rsid w:val="00636241"/>
    <w:rsid w:val="006362D3"/>
    <w:rsid w:val="00636812"/>
    <w:rsid w:val="00636BBD"/>
    <w:rsid w:val="0063767F"/>
    <w:rsid w:val="00637827"/>
    <w:rsid w:val="00637D54"/>
    <w:rsid w:val="00640005"/>
    <w:rsid w:val="00640498"/>
    <w:rsid w:val="006405D7"/>
    <w:rsid w:val="00640834"/>
    <w:rsid w:val="006416F0"/>
    <w:rsid w:val="00641707"/>
    <w:rsid w:val="00641B8D"/>
    <w:rsid w:val="00641BA2"/>
    <w:rsid w:val="00642092"/>
    <w:rsid w:val="006421AD"/>
    <w:rsid w:val="0064283F"/>
    <w:rsid w:val="00642A9B"/>
    <w:rsid w:val="00642D02"/>
    <w:rsid w:val="00642EB6"/>
    <w:rsid w:val="0064301A"/>
    <w:rsid w:val="006435FD"/>
    <w:rsid w:val="00643AA2"/>
    <w:rsid w:val="00643BDB"/>
    <w:rsid w:val="00643DE7"/>
    <w:rsid w:val="00644900"/>
    <w:rsid w:val="006449E0"/>
    <w:rsid w:val="00644DFE"/>
    <w:rsid w:val="00644ED1"/>
    <w:rsid w:val="00645360"/>
    <w:rsid w:val="006455AE"/>
    <w:rsid w:val="006457D8"/>
    <w:rsid w:val="00645B7E"/>
    <w:rsid w:val="00645D75"/>
    <w:rsid w:val="00645DBA"/>
    <w:rsid w:val="006461EB"/>
    <w:rsid w:val="006467A3"/>
    <w:rsid w:val="00646CCB"/>
    <w:rsid w:val="006471E1"/>
    <w:rsid w:val="0064734F"/>
    <w:rsid w:val="006475B9"/>
    <w:rsid w:val="00647C50"/>
    <w:rsid w:val="00647D2A"/>
    <w:rsid w:val="00647D74"/>
    <w:rsid w:val="006500A7"/>
    <w:rsid w:val="00650265"/>
    <w:rsid w:val="006503F5"/>
    <w:rsid w:val="006504E2"/>
    <w:rsid w:val="00650FEF"/>
    <w:rsid w:val="006511C7"/>
    <w:rsid w:val="006512F6"/>
    <w:rsid w:val="0065169A"/>
    <w:rsid w:val="006517D6"/>
    <w:rsid w:val="0065193C"/>
    <w:rsid w:val="00652167"/>
    <w:rsid w:val="00652396"/>
    <w:rsid w:val="00652DEF"/>
    <w:rsid w:val="00653332"/>
    <w:rsid w:val="00653422"/>
    <w:rsid w:val="00653476"/>
    <w:rsid w:val="006534CF"/>
    <w:rsid w:val="0065370B"/>
    <w:rsid w:val="00653EA6"/>
    <w:rsid w:val="0065404E"/>
    <w:rsid w:val="006540D0"/>
    <w:rsid w:val="006540FC"/>
    <w:rsid w:val="006544F2"/>
    <w:rsid w:val="00654D04"/>
    <w:rsid w:val="00655518"/>
    <w:rsid w:val="00655BCB"/>
    <w:rsid w:val="00655F5B"/>
    <w:rsid w:val="0065646A"/>
    <w:rsid w:val="006565CD"/>
    <w:rsid w:val="00656770"/>
    <w:rsid w:val="00656B4A"/>
    <w:rsid w:val="00656B78"/>
    <w:rsid w:val="00657024"/>
    <w:rsid w:val="006575CD"/>
    <w:rsid w:val="006578EA"/>
    <w:rsid w:val="00657AA5"/>
    <w:rsid w:val="00657B78"/>
    <w:rsid w:val="00657C90"/>
    <w:rsid w:val="0066003A"/>
    <w:rsid w:val="00660633"/>
    <w:rsid w:val="0066082F"/>
    <w:rsid w:val="006609D4"/>
    <w:rsid w:val="00660B05"/>
    <w:rsid w:val="00660E90"/>
    <w:rsid w:val="006611BE"/>
    <w:rsid w:val="00661248"/>
    <w:rsid w:val="00661277"/>
    <w:rsid w:val="00661D96"/>
    <w:rsid w:val="00661E48"/>
    <w:rsid w:val="00662122"/>
    <w:rsid w:val="006621A9"/>
    <w:rsid w:val="006628A0"/>
    <w:rsid w:val="00662E06"/>
    <w:rsid w:val="0066382F"/>
    <w:rsid w:val="006638A6"/>
    <w:rsid w:val="00663988"/>
    <w:rsid w:val="0066433A"/>
    <w:rsid w:val="00664451"/>
    <w:rsid w:val="006645CA"/>
    <w:rsid w:val="00664AEE"/>
    <w:rsid w:val="00664B59"/>
    <w:rsid w:val="00664BEE"/>
    <w:rsid w:val="00664CBC"/>
    <w:rsid w:val="00664D95"/>
    <w:rsid w:val="0066517F"/>
    <w:rsid w:val="00665353"/>
    <w:rsid w:val="00666221"/>
    <w:rsid w:val="006665C4"/>
    <w:rsid w:val="006666CE"/>
    <w:rsid w:val="006669DB"/>
    <w:rsid w:val="00666DA4"/>
    <w:rsid w:val="006671C9"/>
    <w:rsid w:val="0066761D"/>
    <w:rsid w:val="0066762D"/>
    <w:rsid w:val="00667634"/>
    <w:rsid w:val="00667C8A"/>
    <w:rsid w:val="00667ED5"/>
    <w:rsid w:val="00670501"/>
    <w:rsid w:val="00670855"/>
    <w:rsid w:val="00670B9E"/>
    <w:rsid w:val="00670BBD"/>
    <w:rsid w:val="00670BEE"/>
    <w:rsid w:val="00670D0F"/>
    <w:rsid w:val="00670DCE"/>
    <w:rsid w:val="00670F29"/>
    <w:rsid w:val="00670F9D"/>
    <w:rsid w:val="006716EC"/>
    <w:rsid w:val="00672825"/>
    <w:rsid w:val="0067295B"/>
    <w:rsid w:val="00672A42"/>
    <w:rsid w:val="00672B92"/>
    <w:rsid w:val="00672DD7"/>
    <w:rsid w:val="00673092"/>
    <w:rsid w:val="0067398F"/>
    <w:rsid w:val="00673C4F"/>
    <w:rsid w:val="0067423D"/>
    <w:rsid w:val="00674B54"/>
    <w:rsid w:val="006751ED"/>
    <w:rsid w:val="006751F0"/>
    <w:rsid w:val="00675A29"/>
    <w:rsid w:val="00675E7A"/>
    <w:rsid w:val="00675EF9"/>
    <w:rsid w:val="00676167"/>
    <w:rsid w:val="006762C1"/>
    <w:rsid w:val="006768A0"/>
    <w:rsid w:val="00676A97"/>
    <w:rsid w:val="00676D1E"/>
    <w:rsid w:val="00676F37"/>
    <w:rsid w:val="00676F7A"/>
    <w:rsid w:val="0067702C"/>
    <w:rsid w:val="00677172"/>
    <w:rsid w:val="00677637"/>
    <w:rsid w:val="00677F91"/>
    <w:rsid w:val="0068009E"/>
    <w:rsid w:val="0068014B"/>
    <w:rsid w:val="006807EC"/>
    <w:rsid w:val="00680991"/>
    <w:rsid w:val="00680E0A"/>
    <w:rsid w:val="00681108"/>
    <w:rsid w:val="00681688"/>
    <w:rsid w:val="00681D9D"/>
    <w:rsid w:val="0068227D"/>
    <w:rsid w:val="006822C1"/>
    <w:rsid w:val="00682346"/>
    <w:rsid w:val="006825BB"/>
    <w:rsid w:val="00682A3E"/>
    <w:rsid w:val="00682F54"/>
    <w:rsid w:val="00683084"/>
    <w:rsid w:val="0068336A"/>
    <w:rsid w:val="00683988"/>
    <w:rsid w:val="006839C4"/>
    <w:rsid w:val="0068426D"/>
    <w:rsid w:val="0068481E"/>
    <w:rsid w:val="00684AA5"/>
    <w:rsid w:val="00684DA6"/>
    <w:rsid w:val="00684FBB"/>
    <w:rsid w:val="00685310"/>
    <w:rsid w:val="0068569E"/>
    <w:rsid w:val="00685B0A"/>
    <w:rsid w:val="00686A94"/>
    <w:rsid w:val="00686F3B"/>
    <w:rsid w:val="00687341"/>
    <w:rsid w:val="00687611"/>
    <w:rsid w:val="00687FB5"/>
    <w:rsid w:val="006902BA"/>
    <w:rsid w:val="006902EB"/>
    <w:rsid w:val="0069037C"/>
    <w:rsid w:val="00690EB0"/>
    <w:rsid w:val="006910C3"/>
    <w:rsid w:val="00691133"/>
    <w:rsid w:val="00691AD0"/>
    <w:rsid w:val="00691BCD"/>
    <w:rsid w:val="00691D8B"/>
    <w:rsid w:val="0069207C"/>
    <w:rsid w:val="00692305"/>
    <w:rsid w:val="006928BA"/>
    <w:rsid w:val="006929A8"/>
    <w:rsid w:val="00692AD4"/>
    <w:rsid w:val="00692C58"/>
    <w:rsid w:val="0069313E"/>
    <w:rsid w:val="00693C16"/>
    <w:rsid w:val="006941C5"/>
    <w:rsid w:val="006943A3"/>
    <w:rsid w:val="0069492A"/>
    <w:rsid w:val="0069495B"/>
    <w:rsid w:val="00694A7C"/>
    <w:rsid w:val="00694A90"/>
    <w:rsid w:val="00694C07"/>
    <w:rsid w:val="00694CA9"/>
    <w:rsid w:val="006951A5"/>
    <w:rsid w:val="006954B0"/>
    <w:rsid w:val="0069567D"/>
    <w:rsid w:val="00695E0E"/>
    <w:rsid w:val="00696680"/>
    <w:rsid w:val="006967E0"/>
    <w:rsid w:val="00696C25"/>
    <w:rsid w:val="00696FCD"/>
    <w:rsid w:val="0069764B"/>
    <w:rsid w:val="00697D72"/>
    <w:rsid w:val="00697DDD"/>
    <w:rsid w:val="00697F54"/>
    <w:rsid w:val="006A06A3"/>
    <w:rsid w:val="006A0A11"/>
    <w:rsid w:val="006A0C5B"/>
    <w:rsid w:val="006A0EEF"/>
    <w:rsid w:val="006A11A6"/>
    <w:rsid w:val="006A11E4"/>
    <w:rsid w:val="006A121F"/>
    <w:rsid w:val="006A14CD"/>
    <w:rsid w:val="006A1BC4"/>
    <w:rsid w:val="006A21E5"/>
    <w:rsid w:val="006A21F4"/>
    <w:rsid w:val="006A22C1"/>
    <w:rsid w:val="006A28B6"/>
    <w:rsid w:val="006A2D65"/>
    <w:rsid w:val="006A300A"/>
    <w:rsid w:val="006A359D"/>
    <w:rsid w:val="006A36AE"/>
    <w:rsid w:val="006A38CF"/>
    <w:rsid w:val="006A3B7B"/>
    <w:rsid w:val="006A3DD4"/>
    <w:rsid w:val="006A4A8C"/>
    <w:rsid w:val="006A4F9B"/>
    <w:rsid w:val="006A5031"/>
    <w:rsid w:val="006A5658"/>
    <w:rsid w:val="006A579F"/>
    <w:rsid w:val="006A57FB"/>
    <w:rsid w:val="006A61AA"/>
    <w:rsid w:val="006A6377"/>
    <w:rsid w:val="006A6C5B"/>
    <w:rsid w:val="006A7950"/>
    <w:rsid w:val="006A7966"/>
    <w:rsid w:val="006A7D15"/>
    <w:rsid w:val="006B03DF"/>
    <w:rsid w:val="006B0587"/>
    <w:rsid w:val="006B061A"/>
    <w:rsid w:val="006B0F57"/>
    <w:rsid w:val="006B1017"/>
    <w:rsid w:val="006B12A7"/>
    <w:rsid w:val="006B1390"/>
    <w:rsid w:val="006B1499"/>
    <w:rsid w:val="006B157C"/>
    <w:rsid w:val="006B162E"/>
    <w:rsid w:val="006B17AD"/>
    <w:rsid w:val="006B1847"/>
    <w:rsid w:val="006B19C4"/>
    <w:rsid w:val="006B1C99"/>
    <w:rsid w:val="006B1CAE"/>
    <w:rsid w:val="006B204A"/>
    <w:rsid w:val="006B2954"/>
    <w:rsid w:val="006B2A89"/>
    <w:rsid w:val="006B3C78"/>
    <w:rsid w:val="006B40F4"/>
    <w:rsid w:val="006B4337"/>
    <w:rsid w:val="006B4774"/>
    <w:rsid w:val="006B47BE"/>
    <w:rsid w:val="006B4829"/>
    <w:rsid w:val="006B53A4"/>
    <w:rsid w:val="006B5481"/>
    <w:rsid w:val="006B58F4"/>
    <w:rsid w:val="006B59E3"/>
    <w:rsid w:val="006B5D8F"/>
    <w:rsid w:val="006B61D0"/>
    <w:rsid w:val="006B62D9"/>
    <w:rsid w:val="006B6E64"/>
    <w:rsid w:val="006B7096"/>
    <w:rsid w:val="006B767C"/>
    <w:rsid w:val="006B79CB"/>
    <w:rsid w:val="006B7F05"/>
    <w:rsid w:val="006C04E7"/>
    <w:rsid w:val="006C069F"/>
    <w:rsid w:val="006C0907"/>
    <w:rsid w:val="006C10E5"/>
    <w:rsid w:val="006C1FD2"/>
    <w:rsid w:val="006C20D0"/>
    <w:rsid w:val="006C28F0"/>
    <w:rsid w:val="006C2E24"/>
    <w:rsid w:val="006C32D8"/>
    <w:rsid w:val="006C35BE"/>
    <w:rsid w:val="006C39D5"/>
    <w:rsid w:val="006C3B47"/>
    <w:rsid w:val="006C3BDD"/>
    <w:rsid w:val="006C3E21"/>
    <w:rsid w:val="006C44F0"/>
    <w:rsid w:val="006C4525"/>
    <w:rsid w:val="006C4717"/>
    <w:rsid w:val="006C5726"/>
    <w:rsid w:val="006C58DA"/>
    <w:rsid w:val="006C5DC5"/>
    <w:rsid w:val="006C607C"/>
    <w:rsid w:val="006C6147"/>
    <w:rsid w:val="006C6364"/>
    <w:rsid w:val="006C642F"/>
    <w:rsid w:val="006C647D"/>
    <w:rsid w:val="006C668E"/>
    <w:rsid w:val="006C67C5"/>
    <w:rsid w:val="006C67CF"/>
    <w:rsid w:val="006C69B2"/>
    <w:rsid w:val="006C6A64"/>
    <w:rsid w:val="006C730B"/>
    <w:rsid w:val="006C7548"/>
    <w:rsid w:val="006C7B7A"/>
    <w:rsid w:val="006C7FC1"/>
    <w:rsid w:val="006D06D3"/>
    <w:rsid w:val="006D1003"/>
    <w:rsid w:val="006D11D6"/>
    <w:rsid w:val="006D163F"/>
    <w:rsid w:val="006D17AB"/>
    <w:rsid w:val="006D17B1"/>
    <w:rsid w:val="006D209B"/>
    <w:rsid w:val="006D2420"/>
    <w:rsid w:val="006D2602"/>
    <w:rsid w:val="006D2944"/>
    <w:rsid w:val="006D2BB9"/>
    <w:rsid w:val="006D3175"/>
    <w:rsid w:val="006D3280"/>
    <w:rsid w:val="006D3472"/>
    <w:rsid w:val="006D3550"/>
    <w:rsid w:val="006D35A6"/>
    <w:rsid w:val="006D36F5"/>
    <w:rsid w:val="006D374C"/>
    <w:rsid w:val="006D3AC0"/>
    <w:rsid w:val="006D3D8F"/>
    <w:rsid w:val="006D3E5D"/>
    <w:rsid w:val="006D466B"/>
    <w:rsid w:val="006D4759"/>
    <w:rsid w:val="006D48BE"/>
    <w:rsid w:val="006D4B29"/>
    <w:rsid w:val="006D4F5A"/>
    <w:rsid w:val="006D52DC"/>
    <w:rsid w:val="006D5332"/>
    <w:rsid w:val="006D5460"/>
    <w:rsid w:val="006D54F5"/>
    <w:rsid w:val="006D5BAB"/>
    <w:rsid w:val="006D6DD3"/>
    <w:rsid w:val="006D7828"/>
    <w:rsid w:val="006D7FA2"/>
    <w:rsid w:val="006E0038"/>
    <w:rsid w:val="006E0125"/>
    <w:rsid w:val="006E0197"/>
    <w:rsid w:val="006E04C4"/>
    <w:rsid w:val="006E0CFD"/>
    <w:rsid w:val="006E11F2"/>
    <w:rsid w:val="006E1253"/>
    <w:rsid w:val="006E1338"/>
    <w:rsid w:val="006E1592"/>
    <w:rsid w:val="006E15C8"/>
    <w:rsid w:val="006E1614"/>
    <w:rsid w:val="006E1622"/>
    <w:rsid w:val="006E1BEA"/>
    <w:rsid w:val="006E1E35"/>
    <w:rsid w:val="006E1E9F"/>
    <w:rsid w:val="006E2007"/>
    <w:rsid w:val="006E245B"/>
    <w:rsid w:val="006E249C"/>
    <w:rsid w:val="006E2680"/>
    <w:rsid w:val="006E2822"/>
    <w:rsid w:val="006E2A83"/>
    <w:rsid w:val="006E2E7D"/>
    <w:rsid w:val="006E3CAC"/>
    <w:rsid w:val="006E44EC"/>
    <w:rsid w:val="006E4C29"/>
    <w:rsid w:val="006E4DBD"/>
    <w:rsid w:val="006E4EA2"/>
    <w:rsid w:val="006E5545"/>
    <w:rsid w:val="006E5D4C"/>
    <w:rsid w:val="006E6041"/>
    <w:rsid w:val="006E6049"/>
    <w:rsid w:val="006E6419"/>
    <w:rsid w:val="006E695F"/>
    <w:rsid w:val="006E6ED9"/>
    <w:rsid w:val="006E719C"/>
    <w:rsid w:val="006E7271"/>
    <w:rsid w:val="006E76A3"/>
    <w:rsid w:val="006E7B09"/>
    <w:rsid w:val="006E7ED0"/>
    <w:rsid w:val="006E7FD1"/>
    <w:rsid w:val="006F0138"/>
    <w:rsid w:val="006F0480"/>
    <w:rsid w:val="006F0553"/>
    <w:rsid w:val="006F0583"/>
    <w:rsid w:val="006F0889"/>
    <w:rsid w:val="006F0DD8"/>
    <w:rsid w:val="006F10BB"/>
    <w:rsid w:val="006F127E"/>
    <w:rsid w:val="006F15F0"/>
    <w:rsid w:val="006F179F"/>
    <w:rsid w:val="006F1A7B"/>
    <w:rsid w:val="006F2133"/>
    <w:rsid w:val="006F22B9"/>
    <w:rsid w:val="006F2609"/>
    <w:rsid w:val="006F2B36"/>
    <w:rsid w:val="006F3123"/>
    <w:rsid w:val="006F32E8"/>
    <w:rsid w:val="006F3AF1"/>
    <w:rsid w:val="006F446C"/>
    <w:rsid w:val="006F4BAD"/>
    <w:rsid w:val="006F4C36"/>
    <w:rsid w:val="006F51D6"/>
    <w:rsid w:val="006F5232"/>
    <w:rsid w:val="006F59AB"/>
    <w:rsid w:val="006F5B61"/>
    <w:rsid w:val="006F61CA"/>
    <w:rsid w:val="006F658F"/>
    <w:rsid w:val="006F6A40"/>
    <w:rsid w:val="006F6B5E"/>
    <w:rsid w:val="006F6BF0"/>
    <w:rsid w:val="006F6F3F"/>
    <w:rsid w:val="006F70E1"/>
    <w:rsid w:val="006F7301"/>
    <w:rsid w:val="006F7AA6"/>
    <w:rsid w:val="006F7B37"/>
    <w:rsid w:val="006F7BB6"/>
    <w:rsid w:val="00700038"/>
    <w:rsid w:val="0070050E"/>
    <w:rsid w:val="00700D7D"/>
    <w:rsid w:val="007010CD"/>
    <w:rsid w:val="00701C61"/>
    <w:rsid w:val="00701FFF"/>
    <w:rsid w:val="00702087"/>
    <w:rsid w:val="007024B9"/>
    <w:rsid w:val="007028BD"/>
    <w:rsid w:val="00702929"/>
    <w:rsid w:val="00702C18"/>
    <w:rsid w:val="00702DC4"/>
    <w:rsid w:val="0070330F"/>
    <w:rsid w:val="00703351"/>
    <w:rsid w:val="00703D71"/>
    <w:rsid w:val="00703DCE"/>
    <w:rsid w:val="00704754"/>
    <w:rsid w:val="00704AA2"/>
    <w:rsid w:val="00704BD3"/>
    <w:rsid w:val="00704C4A"/>
    <w:rsid w:val="00704EFC"/>
    <w:rsid w:val="0070507B"/>
    <w:rsid w:val="0070543F"/>
    <w:rsid w:val="0070555E"/>
    <w:rsid w:val="00705E66"/>
    <w:rsid w:val="00706047"/>
    <w:rsid w:val="0070633E"/>
    <w:rsid w:val="007073F3"/>
    <w:rsid w:val="00707ABF"/>
    <w:rsid w:val="00707F9A"/>
    <w:rsid w:val="0071061B"/>
    <w:rsid w:val="00710A1C"/>
    <w:rsid w:val="00710AC1"/>
    <w:rsid w:val="00710E84"/>
    <w:rsid w:val="007111FD"/>
    <w:rsid w:val="00711290"/>
    <w:rsid w:val="00711489"/>
    <w:rsid w:val="007114B5"/>
    <w:rsid w:val="0071190A"/>
    <w:rsid w:val="00711B79"/>
    <w:rsid w:val="00711C32"/>
    <w:rsid w:val="00712386"/>
    <w:rsid w:val="0071239A"/>
    <w:rsid w:val="00712607"/>
    <w:rsid w:val="007126C3"/>
    <w:rsid w:val="007129FF"/>
    <w:rsid w:val="0071309D"/>
    <w:rsid w:val="0071314E"/>
    <w:rsid w:val="0071326B"/>
    <w:rsid w:val="00713717"/>
    <w:rsid w:val="00713CEF"/>
    <w:rsid w:val="00714233"/>
    <w:rsid w:val="007143A4"/>
    <w:rsid w:val="007147E9"/>
    <w:rsid w:val="007149EF"/>
    <w:rsid w:val="00715192"/>
    <w:rsid w:val="007152F9"/>
    <w:rsid w:val="00715FE6"/>
    <w:rsid w:val="007162D2"/>
    <w:rsid w:val="00716310"/>
    <w:rsid w:val="007165ED"/>
    <w:rsid w:val="00716F0E"/>
    <w:rsid w:val="00716F5A"/>
    <w:rsid w:val="00717404"/>
    <w:rsid w:val="00717F5C"/>
    <w:rsid w:val="007200F4"/>
    <w:rsid w:val="00720508"/>
    <w:rsid w:val="00720CFB"/>
    <w:rsid w:val="00720DBC"/>
    <w:rsid w:val="00720F9E"/>
    <w:rsid w:val="007216AD"/>
    <w:rsid w:val="00721979"/>
    <w:rsid w:val="00721C39"/>
    <w:rsid w:val="00721E0E"/>
    <w:rsid w:val="00721E59"/>
    <w:rsid w:val="00721F48"/>
    <w:rsid w:val="00721FE3"/>
    <w:rsid w:val="007222C0"/>
    <w:rsid w:val="00722492"/>
    <w:rsid w:val="00723718"/>
    <w:rsid w:val="00723804"/>
    <w:rsid w:val="007239DF"/>
    <w:rsid w:val="007239F0"/>
    <w:rsid w:val="00723A5B"/>
    <w:rsid w:val="007240B5"/>
    <w:rsid w:val="00724C16"/>
    <w:rsid w:val="00724DB0"/>
    <w:rsid w:val="00724FFA"/>
    <w:rsid w:val="0072515F"/>
    <w:rsid w:val="00725667"/>
    <w:rsid w:val="00725D10"/>
    <w:rsid w:val="007266AB"/>
    <w:rsid w:val="007266C9"/>
    <w:rsid w:val="00726F37"/>
    <w:rsid w:val="00727412"/>
    <w:rsid w:val="00727574"/>
    <w:rsid w:val="007276AA"/>
    <w:rsid w:val="00727945"/>
    <w:rsid w:val="00727A31"/>
    <w:rsid w:val="00727D6A"/>
    <w:rsid w:val="007300AE"/>
    <w:rsid w:val="007307F0"/>
    <w:rsid w:val="007308A7"/>
    <w:rsid w:val="00730A2B"/>
    <w:rsid w:val="007313DB"/>
    <w:rsid w:val="007314D9"/>
    <w:rsid w:val="007318B3"/>
    <w:rsid w:val="00731F81"/>
    <w:rsid w:val="0073224D"/>
    <w:rsid w:val="00732821"/>
    <w:rsid w:val="00732B14"/>
    <w:rsid w:val="00732BF8"/>
    <w:rsid w:val="00732CB5"/>
    <w:rsid w:val="00732FFC"/>
    <w:rsid w:val="0073324D"/>
    <w:rsid w:val="00733251"/>
    <w:rsid w:val="00733268"/>
    <w:rsid w:val="007335E3"/>
    <w:rsid w:val="007344D8"/>
    <w:rsid w:val="007349B7"/>
    <w:rsid w:val="00734BA5"/>
    <w:rsid w:val="007352A1"/>
    <w:rsid w:val="007355BF"/>
    <w:rsid w:val="0073564E"/>
    <w:rsid w:val="00735AD3"/>
    <w:rsid w:val="00735D01"/>
    <w:rsid w:val="00736681"/>
    <w:rsid w:val="0073687D"/>
    <w:rsid w:val="00736F50"/>
    <w:rsid w:val="00737B4A"/>
    <w:rsid w:val="00737DEF"/>
    <w:rsid w:val="00740010"/>
    <w:rsid w:val="00740792"/>
    <w:rsid w:val="00740FC8"/>
    <w:rsid w:val="0074116E"/>
    <w:rsid w:val="00741435"/>
    <w:rsid w:val="00741ED9"/>
    <w:rsid w:val="007420DA"/>
    <w:rsid w:val="007428FB"/>
    <w:rsid w:val="00742B09"/>
    <w:rsid w:val="00742EEF"/>
    <w:rsid w:val="0074320A"/>
    <w:rsid w:val="0074324C"/>
    <w:rsid w:val="00743672"/>
    <w:rsid w:val="00743D92"/>
    <w:rsid w:val="0074432D"/>
    <w:rsid w:val="00744734"/>
    <w:rsid w:val="00744952"/>
    <w:rsid w:val="007452E4"/>
    <w:rsid w:val="007456E9"/>
    <w:rsid w:val="007459DD"/>
    <w:rsid w:val="00745A08"/>
    <w:rsid w:val="00745CDE"/>
    <w:rsid w:val="00745D6A"/>
    <w:rsid w:val="00745E43"/>
    <w:rsid w:val="00745EE1"/>
    <w:rsid w:val="00745F11"/>
    <w:rsid w:val="0074665A"/>
    <w:rsid w:val="00746E70"/>
    <w:rsid w:val="00747176"/>
    <w:rsid w:val="0074747A"/>
    <w:rsid w:val="00747490"/>
    <w:rsid w:val="00750192"/>
    <w:rsid w:val="007504A5"/>
    <w:rsid w:val="007505C2"/>
    <w:rsid w:val="00751158"/>
    <w:rsid w:val="007513C1"/>
    <w:rsid w:val="00751892"/>
    <w:rsid w:val="00751C2D"/>
    <w:rsid w:val="00752816"/>
    <w:rsid w:val="00752D52"/>
    <w:rsid w:val="0075322A"/>
    <w:rsid w:val="0075377E"/>
    <w:rsid w:val="00753CB8"/>
    <w:rsid w:val="007542D4"/>
    <w:rsid w:val="00754CFD"/>
    <w:rsid w:val="00754F18"/>
    <w:rsid w:val="007552AF"/>
    <w:rsid w:val="00755374"/>
    <w:rsid w:val="00755481"/>
    <w:rsid w:val="00755516"/>
    <w:rsid w:val="00755553"/>
    <w:rsid w:val="00755678"/>
    <w:rsid w:val="00755DFE"/>
    <w:rsid w:val="0075625C"/>
    <w:rsid w:val="007575DC"/>
    <w:rsid w:val="007575E8"/>
    <w:rsid w:val="007602A0"/>
    <w:rsid w:val="007604E1"/>
    <w:rsid w:val="00760725"/>
    <w:rsid w:val="00761385"/>
    <w:rsid w:val="00761730"/>
    <w:rsid w:val="0076181A"/>
    <w:rsid w:val="007619C2"/>
    <w:rsid w:val="007619DE"/>
    <w:rsid w:val="00761B35"/>
    <w:rsid w:val="00761B5A"/>
    <w:rsid w:val="0076201F"/>
    <w:rsid w:val="00762372"/>
    <w:rsid w:val="00762837"/>
    <w:rsid w:val="00762AA6"/>
    <w:rsid w:val="00762D57"/>
    <w:rsid w:val="0076318A"/>
    <w:rsid w:val="007637C1"/>
    <w:rsid w:val="0076397D"/>
    <w:rsid w:val="00763A76"/>
    <w:rsid w:val="0076416B"/>
    <w:rsid w:val="00764E4B"/>
    <w:rsid w:val="007653D8"/>
    <w:rsid w:val="00765643"/>
    <w:rsid w:val="00765708"/>
    <w:rsid w:val="00765917"/>
    <w:rsid w:val="007659BA"/>
    <w:rsid w:val="007659EB"/>
    <w:rsid w:val="00765E87"/>
    <w:rsid w:val="007660E3"/>
    <w:rsid w:val="00766384"/>
    <w:rsid w:val="007664FC"/>
    <w:rsid w:val="00766931"/>
    <w:rsid w:val="007669E5"/>
    <w:rsid w:val="00766EC6"/>
    <w:rsid w:val="00767779"/>
    <w:rsid w:val="007678A0"/>
    <w:rsid w:val="00767A1F"/>
    <w:rsid w:val="00767AE4"/>
    <w:rsid w:val="00767BBB"/>
    <w:rsid w:val="00770172"/>
    <w:rsid w:val="00770D87"/>
    <w:rsid w:val="0077105B"/>
    <w:rsid w:val="00771C67"/>
    <w:rsid w:val="00771FEF"/>
    <w:rsid w:val="0077261B"/>
    <w:rsid w:val="00772C12"/>
    <w:rsid w:val="0077321D"/>
    <w:rsid w:val="007735F8"/>
    <w:rsid w:val="00773854"/>
    <w:rsid w:val="00773DB6"/>
    <w:rsid w:val="007740A5"/>
    <w:rsid w:val="007740F7"/>
    <w:rsid w:val="0077410C"/>
    <w:rsid w:val="0077443C"/>
    <w:rsid w:val="00774746"/>
    <w:rsid w:val="00774C25"/>
    <w:rsid w:val="00774FDB"/>
    <w:rsid w:val="0077559D"/>
    <w:rsid w:val="00775AA8"/>
    <w:rsid w:val="00775B75"/>
    <w:rsid w:val="00775E64"/>
    <w:rsid w:val="00776D2B"/>
    <w:rsid w:val="00776E2C"/>
    <w:rsid w:val="007772EF"/>
    <w:rsid w:val="00777432"/>
    <w:rsid w:val="00777986"/>
    <w:rsid w:val="00777BFE"/>
    <w:rsid w:val="00780897"/>
    <w:rsid w:val="007815ED"/>
    <w:rsid w:val="0078192A"/>
    <w:rsid w:val="00781C68"/>
    <w:rsid w:val="00781E69"/>
    <w:rsid w:val="007821C1"/>
    <w:rsid w:val="00782D62"/>
    <w:rsid w:val="007838FF"/>
    <w:rsid w:val="00783EBB"/>
    <w:rsid w:val="0078438B"/>
    <w:rsid w:val="0078451D"/>
    <w:rsid w:val="00784A2B"/>
    <w:rsid w:val="00784CAD"/>
    <w:rsid w:val="00784D68"/>
    <w:rsid w:val="007851A8"/>
    <w:rsid w:val="0078531C"/>
    <w:rsid w:val="0078544D"/>
    <w:rsid w:val="00785788"/>
    <w:rsid w:val="00785862"/>
    <w:rsid w:val="0078649D"/>
    <w:rsid w:val="007864C1"/>
    <w:rsid w:val="007865A6"/>
    <w:rsid w:val="00786A09"/>
    <w:rsid w:val="00786EAA"/>
    <w:rsid w:val="007871CA"/>
    <w:rsid w:val="007874F6"/>
    <w:rsid w:val="00787A69"/>
    <w:rsid w:val="00787EEF"/>
    <w:rsid w:val="0079034C"/>
    <w:rsid w:val="0079040F"/>
    <w:rsid w:val="0079062A"/>
    <w:rsid w:val="00790899"/>
    <w:rsid w:val="00791007"/>
    <w:rsid w:val="007912F9"/>
    <w:rsid w:val="00791778"/>
    <w:rsid w:val="00791DD8"/>
    <w:rsid w:val="00792041"/>
    <w:rsid w:val="00792444"/>
    <w:rsid w:val="007924E3"/>
    <w:rsid w:val="0079273F"/>
    <w:rsid w:val="00792899"/>
    <w:rsid w:val="00792BAF"/>
    <w:rsid w:val="00792D5D"/>
    <w:rsid w:val="007930B2"/>
    <w:rsid w:val="007930F4"/>
    <w:rsid w:val="00793975"/>
    <w:rsid w:val="007943EE"/>
    <w:rsid w:val="00794469"/>
    <w:rsid w:val="00795383"/>
    <w:rsid w:val="0079692E"/>
    <w:rsid w:val="00796942"/>
    <w:rsid w:val="00796A34"/>
    <w:rsid w:val="00797011"/>
    <w:rsid w:val="007974B5"/>
    <w:rsid w:val="00797AB1"/>
    <w:rsid w:val="00797BC8"/>
    <w:rsid w:val="00797F59"/>
    <w:rsid w:val="007A0036"/>
    <w:rsid w:val="007A0284"/>
    <w:rsid w:val="007A02BC"/>
    <w:rsid w:val="007A05D5"/>
    <w:rsid w:val="007A069F"/>
    <w:rsid w:val="007A08D1"/>
    <w:rsid w:val="007A0C74"/>
    <w:rsid w:val="007A0E8E"/>
    <w:rsid w:val="007A128E"/>
    <w:rsid w:val="007A14A3"/>
    <w:rsid w:val="007A1DCB"/>
    <w:rsid w:val="007A20B9"/>
    <w:rsid w:val="007A235A"/>
    <w:rsid w:val="007A28AB"/>
    <w:rsid w:val="007A28EC"/>
    <w:rsid w:val="007A2A3A"/>
    <w:rsid w:val="007A2D8C"/>
    <w:rsid w:val="007A34AE"/>
    <w:rsid w:val="007A35CD"/>
    <w:rsid w:val="007A3A9B"/>
    <w:rsid w:val="007A3AD9"/>
    <w:rsid w:val="007A3B98"/>
    <w:rsid w:val="007A3E1C"/>
    <w:rsid w:val="007A43DE"/>
    <w:rsid w:val="007A4682"/>
    <w:rsid w:val="007A47C1"/>
    <w:rsid w:val="007A48A3"/>
    <w:rsid w:val="007A4CC8"/>
    <w:rsid w:val="007A4DFF"/>
    <w:rsid w:val="007A54C5"/>
    <w:rsid w:val="007A5B1C"/>
    <w:rsid w:val="007A5D40"/>
    <w:rsid w:val="007A6239"/>
    <w:rsid w:val="007A62BB"/>
    <w:rsid w:val="007A63C1"/>
    <w:rsid w:val="007A6501"/>
    <w:rsid w:val="007A65BD"/>
    <w:rsid w:val="007A67B3"/>
    <w:rsid w:val="007A6FCF"/>
    <w:rsid w:val="007A703A"/>
    <w:rsid w:val="007A736E"/>
    <w:rsid w:val="007A77E8"/>
    <w:rsid w:val="007A7857"/>
    <w:rsid w:val="007B01E9"/>
    <w:rsid w:val="007B0265"/>
    <w:rsid w:val="007B0DAA"/>
    <w:rsid w:val="007B0EF2"/>
    <w:rsid w:val="007B10A8"/>
    <w:rsid w:val="007B1429"/>
    <w:rsid w:val="007B1811"/>
    <w:rsid w:val="007B21C2"/>
    <w:rsid w:val="007B225A"/>
    <w:rsid w:val="007B2492"/>
    <w:rsid w:val="007B2504"/>
    <w:rsid w:val="007B2F5E"/>
    <w:rsid w:val="007B32BA"/>
    <w:rsid w:val="007B3B23"/>
    <w:rsid w:val="007B4164"/>
    <w:rsid w:val="007B42CE"/>
    <w:rsid w:val="007B556F"/>
    <w:rsid w:val="007B5590"/>
    <w:rsid w:val="007B55D6"/>
    <w:rsid w:val="007B55E8"/>
    <w:rsid w:val="007B59C2"/>
    <w:rsid w:val="007B5B27"/>
    <w:rsid w:val="007B5D6B"/>
    <w:rsid w:val="007B5F5F"/>
    <w:rsid w:val="007B63FA"/>
    <w:rsid w:val="007B6524"/>
    <w:rsid w:val="007B7166"/>
    <w:rsid w:val="007B7278"/>
    <w:rsid w:val="007B73AA"/>
    <w:rsid w:val="007B7420"/>
    <w:rsid w:val="007B79E7"/>
    <w:rsid w:val="007B79F1"/>
    <w:rsid w:val="007B7B93"/>
    <w:rsid w:val="007B7F30"/>
    <w:rsid w:val="007C04A5"/>
    <w:rsid w:val="007C07F7"/>
    <w:rsid w:val="007C0FAA"/>
    <w:rsid w:val="007C16B2"/>
    <w:rsid w:val="007C1AA6"/>
    <w:rsid w:val="007C23DF"/>
    <w:rsid w:val="007C2536"/>
    <w:rsid w:val="007C2C3F"/>
    <w:rsid w:val="007C2CAF"/>
    <w:rsid w:val="007C35C9"/>
    <w:rsid w:val="007C3A5D"/>
    <w:rsid w:val="007C3CF5"/>
    <w:rsid w:val="007C4012"/>
    <w:rsid w:val="007C4633"/>
    <w:rsid w:val="007C4CA0"/>
    <w:rsid w:val="007C4DF0"/>
    <w:rsid w:val="007C5F2F"/>
    <w:rsid w:val="007C5F78"/>
    <w:rsid w:val="007C604E"/>
    <w:rsid w:val="007C6163"/>
    <w:rsid w:val="007C6177"/>
    <w:rsid w:val="007C65F9"/>
    <w:rsid w:val="007C7417"/>
    <w:rsid w:val="007C7529"/>
    <w:rsid w:val="007C762F"/>
    <w:rsid w:val="007C7A1B"/>
    <w:rsid w:val="007C7C71"/>
    <w:rsid w:val="007C7CA6"/>
    <w:rsid w:val="007C7D00"/>
    <w:rsid w:val="007C7E05"/>
    <w:rsid w:val="007D01FD"/>
    <w:rsid w:val="007D0289"/>
    <w:rsid w:val="007D0382"/>
    <w:rsid w:val="007D06B1"/>
    <w:rsid w:val="007D120C"/>
    <w:rsid w:val="007D14CF"/>
    <w:rsid w:val="007D16FA"/>
    <w:rsid w:val="007D1855"/>
    <w:rsid w:val="007D193D"/>
    <w:rsid w:val="007D1EA4"/>
    <w:rsid w:val="007D2332"/>
    <w:rsid w:val="007D24BA"/>
    <w:rsid w:val="007D2579"/>
    <w:rsid w:val="007D2656"/>
    <w:rsid w:val="007D2940"/>
    <w:rsid w:val="007D2D22"/>
    <w:rsid w:val="007D3125"/>
    <w:rsid w:val="007D3B5C"/>
    <w:rsid w:val="007D3D59"/>
    <w:rsid w:val="007D4266"/>
    <w:rsid w:val="007D43EC"/>
    <w:rsid w:val="007D4529"/>
    <w:rsid w:val="007D45C3"/>
    <w:rsid w:val="007D46BA"/>
    <w:rsid w:val="007D46FC"/>
    <w:rsid w:val="007D4886"/>
    <w:rsid w:val="007D4971"/>
    <w:rsid w:val="007D4ABA"/>
    <w:rsid w:val="007D4F32"/>
    <w:rsid w:val="007D5037"/>
    <w:rsid w:val="007D54B3"/>
    <w:rsid w:val="007D57E8"/>
    <w:rsid w:val="007D5C6F"/>
    <w:rsid w:val="007D5F20"/>
    <w:rsid w:val="007D6142"/>
    <w:rsid w:val="007D61F3"/>
    <w:rsid w:val="007D6740"/>
    <w:rsid w:val="007D6ACF"/>
    <w:rsid w:val="007D6BCD"/>
    <w:rsid w:val="007D702F"/>
    <w:rsid w:val="007D73D7"/>
    <w:rsid w:val="007D7D67"/>
    <w:rsid w:val="007E01ED"/>
    <w:rsid w:val="007E0D0E"/>
    <w:rsid w:val="007E1314"/>
    <w:rsid w:val="007E13FF"/>
    <w:rsid w:val="007E2120"/>
    <w:rsid w:val="007E2130"/>
    <w:rsid w:val="007E237C"/>
    <w:rsid w:val="007E260F"/>
    <w:rsid w:val="007E2FCF"/>
    <w:rsid w:val="007E3C41"/>
    <w:rsid w:val="007E3C8C"/>
    <w:rsid w:val="007E3F39"/>
    <w:rsid w:val="007E418F"/>
    <w:rsid w:val="007E44B7"/>
    <w:rsid w:val="007E47F6"/>
    <w:rsid w:val="007E5EAC"/>
    <w:rsid w:val="007E5EC6"/>
    <w:rsid w:val="007E60B7"/>
    <w:rsid w:val="007E613A"/>
    <w:rsid w:val="007E6291"/>
    <w:rsid w:val="007E7408"/>
    <w:rsid w:val="007E7AE8"/>
    <w:rsid w:val="007E7C36"/>
    <w:rsid w:val="007F05D4"/>
    <w:rsid w:val="007F0E97"/>
    <w:rsid w:val="007F109F"/>
    <w:rsid w:val="007F1200"/>
    <w:rsid w:val="007F167E"/>
    <w:rsid w:val="007F16D4"/>
    <w:rsid w:val="007F1A02"/>
    <w:rsid w:val="007F2273"/>
    <w:rsid w:val="007F2285"/>
    <w:rsid w:val="007F261E"/>
    <w:rsid w:val="007F262C"/>
    <w:rsid w:val="007F2B77"/>
    <w:rsid w:val="007F3B8F"/>
    <w:rsid w:val="007F45FE"/>
    <w:rsid w:val="007F4AC8"/>
    <w:rsid w:val="007F4C18"/>
    <w:rsid w:val="007F4E4C"/>
    <w:rsid w:val="007F6156"/>
    <w:rsid w:val="007F6379"/>
    <w:rsid w:val="007F648B"/>
    <w:rsid w:val="007F6657"/>
    <w:rsid w:val="007F6805"/>
    <w:rsid w:val="007F6B57"/>
    <w:rsid w:val="007F6C13"/>
    <w:rsid w:val="007F7043"/>
    <w:rsid w:val="007F7190"/>
    <w:rsid w:val="007F72C9"/>
    <w:rsid w:val="007F744F"/>
    <w:rsid w:val="007F7A92"/>
    <w:rsid w:val="00800A3E"/>
    <w:rsid w:val="00800C44"/>
    <w:rsid w:val="00800CDA"/>
    <w:rsid w:val="00800D86"/>
    <w:rsid w:val="00800EA0"/>
    <w:rsid w:val="0080117E"/>
    <w:rsid w:val="008013C4"/>
    <w:rsid w:val="008014E9"/>
    <w:rsid w:val="0080160E"/>
    <w:rsid w:val="00801802"/>
    <w:rsid w:val="00801C6C"/>
    <w:rsid w:val="00801D40"/>
    <w:rsid w:val="00801E11"/>
    <w:rsid w:val="00801EAB"/>
    <w:rsid w:val="00802064"/>
    <w:rsid w:val="008024AA"/>
    <w:rsid w:val="00802FC4"/>
    <w:rsid w:val="00803ADC"/>
    <w:rsid w:val="00803E8D"/>
    <w:rsid w:val="0080410C"/>
    <w:rsid w:val="0080446C"/>
    <w:rsid w:val="008044AA"/>
    <w:rsid w:val="008058D7"/>
    <w:rsid w:val="00805D04"/>
    <w:rsid w:val="00805E7F"/>
    <w:rsid w:val="00806081"/>
    <w:rsid w:val="0080637B"/>
    <w:rsid w:val="00806819"/>
    <w:rsid w:val="00807036"/>
    <w:rsid w:val="0080755F"/>
    <w:rsid w:val="0080760E"/>
    <w:rsid w:val="0080764B"/>
    <w:rsid w:val="008077E2"/>
    <w:rsid w:val="00807C7C"/>
    <w:rsid w:val="00810386"/>
    <w:rsid w:val="008115DE"/>
    <w:rsid w:val="008118BE"/>
    <w:rsid w:val="00811CCA"/>
    <w:rsid w:val="00811EE5"/>
    <w:rsid w:val="00811EF9"/>
    <w:rsid w:val="008120EE"/>
    <w:rsid w:val="00812296"/>
    <w:rsid w:val="0081272F"/>
    <w:rsid w:val="00812736"/>
    <w:rsid w:val="00812A22"/>
    <w:rsid w:val="00813256"/>
    <w:rsid w:val="00813950"/>
    <w:rsid w:val="008140BB"/>
    <w:rsid w:val="00814138"/>
    <w:rsid w:val="0081419D"/>
    <w:rsid w:val="00815261"/>
    <w:rsid w:val="00815348"/>
    <w:rsid w:val="0081564B"/>
    <w:rsid w:val="0081572D"/>
    <w:rsid w:val="00815B1A"/>
    <w:rsid w:val="00815BDA"/>
    <w:rsid w:val="008162D4"/>
    <w:rsid w:val="00816332"/>
    <w:rsid w:val="008167D6"/>
    <w:rsid w:val="00816CA6"/>
    <w:rsid w:val="00816DCD"/>
    <w:rsid w:val="00816FD8"/>
    <w:rsid w:val="00816FFA"/>
    <w:rsid w:val="0081722D"/>
    <w:rsid w:val="00817513"/>
    <w:rsid w:val="00817E9A"/>
    <w:rsid w:val="00817EA6"/>
    <w:rsid w:val="00817EF0"/>
    <w:rsid w:val="008200F3"/>
    <w:rsid w:val="008203CF"/>
    <w:rsid w:val="008205DB"/>
    <w:rsid w:val="0082114F"/>
    <w:rsid w:val="008219AF"/>
    <w:rsid w:val="00821CF6"/>
    <w:rsid w:val="008222E0"/>
    <w:rsid w:val="00822D87"/>
    <w:rsid w:val="008231F9"/>
    <w:rsid w:val="0082356F"/>
    <w:rsid w:val="0082358D"/>
    <w:rsid w:val="008236D2"/>
    <w:rsid w:val="0082374B"/>
    <w:rsid w:val="00823CDA"/>
    <w:rsid w:val="00824072"/>
    <w:rsid w:val="0082413A"/>
    <w:rsid w:val="00824508"/>
    <w:rsid w:val="0082454E"/>
    <w:rsid w:val="0082518B"/>
    <w:rsid w:val="00826469"/>
    <w:rsid w:val="008264C2"/>
    <w:rsid w:val="00826C10"/>
    <w:rsid w:val="00826C96"/>
    <w:rsid w:val="00826DF0"/>
    <w:rsid w:val="008275D0"/>
    <w:rsid w:val="0082772E"/>
    <w:rsid w:val="00830052"/>
    <w:rsid w:val="00830080"/>
    <w:rsid w:val="008302CC"/>
    <w:rsid w:val="00830A0D"/>
    <w:rsid w:val="00830C70"/>
    <w:rsid w:val="008311BD"/>
    <w:rsid w:val="008315B7"/>
    <w:rsid w:val="00831779"/>
    <w:rsid w:val="00831923"/>
    <w:rsid w:val="00831A40"/>
    <w:rsid w:val="00831B61"/>
    <w:rsid w:val="00831CE6"/>
    <w:rsid w:val="00831F58"/>
    <w:rsid w:val="00832044"/>
    <w:rsid w:val="008325B8"/>
    <w:rsid w:val="008326F6"/>
    <w:rsid w:val="0083296B"/>
    <w:rsid w:val="008329A9"/>
    <w:rsid w:val="00833A9F"/>
    <w:rsid w:val="00833D24"/>
    <w:rsid w:val="00833E52"/>
    <w:rsid w:val="00833ED5"/>
    <w:rsid w:val="00834730"/>
    <w:rsid w:val="0083475D"/>
    <w:rsid w:val="008348F3"/>
    <w:rsid w:val="00834C6B"/>
    <w:rsid w:val="008351BD"/>
    <w:rsid w:val="00835957"/>
    <w:rsid w:val="00835CA0"/>
    <w:rsid w:val="00835D55"/>
    <w:rsid w:val="00835DE8"/>
    <w:rsid w:val="0083720E"/>
    <w:rsid w:val="008376DB"/>
    <w:rsid w:val="0083774D"/>
    <w:rsid w:val="00837B3C"/>
    <w:rsid w:val="00837E2F"/>
    <w:rsid w:val="008402F2"/>
    <w:rsid w:val="0084050F"/>
    <w:rsid w:val="00840C10"/>
    <w:rsid w:val="00840CF5"/>
    <w:rsid w:val="00840E91"/>
    <w:rsid w:val="00840F0C"/>
    <w:rsid w:val="008410BE"/>
    <w:rsid w:val="00841211"/>
    <w:rsid w:val="008413CD"/>
    <w:rsid w:val="008416DD"/>
    <w:rsid w:val="008419EA"/>
    <w:rsid w:val="00841A8D"/>
    <w:rsid w:val="008422A9"/>
    <w:rsid w:val="00842CC4"/>
    <w:rsid w:val="00842F2F"/>
    <w:rsid w:val="008438AF"/>
    <w:rsid w:val="00843B03"/>
    <w:rsid w:val="00843C94"/>
    <w:rsid w:val="00844BBD"/>
    <w:rsid w:val="00844C51"/>
    <w:rsid w:val="00845809"/>
    <w:rsid w:val="00845D05"/>
    <w:rsid w:val="008465C4"/>
    <w:rsid w:val="00846694"/>
    <w:rsid w:val="008471EB"/>
    <w:rsid w:val="00847300"/>
    <w:rsid w:val="00847436"/>
    <w:rsid w:val="00847590"/>
    <w:rsid w:val="008475A0"/>
    <w:rsid w:val="008475B5"/>
    <w:rsid w:val="0084769B"/>
    <w:rsid w:val="00847B76"/>
    <w:rsid w:val="00847E48"/>
    <w:rsid w:val="00850CA7"/>
    <w:rsid w:val="00850EF5"/>
    <w:rsid w:val="008517B6"/>
    <w:rsid w:val="00851F99"/>
    <w:rsid w:val="00852428"/>
    <w:rsid w:val="00852858"/>
    <w:rsid w:val="00852B24"/>
    <w:rsid w:val="00852CAE"/>
    <w:rsid w:val="00852D6D"/>
    <w:rsid w:val="00852EDF"/>
    <w:rsid w:val="00853422"/>
    <w:rsid w:val="00853444"/>
    <w:rsid w:val="008534E6"/>
    <w:rsid w:val="008536B8"/>
    <w:rsid w:val="008537D9"/>
    <w:rsid w:val="0085389A"/>
    <w:rsid w:val="00854075"/>
    <w:rsid w:val="008549A6"/>
    <w:rsid w:val="008549DE"/>
    <w:rsid w:val="00855A18"/>
    <w:rsid w:val="00855DD9"/>
    <w:rsid w:val="008564AB"/>
    <w:rsid w:val="008565A6"/>
    <w:rsid w:val="00856A2D"/>
    <w:rsid w:val="00856AF6"/>
    <w:rsid w:val="00856DC4"/>
    <w:rsid w:val="0085707D"/>
    <w:rsid w:val="008572A0"/>
    <w:rsid w:val="0085730B"/>
    <w:rsid w:val="00857596"/>
    <w:rsid w:val="00857A80"/>
    <w:rsid w:val="00857A96"/>
    <w:rsid w:val="00857B28"/>
    <w:rsid w:val="00860317"/>
    <w:rsid w:val="008603FA"/>
    <w:rsid w:val="00860B89"/>
    <w:rsid w:val="0086166B"/>
    <w:rsid w:val="00861A2B"/>
    <w:rsid w:val="00861B19"/>
    <w:rsid w:val="008628EA"/>
    <w:rsid w:val="00862949"/>
    <w:rsid w:val="00862DA5"/>
    <w:rsid w:val="008639F3"/>
    <w:rsid w:val="00863DF2"/>
    <w:rsid w:val="00863FB2"/>
    <w:rsid w:val="008641C5"/>
    <w:rsid w:val="00864E63"/>
    <w:rsid w:val="00864EFD"/>
    <w:rsid w:val="0086523C"/>
    <w:rsid w:val="0086535C"/>
    <w:rsid w:val="00865C9B"/>
    <w:rsid w:val="0086624C"/>
    <w:rsid w:val="008664B3"/>
    <w:rsid w:val="0086687C"/>
    <w:rsid w:val="00866CC6"/>
    <w:rsid w:val="00866EC0"/>
    <w:rsid w:val="00867047"/>
    <w:rsid w:val="0086711E"/>
    <w:rsid w:val="0086791E"/>
    <w:rsid w:val="008679CB"/>
    <w:rsid w:val="00867EB0"/>
    <w:rsid w:val="008706AE"/>
    <w:rsid w:val="0087171C"/>
    <w:rsid w:val="008718F2"/>
    <w:rsid w:val="00871AD3"/>
    <w:rsid w:val="00872220"/>
    <w:rsid w:val="0087223E"/>
    <w:rsid w:val="008725F3"/>
    <w:rsid w:val="008726B8"/>
    <w:rsid w:val="008733E0"/>
    <w:rsid w:val="00873539"/>
    <w:rsid w:val="008737DA"/>
    <w:rsid w:val="00873827"/>
    <w:rsid w:val="0087419B"/>
    <w:rsid w:val="008743BB"/>
    <w:rsid w:val="00874644"/>
    <w:rsid w:val="00874730"/>
    <w:rsid w:val="00875C0D"/>
    <w:rsid w:val="00875EF1"/>
    <w:rsid w:val="00875FCC"/>
    <w:rsid w:val="00876025"/>
    <w:rsid w:val="008760F3"/>
    <w:rsid w:val="00876482"/>
    <w:rsid w:val="0087675C"/>
    <w:rsid w:val="00877191"/>
    <w:rsid w:val="008773F4"/>
    <w:rsid w:val="00877421"/>
    <w:rsid w:val="00877433"/>
    <w:rsid w:val="008774A9"/>
    <w:rsid w:val="008774CB"/>
    <w:rsid w:val="008779FF"/>
    <w:rsid w:val="00877DA3"/>
    <w:rsid w:val="00877E27"/>
    <w:rsid w:val="0088039B"/>
    <w:rsid w:val="008803E8"/>
    <w:rsid w:val="00880B6F"/>
    <w:rsid w:val="0088142E"/>
    <w:rsid w:val="00881AFF"/>
    <w:rsid w:val="00881B49"/>
    <w:rsid w:val="00882366"/>
    <w:rsid w:val="0088251A"/>
    <w:rsid w:val="00882692"/>
    <w:rsid w:val="008828FA"/>
    <w:rsid w:val="00882A68"/>
    <w:rsid w:val="00882C58"/>
    <w:rsid w:val="00882FDE"/>
    <w:rsid w:val="00883035"/>
    <w:rsid w:val="008831BD"/>
    <w:rsid w:val="00883214"/>
    <w:rsid w:val="0088328C"/>
    <w:rsid w:val="008834FB"/>
    <w:rsid w:val="008835A8"/>
    <w:rsid w:val="0088374E"/>
    <w:rsid w:val="00884080"/>
    <w:rsid w:val="00884218"/>
    <w:rsid w:val="0088422E"/>
    <w:rsid w:val="0088425A"/>
    <w:rsid w:val="00884BEA"/>
    <w:rsid w:val="00884C0E"/>
    <w:rsid w:val="00884CB4"/>
    <w:rsid w:val="00884E51"/>
    <w:rsid w:val="00885CAE"/>
    <w:rsid w:val="00885E17"/>
    <w:rsid w:val="00885FC2"/>
    <w:rsid w:val="008860CC"/>
    <w:rsid w:val="008867A4"/>
    <w:rsid w:val="00886CB7"/>
    <w:rsid w:val="008870B3"/>
    <w:rsid w:val="0088780F"/>
    <w:rsid w:val="00887A91"/>
    <w:rsid w:val="00887CEB"/>
    <w:rsid w:val="0089017C"/>
    <w:rsid w:val="00890272"/>
    <w:rsid w:val="008903FB"/>
    <w:rsid w:val="00890BEB"/>
    <w:rsid w:val="00891346"/>
    <w:rsid w:val="00891CDA"/>
    <w:rsid w:val="00891D6F"/>
    <w:rsid w:val="00892841"/>
    <w:rsid w:val="00892898"/>
    <w:rsid w:val="008928C6"/>
    <w:rsid w:val="008929C9"/>
    <w:rsid w:val="00892B50"/>
    <w:rsid w:val="008930A4"/>
    <w:rsid w:val="00893101"/>
    <w:rsid w:val="00893225"/>
    <w:rsid w:val="00893A94"/>
    <w:rsid w:val="00893B13"/>
    <w:rsid w:val="00893C8C"/>
    <w:rsid w:val="00894417"/>
    <w:rsid w:val="0089449E"/>
    <w:rsid w:val="0089456A"/>
    <w:rsid w:val="0089468A"/>
    <w:rsid w:val="008949EF"/>
    <w:rsid w:val="008952F3"/>
    <w:rsid w:val="0089548F"/>
    <w:rsid w:val="00895527"/>
    <w:rsid w:val="008955A8"/>
    <w:rsid w:val="00895AC7"/>
    <w:rsid w:val="00895E29"/>
    <w:rsid w:val="0089647F"/>
    <w:rsid w:val="00896AE9"/>
    <w:rsid w:val="00896D1E"/>
    <w:rsid w:val="00896FAD"/>
    <w:rsid w:val="0089786D"/>
    <w:rsid w:val="00897936"/>
    <w:rsid w:val="008A00D2"/>
    <w:rsid w:val="008A0357"/>
    <w:rsid w:val="008A03E2"/>
    <w:rsid w:val="008A08FD"/>
    <w:rsid w:val="008A1526"/>
    <w:rsid w:val="008A15DB"/>
    <w:rsid w:val="008A17A1"/>
    <w:rsid w:val="008A1977"/>
    <w:rsid w:val="008A1CA2"/>
    <w:rsid w:val="008A1D4D"/>
    <w:rsid w:val="008A1DD4"/>
    <w:rsid w:val="008A1DD5"/>
    <w:rsid w:val="008A1FDD"/>
    <w:rsid w:val="008A201A"/>
    <w:rsid w:val="008A2465"/>
    <w:rsid w:val="008A256C"/>
    <w:rsid w:val="008A2852"/>
    <w:rsid w:val="008A2AF4"/>
    <w:rsid w:val="008A2C28"/>
    <w:rsid w:val="008A2DD7"/>
    <w:rsid w:val="008A351C"/>
    <w:rsid w:val="008A3B35"/>
    <w:rsid w:val="008A40A1"/>
    <w:rsid w:val="008A4139"/>
    <w:rsid w:val="008A4323"/>
    <w:rsid w:val="008A45C1"/>
    <w:rsid w:val="008A46D1"/>
    <w:rsid w:val="008A4964"/>
    <w:rsid w:val="008A4C3C"/>
    <w:rsid w:val="008A4DF9"/>
    <w:rsid w:val="008A4E5C"/>
    <w:rsid w:val="008A517C"/>
    <w:rsid w:val="008A51D1"/>
    <w:rsid w:val="008A52C8"/>
    <w:rsid w:val="008A5AEF"/>
    <w:rsid w:val="008A5E56"/>
    <w:rsid w:val="008A63B9"/>
    <w:rsid w:val="008A70F4"/>
    <w:rsid w:val="008A7697"/>
    <w:rsid w:val="008A7745"/>
    <w:rsid w:val="008A7B18"/>
    <w:rsid w:val="008A7E9E"/>
    <w:rsid w:val="008A7EB5"/>
    <w:rsid w:val="008B0487"/>
    <w:rsid w:val="008B058E"/>
    <w:rsid w:val="008B0646"/>
    <w:rsid w:val="008B0CB1"/>
    <w:rsid w:val="008B0EC4"/>
    <w:rsid w:val="008B18D4"/>
    <w:rsid w:val="008B1940"/>
    <w:rsid w:val="008B1E65"/>
    <w:rsid w:val="008B1FEE"/>
    <w:rsid w:val="008B23DC"/>
    <w:rsid w:val="008B2817"/>
    <w:rsid w:val="008B2867"/>
    <w:rsid w:val="008B2B17"/>
    <w:rsid w:val="008B2B54"/>
    <w:rsid w:val="008B2CA0"/>
    <w:rsid w:val="008B2CB4"/>
    <w:rsid w:val="008B2DC6"/>
    <w:rsid w:val="008B2F38"/>
    <w:rsid w:val="008B307A"/>
    <w:rsid w:val="008B36AD"/>
    <w:rsid w:val="008B4358"/>
    <w:rsid w:val="008B44C4"/>
    <w:rsid w:val="008B468E"/>
    <w:rsid w:val="008B4972"/>
    <w:rsid w:val="008B512F"/>
    <w:rsid w:val="008B517D"/>
    <w:rsid w:val="008B55BE"/>
    <w:rsid w:val="008B57AA"/>
    <w:rsid w:val="008B57E8"/>
    <w:rsid w:val="008B58AF"/>
    <w:rsid w:val="008B597B"/>
    <w:rsid w:val="008B5F6C"/>
    <w:rsid w:val="008B62C9"/>
    <w:rsid w:val="008B6862"/>
    <w:rsid w:val="008B6F06"/>
    <w:rsid w:val="008B70BC"/>
    <w:rsid w:val="008B7E06"/>
    <w:rsid w:val="008B7EF2"/>
    <w:rsid w:val="008C0444"/>
    <w:rsid w:val="008C0588"/>
    <w:rsid w:val="008C0F1A"/>
    <w:rsid w:val="008C102A"/>
    <w:rsid w:val="008C103B"/>
    <w:rsid w:val="008C137C"/>
    <w:rsid w:val="008C157A"/>
    <w:rsid w:val="008C179F"/>
    <w:rsid w:val="008C1B8A"/>
    <w:rsid w:val="008C1D02"/>
    <w:rsid w:val="008C1FD7"/>
    <w:rsid w:val="008C20A0"/>
    <w:rsid w:val="008C21B7"/>
    <w:rsid w:val="008C22F1"/>
    <w:rsid w:val="008C2379"/>
    <w:rsid w:val="008C2575"/>
    <w:rsid w:val="008C2661"/>
    <w:rsid w:val="008C2734"/>
    <w:rsid w:val="008C28F3"/>
    <w:rsid w:val="008C33C8"/>
    <w:rsid w:val="008C3519"/>
    <w:rsid w:val="008C377C"/>
    <w:rsid w:val="008C38C0"/>
    <w:rsid w:val="008C41AD"/>
    <w:rsid w:val="008C4550"/>
    <w:rsid w:val="008C456F"/>
    <w:rsid w:val="008C4E2E"/>
    <w:rsid w:val="008C5555"/>
    <w:rsid w:val="008C5B89"/>
    <w:rsid w:val="008C5E3C"/>
    <w:rsid w:val="008C6B23"/>
    <w:rsid w:val="008C6CE9"/>
    <w:rsid w:val="008C7013"/>
    <w:rsid w:val="008C7394"/>
    <w:rsid w:val="008C73EC"/>
    <w:rsid w:val="008C75A7"/>
    <w:rsid w:val="008C792A"/>
    <w:rsid w:val="008C7B89"/>
    <w:rsid w:val="008C7F97"/>
    <w:rsid w:val="008D01B9"/>
    <w:rsid w:val="008D03FB"/>
    <w:rsid w:val="008D0D3F"/>
    <w:rsid w:val="008D0E74"/>
    <w:rsid w:val="008D1377"/>
    <w:rsid w:val="008D146A"/>
    <w:rsid w:val="008D1809"/>
    <w:rsid w:val="008D18B0"/>
    <w:rsid w:val="008D1D76"/>
    <w:rsid w:val="008D2747"/>
    <w:rsid w:val="008D390E"/>
    <w:rsid w:val="008D3EF1"/>
    <w:rsid w:val="008D3F17"/>
    <w:rsid w:val="008D426D"/>
    <w:rsid w:val="008D4460"/>
    <w:rsid w:val="008D49CA"/>
    <w:rsid w:val="008D4D53"/>
    <w:rsid w:val="008D530E"/>
    <w:rsid w:val="008D5EF0"/>
    <w:rsid w:val="008D60EF"/>
    <w:rsid w:val="008D62ED"/>
    <w:rsid w:val="008D63BE"/>
    <w:rsid w:val="008D66EC"/>
    <w:rsid w:val="008D6A94"/>
    <w:rsid w:val="008D6B34"/>
    <w:rsid w:val="008D6DCA"/>
    <w:rsid w:val="008D6DE3"/>
    <w:rsid w:val="008D6F39"/>
    <w:rsid w:val="008D78DE"/>
    <w:rsid w:val="008E015C"/>
    <w:rsid w:val="008E01E0"/>
    <w:rsid w:val="008E02E1"/>
    <w:rsid w:val="008E0610"/>
    <w:rsid w:val="008E0717"/>
    <w:rsid w:val="008E0B8B"/>
    <w:rsid w:val="008E0C83"/>
    <w:rsid w:val="008E0CC2"/>
    <w:rsid w:val="008E0EB6"/>
    <w:rsid w:val="008E10FC"/>
    <w:rsid w:val="008E1D6F"/>
    <w:rsid w:val="008E220F"/>
    <w:rsid w:val="008E267F"/>
    <w:rsid w:val="008E27DE"/>
    <w:rsid w:val="008E299C"/>
    <w:rsid w:val="008E2BCC"/>
    <w:rsid w:val="008E3077"/>
    <w:rsid w:val="008E30CF"/>
    <w:rsid w:val="008E369E"/>
    <w:rsid w:val="008E3771"/>
    <w:rsid w:val="008E383B"/>
    <w:rsid w:val="008E3E2C"/>
    <w:rsid w:val="008E4133"/>
    <w:rsid w:val="008E433C"/>
    <w:rsid w:val="008E481B"/>
    <w:rsid w:val="008E4CCB"/>
    <w:rsid w:val="008E4FFA"/>
    <w:rsid w:val="008E577C"/>
    <w:rsid w:val="008E5887"/>
    <w:rsid w:val="008E63E0"/>
    <w:rsid w:val="008E641A"/>
    <w:rsid w:val="008E70F6"/>
    <w:rsid w:val="008E7649"/>
    <w:rsid w:val="008E77F2"/>
    <w:rsid w:val="008E7D20"/>
    <w:rsid w:val="008F0E28"/>
    <w:rsid w:val="008F0F3C"/>
    <w:rsid w:val="008F10F8"/>
    <w:rsid w:val="008F1231"/>
    <w:rsid w:val="008F1300"/>
    <w:rsid w:val="008F1563"/>
    <w:rsid w:val="008F18CA"/>
    <w:rsid w:val="008F1AB0"/>
    <w:rsid w:val="008F1EA4"/>
    <w:rsid w:val="008F2666"/>
    <w:rsid w:val="008F286E"/>
    <w:rsid w:val="008F2B09"/>
    <w:rsid w:val="008F35B5"/>
    <w:rsid w:val="008F3778"/>
    <w:rsid w:val="008F3817"/>
    <w:rsid w:val="008F4146"/>
    <w:rsid w:val="008F45BE"/>
    <w:rsid w:val="008F4B49"/>
    <w:rsid w:val="008F4BE6"/>
    <w:rsid w:val="008F5026"/>
    <w:rsid w:val="008F5345"/>
    <w:rsid w:val="008F5464"/>
    <w:rsid w:val="008F54C1"/>
    <w:rsid w:val="008F54F0"/>
    <w:rsid w:val="008F5A6E"/>
    <w:rsid w:val="008F5CE6"/>
    <w:rsid w:val="008F60D5"/>
    <w:rsid w:val="008F6214"/>
    <w:rsid w:val="008F62A1"/>
    <w:rsid w:val="008F67C4"/>
    <w:rsid w:val="008F67CF"/>
    <w:rsid w:val="008F6DBC"/>
    <w:rsid w:val="008F6EE6"/>
    <w:rsid w:val="008F71BD"/>
    <w:rsid w:val="008F7378"/>
    <w:rsid w:val="008F773C"/>
    <w:rsid w:val="008F78D6"/>
    <w:rsid w:val="008F79A0"/>
    <w:rsid w:val="0090006C"/>
    <w:rsid w:val="00900B03"/>
    <w:rsid w:val="00901145"/>
    <w:rsid w:val="00901D4A"/>
    <w:rsid w:val="0090234B"/>
    <w:rsid w:val="009023F9"/>
    <w:rsid w:val="0090266F"/>
    <w:rsid w:val="00903515"/>
    <w:rsid w:val="009035B4"/>
    <w:rsid w:val="00903BCA"/>
    <w:rsid w:val="00904598"/>
    <w:rsid w:val="00904DC6"/>
    <w:rsid w:val="0090527B"/>
    <w:rsid w:val="00905620"/>
    <w:rsid w:val="00905743"/>
    <w:rsid w:val="00905ECE"/>
    <w:rsid w:val="00906333"/>
    <w:rsid w:val="00906371"/>
    <w:rsid w:val="009067C5"/>
    <w:rsid w:val="009067ED"/>
    <w:rsid w:val="00906BCE"/>
    <w:rsid w:val="0090760B"/>
    <w:rsid w:val="00907659"/>
    <w:rsid w:val="0090785F"/>
    <w:rsid w:val="00907923"/>
    <w:rsid w:val="00907EBE"/>
    <w:rsid w:val="009101B1"/>
    <w:rsid w:val="0091063B"/>
    <w:rsid w:val="00911075"/>
    <w:rsid w:val="009113E6"/>
    <w:rsid w:val="0091177F"/>
    <w:rsid w:val="00911945"/>
    <w:rsid w:val="00911DAF"/>
    <w:rsid w:val="00912637"/>
    <w:rsid w:val="00912804"/>
    <w:rsid w:val="00912A27"/>
    <w:rsid w:val="00912A5B"/>
    <w:rsid w:val="00912A6C"/>
    <w:rsid w:val="00912DA6"/>
    <w:rsid w:val="00912DC5"/>
    <w:rsid w:val="009138B1"/>
    <w:rsid w:val="009139C5"/>
    <w:rsid w:val="00913CD1"/>
    <w:rsid w:val="00913D57"/>
    <w:rsid w:val="00913DE6"/>
    <w:rsid w:val="009144AF"/>
    <w:rsid w:val="009148D3"/>
    <w:rsid w:val="00914B4C"/>
    <w:rsid w:val="00915595"/>
    <w:rsid w:val="00915752"/>
    <w:rsid w:val="00915B47"/>
    <w:rsid w:val="00915D5A"/>
    <w:rsid w:val="00915E0D"/>
    <w:rsid w:val="00916472"/>
    <w:rsid w:val="0091685C"/>
    <w:rsid w:val="00916D7B"/>
    <w:rsid w:val="00916DF0"/>
    <w:rsid w:val="00916E29"/>
    <w:rsid w:val="0091705E"/>
    <w:rsid w:val="00917223"/>
    <w:rsid w:val="0092034C"/>
    <w:rsid w:val="009207E8"/>
    <w:rsid w:val="00920943"/>
    <w:rsid w:val="0092105F"/>
    <w:rsid w:val="009214A4"/>
    <w:rsid w:val="0092153C"/>
    <w:rsid w:val="009215E6"/>
    <w:rsid w:val="00921E3B"/>
    <w:rsid w:val="009221D3"/>
    <w:rsid w:val="009225DB"/>
    <w:rsid w:val="0092328E"/>
    <w:rsid w:val="0092330C"/>
    <w:rsid w:val="00923568"/>
    <w:rsid w:val="009237C2"/>
    <w:rsid w:val="0092380A"/>
    <w:rsid w:val="00923902"/>
    <w:rsid w:val="009239E8"/>
    <w:rsid w:val="00923F5A"/>
    <w:rsid w:val="00924235"/>
    <w:rsid w:val="0092476E"/>
    <w:rsid w:val="00925205"/>
    <w:rsid w:val="009253D8"/>
    <w:rsid w:val="009257EF"/>
    <w:rsid w:val="00926664"/>
    <w:rsid w:val="009267EF"/>
    <w:rsid w:val="009268FC"/>
    <w:rsid w:val="00926A7D"/>
    <w:rsid w:val="00926F3B"/>
    <w:rsid w:val="009272DD"/>
    <w:rsid w:val="009278CF"/>
    <w:rsid w:val="00927921"/>
    <w:rsid w:val="009279CD"/>
    <w:rsid w:val="00927A35"/>
    <w:rsid w:val="00927C3C"/>
    <w:rsid w:val="00927E1F"/>
    <w:rsid w:val="00930096"/>
    <w:rsid w:val="00930D87"/>
    <w:rsid w:val="00931089"/>
    <w:rsid w:val="0093111B"/>
    <w:rsid w:val="0093178B"/>
    <w:rsid w:val="0093218B"/>
    <w:rsid w:val="00932612"/>
    <w:rsid w:val="0093266A"/>
    <w:rsid w:val="0093278B"/>
    <w:rsid w:val="00932822"/>
    <w:rsid w:val="00932828"/>
    <w:rsid w:val="009332E8"/>
    <w:rsid w:val="00933575"/>
    <w:rsid w:val="009338F8"/>
    <w:rsid w:val="00933DEB"/>
    <w:rsid w:val="00933EF0"/>
    <w:rsid w:val="009346B6"/>
    <w:rsid w:val="009348D9"/>
    <w:rsid w:val="00934C4D"/>
    <w:rsid w:val="00934C4F"/>
    <w:rsid w:val="009350C6"/>
    <w:rsid w:val="009352CE"/>
    <w:rsid w:val="00935349"/>
    <w:rsid w:val="009353FA"/>
    <w:rsid w:val="009354D9"/>
    <w:rsid w:val="0093587E"/>
    <w:rsid w:val="00935FEA"/>
    <w:rsid w:val="009365A5"/>
    <w:rsid w:val="00936F59"/>
    <w:rsid w:val="009370CE"/>
    <w:rsid w:val="00937272"/>
    <w:rsid w:val="00937317"/>
    <w:rsid w:val="009377C0"/>
    <w:rsid w:val="00937A99"/>
    <w:rsid w:val="009400BF"/>
    <w:rsid w:val="009409B6"/>
    <w:rsid w:val="00940B15"/>
    <w:rsid w:val="00940ED8"/>
    <w:rsid w:val="00941464"/>
    <w:rsid w:val="009414D7"/>
    <w:rsid w:val="009419CD"/>
    <w:rsid w:val="00941CB7"/>
    <w:rsid w:val="00942428"/>
    <w:rsid w:val="009429C4"/>
    <w:rsid w:val="00942C22"/>
    <w:rsid w:val="00942D96"/>
    <w:rsid w:val="00943159"/>
    <w:rsid w:val="009434B9"/>
    <w:rsid w:val="009434CE"/>
    <w:rsid w:val="009435BC"/>
    <w:rsid w:val="00943BC3"/>
    <w:rsid w:val="009444C2"/>
    <w:rsid w:val="00944673"/>
    <w:rsid w:val="00944751"/>
    <w:rsid w:val="009447E3"/>
    <w:rsid w:val="00944A91"/>
    <w:rsid w:val="0094500A"/>
    <w:rsid w:val="0094597B"/>
    <w:rsid w:val="00945F66"/>
    <w:rsid w:val="009462F5"/>
    <w:rsid w:val="0094635A"/>
    <w:rsid w:val="00946462"/>
    <w:rsid w:val="00946606"/>
    <w:rsid w:val="0094682C"/>
    <w:rsid w:val="009470DE"/>
    <w:rsid w:val="00947464"/>
    <w:rsid w:val="00947777"/>
    <w:rsid w:val="00947907"/>
    <w:rsid w:val="00947A68"/>
    <w:rsid w:val="00947D22"/>
    <w:rsid w:val="00950670"/>
    <w:rsid w:val="00952349"/>
    <w:rsid w:val="009529A0"/>
    <w:rsid w:val="00952E84"/>
    <w:rsid w:val="009530AE"/>
    <w:rsid w:val="00953574"/>
    <w:rsid w:val="0095371E"/>
    <w:rsid w:val="00953A30"/>
    <w:rsid w:val="0095418D"/>
    <w:rsid w:val="009543FF"/>
    <w:rsid w:val="00954A20"/>
    <w:rsid w:val="009551A2"/>
    <w:rsid w:val="009554F2"/>
    <w:rsid w:val="0095563D"/>
    <w:rsid w:val="0095568E"/>
    <w:rsid w:val="00955C65"/>
    <w:rsid w:val="00955E81"/>
    <w:rsid w:val="009564D1"/>
    <w:rsid w:val="00957622"/>
    <w:rsid w:val="00957CF8"/>
    <w:rsid w:val="00957EC2"/>
    <w:rsid w:val="0096028C"/>
    <w:rsid w:val="00960563"/>
    <w:rsid w:val="00960791"/>
    <w:rsid w:val="00960A3D"/>
    <w:rsid w:val="00960EA8"/>
    <w:rsid w:val="00960FA5"/>
    <w:rsid w:val="00961218"/>
    <w:rsid w:val="009613C1"/>
    <w:rsid w:val="009614F1"/>
    <w:rsid w:val="0096165E"/>
    <w:rsid w:val="009616E2"/>
    <w:rsid w:val="00961B9C"/>
    <w:rsid w:val="009622F3"/>
    <w:rsid w:val="00962304"/>
    <w:rsid w:val="00962B6C"/>
    <w:rsid w:val="0096301A"/>
    <w:rsid w:val="0096313F"/>
    <w:rsid w:val="00963479"/>
    <w:rsid w:val="00964337"/>
    <w:rsid w:val="00964389"/>
    <w:rsid w:val="00964467"/>
    <w:rsid w:val="009650EF"/>
    <w:rsid w:val="00965331"/>
    <w:rsid w:val="00966052"/>
    <w:rsid w:val="009661D0"/>
    <w:rsid w:val="00966C36"/>
    <w:rsid w:val="00967139"/>
    <w:rsid w:val="0096727A"/>
    <w:rsid w:val="00967773"/>
    <w:rsid w:val="0096781B"/>
    <w:rsid w:val="00967D09"/>
    <w:rsid w:val="00970377"/>
    <w:rsid w:val="00970392"/>
    <w:rsid w:val="00970FC6"/>
    <w:rsid w:val="0097157E"/>
    <w:rsid w:val="00971A21"/>
    <w:rsid w:val="00972054"/>
    <w:rsid w:val="00972C44"/>
    <w:rsid w:val="009733AE"/>
    <w:rsid w:val="00973545"/>
    <w:rsid w:val="00973CBA"/>
    <w:rsid w:val="00973F8E"/>
    <w:rsid w:val="0097465C"/>
    <w:rsid w:val="009746F4"/>
    <w:rsid w:val="00975A9A"/>
    <w:rsid w:val="0097673A"/>
    <w:rsid w:val="00976F7F"/>
    <w:rsid w:val="009770CC"/>
    <w:rsid w:val="00977ABA"/>
    <w:rsid w:val="00980128"/>
    <w:rsid w:val="009801FC"/>
    <w:rsid w:val="0098098C"/>
    <w:rsid w:val="00980EBD"/>
    <w:rsid w:val="009826D9"/>
    <w:rsid w:val="00983533"/>
    <w:rsid w:val="0098373B"/>
    <w:rsid w:val="0098393E"/>
    <w:rsid w:val="00983943"/>
    <w:rsid w:val="00983BF4"/>
    <w:rsid w:val="00983EBA"/>
    <w:rsid w:val="00983F8E"/>
    <w:rsid w:val="00984696"/>
    <w:rsid w:val="009846F6"/>
    <w:rsid w:val="00984892"/>
    <w:rsid w:val="00984D31"/>
    <w:rsid w:val="00984D7A"/>
    <w:rsid w:val="00984EE1"/>
    <w:rsid w:val="00984F46"/>
    <w:rsid w:val="009850B8"/>
    <w:rsid w:val="00985C15"/>
    <w:rsid w:val="00985F89"/>
    <w:rsid w:val="00986457"/>
    <w:rsid w:val="00986530"/>
    <w:rsid w:val="00986A78"/>
    <w:rsid w:val="00987332"/>
    <w:rsid w:val="0098777E"/>
    <w:rsid w:val="00987B7F"/>
    <w:rsid w:val="00987C13"/>
    <w:rsid w:val="0099008A"/>
    <w:rsid w:val="00990411"/>
    <w:rsid w:val="00990413"/>
    <w:rsid w:val="009906A4"/>
    <w:rsid w:val="00990EE0"/>
    <w:rsid w:val="00990FC4"/>
    <w:rsid w:val="009911FD"/>
    <w:rsid w:val="0099178E"/>
    <w:rsid w:val="00991CCA"/>
    <w:rsid w:val="00992C96"/>
    <w:rsid w:val="00993226"/>
    <w:rsid w:val="0099322F"/>
    <w:rsid w:val="00993727"/>
    <w:rsid w:val="00993A68"/>
    <w:rsid w:val="00993DE6"/>
    <w:rsid w:val="009945B3"/>
    <w:rsid w:val="00994831"/>
    <w:rsid w:val="00994CC6"/>
    <w:rsid w:val="00995180"/>
    <w:rsid w:val="00995427"/>
    <w:rsid w:val="0099549A"/>
    <w:rsid w:val="00995CEA"/>
    <w:rsid w:val="00995D5B"/>
    <w:rsid w:val="00995F52"/>
    <w:rsid w:val="009964BA"/>
    <w:rsid w:val="0099653D"/>
    <w:rsid w:val="009967CC"/>
    <w:rsid w:val="00996DE6"/>
    <w:rsid w:val="00997235"/>
    <w:rsid w:val="00997540"/>
    <w:rsid w:val="009976BD"/>
    <w:rsid w:val="00997F4F"/>
    <w:rsid w:val="00997F83"/>
    <w:rsid w:val="009A09B7"/>
    <w:rsid w:val="009A0ECF"/>
    <w:rsid w:val="009A1119"/>
    <w:rsid w:val="009A1369"/>
    <w:rsid w:val="009A1547"/>
    <w:rsid w:val="009A177E"/>
    <w:rsid w:val="009A1A84"/>
    <w:rsid w:val="009A28BA"/>
    <w:rsid w:val="009A2FDC"/>
    <w:rsid w:val="009A35B0"/>
    <w:rsid w:val="009A35CA"/>
    <w:rsid w:val="009A4096"/>
    <w:rsid w:val="009A4B84"/>
    <w:rsid w:val="009A4DC4"/>
    <w:rsid w:val="009A4E1D"/>
    <w:rsid w:val="009A5151"/>
    <w:rsid w:val="009A58B0"/>
    <w:rsid w:val="009A5D7A"/>
    <w:rsid w:val="009A5F87"/>
    <w:rsid w:val="009A5F8E"/>
    <w:rsid w:val="009A62F4"/>
    <w:rsid w:val="009A6C43"/>
    <w:rsid w:val="009A6F6B"/>
    <w:rsid w:val="009A6FFE"/>
    <w:rsid w:val="009A774C"/>
    <w:rsid w:val="009A7C0B"/>
    <w:rsid w:val="009A7CE0"/>
    <w:rsid w:val="009A7CFC"/>
    <w:rsid w:val="009B008F"/>
    <w:rsid w:val="009B0233"/>
    <w:rsid w:val="009B043E"/>
    <w:rsid w:val="009B06CF"/>
    <w:rsid w:val="009B0B9C"/>
    <w:rsid w:val="009B0BCE"/>
    <w:rsid w:val="009B0BD8"/>
    <w:rsid w:val="009B0BF5"/>
    <w:rsid w:val="009B1134"/>
    <w:rsid w:val="009B1990"/>
    <w:rsid w:val="009B377B"/>
    <w:rsid w:val="009B3A98"/>
    <w:rsid w:val="009B3AD0"/>
    <w:rsid w:val="009B3D5F"/>
    <w:rsid w:val="009B446F"/>
    <w:rsid w:val="009B4F17"/>
    <w:rsid w:val="009B4F9E"/>
    <w:rsid w:val="009B4FE5"/>
    <w:rsid w:val="009B5A8F"/>
    <w:rsid w:val="009B5D53"/>
    <w:rsid w:val="009B6113"/>
    <w:rsid w:val="009B6501"/>
    <w:rsid w:val="009B6C22"/>
    <w:rsid w:val="009B6EFC"/>
    <w:rsid w:val="009B73AE"/>
    <w:rsid w:val="009B7771"/>
    <w:rsid w:val="009B78A4"/>
    <w:rsid w:val="009B7E53"/>
    <w:rsid w:val="009B7F61"/>
    <w:rsid w:val="009C015B"/>
    <w:rsid w:val="009C01BD"/>
    <w:rsid w:val="009C01DD"/>
    <w:rsid w:val="009C06CE"/>
    <w:rsid w:val="009C1390"/>
    <w:rsid w:val="009C15E8"/>
    <w:rsid w:val="009C16CD"/>
    <w:rsid w:val="009C17E5"/>
    <w:rsid w:val="009C1A1A"/>
    <w:rsid w:val="009C22D6"/>
    <w:rsid w:val="009C2581"/>
    <w:rsid w:val="009C28A4"/>
    <w:rsid w:val="009C2B38"/>
    <w:rsid w:val="009C30CF"/>
    <w:rsid w:val="009C3444"/>
    <w:rsid w:val="009C385C"/>
    <w:rsid w:val="009C3C1A"/>
    <w:rsid w:val="009C4096"/>
    <w:rsid w:val="009C4947"/>
    <w:rsid w:val="009C4C59"/>
    <w:rsid w:val="009C5383"/>
    <w:rsid w:val="009C539A"/>
    <w:rsid w:val="009C53D5"/>
    <w:rsid w:val="009C5643"/>
    <w:rsid w:val="009C5B64"/>
    <w:rsid w:val="009C5E7B"/>
    <w:rsid w:val="009C6040"/>
    <w:rsid w:val="009C6BF6"/>
    <w:rsid w:val="009C6C0E"/>
    <w:rsid w:val="009C6C69"/>
    <w:rsid w:val="009C6D9F"/>
    <w:rsid w:val="009C7264"/>
    <w:rsid w:val="009C72FB"/>
    <w:rsid w:val="009C7783"/>
    <w:rsid w:val="009C7897"/>
    <w:rsid w:val="009C7BC8"/>
    <w:rsid w:val="009D032A"/>
    <w:rsid w:val="009D04C7"/>
    <w:rsid w:val="009D05F9"/>
    <w:rsid w:val="009D08B1"/>
    <w:rsid w:val="009D0ADE"/>
    <w:rsid w:val="009D0B13"/>
    <w:rsid w:val="009D20E0"/>
    <w:rsid w:val="009D315F"/>
    <w:rsid w:val="009D33C3"/>
    <w:rsid w:val="009D3A1D"/>
    <w:rsid w:val="009D3FF3"/>
    <w:rsid w:val="009D424A"/>
    <w:rsid w:val="009D471A"/>
    <w:rsid w:val="009D4D91"/>
    <w:rsid w:val="009D4EFF"/>
    <w:rsid w:val="009D5361"/>
    <w:rsid w:val="009D564A"/>
    <w:rsid w:val="009D641B"/>
    <w:rsid w:val="009D67EF"/>
    <w:rsid w:val="009D6D1E"/>
    <w:rsid w:val="009D6E84"/>
    <w:rsid w:val="009D73F2"/>
    <w:rsid w:val="009D79AC"/>
    <w:rsid w:val="009D7B22"/>
    <w:rsid w:val="009D7E09"/>
    <w:rsid w:val="009E00C8"/>
    <w:rsid w:val="009E04D4"/>
    <w:rsid w:val="009E0708"/>
    <w:rsid w:val="009E095D"/>
    <w:rsid w:val="009E100C"/>
    <w:rsid w:val="009E1296"/>
    <w:rsid w:val="009E1888"/>
    <w:rsid w:val="009E19E0"/>
    <w:rsid w:val="009E1E01"/>
    <w:rsid w:val="009E22FD"/>
    <w:rsid w:val="009E2416"/>
    <w:rsid w:val="009E2AC9"/>
    <w:rsid w:val="009E2B1B"/>
    <w:rsid w:val="009E2FF5"/>
    <w:rsid w:val="009E3D4A"/>
    <w:rsid w:val="009E4841"/>
    <w:rsid w:val="009E4D8C"/>
    <w:rsid w:val="009E4FC9"/>
    <w:rsid w:val="009E561F"/>
    <w:rsid w:val="009E6502"/>
    <w:rsid w:val="009E655A"/>
    <w:rsid w:val="009E6EA2"/>
    <w:rsid w:val="009E79A0"/>
    <w:rsid w:val="009E7ABF"/>
    <w:rsid w:val="009F000F"/>
    <w:rsid w:val="009F0146"/>
    <w:rsid w:val="009F1934"/>
    <w:rsid w:val="009F1B0D"/>
    <w:rsid w:val="009F1F30"/>
    <w:rsid w:val="009F224F"/>
    <w:rsid w:val="009F2467"/>
    <w:rsid w:val="009F2A02"/>
    <w:rsid w:val="009F2A77"/>
    <w:rsid w:val="009F3414"/>
    <w:rsid w:val="009F368A"/>
    <w:rsid w:val="009F3D2F"/>
    <w:rsid w:val="009F3FBC"/>
    <w:rsid w:val="009F446F"/>
    <w:rsid w:val="009F4515"/>
    <w:rsid w:val="009F4BB8"/>
    <w:rsid w:val="009F5231"/>
    <w:rsid w:val="009F587F"/>
    <w:rsid w:val="009F59B1"/>
    <w:rsid w:val="009F5CDC"/>
    <w:rsid w:val="009F5D43"/>
    <w:rsid w:val="009F6020"/>
    <w:rsid w:val="009F6877"/>
    <w:rsid w:val="009F6893"/>
    <w:rsid w:val="009F6DAD"/>
    <w:rsid w:val="009F6FCB"/>
    <w:rsid w:val="009F70F9"/>
    <w:rsid w:val="009F7710"/>
    <w:rsid w:val="009F7CAC"/>
    <w:rsid w:val="00A002FD"/>
    <w:rsid w:val="00A0046D"/>
    <w:rsid w:val="00A00598"/>
    <w:rsid w:val="00A00C33"/>
    <w:rsid w:val="00A01161"/>
    <w:rsid w:val="00A012BB"/>
    <w:rsid w:val="00A014C3"/>
    <w:rsid w:val="00A0171C"/>
    <w:rsid w:val="00A01A51"/>
    <w:rsid w:val="00A01A6F"/>
    <w:rsid w:val="00A0260A"/>
    <w:rsid w:val="00A0268A"/>
    <w:rsid w:val="00A02AE2"/>
    <w:rsid w:val="00A032D3"/>
    <w:rsid w:val="00A038CC"/>
    <w:rsid w:val="00A044A1"/>
    <w:rsid w:val="00A05136"/>
    <w:rsid w:val="00A05F06"/>
    <w:rsid w:val="00A06219"/>
    <w:rsid w:val="00A0757A"/>
    <w:rsid w:val="00A075A3"/>
    <w:rsid w:val="00A0763F"/>
    <w:rsid w:val="00A07AB9"/>
    <w:rsid w:val="00A07AE9"/>
    <w:rsid w:val="00A07B29"/>
    <w:rsid w:val="00A1024C"/>
    <w:rsid w:val="00A102B1"/>
    <w:rsid w:val="00A1096A"/>
    <w:rsid w:val="00A109A0"/>
    <w:rsid w:val="00A10E5C"/>
    <w:rsid w:val="00A11547"/>
    <w:rsid w:val="00A115E1"/>
    <w:rsid w:val="00A11911"/>
    <w:rsid w:val="00A11A8E"/>
    <w:rsid w:val="00A11DBB"/>
    <w:rsid w:val="00A12169"/>
    <w:rsid w:val="00A122B0"/>
    <w:rsid w:val="00A122BF"/>
    <w:rsid w:val="00A12FAC"/>
    <w:rsid w:val="00A1321B"/>
    <w:rsid w:val="00A133FF"/>
    <w:rsid w:val="00A1393D"/>
    <w:rsid w:val="00A13CA8"/>
    <w:rsid w:val="00A13E0A"/>
    <w:rsid w:val="00A13FEF"/>
    <w:rsid w:val="00A14012"/>
    <w:rsid w:val="00A147EB"/>
    <w:rsid w:val="00A14992"/>
    <w:rsid w:val="00A14D22"/>
    <w:rsid w:val="00A14D61"/>
    <w:rsid w:val="00A14DF6"/>
    <w:rsid w:val="00A1576A"/>
    <w:rsid w:val="00A157AC"/>
    <w:rsid w:val="00A158D2"/>
    <w:rsid w:val="00A1660B"/>
    <w:rsid w:val="00A16640"/>
    <w:rsid w:val="00A16855"/>
    <w:rsid w:val="00A168F1"/>
    <w:rsid w:val="00A169B3"/>
    <w:rsid w:val="00A17464"/>
    <w:rsid w:val="00A1783D"/>
    <w:rsid w:val="00A178DB"/>
    <w:rsid w:val="00A2001F"/>
    <w:rsid w:val="00A20098"/>
    <w:rsid w:val="00A200FD"/>
    <w:rsid w:val="00A206A9"/>
    <w:rsid w:val="00A20828"/>
    <w:rsid w:val="00A20D6C"/>
    <w:rsid w:val="00A21058"/>
    <w:rsid w:val="00A21148"/>
    <w:rsid w:val="00A21583"/>
    <w:rsid w:val="00A219FD"/>
    <w:rsid w:val="00A21D83"/>
    <w:rsid w:val="00A2205A"/>
    <w:rsid w:val="00A2239A"/>
    <w:rsid w:val="00A22F58"/>
    <w:rsid w:val="00A23263"/>
    <w:rsid w:val="00A23358"/>
    <w:rsid w:val="00A2369F"/>
    <w:rsid w:val="00A23A9F"/>
    <w:rsid w:val="00A24335"/>
    <w:rsid w:val="00A247C5"/>
    <w:rsid w:val="00A24BBA"/>
    <w:rsid w:val="00A24CB8"/>
    <w:rsid w:val="00A24E81"/>
    <w:rsid w:val="00A24F45"/>
    <w:rsid w:val="00A252AE"/>
    <w:rsid w:val="00A253AC"/>
    <w:rsid w:val="00A257D1"/>
    <w:rsid w:val="00A25DEF"/>
    <w:rsid w:val="00A26093"/>
    <w:rsid w:val="00A26170"/>
    <w:rsid w:val="00A26177"/>
    <w:rsid w:val="00A26323"/>
    <w:rsid w:val="00A263EB"/>
    <w:rsid w:val="00A26A18"/>
    <w:rsid w:val="00A26A4C"/>
    <w:rsid w:val="00A2709E"/>
    <w:rsid w:val="00A27142"/>
    <w:rsid w:val="00A2752C"/>
    <w:rsid w:val="00A27792"/>
    <w:rsid w:val="00A27896"/>
    <w:rsid w:val="00A30290"/>
    <w:rsid w:val="00A3053B"/>
    <w:rsid w:val="00A30613"/>
    <w:rsid w:val="00A30AA2"/>
    <w:rsid w:val="00A31DBF"/>
    <w:rsid w:val="00A31E63"/>
    <w:rsid w:val="00A32465"/>
    <w:rsid w:val="00A32625"/>
    <w:rsid w:val="00A331C8"/>
    <w:rsid w:val="00A3330A"/>
    <w:rsid w:val="00A3374E"/>
    <w:rsid w:val="00A337C0"/>
    <w:rsid w:val="00A33B0C"/>
    <w:rsid w:val="00A33BD1"/>
    <w:rsid w:val="00A33FED"/>
    <w:rsid w:val="00A3414F"/>
    <w:rsid w:val="00A348A3"/>
    <w:rsid w:val="00A3499F"/>
    <w:rsid w:val="00A3558D"/>
    <w:rsid w:val="00A35BDE"/>
    <w:rsid w:val="00A35E05"/>
    <w:rsid w:val="00A35E90"/>
    <w:rsid w:val="00A35F5A"/>
    <w:rsid w:val="00A35FE9"/>
    <w:rsid w:val="00A369EF"/>
    <w:rsid w:val="00A37007"/>
    <w:rsid w:val="00A37866"/>
    <w:rsid w:val="00A37999"/>
    <w:rsid w:val="00A379C7"/>
    <w:rsid w:val="00A37C7C"/>
    <w:rsid w:val="00A408C8"/>
    <w:rsid w:val="00A40BAA"/>
    <w:rsid w:val="00A40F85"/>
    <w:rsid w:val="00A40F94"/>
    <w:rsid w:val="00A41924"/>
    <w:rsid w:val="00A41A3C"/>
    <w:rsid w:val="00A423B0"/>
    <w:rsid w:val="00A42667"/>
    <w:rsid w:val="00A42F5B"/>
    <w:rsid w:val="00A431BA"/>
    <w:rsid w:val="00A43499"/>
    <w:rsid w:val="00A43EC7"/>
    <w:rsid w:val="00A44216"/>
    <w:rsid w:val="00A44409"/>
    <w:rsid w:val="00A4457E"/>
    <w:rsid w:val="00A44871"/>
    <w:rsid w:val="00A44E6D"/>
    <w:rsid w:val="00A45015"/>
    <w:rsid w:val="00A45029"/>
    <w:rsid w:val="00A4505B"/>
    <w:rsid w:val="00A4537B"/>
    <w:rsid w:val="00A453B0"/>
    <w:rsid w:val="00A454FC"/>
    <w:rsid w:val="00A4565F"/>
    <w:rsid w:val="00A45846"/>
    <w:rsid w:val="00A45EF0"/>
    <w:rsid w:val="00A45F6E"/>
    <w:rsid w:val="00A46195"/>
    <w:rsid w:val="00A46A4C"/>
    <w:rsid w:val="00A46E0B"/>
    <w:rsid w:val="00A4766A"/>
    <w:rsid w:val="00A502BA"/>
    <w:rsid w:val="00A50371"/>
    <w:rsid w:val="00A505C0"/>
    <w:rsid w:val="00A5060F"/>
    <w:rsid w:val="00A50660"/>
    <w:rsid w:val="00A50681"/>
    <w:rsid w:val="00A5082F"/>
    <w:rsid w:val="00A508DC"/>
    <w:rsid w:val="00A510DE"/>
    <w:rsid w:val="00A51B2A"/>
    <w:rsid w:val="00A51B53"/>
    <w:rsid w:val="00A521C1"/>
    <w:rsid w:val="00A522B0"/>
    <w:rsid w:val="00A5235B"/>
    <w:rsid w:val="00A52966"/>
    <w:rsid w:val="00A52B98"/>
    <w:rsid w:val="00A5372B"/>
    <w:rsid w:val="00A545BF"/>
    <w:rsid w:val="00A54B50"/>
    <w:rsid w:val="00A54D6B"/>
    <w:rsid w:val="00A550B8"/>
    <w:rsid w:val="00A55A10"/>
    <w:rsid w:val="00A55DC8"/>
    <w:rsid w:val="00A55ED3"/>
    <w:rsid w:val="00A5632B"/>
    <w:rsid w:val="00A563D3"/>
    <w:rsid w:val="00A56579"/>
    <w:rsid w:val="00A56726"/>
    <w:rsid w:val="00A56765"/>
    <w:rsid w:val="00A56AC5"/>
    <w:rsid w:val="00A574F0"/>
    <w:rsid w:val="00A57755"/>
    <w:rsid w:val="00A57B63"/>
    <w:rsid w:val="00A57BA9"/>
    <w:rsid w:val="00A60132"/>
    <w:rsid w:val="00A602F3"/>
    <w:rsid w:val="00A60939"/>
    <w:rsid w:val="00A60A0F"/>
    <w:rsid w:val="00A60A69"/>
    <w:rsid w:val="00A617E7"/>
    <w:rsid w:val="00A619F3"/>
    <w:rsid w:val="00A61DC9"/>
    <w:rsid w:val="00A61F1E"/>
    <w:rsid w:val="00A61F43"/>
    <w:rsid w:val="00A62ED1"/>
    <w:rsid w:val="00A633E0"/>
    <w:rsid w:val="00A63601"/>
    <w:rsid w:val="00A63B2D"/>
    <w:rsid w:val="00A63D29"/>
    <w:rsid w:val="00A6404F"/>
    <w:rsid w:val="00A640B5"/>
    <w:rsid w:val="00A64426"/>
    <w:rsid w:val="00A64468"/>
    <w:rsid w:val="00A64728"/>
    <w:rsid w:val="00A64904"/>
    <w:rsid w:val="00A64C1C"/>
    <w:rsid w:val="00A64CBA"/>
    <w:rsid w:val="00A64E4E"/>
    <w:rsid w:val="00A659D8"/>
    <w:rsid w:val="00A65AFA"/>
    <w:rsid w:val="00A65B38"/>
    <w:rsid w:val="00A65E89"/>
    <w:rsid w:val="00A6646F"/>
    <w:rsid w:val="00A66603"/>
    <w:rsid w:val="00A66D4C"/>
    <w:rsid w:val="00A67379"/>
    <w:rsid w:val="00A67676"/>
    <w:rsid w:val="00A67BCA"/>
    <w:rsid w:val="00A67CCE"/>
    <w:rsid w:val="00A70EBC"/>
    <w:rsid w:val="00A70FE3"/>
    <w:rsid w:val="00A710D0"/>
    <w:rsid w:val="00A7118D"/>
    <w:rsid w:val="00A71339"/>
    <w:rsid w:val="00A7135B"/>
    <w:rsid w:val="00A71759"/>
    <w:rsid w:val="00A71A83"/>
    <w:rsid w:val="00A72091"/>
    <w:rsid w:val="00A723BF"/>
    <w:rsid w:val="00A72469"/>
    <w:rsid w:val="00A72829"/>
    <w:rsid w:val="00A72BFA"/>
    <w:rsid w:val="00A72CAF"/>
    <w:rsid w:val="00A730EA"/>
    <w:rsid w:val="00A73139"/>
    <w:rsid w:val="00A7374F"/>
    <w:rsid w:val="00A73894"/>
    <w:rsid w:val="00A73993"/>
    <w:rsid w:val="00A73BB9"/>
    <w:rsid w:val="00A73F82"/>
    <w:rsid w:val="00A742B1"/>
    <w:rsid w:val="00A74CDF"/>
    <w:rsid w:val="00A75408"/>
    <w:rsid w:val="00A75598"/>
    <w:rsid w:val="00A756D0"/>
    <w:rsid w:val="00A75BCB"/>
    <w:rsid w:val="00A75CC3"/>
    <w:rsid w:val="00A75D48"/>
    <w:rsid w:val="00A75F1D"/>
    <w:rsid w:val="00A75F8C"/>
    <w:rsid w:val="00A761CF"/>
    <w:rsid w:val="00A7631D"/>
    <w:rsid w:val="00A7667E"/>
    <w:rsid w:val="00A76D19"/>
    <w:rsid w:val="00A775E6"/>
    <w:rsid w:val="00A7768F"/>
    <w:rsid w:val="00A7771D"/>
    <w:rsid w:val="00A80BF6"/>
    <w:rsid w:val="00A80E98"/>
    <w:rsid w:val="00A81694"/>
    <w:rsid w:val="00A817CD"/>
    <w:rsid w:val="00A818A0"/>
    <w:rsid w:val="00A81935"/>
    <w:rsid w:val="00A82113"/>
    <w:rsid w:val="00A825A5"/>
    <w:rsid w:val="00A82899"/>
    <w:rsid w:val="00A82D87"/>
    <w:rsid w:val="00A83251"/>
    <w:rsid w:val="00A83ACB"/>
    <w:rsid w:val="00A844C2"/>
    <w:rsid w:val="00A84BBC"/>
    <w:rsid w:val="00A85698"/>
    <w:rsid w:val="00A859E4"/>
    <w:rsid w:val="00A85BDC"/>
    <w:rsid w:val="00A85C83"/>
    <w:rsid w:val="00A85CBA"/>
    <w:rsid w:val="00A861BB"/>
    <w:rsid w:val="00A8620B"/>
    <w:rsid w:val="00A866EE"/>
    <w:rsid w:val="00A8686B"/>
    <w:rsid w:val="00A86DFF"/>
    <w:rsid w:val="00A875BA"/>
    <w:rsid w:val="00A875BE"/>
    <w:rsid w:val="00A87D9B"/>
    <w:rsid w:val="00A87DB4"/>
    <w:rsid w:val="00A901A1"/>
    <w:rsid w:val="00A9043C"/>
    <w:rsid w:val="00A90BEF"/>
    <w:rsid w:val="00A90D4F"/>
    <w:rsid w:val="00A90DF4"/>
    <w:rsid w:val="00A9166F"/>
    <w:rsid w:val="00A91DEE"/>
    <w:rsid w:val="00A92531"/>
    <w:rsid w:val="00A92A1A"/>
    <w:rsid w:val="00A937D2"/>
    <w:rsid w:val="00A94191"/>
    <w:rsid w:val="00A9428C"/>
    <w:rsid w:val="00A94A38"/>
    <w:rsid w:val="00A94E56"/>
    <w:rsid w:val="00A956DD"/>
    <w:rsid w:val="00A95A68"/>
    <w:rsid w:val="00A95ACC"/>
    <w:rsid w:val="00A95F24"/>
    <w:rsid w:val="00A96451"/>
    <w:rsid w:val="00A96524"/>
    <w:rsid w:val="00A9665E"/>
    <w:rsid w:val="00A96673"/>
    <w:rsid w:val="00A96DEB"/>
    <w:rsid w:val="00A96E97"/>
    <w:rsid w:val="00A96F5F"/>
    <w:rsid w:val="00A97168"/>
    <w:rsid w:val="00A9755C"/>
    <w:rsid w:val="00A978CC"/>
    <w:rsid w:val="00A97A15"/>
    <w:rsid w:val="00A97A3F"/>
    <w:rsid w:val="00A97BF0"/>
    <w:rsid w:val="00AA00E4"/>
    <w:rsid w:val="00AA0275"/>
    <w:rsid w:val="00AA04F7"/>
    <w:rsid w:val="00AA06BA"/>
    <w:rsid w:val="00AA0CBC"/>
    <w:rsid w:val="00AA0E60"/>
    <w:rsid w:val="00AA0EF1"/>
    <w:rsid w:val="00AA15D3"/>
    <w:rsid w:val="00AA1639"/>
    <w:rsid w:val="00AA165D"/>
    <w:rsid w:val="00AA1F49"/>
    <w:rsid w:val="00AA21D3"/>
    <w:rsid w:val="00AA2482"/>
    <w:rsid w:val="00AA25C1"/>
    <w:rsid w:val="00AA2EEE"/>
    <w:rsid w:val="00AA3150"/>
    <w:rsid w:val="00AA31A5"/>
    <w:rsid w:val="00AA3BB3"/>
    <w:rsid w:val="00AA42BD"/>
    <w:rsid w:val="00AA4F20"/>
    <w:rsid w:val="00AA617C"/>
    <w:rsid w:val="00AA626C"/>
    <w:rsid w:val="00AA65C9"/>
    <w:rsid w:val="00AA6BD8"/>
    <w:rsid w:val="00AA7B21"/>
    <w:rsid w:val="00AA7ED7"/>
    <w:rsid w:val="00AA7EE4"/>
    <w:rsid w:val="00AB0537"/>
    <w:rsid w:val="00AB06EC"/>
    <w:rsid w:val="00AB0845"/>
    <w:rsid w:val="00AB08D7"/>
    <w:rsid w:val="00AB0984"/>
    <w:rsid w:val="00AB0DC4"/>
    <w:rsid w:val="00AB0EFB"/>
    <w:rsid w:val="00AB28F6"/>
    <w:rsid w:val="00AB2949"/>
    <w:rsid w:val="00AB2B40"/>
    <w:rsid w:val="00AB2B51"/>
    <w:rsid w:val="00AB2C97"/>
    <w:rsid w:val="00AB304A"/>
    <w:rsid w:val="00AB331C"/>
    <w:rsid w:val="00AB34E3"/>
    <w:rsid w:val="00AB3533"/>
    <w:rsid w:val="00AB354B"/>
    <w:rsid w:val="00AB3B1C"/>
    <w:rsid w:val="00AB3B95"/>
    <w:rsid w:val="00AB45BE"/>
    <w:rsid w:val="00AB4670"/>
    <w:rsid w:val="00AB4835"/>
    <w:rsid w:val="00AB4A4E"/>
    <w:rsid w:val="00AB4CB4"/>
    <w:rsid w:val="00AB4DB7"/>
    <w:rsid w:val="00AB4EBF"/>
    <w:rsid w:val="00AB5709"/>
    <w:rsid w:val="00AB57DC"/>
    <w:rsid w:val="00AB592A"/>
    <w:rsid w:val="00AB5C1D"/>
    <w:rsid w:val="00AB5C38"/>
    <w:rsid w:val="00AB6DF5"/>
    <w:rsid w:val="00AB751C"/>
    <w:rsid w:val="00AB7625"/>
    <w:rsid w:val="00AB7910"/>
    <w:rsid w:val="00AB7C8E"/>
    <w:rsid w:val="00AC0214"/>
    <w:rsid w:val="00AC0251"/>
    <w:rsid w:val="00AC0646"/>
    <w:rsid w:val="00AC06D6"/>
    <w:rsid w:val="00AC0996"/>
    <w:rsid w:val="00AC0BA3"/>
    <w:rsid w:val="00AC0E98"/>
    <w:rsid w:val="00AC1341"/>
    <w:rsid w:val="00AC146B"/>
    <w:rsid w:val="00AC1919"/>
    <w:rsid w:val="00AC19A1"/>
    <w:rsid w:val="00AC1FB2"/>
    <w:rsid w:val="00AC24B4"/>
    <w:rsid w:val="00AC2A78"/>
    <w:rsid w:val="00AC2C4C"/>
    <w:rsid w:val="00AC2C5B"/>
    <w:rsid w:val="00AC2D57"/>
    <w:rsid w:val="00AC2DCB"/>
    <w:rsid w:val="00AC3531"/>
    <w:rsid w:val="00AC3665"/>
    <w:rsid w:val="00AC38A9"/>
    <w:rsid w:val="00AC3BC2"/>
    <w:rsid w:val="00AC40CC"/>
    <w:rsid w:val="00AC4122"/>
    <w:rsid w:val="00AC4C3A"/>
    <w:rsid w:val="00AC4DEF"/>
    <w:rsid w:val="00AC4F21"/>
    <w:rsid w:val="00AC4FD5"/>
    <w:rsid w:val="00AC4FF5"/>
    <w:rsid w:val="00AC547E"/>
    <w:rsid w:val="00AC54F6"/>
    <w:rsid w:val="00AC5642"/>
    <w:rsid w:val="00AC61B7"/>
    <w:rsid w:val="00AC6345"/>
    <w:rsid w:val="00AC656B"/>
    <w:rsid w:val="00AC67DD"/>
    <w:rsid w:val="00AC7039"/>
    <w:rsid w:val="00AC7174"/>
    <w:rsid w:val="00AC7595"/>
    <w:rsid w:val="00AC7801"/>
    <w:rsid w:val="00AC79F8"/>
    <w:rsid w:val="00AC7F37"/>
    <w:rsid w:val="00AD004B"/>
    <w:rsid w:val="00AD049F"/>
    <w:rsid w:val="00AD0C1E"/>
    <w:rsid w:val="00AD0E10"/>
    <w:rsid w:val="00AD12B8"/>
    <w:rsid w:val="00AD2D23"/>
    <w:rsid w:val="00AD2DBB"/>
    <w:rsid w:val="00AD2EFE"/>
    <w:rsid w:val="00AD317F"/>
    <w:rsid w:val="00AD4106"/>
    <w:rsid w:val="00AD4620"/>
    <w:rsid w:val="00AD4C1D"/>
    <w:rsid w:val="00AD5BF8"/>
    <w:rsid w:val="00AD5E5E"/>
    <w:rsid w:val="00AD602C"/>
    <w:rsid w:val="00AD6141"/>
    <w:rsid w:val="00AD62A3"/>
    <w:rsid w:val="00AD657D"/>
    <w:rsid w:val="00AD660E"/>
    <w:rsid w:val="00AD6D8B"/>
    <w:rsid w:val="00AD6FA9"/>
    <w:rsid w:val="00AD6FC8"/>
    <w:rsid w:val="00AD739E"/>
    <w:rsid w:val="00AD7C60"/>
    <w:rsid w:val="00AE013C"/>
    <w:rsid w:val="00AE0375"/>
    <w:rsid w:val="00AE044B"/>
    <w:rsid w:val="00AE061D"/>
    <w:rsid w:val="00AE06C9"/>
    <w:rsid w:val="00AE0777"/>
    <w:rsid w:val="00AE0879"/>
    <w:rsid w:val="00AE0B80"/>
    <w:rsid w:val="00AE137C"/>
    <w:rsid w:val="00AE13AD"/>
    <w:rsid w:val="00AE1601"/>
    <w:rsid w:val="00AE18EF"/>
    <w:rsid w:val="00AE20B3"/>
    <w:rsid w:val="00AE228C"/>
    <w:rsid w:val="00AE2757"/>
    <w:rsid w:val="00AE2DB2"/>
    <w:rsid w:val="00AE31F9"/>
    <w:rsid w:val="00AE3435"/>
    <w:rsid w:val="00AE34E1"/>
    <w:rsid w:val="00AE3C76"/>
    <w:rsid w:val="00AE3D7A"/>
    <w:rsid w:val="00AE4060"/>
    <w:rsid w:val="00AE4B0F"/>
    <w:rsid w:val="00AE4DE5"/>
    <w:rsid w:val="00AE4F52"/>
    <w:rsid w:val="00AE5F79"/>
    <w:rsid w:val="00AE6AA2"/>
    <w:rsid w:val="00AE6CA7"/>
    <w:rsid w:val="00AE7293"/>
    <w:rsid w:val="00AE761B"/>
    <w:rsid w:val="00AF0080"/>
    <w:rsid w:val="00AF020A"/>
    <w:rsid w:val="00AF0365"/>
    <w:rsid w:val="00AF0760"/>
    <w:rsid w:val="00AF0B54"/>
    <w:rsid w:val="00AF0D06"/>
    <w:rsid w:val="00AF0F01"/>
    <w:rsid w:val="00AF1227"/>
    <w:rsid w:val="00AF1AF2"/>
    <w:rsid w:val="00AF1E4E"/>
    <w:rsid w:val="00AF22DA"/>
    <w:rsid w:val="00AF306E"/>
    <w:rsid w:val="00AF3538"/>
    <w:rsid w:val="00AF387E"/>
    <w:rsid w:val="00AF39AD"/>
    <w:rsid w:val="00AF3A7A"/>
    <w:rsid w:val="00AF3B0A"/>
    <w:rsid w:val="00AF4055"/>
    <w:rsid w:val="00AF40DB"/>
    <w:rsid w:val="00AF4110"/>
    <w:rsid w:val="00AF45F2"/>
    <w:rsid w:val="00AF4672"/>
    <w:rsid w:val="00AF4A64"/>
    <w:rsid w:val="00AF550D"/>
    <w:rsid w:val="00AF5F2C"/>
    <w:rsid w:val="00AF6052"/>
    <w:rsid w:val="00AF614E"/>
    <w:rsid w:val="00AF638E"/>
    <w:rsid w:val="00AF63CB"/>
    <w:rsid w:val="00AF6717"/>
    <w:rsid w:val="00AF715D"/>
    <w:rsid w:val="00AF7FE0"/>
    <w:rsid w:val="00B001A4"/>
    <w:rsid w:val="00B00499"/>
    <w:rsid w:val="00B006BD"/>
    <w:rsid w:val="00B0084A"/>
    <w:rsid w:val="00B01065"/>
    <w:rsid w:val="00B01112"/>
    <w:rsid w:val="00B024DF"/>
    <w:rsid w:val="00B0257E"/>
    <w:rsid w:val="00B02B74"/>
    <w:rsid w:val="00B035BC"/>
    <w:rsid w:val="00B03661"/>
    <w:rsid w:val="00B03856"/>
    <w:rsid w:val="00B042C2"/>
    <w:rsid w:val="00B04665"/>
    <w:rsid w:val="00B04C1F"/>
    <w:rsid w:val="00B04C3B"/>
    <w:rsid w:val="00B04F8B"/>
    <w:rsid w:val="00B057B8"/>
    <w:rsid w:val="00B059B9"/>
    <w:rsid w:val="00B0678A"/>
    <w:rsid w:val="00B06859"/>
    <w:rsid w:val="00B06C77"/>
    <w:rsid w:val="00B0744B"/>
    <w:rsid w:val="00B07605"/>
    <w:rsid w:val="00B07B64"/>
    <w:rsid w:val="00B07BB2"/>
    <w:rsid w:val="00B101F3"/>
    <w:rsid w:val="00B1032F"/>
    <w:rsid w:val="00B10408"/>
    <w:rsid w:val="00B106E2"/>
    <w:rsid w:val="00B1097C"/>
    <w:rsid w:val="00B10DBF"/>
    <w:rsid w:val="00B10E4A"/>
    <w:rsid w:val="00B10FAB"/>
    <w:rsid w:val="00B110B4"/>
    <w:rsid w:val="00B114BF"/>
    <w:rsid w:val="00B116EF"/>
    <w:rsid w:val="00B11861"/>
    <w:rsid w:val="00B126D6"/>
    <w:rsid w:val="00B128F9"/>
    <w:rsid w:val="00B129C4"/>
    <w:rsid w:val="00B12C78"/>
    <w:rsid w:val="00B12EE3"/>
    <w:rsid w:val="00B13500"/>
    <w:rsid w:val="00B1373F"/>
    <w:rsid w:val="00B13C92"/>
    <w:rsid w:val="00B13D65"/>
    <w:rsid w:val="00B14227"/>
    <w:rsid w:val="00B14651"/>
    <w:rsid w:val="00B14738"/>
    <w:rsid w:val="00B14AF7"/>
    <w:rsid w:val="00B14F4E"/>
    <w:rsid w:val="00B15478"/>
    <w:rsid w:val="00B15797"/>
    <w:rsid w:val="00B15A5B"/>
    <w:rsid w:val="00B15B47"/>
    <w:rsid w:val="00B15FC9"/>
    <w:rsid w:val="00B166EB"/>
    <w:rsid w:val="00B168D1"/>
    <w:rsid w:val="00B16D40"/>
    <w:rsid w:val="00B16DA1"/>
    <w:rsid w:val="00B16DBA"/>
    <w:rsid w:val="00B173D9"/>
    <w:rsid w:val="00B1741E"/>
    <w:rsid w:val="00B17F04"/>
    <w:rsid w:val="00B2013D"/>
    <w:rsid w:val="00B20236"/>
    <w:rsid w:val="00B202A7"/>
    <w:rsid w:val="00B20535"/>
    <w:rsid w:val="00B21592"/>
    <w:rsid w:val="00B21CDE"/>
    <w:rsid w:val="00B22497"/>
    <w:rsid w:val="00B22786"/>
    <w:rsid w:val="00B228A5"/>
    <w:rsid w:val="00B238C1"/>
    <w:rsid w:val="00B23E9D"/>
    <w:rsid w:val="00B24054"/>
    <w:rsid w:val="00B240CB"/>
    <w:rsid w:val="00B24453"/>
    <w:rsid w:val="00B244B9"/>
    <w:rsid w:val="00B24B62"/>
    <w:rsid w:val="00B24BE1"/>
    <w:rsid w:val="00B2536C"/>
    <w:rsid w:val="00B25A88"/>
    <w:rsid w:val="00B25D3C"/>
    <w:rsid w:val="00B2602A"/>
    <w:rsid w:val="00B260A5"/>
    <w:rsid w:val="00B2621D"/>
    <w:rsid w:val="00B26A85"/>
    <w:rsid w:val="00B2708A"/>
    <w:rsid w:val="00B27DD2"/>
    <w:rsid w:val="00B317D1"/>
    <w:rsid w:val="00B31CAC"/>
    <w:rsid w:val="00B31E02"/>
    <w:rsid w:val="00B3330F"/>
    <w:rsid w:val="00B334A7"/>
    <w:rsid w:val="00B3359A"/>
    <w:rsid w:val="00B3372F"/>
    <w:rsid w:val="00B337F4"/>
    <w:rsid w:val="00B33B4C"/>
    <w:rsid w:val="00B34F9E"/>
    <w:rsid w:val="00B35048"/>
    <w:rsid w:val="00B35250"/>
    <w:rsid w:val="00B3582D"/>
    <w:rsid w:val="00B35926"/>
    <w:rsid w:val="00B359DB"/>
    <w:rsid w:val="00B35ABB"/>
    <w:rsid w:val="00B35BA6"/>
    <w:rsid w:val="00B361E0"/>
    <w:rsid w:val="00B3675A"/>
    <w:rsid w:val="00B36927"/>
    <w:rsid w:val="00B373FA"/>
    <w:rsid w:val="00B37963"/>
    <w:rsid w:val="00B37C4D"/>
    <w:rsid w:val="00B37D48"/>
    <w:rsid w:val="00B37E43"/>
    <w:rsid w:val="00B40734"/>
    <w:rsid w:val="00B40D66"/>
    <w:rsid w:val="00B410BA"/>
    <w:rsid w:val="00B41511"/>
    <w:rsid w:val="00B41998"/>
    <w:rsid w:val="00B41F4B"/>
    <w:rsid w:val="00B42035"/>
    <w:rsid w:val="00B4240B"/>
    <w:rsid w:val="00B42525"/>
    <w:rsid w:val="00B42526"/>
    <w:rsid w:val="00B42CB3"/>
    <w:rsid w:val="00B42D7C"/>
    <w:rsid w:val="00B42FED"/>
    <w:rsid w:val="00B4322C"/>
    <w:rsid w:val="00B4324C"/>
    <w:rsid w:val="00B43E18"/>
    <w:rsid w:val="00B43E91"/>
    <w:rsid w:val="00B444A9"/>
    <w:rsid w:val="00B44AE5"/>
    <w:rsid w:val="00B44D61"/>
    <w:rsid w:val="00B454F3"/>
    <w:rsid w:val="00B45A17"/>
    <w:rsid w:val="00B45E84"/>
    <w:rsid w:val="00B4650D"/>
    <w:rsid w:val="00B46571"/>
    <w:rsid w:val="00B4657C"/>
    <w:rsid w:val="00B4667D"/>
    <w:rsid w:val="00B466D1"/>
    <w:rsid w:val="00B4683D"/>
    <w:rsid w:val="00B46907"/>
    <w:rsid w:val="00B46B38"/>
    <w:rsid w:val="00B46C0D"/>
    <w:rsid w:val="00B46CC8"/>
    <w:rsid w:val="00B46D06"/>
    <w:rsid w:val="00B47381"/>
    <w:rsid w:val="00B47724"/>
    <w:rsid w:val="00B47839"/>
    <w:rsid w:val="00B47991"/>
    <w:rsid w:val="00B47E30"/>
    <w:rsid w:val="00B506D1"/>
    <w:rsid w:val="00B5074D"/>
    <w:rsid w:val="00B50CE6"/>
    <w:rsid w:val="00B510EC"/>
    <w:rsid w:val="00B5160D"/>
    <w:rsid w:val="00B51656"/>
    <w:rsid w:val="00B51745"/>
    <w:rsid w:val="00B51A4C"/>
    <w:rsid w:val="00B51B65"/>
    <w:rsid w:val="00B51E74"/>
    <w:rsid w:val="00B522E0"/>
    <w:rsid w:val="00B52359"/>
    <w:rsid w:val="00B5250D"/>
    <w:rsid w:val="00B5279D"/>
    <w:rsid w:val="00B52894"/>
    <w:rsid w:val="00B531A6"/>
    <w:rsid w:val="00B53506"/>
    <w:rsid w:val="00B5350C"/>
    <w:rsid w:val="00B536C4"/>
    <w:rsid w:val="00B53715"/>
    <w:rsid w:val="00B53D25"/>
    <w:rsid w:val="00B53DA1"/>
    <w:rsid w:val="00B53F14"/>
    <w:rsid w:val="00B551C4"/>
    <w:rsid w:val="00B553E8"/>
    <w:rsid w:val="00B554A0"/>
    <w:rsid w:val="00B55A94"/>
    <w:rsid w:val="00B55CD5"/>
    <w:rsid w:val="00B561B3"/>
    <w:rsid w:val="00B57550"/>
    <w:rsid w:val="00B57908"/>
    <w:rsid w:val="00B57CBD"/>
    <w:rsid w:val="00B57DC8"/>
    <w:rsid w:val="00B60447"/>
    <w:rsid w:val="00B60819"/>
    <w:rsid w:val="00B60887"/>
    <w:rsid w:val="00B609E0"/>
    <w:rsid w:val="00B61427"/>
    <w:rsid w:val="00B629E7"/>
    <w:rsid w:val="00B62ABF"/>
    <w:rsid w:val="00B62D32"/>
    <w:rsid w:val="00B63594"/>
    <w:rsid w:val="00B6383A"/>
    <w:rsid w:val="00B638C5"/>
    <w:rsid w:val="00B63E7F"/>
    <w:rsid w:val="00B640A0"/>
    <w:rsid w:val="00B6489E"/>
    <w:rsid w:val="00B6494F"/>
    <w:rsid w:val="00B64A1C"/>
    <w:rsid w:val="00B64E53"/>
    <w:rsid w:val="00B64EF0"/>
    <w:rsid w:val="00B658E6"/>
    <w:rsid w:val="00B6599C"/>
    <w:rsid w:val="00B665EE"/>
    <w:rsid w:val="00B666AB"/>
    <w:rsid w:val="00B66B42"/>
    <w:rsid w:val="00B66E89"/>
    <w:rsid w:val="00B6715C"/>
    <w:rsid w:val="00B677F3"/>
    <w:rsid w:val="00B67C95"/>
    <w:rsid w:val="00B7040F"/>
    <w:rsid w:val="00B709AD"/>
    <w:rsid w:val="00B70ED5"/>
    <w:rsid w:val="00B712A1"/>
    <w:rsid w:val="00B7139C"/>
    <w:rsid w:val="00B7171E"/>
    <w:rsid w:val="00B719F8"/>
    <w:rsid w:val="00B720D1"/>
    <w:rsid w:val="00B7220E"/>
    <w:rsid w:val="00B72C03"/>
    <w:rsid w:val="00B72C33"/>
    <w:rsid w:val="00B72EA2"/>
    <w:rsid w:val="00B72EE3"/>
    <w:rsid w:val="00B72FCB"/>
    <w:rsid w:val="00B73A04"/>
    <w:rsid w:val="00B73C01"/>
    <w:rsid w:val="00B73C54"/>
    <w:rsid w:val="00B74070"/>
    <w:rsid w:val="00B74B48"/>
    <w:rsid w:val="00B74C67"/>
    <w:rsid w:val="00B74C8F"/>
    <w:rsid w:val="00B74DBE"/>
    <w:rsid w:val="00B754A2"/>
    <w:rsid w:val="00B7598D"/>
    <w:rsid w:val="00B75DB6"/>
    <w:rsid w:val="00B75E41"/>
    <w:rsid w:val="00B7631F"/>
    <w:rsid w:val="00B766D8"/>
    <w:rsid w:val="00B76A9D"/>
    <w:rsid w:val="00B77544"/>
    <w:rsid w:val="00B7772A"/>
    <w:rsid w:val="00B77C61"/>
    <w:rsid w:val="00B77DC4"/>
    <w:rsid w:val="00B77F5B"/>
    <w:rsid w:val="00B801B0"/>
    <w:rsid w:val="00B807D8"/>
    <w:rsid w:val="00B8092F"/>
    <w:rsid w:val="00B80F88"/>
    <w:rsid w:val="00B81261"/>
    <w:rsid w:val="00B81987"/>
    <w:rsid w:val="00B81BE4"/>
    <w:rsid w:val="00B81E3B"/>
    <w:rsid w:val="00B8235A"/>
    <w:rsid w:val="00B826C8"/>
    <w:rsid w:val="00B826F5"/>
    <w:rsid w:val="00B8291A"/>
    <w:rsid w:val="00B82975"/>
    <w:rsid w:val="00B82DCD"/>
    <w:rsid w:val="00B83136"/>
    <w:rsid w:val="00B8325C"/>
    <w:rsid w:val="00B83CA3"/>
    <w:rsid w:val="00B83F54"/>
    <w:rsid w:val="00B840C8"/>
    <w:rsid w:val="00B8442C"/>
    <w:rsid w:val="00B855D9"/>
    <w:rsid w:val="00B856BA"/>
    <w:rsid w:val="00B85859"/>
    <w:rsid w:val="00B85DE3"/>
    <w:rsid w:val="00B8600A"/>
    <w:rsid w:val="00B86261"/>
    <w:rsid w:val="00B8639B"/>
    <w:rsid w:val="00B86764"/>
    <w:rsid w:val="00B87561"/>
    <w:rsid w:val="00B87596"/>
    <w:rsid w:val="00B87721"/>
    <w:rsid w:val="00B8772F"/>
    <w:rsid w:val="00B87BA2"/>
    <w:rsid w:val="00B90433"/>
    <w:rsid w:val="00B9061C"/>
    <w:rsid w:val="00B908AA"/>
    <w:rsid w:val="00B90EAE"/>
    <w:rsid w:val="00B90F57"/>
    <w:rsid w:val="00B91894"/>
    <w:rsid w:val="00B91C4A"/>
    <w:rsid w:val="00B91F3B"/>
    <w:rsid w:val="00B9237D"/>
    <w:rsid w:val="00B92E95"/>
    <w:rsid w:val="00B937B5"/>
    <w:rsid w:val="00B938A0"/>
    <w:rsid w:val="00B938BA"/>
    <w:rsid w:val="00B94311"/>
    <w:rsid w:val="00B944CC"/>
    <w:rsid w:val="00B94553"/>
    <w:rsid w:val="00B94B2D"/>
    <w:rsid w:val="00B94D07"/>
    <w:rsid w:val="00B94DDD"/>
    <w:rsid w:val="00B94F7C"/>
    <w:rsid w:val="00B95063"/>
    <w:rsid w:val="00B955DE"/>
    <w:rsid w:val="00B957B1"/>
    <w:rsid w:val="00B95942"/>
    <w:rsid w:val="00B95C5E"/>
    <w:rsid w:val="00B96463"/>
    <w:rsid w:val="00B96A98"/>
    <w:rsid w:val="00B96E45"/>
    <w:rsid w:val="00B96F11"/>
    <w:rsid w:val="00BA09EA"/>
    <w:rsid w:val="00BA0A64"/>
    <w:rsid w:val="00BA0AA5"/>
    <w:rsid w:val="00BA0AE1"/>
    <w:rsid w:val="00BA0DBB"/>
    <w:rsid w:val="00BA1359"/>
    <w:rsid w:val="00BA1B39"/>
    <w:rsid w:val="00BA1DD6"/>
    <w:rsid w:val="00BA2416"/>
    <w:rsid w:val="00BA2C20"/>
    <w:rsid w:val="00BA30C4"/>
    <w:rsid w:val="00BA326A"/>
    <w:rsid w:val="00BA32CB"/>
    <w:rsid w:val="00BA3D4F"/>
    <w:rsid w:val="00BA3E27"/>
    <w:rsid w:val="00BA3FD8"/>
    <w:rsid w:val="00BA41DC"/>
    <w:rsid w:val="00BA4402"/>
    <w:rsid w:val="00BA44A8"/>
    <w:rsid w:val="00BA4723"/>
    <w:rsid w:val="00BA4DB5"/>
    <w:rsid w:val="00BA56C3"/>
    <w:rsid w:val="00BA65A9"/>
    <w:rsid w:val="00BA6967"/>
    <w:rsid w:val="00BA6983"/>
    <w:rsid w:val="00BA6B44"/>
    <w:rsid w:val="00BA7251"/>
    <w:rsid w:val="00BA7320"/>
    <w:rsid w:val="00BA7712"/>
    <w:rsid w:val="00BA7C0C"/>
    <w:rsid w:val="00BB0503"/>
    <w:rsid w:val="00BB1143"/>
    <w:rsid w:val="00BB115A"/>
    <w:rsid w:val="00BB1A5C"/>
    <w:rsid w:val="00BB1CCC"/>
    <w:rsid w:val="00BB200F"/>
    <w:rsid w:val="00BB21AA"/>
    <w:rsid w:val="00BB24DB"/>
    <w:rsid w:val="00BB24FE"/>
    <w:rsid w:val="00BB2777"/>
    <w:rsid w:val="00BB2A1B"/>
    <w:rsid w:val="00BB2D69"/>
    <w:rsid w:val="00BB3F8B"/>
    <w:rsid w:val="00BB429F"/>
    <w:rsid w:val="00BB45B7"/>
    <w:rsid w:val="00BB51AE"/>
    <w:rsid w:val="00BB5BE7"/>
    <w:rsid w:val="00BB6025"/>
    <w:rsid w:val="00BB624A"/>
    <w:rsid w:val="00BB63B6"/>
    <w:rsid w:val="00BB64E2"/>
    <w:rsid w:val="00BB653D"/>
    <w:rsid w:val="00BB6A29"/>
    <w:rsid w:val="00BB6E1A"/>
    <w:rsid w:val="00BB731C"/>
    <w:rsid w:val="00BC0016"/>
    <w:rsid w:val="00BC0399"/>
    <w:rsid w:val="00BC0D47"/>
    <w:rsid w:val="00BC1223"/>
    <w:rsid w:val="00BC1278"/>
    <w:rsid w:val="00BC153B"/>
    <w:rsid w:val="00BC1791"/>
    <w:rsid w:val="00BC1DCC"/>
    <w:rsid w:val="00BC2582"/>
    <w:rsid w:val="00BC28E9"/>
    <w:rsid w:val="00BC2C71"/>
    <w:rsid w:val="00BC348F"/>
    <w:rsid w:val="00BC36CF"/>
    <w:rsid w:val="00BC39F8"/>
    <w:rsid w:val="00BC3BA2"/>
    <w:rsid w:val="00BC3CC1"/>
    <w:rsid w:val="00BC47F7"/>
    <w:rsid w:val="00BC4808"/>
    <w:rsid w:val="00BC490A"/>
    <w:rsid w:val="00BC4A08"/>
    <w:rsid w:val="00BC4CE5"/>
    <w:rsid w:val="00BC4CF2"/>
    <w:rsid w:val="00BC4D7B"/>
    <w:rsid w:val="00BC607E"/>
    <w:rsid w:val="00BC637E"/>
    <w:rsid w:val="00BC6401"/>
    <w:rsid w:val="00BC651F"/>
    <w:rsid w:val="00BC6901"/>
    <w:rsid w:val="00BC6A9D"/>
    <w:rsid w:val="00BC6F0A"/>
    <w:rsid w:val="00BC6FD6"/>
    <w:rsid w:val="00BC71B8"/>
    <w:rsid w:val="00BC76B8"/>
    <w:rsid w:val="00BD0A4C"/>
    <w:rsid w:val="00BD0D7D"/>
    <w:rsid w:val="00BD0D96"/>
    <w:rsid w:val="00BD12C4"/>
    <w:rsid w:val="00BD1929"/>
    <w:rsid w:val="00BD2465"/>
    <w:rsid w:val="00BD27E4"/>
    <w:rsid w:val="00BD2DF0"/>
    <w:rsid w:val="00BD31F3"/>
    <w:rsid w:val="00BD3ABB"/>
    <w:rsid w:val="00BD3EAE"/>
    <w:rsid w:val="00BD44C2"/>
    <w:rsid w:val="00BD490F"/>
    <w:rsid w:val="00BD4AA1"/>
    <w:rsid w:val="00BD55C2"/>
    <w:rsid w:val="00BD5716"/>
    <w:rsid w:val="00BD59A6"/>
    <w:rsid w:val="00BD59AA"/>
    <w:rsid w:val="00BD5C11"/>
    <w:rsid w:val="00BD5C90"/>
    <w:rsid w:val="00BD5CD1"/>
    <w:rsid w:val="00BD60F0"/>
    <w:rsid w:val="00BD677F"/>
    <w:rsid w:val="00BD6DA7"/>
    <w:rsid w:val="00BD6EF0"/>
    <w:rsid w:val="00BD6F0B"/>
    <w:rsid w:val="00BD7081"/>
    <w:rsid w:val="00BD718A"/>
    <w:rsid w:val="00BD728B"/>
    <w:rsid w:val="00BD761F"/>
    <w:rsid w:val="00BD76EA"/>
    <w:rsid w:val="00BD78A0"/>
    <w:rsid w:val="00BE06B6"/>
    <w:rsid w:val="00BE06E8"/>
    <w:rsid w:val="00BE0BE3"/>
    <w:rsid w:val="00BE12F5"/>
    <w:rsid w:val="00BE14F6"/>
    <w:rsid w:val="00BE15A9"/>
    <w:rsid w:val="00BE1669"/>
    <w:rsid w:val="00BE18D4"/>
    <w:rsid w:val="00BE1BA1"/>
    <w:rsid w:val="00BE2193"/>
    <w:rsid w:val="00BE27F2"/>
    <w:rsid w:val="00BE290C"/>
    <w:rsid w:val="00BE2963"/>
    <w:rsid w:val="00BE319B"/>
    <w:rsid w:val="00BE3619"/>
    <w:rsid w:val="00BE3B0F"/>
    <w:rsid w:val="00BE4068"/>
    <w:rsid w:val="00BE4A38"/>
    <w:rsid w:val="00BE4C8B"/>
    <w:rsid w:val="00BE5A1D"/>
    <w:rsid w:val="00BE5D38"/>
    <w:rsid w:val="00BE5DDA"/>
    <w:rsid w:val="00BE621A"/>
    <w:rsid w:val="00BE670A"/>
    <w:rsid w:val="00BE6B8C"/>
    <w:rsid w:val="00BE6BCE"/>
    <w:rsid w:val="00BE6D6C"/>
    <w:rsid w:val="00BE6DC1"/>
    <w:rsid w:val="00BE72D2"/>
    <w:rsid w:val="00BE72D4"/>
    <w:rsid w:val="00BE7433"/>
    <w:rsid w:val="00BE7618"/>
    <w:rsid w:val="00BE79AB"/>
    <w:rsid w:val="00BE7AFB"/>
    <w:rsid w:val="00BF06B6"/>
    <w:rsid w:val="00BF0A8D"/>
    <w:rsid w:val="00BF0C1D"/>
    <w:rsid w:val="00BF0E00"/>
    <w:rsid w:val="00BF133B"/>
    <w:rsid w:val="00BF1937"/>
    <w:rsid w:val="00BF1A02"/>
    <w:rsid w:val="00BF1A9C"/>
    <w:rsid w:val="00BF1AB6"/>
    <w:rsid w:val="00BF1C3C"/>
    <w:rsid w:val="00BF1FA4"/>
    <w:rsid w:val="00BF2309"/>
    <w:rsid w:val="00BF2597"/>
    <w:rsid w:val="00BF337F"/>
    <w:rsid w:val="00BF380D"/>
    <w:rsid w:val="00BF3867"/>
    <w:rsid w:val="00BF4122"/>
    <w:rsid w:val="00BF41E2"/>
    <w:rsid w:val="00BF4910"/>
    <w:rsid w:val="00BF4E4A"/>
    <w:rsid w:val="00BF5399"/>
    <w:rsid w:val="00BF57D7"/>
    <w:rsid w:val="00BF5E79"/>
    <w:rsid w:val="00BF648C"/>
    <w:rsid w:val="00BF6B00"/>
    <w:rsid w:val="00BF7B16"/>
    <w:rsid w:val="00BF7BBC"/>
    <w:rsid w:val="00BF7C02"/>
    <w:rsid w:val="00BF7C26"/>
    <w:rsid w:val="00C00877"/>
    <w:rsid w:val="00C00BF6"/>
    <w:rsid w:val="00C011A5"/>
    <w:rsid w:val="00C011B1"/>
    <w:rsid w:val="00C011E4"/>
    <w:rsid w:val="00C011EC"/>
    <w:rsid w:val="00C01C82"/>
    <w:rsid w:val="00C01CC5"/>
    <w:rsid w:val="00C01CF9"/>
    <w:rsid w:val="00C01DEF"/>
    <w:rsid w:val="00C01E8D"/>
    <w:rsid w:val="00C020AC"/>
    <w:rsid w:val="00C02434"/>
    <w:rsid w:val="00C02954"/>
    <w:rsid w:val="00C02AEA"/>
    <w:rsid w:val="00C03037"/>
    <w:rsid w:val="00C031A5"/>
    <w:rsid w:val="00C03262"/>
    <w:rsid w:val="00C034BB"/>
    <w:rsid w:val="00C034F9"/>
    <w:rsid w:val="00C0368E"/>
    <w:rsid w:val="00C03788"/>
    <w:rsid w:val="00C03AC7"/>
    <w:rsid w:val="00C03D25"/>
    <w:rsid w:val="00C040CF"/>
    <w:rsid w:val="00C0422F"/>
    <w:rsid w:val="00C04588"/>
    <w:rsid w:val="00C046E0"/>
    <w:rsid w:val="00C046EE"/>
    <w:rsid w:val="00C0475C"/>
    <w:rsid w:val="00C04D2A"/>
    <w:rsid w:val="00C0514C"/>
    <w:rsid w:val="00C05298"/>
    <w:rsid w:val="00C054D6"/>
    <w:rsid w:val="00C055A5"/>
    <w:rsid w:val="00C05695"/>
    <w:rsid w:val="00C05D41"/>
    <w:rsid w:val="00C05FAF"/>
    <w:rsid w:val="00C061A5"/>
    <w:rsid w:val="00C064D4"/>
    <w:rsid w:val="00C07572"/>
    <w:rsid w:val="00C0786D"/>
    <w:rsid w:val="00C07FC7"/>
    <w:rsid w:val="00C10C13"/>
    <w:rsid w:val="00C10FEB"/>
    <w:rsid w:val="00C11239"/>
    <w:rsid w:val="00C1176E"/>
    <w:rsid w:val="00C119CC"/>
    <w:rsid w:val="00C11CE5"/>
    <w:rsid w:val="00C11E5F"/>
    <w:rsid w:val="00C127B2"/>
    <w:rsid w:val="00C12E50"/>
    <w:rsid w:val="00C133B1"/>
    <w:rsid w:val="00C133C1"/>
    <w:rsid w:val="00C1381E"/>
    <w:rsid w:val="00C13858"/>
    <w:rsid w:val="00C1394A"/>
    <w:rsid w:val="00C13DB9"/>
    <w:rsid w:val="00C13F70"/>
    <w:rsid w:val="00C14423"/>
    <w:rsid w:val="00C14E00"/>
    <w:rsid w:val="00C15627"/>
    <w:rsid w:val="00C15696"/>
    <w:rsid w:val="00C1588C"/>
    <w:rsid w:val="00C15932"/>
    <w:rsid w:val="00C15A5A"/>
    <w:rsid w:val="00C15F19"/>
    <w:rsid w:val="00C1624A"/>
    <w:rsid w:val="00C16A8B"/>
    <w:rsid w:val="00C17519"/>
    <w:rsid w:val="00C1790D"/>
    <w:rsid w:val="00C17919"/>
    <w:rsid w:val="00C17C6C"/>
    <w:rsid w:val="00C17F4D"/>
    <w:rsid w:val="00C20121"/>
    <w:rsid w:val="00C202FA"/>
    <w:rsid w:val="00C208FE"/>
    <w:rsid w:val="00C20BFC"/>
    <w:rsid w:val="00C20FA0"/>
    <w:rsid w:val="00C2260B"/>
    <w:rsid w:val="00C22F97"/>
    <w:rsid w:val="00C22FA7"/>
    <w:rsid w:val="00C23113"/>
    <w:rsid w:val="00C23158"/>
    <w:rsid w:val="00C23666"/>
    <w:rsid w:val="00C24067"/>
    <w:rsid w:val="00C2406D"/>
    <w:rsid w:val="00C241B3"/>
    <w:rsid w:val="00C24E68"/>
    <w:rsid w:val="00C255D8"/>
    <w:rsid w:val="00C256D8"/>
    <w:rsid w:val="00C2572B"/>
    <w:rsid w:val="00C259B2"/>
    <w:rsid w:val="00C25AC1"/>
    <w:rsid w:val="00C2616C"/>
    <w:rsid w:val="00C2656D"/>
    <w:rsid w:val="00C26A07"/>
    <w:rsid w:val="00C26E51"/>
    <w:rsid w:val="00C272A8"/>
    <w:rsid w:val="00C273F9"/>
    <w:rsid w:val="00C27DB6"/>
    <w:rsid w:val="00C30029"/>
    <w:rsid w:val="00C3042A"/>
    <w:rsid w:val="00C3065B"/>
    <w:rsid w:val="00C30662"/>
    <w:rsid w:val="00C306EF"/>
    <w:rsid w:val="00C30849"/>
    <w:rsid w:val="00C30DA4"/>
    <w:rsid w:val="00C3123C"/>
    <w:rsid w:val="00C314C5"/>
    <w:rsid w:val="00C315D6"/>
    <w:rsid w:val="00C316B1"/>
    <w:rsid w:val="00C31F2E"/>
    <w:rsid w:val="00C31FCB"/>
    <w:rsid w:val="00C3217F"/>
    <w:rsid w:val="00C3234E"/>
    <w:rsid w:val="00C32473"/>
    <w:rsid w:val="00C32771"/>
    <w:rsid w:val="00C32981"/>
    <w:rsid w:val="00C32D0D"/>
    <w:rsid w:val="00C32E2F"/>
    <w:rsid w:val="00C32E35"/>
    <w:rsid w:val="00C336A0"/>
    <w:rsid w:val="00C337F5"/>
    <w:rsid w:val="00C33A95"/>
    <w:rsid w:val="00C33F24"/>
    <w:rsid w:val="00C33FD7"/>
    <w:rsid w:val="00C33FF1"/>
    <w:rsid w:val="00C34B4F"/>
    <w:rsid w:val="00C34DA4"/>
    <w:rsid w:val="00C34DBA"/>
    <w:rsid w:val="00C34F52"/>
    <w:rsid w:val="00C3515C"/>
    <w:rsid w:val="00C353C6"/>
    <w:rsid w:val="00C35B4B"/>
    <w:rsid w:val="00C35C36"/>
    <w:rsid w:val="00C35F16"/>
    <w:rsid w:val="00C36277"/>
    <w:rsid w:val="00C36907"/>
    <w:rsid w:val="00C37450"/>
    <w:rsid w:val="00C374B9"/>
    <w:rsid w:val="00C37827"/>
    <w:rsid w:val="00C37894"/>
    <w:rsid w:val="00C41021"/>
    <w:rsid w:val="00C41315"/>
    <w:rsid w:val="00C4144B"/>
    <w:rsid w:val="00C4144E"/>
    <w:rsid w:val="00C415D1"/>
    <w:rsid w:val="00C41937"/>
    <w:rsid w:val="00C41DC4"/>
    <w:rsid w:val="00C41F79"/>
    <w:rsid w:val="00C420D9"/>
    <w:rsid w:val="00C42249"/>
    <w:rsid w:val="00C42525"/>
    <w:rsid w:val="00C430F1"/>
    <w:rsid w:val="00C43331"/>
    <w:rsid w:val="00C4391C"/>
    <w:rsid w:val="00C43B8C"/>
    <w:rsid w:val="00C4407C"/>
    <w:rsid w:val="00C4439D"/>
    <w:rsid w:val="00C443CA"/>
    <w:rsid w:val="00C44643"/>
    <w:rsid w:val="00C44B84"/>
    <w:rsid w:val="00C44BBE"/>
    <w:rsid w:val="00C44C55"/>
    <w:rsid w:val="00C450D9"/>
    <w:rsid w:val="00C45917"/>
    <w:rsid w:val="00C45C22"/>
    <w:rsid w:val="00C45D1F"/>
    <w:rsid w:val="00C46448"/>
    <w:rsid w:val="00C4652B"/>
    <w:rsid w:val="00C46605"/>
    <w:rsid w:val="00C46662"/>
    <w:rsid w:val="00C466BC"/>
    <w:rsid w:val="00C467ED"/>
    <w:rsid w:val="00C46866"/>
    <w:rsid w:val="00C469F0"/>
    <w:rsid w:val="00C46E53"/>
    <w:rsid w:val="00C46F20"/>
    <w:rsid w:val="00C4705F"/>
    <w:rsid w:val="00C47207"/>
    <w:rsid w:val="00C473F7"/>
    <w:rsid w:val="00C476CC"/>
    <w:rsid w:val="00C47864"/>
    <w:rsid w:val="00C5010E"/>
    <w:rsid w:val="00C50190"/>
    <w:rsid w:val="00C501B3"/>
    <w:rsid w:val="00C502F9"/>
    <w:rsid w:val="00C50307"/>
    <w:rsid w:val="00C5044E"/>
    <w:rsid w:val="00C50646"/>
    <w:rsid w:val="00C508ED"/>
    <w:rsid w:val="00C50ACB"/>
    <w:rsid w:val="00C50C36"/>
    <w:rsid w:val="00C50C44"/>
    <w:rsid w:val="00C511E1"/>
    <w:rsid w:val="00C5176A"/>
    <w:rsid w:val="00C5188E"/>
    <w:rsid w:val="00C5191D"/>
    <w:rsid w:val="00C51F95"/>
    <w:rsid w:val="00C5208F"/>
    <w:rsid w:val="00C5247E"/>
    <w:rsid w:val="00C52F7E"/>
    <w:rsid w:val="00C537A0"/>
    <w:rsid w:val="00C53913"/>
    <w:rsid w:val="00C53BB9"/>
    <w:rsid w:val="00C53EA4"/>
    <w:rsid w:val="00C54711"/>
    <w:rsid w:val="00C547C3"/>
    <w:rsid w:val="00C550F7"/>
    <w:rsid w:val="00C553D5"/>
    <w:rsid w:val="00C55BC6"/>
    <w:rsid w:val="00C55FCD"/>
    <w:rsid w:val="00C5625F"/>
    <w:rsid w:val="00C5636F"/>
    <w:rsid w:val="00C568D5"/>
    <w:rsid w:val="00C57248"/>
    <w:rsid w:val="00C57595"/>
    <w:rsid w:val="00C57852"/>
    <w:rsid w:val="00C6021D"/>
    <w:rsid w:val="00C603C5"/>
    <w:rsid w:val="00C60B1F"/>
    <w:rsid w:val="00C60D71"/>
    <w:rsid w:val="00C60D8F"/>
    <w:rsid w:val="00C60E2A"/>
    <w:rsid w:val="00C60E31"/>
    <w:rsid w:val="00C610AB"/>
    <w:rsid w:val="00C6145A"/>
    <w:rsid w:val="00C61CDA"/>
    <w:rsid w:val="00C621D4"/>
    <w:rsid w:val="00C621F6"/>
    <w:rsid w:val="00C623C1"/>
    <w:rsid w:val="00C6279E"/>
    <w:rsid w:val="00C6294E"/>
    <w:rsid w:val="00C62EA3"/>
    <w:rsid w:val="00C635E0"/>
    <w:rsid w:val="00C63701"/>
    <w:rsid w:val="00C63A69"/>
    <w:rsid w:val="00C63A94"/>
    <w:rsid w:val="00C63B07"/>
    <w:rsid w:val="00C647C5"/>
    <w:rsid w:val="00C64989"/>
    <w:rsid w:val="00C659F9"/>
    <w:rsid w:val="00C65D21"/>
    <w:rsid w:val="00C65FDD"/>
    <w:rsid w:val="00C662DB"/>
    <w:rsid w:val="00C66666"/>
    <w:rsid w:val="00C66669"/>
    <w:rsid w:val="00C66ACA"/>
    <w:rsid w:val="00C66DE2"/>
    <w:rsid w:val="00C66E87"/>
    <w:rsid w:val="00C6730B"/>
    <w:rsid w:val="00C67DE5"/>
    <w:rsid w:val="00C70743"/>
    <w:rsid w:val="00C70884"/>
    <w:rsid w:val="00C708E3"/>
    <w:rsid w:val="00C709B9"/>
    <w:rsid w:val="00C70DF7"/>
    <w:rsid w:val="00C70EF3"/>
    <w:rsid w:val="00C711AB"/>
    <w:rsid w:val="00C71469"/>
    <w:rsid w:val="00C717E7"/>
    <w:rsid w:val="00C71CA4"/>
    <w:rsid w:val="00C725D8"/>
    <w:rsid w:val="00C72A4D"/>
    <w:rsid w:val="00C7306C"/>
    <w:rsid w:val="00C733ED"/>
    <w:rsid w:val="00C735CC"/>
    <w:rsid w:val="00C7390B"/>
    <w:rsid w:val="00C739A6"/>
    <w:rsid w:val="00C739FC"/>
    <w:rsid w:val="00C739FF"/>
    <w:rsid w:val="00C73AF8"/>
    <w:rsid w:val="00C74A34"/>
    <w:rsid w:val="00C7537A"/>
    <w:rsid w:val="00C75665"/>
    <w:rsid w:val="00C75E90"/>
    <w:rsid w:val="00C761BD"/>
    <w:rsid w:val="00C761BE"/>
    <w:rsid w:val="00C762F4"/>
    <w:rsid w:val="00C763E3"/>
    <w:rsid w:val="00C7657E"/>
    <w:rsid w:val="00C766EE"/>
    <w:rsid w:val="00C769DC"/>
    <w:rsid w:val="00C76FF2"/>
    <w:rsid w:val="00C7702F"/>
    <w:rsid w:val="00C77054"/>
    <w:rsid w:val="00C77222"/>
    <w:rsid w:val="00C77EF6"/>
    <w:rsid w:val="00C80278"/>
    <w:rsid w:val="00C808EC"/>
    <w:rsid w:val="00C80A5B"/>
    <w:rsid w:val="00C80A9E"/>
    <w:rsid w:val="00C80D20"/>
    <w:rsid w:val="00C8151C"/>
    <w:rsid w:val="00C8155D"/>
    <w:rsid w:val="00C817C3"/>
    <w:rsid w:val="00C81848"/>
    <w:rsid w:val="00C81E75"/>
    <w:rsid w:val="00C81EB1"/>
    <w:rsid w:val="00C82012"/>
    <w:rsid w:val="00C82387"/>
    <w:rsid w:val="00C82548"/>
    <w:rsid w:val="00C828BA"/>
    <w:rsid w:val="00C82990"/>
    <w:rsid w:val="00C82D95"/>
    <w:rsid w:val="00C835CD"/>
    <w:rsid w:val="00C83787"/>
    <w:rsid w:val="00C8394C"/>
    <w:rsid w:val="00C83C6D"/>
    <w:rsid w:val="00C84400"/>
    <w:rsid w:val="00C8443D"/>
    <w:rsid w:val="00C845E7"/>
    <w:rsid w:val="00C84CDA"/>
    <w:rsid w:val="00C85352"/>
    <w:rsid w:val="00C85938"/>
    <w:rsid w:val="00C860B6"/>
    <w:rsid w:val="00C86B6D"/>
    <w:rsid w:val="00C86EC5"/>
    <w:rsid w:val="00C87072"/>
    <w:rsid w:val="00C870C0"/>
    <w:rsid w:val="00C87E79"/>
    <w:rsid w:val="00C87FCB"/>
    <w:rsid w:val="00C90123"/>
    <w:rsid w:val="00C9022E"/>
    <w:rsid w:val="00C90244"/>
    <w:rsid w:val="00C902C5"/>
    <w:rsid w:val="00C902E5"/>
    <w:rsid w:val="00C903EE"/>
    <w:rsid w:val="00C905F6"/>
    <w:rsid w:val="00C9097A"/>
    <w:rsid w:val="00C9104E"/>
    <w:rsid w:val="00C91554"/>
    <w:rsid w:val="00C91770"/>
    <w:rsid w:val="00C91884"/>
    <w:rsid w:val="00C91F7F"/>
    <w:rsid w:val="00C9218E"/>
    <w:rsid w:val="00C922BB"/>
    <w:rsid w:val="00C927F3"/>
    <w:rsid w:val="00C9308C"/>
    <w:rsid w:val="00C93FDC"/>
    <w:rsid w:val="00C946AC"/>
    <w:rsid w:val="00C95099"/>
    <w:rsid w:val="00C951CA"/>
    <w:rsid w:val="00C95518"/>
    <w:rsid w:val="00C955D2"/>
    <w:rsid w:val="00C95866"/>
    <w:rsid w:val="00C96D33"/>
    <w:rsid w:val="00C96DA8"/>
    <w:rsid w:val="00C96FB2"/>
    <w:rsid w:val="00C97137"/>
    <w:rsid w:val="00C972E0"/>
    <w:rsid w:val="00C972FE"/>
    <w:rsid w:val="00C976C5"/>
    <w:rsid w:val="00C97A1B"/>
    <w:rsid w:val="00CA0117"/>
    <w:rsid w:val="00CA02CE"/>
    <w:rsid w:val="00CA02CF"/>
    <w:rsid w:val="00CA03EC"/>
    <w:rsid w:val="00CA0984"/>
    <w:rsid w:val="00CA0AC9"/>
    <w:rsid w:val="00CA128F"/>
    <w:rsid w:val="00CA1C89"/>
    <w:rsid w:val="00CA1E33"/>
    <w:rsid w:val="00CA1ED3"/>
    <w:rsid w:val="00CA2AFD"/>
    <w:rsid w:val="00CA2C66"/>
    <w:rsid w:val="00CA2E00"/>
    <w:rsid w:val="00CA3558"/>
    <w:rsid w:val="00CA3950"/>
    <w:rsid w:val="00CA3A6C"/>
    <w:rsid w:val="00CA3B6B"/>
    <w:rsid w:val="00CA3CB8"/>
    <w:rsid w:val="00CA42E1"/>
    <w:rsid w:val="00CA4BB7"/>
    <w:rsid w:val="00CA4D0F"/>
    <w:rsid w:val="00CA5EBA"/>
    <w:rsid w:val="00CA5F70"/>
    <w:rsid w:val="00CA6488"/>
    <w:rsid w:val="00CA64CB"/>
    <w:rsid w:val="00CA6799"/>
    <w:rsid w:val="00CA69C5"/>
    <w:rsid w:val="00CA6A66"/>
    <w:rsid w:val="00CA6B8F"/>
    <w:rsid w:val="00CA6BB6"/>
    <w:rsid w:val="00CA6BD2"/>
    <w:rsid w:val="00CA6C49"/>
    <w:rsid w:val="00CA6CC0"/>
    <w:rsid w:val="00CA7CB0"/>
    <w:rsid w:val="00CA7E94"/>
    <w:rsid w:val="00CA7EAF"/>
    <w:rsid w:val="00CB01D3"/>
    <w:rsid w:val="00CB0465"/>
    <w:rsid w:val="00CB04F1"/>
    <w:rsid w:val="00CB0918"/>
    <w:rsid w:val="00CB0A92"/>
    <w:rsid w:val="00CB0E4C"/>
    <w:rsid w:val="00CB1154"/>
    <w:rsid w:val="00CB18E2"/>
    <w:rsid w:val="00CB2789"/>
    <w:rsid w:val="00CB2827"/>
    <w:rsid w:val="00CB2A8C"/>
    <w:rsid w:val="00CB2C72"/>
    <w:rsid w:val="00CB2EA9"/>
    <w:rsid w:val="00CB2FD6"/>
    <w:rsid w:val="00CB3124"/>
    <w:rsid w:val="00CB3DB0"/>
    <w:rsid w:val="00CB3F6E"/>
    <w:rsid w:val="00CB4950"/>
    <w:rsid w:val="00CB4A0E"/>
    <w:rsid w:val="00CB4C8C"/>
    <w:rsid w:val="00CB4FA4"/>
    <w:rsid w:val="00CB55D5"/>
    <w:rsid w:val="00CB5DEA"/>
    <w:rsid w:val="00CB6269"/>
    <w:rsid w:val="00CB62F1"/>
    <w:rsid w:val="00CB6344"/>
    <w:rsid w:val="00CB66DE"/>
    <w:rsid w:val="00CB67C5"/>
    <w:rsid w:val="00CB6DA0"/>
    <w:rsid w:val="00CB6FC5"/>
    <w:rsid w:val="00CB7B12"/>
    <w:rsid w:val="00CB7C0A"/>
    <w:rsid w:val="00CB7CB1"/>
    <w:rsid w:val="00CC0827"/>
    <w:rsid w:val="00CC0AB9"/>
    <w:rsid w:val="00CC0CA3"/>
    <w:rsid w:val="00CC112F"/>
    <w:rsid w:val="00CC1466"/>
    <w:rsid w:val="00CC15E9"/>
    <w:rsid w:val="00CC19B8"/>
    <w:rsid w:val="00CC1B9B"/>
    <w:rsid w:val="00CC22BF"/>
    <w:rsid w:val="00CC2BB1"/>
    <w:rsid w:val="00CC2DE3"/>
    <w:rsid w:val="00CC34BB"/>
    <w:rsid w:val="00CC3E5D"/>
    <w:rsid w:val="00CC4261"/>
    <w:rsid w:val="00CC44A5"/>
    <w:rsid w:val="00CC50DB"/>
    <w:rsid w:val="00CC53D9"/>
    <w:rsid w:val="00CC74F6"/>
    <w:rsid w:val="00CD003F"/>
    <w:rsid w:val="00CD021E"/>
    <w:rsid w:val="00CD03EC"/>
    <w:rsid w:val="00CD072C"/>
    <w:rsid w:val="00CD087F"/>
    <w:rsid w:val="00CD0892"/>
    <w:rsid w:val="00CD0DE6"/>
    <w:rsid w:val="00CD1C33"/>
    <w:rsid w:val="00CD27BA"/>
    <w:rsid w:val="00CD2944"/>
    <w:rsid w:val="00CD2B5B"/>
    <w:rsid w:val="00CD2C8A"/>
    <w:rsid w:val="00CD2DA6"/>
    <w:rsid w:val="00CD2FF2"/>
    <w:rsid w:val="00CD311C"/>
    <w:rsid w:val="00CD32F4"/>
    <w:rsid w:val="00CD3362"/>
    <w:rsid w:val="00CD33AD"/>
    <w:rsid w:val="00CD3806"/>
    <w:rsid w:val="00CD408D"/>
    <w:rsid w:val="00CD4120"/>
    <w:rsid w:val="00CD412E"/>
    <w:rsid w:val="00CD442C"/>
    <w:rsid w:val="00CD48EC"/>
    <w:rsid w:val="00CD4AA5"/>
    <w:rsid w:val="00CD5201"/>
    <w:rsid w:val="00CD5537"/>
    <w:rsid w:val="00CD5682"/>
    <w:rsid w:val="00CD66B3"/>
    <w:rsid w:val="00CD6825"/>
    <w:rsid w:val="00CD6DFF"/>
    <w:rsid w:val="00CD6FAE"/>
    <w:rsid w:val="00CE0076"/>
    <w:rsid w:val="00CE00B5"/>
    <w:rsid w:val="00CE00B7"/>
    <w:rsid w:val="00CE01A8"/>
    <w:rsid w:val="00CE024F"/>
    <w:rsid w:val="00CE06C4"/>
    <w:rsid w:val="00CE0752"/>
    <w:rsid w:val="00CE0962"/>
    <w:rsid w:val="00CE0CA4"/>
    <w:rsid w:val="00CE13B2"/>
    <w:rsid w:val="00CE16BE"/>
    <w:rsid w:val="00CE1774"/>
    <w:rsid w:val="00CE1957"/>
    <w:rsid w:val="00CE1977"/>
    <w:rsid w:val="00CE202D"/>
    <w:rsid w:val="00CE230F"/>
    <w:rsid w:val="00CE2C1E"/>
    <w:rsid w:val="00CE3531"/>
    <w:rsid w:val="00CE3F0B"/>
    <w:rsid w:val="00CE4C99"/>
    <w:rsid w:val="00CE4DCA"/>
    <w:rsid w:val="00CE4DEC"/>
    <w:rsid w:val="00CE5093"/>
    <w:rsid w:val="00CE55D9"/>
    <w:rsid w:val="00CE57A1"/>
    <w:rsid w:val="00CE6002"/>
    <w:rsid w:val="00CE60CA"/>
    <w:rsid w:val="00CE613A"/>
    <w:rsid w:val="00CE6CB6"/>
    <w:rsid w:val="00CE6FBA"/>
    <w:rsid w:val="00CE7321"/>
    <w:rsid w:val="00CE741B"/>
    <w:rsid w:val="00CE7733"/>
    <w:rsid w:val="00CE78C1"/>
    <w:rsid w:val="00CE78D7"/>
    <w:rsid w:val="00CE7CF2"/>
    <w:rsid w:val="00CF0112"/>
    <w:rsid w:val="00CF02FE"/>
    <w:rsid w:val="00CF0788"/>
    <w:rsid w:val="00CF0A9D"/>
    <w:rsid w:val="00CF0D15"/>
    <w:rsid w:val="00CF0D7A"/>
    <w:rsid w:val="00CF0D7F"/>
    <w:rsid w:val="00CF0EA2"/>
    <w:rsid w:val="00CF0ED8"/>
    <w:rsid w:val="00CF0F4D"/>
    <w:rsid w:val="00CF11B0"/>
    <w:rsid w:val="00CF134F"/>
    <w:rsid w:val="00CF13CC"/>
    <w:rsid w:val="00CF1788"/>
    <w:rsid w:val="00CF17A6"/>
    <w:rsid w:val="00CF18BA"/>
    <w:rsid w:val="00CF1E64"/>
    <w:rsid w:val="00CF224B"/>
    <w:rsid w:val="00CF2503"/>
    <w:rsid w:val="00CF2889"/>
    <w:rsid w:val="00CF2A7D"/>
    <w:rsid w:val="00CF2C08"/>
    <w:rsid w:val="00CF2C65"/>
    <w:rsid w:val="00CF2CA9"/>
    <w:rsid w:val="00CF2E0D"/>
    <w:rsid w:val="00CF324E"/>
    <w:rsid w:val="00CF3934"/>
    <w:rsid w:val="00CF3986"/>
    <w:rsid w:val="00CF39E8"/>
    <w:rsid w:val="00CF3A14"/>
    <w:rsid w:val="00CF42AF"/>
    <w:rsid w:val="00CF43BA"/>
    <w:rsid w:val="00CF44F4"/>
    <w:rsid w:val="00CF450C"/>
    <w:rsid w:val="00CF472B"/>
    <w:rsid w:val="00CF50DB"/>
    <w:rsid w:val="00CF51DE"/>
    <w:rsid w:val="00CF56B7"/>
    <w:rsid w:val="00CF56D5"/>
    <w:rsid w:val="00CF581C"/>
    <w:rsid w:val="00CF5F3A"/>
    <w:rsid w:val="00CF6318"/>
    <w:rsid w:val="00CF6E1B"/>
    <w:rsid w:val="00CF6FF1"/>
    <w:rsid w:val="00CF702F"/>
    <w:rsid w:val="00CF705B"/>
    <w:rsid w:val="00CF7075"/>
    <w:rsid w:val="00CF724E"/>
    <w:rsid w:val="00CF75A4"/>
    <w:rsid w:val="00CF773E"/>
    <w:rsid w:val="00CF7757"/>
    <w:rsid w:val="00CF7C54"/>
    <w:rsid w:val="00CF7D1F"/>
    <w:rsid w:val="00D000F1"/>
    <w:rsid w:val="00D00297"/>
    <w:rsid w:val="00D0081E"/>
    <w:rsid w:val="00D00C46"/>
    <w:rsid w:val="00D010A1"/>
    <w:rsid w:val="00D013D0"/>
    <w:rsid w:val="00D0148E"/>
    <w:rsid w:val="00D01491"/>
    <w:rsid w:val="00D014BC"/>
    <w:rsid w:val="00D0181A"/>
    <w:rsid w:val="00D01FC6"/>
    <w:rsid w:val="00D02280"/>
    <w:rsid w:val="00D0248A"/>
    <w:rsid w:val="00D025B4"/>
    <w:rsid w:val="00D02B3C"/>
    <w:rsid w:val="00D038AC"/>
    <w:rsid w:val="00D03A90"/>
    <w:rsid w:val="00D03E66"/>
    <w:rsid w:val="00D0403D"/>
    <w:rsid w:val="00D04E3E"/>
    <w:rsid w:val="00D05196"/>
    <w:rsid w:val="00D052D5"/>
    <w:rsid w:val="00D05E6C"/>
    <w:rsid w:val="00D062D0"/>
    <w:rsid w:val="00D06335"/>
    <w:rsid w:val="00D06A58"/>
    <w:rsid w:val="00D07253"/>
    <w:rsid w:val="00D076B1"/>
    <w:rsid w:val="00D078CA"/>
    <w:rsid w:val="00D07B7A"/>
    <w:rsid w:val="00D07DF8"/>
    <w:rsid w:val="00D07EE1"/>
    <w:rsid w:val="00D10645"/>
    <w:rsid w:val="00D10E41"/>
    <w:rsid w:val="00D111FB"/>
    <w:rsid w:val="00D11B16"/>
    <w:rsid w:val="00D12872"/>
    <w:rsid w:val="00D12FF9"/>
    <w:rsid w:val="00D132B2"/>
    <w:rsid w:val="00D136E5"/>
    <w:rsid w:val="00D13A0B"/>
    <w:rsid w:val="00D13D58"/>
    <w:rsid w:val="00D14922"/>
    <w:rsid w:val="00D14D14"/>
    <w:rsid w:val="00D14EB4"/>
    <w:rsid w:val="00D150AE"/>
    <w:rsid w:val="00D1540B"/>
    <w:rsid w:val="00D156F3"/>
    <w:rsid w:val="00D15796"/>
    <w:rsid w:val="00D159CF"/>
    <w:rsid w:val="00D15C52"/>
    <w:rsid w:val="00D16648"/>
    <w:rsid w:val="00D16B48"/>
    <w:rsid w:val="00D16BB4"/>
    <w:rsid w:val="00D16CE7"/>
    <w:rsid w:val="00D170D2"/>
    <w:rsid w:val="00D17228"/>
    <w:rsid w:val="00D1733C"/>
    <w:rsid w:val="00D1753D"/>
    <w:rsid w:val="00D17E7C"/>
    <w:rsid w:val="00D203D0"/>
    <w:rsid w:val="00D20966"/>
    <w:rsid w:val="00D20CDE"/>
    <w:rsid w:val="00D20DB8"/>
    <w:rsid w:val="00D21302"/>
    <w:rsid w:val="00D2167E"/>
    <w:rsid w:val="00D21C13"/>
    <w:rsid w:val="00D229CF"/>
    <w:rsid w:val="00D22BE6"/>
    <w:rsid w:val="00D22D56"/>
    <w:rsid w:val="00D23356"/>
    <w:rsid w:val="00D234C6"/>
    <w:rsid w:val="00D236FD"/>
    <w:rsid w:val="00D23AF3"/>
    <w:rsid w:val="00D23C83"/>
    <w:rsid w:val="00D23E16"/>
    <w:rsid w:val="00D23E40"/>
    <w:rsid w:val="00D2402E"/>
    <w:rsid w:val="00D242D2"/>
    <w:rsid w:val="00D24C6C"/>
    <w:rsid w:val="00D24D8E"/>
    <w:rsid w:val="00D24FD9"/>
    <w:rsid w:val="00D25395"/>
    <w:rsid w:val="00D25B96"/>
    <w:rsid w:val="00D260F4"/>
    <w:rsid w:val="00D27694"/>
    <w:rsid w:val="00D27F3B"/>
    <w:rsid w:val="00D30031"/>
    <w:rsid w:val="00D30799"/>
    <w:rsid w:val="00D3124C"/>
    <w:rsid w:val="00D31967"/>
    <w:rsid w:val="00D3198E"/>
    <w:rsid w:val="00D31DE7"/>
    <w:rsid w:val="00D32557"/>
    <w:rsid w:val="00D32F47"/>
    <w:rsid w:val="00D330A5"/>
    <w:rsid w:val="00D33121"/>
    <w:rsid w:val="00D33576"/>
    <w:rsid w:val="00D337C4"/>
    <w:rsid w:val="00D33A99"/>
    <w:rsid w:val="00D33BCB"/>
    <w:rsid w:val="00D33CE4"/>
    <w:rsid w:val="00D3479A"/>
    <w:rsid w:val="00D34A0E"/>
    <w:rsid w:val="00D34BBF"/>
    <w:rsid w:val="00D34E03"/>
    <w:rsid w:val="00D34E47"/>
    <w:rsid w:val="00D358F0"/>
    <w:rsid w:val="00D35CBE"/>
    <w:rsid w:val="00D35ED4"/>
    <w:rsid w:val="00D368DE"/>
    <w:rsid w:val="00D36CFF"/>
    <w:rsid w:val="00D375EB"/>
    <w:rsid w:val="00D377B1"/>
    <w:rsid w:val="00D400A1"/>
    <w:rsid w:val="00D400C3"/>
    <w:rsid w:val="00D4051E"/>
    <w:rsid w:val="00D40ABC"/>
    <w:rsid w:val="00D40AF0"/>
    <w:rsid w:val="00D410F2"/>
    <w:rsid w:val="00D4169C"/>
    <w:rsid w:val="00D425AC"/>
    <w:rsid w:val="00D42871"/>
    <w:rsid w:val="00D42880"/>
    <w:rsid w:val="00D42F41"/>
    <w:rsid w:val="00D4302F"/>
    <w:rsid w:val="00D430C5"/>
    <w:rsid w:val="00D43176"/>
    <w:rsid w:val="00D43ABD"/>
    <w:rsid w:val="00D43D09"/>
    <w:rsid w:val="00D448EA"/>
    <w:rsid w:val="00D44CFD"/>
    <w:rsid w:val="00D44EC1"/>
    <w:rsid w:val="00D45D49"/>
    <w:rsid w:val="00D45EF7"/>
    <w:rsid w:val="00D45FB6"/>
    <w:rsid w:val="00D46304"/>
    <w:rsid w:val="00D46D2E"/>
    <w:rsid w:val="00D46FDC"/>
    <w:rsid w:val="00D47044"/>
    <w:rsid w:val="00D476DA"/>
    <w:rsid w:val="00D47EE2"/>
    <w:rsid w:val="00D50110"/>
    <w:rsid w:val="00D5046F"/>
    <w:rsid w:val="00D5078E"/>
    <w:rsid w:val="00D50AB3"/>
    <w:rsid w:val="00D50CCB"/>
    <w:rsid w:val="00D511E6"/>
    <w:rsid w:val="00D513BC"/>
    <w:rsid w:val="00D5160C"/>
    <w:rsid w:val="00D516B9"/>
    <w:rsid w:val="00D521C5"/>
    <w:rsid w:val="00D522A3"/>
    <w:rsid w:val="00D5264F"/>
    <w:rsid w:val="00D526CA"/>
    <w:rsid w:val="00D528B8"/>
    <w:rsid w:val="00D52BCB"/>
    <w:rsid w:val="00D535C5"/>
    <w:rsid w:val="00D535F7"/>
    <w:rsid w:val="00D536C0"/>
    <w:rsid w:val="00D5400D"/>
    <w:rsid w:val="00D549A2"/>
    <w:rsid w:val="00D55016"/>
    <w:rsid w:val="00D55737"/>
    <w:rsid w:val="00D558B1"/>
    <w:rsid w:val="00D55A1B"/>
    <w:rsid w:val="00D55F0A"/>
    <w:rsid w:val="00D56055"/>
    <w:rsid w:val="00D56177"/>
    <w:rsid w:val="00D563D5"/>
    <w:rsid w:val="00D5673E"/>
    <w:rsid w:val="00D56B32"/>
    <w:rsid w:val="00D5745C"/>
    <w:rsid w:val="00D57466"/>
    <w:rsid w:val="00D576FB"/>
    <w:rsid w:val="00D578EC"/>
    <w:rsid w:val="00D60052"/>
    <w:rsid w:val="00D60261"/>
    <w:rsid w:val="00D6038E"/>
    <w:rsid w:val="00D605D4"/>
    <w:rsid w:val="00D608E8"/>
    <w:rsid w:val="00D60DA1"/>
    <w:rsid w:val="00D610C1"/>
    <w:rsid w:val="00D6149D"/>
    <w:rsid w:val="00D61D28"/>
    <w:rsid w:val="00D620C4"/>
    <w:rsid w:val="00D622BD"/>
    <w:rsid w:val="00D625E7"/>
    <w:rsid w:val="00D627F7"/>
    <w:rsid w:val="00D62B05"/>
    <w:rsid w:val="00D62FA1"/>
    <w:rsid w:val="00D6304D"/>
    <w:rsid w:val="00D63380"/>
    <w:rsid w:val="00D633AF"/>
    <w:rsid w:val="00D6360C"/>
    <w:rsid w:val="00D638FC"/>
    <w:rsid w:val="00D63978"/>
    <w:rsid w:val="00D63CA0"/>
    <w:rsid w:val="00D63CE4"/>
    <w:rsid w:val="00D63F75"/>
    <w:rsid w:val="00D640E6"/>
    <w:rsid w:val="00D64961"/>
    <w:rsid w:val="00D6510E"/>
    <w:rsid w:val="00D65371"/>
    <w:rsid w:val="00D6586C"/>
    <w:rsid w:val="00D6598B"/>
    <w:rsid w:val="00D659A4"/>
    <w:rsid w:val="00D66145"/>
    <w:rsid w:val="00D66A8A"/>
    <w:rsid w:val="00D66C1C"/>
    <w:rsid w:val="00D66F0E"/>
    <w:rsid w:val="00D67800"/>
    <w:rsid w:val="00D67889"/>
    <w:rsid w:val="00D701B9"/>
    <w:rsid w:val="00D70333"/>
    <w:rsid w:val="00D70460"/>
    <w:rsid w:val="00D7104B"/>
    <w:rsid w:val="00D71280"/>
    <w:rsid w:val="00D71617"/>
    <w:rsid w:val="00D71EB0"/>
    <w:rsid w:val="00D722CF"/>
    <w:rsid w:val="00D72B52"/>
    <w:rsid w:val="00D72F11"/>
    <w:rsid w:val="00D7318B"/>
    <w:rsid w:val="00D73210"/>
    <w:rsid w:val="00D732C3"/>
    <w:rsid w:val="00D737DE"/>
    <w:rsid w:val="00D748E9"/>
    <w:rsid w:val="00D74BF2"/>
    <w:rsid w:val="00D75030"/>
    <w:rsid w:val="00D750A5"/>
    <w:rsid w:val="00D7511C"/>
    <w:rsid w:val="00D755E7"/>
    <w:rsid w:val="00D7587E"/>
    <w:rsid w:val="00D75D40"/>
    <w:rsid w:val="00D760C5"/>
    <w:rsid w:val="00D7695A"/>
    <w:rsid w:val="00D77649"/>
    <w:rsid w:val="00D7788C"/>
    <w:rsid w:val="00D779F9"/>
    <w:rsid w:val="00D77AF0"/>
    <w:rsid w:val="00D77DFF"/>
    <w:rsid w:val="00D80053"/>
    <w:rsid w:val="00D80337"/>
    <w:rsid w:val="00D80462"/>
    <w:rsid w:val="00D80670"/>
    <w:rsid w:val="00D807B7"/>
    <w:rsid w:val="00D8080B"/>
    <w:rsid w:val="00D80A4F"/>
    <w:rsid w:val="00D80BB3"/>
    <w:rsid w:val="00D80DD3"/>
    <w:rsid w:val="00D80E33"/>
    <w:rsid w:val="00D81386"/>
    <w:rsid w:val="00D81EC5"/>
    <w:rsid w:val="00D81F1F"/>
    <w:rsid w:val="00D8212C"/>
    <w:rsid w:val="00D824D5"/>
    <w:rsid w:val="00D827E2"/>
    <w:rsid w:val="00D82AB8"/>
    <w:rsid w:val="00D830A0"/>
    <w:rsid w:val="00D83912"/>
    <w:rsid w:val="00D84009"/>
    <w:rsid w:val="00D840BB"/>
    <w:rsid w:val="00D845A3"/>
    <w:rsid w:val="00D847F5"/>
    <w:rsid w:val="00D849DB"/>
    <w:rsid w:val="00D84B46"/>
    <w:rsid w:val="00D85210"/>
    <w:rsid w:val="00D86791"/>
    <w:rsid w:val="00D86A15"/>
    <w:rsid w:val="00D86B32"/>
    <w:rsid w:val="00D86CDD"/>
    <w:rsid w:val="00D86D62"/>
    <w:rsid w:val="00D86D91"/>
    <w:rsid w:val="00D873CC"/>
    <w:rsid w:val="00D8757F"/>
    <w:rsid w:val="00D876DD"/>
    <w:rsid w:val="00D87AA3"/>
    <w:rsid w:val="00D87ADC"/>
    <w:rsid w:val="00D87BEC"/>
    <w:rsid w:val="00D87E58"/>
    <w:rsid w:val="00D9006C"/>
    <w:rsid w:val="00D9024E"/>
    <w:rsid w:val="00D903F4"/>
    <w:rsid w:val="00D90C26"/>
    <w:rsid w:val="00D90D80"/>
    <w:rsid w:val="00D910D6"/>
    <w:rsid w:val="00D91386"/>
    <w:rsid w:val="00D922E7"/>
    <w:rsid w:val="00D9255F"/>
    <w:rsid w:val="00D92609"/>
    <w:rsid w:val="00D9266C"/>
    <w:rsid w:val="00D92E4A"/>
    <w:rsid w:val="00D93267"/>
    <w:rsid w:val="00D94257"/>
    <w:rsid w:val="00D94DF7"/>
    <w:rsid w:val="00D9560C"/>
    <w:rsid w:val="00D95A82"/>
    <w:rsid w:val="00D9625F"/>
    <w:rsid w:val="00D963B5"/>
    <w:rsid w:val="00D96488"/>
    <w:rsid w:val="00D967C8"/>
    <w:rsid w:val="00D968CA"/>
    <w:rsid w:val="00D96B03"/>
    <w:rsid w:val="00D96D60"/>
    <w:rsid w:val="00D96DAA"/>
    <w:rsid w:val="00D9756E"/>
    <w:rsid w:val="00D976C2"/>
    <w:rsid w:val="00D97A49"/>
    <w:rsid w:val="00D97CDE"/>
    <w:rsid w:val="00D97DAB"/>
    <w:rsid w:val="00D97ED6"/>
    <w:rsid w:val="00DA0163"/>
    <w:rsid w:val="00DA098A"/>
    <w:rsid w:val="00DA0C94"/>
    <w:rsid w:val="00DA0F0A"/>
    <w:rsid w:val="00DA1332"/>
    <w:rsid w:val="00DA13A0"/>
    <w:rsid w:val="00DA17D0"/>
    <w:rsid w:val="00DA1984"/>
    <w:rsid w:val="00DA1C9F"/>
    <w:rsid w:val="00DA1D64"/>
    <w:rsid w:val="00DA1DFB"/>
    <w:rsid w:val="00DA2028"/>
    <w:rsid w:val="00DA2185"/>
    <w:rsid w:val="00DA2297"/>
    <w:rsid w:val="00DA231C"/>
    <w:rsid w:val="00DA235A"/>
    <w:rsid w:val="00DA2395"/>
    <w:rsid w:val="00DA2920"/>
    <w:rsid w:val="00DA2973"/>
    <w:rsid w:val="00DA30B7"/>
    <w:rsid w:val="00DA37FE"/>
    <w:rsid w:val="00DA395C"/>
    <w:rsid w:val="00DA3A22"/>
    <w:rsid w:val="00DA3AF4"/>
    <w:rsid w:val="00DA422C"/>
    <w:rsid w:val="00DA46B2"/>
    <w:rsid w:val="00DA4706"/>
    <w:rsid w:val="00DA4A0E"/>
    <w:rsid w:val="00DA4DD5"/>
    <w:rsid w:val="00DA5B86"/>
    <w:rsid w:val="00DA5EBB"/>
    <w:rsid w:val="00DA6372"/>
    <w:rsid w:val="00DA65B4"/>
    <w:rsid w:val="00DA6D29"/>
    <w:rsid w:val="00DA7003"/>
    <w:rsid w:val="00DA71CF"/>
    <w:rsid w:val="00DA7390"/>
    <w:rsid w:val="00DA7974"/>
    <w:rsid w:val="00DA79C0"/>
    <w:rsid w:val="00DA7F78"/>
    <w:rsid w:val="00DA7FBB"/>
    <w:rsid w:val="00DA7FEA"/>
    <w:rsid w:val="00DB013B"/>
    <w:rsid w:val="00DB039E"/>
    <w:rsid w:val="00DB03D5"/>
    <w:rsid w:val="00DB0904"/>
    <w:rsid w:val="00DB1851"/>
    <w:rsid w:val="00DB1C06"/>
    <w:rsid w:val="00DB1CD2"/>
    <w:rsid w:val="00DB1D28"/>
    <w:rsid w:val="00DB1FD6"/>
    <w:rsid w:val="00DB2990"/>
    <w:rsid w:val="00DB311E"/>
    <w:rsid w:val="00DB33FD"/>
    <w:rsid w:val="00DB3427"/>
    <w:rsid w:val="00DB36C3"/>
    <w:rsid w:val="00DB3C34"/>
    <w:rsid w:val="00DB3D43"/>
    <w:rsid w:val="00DB3FA3"/>
    <w:rsid w:val="00DB41C2"/>
    <w:rsid w:val="00DB45C2"/>
    <w:rsid w:val="00DB4676"/>
    <w:rsid w:val="00DB4E53"/>
    <w:rsid w:val="00DB5B68"/>
    <w:rsid w:val="00DB5E66"/>
    <w:rsid w:val="00DB5EDB"/>
    <w:rsid w:val="00DB61C3"/>
    <w:rsid w:val="00DB691D"/>
    <w:rsid w:val="00DB6A90"/>
    <w:rsid w:val="00DB6C82"/>
    <w:rsid w:val="00DB6CB7"/>
    <w:rsid w:val="00DB7A41"/>
    <w:rsid w:val="00DB7CC3"/>
    <w:rsid w:val="00DB7D2E"/>
    <w:rsid w:val="00DB7E00"/>
    <w:rsid w:val="00DB7E70"/>
    <w:rsid w:val="00DC0252"/>
    <w:rsid w:val="00DC0820"/>
    <w:rsid w:val="00DC0913"/>
    <w:rsid w:val="00DC0B96"/>
    <w:rsid w:val="00DC1044"/>
    <w:rsid w:val="00DC146A"/>
    <w:rsid w:val="00DC14BE"/>
    <w:rsid w:val="00DC15D0"/>
    <w:rsid w:val="00DC180D"/>
    <w:rsid w:val="00DC180F"/>
    <w:rsid w:val="00DC1B38"/>
    <w:rsid w:val="00DC1B5C"/>
    <w:rsid w:val="00DC1C83"/>
    <w:rsid w:val="00DC1EDE"/>
    <w:rsid w:val="00DC1FAB"/>
    <w:rsid w:val="00DC1FD0"/>
    <w:rsid w:val="00DC208E"/>
    <w:rsid w:val="00DC2104"/>
    <w:rsid w:val="00DC21E0"/>
    <w:rsid w:val="00DC220E"/>
    <w:rsid w:val="00DC2489"/>
    <w:rsid w:val="00DC268A"/>
    <w:rsid w:val="00DC2889"/>
    <w:rsid w:val="00DC296A"/>
    <w:rsid w:val="00DC29D6"/>
    <w:rsid w:val="00DC2B64"/>
    <w:rsid w:val="00DC2BEA"/>
    <w:rsid w:val="00DC2D77"/>
    <w:rsid w:val="00DC33BF"/>
    <w:rsid w:val="00DC3873"/>
    <w:rsid w:val="00DC38D1"/>
    <w:rsid w:val="00DC393F"/>
    <w:rsid w:val="00DC3969"/>
    <w:rsid w:val="00DC3A76"/>
    <w:rsid w:val="00DC3AEA"/>
    <w:rsid w:val="00DC3B40"/>
    <w:rsid w:val="00DC499D"/>
    <w:rsid w:val="00DC4A9E"/>
    <w:rsid w:val="00DC50B5"/>
    <w:rsid w:val="00DC5135"/>
    <w:rsid w:val="00DC5951"/>
    <w:rsid w:val="00DC5953"/>
    <w:rsid w:val="00DC59C8"/>
    <w:rsid w:val="00DC5DC5"/>
    <w:rsid w:val="00DC5EEA"/>
    <w:rsid w:val="00DD0382"/>
    <w:rsid w:val="00DD0E3B"/>
    <w:rsid w:val="00DD1020"/>
    <w:rsid w:val="00DD1EB5"/>
    <w:rsid w:val="00DD2373"/>
    <w:rsid w:val="00DD24C7"/>
    <w:rsid w:val="00DD2B86"/>
    <w:rsid w:val="00DD2E62"/>
    <w:rsid w:val="00DD2EB6"/>
    <w:rsid w:val="00DD385E"/>
    <w:rsid w:val="00DD3F4A"/>
    <w:rsid w:val="00DD40C1"/>
    <w:rsid w:val="00DD42E4"/>
    <w:rsid w:val="00DD4899"/>
    <w:rsid w:val="00DD5552"/>
    <w:rsid w:val="00DD5679"/>
    <w:rsid w:val="00DD5DD3"/>
    <w:rsid w:val="00DD6030"/>
    <w:rsid w:val="00DD6199"/>
    <w:rsid w:val="00DD6234"/>
    <w:rsid w:val="00DD64F3"/>
    <w:rsid w:val="00DD6C04"/>
    <w:rsid w:val="00DD6F77"/>
    <w:rsid w:val="00DD70E9"/>
    <w:rsid w:val="00DD7545"/>
    <w:rsid w:val="00DD75BC"/>
    <w:rsid w:val="00DD770D"/>
    <w:rsid w:val="00DD7936"/>
    <w:rsid w:val="00DD7E11"/>
    <w:rsid w:val="00DE08EE"/>
    <w:rsid w:val="00DE0C6A"/>
    <w:rsid w:val="00DE1855"/>
    <w:rsid w:val="00DE1EAB"/>
    <w:rsid w:val="00DE1F2F"/>
    <w:rsid w:val="00DE2061"/>
    <w:rsid w:val="00DE26EE"/>
    <w:rsid w:val="00DE27FA"/>
    <w:rsid w:val="00DE2A82"/>
    <w:rsid w:val="00DE2B6D"/>
    <w:rsid w:val="00DE2E7D"/>
    <w:rsid w:val="00DE3406"/>
    <w:rsid w:val="00DE37E1"/>
    <w:rsid w:val="00DE3814"/>
    <w:rsid w:val="00DE391D"/>
    <w:rsid w:val="00DE39A1"/>
    <w:rsid w:val="00DE3C60"/>
    <w:rsid w:val="00DE3EED"/>
    <w:rsid w:val="00DE4593"/>
    <w:rsid w:val="00DE4A83"/>
    <w:rsid w:val="00DE4AD5"/>
    <w:rsid w:val="00DE5580"/>
    <w:rsid w:val="00DE5B20"/>
    <w:rsid w:val="00DE5DB5"/>
    <w:rsid w:val="00DE5FF3"/>
    <w:rsid w:val="00DE60E5"/>
    <w:rsid w:val="00DE634F"/>
    <w:rsid w:val="00DE664D"/>
    <w:rsid w:val="00DE6A7B"/>
    <w:rsid w:val="00DE6B0F"/>
    <w:rsid w:val="00DE6C09"/>
    <w:rsid w:val="00DE709A"/>
    <w:rsid w:val="00DE7116"/>
    <w:rsid w:val="00DE75F5"/>
    <w:rsid w:val="00DE76B5"/>
    <w:rsid w:val="00DE7E07"/>
    <w:rsid w:val="00DF004F"/>
    <w:rsid w:val="00DF052F"/>
    <w:rsid w:val="00DF06CB"/>
    <w:rsid w:val="00DF07BA"/>
    <w:rsid w:val="00DF08F2"/>
    <w:rsid w:val="00DF0F35"/>
    <w:rsid w:val="00DF0FF5"/>
    <w:rsid w:val="00DF11FA"/>
    <w:rsid w:val="00DF124D"/>
    <w:rsid w:val="00DF1331"/>
    <w:rsid w:val="00DF13F5"/>
    <w:rsid w:val="00DF194D"/>
    <w:rsid w:val="00DF1B3E"/>
    <w:rsid w:val="00DF1D2E"/>
    <w:rsid w:val="00DF1F77"/>
    <w:rsid w:val="00DF24E3"/>
    <w:rsid w:val="00DF2B33"/>
    <w:rsid w:val="00DF3BBB"/>
    <w:rsid w:val="00DF493E"/>
    <w:rsid w:val="00DF49B5"/>
    <w:rsid w:val="00DF49FA"/>
    <w:rsid w:val="00DF4FC6"/>
    <w:rsid w:val="00DF4FCB"/>
    <w:rsid w:val="00DF5619"/>
    <w:rsid w:val="00DF5CAB"/>
    <w:rsid w:val="00DF5EDF"/>
    <w:rsid w:val="00DF615A"/>
    <w:rsid w:val="00DF679C"/>
    <w:rsid w:val="00DF6841"/>
    <w:rsid w:val="00DF7114"/>
    <w:rsid w:val="00DF7492"/>
    <w:rsid w:val="00DF75E6"/>
    <w:rsid w:val="00DF7806"/>
    <w:rsid w:val="00DF7D65"/>
    <w:rsid w:val="00DF7F98"/>
    <w:rsid w:val="00DF7FD1"/>
    <w:rsid w:val="00E0005B"/>
    <w:rsid w:val="00E00672"/>
    <w:rsid w:val="00E0077C"/>
    <w:rsid w:val="00E010D7"/>
    <w:rsid w:val="00E011DC"/>
    <w:rsid w:val="00E013E6"/>
    <w:rsid w:val="00E0165C"/>
    <w:rsid w:val="00E016CB"/>
    <w:rsid w:val="00E01775"/>
    <w:rsid w:val="00E01AC9"/>
    <w:rsid w:val="00E01B79"/>
    <w:rsid w:val="00E02412"/>
    <w:rsid w:val="00E024E6"/>
    <w:rsid w:val="00E0278D"/>
    <w:rsid w:val="00E02A70"/>
    <w:rsid w:val="00E02BC4"/>
    <w:rsid w:val="00E02DC9"/>
    <w:rsid w:val="00E02F19"/>
    <w:rsid w:val="00E032C0"/>
    <w:rsid w:val="00E032C9"/>
    <w:rsid w:val="00E0380B"/>
    <w:rsid w:val="00E03AF9"/>
    <w:rsid w:val="00E03B96"/>
    <w:rsid w:val="00E045F6"/>
    <w:rsid w:val="00E04A2D"/>
    <w:rsid w:val="00E04B9A"/>
    <w:rsid w:val="00E04FB9"/>
    <w:rsid w:val="00E05408"/>
    <w:rsid w:val="00E055A1"/>
    <w:rsid w:val="00E05EA7"/>
    <w:rsid w:val="00E0691D"/>
    <w:rsid w:val="00E06C3E"/>
    <w:rsid w:val="00E07667"/>
    <w:rsid w:val="00E0773C"/>
    <w:rsid w:val="00E0798C"/>
    <w:rsid w:val="00E07B89"/>
    <w:rsid w:val="00E07FF0"/>
    <w:rsid w:val="00E1021B"/>
    <w:rsid w:val="00E10344"/>
    <w:rsid w:val="00E10ED5"/>
    <w:rsid w:val="00E112B8"/>
    <w:rsid w:val="00E11449"/>
    <w:rsid w:val="00E11642"/>
    <w:rsid w:val="00E11825"/>
    <w:rsid w:val="00E11BF1"/>
    <w:rsid w:val="00E11C50"/>
    <w:rsid w:val="00E11F29"/>
    <w:rsid w:val="00E11F2D"/>
    <w:rsid w:val="00E1210B"/>
    <w:rsid w:val="00E12139"/>
    <w:rsid w:val="00E122D6"/>
    <w:rsid w:val="00E12A55"/>
    <w:rsid w:val="00E12E22"/>
    <w:rsid w:val="00E12E28"/>
    <w:rsid w:val="00E12F0A"/>
    <w:rsid w:val="00E12F43"/>
    <w:rsid w:val="00E13357"/>
    <w:rsid w:val="00E13ED2"/>
    <w:rsid w:val="00E14132"/>
    <w:rsid w:val="00E14A2D"/>
    <w:rsid w:val="00E15278"/>
    <w:rsid w:val="00E15345"/>
    <w:rsid w:val="00E15770"/>
    <w:rsid w:val="00E1581C"/>
    <w:rsid w:val="00E15F47"/>
    <w:rsid w:val="00E16353"/>
    <w:rsid w:val="00E1693D"/>
    <w:rsid w:val="00E16A5A"/>
    <w:rsid w:val="00E16D36"/>
    <w:rsid w:val="00E16FE5"/>
    <w:rsid w:val="00E17D2A"/>
    <w:rsid w:val="00E203B7"/>
    <w:rsid w:val="00E2051A"/>
    <w:rsid w:val="00E20632"/>
    <w:rsid w:val="00E208BE"/>
    <w:rsid w:val="00E20BE5"/>
    <w:rsid w:val="00E20D5E"/>
    <w:rsid w:val="00E20F4E"/>
    <w:rsid w:val="00E2144F"/>
    <w:rsid w:val="00E2153E"/>
    <w:rsid w:val="00E215F1"/>
    <w:rsid w:val="00E2345B"/>
    <w:rsid w:val="00E2387C"/>
    <w:rsid w:val="00E238D0"/>
    <w:rsid w:val="00E24251"/>
    <w:rsid w:val="00E246E9"/>
    <w:rsid w:val="00E24A0F"/>
    <w:rsid w:val="00E24E9F"/>
    <w:rsid w:val="00E25E5A"/>
    <w:rsid w:val="00E261BF"/>
    <w:rsid w:val="00E2685B"/>
    <w:rsid w:val="00E26987"/>
    <w:rsid w:val="00E26B36"/>
    <w:rsid w:val="00E26DD6"/>
    <w:rsid w:val="00E26E2C"/>
    <w:rsid w:val="00E2707B"/>
    <w:rsid w:val="00E2749F"/>
    <w:rsid w:val="00E27601"/>
    <w:rsid w:val="00E27645"/>
    <w:rsid w:val="00E30031"/>
    <w:rsid w:val="00E304F8"/>
    <w:rsid w:val="00E30702"/>
    <w:rsid w:val="00E3078D"/>
    <w:rsid w:val="00E3173F"/>
    <w:rsid w:val="00E31C45"/>
    <w:rsid w:val="00E31ED9"/>
    <w:rsid w:val="00E322C8"/>
    <w:rsid w:val="00E325E4"/>
    <w:rsid w:val="00E32727"/>
    <w:rsid w:val="00E32E4C"/>
    <w:rsid w:val="00E3307E"/>
    <w:rsid w:val="00E335D0"/>
    <w:rsid w:val="00E33BB0"/>
    <w:rsid w:val="00E33F91"/>
    <w:rsid w:val="00E343B2"/>
    <w:rsid w:val="00E346DF"/>
    <w:rsid w:val="00E35012"/>
    <w:rsid w:val="00E351EA"/>
    <w:rsid w:val="00E35607"/>
    <w:rsid w:val="00E367E4"/>
    <w:rsid w:val="00E369CC"/>
    <w:rsid w:val="00E36C0B"/>
    <w:rsid w:val="00E36E4A"/>
    <w:rsid w:val="00E37A29"/>
    <w:rsid w:val="00E4018F"/>
    <w:rsid w:val="00E402D6"/>
    <w:rsid w:val="00E4080F"/>
    <w:rsid w:val="00E408BF"/>
    <w:rsid w:val="00E409D7"/>
    <w:rsid w:val="00E40BCB"/>
    <w:rsid w:val="00E40CAD"/>
    <w:rsid w:val="00E40D08"/>
    <w:rsid w:val="00E411E8"/>
    <w:rsid w:val="00E4138F"/>
    <w:rsid w:val="00E41893"/>
    <w:rsid w:val="00E418A4"/>
    <w:rsid w:val="00E41DB1"/>
    <w:rsid w:val="00E42018"/>
    <w:rsid w:val="00E42245"/>
    <w:rsid w:val="00E42CF2"/>
    <w:rsid w:val="00E43329"/>
    <w:rsid w:val="00E43391"/>
    <w:rsid w:val="00E4362C"/>
    <w:rsid w:val="00E438A6"/>
    <w:rsid w:val="00E43EF7"/>
    <w:rsid w:val="00E43FA9"/>
    <w:rsid w:val="00E44075"/>
    <w:rsid w:val="00E4437D"/>
    <w:rsid w:val="00E4446A"/>
    <w:rsid w:val="00E44579"/>
    <w:rsid w:val="00E451D7"/>
    <w:rsid w:val="00E452AC"/>
    <w:rsid w:val="00E4544B"/>
    <w:rsid w:val="00E457EB"/>
    <w:rsid w:val="00E4597D"/>
    <w:rsid w:val="00E45EBE"/>
    <w:rsid w:val="00E463A2"/>
    <w:rsid w:val="00E4650F"/>
    <w:rsid w:val="00E46555"/>
    <w:rsid w:val="00E46EC1"/>
    <w:rsid w:val="00E47325"/>
    <w:rsid w:val="00E4794F"/>
    <w:rsid w:val="00E47D3F"/>
    <w:rsid w:val="00E47DA3"/>
    <w:rsid w:val="00E47FA6"/>
    <w:rsid w:val="00E5062B"/>
    <w:rsid w:val="00E5066E"/>
    <w:rsid w:val="00E50CBB"/>
    <w:rsid w:val="00E50D53"/>
    <w:rsid w:val="00E51A36"/>
    <w:rsid w:val="00E51A61"/>
    <w:rsid w:val="00E51CC1"/>
    <w:rsid w:val="00E520D3"/>
    <w:rsid w:val="00E52385"/>
    <w:rsid w:val="00E529B5"/>
    <w:rsid w:val="00E52FC8"/>
    <w:rsid w:val="00E5378B"/>
    <w:rsid w:val="00E53CD7"/>
    <w:rsid w:val="00E541AD"/>
    <w:rsid w:val="00E54354"/>
    <w:rsid w:val="00E54BED"/>
    <w:rsid w:val="00E5522B"/>
    <w:rsid w:val="00E556F9"/>
    <w:rsid w:val="00E55844"/>
    <w:rsid w:val="00E55FD5"/>
    <w:rsid w:val="00E56330"/>
    <w:rsid w:val="00E563B1"/>
    <w:rsid w:val="00E56CB8"/>
    <w:rsid w:val="00E56DC3"/>
    <w:rsid w:val="00E56EA4"/>
    <w:rsid w:val="00E570B0"/>
    <w:rsid w:val="00E571B1"/>
    <w:rsid w:val="00E5770B"/>
    <w:rsid w:val="00E57D2F"/>
    <w:rsid w:val="00E6023E"/>
    <w:rsid w:val="00E602E5"/>
    <w:rsid w:val="00E6036E"/>
    <w:rsid w:val="00E603AF"/>
    <w:rsid w:val="00E60991"/>
    <w:rsid w:val="00E60C38"/>
    <w:rsid w:val="00E60C4A"/>
    <w:rsid w:val="00E60FBF"/>
    <w:rsid w:val="00E61336"/>
    <w:rsid w:val="00E61727"/>
    <w:rsid w:val="00E61F88"/>
    <w:rsid w:val="00E626B9"/>
    <w:rsid w:val="00E62730"/>
    <w:rsid w:val="00E6284F"/>
    <w:rsid w:val="00E62B8B"/>
    <w:rsid w:val="00E630B8"/>
    <w:rsid w:val="00E63396"/>
    <w:rsid w:val="00E6360A"/>
    <w:rsid w:val="00E636D4"/>
    <w:rsid w:val="00E637AB"/>
    <w:rsid w:val="00E63D29"/>
    <w:rsid w:val="00E64355"/>
    <w:rsid w:val="00E64400"/>
    <w:rsid w:val="00E64567"/>
    <w:rsid w:val="00E645EF"/>
    <w:rsid w:val="00E64615"/>
    <w:rsid w:val="00E6498A"/>
    <w:rsid w:val="00E64A18"/>
    <w:rsid w:val="00E64BB0"/>
    <w:rsid w:val="00E65438"/>
    <w:rsid w:val="00E65979"/>
    <w:rsid w:val="00E65A02"/>
    <w:rsid w:val="00E65B71"/>
    <w:rsid w:val="00E66176"/>
    <w:rsid w:val="00E66452"/>
    <w:rsid w:val="00E66ADA"/>
    <w:rsid w:val="00E674C1"/>
    <w:rsid w:val="00E6750B"/>
    <w:rsid w:val="00E679EF"/>
    <w:rsid w:val="00E7030D"/>
    <w:rsid w:val="00E70748"/>
    <w:rsid w:val="00E707FE"/>
    <w:rsid w:val="00E70E2D"/>
    <w:rsid w:val="00E70FF1"/>
    <w:rsid w:val="00E7125D"/>
    <w:rsid w:val="00E71723"/>
    <w:rsid w:val="00E71926"/>
    <w:rsid w:val="00E71AAB"/>
    <w:rsid w:val="00E71BB4"/>
    <w:rsid w:val="00E7205B"/>
    <w:rsid w:val="00E7221E"/>
    <w:rsid w:val="00E722BC"/>
    <w:rsid w:val="00E722C6"/>
    <w:rsid w:val="00E72A2C"/>
    <w:rsid w:val="00E72B09"/>
    <w:rsid w:val="00E72BC5"/>
    <w:rsid w:val="00E72DB8"/>
    <w:rsid w:val="00E7309D"/>
    <w:rsid w:val="00E734CB"/>
    <w:rsid w:val="00E735F2"/>
    <w:rsid w:val="00E73615"/>
    <w:rsid w:val="00E73841"/>
    <w:rsid w:val="00E73976"/>
    <w:rsid w:val="00E74211"/>
    <w:rsid w:val="00E742CD"/>
    <w:rsid w:val="00E74FB6"/>
    <w:rsid w:val="00E75356"/>
    <w:rsid w:val="00E7537E"/>
    <w:rsid w:val="00E754BB"/>
    <w:rsid w:val="00E75896"/>
    <w:rsid w:val="00E75DAE"/>
    <w:rsid w:val="00E75F59"/>
    <w:rsid w:val="00E760DB"/>
    <w:rsid w:val="00E76429"/>
    <w:rsid w:val="00E766E3"/>
    <w:rsid w:val="00E76A87"/>
    <w:rsid w:val="00E76FCF"/>
    <w:rsid w:val="00E771F5"/>
    <w:rsid w:val="00E7793F"/>
    <w:rsid w:val="00E77E4B"/>
    <w:rsid w:val="00E80394"/>
    <w:rsid w:val="00E803FE"/>
    <w:rsid w:val="00E806C3"/>
    <w:rsid w:val="00E80C95"/>
    <w:rsid w:val="00E80CC0"/>
    <w:rsid w:val="00E81BB1"/>
    <w:rsid w:val="00E81C2E"/>
    <w:rsid w:val="00E81D02"/>
    <w:rsid w:val="00E82145"/>
    <w:rsid w:val="00E8273A"/>
    <w:rsid w:val="00E82A0E"/>
    <w:rsid w:val="00E82DBE"/>
    <w:rsid w:val="00E82EBA"/>
    <w:rsid w:val="00E82FCA"/>
    <w:rsid w:val="00E83232"/>
    <w:rsid w:val="00E833EC"/>
    <w:rsid w:val="00E8356B"/>
    <w:rsid w:val="00E83CF9"/>
    <w:rsid w:val="00E8417B"/>
    <w:rsid w:val="00E846B8"/>
    <w:rsid w:val="00E84D1C"/>
    <w:rsid w:val="00E84F38"/>
    <w:rsid w:val="00E852DD"/>
    <w:rsid w:val="00E8549B"/>
    <w:rsid w:val="00E859AB"/>
    <w:rsid w:val="00E85E42"/>
    <w:rsid w:val="00E8606E"/>
    <w:rsid w:val="00E86381"/>
    <w:rsid w:val="00E863CE"/>
    <w:rsid w:val="00E86515"/>
    <w:rsid w:val="00E87855"/>
    <w:rsid w:val="00E878EC"/>
    <w:rsid w:val="00E87C3E"/>
    <w:rsid w:val="00E87C51"/>
    <w:rsid w:val="00E87D08"/>
    <w:rsid w:val="00E87F1E"/>
    <w:rsid w:val="00E90436"/>
    <w:rsid w:val="00E908CF"/>
    <w:rsid w:val="00E90A69"/>
    <w:rsid w:val="00E91231"/>
    <w:rsid w:val="00E9138E"/>
    <w:rsid w:val="00E9159C"/>
    <w:rsid w:val="00E91649"/>
    <w:rsid w:val="00E91C5B"/>
    <w:rsid w:val="00E92ADF"/>
    <w:rsid w:val="00E933AC"/>
    <w:rsid w:val="00E9497A"/>
    <w:rsid w:val="00E949D3"/>
    <w:rsid w:val="00E94B22"/>
    <w:rsid w:val="00E94D6A"/>
    <w:rsid w:val="00E94DF0"/>
    <w:rsid w:val="00E95199"/>
    <w:rsid w:val="00E953A5"/>
    <w:rsid w:val="00E95466"/>
    <w:rsid w:val="00E957A2"/>
    <w:rsid w:val="00E9584C"/>
    <w:rsid w:val="00E958F1"/>
    <w:rsid w:val="00E959E8"/>
    <w:rsid w:val="00E96455"/>
    <w:rsid w:val="00E965BC"/>
    <w:rsid w:val="00E965ED"/>
    <w:rsid w:val="00E96634"/>
    <w:rsid w:val="00E96855"/>
    <w:rsid w:val="00E975A4"/>
    <w:rsid w:val="00EA0CC4"/>
    <w:rsid w:val="00EA13BF"/>
    <w:rsid w:val="00EA13FD"/>
    <w:rsid w:val="00EA1656"/>
    <w:rsid w:val="00EA1BBB"/>
    <w:rsid w:val="00EA2380"/>
    <w:rsid w:val="00EA2C30"/>
    <w:rsid w:val="00EA2CB7"/>
    <w:rsid w:val="00EA2DD9"/>
    <w:rsid w:val="00EA2F97"/>
    <w:rsid w:val="00EA3189"/>
    <w:rsid w:val="00EA3435"/>
    <w:rsid w:val="00EA3721"/>
    <w:rsid w:val="00EA43FC"/>
    <w:rsid w:val="00EA4E49"/>
    <w:rsid w:val="00EA51C2"/>
    <w:rsid w:val="00EA5582"/>
    <w:rsid w:val="00EA5A2A"/>
    <w:rsid w:val="00EA60EC"/>
    <w:rsid w:val="00EA6374"/>
    <w:rsid w:val="00EA669D"/>
    <w:rsid w:val="00EA6C55"/>
    <w:rsid w:val="00EA7446"/>
    <w:rsid w:val="00EB0679"/>
    <w:rsid w:val="00EB06B1"/>
    <w:rsid w:val="00EB06DD"/>
    <w:rsid w:val="00EB0959"/>
    <w:rsid w:val="00EB0B01"/>
    <w:rsid w:val="00EB0CE3"/>
    <w:rsid w:val="00EB15BE"/>
    <w:rsid w:val="00EB15E4"/>
    <w:rsid w:val="00EB1947"/>
    <w:rsid w:val="00EB1964"/>
    <w:rsid w:val="00EB1DD4"/>
    <w:rsid w:val="00EB2719"/>
    <w:rsid w:val="00EB2801"/>
    <w:rsid w:val="00EB312F"/>
    <w:rsid w:val="00EB3332"/>
    <w:rsid w:val="00EB33B1"/>
    <w:rsid w:val="00EB35D8"/>
    <w:rsid w:val="00EB367F"/>
    <w:rsid w:val="00EB3716"/>
    <w:rsid w:val="00EB378C"/>
    <w:rsid w:val="00EB3B93"/>
    <w:rsid w:val="00EB3C93"/>
    <w:rsid w:val="00EB3E6F"/>
    <w:rsid w:val="00EB3EF4"/>
    <w:rsid w:val="00EB4056"/>
    <w:rsid w:val="00EB43BA"/>
    <w:rsid w:val="00EB4894"/>
    <w:rsid w:val="00EB4FF7"/>
    <w:rsid w:val="00EB503F"/>
    <w:rsid w:val="00EB50FD"/>
    <w:rsid w:val="00EB575F"/>
    <w:rsid w:val="00EB59A8"/>
    <w:rsid w:val="00EB5AA6"/>
    <w:rsid w:val="00EB693F"/>
    <w:rsid w:val="00EB695C"/>
    <w:rsid w:val="00EB6C89"/>
    <w:rsid w:val="00EB6FA6"/>
    <w:rsid w:val="00EB7233"/>
    <w:rsid w:val="00EB7250"/>
    <w:rsid w:val="00EB7436"/>
    <w:rsid w:val="00EB7D3A"/>
    <w:rsid w:val="00EC005A"/>
    <w:rsid w:val="00EC0167"/>
    <w:rsid w:val="00EC0666"/>
    <w:rsid w:val="00EC0B95"/>
    <w:rsid w:val="00EC0CF2"/>
    <w:rsid w:val="00EC12D6"/>
    <w:rsid w:val="00EC20C9"/>
    <w:rsid w:val="00EC2166"/>
    <w:rsid w:val="00EC272E"/>
    <w:rsid w:val="00EC273E"/>
    <w:rsid w:val="00EC475D"/>
    <w:rsid w:val="00EC4876"/>
    <w:rsid w:val="00EC4ED4"/>
    <w:rsid w:val="00EC5042"/>
    <w:rsid w:val="00EC50B7"/>
    <w:rsid w:val="00EC5607"/>
    <w:rsid w:val="00EC5899"/>
    <w:rsid w:val="00EC59A2"/>
    <w:rsid w:val="00EC60A2"/>
    <w:rsid w:val="00EC633F"/>
    <w:rsid w:val="00EC6D09"/>
    <w:rsid w:val="00EC70D3"/>
    <w:rsid w:val="00EC739D"/>
    <w:rsid w:val="00EC79AA"/>
    <w:rsid w:val="00EC7DD8"/>
    <w:rsid w:val="00EC7F35"/>
    <w:rsid w:val="00EC7FA3"/>
    <w:rsid w:val="00ED017D"/>
    <w:rsid w:val="00ED02AB"/>
    <w:rsid w:val="00ED02E6"/>
    <w:rsid w:val="00ED0328"/>
    <w:rsid w:val="00ED04FB"/>
    <w:rsid w:val="00ED0516"/>
    <w:rsid w:val="00ED0619"/>
    <w:rsid w:val="00ED163A"/>
    <w:rsid w:val="00ED17E7"/>
    <w:rsid w:val="00ED1893"/>
    <w:rsid w:val="00ED1D71"/>
    <w:rsid w:val="00ED2544"/>
    <w:rsid w:val="00ED2B7E"/>
    <w:rsid w:val="00ED331D"/>
    <w:rsid w:val="00ED36E6"/>
    <w:rsid w:val="00ED3705"/>
    <w:rsid w:val="00ED3B86"/>
    <w:rsid w:val="00ED417C"/>
    <w:rsid w:val="00ED4351"/>
    <w:rsid w:val="00ED47D4"/>
    <w:rsid w:val="00ED4955"/>
    <w:rsid w:val="00ED4971"/>
    <w:rsid w:val="00ED4AD7"/>
    <w:rsid w:val="00ED4C35"/>
    <w:rsid w:val="00ED5075"/>
    <w:rsid w:val="00ED5115"/>
    <w:rsid w:val="00ED5560"/>
    <w:rsid w:val="00ED56CC"/>
    <w:rsid w:val="00ED585E"/>
    <w:rsid w:val="00ED5E81"/>
    <w:rsid w:val="00ED6083"/>
    <w:rsid w:val="00ED613D"/>
    <w:rsid w:val="00ED6C45"/>
    <w:rsid w:val="00ED6EE6"/>
    <w:rsid w:val="00ED7245"/>
    <w:rsid w:val="00ED726E"/>
    <w:rsid w:val="00ED77DC"/>
    <w:rsid w:val="00ED7BB2"/>
    <w:rsid w:val="00ED7E8C"/>
    <w:rsid w:val="00EE0871"/>
    <w:rsid w:val="00EE0D6E"/>
    <w:rsid w:val="00EE0E5A"/>
    <w:rsid w:val="00EE1058"/>
    <w:rsid w:val="00EE1251"/>
    <w:rsid w:val="00EE130E"/>
    <w:rsid w:val="00EE148B"/>
    <w:rsid w:val="00EE16D8"/>
    <w:rsid w:val="00EE17BB"/>
    <w:rsid w:val="00EE19E7"/>
    <w:rsid w:val="00EE1B54"/>
    <w:rsid w:val="00EE1E16"/>
    <w:rsid w:val="00EE2153"/>
    <w:rsid w:val="00EE23B4"/>
    <w:rsid w:val="00EE2930"/>
    <w:rsid w:val="00EE3150"/>
    <w:rsid w:val="00EE3248"/>
    <w:rsid w:val="00EE3BDB"/>
    <w:rsid w:val="00EE3FDA"/>
    <w:rsid w:val="00EE4165"/>
    <w:rsid w:val="00EE44B0"/>
    <w:rsid w:val="00EE4BF8"/>
    <w:rsid w:val="00EE4D62"/>
    <w:rsid w:val="00EE5081"/>
    <w:rsid w:val="00EE5325"/>
    <w:rsid w:val="00EE539B"/>
    <w:rsid w:val="00EE5582"/>
    <w:rsid w:val="00EE564E"/>
    <w:rsid w:val="00EE5771"/>
    <w:rsid w:val="00EE5A01"/>
    <w:rsid w:val="00EE5C21"/>
    <w:rsid w:val="00EE602C"/>
    <w:rsid w:val="00EE60A5"/>
    <w:rsid w:val="00EE62E3"/>
    <w:rsid w:val="00EE6483"/>
    <w:rsid w:val="00EE687D"/>
    <w:rsid w:val="00EE6A95"/>
    <w:rsid w:val="00EE6C36"/>
    <w:rsid w:val="00EE6C44"/>
    <w:rsid w:val="00EE7646"/>
    <w:rsid w:val="00EE7AC0"/>
    <w:rsid w:val="00EE7DF4"/>
    <w:rsid w:val="00EF0218"/>
    <w:rsid w:val="00EF03DA"/>
    <w:rsid w:val="00EF0C96"/>
    <w:rsid w:val="00EF0D7F"/>
    <w:rsid w:val="00EF1AEC"/>
    <w:rsid w:val="00EF1B43"/>
    <w:rsid w:val="00EF1BB0"/>
    <w:rsid w:val="00EF1C74"/>
    <w:rsid w:val="00EF29F1"/>
    <w:rsid w:val="00EF2A1B"/>
    <w:rsid w:val="00EF2B0C"/>
    <w:rsid w:val="00EF2CAB"/>
    <w:rsid w:val="00EF2D67"/>
    <w:rsid w:val="00EF307C"/>
    <w:rsid w:val="00EF312E"/>
    <w:rsid w:val="00EF33CE"/>
    <w:rsid w:val="00EF3511"/>
    <w:rsid w:val="00EF35D4"/>
    <w:rsid w:val="00EF36DF"/>
    <w:rsid w:val="00EF38BF"/>
    <w:rsid w:val="00EF39A3"/>
    <w:rsid w:val="00EF3F7B"/>
    <w:rsid w:val="00EF4515"/>
    <w:rsid w:val="00EF4594"/>
    <w:rsid w:val="00EF4690"/>
    <w:rsid w:val="00EF476C"/>
    <w:rsid w:val="00EF4921"/>
    <w:rsid w:val="00EF4A7B"/>
    <w:rsid w:val="00EF4B8D"/>
    <w:rsid w:val="00EF4D37"/>
    <w:rsid w:val="00EF5501"/>
    <w:rsid w:val="00EF56FD"/>
    <w:rsid w:val="00EF5AEE"/>
    <w:rsid w:val="00EF5C07"/>
    <w:rsid w:val="00EF5EC7"/>
    <w:rsid w:val="00EF61DB"/>
    <w:rsid w:val="00EF695C"/>
    <w:rsid w:val="00EF6D9D"/>
    <w:rsid w:val="00EF732C"/>
    <w:rsid w:val="00EF7677"/>
    <w:rsid w:val="00EF7DCB"/>
    <w:rsid w:val="00EF7F83"/>
    <w:rsid w:val="00F0014F"/>
    <w:rsid w:val="00F0016F"/>
    <w:rsid w:val="00F006A7"/>
    <w:rsid w:val="00F006E4"/>
    <w:rsid w:val="00F00776"/>
    <w:rsid w:val="00F00B43"/>
    <w:rsid w:val="00F00C1D"/>
    <w:rsid w:val="00F00D0D"/>
    <w:rsid w:val="00F00EC4"/>
    <w:rsid w:val="00F00F38"/>
    <w:rsid w:val="00F00FBC"/>
    <w:rsid w:val="00F0132F"/>
    <w:rsid w:val="00F01512"/>
    <w:rsid w:val="00F01771"/>
    <w:rsid w:val="00F01A6C"/>
    <w:rsid w:val="00F01CD3"/>
    <w:rsid w:val="00F01EB6"/>
    <w:rsid w:val="00F0232F"/>
    <w:rsid w:val="00F023C6"/>
    <w:rsid w:val="00F02F7E"/>
    <w:rsid w:val="00F0318D"/>
    <w:rsid w:val="00F0321E"/>
    <w:rsid w:val="00F0361C"/>
    <w:rsid w:val="00F03A7B"/>
    <w:rsid w:val="00F03B86"/>
    <w:rsid w:val="00F03C1E"/>
    <w:rsid w:val="00F03D9C"/>
    <w:rsid w:val="00F03DD6"/>
    <w:rsid w:val="00F04214"/>
    <w:rsid w:val="00F043EF"/>
    <w:rsid w:val="00F05678"/>
    <w:rsid w:val="00F0567D"/>
    <w:rsid w:val="00F05BD3"/>
    <w:rsid w:val="00F06022"/>
    <w:rsid w:val="00F06190"/>
    <w:rsid w:val="00F062D7"/>
    <w:rsid w:val="00F06745"/>
    <w:rsid w:val="00F06B3F"/>
    <w:rsid w:val="00F06C4F"/>
    <w:rsid w:val="00F0719A"/>
    <w:rsid w:val="00F072AE"/>
    <w:rsid w:val="00F0730A"/>
    <w:rsid w:val="00F073EA"/>
    <w:rsid w:val="00F07896"/>
    <w:rsid w:val="00F07AC6"/>
    <w:rsid w:val="00F07BA8"/>
    <w:rsid w:val="00F101AC"/>
    <w:rsid w:val="00F1081A"/>
    <w:rsid w:val="00F10C55"/>
    <w:rsid w:val="00F110FA"/>
    <w:rsid w:val="00F11303"/>
    <w:rsid w:val="00F115EC"/>
    <w:rsid w:val="00F12691"/>
    <w:rsid w:val="00F13248"/>
    <w:rsid w:val="00F132A4"/>
    <w:rsid w:val="00F1347B"/>
    <w:rsid w:val="00F13564"/>
    <w:rsid w:val="00F136DD"/>
    <w:rsid w:val="00F13969"/>
    <w:rsid w:val="00F13A19"/>
    <w:rsid w:val="00F13BB3"/>
    <w:rsid w:val="00F13D7E"/>
    <w:rsid w:val="00F14047"/>
    <w:rsid w:val="00F144F9"/>
    <w:rsid w:val="00F1490E"/>
    <w:rsid w:val="00F14AC9"/>
    <w:rsid w:val="00F152D6"/>
    <w:rsid w:val="00F1588B"/>
    <w:rsid w:val="00F159B9"/>
    <w:rsid w:val="00F15C7B"/>
    <w:rsid w:val="00F15EA4"/>
    <w:rsid w:val="00F1620C"/>
    <w:rsid w:val="00F17111"/>
    <w:rsid w:val="00F1754F"/>
    <w:rsid w:val="00F1755C"/>
    <w:rsid w:val="00F175FD"/>
    <w:rsid w:val="00F17781"/>
    <w:rsid w:val="00F178BE"/>
    <w:rsid w:val="00F17E1D"/>
    <w:rsid w:val="00F17FF9"/>
    <w:rsid w:val="00F20462"/>
    <w:rsid w:val="00F2065D"/>
    <w:rsid w:val="00F21B8C"/>
    <w:rsid w:val="00F21C72"/>
    <w:rsid w:val="00F21D0B"/>
    <w:rsid w:val="00F2210D"/>
    <w:rsid w:val="00F2216F"/>
    <w:rsid w:val="00F22578"/>
    <w:rsid w:val="00F23134"/>
    <w:rsid w:val="00F238D2"/>
    <w:rsid w:val="00F23AAB"/>
    <w:rsid w:val="00F2405E"/>
    <w:rsid w:val="00F2411C"/>
    <w:rsid w:val="00F24281"/>
    <w:rsid w:val="00F2450A"/>
    <w:rsid w:val="00F2465C"/>
    <w:rsid w:val="00F249D2"/>
    <w:rsid w:val="00F24C32"/>
    <w:rsid w:val="00F25109"/>
    <w:rsid w:val="00F25560"/>
    <w:rsid w:val="00F2581F"/>
    <w:rsid w:val="00F263D9"/>
    <w:rsid w:val="00F26475"/>
    <w:rsid w:val="00F26721"/>
    <w:rsid w:val="00F26865"/>
    <w:rsid w:val="00F26967"/>
    <w:rsid w:val="00F26D11"/>
    <w:rsid w:val="00F27156"/>
    <w:rsid w:val="00F2758F"/>
    <w:rsid w:val="00F279B8"/>
    <w:rsid w:val="00F27B13"/>
    <w:rsid w:val="00F3033A"/>
    <w:rsid w:val="00F3074E"/>
    <w:rsid w:val="00F30936"/>
    <w:rsid w:val="00F3115F"/>
    <w:rsid w:val="00F311BF"/>
    <w:rsid w:val="00F3175A"/>
    <w:rsid w:val="00F31CCE"/>
    <w:rsid w:val="00F31CD9"/>
    <w:rsid w:val="00F32149"/>
    <w:rsid w:val="00F3231E"/>
    <w:rsid w:val="00F32D6D"/>
    <w:rsid w:val="00F33681"/>
    <w:rsid w:val="00F3370B"/>
    <w:rsid w:val="00F33BD9"/>
    <w:rsid w:val="00F34707"/>
    <w:rsid w:val="00F34A91"/>
    <w:rsid w:val="00F34DCE"/>
    <w:rsid w:val="00F34F03"/>
    <w:rsid w:val="00F35039"/>
    <w:rsid w:val="00F35101"/>
    <w:rsid w:val="00F351DC"/>
    <w:rsid w:val="00F35BFD"/>
    <w:rsid w:val="00F35EBE"/>
    <w:rsid w:val="00F364A6"/>
    <w:rsid w:val="00F36EE2"/>
    <w:rsid w:val="00F3726A"/>
    <w:rsid w:val="00F37993"/>
    <w:rsid w:val="00F37DFB"/>
    <w:rsid w:val="00F404A2"/>
    <w:rsid w:val="00F40F05"/>
    <w:rsid w:val="00F41BA7"/>
    <w:rsid w:val="00F42187"/>
    <w:rsid w:val="00F42613"/>
    <w:rsid w:val="00F427EB"/>
    <w:rsid w:val="00F42A7B"/>
    <w:rsid w:val="00F42B39"/>
    <w:rsid w:val="00F42C9B"/>
    <w:rsid w:val="00F43160"/>
    <w:rsid w:val="00F4323A"/>
    <w:rsid w:val="00F43817"/>
    <w:rsid w:val="00F43A48"/>
    <w:rsid w:val="00F43A75"/>
    <w:rsid w:val="00F43C2F"/>
    <w:rsid w:val="00F443C7"/>
    <w:rsid w:val="00F4444E"/>
    <w:rsid w:val="00F44657"/>
    <w:rsid w:val="00F44B7B"/>
    <w:rsid w:val="00F455F3"/>
    <w:rsid w:val="00F45CE7"/>
    <w:rsid w:val="00F45E2C"/>
    <w:rsid w:val="00F465B1"/>
    <w:rsid w:val="00F46756"/>
    <w:rsid w:val="00F46788"/>
    <w:rsid w:val="00F46A12"/>
    <w:rsid w:val="00F46A5E"/>
    <w:rsid w:val="00F46E18"/>
    <w:rsid w:val="00F47145"/>
    <w:rsid w:val="00F474C4"/>
    <w:rsid w:val="00F4755B"/>
    <w:rsid w:val="00F47572"/>
    <w:rsid w:val="00F477DE"/>
    <w:rsid w:val="00F47A07"/>
    <w:rsid w:val="00F47E33"/>
    <w:rsid w:val="00F502B4"/>
    <w:rsid w:val="00F50475"/>
    <w:rsid w:val="00F50A4F"/>
    <w:rsid w:val="00F51096"/>
    <w:rsid w:val="00F51413"/>
    <w:rsid w:val="00F515C9"/>
    <w:rsid w:val="00F51781"/>
    <w:rsid w:val="00F517B7"/>
    <w:rsid w:val="00F517FC"/>
    <w:rsid w:val="00F51994"/>
    <w:rsid w:val="00F51EE6"/>
    <w:rsid w:val="00F52308"/>
    <w:rsid w:val="00F5247C"/>
    <w:rsid w:val="00F525CC"/>
    <w:rsid w:val="00F52858"/>
    <w:rsid w:val="00F52EC4"/>
    <w:rsid w:val="00F5331A"/>
    <w:rsid w:val="00F5354A"/>
    <w:rsid w:val="00F53720"/>
    <w:rsid w:val="00F53740"/>
    <w:rsid w:val="00F53817"/>
    <w:rsid w:val="00F538D8"/>
    <w:rsid w:val="00F53E5F"/>
    <w:rsid w:val="00F5406D"/>
    <w:rsid w:val="00F540C7"/>
    <w:rsid w:val="00F54129"/>
    <w:rsid w:val="00F5419A"/>
    <w:rsid w:val="00F545E0"/>
    <w:rsid w:val="00F545EE"/>
    <w:rsid w:val="00F546FD"/>
    <w:rsid w:val="00F54E1E"/>
    <w:rsid w:val="00F5501A"/>
    <w:rsid w:val="00F55251"/>
    <w:rsid w:val="00F553C5"/>
    <w:rsid w:val="00F5549C"/>
    <w:rsid w:val="00F55B06"/>
    <w:rsid w:val="00F55CAB"/>
    <w:rsid w:val="00F55DA0"/>
    <w:rsid w:val="00F55DF1"/>
    <w:rsid w:val="00F56007"/>
    <w:rsid w:val="00F564B1"/>
    <w:rsid w:val="00F56502"/>
    <w:rsid w:val="00F566AB"/>
    <w:rsid w:val="00F568AA"/>
    <w:rsid w:val="00F574D8"/>
    <w:rsid w:val="00F575E8"/>
    <w:rsid w:val="00F57956"/>
    <w:rsid w:val="00F57CEB"/>
    <w:rsid w:val="00F57E29"/>
    <w:rsid w:val="00F60330"/>
    <w:rsid w:val="00F6039C"/>
    <w:rsid w:val="00F609A0"/>
    <w:rsid w:val="00F60E04"/>
    <w:rsid w:val="00F61870"/>
    <w:rsid w:val="00F61893"/>
    <w:rsid w:val="00F61E8B"/>
    <w:rsid w:val="00F6288D"/>
    <w:rsid w:val="00F62DF8"/>
    <w:rsid w:val="00F62E6F"/>
    <w:rsid w:val="00F630AF"/>
    <w:rsid w:val="00F632B5"/>
    <w:rsid w:val="00F633CD"/>
    <w:rsid w:val="00F63680"/>
    <w:rsid w:val="00F63A3C"/>
    <w:rsid w:val="00F63D77"/>
    <w:rsid w:val="00F63F6B"/>
    <w:rsid w:val="00F63FDF"/>
    <w:rsid w:val="00F64096"/>
    <w:rsid w:val="00F64964"/>
    <w:rsid w:val="00F64AEE"/>
    <w:rsid w:val="00F64D2F"/>
    <w:rsid w:val="00F6509A"/>
    <w:rsid w:val="00F6608E"/>
    <w:rsid w:val="00F6620B"/>
    <w:rsid w:val="00F6625F"/>
    <w:rsid w:val="00F66631"/>
    <w:rsid w:val="00F66722"/>
    <w:rsid w:val="00F66B82"/>
    <w:rsid w:val="00F66C8A"/>
    <w:rsid w:val="00F676F9"/>
    <w:rsid w:val="00F6775D"/>
    <w:rsid w:val="00F677EA"/>
    <w:rsid w:val="00F679DE"/>
    <w:rsid w:val="00F67D52"/>
    <w:rsid w:val="00F67DD2"/>
    <w:rsid w:val="00F70308"/>
    <w:rsid w:val="00F703BD"/>
    <w:rsid w:val="00F705EC"/>
    <w:rsid w:val="00F70602"/>
    <w:rsid w:val="00F70669"/>
    <w:rsid w:val="00F70F5B"/>
    <w:rsid w:val="00F7165F"/>
    <w:rsid w:val="00F71A12"/>
    <w:rsid w:val="00F71B1C"/>
    <w:rsid w:val="00F71B30"/>
    <w:rsid w:val="00F721F0"/>
    <w:rsid w:val="00F72482"/>
    <w:rsid w:val="00F72977"/>
    <w:rsid w:val="00F73476"/>
    <w:rsid w:val="00F7348B"/>
    <w:rsid w:val="00F73E97"/>
    <w:rsid w:val="00F73FA8"/>
    <w:rsid w:val="00F740C0"/>
    <w:rsid w:val="00F74539"/>
    <w:rsid w:val="00F74863"/>
    <w:rsid w:val="00F748AA"/>
    <w:rsid w:val="00F74E51"/>
    <w:rsid w:val="00F74F33"/>
    <w:rsid w:val="00F76162"/>
    <w:rsid w:val="00F761D4"/>
    <w:rsid w:val="00F764D0"/>
    <w:rsid w:val="00F764E9"/>
    <w:rsid w:val="00F76590"/>
    <w:rsid w:val="00F7665B"/>
    <w:rsid w:val="00F7688B"/>
    <w:rsid w:val="00F76C10"/>
    <w:rsid w:val="00F77977"/>
    <w:rsid w:val="00F77A4A"/>
    <w:rsid w:val="00F77A59"/>
    <w:rsid w:val="00F77DB5"/>
    <w:rsid w:val="00F80764"/>
    <w:rsid w:val="00F807EB"/>
    <w:rsid w:val="00F808CE"/>
    <w:rsid w:val="00F80A72"/>
    <w:rsid w:val="00F810C3"/>
    <w:rsid w:val="00F81370"/>
    <w:rsid w:val="00F816C4"/>
    <w:rsid w:val="00F81A28"/>
    <w:rsid w:val="00F81E5A"/>
    <w:rsid w:val="00F81FDD"/>
    <w:rsid w:val="00F821E8"/>
    <w:rsid w:val="00F82A66"/>
    <w:rsid w:val="00F82DD4"/>
    <w:rsid w:val="00F838D2"/>
    <w:rsid w:val="00F83BCA"/>
    <w:rsid w:val="00F83BCC"/>
    <w:rsid w:val="00F84160"/>
    <w:rsid w:val="00F844F2"/>
    <w:rsid w:val="00F84799"/>
    <w:rsid w:val="00F84C50"/>
    <w:rsid w:val="00F85925"/>
    <w:rsid w:val="00F85B3C"/>
    <w:rsid w:val="00F85F3E"/>
    <w:rsid w:val="00F85FE4"/>
    <w:rsid w:val="00F865DF"/>
    <w:rsid w:val="00F86F69"/>
    <w:rsid w:val="00F871F7"/>
    <w:rsid w:val="00F8758B"/>
    <w:rsid w:val="00F87700"/>
    <w:rsid w:val="00F87947"/>
    <w:rsid w:val="00F87F06"/>
    <w:rsid w:val="00F900C1"/>
    <w:rsid w:val="00F9096C"/>
    <w:rsid w:val="00F90AC7"/>
    <w:rsid w:val="00F90CEE"/>
    <w:rsid w:val="00F90ECD"/>
    <w:rsid w:val="00F9153D"/>
    <w:rsid w:val="00F91ADB"/>
    <w:rsid w:val="00F92078"/>
    <w:rsid w:val="00F9219F"/>
    <w:rsid w:val="00F924AD"/>
    <w:rsid w:val="00F92F39"/>
    <w:rsid w:val="00F93032"/>
    <w:rsid w:val="00F930BC"/>
    <w:rsid w:val="00F934ED"/>
    <w:rsid w:val="00F93A88"/>
    <w:rsid w:val="00F93D58"/>
    <w:rsid w:val="00F942DB"/>
    <w:rsid w:val="00F94560"/>
    <w:rsid w:val="00F946C9"/>
    <w:rsid w:val="00F94C1F"/>
    <w:rsid w:val="00F94FCA"/>
    <w:rsid w:val="00F9509C"/>
    <w:rsid w:val="00F95449"/>
    <w:rsid w:val="00F9562F"/>
    <w:rsid w:val="00F956D6"/>
    <w:rsid w:val="00F956F9"/>
    <w:rsid w:val="00F957B7"/>
    <w:rsid w:val="00F95A96"/>
    <w:rsid w:val="00F95B1C"/>
    <w:rsid w:val="00F960CD"/>
    <w:rsid w:val="00F96281"/>
    <w:rsid w:val="00F9680A"/>
    <w:rsid w:val="00F96869"/>
    <w:rsid w:val="00F9686B"/>
    <w:rsid w:val="00F96A38"/>
    <w:rsid w:val="00F96B17"/>
    <w:rsid w:val="00F96CBA"/>
    <w:rsid w:val="00F96E18"/>
    <w:rsid w:val="00F9701E"/>
    <w:rsid w:val="00F9751F"/>
    <w:rsid w:val="00F97943"/>
    <w:rsid w:val="00F97E6C"/>
    <w:rsid w:val="00FA0351"/>
    <w:rsid w:val="00FA0F6F"/>
    <w:rsid w:val="00FA1134"/>
    <w:rsid w:val="00FA16B9"/>
    <w:rsid w:val="00FA1726"/>
    <w:rsid w:val="00FA1980"/>
    <w:rsid w:val="00FA1D87"/>
    <w:rsid w:val="00FA24B0"/>
    <w:rsid w:val="00FA284D"/>
    <w:rsid w:val="00FA296B"/>
    <w:rsid w:val="00FA2FFA"/>
    <w:rsid w:val="00FA3470"/>
    <w:rsid w:val="00FA3B3A"/>
    <w:rsid w:val="00FA42D5"/>
    <w:rsid w:val="00FA45E6"/>
    <w:rsid w:val="00FA4688"/>
    <w:rsid w:val="00FA48B7"/>
    <w:rsid w:val="00FA5060"/>
    <w:rsid w:val="00FA50F9"/>
    <w:rsid w:val="00FA5574"/>
    <w:rsid w:val="00FA5580"/>
    <w:rsid w:val="00FA558C"/>
    <w:rsid w:val="00FA5B47"/>
    <w:rsid w:val="00FA5C3E"/>
    <w:rsid w:val="00FA6138"/>
    <w:rsid w:val="00FA6649"/>
    <w:rsid w:val="00FA66B1"/>
    <w:rsid w:val="00FA6982"/>
    <w:rsid w:val="00FA6FDB"/>
    <w:rsid w:val="00FA7140"/>
    <w:rsid w:val="00FA7211"/>
    <w:rsid w:val="00FA72E3"/>
    <w:rsid w:val="00FA7CC5"/>
    <w:rsid w:val="00FA7D6D"/>
    <w:rsid w:val="00FA7E55"/>
    <w:rsid w:val="00FA7F80"/>
    <w:rsid w:val="00FB01A0"/>
    <w:rsid w:val="00FB08FC"/>
    <w:rsid w:val="00FB0D95"/>
    <w:rsid w:val="00FB23A3"/>
    <w:rsid w:val="00FB26F2"/>
    <w:rsid w:val="00FB270D"/>
    <w:rsid w:val="00FB2909"/>
    <w:rsid w:val="00FB2C62"/>
    <w:rsid w:val="00FB2F0D"/>
    <w:rsid w:val="00FB32B9"/>
    <w:rsid w:val="00FB38F2"/>
    <w:rsid w:val="00FB3B9A"/>
    <w:rsid w:val="00FB435C"/>
    <w:rsid w:val="00FB45F6"/>
    <w:rsid w:val="00FB4B19"/>
    <w:rsid w:val="00FB4CDD"/>
    <w:rsid w:val="00FB5287"/>
    <w:rsid w:val="00FB5789"/>
    <w:rsid w:val="00FB5B35"/>
    <w:rsid w:val="00FB62AA"/>
    <w:rsid w:val="00FB6858"/>
    <w:rsid w:val="00FB6928"/>
    <w:rsid w:val="00FB6AB1"/>
    <w:rsid w:val="00FB6EB9"/>
    <w:rsid w:val="00FB6ECD"/>
    <w:rsid w:val="00FB6F2E"/>
    <w:rsid w:val="00FB6F82"/>
    <w:rsid w:val="00FB7190"/>
    <w:rsid w:val="00FB731C"/>
    <w:rsid w:val="00FB76C8"/>
    <w:rsid w:val="00FB76E5"/>
    <w:rsid w:val="00FB7A17"/>
    <w:rsid w:val="00FC030F"/>
    <w:rsid w:val="00FC092D"/>
    <w:rsid w:val="00FC0D64"/>
    <w:rsid w:val="00FC137A"/>
    <w:rsid w:val="00FC158F"/>
    <w:rsid w:val="00FC1D68"/>
    <w:rsid w:val="00FC1E65"/>
    <w:rsid w:val="00FC2119"/>
    <w:rsid w:val="00FC37C5"/>
    <w:rsid w:val="00FC3893"/>
    <w:rsid w:val="00FC3BC2"/>
    <w:rsid w:val="00FC3D1F"/>
    <w:rsid w:val="00FC426A"/>
    <w:rsid w:val="00FC4326"/>
    <w:rsid w:val="00FC4B88"/>
    <w:rsid w:val="00FC4C25"/>
    <w:rsid w:val="00FC4F30"/>
    <w:rsid w:val="00FC5426"/>
    <w:rsid w:val="00FC5AD5"/>
    <w:rsid w:val="00FC5BF2"/>
    <w:rsid w:val="00FC5D55"/>
    <w:rsid w:val="00FC5E15"/>
    <w:rsid w:val="00FC5F7A"/>
    <w:rsid w:val="00FC6103"/>
    <w:rsid w:val="00FC6371"/>
    <w:rsid w:val="00FC657E"/>
    <w:rsid w:val="00FC6872"/>
    <w:rsid w:val="00FC6B31"/>
    <w:rsid w:val="00FC6C2F"/>
    <w:rsid w:val="00FC6C40"/>
    <w:rsid w:val="00FC6D65"/>
    <w:rsid w:val="00FC736F"/>
    <w:rsid w:val="00FC7D05"/>
    <w:rsid w:val="00FC7E74"/>
    <w:rsid w:val="00FD020F"/>
    <w:rsid w:val="00FD04E9"/>
    <w:rsid w:val="00FD09EE"/>
    <w:rsid w:val="00FD0BD2"/>
    <w:rsid w:val="00FD1304"/>
    <w:rsid w:val="00FD13FA"/>
    <w:rsid w:val="00FD1421"/>
    <w:rsid w:val="00FD19EA"/>
    <w:rsid w:val="00FD1FF2"/>
    <w:rsid w:val="00FD24E5"/>
    <w:rsid w:val="00FD2986"/>
    <w:rsid w:val="00FD31E6"/>
    <w:rsid w:val="00FD3590"/>
    <w:rsid w:val="00FD41D8"/>
    <w:rsid w:val="00FD437B"/>
    <w:rsid w:val="00FD446E"/>
    <w:rsid w:val="00FD4626"/>
    <w:rsid w:val="00FD4881"/>
    <w:rsid w:val="00FD5525"/>
    <w:rsid w:val="00FD5553"/>
    <w:rsid w:val="00FD56F5"/>
    <w:rsid w:val="00FD58D9"/>
    <w:rsid w:val="00FD5B0B"/>
    <w:rsid w:val="00FD5C08"/>
    <w:rsid w:val="00FD5CF6"/>
    <w:rsid w:val="00FD60F3"/>
    <w:rsid w:val="00FD6209"/>
    <w:rsid w:val="00FD6996"/>
    <w:rsid w:val="00FD7798"/>
    <w:rsid w:val="00FD7917"/>
    <w:rsid w:val="00FD7B33"/>
    <w:rsid w:val="00FD7CC4"/>
    <w:rsid w:val="00FD7EC9"/>
    <w:rsid w:val="00FE036D"/>
    <w:rsid w:val="00FE0B2E"/>
    <w:rsid w:val="00FE14EC"/>
    <w:rsid w:val="00FE1887"/>
    <w:rsid w:val="00FE1ECC"/>
    <w:rsid w:val="00FE2122"/>
    <w:rsid w:val="00FE23B6"/>
    <w:rsid w:val="00FE29AA"/>
    <w:rsid w:val="00FE2D10"/>
    <w:rsid w:val="00FE3067"/>
    <w:rsid w:val="00FE3957"/>
    <w:rsid w:val="00FE3A5A"/>
    <w:rsid w:val="00FE3EC2"/>
    <w:rsid w:val="00FE3F6B"/>
    <w:rsid w:val="00FE4003"/>
    <w:rsid w:val="00FE4E99"/>
    <w:rsid w:val="00FE519B"/>
    <w:rsid w:val="00FE53A1"/>
    <w:rsid w:val="00FE5673"/>
    <w:rsid w:val="00FE5866"/>
    <w:rsid w:val="00FE60CA"/>
    <w:rsid w:val="00FE60D6"/>
    <w:rsid w:val="00FE692B"/>
    <w:rsid w:val="00FE6AC5"/>
    <w:rsid w:val="00FE6D55"/>
    <w:rsid w:val="00FE6E8C"/>
    <w:rsid w:val="00FE6EA1"/>
    <w:rsid w:val="00FE6F14"/>
    <w:rsid w:val="00FE7437"/>
    <w:rsid w:val="00FE799B"/>
    <w:rsid w:val="00FE7EBD"/>
    <w:rsid w:val="00FF09D0"/>
    <w:rsid w:val="00FF0A58"/>
    <w:rsid w:val="00FF0A75"/>
    <w:rsid w:val="00FF0FBF"/>
    <w:rsid w:val="00FF1241"/>
    <w:rsid w:val="00FF14E7"/>
    <w:rsid w:val="00FF1892"/>
    <w:rsid w:val="00FF1915"/>
    <w:rsid w:val="00FF198C"/>
    <w:rsid w:val="00FF1A9B"/>
    <w:rsid w:val="00FF2C6E"/>
    <w:rsid w:val="00FF2E3D"/>
    <w:rsid w:val="00FF32FB"/>
    <w:rsid w:val="00FF3986"/>
    <w:rsid w:val="00FF3A27"/>
    <w:rsid w:val="00FF3AB2"/>
    <w:rsid w:val="00FF3CB7"/>
    <w:rsid w:val="00FF3F46"/>
    <w:rsid w:val="00FF409C"/>
    <w:rsid w:val="00FF43D5"/>
    <w:rsid w:val="00FF4FEE"/>
    <w:rsid w:val="00FF52F7"/>
    <w:rsid w:val="00FF5417"/>
    <w:rsid w:val="00FF5869"/>
    <w:rsid w:val="00FF5ADC"/>
    <w:rsid w:val="00FF5B3D"/>
    <w:rsid w:val="00FF5C6B"/>
    <w:rsid w:val="00FF5CAC"/>
    <w:rsid w:val="00FF5EEB"/>
    <w:rsid w:val="00FF6186"/>
    <w:rsid w:val="00FF65BC"/>
    <w:rsid w:val="00FF6A62"/>
    <w:rsid w:val="00FF6B1B"/>
    <w:rsid w:val="00FF703D"/>
    <w:rsid w:val="00FF711A"/>
    <w:rsid w:val="00FF7128"/>
    <w:rsid w:val="00FF7144"/>
    <w:rsid w:val="00FF7151"/>
    <w:rsid w:val="00FF71DE"/>
    <w:rsid w:val="00FF7592"/>
    <w:rsid w:val="00FF770B"/>
    <w:rsid w:val="00FF78EA"/>
    <w:rsid w:val="00FF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o:shapedefaults>
    <o:shapelayout v:ext="edit">
      <o:idmap v:ext="edit" data="2"/>
    </o:shapelayout>
  </w:shapeDefaults>
  <w:decimalSymbol w:val="."/>
  <w:listSeparator w:val=","/>
  <w14:docId w14:val="26B49AE9"/>
  <w15:docId w15:val="{CED1204F-794C-4058-9CA8-D894CF4B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E"/>
    <w:rPr>
      <w:rFonts w:ascii="Arial" w:hAnsi="Arial"/>
      <w:sz w:val="19"/>
      <w:szCs w:val="24"/>
    </w:rPr>
  </w:style>
  <w:style w:type="paragraph" w:styleId="Heading1">
    <w:name w:val="heading 1"/>
    <w:basedOn w:val="Normal"/>
    <w:next w:val="Normal"/>
    <w:link w:val="Heading1Char"/>
    <w:qFormat/>
    <w:rsid w:val="00F9686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9661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A5A"/>
    <w:pPr>
      <w:tabs>
        <w:tab w:val="center" w:pos="4153"/>
        <w:tab w:val="right" w:pos="8306"/>
      </w:tabs>
    </w:pPr>
  </w:style>
  <w:style w:type="paragraph" w:styleId="Footer">
    <w:name w:val="footer"/>
    <w:basedOn w:val="Normal"/>
    <w:rsid w:val="00E16A5A"/>
    <w:pPr>
      <w:tabs>
        <w:tab w:val="center" w:pos="4153"/>
        <w:tab w:val="right" w:pos="8306"/>
      </w:tabs>
    </w:pPr>
  </w:style>
  <w:style w:type="character" w:styleId="Hyperlink">
    <w:name w:val="Hyperlink"/>
    <w:rsid w:val="00C61CDA"/>
    <w:rPr>
      <w:rFonts w:ascii="Verdana" w:hAnsi="Verdana"/>
      <w:color w:val="000080"/>
      <w:sz w:val="18"/>
      <w:szCs w:val="18"/>
      <w:u w:val="single" w:color="000080"/>
    </w:rPr>
  </w:style>
  <w:style w:type="character" w:styleId="FollowedHyperlink">
    <w:name w:val="FollowedHyperlink"/>
    <w:rsid w:val="00C61CDA"/>
    <w:rPr>
      <w:rFonts w:ascii="Verdana" w:hAnsi="Verdana"/>
      <w:color w:val="800080"/>
      <w:sz w:val="18"/>
      <w:szCs w:val="18"/>
      <w:u w:val="single" w:color="800080"/>
    </w:rPr>
  </w:style>
  <w:style w:type="paragraph" w:styleId="BalloonText">
    <w:name w:val="Balloon Text"/>
    <w:basedOn w:val="Normal"/>
    <w:semiHidden/>
    <w:rsid w:val="00B53715"/>
    <w:rPr>
      <w:rFonts w:ascii="Tahoma" w:hAnsi="Tahoma" w:cs="Tahoma"/>
      <w:sz w:val="16"/>
      <w:szCs w:val="16"/>
    </w:rPr>
  </w:style>
  <w:style w:type="paragraph" w:customStyle="1" w:styleId="Default">
    <w:name w:val="Default"/>
    <w:rsid w:val="0076397D"/>
    <w:pPr>
      <w:autoSpaceDE w:val="0"/>
      <w:autoSpaceDN w:val="0"/>
      <w:adjustRightInd w:val="0"/>
    </w:pPr>
    <w:rPr>
      <w:rFonts w:ascii="Verdana" w:hAnsi="Verdana" w:cs="Verdana"/>
      <w:color w:val="000000"/>
      <w:sz w:val="24"/>
      <w:szCs w:val="24"/>
    </w:rPr>
  </w:style>
  <w:style w:type="character" w:styleId="CommentReference">
    <w:name w:val="annotation reference"/>
    <w:rsid w:val="00C273F9"/>
    <w:rPr>
      <w:sz w:val="16"/>
      <w:szCs w:val="16"/>
    </w:rPr>
  </w:style>
  <w:style w:type="paragraph" w:styleId="CommentText">
    <w:name w:val="annotation text"/>
    <w:basedOn w:val="Normal"/>
    <w:link w:val="CommentTextChar"/>
    <w:rsid w:val="00C273F9"/>
    <w:rPr>
      <w:sz w:val="20"/>
      <w:szCs w:val="20"/>
    </w:rPr>
  </w:style>
  <w:style w:type="character" w:customStyle="1" w:styleId="CommentTextChar">
    <w:name w:val="Comment Text Char"/>
    <w:basedOn w:val="DefaultParagraphFont"/>
    <w:link w:val="CommentText"/>
    <w:rsid w:val="00C273F9"/>
  </w:style>
  <w:style w:type="paragraph" w:styleId="CommentSubject">
    <w:name w:val="annotation subject"/>
    <w:basedOn w:val="CommentText"/>
    <w:next w:val="CommentText"/>
    <w:link w:val="CommentSubjectChar"/>
    <w:rsid w:val="00C273F9"/>
    <w:rPr>
      <w:b/>
      <w:bCs/>
    </w:rPr>
  </w:style>
  <w:style w:type="character" w:customStyle="1" w:styleId="CommentSubjectChar">
    <w:name w:val="Comment Subject Char"/>
    <w:link w:val="CommentSubject"/>
    <w:rsid w:val="00C273F9"/>
    <w:rPr>
      <w:b/>
      <w:bCs/>
    </w:rPr>
  </w:style>
  <w:style w:type="character" w:customStyle="1" w:styleId="Heading3Char">
    <w:name w:val="Heading 3 Char"/>
    <w:link w:val="Heading3"/>
    <w:semiHidden/>
    <w:rsid w:val="009661D0"/>
    <w:rPr>
      <w:rFonts w:ascii="Cambria" w:eastAsia="Times New Roman" w:hAnsi="Cambria" w:cs="Times New Roman"/>
      <w:b/>
      <w:bCs/>
      <w:sz w:val="26"/>
      <w:szCs w:val="26"/>
    </w:rPr>
  </w:style>
  <w:style w:type="character" w:customStyle="1" w:styleId="Heading1Char">
    <w:name w:val="Heading 1 Char"/>
    <w:link w:val="Heading1"/>
    <w:rsid w:val="00F96869"/>
    <w:rPr>
      <w:rFonts w:ascii="Cambria" w:eastAsia="Times New Roman" w:hAnsi="Cambria" w:cs="Times New Roman"/>
      <w:b/>
      <w:bCs/>
      <w:kern w:val="32"/>
      <w:sz w:val="32"/>
      <w:szCs w:val="32"/>
    </w:rPr>
  </w:style>
  <w:style w:type="paragraph" w:customStyle="1" w:styleId="Explanatorytext">
    <w:name w:val="Explanatory text"/>
    <w:basedOn w:val="Normal"/>
    <w:link w:val="ExplanatorytextChar"/>
    <w:qFormat/>
    <w:rsid w:val="00CD021E"/>
    <w:pPr>
      <w:tabs>
        <w:tab w:val="center" w:pos="3152"/>
      </w:tabs>
    </w:pPr>
    <w:rPr>
      <w:rFonts w:cs="Arial"/>
      <w:sz w:val="16"/>
      <w:szCs w:val="19"/>
      <w:lang w:val="en-US"/>
    </w:rPr>
  </w:style>
  <w:style w:type="character" w:customStyle="1" w:styleId="ExplanatorytextChar">
    <w:name w:val="Explanatory text Char"/>
    <w:basedOn w:val="DefaultParagraphFont"/>
    <w:link w:val="Explanatorytext"/>
    <w:rsid w:val="00CD021E"/>
    <w:rPr>
      <w:rFonts w:ascii="Arial" w:hAnsi="Arial" w:cs="Arial"/>
      <w:sz w:val="16"/>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55">
      <w:bodyDiv w:val="1"/>
      <w:marLeft w:val="0"/>
      <w:marRight w:val="0"/>
      <w:marTop w:val="0"/>
      <w:marBottom w:val="0"/>
      <w:divBdr>
        <w:top w:val="none" w:sz="0" w:space="0" w:color="auto"/>
        <w:left w:val="none" w:sz="0" w:space="0" w:color="auto"/>
        <w:bottom w:val="none" w:sz="0" w:space="0" w:color="auto"/>
        <w:right w:val="none" w:sz="0" w:space="0" w:color="auto"/>
      </w:divBdr>
    </w:div>
    <w:div w:id="18940625">
      <w:bodyDiv w:val="1"/>
      <w:marLeft w:val="0"/>
      <w:marRight w:val="0"/>
      <w:marTop w:val="0"/>
      <w:marBottom w:val="0"/>
      <w:divBdr>
        <w:top w:val="none" w:sz="0" w:space="0" w:color="auto"/>
        <w:left w:val="none" w:sz="0" w:space="0" w:color="auto"/>
        <w:bottom w:val="none" w:sz="0" w:space="0" w:color="auto"/>
        <w:right w:val="none" w:sz="0" w:space="0" w:color="auto"/>
      </w:divBdr>
    </w:div>
    <w:div w:id="36780126">
      <w:bodyDiv w:val="1"/>
      <w:marLeft w:val="0"/>
      <w:marRight w:val="0"/>
      <w:marTop w:val="0"/>
      <w:marBottom w:val="0"/>
      <w:divBdr>
        <w:top w:val="none" w:sz="0" w:space="0" w:color="auto"/>
        <w:left w:val="none" w:sz="0" w:space="0" w:color="auto"/>
        <w:bottom w:val="none" w:sz="0" w:space="0" w:color="auto"/>
        <w:right w:val="none" w:sz="0" w:space="0" w:color="auto"/>
      </w:divBdr>
    </w:div>
    <w:div w:id="44254406">
      <w:bodyDiv w:val="1"/>
      <w:marLeft w:val="0"/>
      <w:marRight w:val="0"/>
      <w:marTop w:val="0"/>
      <w:marBottom w:val="0"/>
      <w:divBdr>
        <w:top w:val="none" w:sz="0" w:space="0" w:color="auto"/>
        <w:left w:val="none" w:sz="0" w:space="0" w:color="auto"/>
        <w:bottom w:val="none" w:sz="0" w:space="0" w:color="auto"/>
        <w:right w:val="none" w:sz="0" w:space="0" w:color="auto"/>
      </w:divBdr>
    </w:div>
    <w:div w:id="49577063">
      <w:bodyDiv w:val="1"/>
      <w:marLeft w:val="0"/>
      <w:marRight w:val="0"/>
      <w:marTop w:val="0"/>
      <w:marBottom w:val="0"/>
      <w:divBdr>
        <w:top w:val="none" w:sz="0" w:space="0" w:color="auto"/>
        <w:left w:val="none" w:sz="0" w:space="0" w:color="auto"/>
        <w:bottom w:val="none" w:sz="0" w:space="0" w:color="auto"/>
        <w:right w:val="none" w:sz="0" w:space="0" w:color="auto"/>
      </w:divBdr>
    </w:div>
    <w:div w:id="50203157">
      <w:bodyDiv w:val="1"/>
      <w:marLeft w:val="0"/>
      <w:marRight w:val="0"/>
      <w:marTop w:val="0"/>
      <w:marBottom w:val="0"/>
      <w:divBdr>
        <w:top w:val="none" w:sz="0" w:space="0" w:color="auto"/>
        <w:left w:val="none" w:sz="0" w:space="0" w:color="auto"/>
        <w:bottom w:val="none" w:sz="0" w:space="0" w:color="auto"/>
        <w:right w:val="none" w:sz="0" w:space="0" w:color="auto"/>
      </w:divBdr>
    </w:div>
    <w:div w:id="75133025">
      <w:bodyDiv w:val="1"/>
      <w:marLeft w:val="0"/>
      <w:marRight w:val="0"/>
      <w:marTop w:val="0"/>
      <w:marBottom w:val="0"/>
      <w:divBdr>
        <w:top w:val="none" w:sz="0" w:space="0" w:color="auto"/>
        <w:left w:val="none" w:sz="0" w:space="0" w:color="auto"/>
        <w:bottom w:val="none" w:sz="0" w:space="0" w:color="auto"/>
        <w:right w:val="none" w:sz="0" w:space="0" w:color="auto"/>
      </w:divBdr>
    </w:div>
    <w:div w:id="105078129">
      <w:bodyDiv w:val="1"/>
      <w:marLeft w:val="0"/>
      <w:marRight w:val="0"/>
      <w:marTop w:val="0"/>
      <w:marBottom w:val="0"/>
      <w:divBdr>
        <w:top w:val="none" w:sz="0" w:space="0" w:color="auto"/>
        <w:left w:val="none" w:sz="0" w:space="0" w:color="auto"/>
        <w:bottom w:val="none" w:sz="0" w:space="0" w:color="auto"/>
        <w:right w:val="none" w:sz="0" w:space="0" w:color="auto"/>
      </w:divBdr>
    </w:div>
    <w:div w:id="166293802">
      <w:bodyDiv w:val="1"/>
      <w:marLeft w:val="0"/>
      <w:marRight w:val="0"/>
      <w:marTop w:val="0"/>
      <w:marBottom w:val="0"/>
      <w:divBdr>
        <w:top w:val="none" w:sz="0" w:space="0" w:color="auto"/>
        <w:left w:val="none" w:sz="0" w:space="0" w:color="auto"/>
        <w:bottom w:val="none" w:sz="0" w:space="0" w:color="auto"/>
        <w:right w:val="none" w:sz="0" w:space="0" w:color="auto"/>
      </w:divBdr>
    </w:div>
    <w:div w:id="182062482">
      <w:bodyDiv w:val="1"/>
      <w:marLeft w:val="0"/>
      <w:marRight w:val="0"/>
      <w:marTop w:val="0"/>
      <w:marBottom w:val="0"/>
      <w:divBdr>
        <w:top w:val="none" w:sz="0" w:space="0" w:color="auto"/>
        <w:left w:val="none" w:sz="0" w:space="0" w:color="auto"/>
        <w:bottom w:val="none" w:sz="0" w:space="0" w:color="auto"/>
        <w:right w:val="none" w:sz="0" w:space="0" w:color="auto"/>
      </w:divBdr>
    </w:div>
    <w:div w:id="188568170">
      <w:bodyDiv w:val="1"/>
      <w:marLeft w:val="0"/>
      <w:marRight w:val="0"/>
      <w:marTop w:val="0"/>
      <w:marBottom w:val="0"/>
      <w:divBdr>
        <w:top w:val="none" w:sz="0" w:space="0" w:color="auto"/>
        <w:left w:val="none" w:sz="0" w:space="0" w:color="auto"/>
        <w:bottom w:val="none" w:sz="0" w:space="0" w:color="auto"/>
        <w:right w:val="none" w:sz="0" w:space="0" w:color="auto"/>
      </w:divBdr>
    </w:div>
    <w:div w:id="196285041">
      <w:bodyDiv w:val="1"/>
      <w:marLeft w:val="0"/>
      <w:marRight w:val="0"/>
      <w:marTop w:val="0"/>
      <w:marBottom w:val="0"/>
      <w:divBdr>
        <w:top w:val="none" w:sz="0" w:space="0" w:color="auto"/>
        <w:left w:val="none" w:sz="0" w:space="0" w:color="auto"/>
        <w:bottom w:val="none" w:sz="0" w:space="0" w:color="auto"/>
        <w:right w:val="none" w:sz="0" w:space="0" w:color="auto"/>
      </w:divBdr>
    </w:div>
    <w:div w:id="205456442">
      <w:bodyDiv w:val="1"/>
      <w:marLeft w:val="0"/>
      <w:marRight w:val="0"/>
      <w:marTop w:val="0"/>
      <w:marBottom w:val="0"/>
      <w:divBdr>
        <w:top w:val="none" w:sz="0" w:space="0" w:color="auto"/>
        <w:left w:val="none" w:sz="0" w:space="0" w:color="auto"/>
        <w:bottom w:val="none" w:sz="0" w:space="0" w:color="auto"/>
        <w:right w:val="none" w:sz="0" w:space="0" w:color="auto"/>
      </w:divBdr>
    </w:div>
    <w:div w:id="225457942">
      <w:bodyDiv w:val="1"/>
      <w:marLeft w:val="0"/>
      <w:marRight w:val="0"/>
      <w:marTop w:val="0"/>
      <w:marBottom w:val="0"/>
      <w:divBdr>
        <w:top w:val="none" w:sz="0" w:space="0" w:color="auto"/>
        <w:left w:val="none" w:sz="0" w:space="0" w:color="auto"/>
        <w:bottom w:val="none" w:sz="0" w:space="0" w:color="auto"/>
        <w:right w:val="none" w:sz="0" w:space="0" w:color="auto"/>
      </w:divBdr>
    </w:div>
    <w:div w:id="241646439">
      <w:bodyDiv w:val="1"/>
      <w:marLeft w:val="0"/>
      <w:marRight w:val="0"/>
      <w:marTop w:val="0"/>
      <w:marBottom w:val="0"/>
      <w:divBdr>
        <w:top w:val="none" w:sz="0" w:space="0" w:color="auto"/>
        <w:left w:val="none" w:sz="0" w:space="0" w:color="auto"/>
        <w:bottom w:val="none" w:sz="0" w:space="0" w:color="auto"/>
        <w:right w:val="none" w:sz="0" w:space="0" w:color="auto"/>
      </w:divBdr>
    </w:div>
    <w:div w:id="262612622">
      <w:bodyDiv w:val="1"/>
      <w:marLeft w:val="0"/>
      <w:marRight w:val="0"/>
      <w:marTop w:val="0"/>
      <w:marBottom w:val="0"/>
      <w:divBdr>
        <w:top w:val="none" w:sz="0" w:space="0" w:color="auto"/>
        <w:left w:val="none" w:sz="0" w:space="0" w:color="auto"/>
        <w:bottom w:val="none" w:sz="0" w:space="0" w:color="auto"/>
        <w:right w:val="none" w:sz="0" w:space="0" w:color="auto"/>
      </w:divBdr>
    </w:div>
    <w:div w:id="268316975">
      <w:bodyDiv w:val="1"/>
      <w:marLeft w:val="0"/>
      <w:marRight w:val="0"/>
      <w:marTop w:val="0"/>
      <w:marBottom w:val="0"/>
      <w:divBdr>
        <w:top w:val="none" w:sz="0" w:space="0" w:color="auto"/>
        <w:left w:val="none" w:sz="0" w:space="0" w:color="auto"/>
        <w:bottom w:val="none" w:sz="0" w:space="0" w:color="auto"/>
        <w:right w:val="none" w:sz="0" w:space="0" w:color="auto"/>
      </w:divBdr>
    </w:div>
    <w:div w:id="271980019">
      <w:bodyDiv w:val="1"/>
      <w:marLeft w:val="0"/>
      <w:marRight w:val="0"/>
      <w:marTop w:val="0"/>
      <w:marBottom w:val="0"/>
      <w:divBdr>
        <w:top w:val="none" w:sz="0" w:space="0" w:color="auto"/>
        <w:left w:val="none" w:sz="0" w:space="0" w:color="auto"/>
        <w:bottom w:val="none" w:sz="0" w:space="0" w:color="auto"/>
        <w:right w:val="none" w:sz="0" w:space="0" w:color="auto"/>
      </w:divBdr>
    </w:div>
    <w:div w:id="281309733">
      <w:bodyDiv w:val="1"/>
      <w:marLeft w:val="0"/>
      <w:marRight w:val="0"/>
      <w:marTop w:val="0"/>
      <w:marBottom w:val="0"/>
      <w:divBdr>
        <w:top w:val="none" w:sz="0" w:space="0" w:color="auto"/>
        <w:left w:val="none" w:sz="0" w:space="0" w:color="auto"/>
        <w:bottom w:val="none" w:sz="0" w:space="0" w:color="auto"/>
        <w:right w:val="none" w:sz="0" w:space="0" w:color="auto"/>
      </w:divBdr>
    </w:div>
    <w:div w:id="299922167">
      <w:bodyDiv w:val="1"/>
      <w:marLeft w:val="0"/>
      <w:marRight w:val="0"/>
      <w:marTop w:val="0"/>
      <w:marBottom w:val="0"/>
      <w:divBdr>
        <w:top w:val="none" w:sz="0" w:space="0" w:color="auto"/>
        <w:left w:val="none" w:sz="0" w:space="0" w:color="auto"/>
        <w:bottom w:val="none" w:sz="0" w:space="0" w:color="auto"/>
        <w:right w:val="none" w:sz="0" w:space="0" w:color="auto"/>
      </w:divBdr>
    </w:div>
    <w:div w:id="301160891">
      <w:bodyDiv w:val="1"/>
      <w:marLeft w:val="0"/>
      <w:marRight w:val="0"/>
      <w:marTop w:val="0"/>
      <w:marBottom w:val="0"/>
      <w:divBdr>
        <w:top w:val="none" w:sz="0" w:space="0" w:color="auto"/>
        <w:left w:val="none" w:sz="0" w:space="0" w:color="auto"/>
        <w:bottom w:val="none" w:sz="0" w:space="0" w:color="auto"/>
        <w:right w:val="none" w:sz="0" w:space="0" w:color="auto"/>
      </w:divBdr>
    </w:div>
    <w:div w:id="304697955">
      <w:bodyDiv w:val="1"/>
      <w:marLeft w:val="0"/>
      <w:marRight w:val="0"/>
      <w:marTop w:val="0"/>
      <w:marBottom w:val="0"/>
      <w:divBdr>
        <w:top w:val="none" w:sz="0" w:space="0" w:color="auto"/>
        <w:left w:val="none" w:sz="0" w:space="0" w:color="auto"/>
        <w:bottom w:val="none" w:sz="0" w:space="0" w:color="auto"/>
        <w:right w:val="none" w:sz="0" w:space="0" w:color="auto"/>
      </w:divBdr>
    </w:div>
    <w:div w:id="313025055">
      <w:bodyDiv w:val="1"/>
      <w:marLeft w:val="0"/>
      <w:marRight w:val="0"/>
      <w:marTop w:val="0"/>
      <w:marBottom w:val="0"/>
      <w:divBdr>
        <w:top w:val="none" w:sz="0" w:space="0" w:color="auto"/>
        <w:left w:val="none" w:sz="0" w:space="0" w:color="auto"/>
        <w:bottom w:val="none" w:sz="0" w:space="0" w:color="auto"/>
        <w:right w:val="none" w:sz="0" w:space="0" w:color="auto"/>
      </w:divBdr>
    </w:div>
    <w:div w:id="329790941">
      <w:bodyDiv w:val="1"/>
      <w:marLeft w:val="0"/>
      <w:marRight w:val="0"/>
      <w:marTop w:val="0"/>
      <w:marBottom w:val="0"/>
      <w:divBdr>
        <w:top w:val="none" w:sz="0" w:space="0" w:color="auto"/>
        <w:left w:val="none" w:sz="0" w:space="0" w:color="auto"/>
        <w:bottom w:val="none" w:sz="0" w:space="0" w:color="auto"/>
        <w:right w:val="none" w:sz="0" w:space="0" w:color="auto"/>
      </w:divBdr>
    </w:div>
    <w:div w:id="350422774">
      <w:bodyDiv w:val="1"/>
      <w:marLeft w:val="0"/>
      <w:marRight w:val="0"/>
      <w:marTop w:val="0"/>
      <w:marBottom w:val="0"/>
      <w:divBdr>
        <w:top w:val="none" w:sz="0" w:space="0" w:color="auto"/>
        <w:left w:val="none" w:sz="0" w:space="0" w:color="auto"/>
        <w:bottom w:val="none" w:sz="0" w:space="0" w:color="auto"/>
        <w:right w:val="none" w:sz="0" w:space="0" w:color="auto"/>
      </w:divBdr>
    </w:div>
    <w:div w:id="353506112">
      <w:bodyDiv w:val="1"/>
      <w:marLeft w:val="0"/>
      <w:marRight w:val="0"/>
      <w:marTop w:val="0"/>
      <w:marBottom w:val="0"/>
      <w:divBdr>
        <w:top w:val="none" w:sz="0" w:space="0" w:color="auto"/>
        <w:left w:val="none" w:sz="0" w:space="0" w:color="auto"/>
        <w:bottom w:val="none" w:sz="0" w:space="0" w:color="auto"/>
        <w:right w:val="none" w:sz="0" w:space="0" w:color="auto"/>
      </w:divBdr>
    </w:div>
    <w:div w:id="357661603">
      <w:bodyDiv w:val="1"/>
      <w:marLeft w:val="0"/>
      <w:marRight w:val="0"/>
      <w:marTop w:val="0"/>
      <w:marBottom w:val="0"/>
      <w:divBdr>
        <w:top w:val="none" w:sz="0" w:space="0" w:color="auto"/>
        <w:left w:val="none" w:sz="0" w:space="0" w:color="auto"/>
        <w:bottom w:val="none" w:sz="0" w:space="0" w:color="auto"/>
        <w:right w:val="none" w:sz="0" w:space="0" w:color="auto"/>
      </w:divBdr>
    </w:div>
    <w:div w:id="410395297">
      <w:bodyDiv w:val="1"/>
      <w:marLeft w:val="0"/>
      <w:marRight w:val="0"/>
      <w:marTop w:val="0"/>
      <w:marBottom w:val="0"/>
      <w:divBdr>
        <w:top w:val="none" w:sz="0" w:space="0" w:color="auto"/>
        <w:left w:val="none" w:sz="0" w:space="0" w:color="auto"/>
        <w:bottom w:val="none" w:sz="0" w:space="0" w:color="auto"/>
        <w:right w:val="none" w:sz="0" w:space="0" w:color="auto"/>
      </w:divBdr>
    </w:div>
    <w:div w:id="440492896">
      <w:bodyDiv w:val="1"/>
      <w:marLeft w:val="0"/>
      <w:marRight w:val="0"/>
      <w:marTop w:val="0"/>
      <w:marBottom w:val="0"/>
      <w:divBdr>
        <w:top w:val="none" w:sz="0" w:space="0" w:color="auto"/>
        <w:left w:val="none" w:sz="0" w:space="0" w:color="auto"/>
        <w:bottom w:val="none" w:sz="0" w:space="0" w:color="auto"/>
        <w:right w:val="none" w:sz="0" w:space="0" w:color="auto"/>
      </w:divBdr>
    </w:div>
    <w:div w:id="470828134">
      <w:bodyDiv w:val="1"/>
      <w:marLeft w:val="0"/>
      <w:marRight w:val="0"/>
      <w:marTop w:val="0"/>
      <w:marBottom w:val="0"/>
      <w:divBdr>
        <w:top w:val="none" w:sz="0" w:space="0" w:color="auto"/>
        <w:left w:val="none" w:sz="0" w:space="0" w:color="auto"/>
        <w:bottom w:val="none" w:sz="0" w:space="0" w:color="auto"/>
        <w:right w:val="none" w:sz="0" w:space="0" w:color="auto"/>
      </w:divBdr>
    </w:div>
    <w:div w:id="480464002">
      <w:bodyDiv w:val="1"/>
      <w:marLeft w:val="0"/>
      <w:marRight w:val="0"/>
      <w:marTop w:val="0"/>
      <w:marBottom w:val="0"/>
      <w:divBdr>
        <w:top w:val="none" w:sz="0" w:space="0" w:color="auto"/>
        <w:left w:val="none" w:sz="0" w:space="0" w:color="auto"/>
        <w:bottom w:val="none" w:sz="0" w:space="0" w:color="auto"/>
        <w:right w:val="none" w:sz="0" w:space="0" w:color="auto"/>
      </w:divBdr>
    </w:div>
    <w:div w:id="496532464">
      <w:bodyDiv w:val="1"/>
      <w:marLeft w:val="0"/>
      <w:marRight w:val="0"/>
      <w:marTop w:val="0"/>
      <w:marBottom w:val="0"/>
      <w:divBdr>
        <w:top w:val="none" w:sz="0" w:space="0" w:color="auto"/>
        <w:left w:val="none" w:sz="0" w:space="0" w:color="auto"/>
        <w:bottom w:val="none" w:sz="0" w:space="0" w:color="auto"/>
        <w:right w:val="none" w:sz="0" w:space="0" w:color="auto"/>
      </w:divBdr>
    </w:div>
    <w:div w:id="505635167">
      <w:bodyDiv w:val="1"/>
      <w:marLeft w:val="0"/>
      <w:marRight w:val="0"/>
      <w:marTop w:val="0"/>
      <w:marBottom w:val="0"/>
      <w:divBdr>
        <w:top w:val="none" w:sz="0" w:space="0" w:color="auto"/>
        <w:left w:val="none" w:sz="0" w:space="0" w:color="auto"/>
        <w:bottom w:val="none" w:sz="0" w:space="0" w:color="auto"/>
        <w:right w:val="none" w:sz="0" w:space="0" w:color="auto"/>
      </w:divBdr>
    </w:div>
    <w:div w:id="526722528">
      <w:bodyDiv w:val="1"/>
      <w:marLeft w:val="0"/>
      <w:marRight w:val="0"/>
      <w:marTop w:val="0"/>
      <w:marBottom w:val="0"/>
      <w:divBdr>
        <w:top w:val="none" w:sz="0" w:space="0" w:color="auto"/>
        <w:left w:val="none" w:sz="0" w:space="0" w:color="auto"/>
        <w:bottom w:val="none" w:sz="0" w:space="0" w:color="auto"/>
        <w:right w:val="none" w:sz="0" w:space="0" w:color="auto"/>
      </w:divBdr>
    </w:div>
    <w:div w:id="546260429">
      <w:bodyDiv w:val="1"/>
      <w:marLeft w:val="0"/>
      <w:marRight w:val="0"/>
      <w:marTop w:val="0"/>
      <w:marBottom w:val="0"/>
      <w:divBdr>
        <w:top w:val="none" w:sz="0" w:space="0" w:color="auto"/>
        <w:left w:val="none" w:sz="0" w:space="0" w:color="auto"/>
        <w:bottom w:val="none" w:sz="0" w:space="0" w:color="auto"/>
        <w:right w:val="none" w:sz="0" w:space="0" w:color="auto"/>
      </w:divBdr>
    </w:div>
    <w:div w:id="576134585">
      <w:bodyDiv w:val="1"/>
      <w:marLeft w:val="0"/>
      <w:marRight w:val="0"/>
      <w:marTop w:val="0"/>
      <w:marBottom w:val="0"/>
      <w:divBdr>
        <w:top w:val="none" w:sz="0" w:space="0" w:color="auto"/>
        <w:left w:val="none" w:sz="0" w:space="0" w:color="auto"/>
        <w:bottom w:val="none" w:sz="0" w:space="0" w:color="auto"/>
        <w:right w:val="none" w:sz="0" w:space="0" w:color="auto"/>
      </w:divBdr>
    </w:div>
    <w:div w:id="596445269">
      <w:bodyDiv w:val="1"/>
      <w:marLeft w:val="0"/>
      <w:marRight w:val="0"/>
      <w:marTop w:val="0"/>
      <w:marBottom w:val="0"/>
      <w:divBdr>
        <w:top w:val="none" w:sz="0" w:space="0" w:color="auto"/>
        <w:left w:val="none" w:sz="0" w:space="0" w:color="auto"/>
        <w:bottom w:val="none" w:sz="0" w:space="0" w:color="auto"/>
        <w:right w:val="none" w:sz="0" w:space="0" w:color="auto"/>
      </w:divBdr>
    </w:div>
    <w:div w:id="604581575">
      <w:bodyDiv w:val="1"/>
      <w:marLeft w:val="0"/>
      <w:marRight w:val="0"/>
      <w:marTop w:val="0"/>
      <w:marBottom w:val="0"/>
      <w:divBdr>
        <w:top w:val="none" w:sz="0" w:space="0" w:color="auto"/>
        <w:left w:val="none" w:sz="0" w:space="0" w:color="auto"/>
        <w:bottom w:val="none" w:sz="0" w:space="0" w:color="auto"/>
        <w:right w:val="none" w:sz="0" w:space="0" w:color="auto"/>
      </w:divBdr>
    </w:div>
    <w:div w:id="641154061">
      <w:bodyDiv w:val="1"/>
      <w:marLeft w:val="0"/>
      <w:marRight w:val="0"/>
      <w:marTop w:val="0"/>
      <w:marBottom w:val="0"/>
      <w:divBdr>
        <w:top w:val="none" w:sz="0" w:space="0" w:color="auto"/>
        <w:left w:val="none" w:sz="0" w:space="0" w:color="auto"/>
        <w:bottom w:val="none" w:sz="0" w:space="0" w:color="auto"/>
        <w:right w:val="none" w:sz="0" w:space="0" w:color="auto"/>
      </w:divBdr>
    </w:div>
    <w:div w:id="651788207">
      <w:bodyDiv w:val="1"/>
      <w:marLeft w:val="0"/>
      <w:marRight w:val="0"/>
      <w:marTop w:val="0"/>
      <w:marBottom w:val="0"/>
      <w:divBdr>
        <w:top w:val="none" w:sz="0" w:space="0" w:color="auto"/>
        <w:left w:val="none" w:sz="0" w:space="0" w:color="auto"/>
        <w:bottom w:val="none" w:sz="0" w:space="0" w:color="auto"/>
        <w:right w:val="none" w:sz="0" w:space="0" w:color="auto"/>
      </w:divBdr>
    </w:div>
    <w:div w:id="686950297">
      <w:bodyDiv w:val="1"/>
      <w:marLeft w:val="0"/>
      <w:marRight w:val="0"/>
      <w:marTop w:val="0"/>
      <w:marBottom w:val="0"/>
      <w:divBdr>
        <w:top w:val="none" w:sz="0" w:space="0" w:color="auto"/>
        <w:left w:val="none" w:sz="0" w:space="0" w:color="auto"/>
        <w:bottom w:val="none" w:sz="0" w:space="0" w:color="auto"/>
        <w:right w:val="none" w:sz="0" w:space="0" w:color="auto"/>
      </w:divBdr>
    </w:div>
    <w:div w:id="716705382">
      <w:bodyDiv w:val="1"/>
      <w:marLeft w:val="0"/>
      <w:marRight w:val="0"/>
      <w:marTop w:val="0"/>
      <w:marBottom w:val="0"/>
      <w:divBdr>
        <w:top w:val="none" w:sz="0" w:space="0" w:color="auto"/>
        <w:left w:val="none" w:sz="0" w:space="0" w:color="auto"/>
        <w:bottom w:val="none" w:sz="0" w:space="0" w:color="auto"/>
        <w:right w:val="none" w:sz="0" w:space="0" w:color="auto"/>
      </w:divBdr>
    </w:div>
    <w:div w:id="719551592">
      <w:bodyDiv w:val="1"/>
      <w:marLeft w:val="0"/>
      <w:marRight w:val="0"/>
      <w:marTop w:val="0"/>
      <w:marBottom w:val="0"/>
      <w:divBdr>
        <w:top w:val="none" w:sz="0" w:space="0" w:color="auto"/>
        <w:left w:val="none" w:sz="0" w:space="0" w:color="auto"/>
        <w:bottom w:val="none" w:sz="0" w:space="0" w:color="auto"/>
        <w:right w:val="none" w:sz="0" w:space="0" w:color="auto"/>
      </w:divBdr>
    </w:div>
    <w:div w:id="768159267">
      <w:bodyDiv w:val="1"/>
      <w:marLeft w:val="0"/>
      <w:marRight w:val="0"/>
      <w:marTop w:val="0"/>
      <w:marBottom w:val="0"/>
      <w:divBdr>
        <w:top w:val="none" w:sz="0" w:space="0" w:color="auto"/>
        <w:left w:val="none" w:sz="0" w:space="0" w:color="auto"/>
        <w:bottom w:val="none" w:sz="0" w:space="0" w:color="auto"/>
        <w:right w:val="none" w:sz="0" w:space="0" w:color="auto"/>
      </w:divBdr>
    </w:div>
    <w:div w:id="775758363">
      <w:bodyDiv w:val="1"/>
      <w:marLeft w:val="0"/>
      <w:marRight w:val="0"/>
      <w:marTop w:val="0"/>
      <w:marBottom w:val="0"/>
      <w:divBdr>
        <w:top w:val="none" w:sz="0" w:space="0" w:color="auto"/>
        <w:left w:val="none" w:sz="0" w:space="0" w:color="auto"/>
        <w:bottom w:val="none" w:sz="0" w:space="0" w:color="auto"/>
        <w:right w:val="none" w:sz="0" w:space="0" w:color="auto"/>
      </w:divBdr>
    </w:div>
    <w:div w:id="775835043">
      <w:bodyDiv w:val="1"/>
      <w:marLeft w:val="0"/>
      <w:marRight w:val="0"/>
      <w:marTop w:val="0"/>
      <w:marBottom w:val="0"/>
      <w:divBdr>
        <w:top w:val="none" w:sz="0" w:space="0" w:color="auto"/>
        <w:left w:val="none" w:sz="0" w:space="0" w:color="auto"/>
        <w:bottom w:val="none" w:sz="0" w:space="0" w:color="auto"/>
        <w:right w:val="none" w:sz="0" w:space="0" w:color="auto"/>
      </w:divBdr>
    </w:div>
    <w:div w:id="812259928">
      <w:bodyDiv w:val="1"/>
      <w:marLeft w:val="0"/>
      <w:marRight w:val="0"/>
      <w:marTop w:val="0"/>
      <w:marBottom w:val="0"/>
      <w:divBdr>
        <w:top w:val="none" w:sz="0" w:space="0" w:color="auto"/>
        <w:left w:val="none" w:sz="0" w:space="0" w:color="auto"/>
        <w:bottom w:val="none" w:sz="0" w:space="0" w:color="auto"/>
        <w:right w:val="none" w:sz="0" w:space="0" w:color="auto"/>
      </w:divBdr>
    </w:div>
    <w:div w:id="836308796">
      <w:bodyDiv w:val="1"/>
      <w:marLeft w:val="0"/>
      <w:marRight w:val="0"/>
      <w:marTop w:val="0"/>
      <w:marBottom w:val="0"/>
      <w:divBdr>
        <w:top w:val="none" w:sz="0" w:space="0" w:color="auto"/>
        <w:left w:val="none" w:sz="0" w:space="0" w:color="auto"/>
        <w:bottom w:val="none" w:sz="0" w:space="0" w:color="auto"/>
        <w:right w:val="none" w:sz="0" w:space="0" w:color="auto"/>
      </w:divBdr>
    </w:div>
    <w:div w:id="845486405">
      <w:bodyDiv w:val="1"/>
      <w:marLeft w:val="0"/>
      <w:marRight w:val="0"/>
      <w:marTop w:val="0"/>
      <w:marBottom w:val="0"/>
      <w:divBdr>
        <w:top w:val="none" w:sz="0" w:space="0" w:color="auto"/>
        <w:left w:val="none" w:sz="0" w:space="0" w:color="auto"/>
        <w:bottom w:val="none" w:sz="0" w:space="0" w:color="auto"/>
        <w:right w:val="none" w:sz="0" w:space="0" w:color="auto"/>
      </w:divBdr>
    </w:div>
    <w:div w:id="850342537">
      <w:bodyDiv w:val="1"/>
      <w:marLeft w:val="0"/>
      <w:marRight w:val="0"/>
      <w:marTop w:val="0"/>
      <w:marBottom w:val="0"/>
      <w:divBdr>
        <w:top w:val="none" w:sz="0" w:space="0" w:color="auto"/>
        <w:left w:val="none" w:sz="0" w:space="0" w:color="auto"/>
        <w:bottom w:val="none" w:sz="0" w:space="0" w:color="auto"/>
        <w:right w:val="none" w:sz="0" w:space="0" w:color="auto"/>
      </w:divBdr>
    </w:div>
    <w:div w:id="893154804">
      <w:bodyDiv w:val="1"/>
      <w:marLeft w:val="0"/>
      <w:marRight w:val="0"/>
      <w:marTop w:val="0"/>
      <w:marBottom w:val="0"/>
      <w:divBdr>
        <w:top w:val="none" w:sz="0" w:space="0" w:color="auto"/>
        <w:left w:val="none" w:sz="0" w:space="0" w:color="auto"/>
        <w:bottom w:val="none" w:sz="0" w:space="0" w:color="auto"/>
        <w:right w:val="none" w:sz="0" w:space="0" w:color="auto"/>
      </w:divBdr>
    </w:div>
    <w:div w:id="901251177">
      <w:bodyDiv w:val="1"/>
      <w:marLeft w:val="0"/>
      <w:marRight w:val="0"/>
      <w:marTop w:val="0"/>
      <w:marBottom w:val="0"/>
      <w:divBdr>
        <w:top w:val="none" w:sz="0" w:space="0" w:color="auto"/>
        <w:left w:val="none" w:sz="0" w:space="0" w:color="auto"/>
        <w:bottom w:val="none" w:sz="0" w:space="0" w:color="auto"/>
        <w:right w:val="none" w:sz="0" w:space="0" w:color="auto"/>
      </w:divBdr>
    </w:div>
    <w:div w:id="937711592">
      <w:bodyDiv w:val="1"/>
      <w:marLeft w:val="0"/>
      <w:marRight w:val="0"/>
      <w:marTop w:val="0"/>
      <w:marBottom w:val="0"/>
      <w:divBdr>
        <w:top w:val="none" w:sz="0" w:space="0" w:color="auto"/>
        <w:left w:val="none" w:sz="0" w:space="0" w:color="auto"/>
        <w:bottom w:val="none" w:sz="0" w:space="0" w:color="auto"/>
        <w:right w:val="none" w:sz="0" w:space="0" w:color="auto"/>
      </w:divBdr>
    </w:div>
    <w:div w:id="960039579">
      <w:bodyDiv w:val="1"/>
      <w:marLeft w:val="0"/>
      <w:marRight w:val="0"/>
      <w:marTop w:val="0"/>
      <w:marBottom w:val="0"/>
      <w:divBdr>
        <w:top w:val="none" w:sz="0" w:space="0" w:color="auto"/>
        <w:left w:val="none" w:sz="0" w:space="0" w:color="auto"/>
        <w:bottom w:val="none" w:sz="0" w:space="0" w:color="auto"/>
        <w:right w:val="none" w:sz="0" w:space="0" w:color="auto"/>
      </w:divBdr>
    </w:div>
    <w:div w:id="990794495">
      <w:bodyDiv w:val="1"/>
      <w:marLeft w:val="0"/>
      <w:marRight w:val="0"/>
      <w:marTop w:val="0"/>
      <w:marBottom w:val="0"/>
      <w:divBdr>
        <w:top w:val="none" w:sz="0" w:space="0" w:color="auto"/>
        <w:left w:val="none" w:sz="0" w:space="0" w:color="auto"/>
        <w:bottom w:val="none" w:sz="0" w:space="0" w:color="auto"/>
        <w:right w:val="none" w:sz="0" w:space="0" w:color="auto"/>
      </w:divBdr>
    </w:div>
    <w:div w:id="1000737428">
      <w:bodyDiv w:val="1"/>
      <w:marLeft w:val="0"/>
      <w:marRight w:val="0"/>
      <w:marTop w:val="0"/>
      <w:marBottom w:val="0"/>
      <w:divBdr>
        <w:top w:val="none" w:sz="0" w:space="0" w:color="auto"/>
        <w:left w:val="none" w:sz="0" w:space="0" w:color="auto"/>
        <w:bottom w:val="none" w:sz="0" w:space="0" w:color="auto"/>
        <w:right w:val="none" w:sz="0" w:space="0" w:color="auto"/>
      </w:divBdr>
    </w:div>
    <w:div w:id="1011302341">
      <w:bodyDiv w:val="1"/>
      <w:marLeft w:val="0"/>
      <w:marRight w:val="0"/>
      <w:marTop w:val="0"/>
      <w:marBottom w:val="0"/>
      <w:divBdr>
        <w:top w:val="none" w:sz="0" w:space="0" w:color="auto"/>
        <w:left w:val="none" w:sz="0" w:space="0" w:color="auto"/>
        <w:bottom w:val="none" w:sz="0" w:space="0" w:color="auto"/>
        <w:right w:val="none" w:sz="0" w:space="0" w:color="auto"/>
      </w:divBdr>
    </w:div>
    <w:div w:id="1037196896">
      <w:bodyDiv w:val="1"/>
      <w:marLeft w:val="0"/>
      <w:marRight w:val="0"/>
      <w:marTop w:val="0"/>
      <w:marBottom w:val="0"/>
      <w:divBdr>
        <w:top w:val="none" w:sz="0" w:space="0" w:color="auto"/>
        <w:left w:val="none" w:sz="0" w:space="0" w:color="auto"/>
        <w:bottom w:val="none" w:sz="0" w:space="0" w:color="auto"/>
        <w:right w:val="none" w:sz="0" w:space="0" w:color="auto"/>
      </w:divBdr>
    </w:div>
    <w:div w:id="1043209617">
      <w:bodyDiv w:val="1"/>
      <w:marLeft w:val="0"/>
      <w:marRight w:val="0"/>
      <w:marTop w:val="0"/>
      <w:marBottom w:val="0"/>
      <w:divBdr>
        <w:top w:val="none" w:sz="0" w:space="0" w:color="auto"/>
        <w:left w:val="none" w:sz="0" w:space="0" w:color="auto"/>
        <w:bottom w:val="none" w:sz="0" w:space="0" w:color="auto"/>
        <w:right w:val="none" w:sz="0" w:space="0" w:color="auto"/>
      </w:divBdr>
    </w:div>
    <w:div w:id="1095320843">
      <w:bodyDiv w:val="1"/>
      <w:marLeft w:val="0"/>
      <w:marRight w:val="0"/>
      <w:marTop w:val="0"/>
      <w:marBottom w:val="0"/>
      <w:divBdr>
        <w:top w:val="none" w:sz="0" w:space="0" w:color="auto"/>
        <w:left w:val="none" w:sz="0" w:space="0" w:color="auto"/>
        <w:bottom w:val="none" w:sz="0" w:space="0" w:color="auto"/>
        <w:right w:val="none" w:sz="0" w:space="0" w:color="auto"/>
      </w:divBdr>
    </w:div>
    <w:div w:id="1115445023">
      <w:bodyDiv w:val="1"/>
      <w:marLeft w:val="0"/>
      <w:marRight w:val="0"/>
      <w:marTop w:val="0"/>
      <w:marBottom w:val="0"/>
      <w:divBdr>
        <w:top w:val="none" w:sz="0" w:space="0" w:color="auto"/>
        <w:left w:val="none" w:sz="0" w:space="0" w:color="auto"/>
        <w:bottom w:val="none" w:sz="0" w:space="0" w:color="auto"/>
        <w:right w:val="none" w:sz="0" w:space="0" w:color="auto"/>
      </w:divBdr>
    </w:div>
    <w:div w:id="1154033411">
      <w:bodyDiv w:val="1"/>
      <w:marLeft w:val="0"/>
      <w:marRight w:val="0"/>
      <w:marTop w:val="0"/>
      <w:marBottom w:val="0"/>
      <w:divBdr>
        <w:top w:val="none" w:sz="0" w:space="0" w:color="auto"/>
        <w:left w:val="none" w:sz="0" w:space="0" w:color="auto"/>
        <w:bottom w:val="none" w:sz="0" w:space="0" w:color="auto"/>
        <w:right w:val="none" w:sz="0" w:space="0" w:color="auto"/>
      </w:divBdr>
    </w:div>
    <w:div w:id="1185905074">
      <w:bodyDiv w:val="1"/>
      <w:marLeft w:val="0"/>
      <w:marRight w:val="0"/>
      <w:marTop w:val="0"/>
      <w:marBottom w:val="0"/>
      <w:divBdr>
        <w:top w:val="none" w:sz="0" w:space="0" w:color="auto"/>
        <w:left w:val="none" w:sz="0" w:space="0" w:color="auto"/>
        <w:bottom w:val="none" w:sz="0" w:space="0" w:color="auto"/>
        <w:right w:val="none" w:sz="0" w:space="0" w:color="auto"/>
      </w:divBdr>
    </w:div>
    <w:div w:id="1198087235">
      <w:bodyDiv w:val="1"/>
      <w:marLeft w:val="0"/>
      <w:marRight w:val="0"/>
      <w:marTop w:val="0"/>
      <w:marBottom w:val="0"/>
      <w:divBdr>
        <w:top w:val="none" w:sz="0" w:space="0" w:color="auto"/>
        <w:left w:val="none" w:sz="0" w:space="0" w:color="auto"/>
        <w:bottom w:val="none" w:sz="0" w:space="0" w:color="auto"/>
        <w:right w:val="none" w:sz="0" w:space="0" w:color="auto"/>
      </w:divBdr>
    </w:div>
    <w:div w:id="1207252199">
      <w:bodyDiv w:val="1"/>
      <w:marLeft w:val="0"/>
      <w:marRight w:val="0"/>
      <w:marTop w:val="0"/>
      <w:marBottom w:val="0"/>
      <w:divBdr>
        <w:top w:val="none" w:sz="0" w:space="0" w:color="auto"/>
        <w:left w:val="none" w:sz="0" w:space="0" w:color="auto"/>
        <w:bottom w:val="none" w:sz="0" w:space="0" w:color="auto"/>
        <w:right w:val="none" w:sz="0" w:space="0" w:color="auto"/>
      </w:divBdr>
    </w:div>
    <w:div w:id="1234967197">
      <w:bodyDiv w:val="1"/>
      <w:marLeft w:val="0"/>
      <w:marRight w:val="0"/>
      <w:marTop w:val="0"/>
      <w:marBottom w:val="0"/>
      <w:divBdr>
        <w:top w:val="none" w:sz="0" w:space="0" w:color="auto"/>
        <w:left w:val="none" w:sz="0" w:space="0" w:color="auto"/>
        <w:bottom w:val="none" w:sz="0" w:space="0" w:color="auto"/>
        <w:right w:val="none" w:sz="0" w:space="0" w:color="auto"/>
      </w:divBdr>
    </w:div>
    <w:div w:id="1265074049">
      <w:bodyDiv w:val="1"/>
      <w:marLeft w:val="0"/>
      <w:marRight w:val="0"/>
      <w:marTop w:val="0"/>
      <w:marBottom w:val="0"/>
      <w:divBdr>
        <w:top w:val="none" w:sz="0" w:space="0" w:color="auto"/>
        <w:left w:val="none" w:sz="0" w:space="0" w:color="auto"/>
        <w:bottom w:val="none" w:sz="0" w:space="0" w:color="auto"/>
        <w:right w:val="none" w:sz="0" w:space="0" w:color="auto"/>
      </w:divBdr>
    </w:div>
    <w:div w:id="1282154651">
      <w:bodyDiv w:val="1"/>
      <w:marLeft w:val="0"/>
      <w:marRight w:val="0"/>
      <w:marTop w:val="0"/>
      <w:marBottom w:val="0"/>
      <w:divBdr>
        <w:top w:val="none" w:sz="0" w:space="0" w:color="auto"/>
        <w:left w:val="none" w:sz="0" w:space="0" w:color="auto"/>
        <w:bottom w:val="none" w:sz="0" w:space="0" w:color="auto"/>
        <w:right w:val="none" w:sz="0" w:space="0" w:color="auto"/>
      </w:divBdr>
    </w:div>
    <w:div w:id="1294480727">
      <w:bodyDiv w:val="1"/>
      <w:marLeft w:val="0"/>
      <w:marRight w:val="0"/>
      <w:marTop w:val="0"/>
      <w:marBottom w:val="0"/>
      <w:divBdr>
        <w:top w:val="none" w:sz="0" w:space="0" w:color="auto"/>
        <w:left w:val="none" w:sz="0" w:space="0" w:color="auto"/>
        <w:bottom w:val="none" w:sz="0" w:space="0" w:color="auto"/>
        <w:right w:val="none" w:sz="0" w:space="0" w:color="auto"/>
      </w:divBdr>
    </w:div>
    <w:div w:id="1296526062">
      <w:bodyDiv w:val="1"/>
      <w:marLeft w:val="0"/>
      <w:marRight w:val="0"/>
      <w:marTop w:val="0"/>
      <w:marBottom w:val="0"/>
      <w:divBdr>
        <w:top w:val="none" w:sz="0" w:space="0" w:color="auto"/>
        <w:left w:val="none" w:sz="0" w:space="0" w:color="auto"/>
        <w:bottom w:val="none" w:sz="0" w:space="0" w:color="auto"/>
        <w:right w:val="none" w:sz="0" w:space="0" w:color="auto"/>
      </w:divBdr>
    </w:div>
    <w:div w:id="1389257293">
      <w:bodyDiv w:val="1"/>
      <w:marLeft w:val="0"/>
      <w:marRight w:val="0"/>
      <w:marTop w:val="0"/>
      <w:marBottom w:val="0"/>
      <w:divBdr>
        <w:top w:val="none" w:sz="0" w:space="0" w:color="auto"/>
        <w:left w:val="none" w:sz="0" w:space="0" w:color="auto"/>
        <w:bottom w:val="none" w:sz="0" w:space="0" w:color="auto"/>
        <w:right w:val="none" w:sz="0" w:space="0" w:color="auto"/>
      </w:divBdr>
    </w:div>
    <w:div w:id="1392968968">
      <w:bodyDiv w:val="1"/>
      <w:marLeft w:val="0"/>
      <w:marRight w:val="0"/>
      <w:marTop w:val="0"/>
      <w:marBottom w:val="0"/>
      <w:divBdr>
        <w:top w:val="none" w:sz="0" w:space="0" w:color="auto"/>
        <w:left w:val="none" w:sz="0" w:space="0" w:color="auto"/>
        <w:bottom w:val="none" w:sz="0" w:space="0" w:color="auto"/>
        <w:right w:val="none" w:sz="0" w:space="0" w:color="auto"/>
      </w:divBdr>
    </w:div>
    <w:div w:id="1397703627">
      <w:bodyDiv w:val="1"/>
      <w:marLeft w:val="0"/>
      <w:marRight w:val="0"/>
      <w:marTop w:val="0"/>
      <w:marBottom w:val="0"/>
      <w:divBdr>
        <w:top w:val="none" w:sz="0" w:space="0" w:color="auto"/>
        <w:left w:val="none" w:sz="0" w:space="0" w:color="auto"/>
        <w:bottom w:val="none" w:sz="0" w:space="0" w:color="auto"/>
        <w:right w:val="none" w:sz="0" w:space="0" w:color="auto"/>
      </w:divBdr>
    </w:div>
    <w:div w:id="1404990067">
      <w:bodyDiv w:val="1"/>
      <w:marLeft w:val="0"/>
      <w:marRight w:val="0"/>
      <w:marTop w:val="0"/>
      <w:marBottom w:val="0"/>
      <w:divBdr>
        <w:top w:val="none" w:sz="0" w:space="0" w:color="auto"/>
        <w:left w:val="none" w:sz="0" w:space="0" w:color="auto"/>
        <w:bottom w:val="none" w:sz="0" w:space="0" w:color="auto"/>
        <w:right w:val="none" w:sz="0" w:space="0" w:color="auto"/>
      </w:divBdr>
    </w:div>
    <w:div w:id="1429694291">
      <w:bodyDiv w:val="1"/>
      <w:marLeft w:val="0"/>
      <w:marRight w:val="0"/>
      <w:marTop w:val="0"/>
      <w:marBottom w:val="0"/>
      <w:divBdr>
        <w:top w:val="none" w:sz="0" w:space="0" w:color="auto"/>
        <w:left w:val="none" w:sz="0" w:space="0" w:color="auto"/>
        <w:bottom w:val="none" w:sz="0" w:space="0" w:color="auto"/>
        <w:right w:val="none" w:sz="0" w:space="0" w:color="auto"/>
      </w:divBdr>
    </w:div>
    <w:div w:id="1430420429">
      <w:bodyDiv w:val="1"/>
      <w:marLeft w:val="0"/>
      <w:marRight w:val="0"/>
      <w:marTop w:val="0"/>
      <w:marBottom w:val="0"/>
      <w:divBdr>
        <w:top w:val="none" w:sz="0" w:space="0" w:color="auto"/>
        <w:left w:val="none" w:sz="0" w:space="0" w:color="auto"/>
        <w:bottom w:val="none" w:sz="0" w:space="0" w:color="auto"/>
        <w:right w:val="none" w:sz="0" w:space="0" w:color="auto"/>
      </w:divBdr>
    </w:div>
    <w:div w:id="1461341093">
      <w:bodyDiv w:val="1"/>
      <w:marLeft w:val="0"/>
      <w:marRight w:val="0"/>
      <w:marTop w:val="0"/>
      <w:marBottom w:val="0"/>
      <w:divBdr>
        <w:top w:val="none" w:sz="0" w:space="0" w:color="auto"/>
        <w:left w:val="none" w:sz="0" w:space="0" w:color="auto"/>
        <w:bottom w:val="none" w:sz="0" w:space="0" w:color="auto"/>
        <w:right w:val="none" w:sz="0" w:space="0" w:color="auto"/>
      </w:divBdr>
    </w:div>
    <w:div w:id="1468546754">
      <w:bodyDiv w:val="1"/>
      <w:marLeft w:val="0"/>
      <w:marRight w:val="0"/>
      <w:marTop w:val="0"/>
      <w:marBottom w:val="0"/>
      <w:divBdr>
        <w:top w:val="none" w:sz="0" w:space="0" w:color="auto"/>
        <w:left w:val="none" w:sz="0" w:space="0" w:color="auto"/>
        <w:bottom w:val="none" w:sz="0" w:space="0" w:color="auto"/>
        <w:right w:val="none" w:sz="0" w:space="0" w:color="auto"/>
      </w:divBdr>
    </w:div>
    <w:div w:id="1493332429">
      <w:bodyDiv w:val="1"/>
      <w:marLeft w:val="0"/>
      <w:marRight w:val="0"/>
      <w:marTop w:val="0"/>
      <w:marBottom w:val="0"/>
      <w:divBdr>
        <w:top w:val="none" w:sz="0" w:space="0" w:color="auto"/>
        <w:left w:val="none" w:sz="0" w:space="0" w:color="auto"/>
        <w:bottom w:val="none" w:sz="0" w:space="0" w:color="auto"/>
        <w:right w:val="none" w:sz="0" w:space="0" w:color="auto"/>
      </w:divBdr>
    </w:div>
    <w:div w:id="1507793962">
      <w:bodyDiv w:val="1"/>
      <w:marLeft w:val="0"/>
      <w:marRight w:val="0"/>
      <w:marTop w:val="0"/>
      <w:marBottom w:val="0"/>
      <w:divBdr>
        <w:top w:val="none" w:sz="0" w:space="0" w:color="auto"/>
        <w:left w:val="none" w:sz="0" w:space="0" w:color="auto"/>
        <w:bottom w:val="none" w:sz="0" w:space="0" w:color="auto"/>
        <w:right w:val="none" w:sz="0" w:space="0" w:color="auto"/>
      </w:divBdr>
    </w:div>
    <w:div w:id="1594124303">
      <w:bodyDiv w:val="1"/>
      <w:marLeft w:val="0"/>
      <w:marRight w:val="0"/>
      <w:marTop w:val="0"/>
      <w:marBottom w:val="0"/>
      <w:divBdr>
        <w:top w:val="none" w:sz="0" w:space="0" w:color="auto"/>
        <w:left w:val="none" w:sz="0" w:space="0" w:color="auto"/>
        <w:bottom w:val="none" w:sz="0" w:space="0" w:color="auto"/>
        <w:right w:val="none" w:sz="0" w:space="0" w:color="auto"/>
      </w:divBdr>
    </w:div>
    <w:div w:id="1611013285">
      <w:bodyDiv w:val="1"/>
      <w:marLeft w:val="0"/>
      <w:marRight w:val="0"/>
      <w:marTop w:val="0"/>
      <w:marBottom w:val="0"/>
      <w:divBdr>
        <w:top w:val="none" w:sz="0" w:space="0" w:color="auto"/>
        <w:left w:val="none" w:sz="0" w:space="0" w:color="auto"/>
        <w:bottom w:val="none" w:sz="0" w:space="0" w:color="auto"/>
        <w:right w:val="none" w:sz="0" w:space="0" w:color="auto"/>
      </w:divBdr>
    </w:div>
    <w:div w:id="1615209440">
      <w:bodyDiv w:val="1"/>
      <w:marLeft w:val="0"/>
      <w:marRight w:val="0"/>
      <w:marTop w:val="0"/>
      <w:marBottom w:val="0"/>
      <w:divBdr>
        <w:top w:val="none" w:sz="0" w:space="0" w:color="auto"/>
        <w:left w:val="none" w:sz="0" w:space="0" w:color="auto"/>
        <w:bottom w:val="none" w:sz="0" w:space="0" w:color="auto"/>
        <w:right w:val="none" w:sz="0" w:space="0" w:color="auto"/>
      </w:divBdr>
    </w:div>
    <w:div w:id="1639795843">
      <w:bodyDiv w:val="1"/>
      <w:marLeft w:val="0"/>
      <w:marRight w:val="0"/>
      <w:marTop w:val="0"/>
      <w:marBottom w:val="0"/>
      <w:divBdr>
        <w:top w:val="none" w:sz="0" w:space="0" w:color="auto"/>
        <w:left w:val="none" w:sz="0" w:space="0" w:color="auto"/>
        <w:bottom w:val="none" w:sz="0" w:space="0" w:color="auto"/>
        <w:right w:val="none" w:sz="0" w:space="0" w:color="auto"/>
      </w:divBdr>
    </w:div>
    <w:div w:id="1645811258">
      <w:bodyDiv w:val="1"/>
      <w:marLeft w:val="0"/>
      <w:marRight w:val="0"/>
      <w:marTop w:val="0"/>
      <w:marBottom w:val="0"/>
      <w:divBdr>
        <w:top w:val="none" w:sz="0" w:space="0" w:color="auto"/>
        <w:left w:val="none" w:sz="0" w:space="0" w:color="auto"/>
        <w:bottom w:val="none" w:sz="0" w:space="0" w:color="auto"/>
        <w:right w:val="none" w:sz="0" w:space="0" w:color="auto"/>
      </w:divBdr>
    </w:div>
    <w:div w:id="1651712236">
      <w:bodyDiv w:val="1"/>
      <w:marLeft w:val="0"/>
      <w:marRight w:val="0"/>
      <w:marTop w:val="0"/>
      <w:marBottom w:val="0"/>
      <w:divBdr>
        <w:top w:val="none" w:sz="0" w:space="0" w:color="auto"/>
        <w:left w:val="none" w:sz="0" w:space="0" w:color="auto"/>
        <w:bottom w:val="none" w:sz="0" w:space="0" w:color="auto"/>
        <w:right w:val="none" w:sz="0" w:space="0" w:color="auto"/>
      </w:divBdr>
    </w:div>
    <w:div w:id="1674604773">
      <w:bodyDiv w:val="1"/>
      <w:marLeft w:val="0"/>
      <w:marRight w:val="0"/>
      <w:marTop w:val="0"/>
      <w:marBottom w:val="0"/>
      <w:divBdr>
        <w:top w:val="none" w:sz="0" w:space="0" w:color="auto"/>
        <w:left w:val="none" w:sz="0" w:space="0" w:color="auto"/>
        <w:bottom w:val="none" w:sz="0" w:space="0" w:color="auto"/>
        <w:right w:val="none" w:sz="0" w:space="0" w:color="auto"/>
      </w:divBdr>
    </w:div>
    <w:div w:id="1694334174">
      <w:bodyDiv w:val="1"/>
      <w:marLeft w:val="0"/>
      <w:marRight w:val="0"/>
      <w:marTop w:val="0"/>
      <w:marBottom w:val="0"/>
      <w:divBdr>
        <w:top w:val="none" w:sz="0" w:space="0" w:color="auto"/>
        <w:left w:val="none" w:sz="0" w:space="0" w:color="auto"/>
        <w:bottom w:val="none" w:sz="0" w:space="0" w:color="auto"/>
        <w:right w:val="none" w:sz="0" w:space="0" w:color="auto"/>
      </w:divBdr>
    </w:div>
    <w:div w:id="1702977027">
      <w:bodyDiv w:val="1"/>
      <w:marLeft w:val="0"/>
      <w:marRight w:val="0"/>
      <w:marTop w:val="0"/>
      <w:marBottom w:val="0"/>
      <w:divBdr>
        <w:top w:val="none" w:sz="0" w:space="0" w:color="auto"/>
        <w:left w:val="none" w:sz="0" w:space="0" w:color="auto"/>
        <w:bottom w:val="none" w:sz="0" w:space="0" w:color="auto"/>
        <w:right w:val="none" w:sz="0" w:space="0" w:color="auto"/>
      </w:divBdr>
    </w:div>
    <w:div w:id="1714771540">
      <w:bodyDiv w:val="1"/>
      <w:marLeft w:val="0"/>
      <w:marRight w:val="0"/>
      <w:marTop w:val="0"/>
      <w:marBottom w:val="0"/>
      <w:divBdr>
        <w:top w:val="none" w:sz="0" w:space="0" w:color="auto"/>
        <w:left w:val="none" w:sz="0" w:space="0" w:color="auto"/>
        <w:bottom w:val="none" w:sz="0" w:space="0" w:color="auto"/>
        <w:right w:val="none" w:sz="0" w:space="0" w:color="auto"/>
      </w:divBdr>
    </w:div>
    <w:div w:id="1717970674">
      <w:bodyDiv w:val="1"/>
      <w:marLeft w:val="0"/>
      <w:marRight w:val="0"/>
      <w:marTop w:val="0"/>
      <w:marBottom w:val="0"/>
      <w:divBdr>
        <w:top w:val="none" w:sz="0" w:space="0" w:color="auto"/>
        <w:left w:val="none" w:sz="0" w:space="0" w:color="auto"/>
        <w:bottom w:val="none" w:sz="0" w:space="0" w:color="auto"/>
        <w:right w:val="none" w:sz="0" w:space="0" w:color="auto"/>
      </w:divBdr>
    </w:div>
    <w:div w:id="1718627999">
      <w:bodyDiv w:val="1"/>
      <w:marLeft w:val="0"/>
      <w:marRight w:val="0"/>
      <w:marTop w:val="0"/>
      <w:marBottom w:val="0"/>
      <w:divBdr>
        <w:top w:val="none" w:sz="0" w:space="0" w:color="auto"/>
        <w:left w:val="none" w:sz="0" w:space="0" w:color="auto"/>
        <w:bottom w:val="none" w:sz="0" w:space="0" w:color="auto"/>
        <w:right w:val="none" w:sz="0" w:space="0" w:color="auto"/>
      </w:divBdr>
    </w:div>
    <w:div w:id="1760364207">
      <w:bodyDiv w:val="1"/>
      <w:marLeft w:val="0"/>
      <w:marRight w:val="0"/>
      <w:marTop w:val="0"/>
      <w:marBottom w:val="0"/>
      <w:divBdr>
        <w:top w:val="none" w:sz="0" w:space="0" w:color="auto"/>
        <w:left w:val="none" w:sz="0" w:space="0" w:color="auto"/>
        <w:bottom w:val="none" w:sz="0" w:space="0" w:color="auto"/>
        <w:right w:val="none" w:sz="0" w:space="0" w:color="auto"/>
      </w:divBdr>
    </w:div>
    <w:div w:id="1788500207">
      <w:bodyDiv w:val="1"/>
      <w:marLeft w:val="0"/>
      <w:marRight w:val="0"/>
      <w:marTop w:val="0"/>
      <w:marBottom w:val="0"/>
      <w:divBdr>
        <w:top w:val="none" w:sz="0" w:space="0" w:color="auto"/>
        <w:left w:val="none" w:sz="0" w:space="0" w:color="auto"/>
        <w:bottom w:val="none" w:sz="0" w:space="0" w:color="auto"/>
        <w:right w:val="none" w:sz="0" w:space="0" w:color="auto"/>
      </w:divBdr>
    </w:div>
    <w:div w:id="1791583748">
      <w:bodyDiv w:val="1"/>
      <w:marLeft w:val="0"/>
      <w:marRight w:val="0"/>
      <w:marTop w:val="0"/>
      <w:marBottom w:val="0"/>
      <w:divBdr>
        <w:top w:val="none" w:sz="0" w:space="0" w:color="auto"/>
        <w:left w:val="none" w:sz="0" w:space="0" w:color="auto"/>
        <w:bottom w:val="none" w:sz="0" w:space="0" w:color="auto"/>
        <w:right w:val="none" w:sz="0" w:space="0" w:color="auto"/>
      </w:divBdr>
    </w:div>
    <w:div w:id="1820268103">
      <w:bodyDiv w:val="1"/>
      <w:marLeft w:val="0"/>
      <w:marRight w:val="0"/>
      <w:marTop w:val="0"/>
      <w:marBottom w:val="0"/>
      <w:divBdr>
        <w:top w:val="none" w:sz="0" w:space="0" w:color="auto"/>
        <w:left w:val="none" w:sz="0" w:space="0" w:color="auto"/>
        <w:bottom w:val="none" w:sz="0" w:space="0" w:color="auto"/>
        <w:right w:val="none" w:sz="0" w:space="0" w:color="auto"/>
      </w:divBdr>
    </w:div>
    <w:div w:id="1870605754">
      <w:bodyDiv w:val="1"/>
      <w:marLeft w:val="0"/>
      <w:marRight w:val="0"/>
      <w:marTop w:val="0"/>
      <w:marBottom w:val="0"/>
      <w:divBdr>
        <w:top w:val="none" w:sz="0" w:space="0" w:color="auto"/>
        <w:left w:val="none" w:sz="0" w:space="0" w:color="auto"/>
        <w:bottom w:val="none" w:sz="0" w:space="0" w:color="auto"/>
        <w:right w:val="none" w:sz="0" w:space="0" w:color="auto"/>
      </w:divBdr>
    </w:div>
    <w:div w:id="1871601511">
      <w:bodyDiv w:val="1"/>
      <w:marLeft w:val="0"/>
      <w:marRight w:val="0"/>
      <w:marTop w:val="0"/>
      <w:marBottom w:val="0"/>
      <w:divBdr>
        <w:top w:val="none" w:sz="0" w:space="0" w:color="auto"/>
        <w:left w:val="none" w:sz="0" w:space="0" w:color="auto"/>
        <w:bottom w:val="none" w:sz="0" w:space="0" w:color="auto"/>
        <w:right w:val="none" w:sz="0" w:space="0" w:color="auto"/>
      </w:divBdr>
    </w:div>
    <w:div w:id="1914509998">
      <w:bodyDiv w:val="1"/>
      <w:marLeft w:val="0"/>
      <w:marRight w:val="0"/>
      <w:marTop w:val="0"/>
      <w:marBottom w:val="0"/>
      <w:divBdr>
        <w:top w:val="none" w:sz="0" w:space="0" w:color="auto"/>
        <w:left w:val="none" w:sz="0" w:space="0" w:color="auto"/>
        <w:bottom w:val="none" w:sz="0" w:space="0" w:color="auto"/>
        <w:right w:val="none" w:sz="0" w:space="0" w:color="auto"/>
      </w:divBdr>
    </w:div>
    <w:div w:id="1919703644">
      <w:bodyDiv w:val="1"/>
      <w:marLeft w:val="0"/>
      <w:marRight w:val="0"/>
      <w:marTop w:val="0"/>
      <w:marBottom w:val="0"/>
      <w:divBdr>
        <w:top w:val="none" w:sz="0" w:space="0" w:color="auto"/>
        <w:left w:val="none" w:sz="0" w:space="0" w:color="auto"/>
        <w:bottom w:val="none" w:sz="0" w:space="0" w:color="auto"/>
        <w:right w:val="none" w:sz="0" w:space="0" w:color="auto"/>
      </w:divBdr>
    </w:div>
    <w:div w:id="1963149470">
      <w:bodyDiv w:val="1"/>
      <w:marLeft w:val="0"/>
      <w:marRight w:val="0"/>
      <w:marTop w:val="0"/>
      <w:marBottom w:val="0"/>
      <w:divBdr>
        <w:top w:val="none" w:sz="0" w:space="0" w:color="auto"/>
        <w:left w:val="none" w:sz="0" w:space="0" w:color="auto"/>
        <w:bottom w:val="none" w:sz="0" w:space="0" w:color="auto"/>
        <w:right w:val="none" w:sz="0" w:space="0" w:color="auto"/>
      </w:divBdr>
    </w:div>
    <w:div w:id="1981298860">
      <w:bodyDiv w:val="1"/>
      <w:marLeft w:val="0"/>
      <w:marRight w:val="0"/>
      <w:marTop w:val="0"/>
      <w:marBottom w:val="0"/>
      <w:divBdr>
        <w:top w:val="none" w:sz="0" w:space="0" w:color="auto"/>
        <w:left w:val="none" w:sz="0" w:space="0" w:color="auto"/>
        <w:bottom w:val="none" w:sz="0" w:space="0" w:color="auto"/>
        <w:right w:val="none" w:sz="0" w:space="0" w:color="auto"/>
      </w:divBdr>
    </w:div>
    <w:div w:id="2027242316">
      <w:bodyDiv w:val="1"/>
      <w:marLeft w:val="0"/>
      <w:marRight w:val="0"/>
      <w:marTop w:val="0"/>
      <w:marBottom w:val="0"/>
      <w:divBdr>
        <w:top w:val="none" w:sz="0" w:space="0" w:color="auto"/>
        <w:left w:val="none" w:sz="0" w:space="0" w:color="auto"/>
        <w:bottom w:val="none" w:sz="0" w:space="0" w:color="auto"/>
        <w:right w:val="none" w:sz="0" w:space="0" w:color="auto"/>
      </w:divBdr>
    </w:div>
    <w:div w:id="2029721901">
      <w:bodyDiv w:val="1"/>
      <w:marLeft w:val="0"/>
      <w:marRight w:val="0"/>
      <w:marTop w:val="0"/>
      <w:marBottom w:val="0"/>
      <w:divBdr>
        <w:top w:val="none" w:sz="0" w:space="0" w:color="auto"/>
        <w:left w:val="none" w:sz="0" w:space="0" w:color="auto"/>
        <w:bottom w:val="none" w:sz="0" w:space="0" w:color="auto"/>
        <w:right w:val="none" w:sz="0" w:space="0" w:color="auto"/>
      </w:divBdr>
    </w:div>
    <w:div w:id="2111586840">
      <w:bodyDiv w:val="1"/>
      <w:marLeft w:val="0"/>
      <w:marRight w:val="0"/>
      <w:marTop w:val="0"/>
      <w:marBottom w:val="0"/>
      <w:divBdr>
        <w:top w:val="none" w:sz="0" w:space="0" w:color="auto"/>
        <w:left w:val="none" w:sz="0" w:space="0" w:color="auto"/>
        <w:bottom w:val="none" w:sz="0" w:space="0" w:color="auto"/>
        <w:right w:val="none" w:sz="0" w:space="0" w:color="auto"/>
      </w:divBdr>
    </w:div>
    <w:div w:id="2135370551">
      <w:bodyDiv w:val="1"/>
      <w:marLeft w:val="0"/>
      <w:marRight w:val="0"/>
      <w:marTop w:val="0"/>
      <w:marBottom w:val="0"/>
      <w:divBdr>
        <w:top w:val="none" w:sz="0" w:space="0" w:color="auto"/>
        <w:left w:val="none" w:sz="0" w:space="0" w:color="auto"/>
        <w:bottom w:val="none" w:sz="0" w:space="0" w:color="auto"/>
        <w:right w:val="none" w:sz="0" w:space="0" w:color="auto"/>
      </w:divBdr>
      <w:divsChild>
        <w:div w:id="48204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s.nhs.uk"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wmedinfo@nhs.net?subject=New%20Medicines%20Newslette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kmi.nhs.uk/nd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wmedinfo@nhs.net?subject=New%20Medicines%20Newslett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s://www.sps.nhs.uk/articles/sps-horizon-scanning/" TargetMode="External"/><Relationship Id="rId2" Type="http://schemas.openxmlformats.org/officeDocument/2006/relationships/image" Target="media/image4.png"/><Relationship Id="rId1" Type="http://schemas.openxmlformats.org/officeDocument/2006/relationships/image" Target="media/image2.jpeg"/><Relationship Id="rId4" Type="http://schemas.openxmlformats.org/officeDocument/2006/relationships/hyperlink" Target="https://www.sps.nhs.uk/home/planning/annual-medicines-planning/"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PU\MedicinesInfo\Publications%20NWMIC\New%20Medicines%20News%20(incl%20Clinical%20Pharmacist)\Admin\New%20Medicines%20New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E074-DAC3-464B-8E55-3847741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Medicines News template 2024</Template>
  <TotalTime>1921</TotalTime>
  <Pages>7</Pages>
  <Words>3328</Words>
  <Characters>21899</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NDO home | Contact | Register for NDO access</vt:lpstr>
    </vt:vector>
  </TitlesOfParts>
  <Company>NMHIS</Company>
  <LinksUpToDate>false</LinksUpToDate>
  <CharactersWithSpaces>25177</CharactersWithSpaces>
  <SharedDoc>false</SharedDoc>
  <HLinks>
    <vt:vector size="498" baseType="variant">
      <vt:variant>
        <vt:i4>458841</vt:i4>
      </vt:variant>
      <vt:variant>
        <vt:i4>228</vt:i4>
      </vt:variant>
      <vt:variant>
        <vt:i4>0</vt:i4>
      </vt:variant>
      <vt:variant>
        <vt:i4>5</vt:i4>
      </vt:variant>
      <vt:variant>
        <vt:lpwstr>https://www.sps.nhs.uk/medicines/zuranolone/</vt:lpwstr>
      </vt:variant>
      <vt:variant>
        <vt:lpwstr/>
      </vt:variant>
      <vt:variant>
        <vt:i4>7602219</vt:i4>
      </vt:variant>
      <vt:variant>
        <vt:i4>225</vt:i4>
      </vt:variant>
      <vt:variant>
        <vt:i4>0</vt:i4>
      </vt:variant>
      <vt:variant>
        <vt:i4>5</vt:i4>
      </vt:variant>
      <vt:variant>
        <vt:lpwstr>https://www.sps.nhs.uk/medicines/zoliflodacin/</vt:lpwstr>
      </vt:variant>
      <vt:variant>
        <vt:lpwstr/>
      </vt:variant>
      <vt:variant>
        <vt:i4>8323111</vt:i4>
      </vt:variant>
      <vt:variant>
        <vt:i4>222</vt:i4>
      </vt:variant>
      <vt:variant>
        <vt:i4>0</vt:i4>
      </vt:variant>
      <vt:variant>
        <vt:i4>5</vt:i4>
      </vt:variant>
      <vt:variant>
        <vt:lpwstr>https://www.sps.nhs.uk/medicines/upadacitinib/</vt:lpwstr>
      </vt:variant>
      <vt:variant>
        <vt:lpwstr/>
      </vt:variant>
      <vt:variant>
        <vt:i4>5570648</vt:i4>
      </vt:variant>
      <vt:variant>
        <vt:i4>219</vt:i4>
      </vt:variant>
      <vt:variant>
        <vt:i4>0</vt:i4>
      </vt:variant>
      <vt:variant>
        <vt:i4>5</vt:i4>
      </vt:variant>
      <vt:variant>
        <vt:lpwstr>https://www.sps.nhs.uk/medicines/sep-363856/</vt:lpwstr>
      </vt:variant>
      <vt:variant>
        <vt:lpwstr/>
      </vt:variant>
      <vt:variant>
        <vt:i4>131160</vt:i4>
      </vt:variant>
      <vt:variant>
        <vt:i4>216</vt:i4>
      </vt:variant>
      <vt:variant>
        <vt:i4>0</vt:i4>
      </vt:variant>
      <vt:variant>
        <vt:i4>5</vt:i4>
      </vt:variant>
      <vt:variant>
        <vt:lpwstr>https://www.sps.nhs.uk/medicines/padesvonil/</vt:lpwstr>
      </vt:variant>
      <vt:variant>
        <vt:lpwstr/>
      </vt:variant>
      <vt:variant>
        <vt:i4>4456520</vt:i4>
      </vt:variant>
      <vt:variant>
        <vt:i4>213</vt:i4>
      </vt:variant>
      <vt:variant>
        <vt:i4>0</vt:i4>
      </vt:variant>
      <vt:variant>
        <vt:i4>5</vt:i4>
      </vt:variant>
      <vt:variant>
        <vt:lpwstr>https://www.sps.nhs.uk/medicines/opiranserin/</vt:lpwstr>
      </vt:variant>
      <vt:variant>
        <vt:lpwstr/>
      </vt:variant>
      <vt:variant>
        <vt:i4>2555944</vt:i4>
      </vt:variant>
      <vt:variant>
        <vt:i4>210</vt:i4>
      </vt:variant>
      <vt:variant>
        <vt:i4>0</vt:i4>
      </vt:variant>
      <vt:variant>
        <vt:i4>5</vt:i4>
      </vt:variant>
      <vt:variant>
        <vt:lpwstr>https://www.sps.nhs.uk/medicines/mitapivat/</vt:lpwstr>
      </vt:variant>
      <vt:variant>
        <vt:lpwstr/>
      </vt:variant>
      <vt:variant>
        <vt:i4>393288</vt:i4>
      </vt:variant>
      <vt:variant>
        <vt:i4>207</vt:i4>
      </vt:variant>
      <vt:variant>
        <vt:i4>0</vt:i4>
      </vt:variant>
      <vt:variant>
        <vt:i4>5</vt:i4>
      </vt:variant>
      <vt:variant>
        <vt:lpwstr>https://www.sps.nhs.uk/medicines/linzagolix/</vt:lpwstr>
      </vt:variant>
      <vt:variant>
        <vt:lpwstr/>
      </vt:variant>
      <vt:variant>
        <vt:i4>3604520</vt:i4>
      </vt:variant>
      <vt:variant>
        <vt:i4>204</vt:i4>
      </vt:variant>
      <vt:variant>
        <vt:i4>0</vt:i4>
      </vt:variant>
      <vt:variant>
        <vt:i4>5</vt:i4>
      </vt:variant>
      <vt:variant>
        <vt:lpwstr>https://www.sps.nhs.uk/medicines/leriglitazone/</vt:lpwstr>
      </vt:variant>
      <vt:variant>
        <vt:lpwstr/>
      </vt:variant>
      <vt:variant>
        <vt:i4>7929889</vt:i4>
      </vt:variant>
      <vt:variant>
        <vt:i4>201</vt:i4>
      </vt:variant>
      <vt:variant>
        <vt:i4>0</vt:i4>
      </vt:variant>
      <vt:variant>
        <vt:i4>5</vt:i4>
      </vt:variant>
      <vt:variant>
        <vt:lpwstr>https://www.sps.nhs.uk/medicines/lebrikizumab/</vt:lpwstr>
      </vt:variant>
      <vt:variant>
        <vt:lpwstr/>
      </vt:variant>
      <vt:variant>
        <vt:i4>524381</vt:i4>
      </vt:variant>
      <vt:variant>
        <vt:i4>198</vt:i4>
      </vt:variant>
      <vt:variant>
        <vt:i4>0</vt:i4>
      </vt:variant>
      <vt:variant>
        <vt:i4>5</vt:i4>
      </vt:variant>
      <vt:variant>
        <vt:lpwstr>https://www.sps.nhs.uk/medicines/glatiramer/</vt:lpwstr>
      </vt:variant>
      <vt:variant>
        <vt:lpwstr/>
      </vt:variant>
      <vt:variant>
        <vt:i4>5832790</vt:i4>
      </vt:variant>
      <vt:variant>
        <vt:i4>195</vt:i4>
      </vt:variant>
      <vt:variant>
        <vt:i4>0</vt:i4>
      </vt:variant>
      <vt:variant>
        <vt:i4>5</vt:i4>
      </vt:variant>
      <vt:variant>
        <vt:lpwstr>https://www.sps.nhs.uk/medicines/fcr-001/</vt:lpwstr>
      </vt:variant>
      <vt:variant>
        <vt:lpwstr/>
      </vt:variant>
      <vt:variant>
        <vt:i4>3080232</vt:i4>
      </vt:variant>
      <vt:variant>
        <vt:i4>192</vt:i4>
      </vt:variant>
      <vt:variant>
        <vt:i4>0</vt:i4>
      </vt:variant>
      <vt:variant>
        <vt:i4>5</vt:i4>
      </vt:variant>
      <vt:variant>
        <vt:lpwstr>https://www.sps.nhs.uk/medicines/empagliflozin/</vt:lpwstr>
      </vt:variant>
      <vt:variant>
        <vt:lpwstr/>
      </vt:variant>
      <vt:variant>
        <vt:i4>2752551</vt:i4>
      </vt:variant>
      <vt:variant>
        <vt:i4>189</vt:i4>
      </vt:variant>
      <vt:variant>
        <vt:i4>0</vt:i4>
      </vt:variant>
      <vt:variant>
        <vt:i4>5</vt:i4>
      </vt:variant>
      <vt:variant>
        <vt:lpwstr>https://www.sps.nhs.uk/medicines/diazoxide/</vt:lpwstr>
      </vt:variant>
      <vt:variant>
        <vt:lpwstr/>
      </vt:variant>
      <vt:variant>
        <vt:i4>6815782</vt:i4>
      </vt:variant>
      <vt:variant>
        <vt:i4>186</vt:i4>
      </vt:variant>
      <vt:variant>
        <vt:i4>0</vt:i4>
      </vt:variant>
      <vt:variant>
        <vt:i4>5</vt:i4>
      </vt:variant>
      <vt:variant>
        <vt:lpwstr>https://www.sps.nhs.uk/medicines/dasiglucagon/</vt:lpwstr>
      </vt:variant>
      <vt:variant>
        <vt:lpwstr/>
      </vt:variant>
      <vt:variant>
        <vt:i4>4194380</vt:i4>
      </vt:variant>
      <vt:variant>
        <vt:i4>183</vt:i4>
      </vt:variant>
      <vt:variant>
        <vt:i4>0</vt:i4>
      </vt:variant>
      <vt:variant>
        <vt:i4>5</vt:i4>
      </vt:variant>
      <vt:variant>
        <vt:lpwstr>https://www.sps.nhs.uk/medicines/cyclobenzaprine/</vt:lpwstr>
      </vt:variant>
      <vt:variant>
        <vt:lpwstr/>
      </vt:variant>
      <vt:variant>
        <vt:i4>1179733</vt:i4>
      </vt:variant>
      <vt:variant>
        <vt:i4>180</vt:i4>
      </vt:variant>
      <vt:variant>
        <vt:i4>0</vt:i4>
      </vt:variant>
      <vt:variant>
        <vt:i4>5</vt:i4>
      </vt:variant>
      <vt:variant>
        <vt:lpwstr>https://www.sps.nhs.uk/medicines/bumetanide/</vt:lpwstr>
      </vt:variant>
      <vt:variant>
        <vt:lpwstr/>
      </vt:variant>
      <vt:variant>
        <vt:i4>1835099</vt:i4>
      </vt:variant>
      <vt:variant>
        <vt:i4>177</vt:i4>
      </vt:variant>
      <vt:variant>
        <vt:i4>0</vt:i4>
      </vt:variant>
      <vt:variant>
        <vt:i4>5</vt:i4>
      </vt:variant>
      <vt:variant>
        <vt:lpwstr>https://www.sps.nhs.uk/medicines/budesonide/</vt:lpwstr>
      </vt:variant>
      <vt:variant>
        <vt:lpwstr/>
      </vt:variant>
      <vt:variant>
        <vt:i4>1638427</vt:i4>
      </vt:variant>
      <vt:variant>
        <vt:i4>174</vt:i4>
      </vt:variant>
      <vt:variant>
        <vt:i4>0</vt:i4>
      </vt:variant>
      <vt:variant>
        <vt:i4>5</vt:i4>
      </vt:variant>
      <vt:variant>
        <vt:lpwstr>https://www.sps.nhs.uk/medicines/bardoxolone-methyl/</vt:lpwstr>
      </vt:variant>
      <vt:variant>
        <vt:lpwstr/>
      </vt:variant>
      <vt:variant>
        <vt:i4>5767195</vt:i4>
      </vt:variant>
      <vt:variant>
        <vt:i4>171</vt:i4>
      </vt:variant>
      <vt:variant>
        <vt:i4>0</vt:i4>
      </vt:variant>
      <vt:variant>
        <vt:i4>5</vt:i4>
      </vt:variant>
      <vt:variant>
        <vt:lpwstr>https://www.sps.nhs.uk/medicines/autologous-bm-derived-stem-cell-therapy/</vt:lpwstr>
      </vt:variant>
      <vt:variant>
        <vt:lpwstr/>
      </vt:variant>
      <vt:variant>
        <vt:i4>4587591</vt:i4>
      </vt:variant>
      <vt:variant>
        <vt:i4>168</vt:i4>
      </vt:variant>
      <vt:variant>
        <vt:i4>0</vt:i4>
      </vt:variant>
      <vt:variant>
        <vt:i4>5</vt:i4>
      </vt:variant>
      <vt:variant>
        <vt:lpwstr>https://www.sps.nhs.uk/medicines/at-gtx-501/</vt:lpwstr>
      </vt:variant>
      <vt:variant>
        <vt:lpwstr/>
      </vt:variant>
      <vt:variant>
        <vt:i4>7864359</vt:i4>
      </vt:variant>
      <vt:variant>
        <vt:i4>165</vt:i4>
      </vt:variant>
      <vt:variant>
        <vt:i4>0</vt:i4>
      </vt:variant>
      <vt:variant>
        <vt:i4>5</vt:i4>
      </vt:variant>
      <vt:variant>
        <vt:lpwstr>https://www.sps.nhs.uk/medicines/telapristone/</vt:lpwstr>
      </vt:variant>
      <vt:variant>
        <vt:lpwstr/>
      </vt:variant>
      <vt:variant>
        <vt:i4>7864359</vt:i4>
      </vt:variant>
      <vt:variant>
        <vt:i4>162</vt:i4>
      </vt:variant>
      <vt:variant>
        <vt:i4>0</vt:i4>
      </vt:variant>
      <vt:variant>
        <vt:i4>5</vt:i4>
      </vt:variant>
      <vt:variant>
        <vt:lpwstr>https://www.sps.nhs.uk/medicines/telapristone/</vt:lpwstr>
      </vt:variant>
      <vt:variant>
        <vt:lpwstr/>
      </vt:variant>
      <vt:variant>
        <vt:i4>1769490</vt:i4>
      </vt:variant>
      <vt:variant>
        <vt:i4>159</vt:i4>
      </vt:variant>
      <vt:variant>
        <vt:i4>0</vt:i4>
      </vt:variant>
      <vt:variant>
        <vt:i4>5</vt:i4>
      </vt:variant>
      <vt:variant>
        <vt:lpwstr>https://www.sps.nhs.uk/medicines/t-cell-replacement-therapy/</vt:lpwstr>
      </vt:variant>
      <vt:variant>
        <vt:lpwstr/>
      </vt:variant>
      <vt:variant>
        <vt:i4>1245262</vt:i4>
      </vt:variant>
      <vt:variant>
        <vt:i4>156</vt:i4>
      </vt:variant>
      <vt:variant>
        <vt:i4>0</vt:i4>
      </vt:variant>
      <vt:variant>
        <vt:i4>5</vt:i4>
      </vt:variant>
      <vt:variant>
        <vt:lpwstr>https://www.sps.nhs.uk/medicines/salmeterol/</vt:lpwstr>
      </vt:variant>
      <vt:variant>
        <vt:lpwstr/>
      </vt:variant>
      <vt:variant>
        <vt:i4>1966174</vt:i4>
      </vt:variant>
      <vt:variant>
        <vt:i4>153</vt:i4>
      </vt:variant>
      <vt:variant>
        <vt:i4>0</vt:i4>
      </vt:variant>
      <vt:variant>
        <vt:i4>5</vt:i4>
      </vt:variant>
      <vt:variant>
        <vt:lpwstr>https://www.sps.nhs.uk/medicines/rapastinel/</vt:lpwstr>
      </vt:variant>
      <vt:variant>
        <vt:lpwstr/>
      </vt:variant>
      <vt:variant>
        <vt:i4>3276927</vt:i4>
      </vt:variant>
      <vt:variant>
        <vt:i4>150</vt:i4>
      </vt:variant>
      <vt:variant>
        <vt:i4>0</vt:i4>
      </vt:variant>
      <vt:variant>
        <vt:i4>5</vt:i4>
      </vt:variant>
      <vt:variant>
        <vt:lpwstr>https://www.sps.nhs.uk/medicines/pegylated-recombinant-human-hyaluronidase/</vt:lpwstr>
      </vt:variant>
      <vt:variant>
        <vt:lpwstr/>
      </vt:variant>
      <vt:variant>
        <vt:i4>4849741</vt:i4>
      </vt:variant>
      <vt:variant>
        <vt:i4>147</vt:i4>
      </vt:variant>
      <vt:variant>
        <vt:i4>0</vt:i4>
      </vt:variant>
      <vt:variant>
        <vt:i4>5</vt:i4>
      </vt:variant>
      <vt:variant>
        <vt:lpwstr>https://www.sps.nhs.uk/medicines/nilvadipine/</vt:lpwstr>
      </vt:variant>
      <vt:variant>
        <vt:lpwstr/>
      </vt:variant>
      <vt:variant>
        <vt:i4>7798828</vt:i4>
      </vt:variant>
      <vt:variant>
        <vt:i4>144</vt:i4>
      </vt:variant>
      <vt:variant>
        <vt:i4>0</vt:i4>
      </vt:variant>
      <vt:variant>
        <vt:i4>5</vt:i4>
      </vt:variant>
      <vt:variant>
        <vt:lpwstr>https://www.sps.nhs.uk/medicines/naloxone/</vt:lpwstr>
      </vt:variant>
      <vt:variant>
        <vt:lpwstr/>
      </vt:variant>
      <vt:variant>
        <vt:i4>1441887</vt:i4>
      </vt:variant>
      <vt:variant>
        <vt:i4>141</vt:i4>
      </vt:variant>
      <vt:variant>
        <vt:i4>0</vt:i4>
      </vt:variant>
      <vt:variant>
        <vt:i4>5</vt:i4>
      </vt:variant>
      <vt:variant>
        <vt:lpwstr>https://www.sps.nhs.uk/medicines/macitentan/</vt:lpwstr>
      </vt:variant>
      <vt:variant>
        <vt:lpwstr/>
      </vt:variant>
      <vt:variant>
        <vt:i4>6225993</vt:i4>
      </vt:variant>
      <vt:variant>
        <vt:i4>138</vt:i4>
      </vt:variant>
      <vt:variant>
        <vt:i4>0</vt:i4>
      </vt:variant>
      <vt:variant>
        <vt:i4>5</vt:i4>
      </vt:variant>
      <vt:variant>
        <vt:lpwstr>https://www.sps.nhs.uk/medicines/hydroxyprogesterone/</vt:lpwstr>
      </vt:variant>
      <vt:variant>
        <vt:lpwstr/>
      </vt:variant>
      <vt:variant>
        <vt:i4>2687026</vt:i4>
      </vt:variant>
      <vt:variant>
        <vt:i4>135</vt:i4>
      </vt:variant>
      <vt:variant>
        <vt:i4>0</vt:i4>
      </vt:variant>
      <vt:variant>
        <vt:i4>5</vt:i4>
      </vt:variant>
      <vt:variant>
        <vt:lpwstr>https://www.sps.nhs.uk/medicines/ciprofloxacin/</vt:lpwstr>
      </vt:variant>
      <vt:variant>
        <vt:lpwstr/>
      </vt:variant>
      <vt:variant>
        <vt:i4>196702</vt:i4>
      </vt:variant>
      <vt:variant>
        <vt:i4>132</vt:i4>
      </vt:variant>
      <vt:variant>
        <vt:i4>0</vt:i4>
      </vt:variant>
      <vt:variant>
        <vt:i4>5</vt:i4>
      </vt:variant>
      <vt:variant>
        <vt:lpwstr>https://www.sps.nhs.uk/medicines/calcitonin/</vt:lpwstr>
      </vt:variant>
      <vt:variant>
        <vt:lpwstr/>
      </vt:variant>
      <vt:variant>
        <vt:i4>7667749</vt:i4>
      </vt:variant>
      <vt:variant>
        <vt:i4>129</vt:i4>
      </vt:variant>
      <vt:variant>
        <vt:i4>0</vt:i4>
      </vt:variant>
      <vt:variant>
        <vt:i4>5</vt:i4>
      </vt:variant>
      <vt:variant>
        <vt:lpwstr>https://www.sps.nhs.uk/medicines/c1-esterase-inhibitor/</vt:lpwstr>
      </vt:variant>
      <vt:variant>
        <vt:lpwstr/>
      </vt:variant>
      <vt:variant>
        <vt:i4>2490478</vt:i4>
      </vt:variant>
      <vt:variant>
        <vt:i4>126</vt:i4>
      </vt:variant>
      <vt:variant>
        <vt:i4>0</vt:i4>
      </vt:variant>
      <vt:variant>
        <vt:i4>5</vt:i4>
      </vt:variant>
      <vt:variant>
        <vt:lpwstr>https://www.sps.nhs.uk/medicines/buprenorphine-samidorphan/</vt:lpwstr>
      </vt:variant>
      <vt:variant>
        <vt:lpwstr/>
      </vt:variant>
      <vt:variant>
        <vt:i4>2621493</vt:i4>
      </vt:variant>
      <vt:variant>
        <vt:i4>123</vt:i4>
      </vt:variant>
      <vt:variant>
        <vt:i4>0</vt:i4>
      </vt:variant>
      <vt:variant>
        <vt:i4>5</vt:i4>
      </vt:variant>
      <vt:variant>
        <vt:lpwstr>https://www.sps.nhs.uk/medicines/buprenorphine/</vt:lpwstr>
      </vt:variant>
      <vt:variant>
        <vt:lpwstr/>
      </vt:variant>
      <vt:variant>
        <vt:i4>3538984</vt:i4>
      </vt:variant>
      <vt:variant>
        <vt:i4>120</vt:i4>
      </vt:variant>
      <vt:variant>
        <vt:i4>0</vt:i4>
      </vt:variant>
      <vt:variant>
        <vt:i4>5</vt:i4>
      </vt:variant>
      <vt:variant>
        <vt:lpwstr>https://www.sps.nhs.uk/medicines/botulinum-a-toxin/</vt:lpwstr>
      </vt:variant>
      <vt:variant>
        <vt:lpwstr/>
      </vt:variant>
      <vt:variant>
        <vt:i4>458843</vt:i4>
      </vt:variant>
      <vt:variant>
        <vt:i4>117</vt:i4>
      </vt:variant>
      <vt:variant>
        <vt:i4>0</vt:i4>
      </vt:variant>
      <vt:variant>
        <vt:i4>5</vt:i4>
      </vt:variant>
      <vt:variant>
        <vt:lpwstr>https://www.sps.nhs.uk/medicines/biotin/</vt:lpwstr>
      </vt:variant>
      <vt:variant>
        <vt:lpwstr/>
      </vt:variant>
      <vt:variant>
        <vt:i4>3145761</vt:i4>
      </vt:variant>
      <vt:variant>
        <vt:i4>114</vt:i4>
      </vt:variant>
      <vt:variant>
        <vt:i4>0</vt:i4>
      </vt:variant>
      <vt:variant>
        <vt:i4>5</vt:i4>
      </vt:variant>
      <vt:variant>
        <vt:lpwstr>https://www.sps.nhs.uk/medicines/arbaclofen-placarbil/</vt:lpwstr>
      </vt:variant>
      <vt:variant>
        <vt:lpwstr/>
      </vt:variant>
      <vt:variant>
        <vt:i4>1572889</vt:i4>
      </vt:variant>
      <vt:variant>
        <vt:i4>111</vt:i4>
      </vt:variant>
      <vt:variant>
        <vt:i4>0</vt:i4>
      </vt:variant>
      <vt:variant>
        <vt:i4>5</vt:i4>
      </vt:variant>
      <vt:variant>
        <vt:lpwstr>https://www.sps.nhs.uk/medicines/valoctocogene-roxaparvovec/</vt:lpwstr>
      </vt:variant>
      <vt:variant>
        <vt:lpwstr/>
      </vt:variant>
      <vt:variant>
        <vt:i4>2031697</vt:i4>
      </vt:variant>
      <vt:variant>
        <vt:i4>108</vt:i4>
      </vt:variant>
      <vt:variant>
        <vt:i4>0</vt:i4>
      </vt:variant>
      <vt:variant>
        <vt:i4>5</vt:i4>
      </vt:variant>
      <vt:variant>
        <vt:lpwstr>https://www.sps.nhs.uk/medicines/meningococcal-groups-a-c-w135-y-vaccine/</vt:lpwstr>
      </vt:variant>
      <vt:variant>
        <vt:lpwstr/>
      </vt:variant>
      <vt:variant>
        <vt:i4>5374020</vt:i4>
      </vt:variant>
      <vt:variant>
        <vt:i4>105</vt:i4>
      </vt:variant>
      <vt:variant>
        <vt:i4>0</vt:i4>
      </vt:variant>
      <vt:variant>
        <vt:i4>5</vt:i4>
      </vt:variant>
      <vt:variant>
        <vt:lpwstr>https://www.sps.nhs.uk/medicines/encorafenib/</vt:lpwstr>
      </vt:variant>
      <vt:variant>
        <vt:lpwstr/>
      </vt:variant>
      <vt:variant>
        <vt:i4>7209001</vt:i4>
      </vt:variant>
      <vt:variant>
        <vt:i4>102</vt:i4>
      </vt:variant>
      <vt:variant>
        <vt:i4>0</vt:i4>
      </vt:variant>
      <vt:variant>
        <vt:i4>5</vt:i4>
      </vt:variant>
      <vt:variant>
        <vt:lpwstr>https://www.sps.nhs.uk/medicines/elexacaftor-ivacaftor-tezacaftor/</vt:lpwstr>
      </vt:variant>
      <vt:variant>
        <vt:lpwstr/>
      </vt:variant>
      <vt:variant>
        <vt:i4>4849729</vt:i4>
      </vt:variant>
      <vt:variant>
        <vt:i4>99</vt:i4>
      </vt:variant>
      <vt:variant>
        <vt:i4>0</vt:i4>
      </vt:variant>
      <vt:variant>
        <vt:i4>5</vt:i4>
      </vt:variant>
      <vt:variant>
        <vt:lpwstr>https://www.sps.nhs.uk/medicines/bulevirtide/</vt:lpwstr>
      </vt:variant>
      <vt:variant>
        <vt:lpwstr/>
      </vt:variant>
      <vt:variant>
        <vt:i4>5570637</vt:i4>
      </vt:variant>
      <vt:variant>
        <vt:i4>96</vt:i4>
      </vt:variant>
      <vt:variant>
        <vt:i4>0</vt:i4>
      </vt:variant>
      <vt:variant>
        <vt:i4>5</vt:i4>
      </vt:variant>
      <vt:variant>
        <vt:lpwstr>https://www.sps.nhs.uk/medicines/binimetinib/</vt:lpwstr>
      </vt:variant>
      <vt:variant>
        <vt:lpwstr/>
      </vt:variant>
      <vt:variant>
        <vt:i4>4128817</vt:i4>
      </vt:variant>
      <vt:variant>
        <vt:i4>93</vt:i4>
      </vt:variant>
      <vt:variant>
        <vt:i4>0</vt:i4>
      </vt:variant>
      <vt:variant>
        <vt:i4>5</vt:i4>
      </vt:variant>
      <vt:variant>
        <vt:lpwstr>https://www.sps.nhs.uk/medicines/ad26-ebov-vaccine/</vt:lpwstr>
      </vt:variant>
      <vt:variant>
        <vt:lpwstr/>
      </vt:variant>
      <vt:variant>
        <vt:i4>2555952</vt:i4>
      </vt:variant>
      <vt:variant>
        <vt:i4>90</vt:i4>
      </vt:variant>
      <vt:variant>
        <vt:i4>0</vt:i4>
      </vt:variant>
      <vt:variant>
        <vt:i4>5</vt:i4>
      </vt:variant>
      <vt:variant>
        <vt:lpwstr>https://www.sps.nhs.uk/medicines/acalabrutinib/</vt:lpwstr>
      </vt:variant>
      <vt:variant>
        <vt:lpwstr/>
      </vt:variant>
      <vt:variant>
        <vt:i4>2818164</vt:i4>
      </vt:variant>
      <vt:variant>
        <vt:i4>87</vt:i4>
      </vt:variant>
      <vt:variant>
        <vt:i4>0</vt:i4>
      </vt:variant>
      <vt:variant>
        <vt:i4>5</vt:i4>
      </vt:variant>
      <vt:variant>
        <vt:lpwstr>https://www.sps.nhs.uk/medicines/trastuzumab-emtansine/</vt:lpwstr>
      </vt:variant>
      <vt:variant>
        <vt:lpwstr/>
      </vt:variant>
      <vt:variant>
        <vt:i4>7471146</vt:i4>
      </vt:variant>
      <vt:variant>
        <vt:i4>84</vt:i4>
      </vt:variant>
      <vt:variant>
        <vt:i4>0</vt:i4>
      </vt:variant>
      <vt:variant>
        <vt:i4>5</vt:i4>
      </vt:variant>
      <vt:variant>
        <vt:lpwstr>https://www.sps.nhs.uk/medicines/solriamfetol/</vt:lpwstr>
      </vt:variant>
      <vt:variant>
        <vt:lpwstr/>
      </vt:variant>
      <vt:variant>
        <vt:i4>2621480</vt:i4>
      </vt:variant>
      <vt:variant>
        <vt:i4>81</vt:i4>
      </vt:variant>
      <vt:variant>
        <vt:i4>0</vt:i4>
      </vt:variant>
      <vt:variant>
        <vt:i4>5</vt:i4>
      </vt:variant>
      <vt:variant>
        <vt:lpwstr>https://www.sps.nhs.uk/medicines/siponimod/</vt:lpwstr>
      </vt:variant>
      <vt:variant>
        <vt:lpwstr/>
      </vt:variant>
      <vt:variant>
        <vt:i4>5308487</vt:i4>
      </vt:variant>
      <vt:variant>
        <vt:i4>78</vt:i4>
      </vt:variant>
      <vt:variant>
        <vt:i4>0</vt:i4>
      </vt:variant>
      <vt:variant>
        <vt:i4>5</vt:i4>
      </vt:variant>
      <vt:variant>
        <vt:lpwstr>https://www.sps.nhs.uk/medicines/polatuzumab/</vt:lpwstr>
      </vt:variant>
      <vt:variant>
        <vt:lpwstr/>
      </vt:variant>
      <vt:variant>
        <vt:i4>6946876</vt:i4>
      </vt:variant>
      <vt:variant>
        <vt:i4>75</vt:i4>
      </vt:variant>
      <vt:variant>
        <vt:i4>0</vt:i4>
      </vt:variant>
      <vt:variant>
        <vt:i4>5</vt:i4>
      </vt:variant>
      <vt:variant>
        <vt:lpwstr>https://www.sps.nhs.uk/medicines/osilodrostat/</vt:lpwstr>
      </vt:variant>
      <vt:variant>
        <vt:lpwstr/>
      </vt:variant>
      <vt:variant>
        <vt:i4>6291494</vt:i4>
      </vt:variant>
      <vt:variant>
        <vt:i4>72</vt:i4>
      </vt:variant>
      <vt:variant>
        <vt:i4>0</vt:i4>
      </vt:variant>
      <vt:variant>
        <vt:i4>5</vt:i4>
      </vt:variant>
      <vt:variant>
        <vt:lpwstr>https://www.sps.nhs.uk/medicines/lenalidomide/</vt:lpwstr>
      </vt:variant>
      <vt:variant>
        <vt:lpwstr/>
      </vt:variant>
      <vt:variant>
        <vt:i4>7733280</vt:i4>
      </vt:variant>
      <vt:variant>
        <vt:i4>69</vt:i4>
      </vt:variant>
      <vt:variant>
        <vt:i4>0</vt:i4>
      </vt:variant>
      <vt:variant>
        <vt:i4>5</vt:i4>
      </vt:variant>
      <vt:variant>
        <vt:lpwstr>https://www.sps.nhs.uk/medicines/fostamatinib-disodium/</vt:lpwstr>
      </vt:variant>
      <vt:variant>
        <vt:lpwstr/>
      </vt:variant>
      <vt:variant>
        <vt:i4>3342373</vt:i4>
      </vt:variant>
      <vt:variant>
        <vt:i4>66</vt:i4>
      </vt:variant>
      <vt:variant>
        <vt:i4>0</vt:i4>
      </vt:variant>
      <vt:variant>
        <vt:i4>5</vt:i4>
      </vt:variant>
      <vt:variant>
        <vt:lpwstr>https://www.sps.nhs.uk/medicines/trientine/</vt:lpwstr>
      </vt:variant>
      <vt:variant>
        <vt:lpwstr/>
      </vt:variant>
      <vt:variant>
        <vt:i4>1900625</vt:i4>
      </vt:variant>
      <vt:variant>
        <vt:i4>63</vt:i4>
      </vt:variant>
      <vt:variant>
        <vt:i4>0</vt:i4>
      </vt:variant>
      <vt:variant>
        <vt:i4>5</vt:i4>
      </vt:variant>
      <vt:variant>
        <vt:lpwstr>https://www.sps.nhs.uk/medicines/netarsudil-mesilate/</vt:lpwstr>
      </vt:variant>
      <vt:variant>
        <vt:lpwstr/>
      </vt:variant>
      <vt:variant>
        <vt:i4>7143468</vt:i4>
      </vt:variant>
      <vt:variant>
        <vt:i4>60</vt:i4>
      </vt:variant>
      <vt:variant>
        <vt:i4>0</vt:i4>
      </vt:variant>
      <vt:variant>
        <vt:i4>5</vt:i4>
      </vt:variant>
      <vt:variant>
        <vt:lpwstr>https://www.sps.nhs.uk/medicines/levodopa/</vt:lpwstr>
      </vt:variant>
      <vt:variant>
        <vt:lpwstr/>
      </vt:variant>
      <vt:variant>
        <vt:i4>852061</vt:i4>
      </vt:variant>
      <vt:variant>
        <vt:i4>57</vt:i4>
      </vt:variant>
      <vt:variant>
        <vt:i4>0</vt:i4>
      </vt:variant>
      <vt:variant>
        <vt:i4>5</vt:i4>
      </vt:variant>
      <vt:variant>
        <vt:lpwstr>https://www.sps.nhs.uk/medicines/infliximab/</vt:lpwstr>
      </vt:variant>
      <vt:variant>
        <vt:lpwstr/>
      </vt:variant>
      <vt:variant>
        <vt:i4>4063335</vt:i4>
      </vt:variant>
      <vt:variant>
        <vt:i4>54</vt:i4>
      </vt:variant>
      <vt:variant>
        <vt:i4>0</vt:i4>
      </vt:variant>
      <vt:variant>
        <vt:i4>5</vt:i4>
      </vt:variant>
      <vt:variant>
        <vt:lpwstr>https://www.sps.nhs.uk/medicines/ebola-vaccine/</vt:lpwstr>
      </vt:variant>
      <vt:variant>
        <vt:lpwstr/>
      </vt:variant>
      <vt:variant>
        <vt:i4>2621493</vt:i4>
      </vt:variant>
      <vt:variant>
        <vt:i4>51</vt:i4>
      </vt:variant>
      <vt:variant>
        <vt:i4>0</vt:i4>
      </vt:variant>
      <vt:variant>
        <vt:i4>5</vt:i4>
      </vt:variant>
      <vt:variant>
        <vt:lpwstr>https://www.sps.nhs.uk/medicines/buprenorphine/</vt:lpwstr>
      </vt:variant>
      <vt:variant>
        <vt:lpwstr/>
      </vt:variant>
      <vt:variant>
        <vt:i4>1179726</vt:i4>
      </vt:variant>
      <vt:variant>
        <vt:i4>48</vt:i4>
      </vt:variant>
      <vt:variant>
        <vt:i4>0</vt:i4>
      </vt:variant>
      <vt:variant>
        <vt:i4>5</vt:i4>
      </vt:variant>
      <vt:variant>
        <vt:lpwstr>https://www.sps.nhs.uk/medicines/arginine-lysine/</vt:lpwstr>
      </vt:variant>
      <vt:variant>
        <vt:lpwstr/>
      </vt:variant>
      <vt:variant>
        <vt:i4>7798824</vt:i4>
      </vt:variant>
      <vt:variant>
        <vt:i4>45</vt:i4>
      </vt:variant>
      <vt:variant>
        <vt:i4>0</vt:i4>
      </vt:variant>
      <vt:variant>
        <vt:i4>5</vt:i4>
      </vt:variant>
      <vt:variant>
        <vt:lpwstr>https://www.sps.nhs.uk/medicines/teriparatide/</vt:lpwstr>
      </vt:variant>
      <vt:variant>
        <vt:lpwstr/>
      </vt:variant>
      <vt:variant>
        <vt:i4>5767235</vt:i4>
      </vt:variant>
      <vt:variant>
        <vt:i4>42</vt:i4>
      </vt:variant>
      <vt:variant>
        <vt:i4>0</vt:i4>
      </vt:variant>
      <vt:variant>
        <vt:i4>5</vt:i4>
      </vt:variant>
      <vt:variant>
        <vt:lpwstr>https://www.sps.nhs.uk/medicines/paracetamol/</vt:lpwstr>
      </vt:variant>
      <vt:variant>
        <vt:lpwstr/>
      </vt:variant>
      <vt:variant>
        <vt:i4>2162736</vt:i4>
      </vt:variant>
      <vt:variant>
        <vt:i4>39</vt:i4>
      </vt:variant>
      <vt:variant>
        <vt:i4>0</vt:i4>
      </vt:variant>
      <vt:variant>
        <vt:i4>5</vt:i4>
      </vt:variant>
      <vt:variant>
        <vt:lpwstr>https://www.sps.nhs.uk/articles/ukmi-product-safety-assessments-2/</vt:lpwstr>
      </vt:variant>
      <vt:variant>
        <vt:lpwstr/>
      </vt:variant>
      <vt:variant>
        <vt:i4>5767196</vt:i4>
      </vt:variant>
      <vt:variant>
        <vt:i4>36</vt:i4>
      </vt:variant>
      <vt:variant>
        <vt:i4>0</vt:i4>
      </vt:variant>
      <vt:variant>
        <vt:i4>5</vt:i4>
      </vt:variant>
      <vt:variant>
        <vt:lpwstr>https://www.sps.nhs.uk/articles/prioritising-new-products-for-a-ukmi-product-safety-assessment-a-resource-for-ukmi-patient-safety-working-group/</vt:lpwstr>
      </vt:variant>
      <vt:variant>
        <vt:lpwstr/>
      </vt:variant>
      <vt:variant>
        <vt:i4>3211304</vt:i4>
      </vt:variant>
      <vt:variant>
        <vt:i4>33</vt:i4>
      </vt:variant>
      <vt:variant>
        <vt:i4>0</vt:i4>
      </vt:variant>
      <vt:variant>
        <vt:i4>5</vt:i4>
      </vt:variant>
      <vt:variant>
        <vt:lpwstr>https://www.sps.nhs.uk/medicines/zanamivir/</vt:lpwstr>
      </vt:variant>
      <vt:variant>
        <vt:lpwstr/>
      </vt:variant>
      <vt:variant>
        <vt:i4>5111887</vt:i4>
      </vt:variant>
      <vt:variant>
        <vt:i4>30</vt:i4>
      </vt:variant>
      <vt:variant>
        <vt:i4>0</vt:i4>
      </vt:variant>
      <vt:variant>
        <vt:i4>5</vt:i4>
      </vt:variant>
      <vt:variant>
        <vt:lpwstr>https://www.sps.nhs.uk/medicines/talazoparib/</vt:lpwstr>
      </vt:variant>
      <vt:variant>
        <vt:lpwstr/>
      </vt:variant>
      <vt:variant>
        <vt:i4>4653149</vt:i4>
      </vt:variant>
      <vt:variant>
        <vt:i4>27</vt:i4>
      </vt:variant>
      <vt:variant>
        <vt:i4>0</vt:i4>
      </vt:variant>
      <vt:variant>
        <vt:i4>5</vt:i4>
      </vt:variant>
      <vt:variant>
        <vt:lpwstr>https://www.sps.nhs.uk/medicines/ranibizumab/</vt:lpwstr>
      </vt:variant>
      <vt:variant>
        <vt:lpwstr/>
      </vt:variant>
      <vt:variant>
        <vt:i4>3801149</vt:i4>
      </vt:variant>
      <vt:variant>
        <vt:i4>24</vt:i4>
      </vt:variant>
      <vt:variant>
        <vt:i4>0</vt:i4>
      </vt:variant>
      <vt:variant>
        <vt:i4>5</vt:i4>
      </vt:variant>
      <vt:variant>
        <vt:lpwstr>https://www.sps.nhs.uk/medicines/pembrolizumab/</vt:lpwstr>
      </vt:variant>
      <vt:variant>
        <vt:lpwstr/>
      </vt:variant>
      <vt:variant>
        <vt:i4>7602210</vt:i4>
      </vt:variant>
      <vt:variant>
        <vt:i4>21</vt:i4>
      </vt:variant>
      <vt:variant>
        <vt:i4>0</vt:i4>
      </vt:variant>
      <vt:variant>
        <vt:i4>5</vt:i4>
      </vt:variant>
      <vt:variant>
        <vt:lpwstr>https://www.sps.nhs.uk/medicines/nicotine/</vt:lpwstr>
      </vt:variant>
      <vt:variant>
        <vt:lpwstr/>
      </vt:variant>
      <vt:variant>
        <vt:i4>4063329</vt:i4>
      </vt:variant>
      <vt:variant>
        <vt:i4>18</vt:i4>
      </vt:variant>
      <vt:variant>
        <vt:i4>0</vt:i4>
      </vt:variant>
      <vt:variant>
        <vt:i4>5</vt:i4>
      </vt:variant>
      <vt:variant>
        <vt:lpwstr>https://www.sps.nhs.uk/medicines/meropenem-vaborbactam/</vt:lpwstr>
      </vt:variant>
      <vt:variant>
        <vt:lpwstr/>
      </vt:variant>
      <vt:variant>
        <vt:i4>4980828</vt:i4>
      </vt:variant>
      <vt:variant>
        <vt:i4>15</vt:i4>
      </vt:variant>
      <vt:variant>
        <vt:i4>0</vt:i4>
      </vt:variant>
      <vt:variant>
        <vt:i4>5</vt:i4>
      </vt:variant>
      <vt:variant>
        <vt:lpwstr>https://www.sps.nhs.uk/medicines/liraglutide/</vt:lpwstr>
      </vt:variant>
      <vt:variant>
        <vt:lpwstr/>
      </vt:variant>
      <vt:variant>
        <vt:i4>6553663</vt:i4>
      </vt:variant>
      <vt:variant>
        <vt:i4>12</vt:i4>
      </vt:variant>
      <vt:variant>
        <vt:i4>0</vt:i4>
      </vt:variant>
      <vt:variant>
        <vt:i4>5</vt:i4>
      </vt:variant>
      <vt:variant>
        <vt:lpwstr>https://www.sps.nhs.uk/medicines/gilteritinib/</vt:lpwstr>
      </vt:variant>
      <vt:variant>
        <vt:lpwstr/>
      </vt:variant>
      <vt:variant>
        <vt:i4>4980809</vt:i4>
      </vt:variant>
      <vt:variant>
        <vt:i4>9</vt:i4>
      </vt:variant>
      <vt:variant>
        <vt:i4>0</vt:i4>
      </vt:variant>
      <vt:variant>
        <vt:i4>5</vt:i4>
      </vt:variant>
      <vt:variant>
        <vt:lpwstr>https://www.sps.nhs.uk/medicines/daratumumab/</vt:lpwstr>
      </vt:variant>
      <vt:variant>
        <vt:lpwstr/>
      </vt:variant>
      <vt:variant>
        <vt:i4>2883621</vt:i4>
      </vt:variant>
      <vt:variant>
        <vt:i4>6</vt:i4>
      </vt:variant>
      <vt:variant>
        <vt:i4>0</vt:i4>
      </vt:variant>
      <vt:variant>
        <vt:i4>5</vt:i4>
      </vt:variant>
      <vt:variant>
        <vt:lpwstr>https://www.sps.nhs.uk/medicines/beclometasone/</vt:lpwstr>
      </vt:variant>
      <vt:variant>
        <vt:lpwstr/>
      </vt:variant>
      <vt:variant>
        <vt:i4>589864</vt:i4>
      </vt:variant>
      <vt:variant>
        <vt:i4>3</vt:i4>
      </vt:variant>
      <vt:variant>
        <vt:i4>0</vt:i4>
      </vt:variant>
      <vt:variant>
        <vt:i4>5</vt:i4>
      </vt:variant>
      <vt:variant>
        <vt:lpwstr>mailto:nwmedinfo@nhs.net?subject=New%20Medicines%20Newsletter</vt:lpwstr>
      </vt:variant>
      <vt:variant>
        <vt:lpwstr/>
      </vt:variant>
      <vt:variant>
        <vt:i4>7077923</vt:i4>
      </vt:variant>
      <vt:variant>
        <vt:i4>0</vt:i4>
      </vt:variant>
      <vt:variant>
        <vt:i4>0</vt:i4>
      </vt:variant>
      <vt:variant>
        <vt:i4>5</vt:i4>
      </vt:variant>
      <vt:variant>
        <vt:lpwstr>http://www.sps.nhs.uk/</vt:lpwstr>
      </vt:variant>
      <vt:variant>
        <vt:lpwstr/>
      </vt:variant>
      <vt:variant>
        <vt:i4>589864</vt:i4>
      </vt:variant>
      <vt:variant>
        <vt:i4>18</vt:i4>
      </vt:variant>
      <vt:variant>
        <vt:i4>0</vt:i4>
      </vt:variant>
      <vt:variant>
        <vt:i4>5</vt:i4>
      </vt:variant>
      <vt:variant>
        <vt:lpwstr>mailto:nwmedinfo@nhs.net?subject=New%20Medicines%20Newsletter</vt:lpwstr>
      </vt:variant>
      <vt:variant>
        <vt:lpwstr/>
      </vt:variant>
      <vt:variant>
        <vt:i4>7929901</vt:i4>
      </vt:variant>
      <vt:variant>
        <vt:i4>15</vt:i4>
      </vt:variant>
      <vt:variant>
        <vt:i4>0</vt:i4>
      </vt:variant>
      <vt:variant>
        <vt:i4>5</vt:i4>
      </vt:variant>
      <vt:variant>
        <vt:lpwstr>https://www.sps.nhs.uk/wp-login.php?action=register</vt:lpwstr>
      </vt:variant>
      <vt:variant>
        <vt:lpwstr/>
      </vt:variant>
      <vt:variant>
        <vt:i4>7077923</vt:i4>
      </vt:variant>
      <vt:variant>
        <vt:i4>12</vt:i4>
      </vt:variant>
      <vt:variant>
        <vt:i4>0</vt:i4>
      </vt:variant>
      <vt:variant>
        <vt:i4>5</vt:i4>
      </vt:variant>
      <vt:variant>
        <vt:lpwstr>http://www.sps.nhs.uk/</vt:lpwstr>
      </vt:variant>
      <vt:variant>
        <vt:lpwstr/>
      </vt:variant>
      <vt:variant>
        <vt:i4>3211377</vt:i4>
      </vt:variant>
      <vt:variant>
        <vt:i4>9</vt:i4>
      </vt:variant>
      <vt:variant>
        <vt:i4>0</vt:i4>
      </vt:variant>
      <vt:variant>
        <vt:i4>5</vt:i4>
      </vt:variant>
      <vt:variant>
        <vt:lpwstr>http://www.ukmi.nhs.uk/ndo</vt:lpwstr>
      </vt:variant>
      <vt:variant>
        <vt:lpwstr/>
      </vt:variant>
      <vt:variant>
        <vt:i4>1638407</vt:i4>
      </vt:variant>
      <vt:variant>
        <vt:i4>6</vt:i4>
      </vt:variant>
      <vt:variant>
        <vt:i4>0</vt:i4>
      </vt:variant>
      <vt:variant>
        <vt:i4>5</vt:i4>
      </vt:variant>
      <vt:variant>
        <vt:lpwstr>https://www.sps.nhs.uk/prescribing-outlook-2019/</vt:lpwstr>
      </vt:variant>
      <vt:variant>
        <vt:lpwstr/>
      </vt:variant>
      <vt:variant>
        <vt:i4>7405691</vt:i4>
      </vt:variant>
      <vt:variant>
        <vt:i4>3</vt:i4>
      </vt:variant>
      <vt:variant>
        <vt:i4>0</vt:i4>
      </vt:variant>
      <vt:variant>
        <vt:i4>5</vt:i4>
      </vt:variant>
      <vt:variant>
        <vt:lpwstr>https://www.sps.nhs.uk/category/new-medicines/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NDO home | Contact | Register for NDO access</dc:title>
  <dc:creator>McEntee Joanne (RQ6) RLBUHT</dc:creator>
  <cp:lastModifiedBy>Joanne McEntee</cp:lastModifiedBy>
  <cp:revision>167</cp:revision>
  <cp:lastPrinted>2019-12-09T12:59:00Z</cp:lastPrinted>
  <dcterms:created xsi:type="dcterms:W3CDTF">2024-01-17T09:39:00Z</dcterms:created>
  <dcterms:modified xsi:type="dcterms:W3CDTF">2024-02-05T14:57:00Z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