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31" w:type="pct"/>
        <w:tblInd w:w="-176" w:type="dxa"/>
        <w:tblLayout w:type="fixed"/>
        <w:tblLook w:val="01E0" w:firstRow="1" w:lastRow="1" w:firstColumn="1" w:lastColumn="1" w:noHBand="0" w:noVBand="0"/>
      </w:tblPr>
      <w:tblGrid>
        <w:gridCol w:w="10267"/>
      </w:tblGrid>
      <w:tr w:rsidR="00D2402E" w:rsidRPr="00862949" w14:paraId="0E943406" w14:textId="77777777" w:rsidTr="009B0BCE">
        <w:trPr>
          <w:trHeight w:val="192"/>
        </w:trPr>
        <w:tc>
          <w:tcPr>
            <w:tcW w:w="5000" w:type="pct"/>
            <w:shd w:val="clear" w:color="auto" w:fill="auto"/>
            <w:tcMar>
              <w:top w:w="57" w:type="dxa"/>
              <w:bottom w:w="57" w:type="dxa"/>
            </w:tcMar>
          </w:tcPr>
          <w:p w14:paraId="6FAB02B8" w14:textId="77777777" w:rsidR="00D2402E" w:rsidRPr="00E369CC" w:rsidRDefault="00860B89" w:rsidP="00F81A28">
            <w:pPr>
              <w:jc w:val="right"/>
              <w:rPr>
                <w:rFonts w:cs="Arial"/>
                <w:b/>
                <w:bCs/>
                <w:iCs/>
                <w:color w:val="0070C0"/>
                <w:sz w:val="15"/>
                <w:szCs w:val="15"/>
                <w:lang w:val="en-US"/>
              </w:rPr>
            </w:pPr>
            <w:r>
              <w:rPr>
                <w:rFonts w:cs="Arial"/>
                <w:b/>
                <w:bCs/>
                <w:iCs/>
                <w:color w:val="333399"/>
                <w:sz w:val="15"/>
                <w:szCs w:val="15"/>
                <w:lang w:val="en-US"/>
              </w:rPr>
              <w:t xml:space="preserve">  </w:t>
            </w:r>
            <w:r w:rsidR="00A3053B">
              <w:rPr>
                <w:rFonts w:cs="Arial"/>
                <w:b/>
                <w:bCs/>
                <w:iCs/>
                <w:color w:val="333399"/>
                <w:sz w:val="15"/>
                <w:szCs w:val="15"/>
                <w:lang w:val="en-US"/>
              </w:rPr>
              <w:t xml:space="preserve"> </w:t>
            </w:r>
            <w:r w:rsidR="00AB34E3" w:rsidRPr="00862949">
              <w:rPr>
                <w:rFonts w:cs="Arial"/>
                <w:b/>
                <w:bCs/>
                <w:iCs/>
                <w:color w:val="333399"/>
                <w:sz w:val="15"/>
                <w:szCs w:val="15"/>
                <w:lang w:val="en-US"/>
              </w:rPr>
              <w:t xml:space="preserve"> </w:t>
            </w:r>
            <w:r w:rsidR="009C539A" w:rsidRPr="00862949">
              <w:rPr>
                <w:rFonts w:cs="Arial"/>
                <w:b/>
                <w:bCs/>
                <w:iCs/>
                <w:color w:val="333399"/>
                <w:sz w:val="15"/>
                <w:szCs w:val="15"/>
                <w:lang w:val="en-US"/>
              </w:rPr>
              <w:t xml:space="preserve"> </w:t>
            </w:r>
            <w:hyperlink r:id="rId8" w:tgtFrame="_blank" w:history="1">
              <w:r w:rsidR="00F81A28" w:rsidRPr="009B0BCE">
                <w:rPr>
                  <w:rStyle w:val="Hyperlink"/>
                  <w:rFonts w:ascii="Arial" w:hAnsi="Arial" w:cs="Arial"/>
                  <w:b/>
                  <w:bCs/>
                  <w:iCs/>
                  <w:color w:val="0070C0"/>
                  <w:sz w:val="20"/>
                  <w:szCs w:val="15"/>
                  <w:lang w:val="en-US"/>
                </w:rPr>
                <w:t>SPS</w:t>
              </w:r>
              <w:r w:rsidR="00D2402E" w:rsidRPr="009B0BCE">
                <w:rPr>
                  <w:rStyle w:val="Hyperlink"/>
                  <w:rFonts w:ascii="Arial" w:hAnsi="Arial" w:cs="Arial"/>
                  <w:b/>
                  <w:bCs/>
                  <w:iCs/>
                  <w:color w:val="0070C0"/>
                  <w:sz w:val="20"/>
                  <w:szCs w:val="15"/>
                  <w:lang w:val="en-US"/>
                </w:rPr>
                <w:t xml:space="preserve"> home</w:t>
              </w:r>
            </w:hyperlink>
            <w:r w:rsidR="00D2402E" w:rsidRPr="009B0BCE">
              <w:rPr>
                <w:rFonts w:cs="Arial"/>
                <w:b/>
                <w:bCs/>
                <w:iCs/>
                <w:color w:val="0070C0"/>
                <w:sz w:val="20"/>
                <w:szCs w:val="15"/>
                <w:lang w:val="en-US"/>
              </w:rPr>
              <w:t xml:space="preserve"> | </w:t>
            </w:r>
            <w:hyperlink r:id="rId9" w:history="1">
              <w:r w:rsidR="00D2402E" w:rsidRPr="009B0BCE">
                <w:rPr>
                  <w:rStyle w:val="Hyperlink"/>
                  <w:rFonts w:ascii="Arial" w:hAnsi="Arial" w:cs="Arial"/>
                  <w:b/>
                  <w:bCs/>
                  <w:iCs/>
                  <w:color w:val="0070C0"/>
                  <w:sz w:val="20"/>
                  <w:szCs w:val="15"/>
                  <w:lang w:val="en-US"/>
                </w:rPr>
                <w:t>Contact</w:t>
              </w:r>
            </w:hyperlink>
          </w:p>
        </w:tc>
      </w:tr>
    </w:tbl>
    <w:p w14:paraId="669C824D" w14:textId="77777777" w:rsidR="00B85859" w:rsidRDefault="00B85859" w:rsidP="00727945">
      <w:pPr>
        <w:rPr>
          <w:rFonts w:ascii="Latha" w:hAnsi="Latha" w:cs="Latha"/>
          <w:sz w:val="8"/>
          <w:szCs w:val="8"/>
        </w:rPr>
      </w:pPr>
    </w:p>
    <w:tbl>
      <w:tblPr>
        <w:tblW w:w="5170" w:type="pct"/>
        <w:tblInd w:w="-176" w:type="dxa"/>
        <w:tblLayout w:type="fixed"/>
        <w:tblLook w:val="01E0" w:firstRow="1" w:lastRow="1" w:firstColumn="1" w:lastColumn="1" w:noHBand="0" w:noVBand="0"/>
      </w:tblPr>
      <w:tblGrid>
        <w:gridCol w:w="2728"/>
        <w:gridCol w:w="7823"/>
      </w:tblGrid>
      <w:tr w:rsidR="0020101A" w:rsidRPr="00862949" w14:paraId="2CDDE301" w14:textId="77777777" w:rsidTr="002772ED">
        <w:tc>
          <w:tcPr>
            <w:tcW w:w="5000" w:type="pct"/>
            <w:gridSpan w:val="2"/>
            <w:shd w:val="clear" w:color="auto" w:fill="0070C0"/>
            <w:tcMar>
              <w:top w:w="85" w:type="dxa"/>
              <w:bottom w:w="85" w:type="dxa"/>
            </w:tcMar>
            <w:vAlign w:val="bottom"/>
          </w:tcPr>
          <w:p w14:paraId="1D3F9FB0" w14:textId="77777777" w:rsidR="0020101A" w:rsidRPr="00862949" w:rsidRDefault="0020101A" w:rsidP="00720F9E">
            <w:pPr>
              <w:rPr>
                <w:rFonts w:cs="Arial"/>
                <w:color w:val="FFFFFF"/>
                <w:sz w:val="15"/>
                <w:szCs w:val="15"/>
              </w:rPr>
            </w:pPr>
            <w:r>
              <w:rPr>
                <w:rFonts w:cs="Arial"/>
                <w:b/>
                <w:bCs/>
                <w:iCs/>
                <w:color w:val="FFFFFF"/>
                <w:sz w:val="28"/>
                <w:szCs w:val="28"/>
                <w:lang w:val="en-US"/>
              </w:rPr>
              <w:t>New product information</w:t>
            </w:r>
            <w:r w:rsidRPr="00862949">
              <w:rPr>
                <w:rFonts w:cs="Arial"/>
                <w:b/>
                <w:bCs/>
                <w:iCs/>
                <w:color w:val="FFFFFF"/>
                <w:sz w:val="28"/>
                <w:szCs w:val="28"/>
                <w:lang w:val="en-US"/>
              </w:rPr>
              <w:tab/>
            </w:r>
          </w:p>
        </w:tc>
      </w:tr>
      <w:tr w:rsidR="0020101A" w:rsidRPr="00862949" w14:paraId="4099A5BB" w14:textId="77777777" w:rsidTr="002772ED">
        <w:tc>
          <w:tcPr>
            <w:tcW w:w="5000" w:type="pct"/>
            <w:gridSpan w:val="2"/>
            <w:shd w:val="clear" w:color="auto" w:fill="DAEEF3"/>
            <w:tcMar>
              <w:top w:w="0" w:type="dxa"/>
              <w:bottom w:w="0" w:type="dxa"/>
            </w:tcMar>
          </w:tcPr>
          <w:p w14:paraId="575A5C74" w14:textId="77777777" w:rsidR="0020101A" w:rsidRPr="00862949" w:rsidRDefault="0020101A" w:rsidP="00720F9E">
            <w:pPr>
              <w:rPr>
                <w:rFonts w:cs="Arial"/>
                <w:b/>
                <w:bCs/>
                <w:i/>
                <w:iCs/>
                <w:color w:val="000000"/>
                <w:sz w:val="8"/>
                <w:szCs w:val="8"/>
                <w:lang w:val="en-US"/>
              </w:rPr>
            </w:pPr>
          </w:p>
        </w:tc>
      </w:tr>
      <w:tr w:rsidR="0020101A" w:rsidRPr="00862949" w14:paraId="4E82573A" w14:textId="77777777" w:rsidTr="002772ED">
        <w:tc>
          <w:tcPr>
            <w:tcW w:w="5000" w:type="pct"/>
            <w:gridSpan w:val="2"/>
            <w:shd w:val="clear" w:color="auto" w:fill="00B050"/>
            <w:tcMar>
              <w:top w:w="57" w:type="dxa"/>
              <w:bottom w:w="57" w:type="dxa"/>
            </w:tcMar>
          </w:tcPr>
          <w:p w14:paraId="6177DDBC" w14:textId="77777777" w:rsidR="0020101A" w:rsidRPr="00433D3E" w:rsidRDefault="0020101A" w:rsidP="00720F9E">
            <w:pPr>
              <w:rPr>
                <w:rFonts w:cs="Arial"/>
                <w:color w:val="FFFFFF"/>
                <w:sz w:val="20"/>
                <w:szCs w:val="20"/>
              </w:rPr>
            </w:pPr>
            <w:r w:rsidRPr="00433D3E">
              <w:rPr>
                <w:rFonts w:cs="Arial"/>
                <w:b/>
                <w:bCs/>
                <w:i/>
                <w:iCs/>
                <w:color w:val="FFFFFF"/>
                <w:sz w:val="22"/>
                <w:szCs w:val="20"/>
                <w:lang w:val="en-US"/>
              </w:rPr>
              <w:t>Launched in the UK (or licence change for existing products)</w:t>
            </w:r>
          </w:p>
        </w:tc>
      </w:tr>
      <w:tr w:rsidR="00B94A47" w:rsidRPr="00131D4C" w14:paraId="6E96F541" w14:textId="77777777" w:rsidTr="00E64D6D">
        <w:tc>
          <w:tcPr>
            <w:tcW w:w="1293" w:type="pct"/>
            <w:shd w:val="clear" w:color="auto" w:fill="auto"/>
            <w:tcMar>
              <w:top w:w="57" w:type="dxa"/>
              <w:left w:w="170" w:type="dxa"/>
              <w:bottom w:w="57" w:type="dxa"/>
              <w:right w:w="170" w:type="dxa"/>
            </w:tcMar>
          </w:tcPr>
          <w:p w14:paraId="5EE9ED3A" w14:textId="77777777" w:rsidR="00E64D6D" w:rsidRDefault="00B94A47" w:rsidP="00B94A47">
            <w:pPr>
              <w:rPr>
                <w:rFonts w:cs="Arial"/>
                <w:szCs w:val="19"/>
              </w:rPr>
            </w:pPr>
            <w:r w:rsidRPr="00C56EA7">
              <w:rPr>
                <w:rFonts w:cs="Arial"/>
                <w:szCs w:val="19"/>
              </w:rPr>
              <w:t>Alirocumab</w:t>
            </w:r>
            <w:r>
              <w:rPr>
                <w:rFonts w:cs="Arial"/>
                <w:szCs w:val="19"/>
              </w:rPr>
              <w:t xml:space="preserve"> (</w:t>
            </w:r>
            <w:proofErr w:type="spellStart"/>
            <w:r>
              <w:rPr>
                <w:rFonts w:cs="Arial"/>
                <w:i/>
                <w:iCs/>
                <w:szCs w:val="19"/>
              </w:rPr>
              <w:t>Praluent</w:t>
            </w:r>
            <w:proofErr w:type="spellEnd"/>
            <w:r>
              <w:rPr>
                <w:rFonts w:cs="Arial"/>
                <w:szCs w:val="19"/>
              </w:rPr>
              <w:t xml:space="preserve">) </w:t>
            </w:r>
          </w:p>
          <w:p w14:paraId="7959356B" w14:textId="4BE302A9" w:rsidR="00B94A47" w:rsidRPr="0011452F" w:rsidRDefault="00B94A47" w:rsidP="00B94A47">
            <w:pPr>
              <w:rPr>
                <w:rFonts w:cs="Arial"/>
                <w:szCs w:val="19"/>
              </w:rPr>
            </w:pPr>
            <w:r w:rsidRPr="00B94A47">
              <w:rPr>
                <w:rFonts w:cs="Arial"/>
                <w:sz w:val="16"/>
                <w:szCs w:val="16"/>
              </w:rPr>
              <w:t>75mg, 150mg and 300mg prefilled pen</w:t>
            </w:r>
            <w:r>
              <w:rPr>
                <w:rFonts w:cs="Arial"/>
                <w:sz w:val="16"/>
                <w:szCs w:val="16"/>
              </w:rPr>
              <w:t>s</w:t>
            </w:r>
          </w:p>
        </w:tc>
        <w:tc>
          <w:tcPr>
            <w:tcW w:w="3707" w:type="pct"/>
            <w:shd w:val="clear" w:color="auto" w:fill="auto"/>
            <w:tcMar>
              <w:top w:w="57" w:type="dxa"/>
              <w:left w:w="170" w:type="dxa"/>
              <w:bottom w:w="57" w:type="dxa"/>
              <w:right w:w="170" w:type="dxa"/>
            </w:tcMar>
          </w:tcPr>
          <w:p w14:paraId="6E63328B" w14:textId="3A213161" w:rsidR="00B94A47" w:rsidRPr="009C4947" w:rsidRDefault="00B94A47" w:rsidP="00E64D6D">
            <w:pPr>
              <w:tabs>
                <w:tab w:val="center" w:pos="3152"/>
              </w:tabs>
              <w:rPr>
                <w:rFonts w:cs="Arial"/>
                <w:szCs w:val="19"/>
                <w:lang w:val="en-US"/>
              </w:rPr>
            </w:pPr>
            <w:r>
              <w:rPr>
                <w:rFonts w:cs="Arial"/>
                <w:szCs w:val="19"/>
                <w:lang w:val="en-US"/>
              </w:rPr>
              <w:t xml:space="preserve">Use </w:t>
            </w:r>
            <w:r w:rsidRPr="00C56EA7">
              <w:rPr>
                <w:rFonts w:cs="Arial"/>
                <w:szCs w:val="19"/>
                <w:lang w:val="en-US"/>
              </w:rPr>
              <w:t xml:space="preserve">in adults with primary hypercholesterolaemia (heterozygous familial and non-familial) or mixed dyslipidaemia, and in paediatric patients </w:t>
            </w:r>
            <w:r>
              <w:rPr>
                <w:rFonts w:cs="Arial"/>
                <w:szCs w:val="19"/>
                <w:lang w:val="en-US"/>
              </w:rPr>
              <w:t>aged ≥</w:t>
            </w:r>
            <w:r w:rsidRPr="00C56EA7">
              <w:rPr>
                <w:rFonts w:cs="Arial"/>
                <w:szCs w:val="19"/>
                <w:lang w:val="en-US"/>
              </w:rPr>
              <w:t xml:space="preserve">8 years with heterozygous familial </w:t>
            </w:r>
            <w:proofErr w:type="spellStart"/>
            <w:r w:rsidRPr="00C56EA7">
              <w:rPr>
                <w:rFonts w:cs="Arial"/>
                <w:szCs w:val="19"/>
                <w:lang w:val="en-US"/>
              </w:rPr>
              <w:t>hypercholesterolaemia</w:t>
            </w:r>
            <w:proofErr w:type="spellEnd"/>
            <w:r w:rsidRPr="00C56EA7">
              <w:rPr>
                <w:rFonts w:cs="Arial"/>
                <w:szCs w:val="19"/>
                <w:lang w:val="en-US"/>
              </w:rPr>
              <w:t xml:space="preserve"> (</w:t>
            </w:r>
            <w:proofErr w:type="spellStart"/>
            <w:r w:rsidRPr="00C56EA7">
              <w:rPr>
                <w:rFonts w:cs="Arial"/>
                <w:szCs w:val="19"/>
                <w:lang w:val="en-US"/>
              </w:rPr>
              <w:t>HeFH</w:t>
            </w:r>
            <w:proofErr w:type="spellEnd"/>
            <w:r w:rsidRPr="00C56EA7">
              <w:rPr>
                <w:rFonts w:cs="Arial"/>
                <w:szCs w:val="19"/>
                <w:lang w:val="en-US"/>
              </w:rPr>
              <w:t>) as an adjunct to diet</w:t>
            </w:r>
            <w:r>
              <w:rPr>
                <w:rFonts w:cs="Arial"/>
                <w:szCs w:val="19"/>
                <w:lang w:val="en-US"/>
              </w:rPr>
              <w:t xml:space="preserve">, </w:t>
            </w:r>
            <w:r w:rsidRPr="00C56EA7">
              <w:rPr>
                <w:rFonts w:cs="Arial"/>
                <w:szCs w:val="19"/>
                <w:lang w:val="en-US"/>
              </w:rPr>
              <w:t>in combination with a statin or statin with other lipid lowering therapies in patients unable to reach LDL-C goals with the maximum tolerated dose of a statin</w:t>
            </w:r>
            <w:r>
              <w:rPr>
                <w:rFonts w:cs="Arial"/>
                <w:szCs w:val="19"/>
                <w:lang w:val="en-US"/>
              </w:rPr>
              <w:t xml:space="preserve">, </w:t>
            </w:r>
            <w:r w:rsidRPr="00C56EA7">
              <w:rPr>
                <w:rFonts w:cs="Arial"/>
                <w:szCs w:val="19"/>
                <w:lang w:val="en-US"/>
              </w:rPr>
              <w:t>or</w:t>
            </w:r>
            <w:r>
              <w:rPr>
                <w:rFonts w:cs="Arial"/>
                <w:szCs w:val="19"/>
                <w:lang w:val="en-US"/>
              </w:rPr>
              <w:t xml:space="preserve"> </w:t>
            </w:r>
            <w:r w:rsidRPr="00C56EA7">
              <w:rPr>
                <w:rFonts w:cs="Arial"/>
                <w:szCs w:val="19"/>
                <w:lang w:val="en-US"/>
              </w:rPr>
              <w:t>alone or in combination with other lipid-lowering therapies in patients who are statin-intolerant, or for whom a statin is contraindicated</w:t>
            </w:r>
            <w:r w:rsidRPr="005B4D52">
              <w:rPr>
                <w:rFonts w:cs="Arial"/>
                <w:sz w:val="16"/>
                <w:szCs w:val="16"/>
                <w:lang w:val="en-US"/>
              </w:rPr>
              <w:t xml:space="preserve"> [licence change from use only in adults]</w:t>
            </w:r>
          </w:p>
        </w:tc>
      </w:tr>
      <w:tr w:rsidR="00881134" w:rsidRPr="00131D4C" w14:paraId="554C299E" w14:textId="77777777" w:rsidTr="00E64D6D">
        <w:tc>
          <w:tcPr>
            <w:tcW w:w="1293" w:type="pct"/>
            <w:shd w:val="clear" w:color="auto" w:fill="auto"/>
            <w:tcMar>
              <w:top w:w="57" w:type="dxa"/>
              <w:left w:w="170" w:type="dxa"/>
              <w:bottom w:w="57" w:type="dxa"/>
              <w:right w:w="170" w:type="dxa"/>
            </w:tcMar>
          </w:tcPr>
          <w:p w14:paraId="2E49D9D3" w14:textId="77777777" w:rsidR="00881134" w:rsidRDefault="00881134" w:rsidP="00B94A47">
            <w:pPr>
              <w:rPr>
                <w:rFonts w:cs="Arial"/>
                <w:szCs w:val="19"/>
              </w:rPr>
            </w:pPr>
            <w:r>
              <w:rPr>
                <w:rFonts w:cs="Arial"/>
                <w:szCs w:val="19"/>
              </w:rPr>
              <w:t>Azathioprine (</w:t>
            </w:r>
            <w:r>
              <w:rPr>
                <w:rFonts w:cs="Arial"/>
                <w:i/>
                <w:iCs/>
                <w:szCs w:val="19"/>
              </w:rPr>
              <w:t>Jayempi</w:t>
            </w:r>
            <w:r>
              <w:rPr>
                <w:rFonts w:cs="Arial"/>
                <w:szCs w:val="19"/>
              </w:rPr>
              <w:t>)</w:t>
            </w:r>
          </w:p>
          <w:p w14:paraId="71E1F878" w14:textId="79DF0082" w:rsidR="00881134" w:rsidRPr="00881134" w:rsidRDefault="003349B5" w:rsidP="00B94A47">
            <w:pPr>
              <w:rPr>
                <w:rFonts w:cs="Arial"/>
                <w:szCs w:val="19"/>
              </w:rPr>
            </w:pPr>
            <w:r w:rsidRPr="003349B5">
              <w:rPr>
                <w:rFonts w:cs="Arial"/>
                <w:sz w:val="16"/>
                <w:szCs w:val="16"/>
              </w:rPr>
              <w:t>10mg in 1mL oral suspension</w:t>
            </w:r>
          </w:p>
        </w:tc>
        <w:tc>
          <w:tcPr>
            <w:tcW w:w="3707" w:type="pct"/>
            <w:shd w:val="clear" w:color="auto" w:fill="auto"/>
            <w:tcMar>
              <w:top w:w="57" w:type="dxa"/>
              <w:left w:w="170" w:type="dxa"/>
              <w:bottom w:w="57" w:type="dxa"/>
              <w:right w:w="170" w:type="dxa"/>
            </w:tcMar>
          </w:tcPr>
          <w:p w14:paraId="6D055B5F" w14:textId="63AB7162" w:rsidR="00211FCD" w:rsidRDefault="00787D89" w:rsidP="00EA2D5F">
            <w:pPr>
              <w:tabs>
                <w:tab w:val="center" w:pos="3152"/>
              </w:tabs>
              <w:rPr>
                <w:rFonts w:cs="Arial"/>
                <w:bCs/>
                <w:sz w:val="16"/>
                <w:szCs w:val="16"/>
              </w:rPr>
            </w:pPr>
            <w:r>
              <w:rPr>
                <w:rFonts w:cs="Arial"/>
                <w:bCs/>
                <w:szCs w:val="19"/>
              </w:rPr>
              <w:t>Use</w:t>
            </w:r>
            <w:r w:rsidRPr="00787D89">
              <w:rPr>
                <w:rFonts w:cs="Arial"/>
                <w:bCs/>
                <w:szCs w:val="19"/>
              </w:rPr>
              <w:t xml:space="preserve"> in combination with other immunosuppressive agents for the prophylaxis of transplant rejection in patients receiving allogenic kidney, liver, heart, lung or pancreas transplants</w:t>
            </w:r>
            <w:r w:rsidR="00EA2D5F">
              <w:rPr>
                <w:rFonts w:cs="Arial"/>
                <w:bCs/>
                <w:szCs w:val="19"/>
              </w:rPr>
              <w:t>;</w:t>
            </w:r>
            <w:r>
              <w:rPr>
                <w:rFonts w:cs="Arial"/>
                <w:bCs/>
                <w:szCs w:val="19"/>
              </w:rPr>
              <w:t xml:space="preserve"> use</w:t>
            </w:r>
            <w:r w:rsidRPr="00787D89">
              <w:rPr>
                <w:rFonts w:cs="Arial"/>
                <w:bCs/>
                <w:szCs w:val="19"/>
              </w:rPr>
              <w:t xml:space="preserve"> as an immunosuppressant antimetabolite either alone or, more commonly, in combination with other agents (usually corticosteroids) and/ or procedures which influence the immune response</w:t>
            </w:r>
            <w:r w:rsidR="00EA2D5F">
              <w:rPr>
                <w:rFonts w:cs="Arial"/>
                <w:bCs/>
                <w:szCs w:val="19"/>
              </w:rPr>
              <w:t>;</w:t>
            </w:r>
            <w:r>
              <w:rPr>
                <w:rFonts w:cs="Arial"/>
                <w:bCs/>
                <w:szCs w:val="19"/>
              </w:rPr>
              <w:t xml:space="preserve"> use</w:t>
            </w:r>
            <w:r w:rsidRPr="00787D89">
              <w:rPr>
                <w:rFonts w:cs="Arial"/>
                <w:bCs/>
                <w:szCs w:val="19"/>
              </w:rPr>
              <w:t xml:space="preserve"> in patients who are intolerant to </w:t>
            </w:r>
            <w:proofErr w:type="spellStart"/>
            <w:r w:rsidRPr="00787D89">
              <w:rPr>
                <w:rFonts w:cs="Arial"/>
                <w:bCs/>
                <w:szCs w:val="19"/>
              </w:rPr>
              <w:t>glucocorticosteroids</w:t>
            </w:r>
            <w:proofErr w:type="spellEnd"/>
            <w:r w:rsidRPr="00787D89">
              <w:rPr>
                <w:rFonts w:cs="Arial"/>
                <w:bCs/>
                <w:szCs w:val="19"/>
              </w:rPr>
              <w:t xml:space="preserve"> or if the therapeutic response is inadequate despite treatment with high doses of </w:t>
            </w:r>
            <w:proofErr w:type="spellStart"/>
            <w:r w:rsidRPr="00787D89">
              <w:rPr>
                <w:rFonts w:cs="Arial"/>
                <w:bCs/>
                <w:szCs w:val="19"/>
              </w:rPr>
              <w:t>glucocorticosteroids</w:t>
            </w:r>
            <w:proofErr w:type="spellEnd"/>
            <w:r w:rsidRPr="00787D89">
              <w:rPr>
                <w:rFonts w:cs="Arial"/>
                <w:bCs/>
                <w:szCs w:val="19"/>
              </w:rPr>
              <w:t xml:space="preserve">, in </w:t>
            </w:r>
            <w:r w:rsidR="00584B4D">
              <w:rPr>
                <w:rFonts w:cs="Arial"/>
                <w:bCs/>
                <w:szCs w:val="19"/>
              </w:rPr>
              <w:t>specified</w:t>
            </w:r>
            <w:r w:rsidRPr="00787D89">
              <w:rPr>
                <w:rFonts w:cs="Arial"/>
                <w:bCs/>
                <w:szCs w:val="19"/>
              </w:rPr>
              <w:t xml:space="preserve"> diseases</w:t>
            </w:r>
            <w:r w:rsidR="00584B4D">
              <w:rPr>
                <w:rFonts w:cs="Arial"/>
                <w:bCs/>
                <w:szCs w:val="19"/>
              </w:rPr>
              <w:t xml:space="preserve">; </w:t>
            </w:r>
            <w:r w:rsidR="00EA2D5F">
              <w:rPr>
                <w:rFonts w:cs="Arial"/>
                <w:bCs/>
                <w:szCs w:val="19"/>
              </w:rPr>
              <w:t>use</w:t>
            </w:r>
            <w:r w:rsidRPr="00787D89">
              <w:rPr>
                <w:rFonts w:cs="Arial"/>
                <w:bCs/>
                <w:szCs w:val="19"/>
              </w:rPr>
              <w:t xml:space="preserve"> for the treatment of moderately severe to severe forms of chronic inflammatory bowel disease in patients in whom </w:t>
            </w:r>
            <w:proofErr w:type="spellStart"/>
            <w:r w:rsidRPr="00787D89">
              <w:rPr>
                <w:rFonts w:cs="Arial"/>
                <w:bCs/>
                <w:szCs w:val="19"/>
              </w:rPr>
              <w:t>glucocorticosteroid</w:t>
            </w:r>
            <w:proofErr w:type="spellEnd"/>
            <w:r w:rsidRPr="00787D89">
              <w:rPr>
                <w:rFonts w:cs="Arial"/>
                <w:bCs/>
                <w:szCs w:val="19"/>
              </w:rPr>
              <w:t xml:space="preserve"> therapy is necessary, but where </w:t>
            </w:r>
            <w:proofErr w:type="spellStart"/>
            <w:r w:rsidRPr="00787D89">
              <w:rPr>
                <w:rFonts w:cs="Arial"/>
                <w:bCs/>
                <w:szCs w:val="19"/>
              </w:rPr>
              <w:t>glucocorticosteroids</w:t>
            </w:r>
            <w:proofErr w:type="spellEnd"/>
            <w:r w:rsidRPr="00787D89">
              <w:rPr>
                <w:rFonts w:cs="Arial"/>
                <w:bCs/>
                <w:szCs w:val="19"/>
              </w:rPr>
              <w:t xml:space="preserve"> are not tolerated, or in whom the disease is untreatable with other common means of first choice</w:t>
            </w:r>
            <w:r w:rsidR="00EA2D5F">
              <w:rPr>
                <w:rFonts w:cs="Arial"/>
                <w:bCs/>
                <w:szCs w:val="19"/>
              </w:rPr>
              <w:t>; use</w:t>
            </w:r>
            <w:r w:rsidRPr="00787D89">
              <w:rPr>
                <w:rFonts w:cs="Arial"/>
                <w:bCs/>
                <w:szCs w:val="19"/>
              </w:rPr>
              <w:t xml:space="preserve"> in adults in relapsing multiple sclerosis, if an immunomodulatory therapy is indicated but beta interferon therapy is not possible, or a stable course has been achieved with previous treatment with azathioprine</w:t>
            </w:r>
            <w:r w:rsidR="00EA2D5F">
              <w:rPr>
                <w:rFonts w:cs="Arial"/>
                <w:bCs/>
                <w:szCs w:val="19"/>
              </w:rPr>
              <w:t>; use</w:t>
            </w:r>
            <w:r w:rsidRPr="00787D89">
              <w:rPr>
                <w:rFonts w:cs="Arial"/>
                <w:bCs/>
                <w:szCs w:val="19"/>
              </w:rPr>
              <w:t xml:space="preserve"> for the treatment of generalised myasthenia gravis</w:t>
            </w:r>
            <w:r w:rsidR="00EA2D5F">
              <w:rPr>
                <w:rFonts w:cs="Arial"/>
                <w:bCs/>
                <w:szCs w:val="19"/>
              </w:rPr>
              <w:t xml:space="preserve"> </w:t>
            </w:r>
            <w:r w:rsidR="00EA2D5F" w:rsidRPr="00211FCD">
              <w:rPr>
                <w:rFonts w:cs="Arial"/>
                <w:bCs/>
                <w:sz w:val="16"/>
                <w:szCs w:val="16"/>
              </w:rPr>
              <w:t>[new formulation]</w:t>
            </w:r>
            <w:r w:rsidR="00211FCD">
              <w:rPr>
                <w:rFonts w:cs="Arial"/>
                <w:bCs/>
                <w:sz w:val="16"/>
                <w:szCs w:val="16"/>
              </w:rPr>
              <w:t xml:space="preserve"> </w:t>
            </w:r>
          </w:p>
          <w:p w14:paraId="05061479" w14:textId="169070C6" w:rsidR="00881134" w:rsidRPr="00211FCD" w:rsidRDefault="002C095D" w:rsidP="00EA2D5F">
            <w:pPr>
              <w:tabs>
                <w:tab w:val="center" w:pos="3152"/>
              </w:tabs>
              <w:rPr>
                <w:rFonts w:cs="Arial"/>
                <w:bCs/>
                <w:i/>
                <w:iCs/>
                <w:szCs w:val="19"/>
              </w:rPr>
            </w:pPr>
            <w:r w:rsidRPr="00812244">
              <w:rPr>
                <w:rFonts w:cs="Arial"/>
                <w:i/>
                <w:iCs/>
                <w:sz w:val="16"/>
                <w:szCs w:val="16"/>
                <w:lang w:val="en-US"/>
              </w:rPr>
              <w:t xml:space="preserve">Note: </w:t>
            </w:r>
            <w:r>
              <w:rPr>
                <w:rFonts w:cs="Arial"/>
                <w:i/>
                <w:iCs/>
                <w:sz w:val="16"/>
                <w:szCs w:val="16"/>
                <w:lang w:val="en-US"/>
              </w:rPr>
              <w:t>we have shortened the wording of this indication to save space</w:t>
            </w:r>
            <w:r>
              <w:rPr>
                <w:rFonts w:cs="Arial"/>
                <w:bCs/>
                <w:i/>
                <w:iCs/>
                <w:sz w:val="16"/>
                <w:szCs w:val="16"/>
              </w:rPr>
              <w:t xml:space="preserve"> – s</w:t>
            </w:r>
            <w:r w:rsidR="00211FCD">
              <w:rPr>
                <w:rFonts w:cs="Arial"/>
                <w:bCs/>
                <w:i/>
                <w:iCs/>
                <w:sz w:val="16"/>
                <w:szCs w:val="16"/>
              </w:rPr>
              <w:t xml:space="preserve">ee </w:t>
            </w:r>
            <w:hyperlink r:id="rId10" w:history="1">
              <w:r w:rsidR="00211FCD" w:rsidRPr="00211FCD">
                <w:rPr>
                  <w:rStyle w:val="Hyperlink"/>
                  <w:rFonts w:ascii="Arial" w:hAnsi="Arial" w:cs="Arial"/>
                  <w:bCs/>
                  <w:i/>
                  <w:iCs/>
                  <w:sz w:val="16"/>
                  <w:szCs w:val="16"/>
                </w:rPr>
                <w:t>SmPC</w:t>
              </w:r>
            </w:hyperlink>
            <w:r w:rsidR="00211FCD">
              <w:rPr>
                <w:rFonts w:cs="Arial"/>
                <w:bCs/>
                <w:i/>
                <w:iCs/>
                <w:sz w:val="16"/>
                <w:szCs w:val="16"/>
              </w:rPr>
              <w:t xml:space="preserve"> for full details</w:t>
            </w:r>
          </w:p>
        </w:tc>
      </w:tr>
      <w:tr w:rsidR="00FC3D49" w:rsidRPr="00131D4C" w14:paraId="43B503E4" w14:textId="77777777" w:rsidTr="00E64D6D">
        <w:tc>
          <w:tcPr>
            <w:tcW w:w="1293" w:type="pct"/>
            <w:shd w:val="clear" w:color="auto" w:fill="auto"/>
            <w:tcMar>
              <w:top w:w="57" w:type="dxa"/>
              <w:left w:w="170" w:type="dxa"/>
              <w:bottom w:w="57" w:type="dxa"/>
              <w:right w:w="170" w:type="dxa"/>
            </w:tcMar>
          </w:tcPr>
          <w:p w14:paraId="5A694146" w14:textId="77777777" w:rsidR="00FC3D49" w:rsidRDefault="00FC3D49" w:rsidP="00B94A47">
            <w:pPr>
              <w:rPr>
                <w:rFonts w:cs="Arial"/>
                <w:szCs w:val="19"/>
              </w:rPr>
            </w:pPr>
            <w:proofErr w:type="spellStart"/>
            <w:r>
              <w:rPr>
                <w:rFonts w:cs="Arial"/>
                <w:szCs w:val="19"/>
              </w:rPr>
              <w:t>Cemiplimab</w:t>
            </w:r>
            <w:proofErr w:type="spellEnd"/>
            <w:r>
              <w:rPr>
                <w:rFonts w:cs="Arial"/>
                <w:szCs w:val="19"/>
              </w:rPr>
              <w:t xml:space="preserve"> (</w:t>
            </w:r>
            <w:proofErr w:type="spellStart"/>
            <w:r>
              <w:rPr>
                <w:rFonts w:cs="Arial"/>
                <w:i/>
                <w:iCs/>
                <w:szCs w:val="19"/>
              </w:rPr>
              <w:t>Libtayo</w:t>
            </w:r>
            <w:proofErr w:type="spellEnd"/>
            <w:r>
              <w:rPr>
                <w:rFonts w:cs="Arial"/>
                <w:szCs w:val="19"/>
              </w:rPr>
              <w:t>)</w:t>
            </w:r>
          </w:p>
          <w:p w14:paraId="039B479C" w14:textId="4077E9B8" w:rsidR="00FC3D49" w:rsidRPr="00FC3D49" w:rsidRDefault="00FC3D49" w:rsidP="00B94A47">
            <w:pPr>
              <w:rPr>
                <w:rFonts w:cs="Arial"/>
                <w:szCs w:val="19"/>
              </w:rPr>
            </w:pPr>
            <w:r w:rsidRPr="00FC3D49">
              <w:rPr>
                <w:rFonts w:cs="Arial"/>
                <w:sz w:val="16"/>
                <w:szCs w:val="16"/>
              </w:rPr>
              <w:t>350mg in 7mL vial</w:t>
            </w:r>
          </w:p>
        </w:tc>
        <w:tc>
          <w:tcPr>
            <w:tcW w:w="3707" w:type="pct"/>
            <w:shd w:val="clear" w:color="auto" w:fill="auto"/>
            <w:tcMar>
              <w:top w:w="57" w:type="dxa"/>
              <w:left w:w="170" w:type="dxa"/>
              <w:bottom w:w="57" w:type="dxa"/>
              <w:right w:w="170" w:type="dxa"/>
            </w:tcMar>
          </w:tcPr>
          <w:p w14:paraId="7716E0A5" w14:textId="6A9ADEB9" w:rsidR="00FC3D49" w:rsidRPr="00F61B12" w:rsidRDefault="00FC3D49" w:rsidP="00FC3D49">
            <w:pPr>
              <w:tabs>
                <w:tab w:val="center" w:pos="3152"/>
              </w:tabs>
              <w:rPr>
                <w:rFonts w:cs="Arial"/>
                <w:bCs/>
                <w:szCs w:val="19"/>
              </w:rPr>
            </w:pPr>
            <w:r>
              <w:rPr>
                <w:rFonts w:cs="Arial"/>
                <w:bCs/>
                <w:szCs w:val="19"/>
              </w:rPr>
              <w:t xml:space="preserve">Use </w:t>
            </w:r>
            <w:r w:rsidRPr="00FC3D49">
              <w:rPr>
                <w:rFonts w:cs="Arial"/>
                <w:bCs/>
                <w:szCs w:val="19"/>
              </w:rPr>
              <w:t>in combination with platinum</w:t>
            </w:r>
            <w:r w:rsidRPr="00FC3D49">
              <w:rPr>
                <w:rFonts w:ascii="Cambria Math" w:hAnsi="Cambria Math" w:cs="Cambria Math"/>
                <w:bCs/>
                <w:szCs w:val="19"/>
              </w:rPr>
              <w:t>‐</w:t>
            </w:r>
            <w:r w:rsidRPr="00FC3D49">
              <w:rPr>
                <w:rFonts w:cs="Arial"/>
                <w:bCs/>
                <w:szCs w:val="19"/>
              </w:rPr>
              <w:t>based chemotherapy for the first</w:t>
            </w:r>
            <w:r w:rsidRPr="00FC3D49">
              <w:rPr>
                <w:rFonts w:ascii="Cambria Math" w:hAnsi="Cambria Math" w:cs="Cambria Math"/>
                <w:bCs/>
                <w:szCs w:val="19"/>
              </w:rPr>
              <w:t>‐</w:t>
            </w:r>
            <w:r w:rsidRPr="00FC3D49">
              <w:rPr>
                <w:rFonts w:cs="Arial"/>
                <w:bCs/>
                <w:szCs w:val="19"/>
              </w:rPr>
              <w:t xml:space="preserve">line treatment of adults with </w:t>
            </w:r>
            <w:r>
              <w:rPr>
                <w:rFonts w:cs="Arial"/>
                <w:bCs/>
                <w:szCs w:val="19"/>
              </w:rPr>
              <w:t>non-small cell lung cancer</w:t>
            </w:r>
            <w:r w:rsidRPr="00FC3D49">
              <w:rPr>
                <w:rFonts w:cs="Arial"/>
                <w:bCs/>
                <w:szCs w:val="19"/>
              </w:rPr>
              <w:t xml:space="preserve"> </w:t>
            </w:r>
            <w:r>
              <w:rPr>
                <w:rFonts w:cs="Arial"/>
                <w:bCs/>
                <w:szCs w:val="19"/>
              </w:rPr>
              <w:t xml:space="preserve">(NSCLC) </w:t>
            </w:r>
            <w:r w:rsidRPr="00FC3D49">
              <w:rPr>
                <w:rFonts w:cs="Arial"/>
                <w:bCs/>
                <w:szCs w:val="19"/>
              </w:rPr>
              <w:t>expressing PD-L1 (in ≥1% of tumour cells), with no EGFR, ALK or ROS1 aberrations, who have locally advanced NSCLC who are not candidates for definitive chemoradiation, or</w:t>
            </w:r>
            <w:r>
              <w:rPr>
                <w:rFonts w:cs="Arial"/>
                <w:bCs/>
                <w:szCs w:val="19"/>
              </w:rPr>
              <w:t xml:space="preserve"> </w:t>
            </w:r>
            <w:r w:rsidRPr="00FC3D49">
              <w:rPr>
                <w:rFonts w:cs="Arial"/>
                <w:bCs/>
                <w:szCs w:val="19"/>
              </w:rPr>
              <w:t>metastatic NSCLC</w:t>
            </w:r>
            <w:r>
              <w:rPr>
                <w:rFonts w:cs="Arial"/>
                <w:bCs/>
                <w:szCs w:val="19"/>
              </w:rPr>
              <w:t xml:space="preserve"> </w:t>
            </w:r>
            <w:r w:rsidRPr="00FC3D49">
              <w:rPr>
                <w:rFonts w:cs="Arial"/>
                <w:bCs/>
                <w:sz w:val="16"/>
                <w:szCs w:val="16"/>
              </w:rPr>
              <w:t>[new indication]</w:t>
            </w:r>
          </w:p>
        </w:tc>
      </w:tr>
      <w:tr w:rsidR="00B94A47" w:rsidRPr="00131D4C" w14:paraId="165EDD50" w14:textId="77777777" w:rsidTr="00E64D6D">
        <w:tc>
          <w:tcPr>
            <w:tcW w:w="1293" w:type="pct"/>
            <w:shd w:val="clear" w:color="auto" w:fill="auto"/>
            <w:tcMar>
              <w:top w:w="57" w:type="dxa"/>
              <w:left w:w="170" w:type="dxa"/>
              <w:bottom w:w="57" w:type="dxa"/>
              <w:right w:w="170" w:type="dxa"/>
            </w:tcMar>
          </w:tcPr>
          <w:p w14:paraId="13CCEAD5" w14:textId="77777777" w:rsidR="00F61B12" w:rsidRDefault="00F61B12" w:rsidP="00B94A47">
            <w:pPr>
              <w:rPr>
                <w:rFonts w:cs="Arial"/>
                <w:szCs w:val="19"/>
              </w:rPr>
            </w:pPr>
            <w:r>
              <w:rPr>
                <w:rFonts w:cs="Arial"/>
                <w:szCs w:val="19"/>
              </w:rPr>
              <w:t>Clopidogrel (</w:t>
            </w:r>
            <w:r>
              <w:rPr>
                <w:rFonts w:cs="Arial"/>
                <w:i/>
                <w:iCs/>
                <w:szCs w:val="19"/>
              </w:rPr>
              <w:t>Plavix</w:t>
            </w:r>
            <w:r>
              <w:rPr>
                <w:rFonts w:cs="Arial"/>
                <w:szCs w:val="19"/>
              </w:rPr>
              <w:t xml:space="preserve">) </w:t>
            </w:r>
          </w:p>
          <w:p w14:paraId="304BBB12" w14:textId="7F0C3EAA" w:rsidR="00B94A47" w:rsidRPr="00F61B12" w:rsidRDefault="00F61B12" w:rsidP="00B94A47">
            <w:pPr>
              <w:rPr>
                <w:rFonts w:cs="Arial"/>
                <w:szCs w:val="19"/>
              </w:rPr>
            </w:pPr>
            <w:r w:rsidRPr="00F61B12">
              <w:rPr>
                <w:rFonts w:cs="Arial"/>
                <w:sz w:val="16"/>
                <w:szCs w:val="16"/>
              </w:rPr>
              <w:t>75mg and 300mg tablets</w:t>
            </w:r>
          </w:p>
        </w:tc>
        <w:tc>
          <w:tcPr>
            <w:tcW w:w="3707" w:type="pct"/>
            <w:shd w:val="clear" w:color="auto" w:fill="auto"/>
            <w:tcMar>
              <w:top w:w="57" w:type="dxa"/>
              <w:left w:w="170" w:type="dxa"/>
              <w:bottom w:w="57" w:type="dxa"/>
              <w:right w:w="170" w:type="dxa"/>
            </w:tcMar>
          </w:tcPr>
          <w:p w14:paraId="64547023" w14:textId="4338267C" w:rsidR="00B94A47" w:rsidRDefault="00F61B12" w:rsidP="00B94A47">
            <w:pPr>
              <w:tabs>
                <w:tab w:val="center" w:pos="3152"/>
              </w:tabs>
              <w:rPr>
                <w:rFonts w:cs="Arial"/>
                <w:bCs/>
                <w:szCs w:val="19"/>
              </w:rPr>
            </w:pPr>
            <w:r w:rsidRPr="00F61B12">
              <w:rPr>
                <w:rFonts w:cs="Arial"/>
                <w:bCs/>
                <w:szCs w:val="19"/>
              </w:rPr>
              <w:t xml:space="preserve">Use in adults suffering from acute coronary syndrome with ST segment elevation acute myocardial infarction, in combination with </w:t>
            </w:r>
            <w:proofErr w:type="spellStart"/>
            <w:r>
              <w:rPr>
                <w:rFonts w:cs="Arial"/>
                <w:bCs/>
                <w:szCs w:val="19"/>
              </w:rPr>
              <w:t>acetylsalicyclic</w:t>
            </w:r>
            <w:proofErr w:type="spellEnd"/>
            <w:r>
              <w:rPr>
                <w:rFonts w:cs="Arial"/>
                <w:bCs/>
                <w:szCs w:val="19"/>
              </w:rPr>
              <w:t xml:space="preserve"> acid</w:t>
            </w:r>
            <w:r w:rsidRPr="00F61B12">
              <w:rPr>
                <w:rFonts w:cs="Arial"/>
                <w:bCs/>
                <w:szCs w:val="19"/>
              </w:rPr>
              <w:t xml:space="preserve"> in patients undergoing percutaneous coronary intervention (including patients undergoing a stent placement) or medically treated patients eligible for thrombolytic/fibrinolytic therapy</w:t>
            </w:r>
            <w:r>
              <w:rPr>
                <w:rFonts w:cs="Arial"/>
                <w:bCs/>
                <w:szCs w:val="19"/>
              </w:rPr>
              <w:t xml:space="preserve"> </w:t>
            </w:r>
            <w:r w:rsidRPr="00F61B12">
              <w:rPr>
                <w:rFonts w:cs="Arial"/>
                <w:bCs/>
                <w:sz w:val="16"/>
                <w:szCs w:val="16"/>
              </w:rPr>
              <w:t>[new indication]</w:t>
            </w:r>
          </w:p>
        </w:tc>
      </w:tr>
      <w:tr w:rsidR="00D47DA4" w:rsidRPr="00131D4C" w14:paraId="0A0D0A20" w14:textId="77777777" w:rsidTr="00E64D6D">
        <w:tc>
          <w:tcPr>
            <w:tcW w:w="1293" w:type="pct"/>
            <w:shd w:val="clear" w:color="auto" w:fill="auto"/>
            <w:tcMar>
              <w:top w:w="57" w:type="dxa"/>
              <w:left w:w="170" w:type="dxa"/>
              <w:bottom w:w="57" w:type="dxa"/>
              <w:right w:w="170" w:type="dxa"/>
            </w:tcMar>
          </w:tcPr>
          <w:p w14:paraId="309D75C8" w14:textId="5F462083" w:rsidR="00D47DA4" w:rsidRDefault="00D47DA4" w:rsidP="00D47DA4">
            <w:pPr>
              <w:rPr>
                <w:rFonts w:cs="Arial"/>
                <w:szCs w:val="19"/>
              </w:rPr>
            </w:pPr>
            <w:r w:rsidRPr="00EA5095">
              <w:rPr>
                <w:rFonts w:cs="Arial"/>
                <w:szCs w:val="19"/>
              </w:rPr>
              <w:t>Dolutegravir + abacavir + lamivudine </w:t>
            </w:r>
            <w:r>
              <w:rPr>
                <w:rFonts w:cs="Arial"/>
                <w:szCs w:val="19"/>
              </w:rPr>
              <w:t>(</w:t>
            </w:r>
            <w:r>
              <w:rPr>
                <w:rFonts w:cs="Arial"/>
                <w:i/>
                <w:iCs/>
                <w:szCs w:val="19"/>
              </w:rPr>
              <w:t>Triumeq</w:t>
            </w:r>
            <w:r>
              <w:rPr>
                <w:rFonts w:cs="Arial"/>
                <w:szCs w:val="19"/>
              </w:rPr>
              <w:t xml:space="preserve">) </w:t>
            </w:r>
            <w:r w:rsidR="002C3BD1" w:rsidRPr="002C3BD1">
              <w:rPr>
                <w:rFonts w:cs="Arial"/>
                <w:sz w:val="16"/>
                <w:szCs w:val="16"/>
              </w:rPr>
              <w:t>5mg/60mg/30mg dispersible tablet</w:t>
            </w:r>
          </w:p>
        </w:tc>
        <w:tc>
          <w:tcPr>
            <w:tcW w:w="3707" w:type="pct"/>
            <w:shd w:val="clear" w:color="auto" w:fill="auto"/>
            <w:tcMar>
              <w:top w:w="57" w:type="dxa"/>
              <w:left w:w="170" w:type="dxa"/>
              <w:bottom w:w="57" w:type="dxa"/>
              <w:right w:w="170" w:type="dxa"/>
            </w:tcMar>
          </w:tcPr>
          <w:p w14:paraId="23BC4E1A" w14:textId="10FC54C5" w:rsidR="00D47DA4" w:rsidRDefault="00D47DA4" w:rsidP="00D47DA4">
            <w:pPr>
              <w:tabs>
                <w:tab w:val="center" w:pos="3152"/>
              </w:tabs>
              <w:rPr>
                <w:rFonts w:cs="Arial"/>
                <w:szCs w:val="19"/>
                <w:lang w:val="en-US"/>
              </w:rPr>
            </w:pPr>
            <w:r w:rsidRPr="00B068CD">
              <w:rPr>
                <w:rFonts w:cs="Arial"/>
                <w:szCs w:val="19"/>
                <w:lang w:val="en-US"/>
              </w:rPr>
              <w:t xml:space="preserve">Treatment of </w:t>
            </w:r>
            <w:r>
              <w:rPr>
                <w:rFonts w:cs="Arial"/>
                <w:szCs w:val="19"/>
                <w:lang w:val="en-US"/>
              </w:rPr>
              <w:t>h</w:t>
            </w:r>
            <w:r w:rsidRPr="00B068CD">
              <w:rPr>
                <w:rFonts w:cs="Arial"/>
                <w:szCs w:val="19"/>
                <w:lang w:val="en-US"/>
              </w:rPr>
              <w:t xml:space="preserve">uman </w:t>
            </w:r>
            <w:r>
              <w:rPr>
                <w:rFonts w:cs="Arial"/>
                <w:szCs w:val="19"/>
                <w:lang w:val="en-US"/>
              </w:rPr>
              <w:t>i</w:t>
            </w:r>
            <w:r w:rsidRPr="00B068CD">
              <w:rPr>
                <w:rFonts w:cs="Arial"/>
                <w:szCs w:val="19"/>
                <w:lang w:val="en-US"/>
              </w:rPr>
              <w:t xml:space="preserve">mmunodeficiency </w:t>
            </w:r>
            <w:r>
              <w:rPr>
                <w:rFonts w:cs="Arial"/>
                <w:szCs w:val="19"/>
                <w:lang w:val="en-US"/>
              </w:rPr>
              <w:t>v</w:t>
            </w:r>
            <w:r w:rsidRPr="00B068CD">
              <w:rPr>
                <w:rFonts w:cs="Arial"/>
                <w:szCs w:val="19"/>
                <w:lang w:val="en-US"/>
              </w:rPr>
              <w:t xml:space="preserve">irus infected children weighing 14kg to </w:t>
            </w:r>
            <w:r>
              <w:rPr>
                <w:rFonts w:cs="Arial"/>
                <w:szCs w:val="19"/>
                <w:lang w:val="en-US"/>
              </w:rPr>
              <w:t>&lt;</w:t>
            </w:r>
            <w:r w:rsidRPr="00B068CD">
              <w:rPr>
                <w:rFonts w:cs="Arial"/>
                <w:szCs w:val="19"/>
                <w:lang w:val="en-US"/>
              </w:rPr>
              <w:t>25kg</w:t>
            </w:r>
            <w:r>
              <w:rPr>
                <w:rFonts w:cs="Arial"/>
                <w:szCs w:val="19"/>
                <w:lang w:val="en-US"/>
              </w:rPr>
              <w:t xml:space="preserve"> </w:t>
            </w:r>
            <w:r w:rsidRPr="00B068CD">
              <w:rPr>
                <w:rFonts w:cs="Arial"/>
                <w:sz w:val="16"/>
                <w:szCs w:val="16"/>
                <w:lang w:val="en-US"/>
              </w:rPr>
              <w:t>[new dispersible tablet formulation for a younger age group]</w:t>
            </w:r>
          </w:p>
        </w:tc>
      </w:tr>
      <w:tr w:rsidR="00D47DA4" w:rsidRPr="00131D4C" w14:paraId="5952DE8A" w14:textId="77777777" w:rsidTr="00E64D6D">
        <w:tc>
          <w:tcPr>
            <w:tcW w:w="1293" w:type="pct"/>
            <w:shd w:val="clear" w:color="auto" w:fill="auto"/>
            <w:tcMar>
              <w:top w:w="57" w:type="dxa"/>
              <w:left w:w="170" w:type="dxa"/>
              <w:bottom w:w="57" w:type="dxa"/>
              <w:right w:w="170" w:type="dxa"/>
            </w:tcMar>
          </w:tcPr>
          <w:p w14:paraId="5F1A315D" w14:textId="77777777" w:rsidR="00D47DA4" w:rsidRDefault="00D47DA4" w:rsidP="00D47DA4">
            <w:pPr>
              <w:rPr>
                <w:rFonts w:cs="Arial"/>
                <w:szCs w:val="19"/>
              </w:rPr>
            </w:pPr>
            <w:r>
              <w:rPr>
                <w:rFonts w:cs="Arial"/>
                <w:szCs w:val="19"/>
              </w:rPr>
              <w:t>Drospirenone (</w:t>
            </w:r>
            <w:r>
              <w:rPr>
                <w:rFonts w:cs="Arial"/>
                <w:i/>
                <w:iCs/>
                <w:szCs w:val="19"/>
              </w:rPr>
              <w:t>Slynd</w:t>
            </w:r>
            <w:r>
              <w:rPr>
                <w:rFonts w:cs="Arial"/>
                <w:szCs w:val="19"/>
              </w:rPr>
              <w:t xml:space="preserve">) </w:t>
            </w:r>
          </w:p>
          <w:p w14:paraId="505CFD6F" w14:textId="4D235254" w:rsidR="00D47DA4" w:rsidRPr="00D738D2" w:rsidRDefault="00D47DA4" w:rsidP="00D47DA4">
            <w:pPr>
              <w:rPr>
                <w:rFonts w:cs="Arial"/>
                <w:szCs w:val="19"/>
              </w:rPr>
            </w:pPr>
            <w:r w:rsidRPr="00D738D2">
              <w:rPr>
                <w:rFonts w:cs="Arial"/>
                <w:sz w:val="16"/>
                <w:szCs w:val="16"/>
              </w:rPr>
              <w:t>4mg tablet</w:t>
            </w:r>
          </w:p>
        </w:tc>
        <w:tc>
          <w:tcPr>
            <w:tcW w:w="3707" w:type="pct"/>
            <w:shd w:val="clear" w:color="auto" w:fill="auto"/>
            <w:tcMar>
              <w:top w:w="57" w:type="dxa"/>
              <w:left w:w="170" w:type="dxa"/>
              <w:bottom w:w="57" w:type="dxa"/>
              <w:right w:w="170" w:type="dxa"/>
            </w:tcMar>
          </w:tcPr>
          <w:p w14:paraId="1A736E15" w14:textId="3DBFFF3B" w:rsidR="00D47DA4" w:rsidRPr="00A075A3" w:rsidRDefault="00D47DA4" w:rsidP="00D47DA4">
            <w:pPr>
              <w:tabs>
                <w:tab w:val="center" w:pos="3152"/>
              </w:tabs>
              <w:rPr>
                <w:rFonts w:cs="Arial"/>
                <w:szCs w:val="19"/>
                <w:lang w:val="en-US"/>
              </w:rPr>
            </w:pPr>
            <w:r>
              <w:rPr>
                <w:rFonts w:cs="Arial"/>
                <w:szCs w:val="19"/>
                <w:lang w:val="en-US"/>
              </w:rPr>
              <w:t xml:space="preserve">Contraception </w:t>
            </w:r>
          </w:p>
        </w:tc>
      </w:tr>
      <w:tr w:rsidR="00D47DA4" w:rsidRPr="00131D4C" w14:paraId="6541E8E5" w14:textId="77777777" w:rsidTr="00E64D6D">
        <w:tc>
          <w:tcPr>
            <w:tcW w:w="1293" w:type="pct"/>
            <w:shd w:val="clear" w:color="auto" w:fill="auto"/>
            <w:tcMar>
              <w:top w:w="57" w:type="dxa"/>
              <w:left w:w="170" w:type="dxa"/>
              <w:bottom w:w="57" w:type="dxa"/>
              <w:right w:w="170" w:type="dxa"/>
            </w:tcMar>
          </w:tcPr>
          <w:p w14:paraId="5B3035D7" w14:textId="33115006" w:rsidR="00D47DA4" w:rsidRPr="00A075A3" w:rsidRDefault="00D47DA4" w:rsidP="00D47DA4">
            <w:pPr>
              <w:rPr>
                <w:rFonts w:cs="Arial"/>
                <w:szCs w:val="19"/>
              </w:rPr>
            </w:pPr>
            <w:r>
              <w:rPr>
                <w:rFonts w:cs="Arial"/>
                <w:szCs w:val="19"/>
              </w:rPr>
              <w:t>E</w:t>
            </w:r>
            <w:r w:rsidRPr="00833786">
              <w:rPr>
                <w:rFonts w:cs="Arial"/>
                <w:szCs w:val="19"/>
              </w:rPr>
              <w:t>culizumab biosimilar</w:t>
            </w:r>
            <w:r>
              <w:rPr>
                <w:rFonts w:cs="Arial"/>
                <w:szCs w:val="19"/>
              </w:rPr>
              <w:t xml:space="preserve"> (</w:t>
            </w:r>
            <w:r>
              <w:rPr>
                <w:rFonts w:cs="Arial"/>
                <w:i/>
                <w:iCs/>
                <w:szCs w:val="19"/>
              </w:rPr>
              <w:t>Bekemv</w:t>
            </w:r>
            <w:r>
              <w:rPr>
                <w:rFonts w:cs="Arial"/>
                <w:szCs w:val="19"/>
              </w:rPr>
              <w:t xml:space="preserve">) </w:t>
            </w:r>
            <w:r w:rsidRPr="00833786">
              <w:rPr>
                <w:rFonts w:cs="Arial"/>
                <w:sz w:val="16"/>
                <w:szCs w:val="16"/>
              </w:rPr>
              <w:t>300mg in 30mL vial</w:t>
            </w:r>
          </w:p>
        </w:tc>
        <w:tc>
          <w:tcPr>
            <w:tcW w:w="3707" w:type="pct"/>
            <w:shd w:val="clear" w:color="auto" w:fill="auto"/>
            <w:tcMar>
              <w:top w:w="57" w:type="dxa"/>
              <w:left w:w="170" w:type="dxa"/>
              <w:bottom w:w="57" w:type="dxa"/>
              <w:right w:w="170" w:type="dxa"/>
            </w:tcMar>
          </w:tcPr>
          <w:p w14:paraId="638E4D8C" w14:textId="4A2EF0AB" w:rsidR="00D47DA4" w:rsidRPr="009B0BCE" w:rsidRDefault="00D47DA4" w:rsidP="00387ABE">
            <w:pPr>
              <w:tabs>
                <w:tab w:val="center" w:pos="3152"/>
              </w:tabs>
              <w:rPr>
                <w:rFonts w:cs="Arial"/>
                <w:color w:val="000000"/>
                <w:sz w:val="20"/>
                <w:szCs w:val="18"/>
                <w:lang w:val="en-US"/>
              </w:rPr>
            </w:pPr>
            <w:r>
              <w:rPr>
                <w:rFonts w:cs="Arial"/>
                <w:szCs w:val="19"/>
                <w:lang w:val="en-US"/>
              </w:rPr>
              <w:t xml:space="preserve">Use </w:t>
            </w:r>
            <w:r w:rsidRPr="00833786">
              <w:rPr>
                <w:rFonts w:cs="Arial"/>
                <w:szCs w:val="19"/>
                <w:lang w:val="en-US"/>
              </w:rPr>
              <w:t>in adults and children for the treatment of paroxysmal</w:t>
            </w:r>
            <w:r>
              <w:rPr>
                <w:rFonts w:cs="Arial"/>
                <w:szCs w:val="19"/>
                <w:lang w:val="en-US"/>
              </w:rPr>
              <w:t xml:space="preserve"> </w:t>
            </w:r>
            <w:r w:rsidRPr="00833786">
              <w:rPr>
                <w:rFonts w:cs="Arial"/>
                <w:szCs w:val="19"/>
                <w:lang w:val="en-US"/>
              </w:rPr>
              <w:t xml:space="preserve">nocturnal </w:t>
            </w:r>
            <w:proofErr w:type="spellStart"/>
            <w:r w:rsidRPr="00833786">
              <w:rPr>
                <w:rFonts w:cs="Arial"/>
                <w:szCs w:val="19"/>
                <w:lang w:val="en-US"/>
              </w:rPr>
              <w:t>haemoglobinuria</w:t>
            </w:r>
            <w:proofErr w:type="spellEnd"/>
            <w:r w:rsidR="00387ABE">
              <w:rPr>
                <w:rFonts w:cs="Arial"/>
                <w:szCs w:val="19"/>
                <w:lang w:val="en-US"/>
              </w:rPr>
              <w:t>.</w:t>
            </w:r>
            <w:r w:rsidR="00387ABE">
              <w:t xml:space="preserve"> </w:t>
            </w:r>
            <w:r w:rsidR="00387ABE" w:rsidRPr="00387ABE">
              <w:rPr>
                <w:rFonts w:cs="Arial"/>
                <w:szCs w:val="19"/>
                <w:lang w:val="en-US"/>
              </w:rPr>
              <w:t>Evidence of clinical benefit is demonstrated in patients with</w:t>
            </w:r>
            <w:r w:rsidR="00387ABE">
              <w:rPr>
                <w:rFonts w:cs="Arial"/>
                <w:szCs w:val="19"/>
                <w:lang w:val="en-US"/>
              </w:rPr>
              <w:t xml:space="preserve"> </w:t>
            </w:r>
            <w:proofErr w:type="spellStart"/>
            <w:r w:rsidR="00387ABE" w:rsidRPr="00387ABE">
              <w:rPr>
                <w:rFonts w:cs="Arial"/>
                <w:szCs w:val="19"/>
                <w:lang w:val="en-US"/>
              </w:rPr>
              <w:t>haemolysis</w:t>
            </w:r>
            <w:proofErr w:type="spellEnd"/>
            <w:r w:rsidR="00387ABE" w:rsidRPr="00387ABE">
              <w:rPr>
                <w:rFonts w:cs="Arial"/>
                <w:szCs w:val="19"/>
                <w:lang w:val="en-US"/>
              </w:rPr>
              <w:t xml:space="preserve"> with clinical symptom(s) indicative of high disease activity, regardless of</w:t>
            </w:r>
            <w:r w:rsidR="00387ABE">
              <w:rPr>
                <w:rFonts w:cs="Arial"/>
                <w:szCs w:val="19"/>
                <w:lang w:val="en-US"/>
              </w:rPr>
              <w:t xml:space="preserve"> </w:t>
            </w:r>
            <w:r w:rsidR="00387ABE" w:rsidRPr="00387ABE">
              <w:rPr>
                <w:rFonts w:cs="Arial"/>
                <w:szCs w:val="19"/>
                <w:lang w:val="en-US"/>
              </w:rPr>
              <w:t>transfusion history</w:t>
            </w:r>
            <w:r w:rsidR="00387ABE">
              <w:rPr>
                <w:rFonts w:cs="Arial"/>
                <w:szCs w:val="19"/>
                <w:lang w:val="en-US"/>
              </w:rPr>
              <w:t>.</w:t>
            </w:r>
          </w:p>
        </w:tc>
      </w:tr>
      <w:tr w:rsidR="00584B4D" w:rsidRPr="00131D4C" w14:paraId="180C02A2" w14:textId="77777777" w:rsidTr="00E64D6D">
        <w:tc>
          <w:tcPr>
            <w:tcW w:w="1293" w:type="pct"/>
            <w:shd w:val="clear" w:color="auto" w:fill="auto"/>
            <w:tcMar>
              <w:top w:w="57" w:type="dxa"/>
              <w:left w:w="170" w:type="dxa"/>
              <w:bottom w:w="57" w:type="dxa"/>
              <w:right w:w="170" w:type="dxa"/>
            </w:tcMar>
          </w:tcPr>
          <w:p w14:paraId="14EC77F4" w14:textId="56F1E103" w:rsidR="00584B4D" w:rsidRDefault="00584B4D" w:rsidP="00584B4D">
            <w:pPr>
              <w:rPr>
                <w:rFonts w:cs="Arial"/>
                <w:szCs w:val="19"/>
              </w:rPr>
            </w:pPr>
            <w:r w:rsidRPr="002A7902">
              <w:rPr>
                <w:rFonts w:cs="Arial"/>
                <w:szCs w:val="19"/>
              </w:rPr>
              <w:t>Eculizumab biosimilar</w:t>
            </w:r>
            <w:r>
              <w:rPr>
                <w:rFonts w:cs="Arial"/>
                <w:szCs w:val="19"/>
              </w:rPr>
              <w:t xml:space="preserve"> (</w:t>
            </w:r>
            <w:r>
              <w:rPr>
                <w:rFonts w:cs="Arial"/>
                <w:i/>
                <w:iCs/>
                <w:szCs w:val="19"/>
              </w:rPr>
              <w:t>Bekemv</w:t>
            </w:r>
            <w:r>
              <w:rPr>
                <w:rFonts w:cs="Arial"/>
                <w:szCs w:val="19"/>
              </w:rPr>
              <w:t xml:space="preserve">) </w:t>
            </w:r>
            <w:r w:rsidRPr="002A7902">
              <w:rPr>
                <w:rFonts w:cs="Arial"/>
                <w:sz w:val="16"/>
                <w:szCs w:val="16"/>
              </w:rPr>
              <w:t>300mg in 30mL vial</w:t>
            </w:r>
          </w:p>
        </w:tc>
        <w:tc>
          <w:tcPr>
            <w:tcW w:w="3707" w:type="pct"/>
            <w:shd w:val="clear" w:color="auto" w:fill="auto"/>
            <w:tcMar>
              <w:top w:w="57" w:type="dxa"/>
              <w:left w:w="170" w:type="dxa"/>
              <w:bottom w:w="57" w:type="dxa"/>
              <w:right w:w="170" w:type="dxa"/>
            </w:tcMar>
          </w:tcPr>
          <w:p w14:paraId="4EC288EE" w14:textId="2C9A7144" w:rsidR="00584B4D" w:rsidRDefault="00584B4D" w:rsidP="00584B4D">
            <w:pPr>
              <w:tabs>
                <w:tab w:val="center" w:pos="3152"/>
              </w:tabs>
              <w:rPr>
                <w:rFonts w:cs="Arial"/>
                <w:szCs w:val="19"/>
                <w:lang w:val="en-US"/>
              </w:rPr>
            </w:pPr>
            <w:r w:rsidRPr="002A7902">
              <w:rPr>
                <w:rFonts w:cs="Arial"/>
                <w:szCs w:val="19"/>
                <w:lang w:val="en-US"/>
              </w:rPr>
              <w:t xml:space="preserve">Use in adults and children for the treatment of atypical </w:t>
            </w:r>
            <w:proofErr w:type="spellStart"/>
            <w:r w:rsidRPr="002A7902">
              <w:rPr>
                <w:rFonts w:cs="Arial"/>
                <w:szCs w:val="19"/>
                <w:lang w:val="en-US"/>
              </w:rPr>
              <w:t>haemolytic</w:t>
            </w:r>
            <w:proofErr w:type="spellEnd"/>
            <w:r w:rsidRPr="002A7902">
              <w:rPr>
                <w:rFonts w:cs="Arial"/>
                <w:szCs w:val="19"/>
                <w:lang w:val="en-US"/>
              </w:rPr>
              <w:t xml:space="preserve"> </w:t>
            </w:r>
            <w:proofErr w:type="spellStart"/>
            <w:r w:rsidRPr="002A7902">
              <w:rPr>
                <w:rFonts w:cs="Arial"/>
                <w:szCs w:val="19"/>
                <w:lang w:val="en-US"/>
              </w:rPr>
              <w:t>uraemic</w:t>
            </w:r>
            <w:proofErr w:type="spellEnd"/>
            <w:r w:rsidRPr="002A7902">
              <w:rPr>
                <w:rFonts w:cs="Arial"/>
                <w:szCs w:val="19"/>
                <w:lang w:val="en-US"/>
              </w:rPr>
              <w:t xml:space="preserve"> syndrome</w:t>
            </w:r>
            <w:r>
              <w:rPr>
                <w:rFonts w:cs="Arial"/>
                <w:szCs w:val="19"/>
                <w:lang w:val="en-US"/>
              </w:rPr>
              <w:t xml:space="preserve"> </w:t>
            </w:r>
            <w:r w:rsidRPr="002A7902">
              <w:rPr>
                <w:rFonts w:cs="Arial"/>
                <w:sz w:val="16"/>
                <w:szCs w:val="16"/>
                <w:lang w:val="en-US"/>
              </w:rPr>
              <w:t>[new indication]</w:t>
            </w:r>
          </w:p>
        </w:tc>
      </w:tr>
      <w:tr w:rsidR="00584B4D" w:rsidRPr="00862949" w14:paraId="38451A69" w14:textId="77777777" w:rsidTr="002772ED">
        <w:tc>
          <w:tcPr>
            <w:tcW w:w="5000" w:type="pct"/>
            <w:gridSpan w:val="2"/>
            <w:shd w:val="clear" w:color="auto" w:fill="auto"/>
            <w:tcMar>
              <w:top w:w="0" w:type="dxa"/>
              <w:bottom w:w="0" w:type="dxa"/>
            </w:tcMar>
          </w:tcPr>
          <w:p w14:paraId="474B8BF5" w14:textId="77777777" w:rsidR="00584B4D" w:rsidRPr="00862949" w:rsidRDefault="00584B4D" w:rsidP="00584B4D">
            <w:pPr>
              <w:rPr>
                <w:rFonts w:cs="Arial"/>
                <w:b/>
                <w:noProof/>
                <w:sz w:val="8"/>
                <w:szCs w:val="8"/>
              </w:rPr>
            </w:pPr>
          </w:p>
        </w:tc>
      </w:tr>
      <w:tr w:rsidR="00584B4D" w:rsidRPr="00862949" w14:paraId="47B0C80D" w14:textId="77777777" w:rsidTr="002772ED">
        <w:tc>
          <w:tcPr>
            <w:tcW w:w="5000" w:type="pct"/>
            <w:gridSpan w:val="2"/>
            <w:shd w:val="clear" w:color="auto" w:fill="DAEEF3"/>
            <w:tcMar>
              <w:top w:w="0" w:type="dxa"/>
              <w:bottom w:w="0" w:type="dxa"/>
            </w:tcMar>
          </w:tcPr>
          <w:p w14:paraId="4E12F0E8" w14:textId="77777777" w:rsidR="00584B4D" w:rsidRPr="00862949" w:rsidRDefault="00584B4D" w:rsidP="00584B4D">
            <w:pPr>
              <w:rPr>
                <w:rFonts w:cs="Arial"/>
                <w:b/>
                <w:i/>
                <w:noProof/>
                <w:sz w:val="8"/>
                <w:szCs w:val="8"/>
              </w:rPr>
            </w:pPr>
          </w:p>
        </w:tc>
      </w:tr>
    </w:tbl>
    <w:p w14:paraId="23206049" w14:textId="77777777" w:rsidR="001A42CE" w:rsidRPr="00727945" w:rsidRDefault="001A42CE" w:rsidP="00727945">
      <w:pPr>
        <w:rPr>
          <w:rFonts w:ascii="Latha" w:hAnsi="Latha" w:cs="Latha"/>
          <w:sz w:val="8"/>
          <w:szCs w:val="8"/>
        </w:rPr>
        <w:sectPr w:rsidR="001A42CE" w:rsidRPr="00727945" w:rsidSect="002772ED">
          <w:headerReference w:type="even" r:id="rId11"/>
          <w:headerReference w:type="default" r:id="rId12"/>
          <w:footerReference w:type="even" r:id="rId13"/>
          <w:footerReference w:type="default" r:id="rId14"/>
          <w:headerReference w:type="first" r:id="rId15"/>
          <w:pgSz w:w="11906" w:h="16838" w:code="9"/>
          <w:pgMar w:top="680" w:right="851" w:bottom="680" w:left="851" w:header="567" w:footer="227" w:gutter="0"/>
          <w:cols w:space="708"/>
          <w:docGrid w:linePitch="360"/>
        </w:sectPr>
      </w:pPr>
    </w:p>
    <w:p w14:paraId="1BB1ADE0" w14:textId="77777777" w:rsidR="00810288" w:rsidRDefault="00810288" w:rsidP="00EB3E6F">
      <w:pPr>
        <w:tabs>
          <w:tab w:val="left" w:pos="2087"/>
        </w:tabs>
        <w:rPr>
          <w:sz w:val="8"/>
          <w:szCs w:val="12"/>
        </w:rPr>
      </w:pPr>
    </w:p>
    <w:p w14:paraId="5FBDC1F3" w14:textId="77777777" w:rsidR="004B70CD" w:rsidRDefault="004B70CD" w:rsidP="00EB3E6F">
      <w:pPr>
        <w:tabs>
          <w:tab w:val="left" w:pos="2087"/>
        </w:tabs>
        <w:rPr>
          <w:sz w:val="8"/>
          <w:szCs w:val="12"/>
        </w:rPr>
      </w:pPr>
    </w:p>
    <w:p w14:paraId="0F886210" w14:textId="77777777" w:rsidR="004B70CD" w:rsidRPr="00211FCD" w:rsidRDefault="004B70CD" w:rsidP="00EB3E6F">
      <w:pPr>
        <w:tabs>
          <w:tab w:val="left" w:pos="2087"/>
        </w:tabs>
        <w:rPr>
          <w:sz w:val="8"/>
          <w:szCs w:val="12"/>
        </w:rPr>
      </w:pPr>
    </w:p>
    <w:tbl>
      <w:tblPr>
        <w:tblW w:w="5170" w:type="pct"/>
        <w:tblInd w:w="-176" w:type="dxa"/>
        <w:tblLayout w:type="fixed"/>
        <w:tblLook w:val="01E0" w:firstRow="1" w:lastRow="1" w:firstColumn="1" w:lastColumn="1" w:noHBand="0" w:noVBand="0"/>
      </w:tblPr>
      <w:tblGrid>
        <w:gridCol w:w="2728"/>
        <w:gridCol w:w="7823"/>
      </w:tblGrid>
      <w:tr w:rsidR="00810288" w:rsidRPr="00862949" w14:paraId="62A914C1" w14:textId="77777777" w:rsidTr="00D67F93">
        <w:tc>
          <w:tcPr>
            <w:tcW w:w="5000" w:type="pct"/>
            <w:gridSpan w:val="2"/>
            <w:shd w:val="clear" w:color="auto" w:fill="0070C0"/>
            <w:tcMar>
              <w:top w:w="85" w:type="dxa"/>
              <w:bottom w:w="85" w:type="dxa"/>
            </w:tcMar>
            <w:vAlign w:val="bottom"/>
          </w:tcPr>
          <w:p w14:paraId="74B86FE2" w14:textId="77777777" w:rsidR="00810288" w:rsidRPr="00862949" w:rsidRDefault="00810288" w:rsidP="00D67F93">
            <w:pPr>
              <w:rPr>
                <w:rFonts w:cs="Arial"/>
                <w:color w:val="FFFFFF"/>
                <w:sz w:val="15"/>
                <w:szCs w:val="15"/>
              </w:rPr>
            </w:pPr>
            <w:r>
              <w:rPr>
                <w:rFonts w:cs="Arial"/>
                <w:b/>
                <w:bCs/>
                <w:iCs/>
                <w:color w:val="FFFFFF"/>
                <w:sz w:val="28"/>
                <w:szCs w:val="28"/>
                <w:lang w:val="en-US"/>
              </w:rPr>
              <w:t>New product information</w:t>
            </w:r>
            <w:r w:rsidRPr="00862949">
              <w:rPr>
                <w:rFonts w:cs="Arial"/>
                <w:b/>
                <w:bCs/>
                <w:iCs/>
                <w:color w:val="FFFFFF"/>
                <w:sz w:val="28"/>
                <w:szCs w:val="28"/>
                <w:lang w:val="en-US"/>
              </w:rPr>
              <w:tab/>
            </w:r>
          </w:p>
        </w:tc>
      </w:tr>
      <w:tr w:rsidR="00810288" w:rsidRPr="00862949" w14:paraId="667F0083" w14:textId="77777777" w:rsidTr="00D67F93">
        <w:tc>
          <w:tcPr>
            <w:tcW w:w="5000" w:type="pct"/>
            <w:gridSpan w:val="2"/>
            <w:shd w:val="clear" w:color="auto" w:fill="DAEEF3"/>
            <w:tcMar>
              <w:top w:w="0" w:type="dxa"/>
              <w:bottom w:w="0" w:type="dxa"/>
            </w:tcMar>
          </w:tcPr>
          <w:p w14:paraId="0B8E206F" w14:textId="77777777" w:rsidR="00810288" w:rsidRPr="00862949" w:rsidRDefault="00810288" w:rsidP="00D67F93">
            <w:pPr>
              <w:rPr>
                <w:rFonts w:cs="Arial"/>
                <w:b/>
                <w:bCs/>
                <w:i/>
                <w:iCs/>
                <w:color w:val="000000"/>
                <w:sz w:val="8"/>
                <w:szCs w:val="8"/>
                <w:lang w:val="en-US"/>
              </w:rPr>
            </w:pPr>
          </w:p>
        </w:tc>
      </w:tr>
      <w:tr w:rsidR="00810288" w:rsidRPr="00862949" w14:paraId="09440A33" w14:textId="77777777" w:rsidTr="00D67F93">
        <w:tc>
          <w:tcPr>
            <w:tcW w:w="5000" w:type="pct"/>
            <w:gridSpan w:val="2"/>
            <w:shd w:val="clear" w:color="auto" w:fill="00B050"/>
            <w:tcMar>
              <w:top w:w="57" w:type="dxa"/>
              <w:bottom w:w="57" w:type="dxa"/>
            </w:tcMar>
          </w:tcPr>
          <w:p w14:paraId="314398A7" w14:textId="4C8C0A07" w:rsidR="00810288" w:rsidRPr="00433D3E" w:rsidRDefault="00810288" w:rsidP="00D67F93">
            <w:pPr>
              <w:rPr>
                <w:rFonts w:cs="Arial"/>
                <w:color w:val="FFFFFF"/>
                <w:sz w:val="20"/>
                <w:szCs w:val="20"/>
              </w:rPr>
            </w:pPr>
            <w:r w:rsidRPr="00433D3E">
              <w:rPr>
                <w:rFonts w:cs="Arial"/>
                <w:b/>
                <w:bCs/>
                <w:i/>
                <w:iCs/>
                <w:color w:val="FFFFFF"/>
                <w:sz w:val="22"/>
                <w:szCs w:val="20"/>
                <w:lang w:val="en-US"/>
              </w:rPr>
              <w:t>Launched in the UK (or licence change for existing products)</w:t>
            </w:r>
            <w:r>
              <w:rPr>
                <w:rFonts w:cs="Arial"/>
                <w:b/>
                <w:bCs/>
                <w:i/>
                <w:iCs/>
                <w:color w:val="FFFFFF"/>
                <w:sz w:val="22"/>
                <w:szCs w:val="20"/>
                <w:lang w:val="en-US"/>
              </w:rPr>
              <w:t xml:space="preserve"> </w:t>
            </w:r>
            <w:r w:rsidRPr="00810288">
              <w:rPr>
                <w:rFonts w:cs="Arial"/>
                <w:b/>
                <w:bCs/>
                <w:color w:val="FFFFFF"/>
                <w:sz w:val="16"/>
                <w:szCs w:val="14"/>
                <w:lang w:val="en-US"/>
              </w:rPr>
              <w:t>(continued)</w:t>
            </w:r>
          </w:p>
        </w:tc>
      </w:tr>
      <w:tr w:rsidR="009B070E" w:rsidRPr="00131D4C" w14:paraId="6189AB88" w14:textId="77777777" w:rsidTr="00D67F93">
        <w:tc>
          <w:tcPr>
            <w:tcW w:w="1293" w:type="pct"/>
            <w:shd w:val="clear" w:color="auto" w:fill="auto"/>
            <w:tcMar>
              <w:top w:w="57" w:type="dxa"/>
              <w:left w:w="170" w:type="dxa"/>
              <w:bottom w:w="57" w:type="dxa"/>
              <w:right w:w="170" w:type="dxa"/>
            </w:tcMar>
          </w:tcPr>
          <w:p w14:paraId="4C179441" w14:textId="443E83AD" w:rsidR="009B070E" w:rsidRDefault="009B070E" w:rsidP="009B070E">
            <w:pPr>
              <w:rPr>
                <w:rFonts w:cs="Arial"/>
                <w:szCs w:val="19"/>
              </w:rPr>
            </w:pPr>
            <w:r>
              <w:rPr>
                <w:rFonts w:cs="Arial"/>
                <w:szCs w:val="19"/>
              </w:rPr>
              <w:t>Eculizumab biosimilar (</w:t>
            </w:r>
            <w:proofErr w:type="spellStart"/>
            <w:r w:rsidRPr="00687D84">
              <w:rPr>
                <w:rFonts w:cs="Arial"/>
                <w:i/>
                <w:iCs/>
                <w:szCs w:val="19"/>
              </w:rPr>
              <w:t>Epysqli</w:t>
            </w:r>
            <w:proofErr w:type="spellEnd"/>
            <w:r>
              <w:rPr>
                <w:rFonts w:cs="Arial"/>
                <w:szCs w:val="19"/>
              </w:rPr>
              <w:t>)</w:t>
            </w:r>
            <w:r w:rsidRPr="00687D84">
              <w:rPr>
                <w:rFonts w:cs="Arial"/>
                <w:szCs w:val="19"/>
              </w:rPr>
              <w:t xml:space="preserve"> </w:t>
            </w:r>
            <w:r w:rsidRPr="00687D84">
              <w:rPr>
                <w:rFonts w:cs="Arial"/>
                <w:sz w:val="16"/>
                <w:szCs w:val="16"/>
              </w:rPr>
              <w:t>300mg in 30mL vial</w:t>
            </w:r>
          </w:p>
        </w:tc>
        <w:tc>
          <w:tcPr>
            <w:tcW w:w="3707" w:type="pct"/>
            <w:shd w:val="clear" w:color="auto" w:fill="auto"/>
            <w:tcMar>
              <w:top w:w="57" w:type="dxa"/>
              <w:left w:w="170" w:type="dxa"/>
              <w:bottom w:w="57" w:type="dxa"/>
              <w:right w:w="170" w:type="dxa"/>
            </w:tcMar>
          </w:tcPr>
          <w:p w14:paraId="3F9F68F1" w14:textId="2D4E6914" w:rsidR="009B070E" w:rsidRPr="007A5659" w:rsidRDefault="009B070E" w:rsidP="009B070E">
            <w:pPr>
              <w:tabs>
                <w:tab w:val="center" w:pos="3152"/>
              </w:tabs>
              <w:rPr>
                <w:rFonts w:cs="Arial"/>
                <w:szCs w:val="19"/>
              </w:rPr>
            </w:pPr>
            <w:r w:rsidRPr="00687D84">
              <w:rPr>
                <w:rFonts w:cs="Arial"/>
                <w:szCs w:val="19"/>
                <w:lang w:val="en-US"/>
              </w:rPr>
              <w:t xml:space="preserve">Use in adults and children for the treatment of paroxysmal nocturnal </w:t>
            </w:r>
            <w:proofErr w:type="spellStart"/>
            <w:r w:rsidRPr="00687D84">
              <w:rPr>
                <w:rFonts w:cs="Arial"/>
                <w:szCs w:val="19"/>
                <w:lang w:val="en-US"/>
              </w:rPr>
              <w:t>haemoglobinuria</w:t>
            </w:r>
            <w:proofErr w:type="spellEnd"/>
            <w:r w:rsidRPr="00687D84">
              <w:rPr>
                <w:rFonts w:cs="Arial"/>
                <w:szCs w:val="19"/>
                <w:lang w:val="en-US"/>
              </w:rPr>
              <w:t xml:space="preserve">. Evidence of clinical benefit is demonstrated in patients with </w:t>
            </w:r>
            <w:proofErr w:type="spellStart"/>
            <w:r w:rsidRPr="00687D84">
              <w:rPr>
                <w:rFonts w:cs="Arial"/>
                <w:szCs w:val="19"/>
                <w:lang w:val="en-US"/>
              </w:rPr>
              <w:t>haemolysis</w:t>
            </w:r>
            <w:proofErr w:type="spellEnd"/>
            <w:r w:rsidRPr="00687D84">
              <w:rPr>
                <w:rFonts w:cs="Arial"/>
                <w:szCs w:val="19"/>
                <w:lang w:val="en-US"/>
              </w:rPr>
              <w:t xml:space="preserve"> with clinical symptom(s) indicative of high disease activity, regardless of transfusion history</w:t>
            </w:r>
            <w:r>
              <w:rPr>
                <w:rFonts w:cs="Arial"/>
                <w:szCs w:val="19"/>
                <w:lang w:val="en-US"/>
              </w:rPr>
              <w:t>.</w:t>
            </w:r>
          </w:p>
        </w:tc>
      </w:tr>
      <w:tr w:rsidR="009B070E" w:rsidRPr="00131D4C" w14:paraId="4738A5A0" w14:textId="77777777" w:rsidTr="00D67F93">
        <w:tc>
          <w:tcPr>
            <w:tcW w:w="1293" w:type="pct"/>
            <w:shd w:val="clear" w:color="auto" w:fill="auto"/>
            <w:tcMar>
              <w:top w:w="57" w:type="dxa"/>
              <w:left w:w="170" w:type="dxa"/>
              <w:bottom w:w="57" w:type="dxa"/>
              <w:right w:w="170" w:type="dxa"/>
            </w:tcMar>
          </w:tcPr>
          <w:p w14:paraId="3E04FD32" w14:textId="77777777" w:rsidR="009B070E" w:rsidRDefault="009B070E" w:rsidP="009B070E">
            <w:pPr>
              <w:rPr>
                <w:rFonts w:cs="Arial"/>
                <w:szCs w:val="19"/>
              </w:rPr>
            </w:pPr>
            <w:r>
              <w:rPr>
                <w:rFonts w:cs="Arial"/>
                <w:szCs w:val="19"/>
              </w:rPr>
              <w:t>Eculizumab (</w:t>
            </w:r>
            <w:r>
              <w:rPr>
                <w:rFonts w:cs="Arial"/>
                <w:i/>
                <w:iCs/>
                <w:szCs w:val="19"/>
              </w:rPr>
              <w:t>Soliris</w:t>
            </w:r>
            <w:r>
              <w:rPr>
                <w:rFonts w:cs="Arial"/>
                <w:szCs w:val="19"/>
              </w:rPr>
              <w:t>)</w:t>
            </w:r>
          </w:p>
          <w:p w14:paraId="6B12F572" w14:textId="6072414D" w:rsidR="009B070E" w:rsidRPr="001E69A8" w:rsidRDefault="009B070E" w:rsidP="009B070E">
            <w:pPr>
              <w:rPr>
                <w:rFonts w:cs="Arial"/>
                <w:szCs w:val="19"/>
              </w:rPr>
            </w:pPr>
            <w:r w:rsidRPr="007A5659">
              <w:rPr>
                <w:rFonts w:cs="Arial"/>
                <w:sz w:val="16"/>
                <w:szCs w:val="16"/>
              </w:rPr>
              <w:t>300mg vial</w:t>
            </w:r>
          </w:p>
        </w:tc>
        <w:tc>
          <w:tcPr>
            <w:tcW w:w="3707" w:type="pct"/>
            <w:shd w:val="clear" w:color="auto" w:fill="auto"/>
            <w:tcMar>
              <w:top w:w="57" w:type="dxa"/>
              <w:left w:w="170" w:type="dxa"/>
              <w:bottom w:w="57" w:type="dxa"/>
              <w:right w:w="170" w:type="dxa"/>
            </w:tcMar>
          </w:tcPr>
          <w:p w14:paraId="515F11BF" w14:textId="1A401485" w:rsidR="009B070E" w:rsidRDefault="009B070E" w:rsidP="009B070E">
            <w:pPr>
              <w:tabs>
                <w:tab w:val="center" w:pos="3152"/>
              </w:tabs>
              <w:rPr>
                <w:rFonts w:cs="Arial"/>
                <w:szCs w:val="19"/>
                <w:lang w:val="en-US"/>
              </w:rPr>
            </w:pPr>
            <w:r w:rsidRPr="007A5659">
              <w:rPr>
                <w:rFonts w:cs="Arial"/>
                <w:szCs w:val="19"/>
              </w:rPr>
              <w:t>Treatment of refractory generali</w:t>
            </w:r>
            <w:r>
              <w:rPr>
                <w:rFonts w:cs="Arial"/>
                <w:szCs w:val="19"/>
              </w:rPr>
              <w:t>s</w:t>
            </w:r>
            <w:r w:rsidRPr="007A5659">
              <w:rPr>
                <w:rFonts w:cs="Arial"/>
                <w:szCs w:val="19"/>
              </w:rPr>
              <w:t xml:space="preserve">ed myasthenia gravis in patients aged </w:t>
            </w:r>
            <w:r>
              <w:rPr>
                <w:rFonts w:cs="Arial"/>
                <w:szCs w:val="19"/>
              </w:rPr>
              <w:t>≥</w:t>
            </w:r>
            <w:r w:rsidRPr="007A5659">
              <w:rPr>
                <w:rFonts w:cs="Arial"/>
                <w:szCs w:val="19"/>
              </w:rPr>
              <w:t>6 years who are anti-acetylcholine receptor antibody-positive</w:t>
            </w:r>
            <w:r>
              <w:rPr>
                <w:rFonts w:cs="Arial"/>
                <w:szCs w:val="19"/>
              </w:rPr>
              <w:t xml:space="preserve"> </w:t>
            </w:r>
            <w:r w:rsidRPr="007A5659">
              <w:rPr>
                <w:rFonts w:cs="Arial"/>
                <w:sz w:val="16"/>
                <w:szCs w:val="16"/>
              </w:rPr>
              <w:t>[licence change from use only in adults]</w:t>
            </w:r>
          </w:p>
        </w:tc>
      </w:tr>
      <w:tr w:rsidR="009B070E" w:rsidRPr="00131D4C" w14:paraId="4CCF3B0E" w14:textId="77777777" w:rsidTr="00D67F93">
        <w:tc>
          <w:tcPr>
            <w:tcW w:w="1293" w:type="pct"/>
            <w:shd w:val="clear" w:color="auto" w:fill="auto"/>
            <w:tcMar>
              <w:top w:w="57" w:type="dxa"/>
              <w:left w:w="170" w:type="dxa"/>
              <w:bottom w:w="57" w:type="dxa"/>
              <w:right w:w="170" w:type="dxa"/>
            </w:tcMar>
          </w:tcPr>
          <w:p w14:paraId="19F2C733" w14:textId="77777777" w:rsidR="009B070E" w:rsidRDefault="009B070E" w:rsidP="009B070E">
            <w:pPr>
              <w:rPr>
                <w:rFonts w:cs="Arial"/>
                <w:szCs w:val="19"/>
              </w:rPr>
            </w:pPr>
            <w:proofErr w:type="spellStart"/>
            <w:r w:rsidRPr="001E69A8">
              <w:rPr>
                <w:rFonts w:cs="Arial"/>
                <w:szCs w:val="19"/>
              </w:rPr>
              <w:t>Elranatamab</w:t>
            </w:r>
            <w:proofErr w:type="spellEnd"/>
            <w:r>
              <w:rPr>
                <w:rFonts w:cs="Arial"/>
                <w:szCs w:val="19"/>
              </w:rPr>
              <w:t xml:space="preserve"> (</w:t>
            </w:r>
            <w:proofErr w:type="spellStart"/>
            <w:r w:rsidRPr="001E69A8">
              <w:rPr>
                <w:rFonts w:cs="Arial"/>
                <w:i/>
                <w:iCs/>
                <w:szCs w:val="19"/>
              </w:rPr>
              <w:t>Elrexfio</w:t>
            </w:r>
            <w:proofErr w:type="spellEnd"/>
            <w:r>
              <w:rPr>
                <w:rFonts w:cs="Arial"/>
                <w:szCs w:val="19"/>
              </w:rPr>
              <w:t xml:space="preserve">) </w:t>
            </w:r>
          </w:p>
          <w:p w14:paraId="077295EF" w14:textId="11D0B750" w:rsidR="009B070E" w:rsidRPr="001E69A8" w:rsidRDefault="009B070E" w:rsidP="009B070E">
            <w:pPr>
              <w:rPr>
                <w:rFonts w:cs="Arial"/>
                <w:szCs w:val="19"/>
              </w:rPr>
            </w:pPr>
            <w:r w:rsidRPr="000D6EDF">
              <w:rPr>
                <w:rFonts w:cs="Arial"/>
                <w:sz w:val="16"/>
                <w:szCs w:val="16"/>
              </w:rPr>
              <w:t>44mg in 1.1mL and 76mg in 1.9mL vials</w:t>
            </w:r>
          </w:p>
        </w:tc>
        <w:tc>
          <w:tcPr>
            <w:tcW w:w="3707" w:type="pct"/>
            <w:shd w:val="clear" w:color="auto" w:fill="auto"/>
            <w:tcMar>
              <w:top w:w="57" w:type="dxa"/>
              <w:left w:w="170" w:type="dxa"/>
              <w:bottom w:w="57" w:type="dxa"/>
              <w:right w:w="170" w:type="dxa"/>
            </w:tcMar>
          </w:tcPr>
          <w:p w14:paraId="51EEAF7D" w14:textId="0F152BFE" w:rsidR="009B070E" w:rsidRDefault="009B070E" w:rsidP="009B070E">
            <w:pPr>
              <w:tabs>
                <w:tab w:val="center" w:pos="3152"/>
              </w:tabs>
              <w:rPr>
                <w:rFonts w:cs="Arial"/>
                <w:szCs w:val="19"/>
                <w:lang w:val="en-US"/>
              </w:rPr>
            </w:pPr>
            <w:r>
              <w:rPr>
                <w:rFonts w:cs="Arial"/>
                <w:szCs w:val="19"/>
                <w:lang w:val="en-US"/>
              </w:rPr>
              <w:t>M</w:t>
            </w:r>
            <w:r w:rsidRPr="001E69A8">
              <w:rPr>
                <w:rFonts w:cs="Arial"/>
                <w:szCs w:val="19"/>
                <w:lang w:val="en-US"/>
              </w:rPr>
              <w:t>onotherapy for the treatment of adults with relapsed and refractory multiple myeloma, who have received at least three prior therapies, including an immunomodulatory agent, a proteasome inhibitor, and an anti-CD38 antibody and have demonstrated disease progression on the last therapy</w:t>
            </w:r>
          </w:p>
        </w:tc>
      </w:tr>
      <w:tr w:rsidR="009B070E" w:rsidRPr="00131D4C" w14:paraId="77DE793C" w14:textId="77777777" w:rsidTr="00D67F93">
        <w:tc>
          <w:tcPr>
            <w:tcW w:w="1293" w:type="pct"/>
            <w:shd w:val="clear" w:color="auto" w:fill="auto"/>
            <w:tcMar>
              <w:top w:w="57" w:type="dxa"/>
              <w:left w:w="170" w:type="dxa"/>
              <w:bottom w:w="57" w:type="dxa"/>
              <w:right w:w="170" w:type="dxa"/>
            </w:tcMar>
          </w:tcPr>
          <w:p w14:paraId="4DF98557" w14:textId="3A455E08" w:rsidR="009B070E" w:rsidRPr="000D2A46" w:rsidRDefault="009B070E" w:rsidP="009B070E">
            <w:pPr>
              <w:rPr>
                <w:rFonts w:cs="Arial"/>
                <w:szCs w:val="19"/>
              </w:rPr>
            </w:pPr>
            <w:r>
              <w:rPr>
                <w:rFonts w:cs="Arial"/>
                <w:szCs w:val="19"/>
              </w:rPr>
              <w:t>Evinacumab (</w:t>
            </w:r>
            <w:r>
              <w:rPr>
                <w:rFonts w:cs="Arial"/>
                <w:i/>
                <w:iCs/>
                <w:szCs w:val="19"/>
              </w:rPr>
              <w:t>Evkeeza</w:t>
            </w:r>
            <w:r>
              <w:rPr>
                <w:rFonts w:cs="Arial"/>
                <w:szCs w:val="19"/>
              </w:rPr>
              <w:t xml:space="preserve">) </w:t>
            </w:r>
            <w:r w:rsidRPr="00DC79C3">
              <w:rPr>
                <w:rFonts w:cs="Arial"/>
                <w:sz w:val="16"/>
                <w:szCs w:val="16"/>
              </w:rPr>
              <w:t>345mg in 2.3mL vial</w:t>
            </w:r>
          </w:p>
        </w:tc>
        <w:tc>
          <w:tcPr>
            <w:tcW w:w="3707" w:type="pct"/>
            <w:shd w:val="clear" w:color="auto" w:fill="auto"/>
            <w:tcMar>
              <w:top w:w="57" w:type="dxa"/>
              <w:left w:w="170" w:type="dxa"/>
              <w:bottom w:w="57" w:type="dxa"/>
              <w:right w:w="170" w:type="dxa"/>
            </w:tcMar>
          </w:tcPr>
          <w:p w14:paraId="787D3EC8" w14:textId="12351993" w:rsidR="009B070E" w:rsidRPr="000D2A46" w:rsidRDefault="009B070E" w:rsidP="009B070E">
            <w:pPr>
              <w:tabs>
                <w:tab w:val="center" w:pos="3152"/>
              </w:tabs>
              <w:rPr>
                <w:rFonts w:cs="Arial"/>
                <w:szCs w:val="19"/>
              </w:rPr>
            </w:pPr>
            <w:r>
              <w:rPr>
                <w:rFonts w:cs="Arial"/>
                <w:szCs w:val="19"/>
              </w:rPr>
              <w:t xml:space="preserve">Use </w:t>
            </w:r>
            <w:r w:rsidRPr="00DC79C3">
              <w:rPr>
                <w:rFonts w:cs="Arial"/>
                <w:szCs w:val="19"/>
              </w:rPr>
              <w:t xml:space="preserve">as an adjunct to diet and other low-density lipoprotein-cholesterol lowering therapies for the treatment of adult and adolescents aged </w:t>
            </w:r>
            <w:r>
              <w:rPr>
                <w:rFonts w:cs="Arial"/>
                <w:szCs w:val="19"/>
              </w:rPr>
              <w:t>≥</w:t>
            </w:r>
            <w:r w:rsidRPr="00DC79C3">
              <w:rPr>
                <w:rFonts w:cs="Arial"/>
                <w:szCs w:val="19"/>
              </w:rPr>
              <w:t>12 years with homozygous familial hypercholesterolaemia</w:t>
            </w:r>
          </w:p>
        </w:tc>
      </w:tr>
      <w:tr w:rsidR="009B070E" w:rsidRPr="00131D4C" w14:paraId="7AC6057E" w14:textId="77777777" w:rsidTr="00D67F93">
        <w:tc>
          <w:tcPr>
            <w:tcW w:w="1293" w:type="pct"/>
            <w:shd w:val="clear" w:color="auto" w:fill="auto"/>
            <w:tcMar>
              <w:top w:w="57" w:type="dxa"/>
              <w:left w:w="170" w:type="dxa"/>
              <w:bottom w:w="57" w:type="dxa"/>
              <w:right w:w="170" w:type="dxa"/>
            </w:tcMar>
          </w:tcPr>
          <w:p w14:paraId="1A22C684" w14:textId="77777777" w:rsidR="009B070E" w:rsidRDefault="009B070E" w:rsidP="009B070E">
            <w:pPr>
              <w:rPr>
                <w:rFonts w:cs="Arial"/>
                <w:szCs w:val="19"/>
              </w:rPr>
            </w:pPr>
            <w:r w:rsidRPr="000D2A46">
              <w:rPr>
                <w:rFonts w:cs="Arial"/>
                <w:szCs w:val="19"/>
              </w:rPr>
              <w:t>Human normal immunoglobulin</w:t>
            </w:r>
            <w:r>
              <w:rPr>
                <w:rFonts w:cs="Arial"/>
                <w:szCs w:val="19"/>
              </w:rPr>
              <w:t xml:space="preserve"> (</w:t>
            </w:r>
            <w:r>
              <w:rPr>
                <w:rFonts w:cs="Arial"/>
                <w:i/>
                <w:iCs/>
                <w:szCs w:val="19"/>
              </w:rPr>
              <w:t>Cuvitru</w:t>
            </w:r>
            <w:r>
              <w:rPr>
                <w:rFonts w:cs="Arial"/>
                <w:szCs w:val="19"/>
              </w:rPr>
              <w:t xml:space="preserve">) </w:t>
            </w:r>
          </w:p>
          <w:p w14:paraId="4724CB34" w14:textId="43266C93" w:rsidR="009B070E" w:rsidRDefault="009B070E" w:rsidP="009B070E">
            <w:pPr>
              <w:rPr>
                <w:rFonts w:cs="Arial"/>
                <w:szCs w:val="19"/>
              </w:rPr>
            </w:pPr>
            <w:r w:rsidRPr="000D2A46">
              <w:rPr>
                <w:rFonts w:cs="Arial"/>
                <w:sz w:val="16"/>
                <w:szCs w:val="16"/>
              </w:rPr>
              <w:t>1g in 5mL, 2 in 10mL, 4g in 20mL, 8g in 40mL and 10g in 50mL vials</w:t>
            </w:r>
          </w:p>
        </w:tc>
        <w:tc>
          <w:tcPr>
            <w:tcW w:w="3707" w:type="pct"/>
            <w:shd w:val="clear" w:color="auto" w:fill="auto"/>
            <w:tcMar>
              <w:top w:w="57" w:type="dxa"/>
              <w:left w:w="170" w:type="dxa"/>
              <w:bottom w:w="57" w:type="dxa"/>
              <w:right w:w="170" w:type="dxa"/>
            </w:tcMar>
          </w:tcPr>
          <w:p w14:paraId="69945677" w14:textId="3E6ABE2C" w:rsidR="009B070E" w:rsidRDefault="009B070E" w:rsidP="009B070E">
            <w:pPr>
              <w:tabs>
                <w:tab w:val="center" w:pos="3152"/>
              </w:tabs>
              <w:rPr>
                <w:rFonts w:cs="Arial"/>
                <w:szCs w:val="19"/>
                <w:lang w:val="en-US"/>
              </w:rPr>
            </w:pPr>
            <w:r w:rsidRPr="000D2A46">
              <w:rPr>
                <w:rFonts w:cs="Arial"/>
                <w:szCs w:val="19"/>
              </w:rPr>
              <w:t>Replacement therapy in adults, and children and adolescents (0-18 years) in primary immunodeficiency syndromes with impaired antibody production and secondary immunodeficiencies in patients who suffer from severe or recurrent infections, ineffective antimicrobial treatment and either proven specific antibody failure or serum IgG level of &lt;4g/l</w:t>
            </w:r>
            <w:r>
              <w:rPr>
                <w:rFonts w:cs="Arial"/>
                <w:szCs w:val="19"/>
              </w:rPr>
              <w:t xml:space="preserve"> </w:t>
            </w:r>
            <w:r w:rsidRPr="000D2A46">
              <w:rPr>
                <w:rFonts w:cs="Arial"/>
                <w:sz w:val="16"/>
                <w:szCs w:val="16"/>
              </w:rPr>
              <w:t>[licence change with addition of ´secondary immunodeficiencies in patients who suffer from severe or recurrent infections</w:t>
            </w:r>
            <w:r w:rsidR="000577CB">
              <w:rPr>
                <w:rFonts w:cs="Arial"/>
                <w:sz w:val="16"/>
                <w:szCs w:val="16"/>
              </w:rPr>
              <w:t>,</w:t>
            </w:r>
            <w:r w:rsidR="000577CB">
              <w:t xml:space="preserve"> </w:t>
            </w:r>
            <w:r w:rsidR="000577CB" w:rsidRPr="000577CB">
              <w:rPr>
                <w:rFonts w:cs="Arial"/>
                <w:sz w:val="16"/>
                <w:szCs w:val="16"/>
              </w:rPr>
              <w:t>ineffective antimicrobial treatment and either proven specific antibody failure or serum IgG level of &lt;4g/l</w:t>
            </w:r>
            <w:r w:rsidR="000577CB">
              <w:rPr>
                <w:rFonts w:cs="Arial"/>
                <w:sz w:val="16"/>
                <w:szCs w:val="16"/>
              </w:rPr>
              <w:t>’</w:t>
            </w:r>
            <w:r w:rsidRPr="000D2A46">
              <w:rPr>
                <w:rFonts w:cs="Arial"/>
                <w:sz w:val="16"/>
                <w:szCs w:val="16"/>
              </w:rPr>
              <w:t xml:space="preserve"> and removal of ´</w:t>
            </w:r>
            <w:proofErr w:type="spellStart"/>
            <w:r w:rsidRPr="000D2A46">
              <w:rPr>
                <w:rFonts w:cs="Arial"/>
                <w:sz w:val="16"/>
                <w:szCs w:val="16"/>
              </w:rPr>
              <w:t>hypogammaglobulinaemia</w:t>
            </w:r>
            <w:proofErr w:type="spellEnd"/>
            <w:r w:rsidRPr="000D2A46">
              <w:rPr>
                <w:rFonts w:cs="Arial"/>
                <w:sz w:val="16"/>
                <w:szCs w:val="16"/>
              </w:rPr>
              <w:t xml:space="preserve"> and recurrent bacterial infections in patients with chronic lymphocytic leukaemia, in whom prophylactic antibiotics have failed or are contra-indicated, </w:t>
            </w:r>
            <w:proofErr w:type="spellStart"/>
            <w:r w:rsidRPr="000D2A46">
              <w:rPr>
                <w:rFonts w:cs="Arial"/>
                <w:sz w:val="16"/>
                <w:szCs w:val="16"/>
              </w:rPr>
              <w:t>hypogammaglobulinaemia</w:t>
            </w:r>
            <w:proofErr w:type="spellEnd"/>
            <w:r w:rsidRPr="000D2A46">
              <w:rPr>
                <w:rFonts w:cs="Arial"/>
                <w:sz w:val="16"/>
                <w:szCs w:val="16"/>
              </w:rPr>
              <w:t xml:space="preserve"> and recurrent bacterial infections in multiple myeloma patients</w:t>
            </w:r>
            <w:r>
              <w:rPr>
                <w:rFonts w:cs="Arial"/>
                <w:sz w:val="16"/>
                <w:szCs w:val="16"/>
              </w:rPr>
              <w:t xml:space="preserve">, and </w:t>
            </w:r>
            <w:proofErr w:type="spellStart"/>
            <w:r>
              <w:rPr>
                <w:rFonts w:cs="Arial"/>
                <w:sz w:val="16"/>
                <w:szCs w:val="16"/>
              </w:rPr>
              <w:t>hy</w:t>
            </w:r>
            <w:r w:rsidRPr="000D2A46">
              <w:rPr>
                <w:rFonts w:cs="Arial"/>
                <w:sz w:val="16"/>
                <w:szCs w:val="16"/>
              </w:rPr>
              <w:t>pogammaglobulinaemia</w:t>
            </w:r>
            <w:proofErr w:type="spellEnd"/>
            <w:r w:rsidRPr="000D2A46">
              <w:rPr>
                <w:rFonts w:cs="Arial"/>
                <w:sz w:val="16"/>
                <w:szCs w:val="16"/>
              </w:rPr>
              <w:t xml:space="preserve"> in patients pre- and post-allogeneic haematopoietic stem cell transplantation´]</w:t>
            </w:r>
          </w:p>
        </w:tc>
      </w:tr>
      <w:tr w:rsidR="009B070E" w:rsidRPr="00131D4C" w14:paraId="15E2C5D6" w14:textId="77777777" w:rsidTr="00D67F93">
        <w:tc>
          <w:tcPr>
            <w:tcW w:w="1293" w:type="pct"/>
            <w:shd w:val="clear" w:color="auto" w:fill="auto"/>
            <w:tcMar>
              <w:top w:w="57" w:type="dxa"/>
              <w:left w:w="170" w:type="dxa"/>
              <w:bottom w:w="57" w:type="dxa"/>
              <w:right w:w="170" w:type="dxa"/>
            </w:tcMar>
          </w:tcPr>
          <w:p w14:paraId="5172E9A6" w14:textId="77777777" w:rsidR="009B070E" w:rsidRDefault="009B070E" w:rsidP="009B070E">
            <w:pPr>
              <w:rPr>
                <w:rFonts w:cs="Arial"/>
                <w:szCs w:val="19"/>
              </w:rPr>
            </w:pPr>
            <w:r>
              <w:rPr>
                <w:rFonts w:cs="Arial"/>
                <w:szCs w:val="19"/>
              </w:rPr>
              <w:t>Ivacaftor (</w:t>
            </w:r>
            <w:r>
              <w:rPr>
                <w:rFonts w:cs="Arial"/>
                <w:i/>
                <w:iCs/>
                <w:szCs w:val="19"/>
              </w:rPr>
              <w:t>Kalydeco</w:t>
            </w:r>
            <w:r>
              <w:rPr>
                <w:rFonts w:cs="Arial"/>
                <w:szCs w:val="19"/>
              </w:rPr>
              <w:t xml:space="preserve">) </w:t>
            </w:r>
          </w:p>
          <w:p w14:paraId="38555AC2" w14:textId="407A6344" w:rsidR="009B070E" w:rsidRPr="000D2A46" w:rsidRDefault="009B070E" w:rsidP="009B070E">
            <w:pPr>
              <w:rPr>
                <w:rFonts w:cs="Arial"/>
                <w:szCs w:val="19"/>
              </w:rPr>
            </w:pPr>
            <w:r w:rsidRPr="005F14E1">
              <w:rPr>
                <w:rFonts w:cs="Arial"/>
                <w:sz w:val="16"/>
                <w:szCs w:val="16"/>
              </w:rPr>
              <w:t xml:space="preserve">59.5mg </w:t>
            </w:r>
            <w:r>
              <w:rPr>
                <w:rFonts w:cs="Arial"/>
                <w:sz w:val="16"/>
                <w:szCs w:val="16"/>
              </w:rPr>
              <w:t xml:space="preserve">and 75mg </w:t>
            </w:r>
            <w:r w:rsidRPr="005F14E1">
              <w:rPr>
                <w:rFonts w:cs="Arial"/>
                <w:sz w:val="16"/>
                <w:szCs w:val="16"/>
              </w:rPr>
              <w:t>granules in sachet</w:t>
            </w:r>
            <w:r>
              <w:rPr>
                <w:rFonts w:cs="Arial"/>
                <w:sz w:val="16"/>
                <w:szCs w:val="16"/>
              </w:rPr>
              <w:t>s</w:t>
            </w:r>
          </w:p>
        </w:tc>
        <w:tc>
          <w:tcPr>
            <w:tcW w:w="3707" w:type="pct"/>
            <w:shd w:val="clear" w:color="auto" w:fill="auto"/>
            <w:tcMar>
              <w:top w:w="57" w:type="dxa"/>
              <w:left w:w="170" w:type="dxa"/>
              <w:bottom w:w="57" w:type="dxa"/>
              <w:right w:w="170" w:type="dxa"/>
            </w:tcMar>
          </w:tcPr>
          <w:p w14:paraId="3D879819" w14:textId="323EF900" w:rsidR="009B070E" w:rsidRPr="000D2A46" w:rsidRDefault="009B070E" w:rsidP="009B070E">
            <w:pPr>
              <w:tabs>
                <w:tab w:val="center" w:pos="3152"/>
              </w:tabs>
              <w:rPr>
                <w:rFonts w:cs="Arial"/>
                <w:szCs w:val="19"/>
              </w:rPr>
            </w:pPr>
            <w:r>
              <w:rPr>
                <w:rFonts w:cs="Arial"/>
                <w:szCs w:val="19"/>
                <w:lang w:val="en-US"/>
              </w:rPr>
              <w:t>Use a</w:t>
            </w:r>
            <w:r w:rsidRPr="00004488">
              <w:rPr>
                <w:rFonts w:cs="Arial"/>
                <w:szCs w:val="19"/>
                <w:lang w:val="en-US"/>
              </w:rPr>
              <w:t xml:space="preserve">s monotherapy for the treatment of infants aged </w:t>
            </w:r>
            <w:r>
              <w:rPr>
                <w:rFonts w:cs="Arial"/>
                <w:szCs w:val="19"/>
                <w:lang w:val="en-US"/>
              </w:rPr>
              <w:t>≥</w:t>
            </w:r>
            <w:r w:rsidRPr="00004488">
              <w:rPr>
                <w:rFonts w:cs="Arial"/>
                <w:szCs w:val="19"/>
                <w:lang w:val="en-US"/>
              </w:rPr>
              <w:t>1 month, toddlers</w:t>
            </w:r>
            <w:r>
              <w:rPr>
                <w:rFonts w:cs="Arial"/>
                <w:szCs w:val="19"/>
                <w:lang w:val="en-US"/>
              </w:rPr>
              <w:t xml:space="preserve"> </w:t>
            </w:r>
            <w:r w:rsidRPr="00004488">
              <w:rPr>
                <w:rFonts w:cs="Arial"/>
                <w:szCs w:val="19"/>
                <w:lang w:val="en-US"/>
              </w:rPr>
              <w:t>and children weighing 3kg to</w:t>
            </w:r>
            <w:r>
              <w:rPr>
                <w:rFonts w:cs="Arial"/>
                <w:szCs w:val="19"/>
                <w:lang w:val="en-US"/>
              </w:rPr>
              <w:t xml:space="preserve"> &lt;</w:t>
            </w:r>
            <w:r w:rsidRPr="00004488">
              <w:rPr>
                <w:rFonts w:cs="Arial"/>
                <w:szCs w:val="19"/>
                <w:lang w:val="en-US"/>
              </w:rPr>
              <w:t xml:space="preserve">25kg with cystic fibrosis </w:t>
            </w:r>
            <w:r>
              <w:rPr>
                <w:rFonts w:cs="Arial"/>
                <w:szCs w:val="19"/>
                <w:lang w:val="en-US"/>
              </w:rPr>
              <w:t xml:space="preserve">(CF) </w:t>
            </w:r>
            <w:r w:rsidRPr="00004488">
              <w:rPr>
                <w:rFonts w:cs="Arial"/>
                <w:szCs w:val="19"/>
                <w:lang w:val="en-US"/>
              </w:rPr>
              <w:t>who</w:t>
            </w:r>
            <w:r>
              <w:rPr>
                <w:rFonts w:cs="Arial"/>
                <w:szCs w:val="19"/>
                <w:lang w:val="en-US"/>
              </w:rPr>
              <w:t xml:space="preserve"> </w:t>
            </w:r>
            <w:r w:rsidRPr="00004488">
              <w:rPr>
                <w:rFonts w:cs="Arial"/>
                <w:szCs w:val="19"/>
                <w:lang w:val="en-US"/>
              </w:rPr>
              <w:t>have an R117H CFTR mutation or one of the following gating (class III)</w:t>
            </w:r>
            <w:r>
              <w:rPr>
                <w:rFonts w:cs="Arial"/>
                <w:szCs w:val="19"/>
                <w:lang w:val="en-US"/>
              </w:rPr>
              <w:t xml:space="preserve"> </w:t>
            </w:r>
            <w:r w:rsidRPr="00004488">
              <w:rPr>
                <w:rFonts w:cs="Arial"/>
                <w:szCs w:val="19"/>
                <w:lang w:val="en-US"/>
              </w:rPr>
              <w:t xml:space="preserve">mutations in the </w:t>
            </w:r>
            <w:r>
              <w:rPr>
                <w:rFonts w:cs="Arial"/>
                <w:szCs w:val="19"/>
                <w:lang w:val="en-US"/>
              </w:rPr>
              <w:t>CF</w:t>
            </w:r>
            <w:r w:rsidRPr="00D537BC">
              <w:rPr>
                <w:rFonts w:cs="Arial"/>
                <w:szCs w:val="19"/>
                <w:lang w:val="en-US"/>
              </w:rPr>
              <w:t xml:space="preserve"> transmembrane conductance regulator </w:t>
            </w:r>
            <w:r>
              <w:rPr>
                <w:rFonts w:cs="Arial"/>
                <w:szCs w:val="19"/>
                <w:lang w:val="en-US"/>
              </w:rPr>
              <w:t xml:space="preserve">(CFTR) </w:t>
            </w:r>
            <w:r w:rsidRPr="00004488">
              <w:rPr>
                <w:rFonts w:cs="Arial"/>
                <w:szCs w:val="19"/>
                <w:lang w:val="en-US"/>
              </w:rPr>
              <w:t>gene: G551D, G1244E, G1349D, G178R, G551S,</w:t>
            </w:r>
            <w:r>
              <w:rPr>
                <w:rFonts w:cs="Arial"/>
                <w:szCs w:val="19"/>
                <w:lang w:val="en-US"/>
              </w:rPr>
              <w:t xml:space="preserve"> </w:t>
            </w:r>
            <w:r w:rsidRPr="00004488">
              <w:rPr>
                <w:rFonts w:cs="Arial"/>
                <w:szCs w:val="19"/>
                <w:lang w:val="en-US"/>
              </w:rPr>
              <w:t>S1251N, S1255P, S549N or S549R</w:t>
            </w:r>
            <w:r>
              <w:rPr>
                <w:rFonts w:cs="Arial"/>
                <w:szCs w:val="19"/>
                <w:lang w:val="en-US"/>
              </w:rPr>
              <w:t xml:space="preserve">. Also use in </w:t>
            </w:r>
            <w:r w:rsidRPr="005857ED">
              <w:rPr>
                <w:rFonts w:cs="Arial"/>
                <w:szCs w:val="19"/>
                <w:lang w:val="en-US"/>
              </w:rPr>
              <w:t>a combination regimen with ivacaftor/tezacaftor/</w:t>
            </w:r>
            <w:r>
              <w:rPr>
                <w:rFonts w:cs="Arial"/>
                <w:szCs w:val="19"/>
                <w:lang w:val="en-US"/>
              </w:rPr>
              <w:t xml:space="preserve"> </w:t>
            </w:r>
            <w:r w:rsidRPr="005857ED">
              <w:rPr>
                <w:rFonts w:cs="Arial"/>
                <w:szCs w:val="19"/>
                <w:lang w:val="en-US"/>
              </w:rPr>
              <w:t>elexacaftor for the</w:t>
            </w:r>
            <w:r>
              <w:rPr>
                <w:rFonts w:cs="Arial"/>
                <w:szCs w:val="19"/>
                <w:lang w:val="en-US"/>
              </w:rPr>
              <w:t xml:space="preserve"> </w:t>
            </w:r>
            <w:r w:rsidRPr="005857ED">
              <w:rPr>
                <w:rFonts w:cs="Arial"/>
                <w:szCs w:val="19"/>
                <w:lang w:val="en-US"/>
              </w:rPr>
              <w:t xml:space="preserve">treatment of </w:t>
            </w:r>
            <w:r>
              <w:rPr>
                <w:rFonts w:cs="Arial"/>
                <w:szCs w:val="19"/>
                <w:lang w:val="en-US"/>
              </w:rPr>
              <w:t>CF</w:t>
            </w:r>
            <w:r w:rsidRPr="005857ED">
              <w:rPr>
                <w:rFonts w:cs="Arial"/>
                <w:szCs w:val="19"/>
                <w:lang w:val="en-US"/>
              </w:rPr>
              <w:t xml:space="preserve"> in paediatric patients aged 2 to </w:t>
            </w:r>
            <w:r>
              <w:rPr>
                <w:rFonts w:cs="Arial"/>
                <w:szCs w:val="19"/>
                <w:lang w:val="en-US"/>
              </w:rPr>
              <w:t>&lt;</w:t>
            </w:r>
            <w:r w:rsidRPr="005857ED">
              <w:rPr>
                <w:rFonts w:cs="Arial"/>
                <w:szCs w:val="19"/>
                <w:lang w:val="en-US"/>
              </w:rPr>
              <w:t>6</w:t>
            </w:r>
            <w:r>
              <w:rPr>
                <w:rFonts w:cs="Arial"/>
                <w:szCs w:val="19"/>
                <w:lang w:val="en-US"/>
              </w:rPr>
              <w:t xml:space="preserve"> </w:t>
            </w:r>
            <w:r w:rsidRPr="005857ED">
              <w:rPr>
                <w:rFonts w:cs="Arial"/>
                <w:szCs w:val="19"/>
                <w:lang w:val="en-US"/>
              </w:rPr>
              <w:t>years who have at least one F508del mutation in the CFTR gene</w:t>
            </w:r>
            <w:r>
              <w:rPr>
                <w:rFonts w:cs="Arial"/>
                <w:szCs w:val="19"/>
                <w:lang w:val="en-US"/>
              </w:rPr>
              <w:t xml:space="preserve"> </w:t>
            </w:r>
            <w:r w:rsidRPr="005857ED">
              <w:rPr>
                <w:rFonts w:cs="Arial"/>
                <w:sz w:val="16"/>
                <w:szCs w:val="16"/>
                <w:lang w:val="en-US"/>
              </w:rPr>
              <w:t>[new strength formulation</w:t>
            </w:r>
            <w:r>
              <w:rPr>
                <w:rFonts w:cs="Arial"/>
                <w:sz w:val="16"/>
                <w:szCs w:val="16"/>
                <w:lang w:val="en-US"/>
              </w:rPr>
              <w:t>s</w:t>
            </w:r>
            <w:r w:rsidRPr="005857ED">
              <w:rPr>
                <w:rFonts w:cs="Arial"/>
                <w:sz w:val="16"/>
                <w:szCs w:val="16"/>
                <w:lang w:val="en-US"/>
              </w:rPr>
              <w:t>]</w:t>
            </w:r>
          </w:p>
        </w:tc>
      </w:tr>
      <w:tr w:rsidR="009B070E" w:rsidRPr="00131D4C" w14:paraId="5EE15111" w14:textId="77777777" w:rsidTr="00D67F93">
        <w:tc>
          <w:tcPr>
            <w:tcW w:w="1293" w:type="pct"/>
            <w:shd w:val="clear" w:color="auto" w:fill="auto"/>
            <w:tcMar>
              <w:top w:w="57" w:type="dxa"/>
              <w:left w:w="170" w:type="dxa"/>
              <w:bottom w:w="57" w:type="dxa"/>
              <w:right w:w="170" w:type="dxa"/>
            </w:tcMar>
          </w:tcPr>
          <w:p w14:paraId="4BC2C38C" w14:textId="77777777" w:rsidR="009B070E" w:rsidRDefault="009B070E" w:rsidP="009B070E">
            <w:pPr>
              <w:rPr>
                <w:rFonts w:cs="Arial"/>
                <w:szCs w:val="19"/>
              </w:rPr>
            </w:pPr>
            <w:proofErr w:type="spellStart"/>
            <w:r w:rsidRPr="00AC3BF3">
              <w:rPr>
                <w:rFonts w:cs="Arial"/>
                <w:szCs w:val="19"/>
              </w:rPr>
              <w:t>Loncastuximab</w:t>
            </w:r>
            <w:proofErr w:type="spellEnd"/>
            <w:r w:rsidRPr="00AC3BF3">
              <w:rPr>
                <w:rFonts w:cs="Arial"/>
                <w:szCs w:val="19"/>
              </w:rPr>
              <w:t xml:space="preserve"> </w:t>
            </w:r>
            <w:proofErr w:type="spellStart"/>
            <w:r w:rsidRPr="00AC3BF3">
              <w:rPr>
                <w:rFonts w:cs="Arial"/>
                <w:szCs w:val="19"/>
              </w:rPr>
              <w:t>tesirine</w:t>
            </w:r>
            <w:proofErr w:type="spellEnd"/>
            <w:r w:rsidRPr="00AC3BF3">
              <w:rPr>
                <w:rFonts w:cs="Arial"/>
                <w:szCs w:val="19"/>
              </w:rPr>
              <w:t> </w:t>
            </w:r>
          </w:p>
          <w:p w14:paraId="7D2625C8" w14:textId="31BD71C8" w:rsidR="009B070E" w:rsidRPr="00832E74" w:rsidRDefault="009B070E" w:rsidP="009B070E">
            <w:pPr>
              <w:rPr>
                <w:rFonts w:cs="Arial"/>
                <w:szCs w:val="19"/>
              </w:rPr>
            </w:pPr>
            <w:r>
              <w:rPr>
                <w:rFonts w:cs="Arial"/>
                <w:szCs w:val="19"/>
              </w:rPr>
              <w:t>(</w:t>
            </w:r>
            <w:r>
              <w:rPr>
                <w:rFonts w:cs="Arial"/>
                <w:i/>
                <w:iCs/>
                <w:szCs w:val="19"/>
              </w:rPr>
              <w:t>Zynlonta</w:t>
            </w:r>
            <w:r>
              <w:rPr>
                <w:rFonts w:cs="Arial"/>
                <w:szCs w:val="19"/>
              </w:rPr>
              <w:t xml:space="preserve">) </w:t>
            </w:r>
            <w:r w:rsidRPr="00AC3BF3">
              <w:rPr>
                <w:rFonts w:cs="Arial"/>
                <w:sz w:val="16"/>
                <w:szCs w:val="16"/>
              </w:rPr>
              <w:t>10mg vial</w:t>
            </w:r>
          </w:p>
        </w:tc>
        <w:tc>
          <w:tcPr>
            <w:tcW w:w="3707" w:type="pct"/>
            <w:shd w:val="clear" w:color="auto" w:fill="auto"/>
            <w:tcMar>
              <w:top w:w="57" w:type="dxa"/>
              <w:left w:w="170" w:type="dxa"/>
              <w:bottom w:w="57" w:type="dxa"/>
              <w:right w:w="170" w:type="dxa"/>
            </w:tcMar>
          </w:tcPr>
          <w:p w14:paraId="3B8455EE" w14:textId="14BD0033" w:rsidR="009B070E" w:rsidRDefault="009B070E" w:rsidP="009B070E">
            <w:pPr>
              <w:tabs>
                <w:tab w:val="center" w:pos="3152"/>
              </w:tabs>
              <w:rPr>
                <w:rFonts w:cs="Arial"/>
                <w:szCs w:val="19"/>
              </w:rPr>
            </w:pPr>
            <w:r>
              <w:rPr>
                <w:rFonts w:cs="Arial"/>
                <w:szCs w:val="19"/>
                <w:lang w:val="en-US"/>
              </w:rPr>
              <w:t>M</w:t>
            </w:r>
            <w:r w:rsidRPr="00AC3BF3">
              <w:rPr>
                <w:rFonts w:cs="Arial"/>
                <w:szCs w:val="19"/>
                <w:lang w:val="en-US"/>
              </w:rPr>
              <w:t xml:space="preserve">onotherapy for the treatment of adults with relapsed or refractory diffuse large B-cell lymphoma and high-grade B-cell lymphoma after </w:t>
            </w:r>
            <w:r>
              <w:rPr>
                <w:rFonts w:cs="Arial"/>
                <w:szCs w:val="19"/>
                <w:lang w:val="en-US"/>
              </w:rPr>
              <w:t>≥2</w:t>
            </w:r>
            <w:r w:rsidRPr="00AC3BF3">
              <w:rPr>
                <w:rFonts w:cs="Arial"/>
                <w:szCs w:val="19"/>
                <w:lang w:val="en-US"/>
              </w:rPr>
              <w:t xml:space="preserve"> lines of systemic therapy</w:t>
            </w:r>
          </w:p>
        </w:tc>
      </w:tr>
      <w:tr w:rsidR="009B070E" w:rsidRPr="00131D4C" w14:paraId="1F1350C3" w14:textId="77777777" w:rsidTr="00D67F93">
        <w:tc>
          <w:tcPr>
            <w:tcW w:w="1293" w:type="pct"/>
            <w:shd w:val="clear" w:color="auto" w:fill="auto"/>
            <w:tcMar>
              <w:top w:w="57" w:type="dxa"/>
              <w:left w:w="170" w:type="dxa"/>
              <w:bottom w:w="57" w:type="dxa"/>
              <w:right w:w="170" w:type="dxa"/>
            </w:tcMar>
          </w:tcPr>
          <w:p w14:paraId="34879A5B" w14:textId="0FCA3A7A" w:rsidR="009B070E" w:rsidRPr="00832E74" w:rsidRDefault="009B070E" w:rsidP="009B070E">
            <w:pPr>
              <w:rPr>
                <w:rFonts w:cs="Arial"/>
                <w:szCs w:val="19"/>
              </w:rPr>
            </w:pPr>
            <w:r w:rsidRPr="00832E74">
              <w:rPr>
                <w:rFonts w:cs="Arial"/>
                <w:szCs w:val="19"/>
              </w:rPr>
              <w:t>l-tryptophan </w:t>
            </w:r>
            <w:r>
              <w:rPr>
                <w:rFonts w:cs="Arial"/>
                <w:szCs w:val="19"/>
              </w:rPr>
              <w:t>(</w:t>
            </w:r>
            <w:proofErr w:type="spellStart"/>
            <w:r>
              <w:rPr>
                <w:rFonts w:cs="Arial"/>
                <w:i/>
                <w:iCs/>
                <w:szCs w:val="19"/>
              </w:rPr>
              <w:t>Optimax</w:t>
            </w:r>
            <w:proofErr w:type="spellEnd"/>
            <w:r>
              <w:rPr>
                <w:rFonts w:cs="Arial"/>
                <w:szCs w:val="19"/>
              </w:rPr>
              <w:t xml:space="preserve">) </w:t>
            </w:r>
            <w:r w:rsidRPr="00832E74">
              <w:rPr>
                <w:rFonts w:cs="Arial"/>
                <w:sz w:val="16"/>
                <w:szCs w:val="16"/>
              </w:rPr>
              <w:t>500mg capsule</w:t>
            </w:r>
          </w:p>
        </w:tc>
        <w:tc>
          <w:tcPr>
            <w:tcW w:w="3707" w:type="pct"/>
            <w:shd w:val="clear" w:color="auto" w:fill="auto"/>
            <w:tcMar>
              <w:top w:w="57" w:type="dxa"/>
              <w:left w:w="170" w:type="dxa"/>
              <w:bottom w:w="57" w:type="dxa"/>
              <w:right w:w="170" w:type="dxa"/>
            </w:tcMar>
          </w:tcPr>
          <w:p w14:paraId="51395233" w14:textId="5C322433" w:rsidR="009B070E" w:rsidRPr="001D7849" w:rsidRDefault="009B070E" w:rsidP="009B070E">
            <w:pPr>
              <w:tabs>
                <w:tab w:val="center" w:pos="3152"/>
              </w:tabs>
              <w:rPr>
                <w:rFonts w:cs="Arial"/>
                <w:szCs w:val="19"/>
              </w:rPr>
            </w:pPr>
            <w:r>
              <w:rPr>
                <w:rFonts w:cs="Arial"/>
                <w:szCs w:val="19"/>
              </w:rPr>
              <w:t>Treatment of adults with t</w:t>
            </w:r>
            <w:r w:rsidRPr="00832E74">
              <w:rPr>
                <w:rFonts w:cs="Arial"/>
                <w:szCs w:val="19"/>
              </w:rPr>
              <w:t>reatment-resistant depression after trials of standard antidepressant drug treatments and as an adjunct to other anti-depressant medication</w:t>
            </w:r>
          </w:p>
        </w:tc>
      </w:tr>
      <w:tr w:rsidR="009B070E" w14:paraId="3B55B0C5" w14:textId="77777777" w:rsidTr="00D67F93">
        <w:tc>
          <w:tcPr>
            <w:tcW w:w="1293" w:type="pct"/>
            <w:shd w:val="clear" w:color="auto" w:fill="auto"/>
            <w:tcMar>
              <w:top w:w="57" w:type="dxa"/>
              <w:left w:w="170" w:type="dxa"/>
              <w:bottom w:w="57" w:type="dxa"/>
              <w:right w:w="170" w:type="dxa"/>
            </w:tcMar>
          </w:tcPr>
          <w:p w14:paraId="0AA3961E" w14:textId="77777777" w:rsidR="009B070E" w:rsidRPr="00F85FE4" w:rsidRDefault="009B070E" w:rsidP="009B070E">
            <w:pPr>
              <w:rPr>
                <w:rFonts w:cs="Arial"/>
                <w:color w:val="000000" w:themeColor="text1"/>
                <w:szCs w:val="19"/>
              </w:rPr>
            </w:pPr>
            <w:r w:rsidRPr="00F85FE4">
              <w:rPr>
                <w:rFonts w:cs="Arial"/>
                <w:color w:val="000000" w:themeColor="text1"/>
                <w:szCs w:val="19"/>
              </w:rPr>
              <w:t>Momelotinib (</w:t>
            </w:r>
            <w:r w:rsidRPr="00F85FE4">
              <w:rPr>
                <w:rFonts w:cs="Arial"/>
                <w:i/>
                <w:iCs/>
                <w:color w:val="000000" w:themeColor="text1"/>
                <w:szCs w:val="19"/>
              </w:rPr>
              <w:t>Omjjara</w:t>
            </w:r>
            <w:r w:rsidRPr="00F85FE4">
              <w:rPr>
                <w:rFonts w:cs="Arial"/>
                <w:color w:val="000000" w:themeColor="text1"/>
                <w:szCs w:val="19"/>
              </w:rPr>
              <w:t xml:space="preserve">) </w:t>
            </w:r>
          </w:p>
          <w:p w14:paraId="40638E6B" w14:textId="40C2AB5B" w:rsidR="009B070E" w:rsidRPr="00EA0BC2" w:rsidRDefault="009B070E" w:rsidP="009B070E">
            <w:pPr>
              <w:rPr>
                <w:rFonts w:cs="Arial"/>
                <w:szCs w:val="19"/>
              </w:rPr>
            </w:pPr>
            <w:r w:rsidRPr="00F85FE4">
              <w:rPr>
                <w:rFonts w:cs="Arial"/>
                <w:color w:val="000000" w:themeColor="text1"/>
                <w:sz w:val="16"/>
                <w:szCs w:val="16"/>
              </w:rPr>
              <w:t>100mg, 150mg and 200mg tablets</w:t>
            </w:r>
          </w:p>
        </w:tc>
        <w:tc>
          <w:tcPr>
            <w:tcW w:w="3707" w:type="pct"/>
            <w:shd w:val="clear" w:color="auto" w:fill="auto"/>
            <w:tcMar>
              <w:top w:w="57" w:type="dxa"/>
              <w:left w:w="170" w:type="dxa"/>
              <w:bottom w:w="57" w:type="dxa"/>
              <w:right w:w="170" w:type="dxa"/>
            </w:tcMar>
          </w:tcPr>
          <w:p w14:paraId="465B659A" w14:textId="07348D37" w:rsidR="009B070E" w:rsidRPr="00A64246" w:rsidRDefault="009B070E" w:rsidP="009B070E">
            <w:pPr>
              <w:tabs>
                <w:tab w:val="center" w:pos="3152"/>
              </w:tabs>
              <w:rPr>
                <w:rFonts w:cs="Arial"/>
                <w:szCs w:val="19"/>
                <w:lang w:val="en-US"/>
              </w:rPr>
            </w:pPr>
            <w:r w:rsidRPr="00F85FE4">
              <w:rPr>
                <w:rFonts w:cs="Arial"/>
                <w:color w:val="000000" w:themeColor="text1"/>
                <w:szCs w:val="19"/>
                <w:lang w:val="en-US"/>
              </w:rPr>
              <w:t>Treatment of disease-related splenomegaly or symptoms in adults with moderate to severe anaemia who have primary myelofibrosis, post polycythaemia vera myelofibrosis or post essential thrombocythaemia myelofibrosis and who are Janus Kinase inhibitor naïve or have been treated with ruxolitinib</w:t>
            </w:r>
          </w:p>
        </w:tc>
      </w:tr>
      <w:tr w:rsidR="009B070E" w14:paraId="77E746F3" w14:textId="77777777" w:rsidTr="00D67F93">
        <w:tc>
          <w:tcPr>
            <w:tcW w:w="1293" w:type="pct"/>
            <w:shd w:val="clear" w:color="auto" w:fill="auto"/>
            <w:tcMar>
              <w:top w:w="57" w:type="dxa"/>
              <w:left w:w="170" w:type="dxa"/>
              <w:bottom w:w="57" w:type="dxa"/>
              <w:right w:w="170" w:type="dxa"/>
            </w:tcMar>
          </w:tcPr>
          <w:p w14:paraId="70F8C237" w14:textId="77777777" w:rsidR="009B070E" w:rsidRDefault="009B070E" w:rsidP="009B070E">
            <w:pPr>
              <w:rPr>
                <w:rFonts w:cs="Arial"/>
                <w:szCs w:val="19"/>
              </w:rPr>
            </w:pPr>
            <w:r>
              <w:rPr>
                <w:rFonts w:cs="Arial"/>
                <w:szCs w:val="19"/>
              </w:rPr>
              <w:t xml:space="preserve">Nivolumab + </w:t>
            </w:r>
            <w:proofErr w:type="spellStart"/>
            <w:r>
              <w:rPr>
                <w:rFonts w:cs="Arial"/>
                <w:szCs w:val="19"/>
              </w:rPr>
              <w:t>relatlimab</w:t>
            </w:r>
            <w:proofErr w:type="spellEnd"/>
            <w:r>
              <w:rPr>
                <w:rFonts w:cs="Arial"/>
                <w:szCs w:val="19"/>
              </w:rPr>
              <w:t xml:space="preserve"> (</w:t>
            </w:r>
            <w:proofErr w:type="spellStart"/>
            <w:r w:rsidRPr="003505B6">
              <w:rPr>
                <w:rFonts w:cs="Arial"/>
                <w:i/>
                <w:iCs/>
                <w:szCs w:val="19"/>
              </w:rPr>
              <w:t>Opdualag</w:t>
            </w:r>
            <w:proofErr w:type="spellEnd"/>
            <w:r>
              <w:rPr>
                <w:rFonts w:cs="Arial"/>
                <w:szCs w:val="19"/>
              </w:rPr>
              <w:t>)</w:t>
            </w:r>
            <w:r w:rsidRPr="003505B6">
              <w:rPr>
                <w:rFonts w:cs="Arial"/>
                <w:szCs w:val="19"/>
              </w:rPr>
              <w:t xml:space="preserve"> </w:t>
            </w:r>
          </w:p>
          <w:p w14:paraId="7FFB4897" w14:textId="3B66C74E" w:rsidR="009B070E" w:rsidRDefault="009B070E" w:rsidP="009B070E">
            <w:pPr>
              <w:rPr>
                <w:rFonts w:cs="Arial"/>
                <w:szCs w:val="19"/>
              </w:rPr>
            </w:pPr>
            <w:r w:rsidRPr="003505B6">
              <w:rPr>
                <w:rFonts w:cs="Arial"/>
                <w:sz w:val="16"/>
                <w:szCs w:val="16"/>
              </w:rPr>
              <w:t>240mg/80mg in 20mL vial</w:t>
            </w:r>
          </w:p>
        </w:tc>
        <w:tc>
          <w:tcPr>
            <w:tcW w:w="3707" w:type="pct"/>
            <w:shd w:val="clear" w:color="auto" w:fill="auto"/>
            <w:tcMar>
              <w:top w:w="57" w:type="dxa"/>
              <w:left w:w="170" w:type="dxa"/>
              <w:bottom w:w="57" w:type="dxa"/>
              <w:right w:w="170" w:type="dxa"/>
            </w:tcMar>
          </w:tcPr>
          <w:p w14:paraId="661CBF64" w14:textId="0678354E" w:rsidR="009B070E" w:rsidRPr="00EA0BC2" w:rsidRDefault="009B070E" w:rsidP="009B070E">
            <w:pPr>
              <w:tabs>
                <w:tab w:val="center" w:pos="3152"/>
              </w:tabs>
              <w:rPr>
                <w:rFonts w:cs="Arial"/>
                <w:szCs w:val="19"/>
                <w:lang w:val="en-US"/>
              </w:rPr>
            </w:pPr>
            <w:r w:rsidRPr="003505B6">
              <w:rPr>
                <w:rFonts w:cs="Arial"/>
                <w:color w:val="000000"/>
                <w:szCs w:val="19"/>
                <w:lang w:val="en-US"/>
              </w:rPr>
              <w:t>First</w:t>
            </w:r>
            <w:r>
              <w:rPr>
                <w:rFonts w:cs="Arial"/>
                <w:color w:val="000000"/>
                <w:szCs w:val="19"/>
                <w:lang w:val="en-US"/>
              </w:rPr>
              <w:t>-</w:t>
            </w:r>
            <w:r w:rsidRPr="003505B6">
              <w:rPr>
                <w:rFonts w:cs="Arial"/>
                <w:color w:val="000000"/>
                <w:szCs w:val="19"/>
                <w:lang w:val="en-US"/>
              </w:rPr>
              <w:t xml:space="preserve">line treatment of advanced (unresectable or metastatic) melanoma in adults and adolescents </w:t>
            </w:r>
            <w:r>
              <w:rPr>
                <w:rFonts w:cs="Arial"/>
                <w:color w:val="000000"/>
                <w:szCs w:val="19"/>
                <w:lang w:val="en-US"/>
              </w:rPr>
              <w:t>aged ≥</w:t>
            </w:r>
            <w:r w:rsidRPr="003505B6">
              <w:rPr>
                <w:rFonts w:cs="Arial"/>
                <w:color w:val="000000"/>
                <w:szCs w:val="19"/>
                <w:lang w:val="en-US"/>
              </w:rPr>
              <w:t>12 years</w:t>
            </w:r>
          </w:p>
        </w:tc>
      </w:tr>
      <w:tr w:rsidR="009B070E" w14:paraId="2AA10318" w14:textId="77777777" w:rsidTr="00D67F93">
        <w:tc>
          <w:tcPr>
            <w:tcW w:w="1293" w:type="pct"/>
            <w:shd w:val="clear" w:color="auto" w:fill="auto"/>
            <w:tcMar>
              <w:top w:w="57" w:type="dxa"/>
              <w:left w:w="170" w:type="dxa"/>
              <w:bottom w:w="57" w:type="dxa"/>
              <w:right w:w="170" w:type="dxa"/>
            </w:tcMar>
          </w:tcPr>
          <w:p w14:paraId="4889CE72" w14:textId="77777777" w:rsidR="009B070E" w:rsidRDefault="009B070E" w:rsidP="009B070E">
            <w:pPr>
              <w:rPr>
                <w:rFonts w:cs="Arial"/>
                <w:szCs w:val="19"/>
              </w:rPr>
            </w:pPr>
            <w:proofErr w:type="spellStart"/>
            <w:r>
              <w:rPr>
                <w:rFonts w:cs="Arial"/>
                <w:szCs w:val="19"/>
              </w:rPr>
              <w:t>Oritavancin</w:t>
            </w:r>
            <w:proofErr w:type="spellEnd"/>
            <w:r>
              <w:rPr>
                <w:rFonts w:cs="Arial"/>
                <w:szCs w:val="19"/>
              </w:rPr>
              <w:t xml:space="preserve"> (</w:t>
            </w:r>
            <w:proofErr w:type="spellStart"/>
            <w:r>
              <w:rPr>
                <w:rFonts w:cs="Arial"/>
                <w:i/>
                <w:iCs/>
                <w:szCs w:val="19"/>
              </w:rPr>
              <w:t>Tenkasi</w:t>
            </w:r>
            <w:proofErr w:type="spellEnd"/>
            <w:r>
              <w:rPr>
                <w:rFonts w:cs="Arial"/>
                <w:szCs w:val="19"/>
              </w:rPr>
              <w:t>)</w:t>
            </w:r>
          </w:p>
          <w:p w14:paraId="0D88FC19" w14:textId="69C1CCBE" w:rsidR="009B070E" w:rsidRDefault="009B070E" w:rsidP="009B070E">
            <w:pPr>
              <w:rPr>
                <w:rFonts w:cs="Arial"/>
                <w:szCs w:val="19"/>
              </w:rPr>
            </w:pPr>
            <w:r w:rsidRPr="00A84327">
              <w:rPr>
                <w:rFonts w:cs="Arial"/>
                <w:sz w:val="16"/>
                <w:szCs w:val="16"/>
              </w:rPr>
              <w:t>400mg vial</w:t>
            </w:r>
          </w:p>
        </w:tc>
        <w:tc>
          <w:tcPr>
            <w:tcW w:w="3707" w:type="pct"/>
            <w:shd w:val="clear" w:color="auto" w:fill="auto"/>
            <w:tcMar>
              <w:top w:w="57" w:type="dxa"/>
              <w:left w:w="170" w:type="dxa"/>
              <w:bottom w:w="57" w:type="dxa"/>
              <w:right w:w="170" w:type="dxa"/>
            </w:tcMar>
          </w:tcPr>
          <w:p w14:paraId="5B3C1290" w14:textId="4AD8935A" w:rsidR="009B070E" w:rsidRPr="00EA0BC2" w:rsidRDefault="009B070E" w:rsidP="009B070E">
            <w:pPr>
              <w:tabs>
                <w:tab w:val="center" w:pos="3152"/>
              </w:tabs>
              <w:rPr>
                <w:rFonts w:cs="Arial"/>
                <w:szCs w:val="19"/>
                <w:lang w:val="en-US"/>
              </w:rPr>
            </w:pPr>
            <w:r w:rsidRPr="00EA0BC2">
              <w:rPr>
                <w:rFonts w:cs="Arial"/>
                <w:szCs w:val="19"/>
                <w:lang w:val="en-US"/>
              </w:rPr>
              <w:t xml:space="preserve">Treatment of acute bacterial skin and skin structure infections in adults and paediatric patients aged </w:t>
            </w:r>
            <w:r>
              <w:rPr>
                <w:rFonts w:cs="Arial"/>
                <w:szCs w:val="19"/>
                <w:lang w:val="en-US"/>
              </w:rPr>
              <w:t>≥</w:t>
            </w:r>
            <w:r w:rsidRPr="00EA0BC2">
              <w:rPr>
                <w:rFonts w:cs="Arial"/>
                <w:szCs w:val="19"/>
                <w:lang w:val="en-US"/>
              </w:rPr>
              <w:t xml:space="preserve">3 months </w:t>
            </w:r>
            <w:r w:rsidRPr="00EA0BC2">
              <w:rPr>
                <w:rFonts w:cs="Arial"/>
                <w:sz w:val="16"/>
                <w:szCs w:val="16"/>
                <w:lang w:val="en-US"/>
              </w:rPr>
              <w:t>[licence change from use only in adults]</w:t>
            </w:r>
          </w:p>
        </w:tc>
      </w:tr>
      <w:tr w:rsidR="009B070E" w14:paraId="78D7E388" w14:textId="77777777" w:rsidTr="00D67F93">
        <w:tc>
          <w:tcPr>
            <w:tcW w:w="1293" w:type="pct"/>
            <w:shd w:val="clear" w:color="auto" w:fill="auto"/>
            <w:tcMar>
              <w:top w:w="57" w:type="dxa"/>
              <w:left w:w="170" w:type="dxa"/>
              <w:bottom w:w="57" w:type="dxa"/>
              <w:right w:w="170" w:type="dxa"/>
            </w:tcMar>
          </w:tcPr>
          <w:p w14:paraId="7199C6F9" w14:textId="77777777" w:rsidR="009B070E" w:rsidRDefault="009B070E" w:rsidP="009B070E">
            <w:pPr>
              <w:rPr>
                <w:rFonts w:cs="Arial"/>
                <w:szCs w:val="19"/>
              </w:rPr>
            </w:pPr>
            <w:r>
              <w:rPr>
                <w:rFonts w:cs="Arial"/>
                <w:szCs w:val="19"/>
              </w:rPr>
              <w:t>Pembrolizumab (</w:t>
            </w:r>
            <w:r>
              <w:rPr>
                <w:rFonts w:cs="Arial"/>
                <w:i/>
                <w:iCs/>
                <w:szCs w:val="19"/>
              </w:rPr>
              <w:t>Keytruda</w:t>
            </w:r>
            <w:r>
              <w:rPr>
                <w:rFonts w:cs="Arial"/>
                <w:szCs w:val="19"/>
              </w:rPr>
              <w:t>)</w:t>
            </w:r>
          </w:p>
          <w:p w14:paraId="3BF67C19" w14:textId="33733226" w:rsidR="009B070E" w:rsidRPr="00E1488A" w:rsidRDefault="009B070E" w:rsidP="009B070E">
            <w:pPr>
              <w:rPr>
                <w:rFonts w:cs="Arial"/>
                <w:szCs w:val="19"/>
              </w:rPr>
            </w:pPr>
            <w:r w:rsidRPr="0098656E">
              <w:rPr>
                <w:rFonts w:cs="Arial"/>
                <w:sz w:val="16"/>
                <w:szCs w:val="16"/>
              </w:rPr>
              <w:t>100mg in 4mL vial</w:t>
            </w:r>
          </w:p>
        </w:tc>
        <w:tc>
          <w:tcPr>
            <w:tcW w:w="3707" w:type="pct"/>
            <w:shd w:val="clear" w:color="auto" w:fill="auto"/>
            <w:tcMar>
              <w:top w:w="57" w:type="dxa"/>
              <w:left w:w="170" w:type="dxa"/>
              <w:bottom w:w="57" w:type="dxa"/>
              <w:right w:w="170" w:type="dxa"/>
            </w:tcMar>
          </w:tcPr>
          <w:p w14:paraId="7A03A4D8" w14:textId="6557A0A9" w:rsidR="009B070E" w:rsidRDefault="009B070E" w:rsidP="009B070E">
            <w:pPr>
              <w:tabs>
                <w:tab w:val="center" w:pos="3152"/>
              </w:tabs>
              <w:rPr>
                <w:rFonts w:cs="Arial"/>
                <w:szCs w:val="19"/>
                <w:lang w:val="en-US"/>
              </w:rPr>
            </w:pPr>
            <w:r>
              <w:rPr>
                <w:rFonts w:cs="Arial"/>
                <w:szCs w:val="19"/>
                <w:lang w:val="en-US"/>
              </w:rPr>
              <w:t xml:space="preserve">Use </w:t>
            </w:r>
            <w:r w:rsidRPr="00630C8E">
              <w:rPr>
                <w:rFonts w:cs="Arial"/>
                <w:szCs w:val="19"/>
                <w:lang w:val="en-US"/>
              </w:rPr>
              <w:t>in combination with fluoropyrimidine and platinum-containing chemotherapy</w:t>
            </w:r>
            <w:r>
              <w:rPr>
                <w:rFonts w:cs="Arial"/>
                <w:szCs w:val="19"/>
                <w:lang w:val="en-US"/>
              </w:rPr>
              <w:t xml:space="preserve"> </w:t>
            </w:r>
            <w:r w:rsidRPr="00630C8E">
              <w:rPr>
                <w:rFonts w:cs="Arial"/>
                <w:szCs w:val="19"/>
                <w:lang w:val="en-US"/>
              </w:rPr>
              <w:t>for the first-line treatment of locally advanced unresectable or metastatic HER2-negative gastric or gastro-oesophageal junction adenocarcinoma in adults whose tumours express PD-L1 with a CPS ≥</w:t>
            </w:r>
            <w:r>
              <w:rPr>
                <w:rFonts w:cs="Arial"/>
                <w:szCs w:val="19"/>
                <w:lang w:val="en-US"/>
              </w:rPr>
              <w:t xml:space="preserve">1 </w:t>
            </w:r>
            <w:r w:rsidRPr="00E1488A">
              <w:rPr>
                <w:rFonts w:cs="Arial"/>
                <w:sz w:val="16"/>
                <w:szCs w:val="16"/>
                <w:lang w:val="en-US"/>
              </w:rPr>
              <w:t>[new indication]</w:t>
            </w:r>
          </w:p>
        </w:tc>
      </w:tr>
      <w:tr w:rsidR="009B070E" w14:paraId="3E696BDE" w14:textId="77777777" w:rsidTr="00D67F93">
        <w:tc>
          <w:tcPr>
            <w:tcW w:w="1293" w:type="pct"/>
            <w:shd w:val="clear" w:color="auto" w:fill="auto"/>
            <w:tcMar>
              <w:top w:w="57" w:type="dxa"/>
              <w:left w:w="170" w:type="dxa"/>
              <w:bottom w:w="57" w:type="dxa"/>
              <w:right w:w="170" w:type="dxa"/>
            </w:tcMar>
          </w:tcPr>
          <w:p w14:paraId="4D7709FF" w14:textId="77777777" w:rsidR="009B070E" w:rsidRDefault="009B070E" w:rsidP="009B070E">
            <w:pPr>
              <w:rPr>
                <w:rFonts w:cs="Arial"/>
                <w:szCs w:val="19"/>
              </w:rPr>
            </w:pPr>
            <w:r>
              <w:rPr>
                <w:rFonts w:cs="Arial"/>
                <w:szCs w:val="19"/>
              </w:rPr>
              <w:t>Pembrolizumab (</w:t>
            </w:r>
            <w:r>
              <w:rPr>
                <w:rFonts w:cs="Arial"/>
                <w:i/>
                <w:iCs/>
                <w:szCs w:val="19"/>
              </w:rPr>
              <w:t>Keytruda</w:t>
            </w:r>
            <w:r>
              <w:rPr>
                <w:rFonts w:cs="Arial"/>
                <w:szCs w:val="19"/>
              </w:rPr>
              <w:t>)</w:t>
            </w:r>
          </w:p>
          <w:p w14:paraId="61D822CE" w14:textId="6AC75087" w:rsidR="009B070E" w:rsidRPr="00BF6B00" w:rsidRDefault="009B070E" w:rsidP="009B070E">
            <w:pPr>
              <w:rPr>
                <w:rFonts w:cs="Arial"/>
                <w:color w:val="000000" w:themeColor="text1"/>
                <w:szCs w:val="19"/>
              </w:rPr>
            </w:pPr>
            <w:r w:rsidRPr="0098656E">
              <w:rPr>
                <w:rFonts w:cs="Arial"/>
                <w:sz w:val="16"/>
                <w:szCs w:val="16"/>
              </w:rPr>
              <w:t>100mg in 4mL vial</w:t>
            </w:r>
          </w:p>
        </w:tc>
        <w:tc>
          <w:tcPr>
            <w:tcW w:w="3707" w:type="pct"/>
            <w:shd w:val="clear" w:color="auto" w:fill="auto"/>
            <w:tcMar>
              <w:top w:w="57" w:type="dxa"/>
              <w:left w:w="170" w:type="dxa"/>
              <w:bottom w:w="57" w:type="dxa"/>
              <w:right w:w="170" w:type="dxa"/>
            </w:tcMar>
          </w:tcPr>
          <w:p w14:paraId="3BBC35D1" w14:textId="5ED7F8CC" w:rsidR="009B070E" w:rsidRDefault="009B070E" w:rsidP="009B070E">
            <w:pPr>
              <w:tabs>
                <w:tab w:val="center" w:pos="3152"/>
              </w:tabs>
              <w:rPr>
                <w:rFonts w:cs="Arial"/>
                <w:color w:val="000000" w:themeColor="text1"/>
                <w:szCs w:val="19"/>
                <w:lang w:val="en-US"/>
              </w:rPr>
            </w:pPr>
            <w:r>
              <w:rPr>
                <w:rFonts w:cs="Arial"/>
                <w:color w:val="000000" w:themeColor="text1"/>
                <w:szCs w:val="19"/>
                <w:lang w:val="en-US"/>
              </w:rPr>
              <w:t>U</w:t>
            </w:r>
            <w:r w:rsidRPr="0017128E">
              <w:rPr>
                <w:rFonts w:cs="Arial"/>
                <w:color w:val="000000" w:themeColor="text1"/>
                <w:szCs w:val="19"/>
                <w:lang w:val="en-US"/>
              </w:rPr>
              <w:t>se in combination with gemcitabine and cisplatin for the first-line treatment of locally advanced unresectable or metastatic biliary tract carcinoma in adults</w:t>
            </w:r>
            <w:r>
              <w:rPr>
                <w:rFonts w:cs="Arial"/>
                <w:color w:val="000000" w:themeColor="text1"/>
                <w:szCs w:val="19"/>
                <w:lang w:val="en-US"/>
              </w:rPr>
              <w:t xml:space="preserve"> </w:t>
            </w:r>
            <w:r w:rsidRPr="00E1488A">
              <w:rPr>
                <w:rFonts w:cs="Arial"/>
                <w:sz w:val="16"/>
                <w:szCs w:val="16"/>
                <w:lang w:val="en-US"/>
              </w:rPr>
              <w:t>[new indication]</w:t>
            </w:r>
          </w:p>
        </w:tc>
      </w:tr>
      <w:tr w:rsidR="009B070E" w:rsidRPr="00862949" w14:paraId="05FC418E" w14:textId="77777777" w:rsidTr="00D67F93">
        <w:tc>
          <w:tcPr>
            <w:tcW w:w="5000" w:type="pct"/>
            <w:gridSpan w:val="2"/>
            <w:shd w:val="clear" w:color="auto" w:fill="auto"/>
            <w:tcMar>
              <w:top w:w="0" w:type="dxa"/>
              <w:bottom w:w="0" w:type="dxa"/>
            </w:tcMar>
          </w:tcPr>
          <w:p w14:paraId="324E6EC5" w14:textId="77777777" w:rsidR="009B070E" w:rsidRPr="00862949" w:rsidRDefault="009B070E" w:rsidP="009B070E">
            <w:pPr>
              <w:rPr>
                <w:rFonts w:cs="Arial"/>
                <w:b/>
                <w:noProof/>
                <w:sz w:val="8"/>
                <w:szCs w:val="8"/>
              </w:rPr>
            </w:pPr>
          </w:p>
        </w:tc>
      </w:tr>
      <w:tr w:rsidR="009B070E" w:rsidRPr="00862949" w14:paraId="6F6F02A6" w14:textId="77777777" w:rsidTr="00D67F93">
        <w:tc>
          <w:tcPr>
            <w:tcW w:w="5000" w:type="pct"/>
            <w:gridSpan w:val="2"/>
            <w:shd w:val="clear" w:color="auto" w:fill="DAEEF3"/>
            <w:tcMar>
              <w:top w:w="0" w:type="dxa"/>
              <w:bottom w:w="0" w:type="dxa"/>
            </w:tcMar>
          </w:tcPr>
          <w:p w14:paraId="396B963A" w14:textId="77777777" w:rsidR="009B070E" w:rsidRPr="00862949" w:rsidRDefault="009B070E" w:rsidP="009B070E">
            <w:pPr>
              <w:rPr>
                <w:rFonts w:cs="Arial"/>
                <w:b/>
                <w:i/>
                <w:noProof/>
                <w:sz w:val="8"/>
                <w:szCs w:val="8"/>
              </w:rPr>
            </w:pPr>
          </w:p>
        </w:tc>
      </w:tr>
    </w:tbl>
    <w:p w14:paraId="067FE549" w14:textId="577AAE4A" w:rsidR="004B70CD" w:rsidRDefault="004B70CD" w:rsidP="00EB3E6F">
      <w:pPr>
        <w:tabs>
          <w:tab w:val="left" w:pos="2087"/>
        </w:tabs>
      </w:pPr>
    </w:p>
    <w:p w14:paraId="187D38B5" w14:textId="77777777" w:rsidR="004B70CD" w:rsidRDefault="004B70CD">
      <w:r>
        <w:br w:type="page"/>
      </w:r>
    </w:p>
    <w:p w14:paraId="749A1DEB" w14:textId="77777777" w:rsidR="00157A80" w:rsidRDefault="00157A80" w:rsidP="00EB3E6F">
      <w:pPr>
        <w:tabs>
          <w:tab w:val="left" w:pos="2087"/>
        </w:tabs>
      </w:pPr>
    </w:p>
    <w:tbl>
      <w:tblPr>
        <w:tblW w:w="5170" w:type="pct"/>
        <w:tblInd w:w="-176" w:type="dxa"/>
        <w:tblLayout w:type="fixed"/>
        <w:tblLook w:val="01E0" w:firstRow="1" w:lastRow="1" w:firstColumn="1" w:lastColumn="1" w:noHBand="0" w:noVBand="0"/>
      </w:tblPr>
      <w:tblGrid>
        <w:gridCol w:w="2444"/>
        <w:gridCol w:w="8107"/>
      </w:tblGrid>
      <w:tr w:rsidR="00A978CA" w:rsidRPr="00862949" w14:paraId="5E0A4AC4" w14:textId="77777777" w:rsidTr="003D582F">
        <w:tc>
          <w:tcPr>
            <w:tcW w:w="5000" w:type="pct"/>
            <w:gridSpan w:val="2"/>
            <w:shd w:val="clear" w:color="auto" w:fill="0070C0"/>
            <w:tcMar>
              <w:top w:w="85" w:type="dxa"/>
              <w:bottom w:w="85" w:type="dxa"/>
            </w:tcMar>
            <w:vAlign w:val="bottom"/>
          </w:tcPr>
          <w:p w14:paraId="74363132" w14:textId="77777777" w:rsidR="00A978CA" w:rsidRPr="00862949" w:rsidRDefault="00A978CA" w:rsidP="003D582F">
            <w:pPr>
              <w:rPr>
                <w:rFonts w:cs="Arial"/>
                <w:color w:val="FFFFFF"/>
                <w:sz w:val="15"/>
                <w:szCs w:val="15"/>
              </w:rPr>
            </w:pPr>
            <w:r>
              <w:rPr>
                <w:rFonts w:cs="Arial"/>
                <w:b/>
                <w:bCs/>
                <w:iCs/>
                <w:color w:val="FFFFFF"/>
                <w:sz w:val="28"/>
                <w:szCs w:val="28"/>
                <w:lang w:val="en-US"/>
              </w:rPr>
              <w:t>New product information</w:t>
            </w:r>
            <w:r w:rsidRPr="00862949">
              <w:rPr>
                <w:rFonts w:cs="Arial"/>
                <w:b/>
                <w:bCs/>
                <w:iCs/>
                <w:color w:val="FFFFFF"/>
                <w:sz w:val="28"/>
                <w:szCs w:val="28"/>
                <w:lang w:val="en-US"/>
              </w:rPr>
              <w:tab/>
            </w:r>
          </w:p>
        </w:tc>
      </w:tr>
      <w:tr w:rsidR="00A978CA" w:rsidRPr="00862949" w14:paraId="66A79797" w14:textId="77777777" w:rsidTr="003D582F">
        <w:tc>
          <w:tcPr>
            <w:tcW w:w="5000" w:type="pct"/>
            <w:gridSpan w:val="2"/>
            <w:shd w:val="clear" w:color="auto" w:fill="DAEEF3"/>
            <w:tcMar>
              <w:top w:w="0" w:type="dxa"/>
              <w:bottom w:w="0" w:type="dxa"/>
            </w:tcMar>
          </w:tcPr>
          <w:p w14:paraId="4BE33651" w14:textId="77777777" w:rsidR="00A978CA" w:rsidRPr="00862949" w:rsidRDefault="00A978CA" w:rsidP="003D582F">
            <w:pPr>
              <w:rPr>
                <w:rFonts w:cs="Arial"/>
                <w:b/>
                <w:bCs/>
                <w:i/>
                <w:iCs/>
                <w:color w:val="000000"/>
                <w:sz w:val="8"/>
                <w:szCs w:val="8"/>
                <w:lang w:val="en-US"/>
              </w:rPr>
            </w:pPr>
          </w:p>
        </w:tc>
      </w:tr>
      <w:tr w:rsidR="00A978CA" w:rsidRPr="00862949" w14:paraId="3D50649F" w14:textId="77777777" w:rsidTr="003D582F">
        <w:tc>
          <w:tcPr>
            <w:tcW w:w="5000" w:type="pct"/>
            <w:gridSpan w:val="2"/>
            <w:shd w:val="clear" w:color="auto" w:fill="00B050"/>
            <w:tcMar>
              <w:top w:w="57" w:type="dxa"/>
              <w:bottom w:w="57" w:type="dxa"/>
            </w:tcMar>
          </w:tcPr>
          <w:p w14:paraId="466F77B6" w14:textId="77777777" w:rsidR="00A978CA" w:rsidRPr="00433D3E" w:rsidRDefault="00A978CA" w:rsidP="003D582F">
            <w:pPr>
              <w:rPr>
                <w:rFonts w:cs="Arial"/>
                <w:color w:val="FFFFFF"/>
                <w:sz w:val="20"/>
                <w:szCs w:val="20"/>
              </w:rPr>
            </w:pPr>
            <w:r w:rsidRPr="00433D3E">
              <w:rPr>
                <w:rFonts w:cs="Arial"/>
                <w:b/>
                <w:bCs/>
                <w:i/>
                <w:iCs/>
                <w:color w:val="FFFFFF"/>
                <w:sz w:val="22"/>
                <w:szCs w:val="20"/>
                <w:lang w:val="en-US"/>
              </w:rPr>
              <w:t>Launched in the UK (or licence change for existing products)</w:t>
            </w:r>
            <w:r>
              <w:rPr>
                <w:rFonts w:cs="Arial"/>
                <w:b/>
                <w:bCs/>
                <w:i/>
                <w:iCs/>
                <w:color w:val="FFFFFF"/>
                <w:sz w:val="22"/>
                <w:szCs w:val="20"/>
                <w:lang w:val="en-US"/>
              </w:rPr>
              <w:t xml:space="preserve"> </w:t>
            </w:r>
            <w:r w:rsidRPr="00810288">
              <w:rPr>
                <w:rFonts w:cs="Arial"/>
                <w:b/>
                <w:bCs/>
                <w:color w:val="FFFFFF"/>
                <w:sz w:val="16"/>
                <w:szCs w:val="14"/>
                <w:lang w:val="en-US"/>
              </w:rPr>
              <w:t>(continued)</w:t>
            </w:r>
          </w:p>
        </w:tc>
      </w:tr>
      <w:tr w:rsidR="004B70CD" w:rsidRPr="00131D4C" w14:paraId="37ECCEC9" w14:textId="77777777" w:rsidTr="00FE5305">
        <w:tc>
          <w:tcPr>
            <w:tcW w:w="1158" w:type="pct"/>
            <w:shd w:val="clear" w:color="auto" w:fill="auto"/>
            <w:tcMar>
              <w:top w:w="57" w:type="dxa"/>
              <w:left w:w="170" w:type="dxa"/>
              <w:bottom w:w="57" w:type="dxa"/>
              <w:right w:w="170" w:type="dxa"/>
            </w:tcMar>
          </w:tcPr>
          <w:p w14:paraId="3E85F95B" w14:textId="77777777" w:rsidR="004B70CD" w:rsidRDefault="004B70CD" w:rsidP="004B70CD">
            <w:pPr>
              <w:rPr>
                <w:rFonts w:cs="Arial"/>
                <w:szCs w:val="19"/>
              </w:rPr>
            </w:pPr>
            <w:r w:rsidRPr="00A64246">
              <w:rPr>
                <w:rFonts w:cs="Arial"/>
                <w:szCs w:val="19"/>
              </w:rPr>
              <w:t>Respiratory syncytial virus vaccine (</w:t>
            </w:r>
            <w:proofErr w:type="spellStart"/>
            <w:r w:rsidRPr="00A64246">
              <w:rPr>
                <w:rFonts w:cs="Arial"/>
                <w:i/>
                <w:iCs/>
                <w:szCs w:val="19"/>
              </w:rPr>
              <w:t>Abrysvo</w:t>
            </w:r>
            <w:proofErr w:type="spellEnd"/>
            <w:r w:rsidRPr="00A64246">
              <w:rPr>
                <w:rFonts w:cs="Arial"/>
                <w:szCs w:val="19"/>
              </w:rPr>
              <w:t>)</w:t>
            </w:r>
          </w:p>
          <w:p w14:paraId="0C0E2E06" w14:textId="34BBEF80" w:rsidR="004B70CD" w:rsidRDefault="004B70CD" w:rsidP="004B70CD">
            <w:pPr>
              <w:rPr>
                <w:rFonts w:cs="Arial"/>
                <w:color w:val="000000" w:themeColor="text1"/>
                <w:szCs w:val="19"/>
              </w:rPr>
            </w:pPr>
            <w:r w:rsidRPr="00C548D8">
              <w:rPr>
                <w:rFonts w:cs="Arial"/>
                <w:sz w:val="16"/>
                <w:szCs w:val="16"/>
              </w:rPr>
              <w:t>Single-dose vial</w:t>
            </w:r>
          </w:p>
        </w:tc>
        <w:tc>
          <w:tcPr>
            <w:tcW w:w="3842" w:type="pct"/>
            <w:shd w:val="clear" w:color="auto" w:fill="auto"/>
            <w:tcMar>
              <w:top w:w="57" w:type="dxa"/>
              <w:left w:w="170" w:type="dxa"/>
              <w:bottom w:w="57" w:type="dxa"/>
              <w:right w:w="170" w:type="dxa"/>
            </w:tcMar>
          </w:tcPr>
          <w:p w14:paraId="170863E4" w14:textId="28DFDA5E" w:rsidR="004B70CD" w:rsidRDefault="004B70CD" w:rsidP="004B70CD">
            <w:pPr>
              <w:tabs>
                <w:tab w:val="center" w:pos="3152"/>
              </w:tabs>
              <w:rPr>
                <w:rFonts w:cs="Arial"/>
                <w:color w:val="000000" w:themeColor="text1"/>
                <w:szCs w:val="19"/>
                <w:lang w:val="en-US"/>
              </w:rPr>
            </w:pPr>
            <w:r w:rsidRPr="00A64246">
              <w:rPr>
                <w:rFonts w:cs="Arial"/>
                <w:szCs w:val="19"/>
                <w:lang w:val="en-US"/>
              </w:rPr>
              <w:t xml:space="preserve">Passive protection against lower respiratory tract disease caused by respiratory syncytial virus in infants from birth through 6 months of age following maternal </w:t>
            </w:r>
            <w:proofErr w:type="spellStart"/>
            <w:r w:rsidRPr="00A64246">
              <w:rPr>
                <w:rFonts w:cs="Arial"/>
                <w:szCs w:val="19"/>
                <w:lang w:val="en-US"/>
              </w:rPr>
              <w:t>immunisation</w:t>
            </w:r>
            <w:proofErr w:type="spellEnd"/>
            <w:r w:rsidRPr="00A64246">
              <w:rPr>
                <w:rFonts w:cs="Arial"/>
                <w:szCs w:val="19"/>
                <w:lang w:val="en-US"/>
              </w:rPr>
              <w:t xml:space="preserve"> during pregnancy </w:t>
            </w:r>
            <w:r>
              <w:rPr>
                <w:rFonts w:cs="Arial"/>
                <w:szCs w:val="19"/>
                <w:lang w:val="en-US"/>
              </w:rPr>
              <w:t>and a</w:t>
            </w:r>
            <w:r w:rsidRPr="00A64246">
              <w:rPr>
                <w:rFonts w:cs="Arial"/>
                <w:szCs w:val="19"/>
                <w:lang w:val="en-US"/>
              </w:rPr>
              <w:t xml:space="preserve">ctive </w:t>
            </w:r>
            <w:proofErr w:type="spellStart"/>
            <w:r w:rsidRPr="00A64246">
              <w:rPr>
                <w:rFonts w:cs="Arial"/>
                <w:szCs w:val="19"/>
                <w:lang w:val="en-US"/>
              </w:rPr>
              <w:t>immunisation</w:t>
            </w:r>
            <w:proofErr w:type="spellEnd"/>
            <w:r w:rsidRPr="00A64246">
              <w:rPr>
                <w:rFonts w:cs="Arial"/>
                <w:szCs w:val="19"/>
                <w:lang w:val="en-US"/>
              </w:rPr>
              <w:t xml:space="preserve"> of individuals </w:t>
            </w:r>
            <w:r>
              <w:rPr>
                <w:rFonts w:cs="Arial"/>
                <w:szCs w:val="19"/>
                <w:lang w:val="en-US"/>
              </w:rPr>
              <w:t>aged ≥</w:t>
            </w:r>
            <w:r w:rsidRPr="00A64246">
              <w:rPr>
                <w:rFonts w:cs="Arial"/>
                <w:szCs w:val="19"/>
                <w:lang w:val="en-US"/>
              </w:rPr>
              <w:t xml:space="preserve">60 years for the prevention of lower respiratory tract disease caused by </w:t>
            </w:r>
            <w:r>
              <w:rPr>
                <w:rFonts w:cs="Arial"/>
                <w:szCs w:val="19"/>
                <w:lang w:val="en-US"/>
              </w:rPr>
              <w:t>respiratory syncytial virus</w:t>
            </w:r>
          </w:p>
        </w:tc>
      </w:tr>
      <w:tr w:rsidR="004B70CD" w:rsidRPr="00131D4C" w14:paraId="52E980D7" w14:textId="77777777" w:rsidTr="00FE5305">
        <w:tc>
          <w:tcPr>
            <w:tcW w:w="1158" w:type="pct"/>
            <w:shd w:val="clear" w:color="auto" w:fill="auto"/>
            <w:tcMar>
              <w:top w:w="57" w:type="dxa"/>
              <w:left w:w="170" w:type="dxa"/>
              <w:bottom w:w="57" w:type="dxa"/>
              <w:right w:w="170" w:type="dxa"/>
            </w:tcMar>
          </w:tcPr>
          <w:p w14:paraId="0D230FE6" w14:textId="77777777" w:rsidR="004B70CD" w:rsidRDefault="004B70CD" w:rsidP="004B70CD">
            <w:pPr>
              <w:rPr>
                <w:rFonts w:cs="Arial"/>
                <w:color w:val="000000" w:themeColor="text1"/>
                <w:szCs w:val="19"/>
              </w:rPr>
            </w:pPr>
            <w:proofErr w:type="spellStart"/>
            <w:r>
              <w:rPr>
                <w:rFonts w:cs="Arial"/>
                <w:color w:val="000000" w:themeColor="text1"/>
                <w:szCs w:val="19"/>
              </w:rPr>
              <w:t>Satralizumab</w:t>
            </w:r>
            <w:proofErr w:type="spellEnd"/>
            <w:r>
              <w:rPr>
                <w:rFonts w:cs="Arial"/>
                <w:color w:val="000000" w:themeColor="text1"/>
                <w:szCs w:val="19"/>
              </w:rPr>
              <w:t xml:space="preserve"> (</w:t>
            </w:r>
            <w:proofErr w:type="spellStart"/>
            <w:r w:rsidRPr="00F44534">
              <w:rPr>
                <w:rFonts w:cs="Arial"/>
                <w:i/>
                <w:iCs/>
                <w:color w:val="000000" w:themeColor="text1"/>
                <w:szCs w:val="19"/>
              </w:rPr>
              <w:t>Enspryng</w:t>
            </w:r>
            <w:proofErr w:type="spellEnd"/>
            <w:r>
              <w:rPr>
                <w:rFonts w:cs="Arial"/>
                <w:color w:val="000000" w:themeColor="text1"/>
                <w:szCs w:val="19"/>
              </w:rPr>
              <w:t>)</w:t>
            </w:r>
          </w:p>
          <w:p w14:paraId="70BADC10" w14:textId="1525B509" w:rsidR="004B70CD" w:rsidRPr="00BF6B00" w:rsidRDefault="004B70CD" w:rsidP="004B70CD">
            <w:pPr>
              <w:rPr>
                <w:rFonts w:cs="Arial"/>
                <w:color w:val="000000" w:themeColor="text1"/>
                <w:szCs w:val="19"/>
              </w:rPr>
            </w:pPr>
            <w:r w:rsidRPr="00F44534">
              <w:rPr>
                <w:rFonts w:cs="Arial"/>
                <w:color w:val="000000" w:themeColor="text1"/>
                <w:sz w:val="16"/>
                <w:szCs w:val="16"/>
              </w:rPr>
              <w:t>120mg in 1mL prefilled syringe</w:t>
            </w:r>
          </w:p>
        </w:tc>
        <w:tc>
          <w:tcPr>
            <w:tcW w:w="3842" w:type="pct"/>
            <w:shd w:val="clear" w:color="auto" w:fill="auto"/>
            <w:tcMar>
              <w:top w:w="57" w:type="dxa"/>
              <w:left w:w="170" w:type="dxa"/>
              <w:bottom w:w="57" w:type="dxa"/>
              <w:right w:w="170" w:type="dxa"/>
            </w:tcMar>
          </w:tcPr>
          <w:p w14:paraId="4B994B45" w14:textId="629EE2E0" w:rsidR="004B70CD" w:rsidRDefault="004B70CD" w:rsidP="004B70CD">
            <w:pPr>
              <w:tabs>
                <w:tab w:val="center" w:pos="3152"/>
              </w:tabs>
              <w:rPr>
                <w:rFonts w:cs="Arial"/>
                <w:color w:val="000000" w:themeColor="text1"/>
                <w:szCs w:val="19"/>
                <w:lang w:val="en-US"/>
              </w:rPr>
            </w:pPr>
            <w:r>
              <w:rPr>
                <w:rFonts w:cs="Arial"/>
                <w:color w:val="000000" w:themeColor="text1"/>
                <w:szCs w:val="19"/>
                <w:lang w:val="en-US"/>
              </w:rPr>
              <w:t xml:space="preserve">Use </w:t>
            </w:r>
            <w:r w:rsidRPr="00F44534">
              <w:rPr>
                <w:rFonts w:cs="Arial"/>
                <w:color w:val="000000" w:themeColor="text1"/>
                <w:szCs w:val="19"/>
                <w:lang w:val="en-US"/>
              </w:rPr>
              <w:t>as a monotherapy or in combination with immunosuppressive therapy for the treatment of neuromyelitis optica spectrum disorders in adult</w:t>
            </w:r>
            <w:r>
              <w:rPr>
                <w:rFonts w:cs="Arial"/>
                <w:color w:val="000000" w:themeColor="text1"/>
                <w:szCs w:val="19"/>
                <w:lang w:val="en-US"/>
              </w:rPr>
              <w:t>s</w:t>
            </w:r>
            <w:r w:rsidRPr="00F44534">
              <w:rPr>
                <w:rFonts w:cs="Arial"/>
                <w:color w:val="000000" w:themeColor="text1"/>
                <w:szCs w:val="19"/>
                <w:lang w:val="en-US"/>
              </w:rPr>
              <w:t xml:space="preserve"> and adolescents </w:t>
            </w:r>
            <w:r>
              <w:rPr>
                <w:rFonts w:cs="Arial"/>
                <w:color w:val="000000" w:themeColor="text1"/>
                <w:szCs w:val="19"/>
                <w:lang w:val="en-US"/>
              </w:rPr>
              <w:t>aged ≥1</w:t>
            </w:r>
            <w:r w:rsidRPr="00F44534">
              <w:rPr>
                <w:rFonts w:cs="Arial"/>
                <w:color w:val="000000" w:themeColor="text1"/>
                <w:szCs w:val="19"/>
                <w:lang w:val="en-US"/>
              </w:rPr>
              <w:t>2 years who are anti-aquaporin-4 IgG seropositive</w:t>
            </w:r>
          </w:p>
        </w:tc>
      </w:tr>
      <w:tr w:rsidR="004B70CD" w:rsidRPr="00131D4C" w14:paraId="69A431F5" w14:textId="77777777" w:rsidTr="00FE5305">
        <w:tc>
          <w:tcPr>
            <w:tcW w:w="1158" w:type="pct"/>
            <w:shd w:val="clear" w:color="auto" w:fill="auto"/>
            <w:tcMar>
              <w:top w:w="57" w:type="dxa"/>
              <w:left w:w="170" w:type="dxa"/>
              <w:bottom w:w="57" w:type="dxa"/>
              <w:right w:w="170" w:type="dxa"/>
            </w:tcMar>
          </w:tcPr>
          <w:p w14:paraId="04728598" w14:textId="77777777" w:rsidR="004B70CD" w:rsidRDefault="004B70CD" w:rsidP="004B70CD">
            <w:pPr>
              <w:rPr>
                <w:rFonts w:cs="Arial"/>
                <w:szCs w:val="19"/>
              </w:rPr>
            </w:pPr>
            <w:r>
              <w:rPr>
                <w:rFonts w:cs="Arial"/>
                <w:szCs w:val="19"/>
              </w:rPr>
              <w:t>Tezepelumab (</w:t>
            </w:r>
            <w:r>
              <w:rPr>
                <w:rFonts w:cs="Arial"/>
                <w:i/>
                <w:iCs/>
                <w:szCs w:val="19"/>
              </w:rPr>
              <w:t>Tezspire</w:t>
            </w:r>
            <w:r>
              <w:rPr>
                <w:rFonts w:cs="Arial"/>
                <w:szCs w:val="19"/>
              </w:rPr>
              <w:t>)</w:t>
            </w:r>
          </w:p>
          <w:p w14:paraId="28E624FE" w14:textId="387BC002" w:rsidR="004B70CD" w:rsidRPr="00BF6B00" w:rsidRDefault="004B70CD" w:rsidP="004B70CD">
            <w:pPr>
              <w:rPr>
                <w:rFonts w:cs="Arial"/>
                <w:color w:val="000000" w:themeColor="text1"/>
                <w:szCs w:val="19"/>
              </w:rPr>
            </w:pPr>
            <w:r w:rsidRPr="00C8151D">
              <w:rPr>
                <w:rFonts w:cs="Arial"/>
                <w:sz w:val="16"/>
                <w:szCs w:val="16"/>
              </w:rPr>
              <w:t>210mg in 1.91mL prefilled pen</w:t>
            </w:r>
          </w:p>
        </w:tc>
        <w:tc>
          <w:tcPr>
            <w:tcW w:w="3842" w:type="pct"/>
            <w:shd w:val="clear" w:color="auto" w:fill="auto"/>
            <w:tcMar>
              <w:top w:w="57" w:type="dxa"/>
              <w:left w:w="170" w:type="dxa"/>
              <w:bottom w:w="57" w:type="dxa"/>
              <w:right w:w="170" w:type="dxa"/>
            </w:tcMar>
          </w:tcPr>
          <w:p w14:paraId="2025EA8F" w14:textId="7E81D182" w:rsidR="004B70CD" w:rsidRDefault="004B70CD" w:rsidP="004B70CD">
            <w:pPr>
              <w:tabs>
                <w:tab w:val="center" w:pos="3152"/>
              </w:tabs>
              <w:rPr>
                <w:rFonts w:cs="Arial"/>
                <w:color w:val="000000" w:themeColor="text1"/>
                <w:szCs w:val="19"/>
                <w:lang w:val="en-US"/>
              </w:rPr>
            </w:pPr>
            <w:r w:rsidRPr="00C8151D">
              <w:rPr>
                <w:rFonts w:cs="Arial"/>
                <w:szCs w:val="19"/>
              </w:rPr>
              <w:t xml:space="preserve">Use as an add-on maintenance treatment in adults and adolescents </w:t>
            </w:r>
            <w:r>
              <w:rPr>
                <w:rFonts w:cs="Arial"/>
                <w:szCs w:val="19"/>
              </w:rPr>
              <w:t>aged ≥</w:t>
            </w:r>
            <w:r w:rsidRPr="00C8151D">
              <w:rPr>
                <w:rFonts w:cs="Arial"/>
                <w:szCs w:val="19"/>
              </w:rPr>
              <w:t>12 years with severe asthma who are inadequately controlled despite high dose inhaled corticosteroids plus another medicinal product for maintenance treatment</w:t>
            </w:r>
            <w:r>
              <w:rPr>
                <w:rFonts w:cs="Arial"/>
                <w:szCs w:val="19"/>
              </w:rPr>
              <w:t xml:space="preserve"> </w:t>
            </w:r>
            <w:r w:rsidRPr="00C8151D">
              <w:rPr>
                <w:rFonts w:cs="Arial"/>
                <w:sz w:val="16"/>
                <w:szCs w:val="16"/>
              </w:rPr>
              <w:t>[new prefilled pen formulation]</w:t>
            </w:r>
          </w:p>
        </w:tc>
      </w:tr>
      <w:tr w:rsidR="004B70CD" w:rsidRPr="00131D4C" w14:paraId="37AAC850" w14:textId="77777777" w:rsidTr="00FE5305">
        <w:tc>
          <w:tcPr>
            <w:tcW w:w="1158" w:type="pct"/>
            <w:shd w:val="clear" w:color="auto" w:fill="auto"/>
            <w:tcMar>
              <w:top w:w="57" w:type="dxa"/>
              <w:left w:w="170" w:type="dxa"/>
              <w:bottom w:w="57" w:type="dxa"/>
              <w:right w:w="170" w:type="dxa"/>
            </w:tcMar>
          </w:tcPr>
          <w:p w14:paraId="259643BF" w14:textId="77777777" w:rsidR="00387ABE" w:rsidRDefault="004B70CD" w:rsidP="004B70CD">
            <w:pPr>
              <w:rPr>
                <w:rFonts w:cs="Arial"/>
                <w:color w:val="000000" w:themeColor="text1"/>
                <w:szCs w:val="19"/>
              </w:rPr>
            </w:pPr>
            <w:r w:rsidRPr="00BF6B00">
              <w:rPr>
                <w:rFonts w:cs="Arial"/>
                <w:color w:val="000000" w:themeColor="text1"/>
                <w:szCs w:val="19"/>
              </w:rPr>
              <w:t xml:space="preserve">Tirzepatide </w:t>
            </w:r>
          </w:p>
          <w:p w14:paraId="0CC50569" w14:textId="05D3B368" w:rsidR="004B70CD" w:rsidRPr="00BF6B00" w:rsidRDefault="004B70CD" w:rsidP="004B70CD">
            <w:pPr>
              <w:rPr>
                <w:rFonts w:cs="Arial"/>
                <w:color w:val="000000" w:themeColor="text1"/>
                <w:szCs w:val="19"/>
              </w:rPr>
            </w:pPr>
            <w:r w:rsidRPr="00BF6B00">
              <w:rPr>
                <w:rFonts w:cs="Arial"/>
                <w:color w:val="000000" w:themeColor="text1"/>
                <w:szCs w:val="19"/>
              </w:rPr>
              <w:t>(</w:t>
            </w:r>
            <w:proofErr w:type="spellStart"/>
            <w:r w:rsidRPr="00BF6B00">
              <w:rPr>
                <w:rFonts w:cs="Arial"/>
                <w:i/>
                <w:iCs/>
                <w:color w:val="000000" w:themeColor="text1"/>
                <w:szCs w:val="19"/>
              </w:rPr>
              <w:t>Mounjaro</w:t>
            </w:r>
            <w:proofErr w:type="spellEnd"/>
            <w:r w:rsidRPr="00BF6B00">
              <w:rPr>
                <w:rFonts w:cs="Arial"/>
                <w:i/>
                <w:iCs/>
                <w:color w:val="000000" w:themeColor="text1"/>
                <w:szCs w:val="19"/>
              </w:rPr>
              <w:t xml:space="preserve"> </w:t>
            </w:r>
            <w:proofErr w:type="spellStart"/>
            <w:r w:rsidRPr="00BF6B00">
              <w:rPr>
                <w:rFonts w:cs="Arial"/>
                <w:i/>
                <w:iCs/>
                <w:color w:val="000000" w:themeColor="text1"/>
                <w:szCs w:val="19"/>
              </w:rPr>
              <w:t>KwikPen</w:t>
            </w:r>
            <w:proofErr w:type="spellEnd"/>
            <w:r w:rsidRPr="00BF6B00">
              <w:rPr>
                <w:rFonts w:cs="Arial"/>
                <w:color w:val="000000" w:themeColor="text1"/>
                <w:szCs w:val="19"/>
              </w:rPr>
              <w:t xml:space="preserve">) </w:t>
            </w:r>
          </w:p>
          <w:p w14:paraId="0CBC2AA2" w14:textId="7D6D573F" w:rsidR="004B70CD" w:rsidRDefault="004B70CD" w:rsidP="004B70CD">
            <w:pPr>
              <w:rPr>
                <w:rFonts w:cs="Arial"/>
                <w:szCs w:val="19"/>
              </w:rPr>
            </w:pPr>
            <w:r w:rsidRPr="00BF6B00">
              <w:rPr>
                <w:rFonts w:cs="Arial"/>
                <w:color w:val="000000" w:themeColor="text1"/>
                <w:sz w:val="16"/>
                <w:szCs w:val="16"/>
              </w:rPr>
              <w:t>2.5mg/dose, 5mg/dose, 7.5mg/dose, 10mg/dose, 12.5mg/dose and 15mg/dose prefilled pen</w:t>
            </w:r>
          </w:p>
        </w:tc>
        <w:tc>
          <w:tcPr>
            <w:tcW w:w="3842" w:type="pct"/>
            <w:shd w:val="clear" w:color="auto" w:fill="auto"/>
            <w:tcMar>
              <w:top w:w="57" w:type="dxa"/>
              <w:left w:w="170" w:type="dxa"/>
              <w:bottom w:w="57" w:type="dxa"/>
              <w:right w:w="170" w:type="dxa"/>
            </w:tcMar>
          </w:tcPr>
          <w:p w14:paraId="29BC4B8A" w14:textId="40738663" w:rsidR="004B70CD" w:rsidRPr="00C97006" w:rsidRDefault="004B70CD" w:rsidP="004B70CD">
            <w:pPr>
              <w:tabs>
                <w:tab w:val="center" w:pos="3152"/>
              </w:tabs>
              <w:rPr>
                <w:rFonts w:cs="Arial"/>
                <w:szCs w:val="19"/>
                <w:lang w:val="en-US"/>
              </w:rPr>
            </w:pPr>
            <w:r>
              <w:rPr>
                <w:rFonts w:cs="Arial"/>
                <w:color w:val="000000" w:themeColor="text1"/>
                <w:szCs w:val="19"/>
                <w:lang w:val="en-US"/>
              </w:rPr>
              <w:t>T</w:t>
            </w:r>
            <w:r w:rsidRPr="00BF6B00">
              <w:rPr>
                <w:rFonts w:cs="Arial"/>
                <w:color w:val="000000" w:themeColor="text1"/>
                <w:szCs w:val="19"/>
                <w:lang w:val="en-US"/>
              </w:rPr>
              <w:t>reatment of adults with insufficiently controlled type 2 diabetes mellitus as an adjunct to diet and exercise as monotherapy when metformin is considered inappropriate due to intolerance or contraindications, and in addition to other medicinal products for the treatment of diabetes. Also for weight management, including weight loss and weight maintenance, as an adjunct to a reduced-calorie diet and increased physical activity in adults with an initial Body Mass Index (BMI) of ≥30kg/m2</w:t>
            </w:r>
            <w:r>
              <w:rPr>
                <w:rFonts w:cs="Arial"/>
                <w:color w:val="000000" w:themeColor="text1"/>
                <w:szCs w:val="19"/>
                <w:lang w:val="en-US"/>
              </w:rPr>
              <w:t xml:space="preserve"> </w:t>
            </w:r>
            <w:r w:rsidRPr="00BF6B00">
              <w:rPr>
                <w:rFonts w:cs="Arial"/>
                <w:color w:val="000000" w:themeColor="text1"/>
                <w:szCs w:val="19"/>
                <w:lang w:val="en-US"/>
              </w:rPr>
              <w:t xml:space="preserve">(obesity) or ≥27kg/m2 to </w:t>
            </w:r>
            <w:r>
              <w:rPr>
                <w:rFonts w:cs="Arial"/>
                <w:color w:val="000000" w:themeColor="text1"/>
                <w:szCs w:val="19"/>
                <w:lang w:val="en-US"/>
              </w:rPr>
              <w:t>&lt;</w:t>
            </w:r>
            <w:r w:rsidRPr="00BF6B00">
              <w:rPr>
                <w:rFonts w:cs="Arial"/>
                <w:color w:val="000000" w:themeColor="text1"/>
                <w:szCs w:val="19"/>
                <w:lang w:val="en-US"/>
              </w:rPr>
              <w:t>30kg/m2 (overweight) in the presence of at least one weight-related comorbid condition (e.g., hypertension, dyslipidaemia, obstructive sleep apnoea, cardiovascular disease, prediabetes, or type 2 diabetes mellitus)</w:t>
            </w:r>
            <w:r w:rsidRPr="00BF6B00">
              <w:rPr>
                <w:rFonts w:cs="Arial"/>
                <w:color w:val="000000" w:themeColor="text1"/>
                <w:sz w:val="16"/>
                <w:szCs w:val="19"/>
                <w:lang w:val="en-US"/>
              </w:rPr>
              <w:t xml:space="preserve"> </w:t>
            </w:r>
            <w:r w:rsidRPr="00BF6B00">
              <w:rPr>
                <w:rFonts w:cs="Arial"/>
                <w:color w:val="000000" w:themeColor="text1"/>
                <w:sz w:val="16"/>
                <w:szCs w:val="16"/>
                <w:lang w:val="en-US"/>
              </w:rPr>
              <w:t>[new multi-dose pen formulation]</w:t>
            </w:r>
          </w:p>
        </w:tc>
      </w:tr>
      <w:tr w:rsidR="004B70CD" w:rsidRPr="00131D4C" w14:paraId="6C94D61C" w14:textId="77777777" w:rsidTr="00FE5305">
        <w:tc>
          <w:tcPr>
            <w:tcW w:w="1158" w:type="pct"/>
            <w:shd w:val="clear" w:color="auto" w:fill="auto"/>
            <w:tcMar>
              <w:top w:w="57" w:type="dxa"/>
              <w:left w:w="170" w:type="dxa"/>
              <w:bottom w:w="57" w:type="dxa"/>
              <w:right w:w="170" w:type="dxa"/>
            </w:tcMar>
          </w:tcPr>
          <w:p w14:paraId="18B26D01" w14:textId="77777777" w:rsidR="004B70CD" w:rsidRDefault="004B70CD" w:rsidP="004B70CD">
            <w:pPr>
              <w:rPr>
                <w:rFonts w:cs="Arial"/>
                <w:szCs w:val="19"/>
              </w:rPr>
            </w:pPr>
            <w:r>
              <w:rPr>
                <w:rFonts w:cs="Arial"/>
                <w:szCs w:val="19"/>
              </w:rPr>
              <w:t>Tocilizuma</w:t>
            </w:r>
            <w:r w:rsidRPr="003E4E61">
              <w:rPr>
                <w:rFonts w:cs="Arial"/>
                <w:szCs w:val="19"/>
              </w:rPr>
              <w:t>b biosimilar (</w:t>
            </w:r>
            <w:r>
              <w:rPr>
                <w:rFonts w:cs="Arial"/>
                <w:i/>
                <w:iCs/>
                <w:szCs w:val="19"/>
              </w:rPr>
              <w:t>Tyenne</w:t>
            </w:r>
            <w:r>
              <w:rPr>
                <w:rFonts w:cs="Arial"/>
                <w:szCs w:val="19"/>
              </w:rPr>
              <w:t xml:space="preserve">) </w:t>
            </w:r>
          </w:p>
          <w:p w14:paraId="63D270D5" w14:textId="4CBECD76" w:rsidR="004B70CD" w:rsidRDefault="004B70CD" w:rsidP="004B70CD">
            <w:pPr>
              <w:rPr>
                <w:rFonts w:cs="Arial"/>
                <w:szCs w:val="19"/>
              </w:rPr>
            </w:pPr>
            <w:r w:rsidRPr="00C97006">
              <w:rPr>
                <w:rFonts w:cs="Arial"/>
                <w:sz w:val="16"/>
                <w:szCs w:val="16"/>
              </w:rPr>
              <w:t>162mg in 0.9mL prefilled pen</w:t>
            </w:r>
          </w:p>
        </w:tc>
        <w:tc>
          <w:tcPr>
            <w:tcW w:w="3842" w:type="pct"/>
            <w:shd w:val="clear" w:color="auto" w:fill="auto"/>
            <w:tcMar>
              <w:top w:w="57" w:type="dxa"/>
              <w:left w:w="170" w:type="dxa"/>
              <w:bottom w:w="57" w:type="dxa"/>
              <w:right w:w="170" w:type="dxa"/>
            </w:tcMar>
          </w:tcPr>
          <w:p w14:paraId="36878BC3" w14:textId="1768D8B4" w:rsidR="004B70CD" w:rsidRPr="00CC0D65" w:rsidRDefault="004B70CD" w:rsidP="004B70CD">
            <w:pPr>
              <w:tabs>
                <w:tab w:val="center" w:pos="3152"/>
              </w:tabs>
              <w:rPr>
                <w:rFonts w:cs="Arial"/>
                <w:color w:val="000000" w:themeColor="text1"/>
                <w:szCs w:val="19"/>
                <w:lang w:val="en-US"/>
              </w:rPr>
            </w:pPr>
            <w:r w:rsidRPr="00CC0D65">
              <w:rPr>
                <w:rFonts w:cs="Arial"/>
                <w:color w:val="000000" w:themeColor="text1"/>
                <w:szCs w:val="19"/>
                <w:lang w:val="en-US"/>
              </w:rPr>
              <w:t xml:space="preserve">Treatment of severe, active and progressive rheumatoid arthritis (RA) in adults not previously treated with methotrexate (MTX), treatment of moderate to severe active RA in adults who have either responded inadequately to, or who were intolerant to, previous therapy with one or more disease-modifying anti-rheumatic drugs or tumour necrosis factor antagonists, treatment of active systemic juvenile idiopathic arthritis in patients aged ≥12 years who have responded inadequately to previous therapy with NSAIDs and systemic corticosteroids, treatment of juvenile idiopathic polyarthritis in patients aged ≥12 years who have responded inadequately to previous therapy with MTX, and treatment of giant cell arteritis in adults </w:t>
            </w:r>
          </w:p>
          <w:p w14:paraId="1B3F75BF" w14:textId="6D2DEC27" w:rsidR="004B70CD" w:rsidRPr="00CC0D65" w:rsidRDefault="004B70CD" w:rsidP="004B70CD">
            <w:pPr>
              <w:tabs>
                <w:tab w:val="center" w:pos="3152"/>
              </w:tabs>
              <w:rPr>
                <w:rFonts w:cs="Arial"/>
                <w:color w:val="FF0000"/>
                <w:szCs w:val="19"/>
                <w:lang w:val="en-US"/>
              </w:rPr>
            </w:pPr>
            <w:r w:rsidRPr="00CC0D65">
              <w:rPr>
                <w:rFonts w:cs="Arial"/>
                <w:i/>
                <w:iCs/>
                <w:color w:val="000000" w:themeColor="text1"/>
                <w:sz w:val="16"/>
                <w:szCs w:val="16"/>
                <w:lang w:val="en-US"/>
              </w:rPr>
              <w:t>Note: we have shortened the wording of this indication to save space</w:t>
            </w:r>
            <w:r w:rsidRPr="00CC0D65">
              <w:rPr>
                <w:rFonts w:cs="Arial"/>
                <w:bCs/>
                <w:i/>
                <w:iCs/>
                <w:color w:val="000000" w:themeColor="text1"/>
                <w:sz w:val="16"/>
                <w:szCs w:val="16"/>
              </w:rPr>
              <w:t xml:space="preserve"> – see </w:t>
            </w:r>
            <w:hyperlink r:id="rId16" w:history="1">
              <w:r w:rsidRPr="00CC0D65">
                <w:rPr>
                  <w:rStyle w:val="Hyperlink"/>
                  <w:rFonts w:ascii="Arial" w:hAnsi="Arial" w:cs="Arial"/>
                  <w:bCs/>
                  <w:i/>
                  <w:iCs/>
                  <w:sz w:val="16"/>
                  <w:szCs w:val="16"/>
                </w:rPr>
                <w:t>SmPC</w:t>
              </w:r>
            </w:hyperlink>
            <w:r w:rsidRPr="00CC0D65">
              <w:rPr>
                <w:rFonts w:cs="Arial"/>
                <w:bCs/>
                <w:i/>
                <w:iCs/>
                <w:color w:val="000000" w:themeColor="text1"/>
                <w:sz w:val="16"/>
                <w:szCs w:val="16"/>
              </w:rPr>
              <w:t xml:space="preserve"> for full details</w:t>
            </w:r>
          </w:p>
        </w:tc>
      </w:tr>
      <w:tr w:rsidR="004B70CD" w:rsidRPr="00131D4C" w14:paraId="2BB3AA52" w14:textId="77777777" w:rsidTr="00FE5305">
        <w:tc>
          <w:tcPr>
            <w:tcW w:w="1158" w:type="pct"/>
            <w:shd w:val="clear" w:color="auto" w:fill="auto"/>
            <w:tcMar>
              <w:top w:w="57" w:type="dxa"/>
              <w:left w:w="170" w:type="dxa"/>
              <w:bottom w:w="57" w:type="dxa"/>
              <w:right w:w="170" w:type="dxa"/>
            </w:tcMar>
          </w:tcPr>
          <w:p w14:paraId="209228AB" w14:textId="77777777" w:rsidR="004B70CD" w:rsidRDefault="004B70CD" w:rsidP="004B70CD">
            <w:pPr>
              <w:rPr>
                <w:rFonts w:cs="Arial"/>
                <w:szCs w:val="19"/>
              </w:rPr>
            </w:pPr>
            <w:r>
              <w:rPr>
                <w:rFonts w:cs="Arial"/>
                <w:szCs w:val="19"/>
              </w:rPr>
              <w:t>Tocilizuma</w:t>
            </w:r>
            <w:r w:rsidRPr="003E4E61">
              <w:rPr>
                <w:rFonts w:cs="Arial"/>
                <w:szCs w:val="19"/>
              </w:rPr>
              <w:t>b biosimilar (</w:t>
            </w:r>
            <w:r>
              <w:rPr>
                <w:rFonts w:cs="Arial"/>
                <w:i/>
                <w:iCs/>
                <w:szCs w:val="19"/>
              </w:rPr>
              <w:t>Tyenne</w:t>
            </w:r>
            <w:r>
              <w:rPr>
                <w:rFonts w:cs="Arial"/>
                <w:szCs w:val="19"/>
              </w:rPr>
              <w:t xml:space="preserve">) </w:t>
            </w:r>
          </w:p>
          <w:p w14:paraId="04593423" w14:textId="16E9F413" w:rsidR="004B70CD" w:rsidRDefault="004B70CD" w:rsidP="004B70CD">
            <w:pPr>
              <w:rPr>
                <w:rFonts w:cs="Arial"/>
                <w:szCs w:val="19"/>
              </w:rPr>
            </w:pPr>
            <w:r w:rsidRPr="00C97006">
              <w:rPr>
                <w:rFonts w:cs="Arial"/>
                <w:sz w:val="16"/>
                <w:szCs w:val="16"/>
              </w:rPr>
              <w:t xml:space="preserve">162mg in 0.9mL prefilled </w:t>
            </w:r>
            <w:r>
              <w:rPr>
                <w:rFonts w:cs="Arial"/>
                <w:sz w:val="16"/>
                <w:szCs w:val="16"/>
              </w:rPr>
              <w:t>s</w:t>
            </w:r>
            <w:r w:rsidRPr="00C97006">
              <w:rPr>
                <w:rFonts w:cs="Arial"/>
                <w:sz w:val="16"/>
                <w:szCs w:val="16"/>
              </w:rPr>
              <w:t>yringe</w:t>
            </w:r>
          </w:p>
        </w:tc>
        <w:tc>
          <w:tcPr>
            <w:tcW w:w="3842" w:type="pct"/>
            <w:shd w:val="clear" w:color="auto" w:fill="auto"/>
            <w:tcMar>
              <w:top w:w="57" w:type="dxa"/>
              <w:left w:w="170" w:type="dxa"/>
              <w:bottom w:w="57" w:type="dxa"/>
              <w:right w:w="170" w:type="dxa"/>
            </w:tcMar>
          </w:tcPr>
          <w:p w14:paraId="08659DC0" w14:textId="7DAE571C" w:rsidR="004B70CD" w:rsidRPr="00BD481D" w:rsidRDefault="004B70CD" w:rsidP="004B70CD">
            <w:pPr>
              <w:tabs>
                <w:tab w:val="center" w:pos="3152"/>
              </w:tabs>
              <w:rPr>
                <w:rFonts w:cs="Arial"/>
                <w:color w:val="000000" w:themeColor="text1"/>
                <w:szCs w:val="19"/>
                <w:lang w:val="en-US"/>
              </w:rPr>
            </w:pPr>
            <w:r w:rsidRPr="00BD481D">
              <w:rPr>
                <w:rFonts w:cs="Arial"/>
                <w:color w:val="000000" w:themeColor="text1"/>
                <w:szCs w:val="19"/>
                <w:lang w:val="en-US"/>
              </w:rPr>
              <w:t>Treatment of severe, active and progressive rheumatoid arthritis (RA) in adults not previously treated with methotrexate (MTX), treatment of moderate to severe active RA in adults who have either responded inadequately to, or who were intolerant to, previous therapy with one or more disease-modifying anti-rheumatic drugs or tumour necrosis factor antagonists, treatment of active systemic juvenile idiopathic arthritis in patients aged ≥1 year who have responded inadequately to previous therapy with NSAIDs and systemic corticosteroids, treatment of juvenile idiopathic polyarthritis in patients aged ≥2 years who have responded inadequately to previous therapy with MTX</w:t>
            </w:r>
            <w:r>
              <w:rPr>
                <w:rFonts w:cs="Arial"/>
                <w:color w:val="000000" w:themeColor="text1"/>
                <w:szCs w:val="19"/>
                <w:lang w:val="en-US"/>
              </w:rPr>
              <w:t xml:space="preserve">, </w:t>
            </w:r>
            <w:r w:rsidRPr="00CC0D65">
              <w:rPr>
                <w:rFonts w:cs="Arial"/>
                <w:color w:val="000000" w:themeColor="text1"/>
                <w:szCs w:val="19"/>
                <w:lang w:val="en-US"/>
              </w:rPr>
              <w:t xml:space="preserve">and treatment of giant cell arteritis in adults </w:t>
            </w:r>
          </w:p>
          <w:p w14:paraId="6D31D48A" w14:textId="3030D0E3" w:rsidR="004B70CD" w:rsidRPr="00CC0D65" w:rsidRDefault="004B70CD" w:rsidP="004B70CD">
            <w:pPr>
              <w:tabs>
                <w:tab w:val="center" w:pos="3152"/>
              </w:tabs>
              <w:rPr>
                <w:rFonts w:cs="Arial"/>
                <w:color w:val="FF0000"/>
                <w:szCs w:val="19"/>
                <w:highlight w:val="yellow"/>
              </w:rPr>
            </w:pPr>
            <w:r w:rsidRPr="00BD481D">
              <w:rPr>
                <w:rFonts w:cs="Arial"/>
                <w:i/>
                <w:iCs/>
                <w:color w:val="000000" w:themeColor="text1"/>
                <w:sz w:val="16"/>
                <w:szCs w:val="16"/>
                <w:lang w:val="en-US"/>
              </w:rPr>
              <w:t>Note: we have shortened the wording of this indication to save space</w:t>
            </w:r>
            <w:r w:rsidRPr="00BD481D">
              <w:rPr>
                <w:rFonts w:cs="Arial"/>
                <w:bCs/>
                <w:i/>
                <w:iCs/>
                <w:color w:val="000000" w:themeColor="text1"/>
                <w:sz w:val="16"/>
                <w:szCs w:val="16"/>
              </w:rPr>
              <w:t xml:space="preserve"> – see </w:t>
            </w:r>
            <w:hyperlink r:id="rId17" w:history="1">
              <w:r w:rsidRPr="00BD481D">
                <w:rPr>
                  <w:rStyle w:val="Hyperlink"/>
                  <w:rFonts w:ascii="Arial" w:hAnsi="Arial" w:cs="Arial"/>
                  <w:bCs/>
                  <w:i/>
                  <w:iCs/>
                  <w:sz w:val="16"/>
                  <w:szCs w:val="16"/>
                </w:rPr>
                <w:t>SmPC</w:t>
              </w:r>
            </w:hyperlink>
            <w:r w:rsidRPr="00BD481D">
              <w:rPr>
                <w:rFonts w:cs="Arial"/>
                <w:bCs/>
                <w:i/>
                <w:iCs/>
                <w:color w:val="000000" w:themeColor="text1"/>
                <w:sz w:val="16"/>
                <w:szCs w:val="16"/>
              </w:rPr>
              <w:t xml:space="preserve"> for full details</w:t>
            </w:r>
          </w:p>
        </w:tc>
      </w:tr>
      <w:tr w:rsidR="004B70CD" w:rsidRPr="00131D4C" w14:paraId="1CAB9354" w14:textId="77777777" w:rsidTr="00FE5305">
        <w:tc>
          <w:tcPr>
            <w:tcW w:w="1158" w:type="pct"/>
            <w:shd w:val="clear" w:color="auto" w:fill="auto"/>
            <w:tcMar>
              <w:top w:w="57" w:type="dxa"/>
              <w:left w:w="170" w:type="dxa"/>
              <w:bottom w:w="57" w:type="dxa"/>
              <w:right w:w="170" w:type="dxa"/>
            </w:tcMar>
          </w:tcPr>
          <w:p w14:paraId="6ADB1309" w14:textId="77777777" w:rsidR="004B70CD" w:rsidRDefault="004B70CD" w:rsidP="004B70CD">
            <w:pPr>
              <w:rPr>
                <w:rFonts w:cs="Arial"/>
                <w:szCs w:val="19"/>
              </w:rPr>
            </w:pPr>
            <w:r>
              <w:rPr>
                <w:rFonts w:cs="Arial"/>
                <w:szCs w:val="19"/>
              </w:rPr>
              <w:t>Tocilizuma</w:t>
            </w:r>
            <w:r w:rsidRPr="003E4E61">
              <w:rPr>
                <w:rFonts w:cs="Arial"/>
                <w:szCs w:val="19"/>
              </w:rPr>
              <w:t>b biosimilar (</w:t>
            </w:r>
            <w:r>
              <w:rPr>
                <w:rFonts w:cs="Arial"/>
                <w:i/>
                <w:iCs/>
                <w:szCs w:val="19"/>
              </w:rPr>
              <w:t>Tyenne</w:t>
            </w:r>
            <w:r>
              <w:rPr>
                <w:rFonts w:cs="Arial"/>
                <w:szCs w:val="19"/>
              </w:rPr>
              <w:t xml:space="preserve">) </w:t>
            </w:r>
          </w:p>
          <w:p w14:paraId="7BEBADDA" w14:textId="672FE1FF" w:rsidR="004B70CD" w:rsidRDefault="004B70CD" w:rsidP="004B70CD">
            <w:pPr>
              <w:rPr>
                <w:rFonts w:cs="Arial"/>
                <w:szCs w:val="19"/>
              </w:rPr>
            </w:pPr>
            <w:r w:rsidRPr="00C97006">
              <w:rPr>
                <w:rFonts w:cs="Arial"/>
                <w:sz w:val="16"/>
                <w:szCs w:val="16"/>
              </w:rPr>
              <w:t>80mg in 4mL, 200mg in 10mL and 400mg in 20mL vials</w:t>
            </w:r>
          </w:p>
        </w:tc>
        <w:tc>
          <w:tcPr>
            <w:tcW w:w="3842" w:type="pct"/>
            <w:shd w:val="clear" w:color="auto" w:fill="auto"/>
            <w:tcMar>
              <w:top w:w="57" w:type="dxa"/>
              <w:left w:w="170" w:type="dxa"/>
              <w:bottom w:w="57" w:type="dxa"/>
              <w:right w:w="170" w:type="dxa"/>
            </w:tcMar>
          </w:tcPr>
          <w:p w14:paraId="40CBD916" w14:textId="4894D264" w:rsidR="004B70CD" w:rsidRPr="000577CB" w:rsidRDefault="004B70CD" w:rsidP="004B70CD">
            <w:pPr>
              <w:tabs>
                <w:tab w:val="center" w:pos="3152"/>
              </w:tabs>
              <w:rPr>
                <w:rFonts w:cs="Arial"/>
                <w:i/>
                <w:iCs/>
                <w:color w:val="000000" w:themeColor="text1"/>
                <w:sz w:val="16"/>
                <w:szCs w:val="19"/>
                <w:lang w:val="en-US"/>
              </w:rPr>
            </w:pPr>
            <w:r w:rsidRPr="000577CB">
              <w:rPr>
                <w:rFonts w:cs="Arial"/>
                <w:color w:val="000000" w:themeColor="text1"/>
                <w:szCs w:val="19"/>
                <w:lang w:val="en-US"/>
              </w:rPr>
              <w:t>Treatment of severe, active and progressive rheumatoid arthritis (RA) in adults not previously treated with methotrexate (MTX), treatment of moderate to severe active RA in adults who have either responded inadequately to, or who were intolerant to, previous therapy with one or more disease-modifying anti-rheumatic drugs or tumour necrosis factor antagonists, treatment of coronavirus disease 2019 (COVID-19) in adults who are receiving systemic corticosteroids and require supplemental oxygen or mechanical ventilation, treatment of active systemic juvenile idiopathic arthritis in patients aged ≥2 years who have responded inadequately to previous therapy with NSAIDs and systemic corticosteroids, treatment of juvenile idiopathic polyarthritis in patients aged ≥2 years who have responded inadequately to previous therapy with MTX, and treatment of chimeric antigen receptor T cell-induced severe or life-threatening cytokine release syndrome in adults and paediatric patients aged ≥2 years</w:t>
            </w:r>
            <w:r w:rsidRPr="000577CB">
              <w:rPr>
                <w:rFonts w:cs="Arial"/>
                <w:i/>
                <w:iCs/>
                <w:color w:val="000000" w:themeColor="text1"/>
                <w:sz w:val="16"/>
                <w:szCs w:val="19"/>
                <w:lang w:val="en-US"/>
              </w:rPr>
              <w:t xml:space="preserve"> </w:t>
            </w:r>
          </w:p>
          <w:p w14:paraId="1B796F32" w14:textId="59A3CE32" w:rsidR="004B70CD" w:rsidRPr="00CC0D65" w:rsidRDefault="004B70CD" w:rsidP="004B70CD">
            <w:pPr>
              <w:tabs>
                <w:tab w:val="center" w:pos="3152"/>
              </w:tabs>
              <w:rPr>
                <w:rFonts w:cs="Arial"/>
                <w:color w:val="FF0000"/>
                <w:szCs w:val="19"/>
                <w:lang w:val="en-US"/>
              </w:rPr>
            </w:pPr>
            <w:r w:rsidRPr="000577CB">
              <w:rPr>
                <w:rFonts w:cs="Arial"/>
                <w:i/>
                <w:iCs/>
                <w:color w:val="000000" w:themeColor="text1"/>
                <w:sz w:val="16"/>
                <w:szCs w:val="16"/>
                <w:lang w:val="en-US"/>
              </w:rPr>
              <w:t>Note: we have shortened the wording of this indication to save space</w:t>
            </w:r>
            <w:r w:rsidRPr="000577CB">
              <w:rPr>
                <w:rFonts w:cs="Arial"/>
                <w:bCs/>
                <w:i/>
                <w:iCs/>
                <w:color w:val="000000" w:themeColor="text1"/>
                <w:sz w:val="16"/>
                <w:szCs w:val="16"/>
              </w:rPr>
              <w:t xml:space="preserve"> – see </w:t>
            </w:r>
            <w:hyperlink r:id="rId18" w:history="1">
              <w:r w:rsidRPr="000577CB">
                <w:rPr>
                  <w:rStyle w:val="Hyperlink"/>
                  <w:rFonts w:ascii="Arial" w:hAnsi="Arial" w:cs="Arial"/>
                  <w:bCs/>
                  <w:i/>
                  <w:iCs/>
                  <w:sz w:val="16"/>
                  <w:szCs w:val="16"/>
                </w:rPr>
                <w:t>SmPC</w:t>
              </w:r>
            </w:hyperlink>
            <w:r w:rsidRPr="000577CB">
              <w:rPr>
                <w:rFonts w:cs="Arial"/>
                <w:bCs/>
                <w:i/>
                <w:iCs/>
                <w:color w:val="000000" w:themeColor="text1"/>
                <w:sz w:val="16"/>
                <w:szCs w:val="16"/>
              </w:rPr>
              <w:t xml:space="preserve"> for full details</w:t>
            </w:r>
          </w:p>
        </w:tc>
      </w:tr>
      <w:tr w:rsidR="004B70CD" w:rsidRPr="00862949" w14:paraId="2B35EF76" w14:textId="77777777" w:rsidTr="003D582F">
        <w:tc>
          <w:tcPr>
            <w:tcW w:w="5000" w:type="pct"/>
            <w:gridSpan w:val="2"/>
            <w:shd w:val="clear" w:color="auto" w:fill="auto"/>
            <w:tcMar>
              <w:top w:w="0" w:type="dxa"/>
              <w:bottom w:w="0" w:type="dxa"/>
            </w:tcMar>
          </w:tcPr>
          <w:p w14:paraId="4906F6C6" w14:textId="77777777" w:rsidR="004B70CD" w:rsidRPr="00862949" w:rsidRDefault="004B70CD" w:rsidP="004B70CD">
            <w:pPr>
              <w:rPr>
                <w:rFonts w:cs="Arial"/>
                <w:b/>
                <w:noProof/>
                <w:sz w:val="8"/>
                <w:szCs w:val="8"/>
              </w:rPr>
            </w:pPr>
          </w:p>
        </w:tc>
      </w:tr>
      <w:tr w:rsidR="004B70CD" w:rsidRPr="00862949" w14:paraId="08305A7F" w14:textId="77777777" w:rsidTr="003D582F">
        <w:tc>
          <w:tcPr>
            <w:tcW w:w="5000" w:type="pct"/>
            <w:gridSpan w:val="2"/>
            <w:shd w:val="clear" w:color="auto" w:fill="DAEEF3"/>
            <w:tcMar>
              <w:top w:w="0" w:type="dxa"/>
              <w:bottom w:w="0" w:type="dxa"/>
            </w:tcMar>
          </w:tcPr>
          <w:p w14:paraId="4F303A10" w14:textId="77777777" w:rsidR="004B70CD" w:rsidRPr="00862949" w:rsidRDefault="004B70CD" w:rsidP="004B70CD">
            <w:pPr>
              <w:rPr>
                <w:rFonts w:cs="Arial"/>
                <w:b/>
                <w:i/>
                <w:noProof/>
                <w:sz w:val="8"/>
                <w:szCs w:val="8"/>
              </w:rPr>
            </w:pPr>
          </w:p>
        </w:tc>
      </w:tr>
    </w:tbl>
    <w:p w14:paraId="174F14F5" w14:textId="129485C1" w:rsidR="00AD2992" w:rsidRDefault="00AD2992" w:rsidP="00EB3E6F">
      <w:pPr>
        <w:tabs>
          <w:tab w:val="left" w:pos="2087"/>
        </w:tabs>
      </w:pPr>
    </w:p>
    <w:p w14:paraId="66DBE559" w14:textId="77777777" w:rsidR="00AD2992" w:rsidRDefault="00AD2992">
      <w:r>
        <w:br w:type="page"/>
      </w:r>
    </w:p>
    <w:p w14:paraId="055114B8" w14:textId="77777777" w:rsidR="00157A80" w:rsidRDefault="00157A80" w:rsidP="00EB3E6F">
      <w:pPr>
        <w:tabs>
          <w:tab w:val="left" w:pos="2087"/>
        </w:tabs>
      </w:pPr>
    </w:p>
    <w:tbl>
      <w:tblPr>
        <w:tblW w:w="5170" w:type="pct"/>
        <w:tblInd w:w="-176" w:type="dxa"/>
        <w:tblLayout w:type="fixed"/>
        <w:tblLook w:val="01E0" w:firstRow="1" w:lastRow="1" w:firstColumn="1" w:lastColumn="1" w:noHBand="0" w:noVBand="0"/>
      </w:tblPr>
      <w:tblGrid>
        <w:gridCol w:w="2444"/>
        <w:gridCol w:w="8107"/>
      </w:tblGrid>
      <w:tr w:rsidR="00AD2992" w:rsidRPr="00862949" w14:paraId="641D8840" w14:textId="77777777" w:rsidTr="002F020B">
        <w:tc>
          <w:tcPr>
            <w:tcW w:w="5000" w:type="pct"/>
            <w:gridSpan w:val="2"/>
            <w:shd w:val="clear" w:color="auto" w:fill="0070C0"/>
            <w:tcMar>
              <w:top w:w="85" w:type="dxa"/>
              <w:bottom w:w="85" w:type="dxa"/>
            </w:tcMar>
            <w:vAlign w:val="bottom"/>
          </w:tcPr>
          <w:p w14:paraId="5B298D45" w14:textId="77777777" w:rsidR="00AD2992" w:rsidRPr="00862949" w:rsidRDefault="00AD2992" w:rsidP="002F020B">
            <w:pPr>
              <w:rPr>
                <w:rFonts w:cs="Arial"/>
                <w:color w:val="FFFFFF"/>
                <w:sz w:val="15"/>
                <w:szCs w:val="15"/>
              </w:rPr>
            </w:pPr>
            <w:r>
              <w:rPr>
                <w:rFonts w:cs="Arial"/>
                <w:b/>
                <w:bCs/>
                <w:iCs/>
                <w:color w:val="FFFFFF"/>
                <w:sz w:val="28"/>
                <w:szCs w:val="28"/>
                <w:lang w:val="en-US"/>
              </w:rPr>
              <w:t>New product information</w:t>
            </w:r>
            <w:r w:rsidRPr="00862949">
              <w:rPr>
                <w:rFonts w:cs="Arial"/>
                <w:b/>
                <w:bCs/>
                <w:iCs/>
                <w:color w:val="FFFFFF"/>
                <w:sz w:val="28"/>
                <w:szCs w:val="28"/>
                <w:lang w:val="en-US"/>
              </w:rPr>
              <w:tab/>
            </w:r>
          </w:p>
        </w:tc>
      </w:tr>
      <w:tr w:rsidR="00AD2992" w:rsidRPr="00862949" w14:paraId="299A81C0" w14:textId="77777777" w:rsidTr="002F020B">
        <w:tc>
          <w:tcPr>
            <w:tcW w:w="5000" w:type="pct"/>
            <w:gridSpan w:val="2"/>
            <w:shd w:val="clear" w:color="auto" w:fill="DAEEF3"/>
            <w:tcMar>
              <w:top w:w="0" w:type="dxa"/>
              <w:bottom w:w="0" w:type="dxa"/>
            </w:tcMar>
          </w:tcPr>
          <w:p w14:paraId="5C00E693" w14:textId="77777777" w:rsidR="00AD2992" w:rsidRPr="00862949" w:rsidRDefault="00AD2992" w:rsidP="002F020B">
            <w:pPr>
              <w:rPr>
                <w:rFonts w:cs="Arial"/>
                <w:b/>
                <w:bCs/>
                <w:i/>
                <w:iCs/>
                <w:color w:val="000000"/>
                <w:sz w:val="8"/>
                <w:szCs w:val="8"/>
                <w:lang w:val="en-US"/>
              </w:rPr>
            </w:pPr>
          </w:p>
        </w:tc>
      </w:tr>
      <w:tr w:rsidR="00AD2992" w:rsidRPr="00862949" w14:paraId="1F68D58D" w14:textId="77777777" w:rsidTr="002F020B">
        <w:tc>
          <w:tcPr>
            <w:tcW w:w="5000" w:type="pct"/>
            <w:gridSpan w:val="2"/>
            <w:shd w:val="clear" w:color="auto" w:fill="00B050"/>
            <w:tcMar>
              <w:top w:w="57" w:type="dxa"/>
              <w:bottom w:w="57" w:type="dxa"/>
            </w:tcMar>
          </w:tcPr>
          <w:p w14:paraId="27706F41" w14:textId="77777777" w:rsidR="00AD2992" w:rsidRPr="00433D3E" w:rsidRDefault="00AD2992" w:rsidP="002F020B">
            <w:pPr>
              <w:rPr>
                <w:rFonts w:cs="Arial"/>
                <w:color w:val="FFFFFF"/>
                <w:sz w:val="20"/>
                <w:szCs w:val="20"/>
              </w:rPr>
            </w:pPr>
            <w:r w:rsidRPr="00433D3E">
              <w:rPr>
                <w:rFonts w:cs="Arial"/>
                <w:b/>
                <w:bCs/>
                <w:i/>
                <w:iCs/>
                <w:color w:val="FFFFFF"/>
                <w:sz w:val="22"/>
                <w:szCs w:val="20"/>
                <w:lang w:val="en-US"/>
              </w:rPr>
              <w:t>Launched in the UK (or licence change for existing products)</w:t>
            </w:r>
            <w:r>
              <w:rPr>
                <w:rFonts w:cs="Arial"/>
                <w:b/>
                <w:bCs/>
                <w:i/>
                <w:iCs/>
                <w:color w:val="FFFFFF"/>
                <w:sz w:val="22"/>
                <w:szCs w:val="20"/>
                <w:lang w:val="en-US"/>
              </w:rPr>
              <w:t xml:space="preserve"> </w:t>
            </w:r>
            <w:r w:rsidRPr="00810288">
              <w:rPr>
                <w:rFonts w:cs="Arial"/>
                <w:b/>
                <w:bCs/>
                <w:color w:val="FFFFFF"/>
                <w:sz w:val="16"/>
                <w:szCs w:val="14"/>
                <w:lang w:val="en-US"/>
              </w:rPr>
              <w:t>(continued)</w:t>
            </w:r>
          </w:p>
        </w:tc>
      </w:tr>
      <w:tr w:rsidR="00AD2992" w:rsidRPr="00131D4C" w14:paraId="70287A54" w14:textId="77777777" w:rsidTr="002F020B">
        <w:tc>
          <w:tcPr>
            <w:tcW w:w="1158" w:type="pct"/>
            <w:shd w:val="clear" w:color="auto" w:fill="auto"/>
            <w:tcMar>
              <w:top w:w="57" w:type="dxa"/>
              <w:left w:w="170" w:type="dxa"/>
              <w:bottom w:w="57" w:type="dxa"/>
              <w:right w:w="170" w:type="dxa"/>
            </w:tcMar>
          </w:tcPr>
          <w:p w14:paraId="4679E5E8" w14:textId="77777777" w:rsidR="00AD2992" w:rsidRDefault="00AD2992" w:rsidP="002F020B">
            <w:pPr>
              <w:rPr>
                <w:rFonts w:cs="Arial"/>
                <w:szCs w:val="19"/>
              </w:rPr>
            </w:pPr>
            <w:r>
              <w:rPr>
                <w:rFonts w:cs="Arial"/>
                <w:szCs w:val="19"/>
              </w:rPr>
              <w:t>Tralokinumab (</w:t>
            </w:r>
            <w:r w:rsidRPr="002A40F5">
              <w:rPr>
                <w:rFonts w:cs="Arial"/>
                <w:i/>
                <w:iCs/>
                <w:szCs w:val="19"/>
              </w:rPr>
              <w:t>Adtralza</w:t>
            </w:r>
            <w:r>
              <w:rPr>
                <w:rFonts w:cs="Arial"/>
                <w:szCs w:val="19"/>
              </w:rPr>
              <w:t>)</w:t>
            </w:r>
          </w:p>
          <w:p w14:paraId="4D75BC8A" w14:textId="77777777" w:rsidR="00AD2992" w:rsidRPr="000D2A46" w:rsidRDefault="00AD2992" w:rsidP="002F020B">
            <w:pPr>
              <w:rPr>
                <w:rFonts w:cs="Arial"/>
                <w:szCs w:val="19"/>
              </w:rPr>
            </w:pPr>
            <w:r w:rsidRPr="002A40F5">
              <w:rPr>
                <w:rFonts w:cs="Arial"/>
                <w:sz w:val="16"/>
                <w:szCs w:val="16"/>
              </w:rPr>
              <w:t>300mg in 2mL prefilled pen</w:t>
            </w:r>
          </w:p>
        </w:tc>
        <w:tc>
          <w:tcPr>
            <w:tcW w:w="3842" w:type="pct"/>
            <w:shd w:val="clear" w:color="auto" w:fill="auto"/>
            <w:tcMar>
              <w:top w:w="57" w:type="dxa"/>
              <w:left w:w="170" w:type="dxa"/>
              <w:bottom w:w="57" w:type="dxa"/>
              <w:right w:w="170" w:type="dxa"/>
            </w:tcMar>
          </w:tcPr>
          <w:p w14:paraId="38CECA02" w14:textId="77777777" w:rsidR="00AD2992" w:rsidRPr="000D2A46" w:rsidRDefault="00AD2992" w:rsidP="002F020B">
            <w:pPr>
              <w:tabs>
                <w:tab w:val="center" w:pos="3152"/>
              </w:tabs>
              <w:rPr>
                <w:rFonts w:cs="Arial"/>
                <w:szCs w:val="19"/>
              </w:rPr>
            </w:pPr>
            <w:r w:rsidRPr="002A40F5">
              <w:rPr>
                <w:rFonts w:cs="Arial"/>
                <w:szCs w:val="19"/>
                <w:lang w:val="en-US"/>
              </w:rPr>
              <w:t xml:space="preserve">Treatment of moderate-to-severe atopic dermatitis in adult and adolescent patients </w:t>
            </w:r>
            <w:r>
              <w:rPr>
                <w:rFonts w:cs="Arial"/>
                <w:szCs w:val="19"/>
                <w:lang w:val="en-US"/>
              </w:rPr>
              <w:t>aged ≥</w:t>
            </w:r>
            <w:r w:rsidRPr="002A40F5">
              <w:rPr>
                <w:rFonts w:cs="Arial"/>
                <w:szCs w:val="19"/>
                <w:lang w:val="en-US"/>
              </w:rPr>
              <w:t>12 years who are candidates for systemic therapy</w:t>
            </w:r>
            <w:r>
              <w:rPr>
                <w:rFonts w:cs="Arial"/>
                <w:szCs w:val="19"/>
                <w:lang w:val="en-US"/>
              </w:rPr>
              <w:t xml:space="preserve"> </w:t>
            </w:r>
            <w:r w:rsidRPr="002A40F5">
              <w:rPr>
                <w:rFonts w:cs="Arial"/>
                <w:sz w:val="16"/>
                <w:szCs w:val="16"/>
                <w:lang w:val="en-US"/>
              </w:rPr>
              <w:t>[new formulation]</w:t>
            </w:r>
          </w:p>
        </w:tc>
      </w:tr>
      <w:tr w:rsidR="00AD2992" w:rsidRPr="00131D4C" w14:paraId="079E4BF9" w14:textId="77777777" w:rsidTr="002F020B">
        <w:tc>
          <w:tcPr>
            <w:tcW w:w="1158" w:type="pct"/>
            <w:shd w:val="clear" w:color="auto" w:fill="auto"/>
            <w:tcMar>
              <w:top w:w="57" w:type="dxa"/>
              <w:left w:w="170" w:type="dxa"/>
              <w:bottom w:w="57" w:type="dxa"/>
              <w:right w:w="170" w:type="dxa"/>
            </w:tcMar>
          </w:tcPr>
          <w:p w14:paraId="5BE9CCEB" w14:textId="77777777" w:rsidR="00AD2992" w:rsidRDefault="00AD2992" w:rsidP="002F020B">
            <w:pPr>
              <w:rPr>
                <w:rFonts w:cs="Arial"/>
                <w:szCs w:val="19"/>
              </w:rPr>
            </w:pPr>
            <w:proofErr w:type="spellStart"/>
            <w:r w:rsidRPr="00A978CA">
              <w:rPr>
                <w:rFonts w:cs="Arial"/>
                <w:szCs w:val="19"/>
              </w:rPr>
              <w:t>Tremelimumab</w:t>
            </w:r>
            <w:proofErr w:type="spellEnd"/>
            <w:r>
              <w:rPr>
                <w:rFonts w:cs="Arial"/>
                <w:szCs w:val="19"/>
              </w:rPr>
              <w:t xml:space="preserve"> (</w:t>
            </w:r>
            <w:proofErr w:type="spellStart"/>
            <w:r>
              <w:rPr>
                <w:rFonts w:cs="Arial"/>
                <w:i/>
                <w:iCs/>
                <w:szCs w:val="19"/>
              </w:rPr>
              <w:t>Imjudo</w:t>
            </w:r>
            <w:proofErr w:type="spellEnd"/>
            <w:r>
              <w:rPr>
                <w:rFonts w:cs="Arial"/>
                <w:szCs w:val="19"/>
              </w:rPr>
              <w:t>)</w:t>
            </w:r>
          </w:p>
          <w:p w14:paraId="33673C7F" w14:textId="77777777" w:rsidR="00AD2992" w:rsidRPr="00A978CA" w:rsidRDefault="00AD2992" w:rsidP="002F020B">
            <w:pPr>
              <w:rPr>
                <w:rFonts w:cs="Arial"/>
                <w:szCs w:val="19"/>
              </w:rPr>
            </w:pPr>
            <w:r w:rsidRPr="00A978CA">
              <w:rPr>
                <w:rFonts w:cs="Arial"/>
                <w:sz w:val="16"/>
                <w:szCs w:val="16"/>
              </w:rPr>
              <w:t>25mg in 1.25mL vial and 300mg in 15mL vial</w:t>
            </w:r>
          </w:p>
        </w:tc>
        <w:tc>
          <w:tcPr>
            <w:tcW w:w="3842" w:type="pct"/>
            <w:shd w:val="clear" w:color="auto" w:fill="auto"/>
            <w:tcMar>
              <w:top w:w="57" w:type="dxa"/>
              <w:left w:w="170" w:type="dxa"/>
              <w:bottom w:w="57" w:type="dxa"/>
              <w:right w:w="170" w:type="dxa"/>
            </w:tcMar>
          </w:tcPr>
          <w:p w14:paraId="1A88A7E9" w14:textId="38867DE3" w:rsidR="00AD2992" w:rsidRDefault="00AD2992" w:rsidP="002F020B">
            <w:pPr>
              <w:tabs>
                <w:tab w:val="center" w:pos="3152"/>
              </w:tabs>
              <w:rPr>
                <w:rFonts w:cs="Arial"/>
                <w:szCs w:val="19"/>
                <w:lang w:val="en-US"/>
              </w:rPr>
            </w:pPr>
            <w:r>
              <w:rPr>
                <w:rFonts w:cs="Arial"/>
                <w:szCs w:val="19"/>
                <w:lang w:val="en-US"/>
              </w:rPr>
              <w:t xml:space="preserve">Use </w:t>
            </w:r>
            <w:r w:rsidRPr="00A978CA">
              <w:rPr>
                <w:rFonts w:cs="Arial"/>
                <w:szCs w:val="19"/>
                <w:lang w:val="en-US"/>
              </w:rPr>
              <w:t>in combination with durvalumab for the first</w:t>
            </w:r>
            <w:r w:rsidR="00B00BDE">
              <w:rPr>
                <w:rFonts w:cs="Arial"/>
                <w:szCs w:val="19"/>
                <w:lang w:val="en-US"/>
              </w:rPr>
              <w:t>-</w:t>
            </w:r>
            <w:r w:rsidRPr="00A978CA">
              <w:rPr>
                <w:rFonts w:cs="Arial"/>
                <w:szCs w:val="19"/>
                <w:lang w:val="en-US"/>
              </w:rPr>
              <w:t>line treatment of adults with advanced or unresectable hepatocellular carcinoma</w:t>
            </w:r>
          </w:p>
        </w:tc>
      </w:tr>
      <w:tr w:rsidR="00AD2992" w:rsidRPr="00131D4C" w14:paraId="5B45C8E9" w14:textId="77777777" w:rsidTr="002F020B">
        <w:tc>
          <w:tcPr>
            <w:tcW w:w="1158" w:type="pct"/>
            <w:shd w:val="clear" w:color="auto" w:fill="auto"/>
            <w:tcMar>
              <w:top w:w="57" w:type="dxa"/>
              <w:left w:w="170" w:type="dxa"/>
              <w:bottom w:w="57" w:type="dxa"/>
              <w:right w:w="170" w:type="dxa"/>
            </w:tcMar>
          </w:tcPr>
          <w:p w14:paraId="5ED53705" w14:textId="77777777" w:rsidR="00AD2992" w:rsidRDefault="00AD2992" w:rsidP="002F020B">
            <w:pPr>
              <w:rPr>
                <w:rFonts w:cs="Arial"/>
                <w:szCs w:val="19"/>
              </w:rPr>
            </w:pPr>
            <w:r w:rsidRPr="00E1488A">
              <w:rPr>
                <w:rFonts w:cs="Arial"/>
                <w:szCs w:val="19"/>
              </w:rPr>
              <w:t>Zanubrutinib</w:t>
            </w:r>
            <w:r>
              <w:rPr>
                <w:rFonts w:cs="Arial"/>
                <w:szCs w:val="19"/>
              </w:rPr>
              <w:t xml:space="preserve"> (</w:t>
            </w:r>
            <w:proofErr w:type="spellStart"/>
            <w:r>
              <w:rPr>
                <w:rFonts w:cs="Arial"/>
                <w:i/>
                <w:iCs/>
                <w:szCs w:val="19"/>
              </w:rPr>
              <w:t>Brukinsa</w:t>
            </w:r>
            <w:proofErr w:type="spellEnd"/>
            <w:r>
              <w:rPr>
                <w:rFonts w:cs="Arial"/>
                <w:szCs w:val="19"/>
              </w:rPr>
              <w:t xml:space="preserve">) </w:t>
            </w:r>
            <w:r w:rsidRPr="00287CCB">
              <w:rPr>
                <w:rFonts w:cs="Arial"/>
                <w:sz w:val="16"/>
                <w:szCs w:val="16"/>
              </w:rPr>
              <w:t>80mg capsule</w:t>
            </w:r>
          </w:p>
        </w:tc>
        <w:tc>
          <w:tcPr>
            <w:tcW w:w="3842" w:type="pct"/>
            <w:shd w:val="clear" w:color="auto" w:fill="auto"/>
            <w:tcMar>
              <w:top w:w="57" w:type="dxa"/>
              <w:left w:w="170" w:type="dxa"/>
              <w:bottom w:w="57" w:type="dxa"/>
              <w:right w:w="170" w:type="dxa"/>
            </w:tcMar>
          </w:tcPr>
          <w:p w14:paraId="34AC910F" w14:textId="77777777" w:rsidR="00AD2992" w:rsidRDefault="00AD2992" w:rsidP="002F020B">
            <w:pPr>
              <w:tabs>
                <w:tab w:val="center" w:pos="3152"/>
              </w:tabs>
              <w:rPr>
                <w:rFonts w:cs="Arial"/>
                <w:szCs w:val="19"/>
                <w:lang w:val="en-US"/>
              </w:rPr>
            </w:pPr>
            <w:r>
              <w:rPr>
                <w:rFonts w:cs="Arial"/>
                <w:szCs w:val="19"/>
                <w:lang w:val="en-US"/>
              </w:rPr>
              <w:t xml:space="preserve">Use </w:t>
            </w:r>
            <w:r w:rsidRPr="00E1488A">
              <w:rPr>
                <w:rFonts w:cs="Arial"/>
                <w:szCs w:val="19"/>
                <w:lang w:val="en-US"/>
              </w:rPr>
              <w:t xml:space="preserve">in </w:t>
            </w:r>
            <w:r>
              <w:rPr>
                <w:rFonts w:cs="Arial"/>
                <w:szCs w:val="19"/>
                <w:lang w:val="en-US"/>
              </w:rPr>
              <w:t>combinatio</w:t>
            </w:r>
            <w:r w:rsidRPr="00E1488A">
              <w:rPr>
                <w:rFonts w:cs="Arial"/>
                <w:szCs w:val="19"/>
                <w:lang w:val="en-US"/>
              </w:rPr>
              <w:t>n with obinutuzumab for the treatment of adults with refractory or relapsed follicular lymphoma who have received at least two prior systemic therapies</w:t>
            </w:r>
            <w:r>
              <w:rPr>
                <w:rFonts w:cs="Arial"/>
                <w:szCs w:val="19"/>
                <w:lang w:val="en-US"/>
              </w:rPr>
              <w:t xml:space="preserve"> </w:t>
            </w:r>
            <w:r w:rsidRPr="00E1488A">
              <w:rPr>
                <w:rFonts w:cs="Arial"/>
                <w:sz w:val="16"/>
                <w:szCs w:val="16"/>
                <w:lang w:val="en-US"/>
              </w:rPr>
              <w:t>[new indication]</w:t>
            </w:r>
          </w:p>
        </w:tc>
      </w:tr>
      <w:tr w:rsidR="00AD2992" w:rsidRPr="00862949" w14:paraId="79D85925" w14:textId="77777777" w:rsidTr="002F020B">
        <w:tc>
          <w:tcPr>
            <w:tcW w:w="5000" w:type="pct"/>
            <w:gridSpan w:val="2"/>
            <w:shd w:val="clear" w:color="auto" w:fill="auto"/>
            <w:tcMar>
              <w:top w:w="0" w:type="dxa"/>
              <w:bottom w:w="0" w:type="dxa"/>
            </w:tcMar>
          </w:tcPr>
          <w:p w14:paraId="1F397208" w14:textId="77777777" w:rsidR="00AD2992" w:rsidRPr="00862949" w:rsidRDefault="00AD2992" w:rsidP="002F020B">
            <w:pPr>
              <w:rPr>
                <w:rFonts w:cs="Arial"/>
                <w:b/>
                <w:noProof/>
                <w:sz w:val="8"/>
                <w:szCs w:val="8"/>
              </w:rPr>
            </w:pPr>
          </w:p>
        </w:tc>
      </w:tr>
      <w:tr w:rsidR="00AD2992" w:rsidRPr="00862949" w14:paraId="7D506919" w14:textId="77777777" w:rsidTr="002F020B">
        <w:tc>
          <w:tcPr>
            <w:tcW w:w="5000" w:type="pct"/>
            <w:gridSpan w:val="2"/>
            <w:shd w:val="clear" w:color="auto" w:fill="DAEEF3"/>
            <w:tcMar>
              <w:top w:w="0" w:type="dxa"/>
              <w:bottom w:w="0" w:type="dxa"/>
            </w:tcMar>
          </w:tcPr>
          <w:p w14:paraId="7BE0E224" w14:textId="77777777" w:rsidR="00AD2992" w:rsidRPr="00862949" w:rsidRDefault="00AD2992" w:rsidP="002F020B">
            <w:pPr>
              <w:rPr>
                <w:rFonts w:cs="Arial"/>
                <w:b/>
                <w:i/>
                <w:noProof/>
                <w:sz w:val="8"/>
                <w:szCs w:val="8"/>
              </w:rPr>
            </w:pPr>
          </w:p>
        </w:tc>
      </w:tr>
    </w:tbl>
    <w:p w14:paraId="6E92205E" w14:textId="77777777" w:rsidR="00157A80" w:rsidRDefault="00157A80" w:rsidP="00EB3E6F">
      <w:pPr>
        <w:tabs>
          <w:tab w:val="left" w:pos="2087"/>
        </w:tabs>
      </w:pPr>
    </w:p>
    <w:p w14:paraId="1230EA54" w14:textId="77777777" w:rsidR="002C3BD1" w:rsidRDefault="002C3BD1" w:rsidP="00EB3E6F">
      <w:pPr>
        <w:tabs>
          <w:tab w:val="left" w:pos="2087"/>
        </w:tabs>
      </w:pPr>
    </w:p>
    <w:p w14:paraId="2E2AFF82" w14:textId="4FE3BB38" w:rsidR="00A81694" w:rsidRDefault="00EB3E6F" w:rsidP="00EB3E6F">
      <w:pPr>
        <w:tabs>
          <w:tab w:val="left" w:pos="2087"/>
        </w:tabs>
      </w:pPr>
      <w:r>
        <w:tab/>
      </w:r>
    </w:p>
    <w:tbl>
      <w:tblPr>
        <w:tblW w:w="5170" w:type="pct"/>
        <w:tblInd w:w="-176" w:type="dxa"/>
        <w:tblLayout w:type="fixed"/>
        <w:tblLook w:val="01E0" w:firstRow="1" w:lastRow="1" w:firstColumn="1" w:lastColumn="1" w:noHBand="0" w:noVBand="0"/>
      </w:tblPr>
      <w:tblGrid>
        <w:gridCol w:w="2585"/>
        <w:gridCol w:w="7966"/>
      </w:tblGrid>
      <w:tr w:rsidR="005A7E09" w:rsidRPr="00862949" w14:paraId="004C430B" w14:textId="77777777" w:rsidTr="005A7E09">
        <w:tc>
          <w:tcPr>
            <w:tcW w:w="5000" w:type="pct"/>
            <w:gridSpan w:val="2"/>
            <w:shd w:val="clear" w:color="auto" w:fill="0070C0"/>
            <w:tcMar>
              <w:top w:w="85" w:type="dxa"/>
              <w:bottom w:w="85" w:type="dxa"/>
            </w:tcMar>
            <w:vAlign w:val="bottom"/>
          </w:tcPr>
          <w:p w14:paraId="4298F06C" w14:textId="77777777" w:rsidR="005A7E09" w:rsidRPr="00862949" w:rsidRDefault="005A7E09" w:rsidP="005A7E09">
            <w:pPr>
              <w:rPr>
                <w:rFonts w:cs="Arial"/>
                <w:color w:val="FFFFFF"/>
                <w:sz w:val="15"/>
                <w:szCs w:val="15"/>
              </w:rPr>
            </w:pPr>
            <w:r w:rsidRPr="00862949">
              <w:rPr>
                <w:rFonts w:cs="Arial"/>
                <w:b/>
                <w:bCs/>
                <w:iCs/>
                <w:color w:val="FFFFFF"/>
                <w:sz w:val="28"/>
                <w:szCs w:val="28"/>
                <w:lang w:val="en-US"/>
              </w:rPr>
              <w:t xml:space="preserve">Regulatory changes in the </w:t>
            </w:r>
            <w:r w:rsidR="00AA1F49">
              <w:rPr>
                <w:rFonts w:cs="Arial"/>
                <w:b/>
                <w:bCs/>
                <w:iCs/>
                <w:color w:val="FFFFFF"/>
                <w:sz w:val="28"/>
                <w:szCs w:val="28"/>
                <w:lang w:val="en-US"/>
              </w:rPr>
              <w:t xml:space="preserve">UK or </w:t>
            </w:r>
            <w:r w:rsidRPr="00862949">
              <w:rPr>
                <w:rFonts w:cs="Arial"/>
                <w:b/>
                <w:bCs/>
                <w:iCs/>
                <w:color w:val="FFFFFF"/>
                <w:sz w:val="28"/>
                <w:szCs w:val="28"/>
                <w:lang w:val="en-US"/>
              </w:rPr>
              <w:t>EU</w:t>
            </w:r>
            <w:r w:rsidRPr="00862949">
              <w:rPr>
                <w:rFonts w:cs="Arial"/>
                <w:b/>
                <w:bCs/>
                <w:iCs/>
                <w:color w:val="FFFFFF"/>
                <w:sz w:val="28"/>
                <w:szCs w:val="28"/>
                <w:lang w:val="en-US"/>
              </w:rPr>
              <w:tab/>
            </w:r>
          </w:p>
        </w:tc>
      </w:tr>
      <w:tr w:rsidR="005A7E09" w:rsidRPr="00862949" w14:paraId="16926741" w14:textId="77777777" w:rsidTr="005A7E09">
        <w:tc>
          <w:tcPr>
            <w:tcW w:w="5000" w:type="pct"/>
            <w:gridSpan w:val="2"/>
            <w:shd w:val="clear" w:color="auto" w:fill="DAEEF3"/>
            <w:tcMar>
              <w:top w:w="0" w:type="dxa"/>
              <w:bottom w:w="0" w:type="dxa"/>
            </w:tcMar>
          </w:tcPr>
          <w:p w14:paraId="08B4AE61" w14:textId="77777777" w:rsidR="005A7E09" w:rsidRPr="00862949" w:rsidRDefault="005A7E09" w:rsidP="005A7E09">
            <w:pPr>
              <w:rPr>
                <w:rFonts w:cs="Arial"/>
                <w:b/>
                <w:bCs/>
                <w:i/>
                <w:iCs/>
                <w:color w:val="000000"/>
                <w:sz w:val="8"/>
                <w:szCs w:val="8"/>
                <w:lang w:val="en-US"/>
              </w:rPr>
            </w:pPr>
          </w:p>
        </w:tc>
      </w:tr>
      <w:tr w:rsidR="005A7E09" w:rsidRPr="00862949" w14:paraId="711CFB7A" w14:textId="77777777" w:rsidTr="005A7E09">
        <w:tc>
          <w:tcPr>
            <w:tcW w:w="5000" w:type="pct"/>
            <w:gridSpan w:val="2"/>
            <w:shd w:val="clear" w:color="auto" w:fill="00B050"/>
            <w:tcMar>
              <w:top w:w="57" w:type="dxa"/>
              <w:bottom w:w="57" w:type="dxa"/>
            </w:tcMar>
          </w:tcPr>
          <w:p w14:paraId="098FEA52" w14:textId="77777777" w:rsidR="005A7E09" w:rsidRPr="00433D3E" w:rsidRDefault="005A7E09" w:rsidP="00EB3E6F">
            <w:pPr>
              <w:rPr>
                <w:rFonts w:cs="Arial"/>
                <w:color w:val="FFFFFF"/>
                <w:sz w:val="20"/>
                <w:szCs w:val="20"/>
              </w:rPr>
            </w:pPr>
            <w:r w:rsidRPr="00433D3E">
              <w:rPr>
                <w:rFonts w:cs="Arial"/>
                <w:b/>
                <w:bCs/>
                <w:i/>
                <w:iCs/>
                <w:color w:val="FFFFFF"/>
                <w:sz w:val="22"/>
                <w:szCs w:val="20"/>
                <w:lang w:val="en-US"/>
              </w:rPr>
              <w:t xml:space="preserve">Approved in the </w:t>
            </w:r>
            <w:r w:rsidR="0048777D">
              <w:rPr>
                <w:rFonts w:cs="Arial"/>
                <w:b/>
                <w:bCs/>
                <w:i/>
                <w:iCs/>
                <w:color w:val="FFFFFF"/>
                <w:sz w:val="22"/>
                <w:szCs w:val="20"/>
                <w:lang w:val="en-US"/>
              </w:rPr>
              <w:t>UK</w:t>
            </w:r>
          </w:p>
        </w:tc>
      </w:tr>
      <w:tr w:rsidR="007816CA" w14:paraId="54680A0C" w14:textId="77777777" w:rsidTr="00FE5305">
        <w:tc>
          <w:tcPr>
            <w:tcW w:w="1225" w:type="pct"/>
            <w:shd w:val="clear" w:color="auto" w:fill="auto"/>
            <w:tcMar>
              <w:top w:w="57" w:type="dxa"/>
              <w:bottom w:w="57" w:type="dxa"/>
            </w:tcMar>
          </w:tcPr>
          <w:p w14:paraId="76A0A9E4" w14:textId="4B4C3079" w:rsidR="007816CA" w:rsidRPr="002B10C1" w:rsidRDefault="007816CA" w:rsidP="007816CA">
            <w:pPr>
              <w:rPr>
                <w:rFonts w:cs="Arial"/>
                <w:szCs w:val="19"/>
              </w:rPr>
            </w:pPr>
            <w:proofErr w:type="spellStart"/>
            <w:r w:rsidRPr="0094096E">
              <w:rPr>
                <w:rFonts w:cs="Arial"/>
                <w:szCs w:val="19"/>
              </w:rPr>
              <w:t>Crisantaspase</w:t>
            </w:r>
            <w:proofErr w:type="spellEnd"/>
            <w:r>
              <w:rPr>
                <w:rFonts w:cs="Arial"/>
                <w:szCs w:val="19"/>
              </w:rPr>
              <w:t xml:space="preserve"> (</w:t>
            </w:r>
            <w:proofErr w:type="spellStart"/>
            <w:r w:rsidRPr="0094096E">
              <w:rPr>
                <w:rFonts w:cs="Arial"/>
                <w:i/>
                <w:iCs/>
                <w:szCs w:val="19"/>
              </w:rPr>
              <w:t>Enrylaze</w:t>
            </w:r>
            <w:proofErr w:type="spellEnd"/>
            <w:r>
              <w:rPr>
                <w:rFonts w:cs="Arial"/>
                <w:szCs w:val="19"/>
              </w:rPr>
              <w:t xml:space="preserve">) </w:t>
            </w:r>
            <w:r w:rsidRPr="00AA27CC">
              <w:rPr>
                <w:rFonts w:cs="Arial"/>
                <w:sz w:val="16"/>
                <w:szCs w:val="16"/>
              </w:rPr>
              <w:t>10mg in 0.5mL vial</w:t>
            </w:r>
          </w:p>
        </w:tc>
        <w:tc>
          <w:tcPr>
            <w:tcW w:w="3775" w:type="pct"/>
            <w:shd w:val="clear" w:color="auto" w:fill="auto"/>
            <w:tcMar>
              <w:top w:w="57" w:type="dxa"/>
              <w:bottom w:w="57" w:type="dxa"/>
            </w:tcMar>
          </w:tcPr>
          <w:p w14:paraId="0CA2962E" w14:textId="44EC6F8B" w:rsidR="007816CA" w:rsidRDefault="007816CA" w:rsidP="007816CA">
            <w:pPr>
              <w:tabs>
                <w:tab w:val="center" w:pos="3152"/>
              </w:tabs>
              <w:rPr>
                <w:rFonts w:cs="Arial"/>
                <w:sz w:val="18"/>
                <w:szCs w:val="18"/>
                <w:lang w:val="en-US"/>
              </w:rPr>
            </w:pPr>
            <w:r w:rsidRPr="0094096E">
              <w:rPr>
                <w:rFonts w:cs="Arial"/>
                <w:szCs w:val="19"/>
                <w:lang w:val="en-US"/>
              </w:rPr>
              <w:t xml:space="preserve">Use as a component of a multi-agent chemotherapeutic regimen for the treatment of acute lymphoblastic leukaemia and lymphoblastic lymphoma in adult and paediatric patients </w:t>
            </w:r>
            <w:r>
              <w:rPr>
                <w:rFonts w:cs="Arial"/>
                <w:szCs w:val="19"/>
                <w:lang w:val="en-US"/>
              </w:rPr>
              <w:t>aged ≥</w:t>
            </w:r>
            <w:r w:rsidRPr="0094096E">
              <w:rPr>
                <w:rFonts w:cs="Arial"/>
                <w:szCs w:val="19"/>
                <w:lang w:val="en-US"/>
              </w:rPr>
              <w:t xml:space="preserve">1 month who developed hypersensitivity or silent inactivation to </w:t>
            </w:r>
            <w:r w:rsidRPr="0094096E">
              <w:rPr>
                <w:rFonts w:cs="Arial"/>
                <w:i/>
                <w:iCs/>
                <w:szCs w:val="19"/>
                <w:lang w:val="en-US"/>
              </w:rPr>
              <w:t>E. coli</w:t>
            </w:r>
            <w:r w:rsidRPr="0094096E">
              <w:rPr>
                <w:rFonts w:cs="Arial"/>
                <w:szCs w:val="19"/>
                <w:lang w:val="en-US"/>
              </w:rPr>
              <w:t>-derived asparaginase</w:t>
            </w:r>
          </w:p>
        </w:tc>
      </w:tr>
      <w:tr w:rsidR="00FE5305" w14:paraId="0BE9B9E3" w14:textId="77777777" w:rsidTr="00FE5305">
        <w:tc>
          <w:tcPr>
            <w:tcW w:w="1225" w:type="pct"/>
            <w:shd w:val="clear" w:color="auto" w:fill="auto"/>
            <w:tcMar>
              <w:top w:w="57" w:type="dxa"/>
              <w:bottom w:w="57" w:type="dxa"/>
            </w:tcMar>
          </w:tcPr>
          <w:p w14:paraId="1EB1FB7F" w14:textId="77777777" w:rsidR="00FE5305" w:rsidRDefault="00FE5305" w:rsidP="007816CA">
            <w:pPr>
              <w:rPr>
                <w:rFonts w:cs="Arial"/>
                <w:szCs w:val="19"/>
              </w:rPr>
            </w:pPr>
            <w:r>
              <w:rPr>
                <w:rFonts w:cs="Arial"/>
                <w:szCs w:val="19"/>
              </w:rPr>
              <w:t>Denosumab (</w:t>
            </w:r>
            <w:proofErr w:type="spellStart"/>
            <w:r>
              <w:rPr>
                <w:rFonts w:cs="Arial"/>
                <w:i/>
                <w:iCs/>
                <w:szCs w:val="19"/>
              </w:rPr>
              <w:t>Xgeva</w:t>
            </w:r>
            <w:proofErr w:type="spellEnd"/>
            <w:r>
              <w:rPr>
                <w:rFonts w:cs="Arial"/>
                <w:szCs w:val="19"/>
              </w:rPr>
              <w:t xml:space="preserve">) </w:t>
            </w:r>
          </w:p>
          <w:p w14:paraId="6241A1DE" w14:textId="363051E5" w:rsidR="00FE5305" w:rsidRPr="00FE5305" w:rsidRDefault="00FE5305" w:rsidP="007816CA">
            <w:pPr>
              <w:rPr>
                <w:rFonts w:cs="Arial"/>
                <w:szCs w:val="19"/>
              </w:rPr>
            </w:pPr>
            <w:r w:rsidRPr="00FE5305">
              <w:rPr>
                <w:rFonts w:cs="Arial"/>
                <w:sz w:val="16"/>
                <w:szCs w:val="16"/>
              </w:rPr>
              <w:t xml:space="preserve">120mg </w:t>
            </w:r>
            <w:r>
              <w:rPr>
                <w:rFonts w:cs="Arial"/>
                <w:sz w:val="16"/>
                <w:szCs w:val="16"/>
              </w:rPr>
              <w:t xml:space="preserve">in </w:t>
            </w:r>
            <w:r w:rsidR="003260B8">
              <w:rPr>
                <w:rFonts w:cs="Arial"/>
                <w:sz w:val="16"/>
                <w:szCs w:val="16"/>
              </w:rPr>
              <w:t>1.7</w:t>
            </w:r>
            <w:r>
              <w:rPr>
                <w:rFonts w:cs="Arial"/>
                <w:sz w:val="16"/>
                <w:szCs w:val="16"/>
              </w:rPr>
              <w:t xml:space="preserve">mL </w:t>
            </w:r>
            <w:r w:rsidRPr="00FE5305">
              <w:rPr>
                <w:rFonts w:cs="Arial"/>
                <w:sz w:val="16"/>
                <w:szCs w:val="16"/>
              </w:rPr>
              <w:t>prefilled sy</w:t>
            </w:r>
            <w:r w:rsidR="00E26EFB">
              <w:rPr>
                <w:rFonts w:cs="Arial"/>
                <w:sz w:val="16"/>
                <w:szCs w:val="16"/>
              </w:rPr>
              <w:t>r</w:t>
            </w:r>
            <w:r w:rsidRPr="00FE5305">
              <w:rPr>
                <w:rFonts w:cs="Arial"/>
                <w:sz w:val="16"/>
                <w:szCs w:val="16"/>
              </w:rPr>
              <w:t>inge</w:t>
            </w:r>
          </w:p>
        </w:tc>
        <w:tc>
          <w:tcPr>
            <w:tcW w:w="3775" w:type="pct"/>
            <w:shd w:val="clear" w:color="auto" w:fill="auto"/>
            <w:tcMar>
              <w:top w:w="57" w:type="dxa"/>
              <w:bottom w:w="57" w:type="dxa"/>
            </w:tcMar>
          </w:tcPr>
          <w:p w14:paraId="5F6F3040" w14:textId="77777777" w:rsidR="003260B8" w:rsidRDefault="00FE5305" w:rsidP="007816CA">
            <w:pPr>
              <w:tabs>
                <w:tab w:val="center" w:pos="3152"/>
              </w:tabs>
              <w:rPr>
                <w:rFonts w:cs="Arial"/>
                <w:color w:val="000000"/>
                <w:szCs w:val="19"/>
                <w:lang w:val="en-US"/>
              </w:rPr>
            </w:pPr>
            <w:r w:rsidRPr="00FE5305">
              <w:rPr>
                <w:rFonts w:cs="Arial"/>
                <w:color w:val="000000"/>
                <w:szCs w:val="19"/>
                <w:lang w:val="en-US"/>
              </w:rPr>
              <w:t>Prevention of skeletal related events (pathological fracture, radiation to bone, spinal cord compression or surgery to bone) in adults with advanced malignancies involving bone, and treatment of adults and skeletally mature adolescents with giant cell tumour of bone that is unresectable or where surgical resection is likely to result in severe morbidity</w:t>
            </w:r>
            <w:r w:rsidR="003260B8">
              <w:rPr>
                <w:rFonts w:cs="Arial"/>
                <w:color w:val="000000"/>
                <w:szCs w:val="19"/>
                <w:lang w:val="en-US"/>
              </w:rPr>
              <w:t xml:space="preserve"> </w:t>
            </w:r>
          </w:p>
          <w:p w14:paraId="0AEB9CC4" w14:textId="76B3812A" w:rsidR="00FE5305" w:rsidRPr="002542D2" w:rsidRDefault="003260B8" w:rsidP="007816CA">
            <w:pPr>
              <w:tabs>
                <w:tab w:val="center" w:pos="3152"/>
              </w:tabs>
              <w:rPr>
                <w:rFonts w:cs="Arial"/>
                <w:color w:val="000000"/>
                <w:szCs w:val="19"/>
                <w:lang w:val="en-US"/>
              </w:rPr>
            </w:pPr>
            <w:r w:rsidRPr="003260B8">
              <w:rPr>
                <w:rFonts w:cs="Arial"/>
                <w:color w:val="000000"/>
                <w:sz w:val="16"/>
                <w:szCs w:val="16"/>
                <w:lang w:val="en-US"/>
              </w:rPr>
              <w:t>[new prefilled syringe formulation]</w:t>
            </w:r>
          </w:p>
        </w:tc>
      </w:tr>
      <w:tr w:rsidR="002C3BD1" w14:paraId="232599C0" w14:textId="77777777" w:rsidTr="00FE5305">
        <w:tc>
          <w:tcPr>
            <w:tcW w:w="1225" w:type="pct"/>
            <w:shd w:val="clear" w:color="auto" w:fill="auto"/>
            <w:tcMar>
              <w:top w:w="57" w:type="dxa"/>
              <w:bottom w:w="57" w:type="dxa"/>
            </w:tcMar>
          </w:tcPr>
          <w:p w14:paraId="2585AE65" w14:textId="77777777" w:rsidR="002C3BD1" w:rsidRDefault="002C3BD1" w:rsidP="002C3BD1">
            <w:pPr>
              <w:rPr>
                <w:rFonts w:cs="Arial"/>
                <w:szCs w:val="19"/>
              </w:rPr>
            </w:pPr>
            <w:r>
              <w:rPr>
                <w:rFonts w:cs="Arial"/>
                <w:szCs w:val="19"/>
              </w:rPr>
              <w:t>Efgartigimod alfa (</w:t>
            </w:r>
            <w:proofErr w:type="spellStart"/>
            <w:r>
              <w:rPr>
                <w:rFonts w:cs="Arial"/>
                <w:i/>
                <w:iCs/>
                <w:szCs w:val="19"/>
              </w:rPr>
              <w:t>Vyvgart</w:t>
            </w:r>
            <w:proofErr w:type="spellEnd"/>
            <w:r>
              <w:rPr>
                <w:rFonts w:cs="Arial"/>
                <w:szCs w:val="19"/>
              </w:rPr>
              <w:t xml:space="preserve">) </w:t>
            </w:r>
          </w:p>
          <w:p w14:paraId="0AC3E3D9" w14:textId="14801E9A" w:rsidR="002C3BD1" w:rsidRDefault="002C3BD1" w:rsidP="002C3BD1">
            <w:pPr>
              <w:rPr>
                <w:rFonts w:cs="Arial"/>
                <w:szCs w:val="19"/>
              </w:rPr>
            </w:pPr>
            <w:r w:rsidRPr="002542D2">
              <w:rPr>
                <w:rFonts w:cs="Arial"/>
                <w:sz w:val="16"/>
                <w:szCs w:val="16"/>
              </w:rPr>
              <w:t>1,000mg in 5.6mL vial</w:t>
            </w:r>
          </w:p>
        </w:tc>
        <w:tc>
          <w:tcPr>
            <w:tcW w:w="3775" w:type="pct"/>
            <w:shd w:val="clear" w:color="auto" w:fill="auto"/>
            <w:tcMar>
              <w:top w:w="57" w:type="dxa"/>
              <w:bottom w:w="57" w:type="dxa"/>
            </w:tcMar>
          </w:tcPr>
          <w:p w14:paraId="1808C2CB" w14:textId="1222BF7B" w:rsidR="002C3BD1" w:rsidRPr="00FE5305" w:rsidRDefault="002C3BD1" w:rsidP="002C3BD1">
            <w:pPr>
              <w:tabs>
                <w:tab w:val="center" w:pos="3152"/>
              </w:tabs>
              <w:rPr>
                <w:rFonts w:cs="Arial"/>
                <w:color w:val="000000"/>
                <w:szCs w:val="19"/>
                <w:lang w:val="en-US"/>
              </w:rPr>
            </w:pPr>
            <w:r w:rsidRPr="002542D2">
              <w:rPr>
                <w:rFonts w:cs="Arial"/>
                <w:color w:val="000000"/>
                <w:szCs w:val="19"/>
                <w:lang w:val="en-US"/>
              </w:rPr>
              <w:t xml:space="preserve">Use as an add-on to standard therapy for the treatment of generalised </w:t>
            </w:r>
            <w:r>
              <w:rPr>
                <w:rFonts w:cs="Arial"/>
                <w:color w:val="000000"/>
                <w:szCs w:val="19"/>
                <w:lang w:val="en-US"/>
              </w:rPr>
              <w:t>m</w:t>
            </w:r>
            <w:r w:rsidRPr="002542D2">
              <w:rPr>
                <w:rFonts w:cs="Arial"/>
                <w:color w:val="000000"/>
                <w:szCs w:val="19"/>
                <w:lang w:val="en-US"/>
              </w:rPr>
              <w:t xml:space="preserve">yasthenia </w:t>
            </w:r>
            <w:r>
              <w:rPr>
                <w:rFonts w:cs="Arial"/>
                <w:color w:val="000000"/>
                <w:szCs w:val="19"/>
                <w:lang w:val="en-US"/>
              </w:rPr>
              <w:t>g</w:t>
            </w:r>
            <w:r w:rsidRPr="002542D2">
              <w:rPr>
                <w:rFonts w:cs="Arial"/>
                <w:color w:val="000000"/>
                <w:szCs w:val="19"/>
                <w:lang w:val="en-US"/>
              </w:rPr>
              <w:t>ravis in adult</w:t>
            </w:r>
            <w:r>
              <w:rPr>
                <w:rFonts w:cs="Arial"/>
                <w:color w:val="000000"/>
                <w:szCs w:val="19"/>
                <w:lang w:val="en-US"/>
              </w:rPr>
              <w:t>s</w:t>
            </w:r>
            <w:r w:rsidRPr="002542D2">
              <w:rPr>
                <w:rFonts w:cs="Arial"/>
                <w:color w:val="000000"/>
                <w:szCs w:val="19"/>
                <w:lang w:val="en-US"/>
              </w:rPr>
              <w:t xml:space="preserve"> who are anti-acetylcholine receptor antibody positive</w:t>
            </w:r>
            <w:r>
              <w:rPr>
                <w:rFonts w:cs="Arial"/>
                <w:color w:val="000000"/>
                <w:szCs w:val="19"/>
                <w:lang w:val="en-US"/>
              </w:rPr>
              <w:t xml:space="preserve"> </w:t>
            </w:r>
            <w:r w:rsidRPr="002542D2">
              <w:rPr>
                <w:rFonts w:cs="Arial"/>
                <w:color w:val="000000"/>
                <w:sz w:val="16"/>
                <w:szCs w:val="16"/>
                <w:lang w:val="en-US"/>
              </w:rPr>
              <w:t>[new subcutaneous formulation]</w:t>
            </w:r>
          </w:p>
        </w:tc>
      </w:tr>
      <w:tr w:rsidR="002C3BD1" w14:paraId="72AEF321" w14:textId="77777777" w:rsidTr="00FE5305">
        <w:tc>
          <w:tcPr>
            <w:tcW w:w="1225" w:type="pct"/>
            <w:shd w:val="clear" w:color="auto" w:fill="auto"/>
            <w:tcMar>
              <w:top w:w="57" w:type="dxa"/>
              <w:bottom w:w="57" w:type="dxa"/>
            </w:tcMar>
          </w:tcPr>
          <w:p w14:paraId="74881079" w14:textId="5A189ABD" w:rsidR="002C3BD1" w:rsidRDefault="002C3BD1" w:rsidP="002C3BD1">
            <w:pPr>
              <w:rPr>
                <w:rFonts w:cs="Arial"/>
                <w:szCs w:val="19"/>
              </w:rPr>
            </w:pPr>
            <w:r>
              <w:rPr>
                <w:rFonts w:cs="Arial"/>
                <w:szCs w:val="19"/>
              </w:rPr>
              <w:t>Influenza vaccine (</w:t>
            </w:r>
            <w:r w:rsidRPr="0063140B">
              <w:rPr>
                <w:rFonts w:cs="Arial"/>
                <w:i/>
                <w:iCs/>
                <w:szCs w:val="19"/>
              </w:rPr>
              <w:t xml:space="preserve">Zoonotic influenza vaccine </w:t>
            </w:r>
            <w:r>
              <w:rPr>
                <w:rFonts w:cs="Arial"/>
                <w:i/>
                <w:iCs/>
                <w:szCs w:val="19"/>
              </w:rPr>
              <w:t>[</w:t>
            </w:r>
            <w:r w:rsidRPr="0063140B">
              <w:rPr>
                <w:rFonts w:cs="Arial"/>
                <w:i/>
                <w:iCs/>
                <w:szCs w:val="19"/>
              </w:rPr>
              <w:t>H5N1</w:t>
            </w:r>
            <w:r>
              <w:rPr>
                <w:rFonts w:cs="Arial"/>
                <w:i/>
                <w:iCs/>
                <w:szCs w:val="19"/>
              </w:rPr>
              <w:t>]</w:t>
            </w:r>
            <w:r>
              <w:rPr>
                <w:rFonts w:cs="Arial"/>
                <w:szCs w:val="19"/>
              </w:rPr>
              <w:t xml:space="preserve">) </w:t>
            </w:r>
            <w:r w:rsidRPr="0063140B">
              <w:rPr>
                <w:rFonts w:cs="Arial"/>
                <w:sz w:val="16"/>
                <w:szCs w:val="16"/>
              </w:rPr>
              <w:t>Single dose prefilled syringe</w:t>
            </w:r>
          </w:p>
        </w:tc>
        <w:tc>
          <w:tcPr>
            <w:tcW w:w="3775" w:type="pct"/>
            <w:shd w:val="clear" w:color="auto" w:fill="auto"/>
            <w:tcMar>
              <w:top w:w="57" w:type="dxa"/>
              <w:bottom w:w="57" w:type="dxa"/>
            </w:tcMar>
          </w:tcPr>
          <w:p w14:paraId="22ECD4DD" w14:textId="7CF52251" w:rsidR="002C3BD1" w:rsidRPr="00FE5305" w:rsidRDefault="002C3BD1" w:rsidP="002C3BD1">
            <w:pPr>
              <w:tabs>
                <w:tab w:val="center" w:pos="3152"/>
              </w:tabs>
              <w:rPr>
                <w:rFonts w:cs="Arial"/>
                <w:color w:val="000000"/>
                <w:szCs w:val="19"/>
                <w:lang w:val="en-US"/>
              </w:rPr>
            </w:pPr>
            <w:r w:rsidRPr="003E0592">
              <w:rPr>
                <w:rFonts w:cs="Arial"/>
                <w:szCs w:val="19"/>
                <w:lang w:val="en-US"/>
              </w:rPr>
              <w:t xml:space="preserve">Active immunisation against H5 subtype of </w:t>
            </w:r>
            <w:r>
              <w:rPr>
                <w:rFonts w:cs="Arial"/>
                <w:szCs w:val="19"/>
                <w:lang w:val="en-US"/>
              </w:rPr>
              <w:t>i</w:t>
            </w:r>
            <w:r w:rsidRPr="003E0592">
              <w:rPr>
                <w:rFonts w:cs="Arial"/>
                <w:szCs w:val="19"/>
                <w:lang w:val="en-US"/>
              </w:rPr>
              <w:t>nfluenza A virus</w:t>
            </w:r>
            <w:r>
              <w:rPr>
                <w:rFonts w:cs="Arial"/>
                <w:szCs w:val="19"/>
                <w:lang w:val="en-US"/>
              </w:rPr>
              <w:t xml:space="preserve"> in adults</w:t>
            </w:r>
          </w:p>
        </w:tc>
      </w:tr>
      <w:tr w:rsidR="002C3BD1" w14:paraId="1EEC2244" w14:textId="77777777" w:rsidTr="00FE5305">
        <w:tc>
          <w:tcPr>
            <w:tcW w:w="1225" w:type="pct"/>
            <w:shd w:val="clear" w:color="auto" w:fill="auto"/>
            <w:tcMar>
              <w:top w:w="57" w:type="dxa"/>
              <w:bottom w:w="57" w:type="dxa"/>
            </w:tcMar>
          </w:tcPr>
          <w:p w14:paraId="63327F93" w14:textId="77777777" w:rsidR="002C3BD1" w:rsidRDefault="002C3BD1" w:rsidP="002C3BD1">
            <w:pPr>
              <w:rPr>
                <w:rFonts w:cs="Arial"/>
                <w:szCs w:val="19"/>
              </w:rPr>
            </w:pPr>
            <w:r>
              <w:rPr>
                <w:rFonts w:cs="Arial"/>
                <w:szCs w:val="19"/>
              </w:rPr>
              <w:t>Ivermectin</w:t>
            </w:r>
          </w:p>
          <w:p w14:paraId="0B314FA3" w14:textId="235517E0" w:rsidR="002C3BD1" w:rsidRDefault="002C3BD1" w:rsidP="002C3BD1">
            <w:pPr>
              <w:rPr>
                <w:rFonts w:cs="Arial"/>
                <w:szCs w:val="19"/>
              </w:rPr>
            </w:pPr>
            <w:r w:rsidRPr="008367B1">
              <w:rPr>
                <w:rFonts w:cs="Arial"/>
                <w:sz w:val="16"/>
                <w:szCs w:val="16"/>
              </w:rPr>
              <w:t>3mg tablets</w:t>
            </w:r>
          </w:p>
        </w:tc>
        <w:tc>
          <w:tcPr>
            <w:tcW w:w="3775" w:type="pct"/>
            <w:shd w:val="clear" w:color="auto" w:fill="auto"/>
            <w:tcMar>
              <w:top w:w="57" w:type="dxa"/>
              <w:bottom w:w="57" w:type="dxa"/>
            </w:tcMar>
          </w:tcPr>
          <w:p w14:paraId="7DC8E452" w14:textId="1281AE51" w:rsidR="002C3BD1" w:rsidRPr="00FE5305" w:rsidRDefault="002C3BD1" w:rsidP="002C3BD1">
            <w:pPr>
              <w:tabs>
                <w:tab w:val="center" w:pos="3152"/>
              </w:tabs>
              <w:rPr>
                <w:rFonts w:cs="Arial"/>
                <w:color w:val="000000"/>
                <w:szCs w:val="19"/>
                <w:lang w:val="en-US"/>
              </w:rPr>
            </w:pPr>
            <w:r w:rsidRPr="008367B1">
              <w:rPr>
                <w:rFonts w:cs="Arial"/>
                <w:szCs w:val="19"/>
                <w:lang w:val="en-US"/>
              </w:rPr>
              <w:t>Treatment of gastrointestinal strongyloidiasis (</w:t>
            </w:r>
            <w:proofErr w:type="spellStart"/>
            <w:r w:rsidRPr="008367B1">
              <w:rPr>
                <w:rFonts w:cs="Arial"/>
                <w:szCs w:val="19"/>
                <w:lang w:val="en-US"/>
              </w:rPr>
              <w:t>anguillulosis</w:t>
            </w:r>
            <w:proofErr w:type="spellEnd"/>
            <w:r w:rsidRPr="008367B1">
              <w:rPr>
                <w:rFonts w:cs="Arial"/>
                <w:szCs w:val="19"/>
                <w:lang w:val="en-US"/>
              </w:rPr>
              <w:t>)</w:t>
            </w:r>
            <w:r>
              <w:rPr>
                <w:rFonts w:cs="Arial"/>
                <w:szCs w:val="19"/>
                <w:lang w:val="en-US"/>
              </w:rPr>
              <w:t>,</w:t>
            </w:r>
            <w:r w:rsidRPr="008367B1">
              <w:rPr>
                <w:rFonts w:cs="Arial"/>
                <w:szCs w:val="19"/>
                <w:lang w:val="en-US"/>
              </w:rPr>
              <w:t xml:space="preserve"> suspected or diagnosed </w:t>
            </w:r>
            <w:proofErr w:type="spellStart"/>
            <w:r w:rsidRPr="008367B1">
              <w:rPr>
                <w:rFonts w:cs="Arial"/>
                <w:szCs w:val="19"/>
                <w:lang w:val="en-US"/>
              </w:rPr>
              <w:t>microfilaraemia</w:t>
            </w:r>
            <w:proofErr w:type="spellEnd"/>
            <w:r w:rsidRPr="008367B1">
              <w:rPr>
                <w:rFonts w:cs="Arial"/>
                <w:szCs w:val="19"/>
                <w:lang w:val="en-US"/>
              </w:rPr>
              <w:t xml:space="preserve"> in patients with lymphatic filariasis due to </w:t>
            </w:r>
            <w:proofErr w:type="spellStart"/>
            <w:r w:rsidRPr="008367B1">
              <w:rPr>
                <w:rFonts w:cs="Arial"/>
                <w:szCs w:val="19"/>
                <w:lang w:val="en-US"/>
              </w:rPr>
              <w:t>Wuchereria</w:t>
            </w:r>
            <w:proofErr w:type="spellEnd"/>
            <w:r w:rsidRPr="008367B1">
              <w:rPr>
                <w:rFonts w:cs="Arial"/>
                <w:szCs w:val="19"/>
                <w:lang w:val="en-US"/>
              </w:rPr>
              <w:t xml:space="preserve"> </w:t>
            </w:r>
            <w:proofErr w:type="spellStart"/>
            <w:r w:rsidRPr="008367B1">
              <w:rPr>
                <w:rFonts w:cs="Arial"/>
                <w:szCs w:val="19"/>
                <w:lang w:val="en-US"/>
              </w:rPr>
              <w:t>bancrofti</w:t>
            </w:r>
            <w:proofErr w:type="spellEnd"/>
            <w:r>
              <w:rPr>
                <w:rFonts w:cs="Arial"/>
                <w:szCs w:val="19"/>
                <w:lang w:val="en-US"/>
              </w:rPr>
              <w:t>,</w:t>
            </w:r>
            <w:r w:rsidRPr="008367B1">
              <w:rPr>
                <w:rFonts w:cs="Arial"/>
                <w:szCs w:val="19"/>
                <w:lang w:val="en-US"/>
              </w:rPr>
              <w:t xml:space="preserve"> and sarcoptic scabies</w:t>
            </w:r>
            <w:r>
              <w:rPr>
                <w:rFonts w:cs="Arial"/>
                <w:szCs w:val="19"/>
                <w:lang w:val="en-US"/>
              </w:rPr>
              <w:t xml:space="preserve"> </w:t>
            </w:r>
            <w:r w:rsidRPr="008367B1">
              <w:rPr>
                <w:rFonts w:cs="Arial"/>
                <w:szCs w:val="19"/>
                <w:lang w:val="en-US"/>
              </w:rPr>
              <w:t xml:space="preserve">in adults and children weighing </w:t>
            </w:r>
            <w:r>
              <w:rPr>
                <w:rFonts w:cs="Arial"/>
                <w:szCs w:val="19"/>
                <w:lang w:val="en-US"/>
              </w:rPr>
              <w:t>≥</w:t>
            </w:r>
            <w:r w:rsidRPr="008367B1">
              <w:rPr>
                <w:rFonts w:cs="Arial"/>
                <w:szCs w:val="19"/>
                <w:lang w:val="en-US"/>
              </w:rPr>
              <w:t>15kg</w:t>
            </w:r>
          </w:p>
        </w:tc>
      </w:tr>
      <w:tr w:rsidR="002C3BD1" w14:paraId="4CB7EE72" w14:textId="77777777" w:rsidTr="00FE5305">
        <w:tc>
          <w:tcPr>
            <w:tcW w:w="1225" w:type="pct"/>
            <w:shd w:val="clear" w:color="auto" w:fill="auto"/>
            <w:tcMar>
              <w:top w:w="57" w:type="dxa"/>
              <w:bottom w:w="57" w:type="dxa"/>
            </w:tcMar>
          </w:tcPr>
          <w:p w14:paraId="46057AC5" w14:textId="6A7B5780" w:rsidR="002C3BD1" w:rsidRDefault="002C3BD1" w:rsidP="002C3BD1">
            <w:pPr>
              <w:rPr>
                <w:rFonts w:cs="Arial"/>
                <w:szCs w:val="19"/>
              </w:rPr>
            </w:pPr>
            <w:r>
              <w:rPr>
                <w:rFonts w:cs="Arial"/>
                <w:szCs w:val="19"/>
              </w:rPr>
              <w:t>Latanoprost (</w:t>
            </w:r>
            <w:proofErr w:type="spellStart"/>
            <w:r>
              <w:rPr>
                <w:rFonts w:cs="Arial"/>
                <w:i/>
                <w:iCs/>
                <w:szCs w:val="19"/>
              </w:rPr>
              <w:t>Catiolanze</w:t>
            </w:r>
            <w:proofErr w:type="spellEnd"/>
            <w:r>
              <w:rPr>
                <w:rFonts w:cs="Arial"/>
                <w:szCs w:val="19"/>
              </w:rPr>
              <w:t xml:space="preserve">) </w:t>
            </w:r>
            <w:r w:rsidRPr="007A5659">
              <w:rPr>
                <w:rFonts w:cs="Arial"/>
                <w:sz w:val="16"/>
                <w:szCs w:val="16"/>
              </w:rPr>
              <w:t>50micrograms/mL eye drops</w:t>
            </w:r>
            <w:r>
              <w:rPr>
                <w:rFonts w:cs="Arial"/>
                <w:sz w:val="16"/>
                <w:szCs w:val="16"/>
              </w:rPr>
              <w:t xml:space="preserve"> in 0.3mL single dose containers</w:t>
            </w:r>
          </w:p>
        </w:tc>
        <w:tc>
          <w:tcPr>
            <w:tcW w:w="3775" w:type="pct"/>
            <w:shd w:val="clear" w:color="auto" w:fill="auto"/>
            <w:tcMar>
              <w:top w:w="57" w:type="dxa"/>
              <w:bottom w:w="57" w:type="dxa"/>
            </w:tcMar>
          </w:tcPr>
          <w:p w14:paraId="5B43A258" w14:textId="18D8B9BF" w:rsidR="002C3BD1" w:rsidRPr="008367B1" w:rsidRDefault="002C3BD1" w:rsidP="002C3BD1">
            <w:pPr>
              <w:tabs>
                <w:tab w:val="center" w:pos="3152"/>
              </w:tabs>
              <w:rPr>
                <w:rFonts w:cs="Arial"/>
                <w:szCs w:val="19"/>
                <w:lang w:val="en-US"/>
              </w:rPr>
            </w:pPr>
            <w:r w:rsidRPr="00917A9C">
              <w:rPr>
                <w:rFonts w:cs="Arial"/>
                <w:szCs w:val="19"/>
              </w:rPr>
              <w:t>Reduction of elevated intraocular pressure (IOP) in adults with open angle glaucoma or ocular hypertension</w:t>
            </w:r>
            <w:r>
              <w:rPr>
                <w:rFonts w:cs="Arial"/>
                <w:szCs w:val="19"/>
              </w:rPr>
              <w:t>,</w:t>
            </w:r>
            <w:r w:rsidRPr="00917A9C">
              <w:rPr>
                <w:rFonts w:cs="Arial"/>
                <w:szCs w:val="19"/>
              </w:rPr>
              <w:t xml:space="preserve"> and reduction of elevated IOP in children </w:t>
            </w:r>
            <w:r>
              <w:rPr>
                <w:rFonts w:cs="Arial"/>
                <w:szCs w:val="19"/>
              </w:rPr>
              <w:t>aged ≥</w:t>
            </w:r>
            <w:r w:rsidRPr="00917A9C">
              <w:rPr>
                <w:rFonts w:cs="Arial"/>
                <w:szCs w:val="19"/>
              </w:rPr>
              <w:t>4 years and adolescents with elevated IOP and paediatric glaucoma </w:t>
            </w:r>
            <w:r w:rsidRPr="007A5659">
              <w:rPr>
                <w:rFonts w:cs="Arial"/>
                <w:sz w:val="16"/>
                <w:szCs w:val="16"/>
                <w:lang w:val="en-US"/>
              </w:rPr>
              <w:t xml:space="preserve">[new </w:t>
            </w:r>
            <w:r>
              <w:rPr>
                <w:rFonts w:cs="Arial"/>
                <w:sz w:val="16"/>
                <w:szCs w:val="16"/>
                <w:lang w:val="en-US"/>
              </w:rPr>
              <w:t>preservative-free f</w:t>
            </w:r>
            <w:r w:rsidRPr="007A5659">
              <w:rPr>
                <w:rFonts w:cs="Arial"/>
                <w:sz w:val="16"/>
                <w:szCs w:val="16"/>
                <w:lang w:val="en-US"/>
              </w:rPr>
              <w:t>ormulation]</w:t>
            </w:r>
          </w:p>
        </w:tc>
      </w:tr>
      <w:tr w:rsidR="002C3BD1" w14:paraId="4BAFE370" w14:textId="77777777" w:rsidTr="00FE5305">
        <w:tc>
          <w:tcPr>
            <w:tcW w:w="1225" w:type="pct"/>
            <w:shd w:val="clear" w:color="auto" w:fill="auto"/>
            <w:tcMar>
              <w:top w:w="57" w:type="dxa"/>
              <w:bottom w:w="57" w:type="dxa"/>
            </w:tcMar>
          </w:tcPr>
          <w:p w14:paraId="105DA38D" w14:textId="77777777" w:rsidR="002C3BD1" w:rsidRDefault="002C3BD1" w:rsidP="002C3BD1">
            <w:pPr>
              <w:rPr>
                <w:rFonts w:cs="Arial"/>
                <w:szCs w:val="19"/>
              </w:rPr>
            </w:pPr>
            <w:proofErr w:type="spellStart"/>
            <w:r>
              <w:rPr>
                <w:rFonts w:cs="Arial"/>
                <w:szCs w:val="19"/>
              </w:rPr>
              <w:t>Latanaprost</w:t>
            </w:r>
            <w:proofErr w:type="spellEnd"/>
            <w:r>
              <w:rPr>
                <w:rFonts w:cs="Arial"/>
                <w:szCs w:val="19"/>
              </w:rPr>
              <w:t xml:space="preserve"> (</w:t>
            </w:r>
            <w:proofErr w:type="spellStart"/>
            <w:r>
              <w:rPr>
                <w:rFonts w:cs="Arial"/>
                <w:i/>
                <w:iCs/>
                <w:szCs w:val="19"/>
              </w:rPr>
              <w:t>Lotacryn</w:t>
            </w:r>
            <w:proofErr w:type="spellEnd"/>
            <w:r>
              <w:rPr>
                <w:rFonts w:cs="Arial"/>
                <w:szCs w:val="19"/>
              </w:rPr>
              <w:t>)</w:t>
            </w:r>
          </w:p>
          <w:p w14:paraId="47437B82" w14:textId="73580F11" w:rsidR="002C3BD1" w:rsidRDefault="002C3BD1" w:rsidP="002C3BD1">
            <w:pPr>
              <w:rPr>
                <w:rFonts w:cs="Arial"/>
                <w:szCs w:val="19"/>
              </w:rPr>
            </w:pPr>
            <w:r w:rsidRPr="007A5659">
              <w:rPr>
                <w:rFonts w:cs="Arial"/>
                <w:sz w:val="16"/>
                <w:szCs w:val="16"/>
              </w:rPr>
              <w:t>50micrograms/mL eye drops</w:t>
            </w:r>
            <w:r>
              <w:rPr>
                <w:rFonts w:cs="Arial"/>
                <w:sz w:val="16"/>
                <w:szCs w:val="16"/>
              </w:rPr>
              <w:t xml:space="preserve"> in 2.5mL bottle</w:t>
            </w:r>
          </w:p>
        </w:tc>
        <w:tc>
          <w:tcPr>
            <w:tcW w:w="3775" w:type="pct"/>
            <w:shd w:val="clear" w:color="auto" w:fill="auto"/>
            <w:tcMar>
              <w:top w:w="57" w:type="dxa"/>
              <w:bottom w:w="57" w:type="dxa"/>
            </w:tcMar>
          </w:tcPr>
          <w:p w14:paraId="02E5F9E1" w14:textId="1446FDE2" w:rsidR="002C3BD1" w:rsidRPr="008367B1" w:rsidRDefault="002C3BD1" w:rsidP="002C3BD1">
            <w:pPr>
              <w:tabs>
                <w:tab w:val="center" w:pos="3152"/>
              </w:tabs>
              <w:rPr>
                <w:rFonts w:cs="Arial"/>
                <w:szCs w:val="19"/>
                <w:lang w:val="en-US"/>
              </w:rPr>
            </w:pPr>
            <w:r w:rsidRPr="007A5659">
              <w:rPr>
                <w:rFonts w:cs="Arial"/>
                <w:szCs w:val="19"/>
                <w:lang w:val="en-US"/>
              </w:rPr>
              <w:t xml:space="preserve">Reduction of elevated intraocular pressure </w:t>
            </w:r>
            <w:r>
              <w:rPr>
                <w:rFonts w:cs="Arial"/>
                <w:szCs w:val="19"/>
                <w:lang w:val="en-US"/>
              </w:rPr>
              <w:t xml:space="preserve">(IOP) </w:t>
            </w:r>
            <w:r w:rsidRPr="007A5659">
              <w:rPr>
                <w:rFonts w:cs="Arial"/>
                <w:szCs w:val="19"/>
                <w:lang w:val="en-US"/>
              </w:rPr>
              <w:t xml:space="preserve">in </w:t>
            </w:r>
            <w:r>
              <w:rPr>
                <w:rFonts w:cs="Arial"/>
                <w:szCs w:val="19"/>
                <w:lang w:val="en-US"/>
              </w:rPr>
              <w:t>adults (including the elderly)</w:t>
            </w:r>
            <w:r w:rsidRPr="007A5659">
              <w:rPr>
                <w:rFonts w:cs="Arial"/>
                <w:szCs w:val="19"/>
                <w:lang w:val="en-US"/>
              </w:rPr>
              <w:t xml:space="preserve"> with open angle glaucoma and ocular hypertensio</w:t>
            </w:r>
            <w:r>
              <w:rPr>
                <w:rFonts w:cs="Arial"/>
                <w:szCs w:val="19"/>
                <w:lang w:val="en-US"/>
              </w:rPr>
              <w:t>n, and</w:t>
            </w:r>
            <w:r w:rsidRPr="007A5659">
              <w:rPr>
                <w:rFonts w:cs="Arial"/>
                <w:szCs w:val="19"/>
                <w:lang w:val="en-US"/>
              </w:rPr>
              <w:t xml:space="preserve"> reduction of elevated </w:t>
            </w:r>
            <w:r>
              <w:rPr>
                <w:rFonts w:cs="Arial"/>
                <w:szCs w:val="19"/>
                <w:lang w:val="en-US"/>
              </w:rPr>
              <w:t>IOP</w:t>
            </w:r>
            <w:r w:rsidRPr="007A5659">
              <w:rPr>
                <w:rFonts w:cs="Arial"/>
                <w:szCs w:val="19"/>
                <w:lang w:val="en-US"/>
              </w:rPr>
              <w:t xml:space="preserve"> in paediatric patients with elevated </w:t>
            </w:r>
            <w:r>
              <w:rPr>
                <w:rFonts w:cs="Arial"/>
                <w:szCs w:val="19"/>
                <w:lang w:val="en-US"/>
              </w:rPr>
              <w:t>IOP</w:t>
            </w:r>
            <w:r w:rsidRPr="007A5659">
              <w:rPr>
                <w:rFonts w:cs="Arial"/>
                <w:szCs w:val="19"/>
                <w:lang w:val="en-US"/>
              </w:rPr>
              <w:t xml:space="preserve"> and paediatric glaucoma</w:t>
            </w:r>
            <w:r>
              <w:rPr>
                <w:rFonts w:cs="Arial"/>
                <w:szCs w:val="19"/>
                <w:lang w:val="en-US"/>
              </w:rPr>
              <w:t xml:space="preserve"> </w:t>
            </w:r>
            <w:r w:rsidRPr="007A5659">
              <w:rPr>
                <w:rFonts w:cs="Arial"/>
                <w:sz w:val="16"/>
                <w:szCs w:val="16"/>
                <w:lang w:val="en-US"/>
              </w:rPr>
              <w:t xml:space="preserve">[new </w:t>
            </w:r>
            <w:r>
              <w:rPr>
                <w:rFonts w:cs="Arial"/>
                <w:sz w:val="16"/>
                <w:szCs w:val="16"/>
                <w:lang w:val="en-US"/>
              </w:rPr>
              <w:t>preservative-free f</w:t>
            </w:r>
            <w:r w:rsidRPr="007A5659">
              <w:rPr>
                <w:rFonts w:cs="Arial"/>
                <w:sz w:val="16"/>
                <w:szCs w:val="16"/>
                <w:lang w:val="en-US"/>
              </w:rPr>
              <w:t>ormulation]</w:t>
            </w:r>
          </w:p>
        </w:tc>
      </w:tr>
      <w:tr w:rsidR="002C3BD1" w14:paraId="2A6085B1" w14:textId="77777777" w:rsidTr="00FE5305">
        <w:tc>
          <w:tcPr>
            <w:tcW w:w="1225" w:type="pct"/>
            <w:shd w:val="clear" w:color="auto" w:fill="auto"/>
            <w:tcMar>
              <w:top w:w="57" w:type="dxa"/>
              <w:bottom w:w="57" w:type="dxa"/>
            </w:tcMar>
          </w:tcPr>
          <w:p w14:paraId="02868093" w14:textId="77777777" w:rsidR="002C3BD1" w:rsidRDefault="002C3BD1" w:rsidP="002C3BD1">
            <w:pPr>
              <w:rPr>
                <w:rFonts w:cs="Arial"/>
                <w:szCs w:val="19"/>
              </w:rPr>
            </w:pPr>
            <w:r w:rsidRPr="007816CA">
              <w:rPr>
                <w:rFonts w:cs="Arial"/>
                <w:szCs w:val="19"/>
              </w:rPr>
              <w:t>Povidone iodine </w:t>
            </w:r>
          </w:p>
          <w:p w14:paraId="35B50A18" w14:textId="7CFF4717" w:rsidR="002C3BD1" w:rsidRDefault="002C3BD1" w:rsidP="002C3BD1">
            <w:pPr>
              <w:rPr>
                <w:rFonts w:cs="Arial"/>
                <w:szCs w:val="19"/>
              </w:rPr>
            </w:pPr>
            <w:r>
              <w:rPr>
                <w:rFonts w:cs="Arial"/>
                <w:sz w:val="16"/>
                <w:szCs w:val="16"/>
              </w:rPr>
              <w:t>50mg/mL eye drops in</w:t>
            </w:r>
            <w:r w:rsidRPr="007816CA">
              <w:rPr>
                <w:rFonts w:cs="Arial"/>
                <w:sz w:val="16"/>
                <w:szCs w:val="16"/>
              </w:rPr>
              <w:t xml:space="preserve"> 4mL </w:t>
            </w:r>
            <w:r>
              <w:rPr>
                <w:rFonts w:cs="Arial"/>
                <w:sz w:val="16"/>
                <w:szCs w:val="16"/>
              </w:rPr>
              <w:t>bottle</w:t>
            </w:r>
          </w:p>
        </w:tc>
        <w:tc>
          <w:tcPr>
            <w:tcW w:w="3775" w:type="pct"/>
            <w:shd w:val="clear" w:color="auto" w:fill="auto"/>
            <w:tcMar>
              <w:top w:w="57" w:type="dxa"/>
              <w:bottom w:w="57" w:type="dxa"/>
            </w:tcMar>
          </w:tcPr>
          <w:p w14:paraId="3B833800" w14:textId="77777777" w:rsidR="002C3BD1" w:rsidRDefault="002C3BD1" w:rsidP="002C3BD1">
            <w:pPr>
              <w:tabs>
                <w:tab w:val="center" w:pos="3152"/>
              </w:tabs>
              <w:rPr>
                <w:rFonts w:cs="Arial"/>
                <w:color w:val="000000" w:themeColor="text1"/>
                <w:sz w:val="16"/>
                <w:szCs w:val="16"/>
                <w:lang w:val="en-US"/>
              </w:rPr>
            </w:pPr>
            <w:r w:rsidRPr="001D195F">
              <w:rPr>
                <w:rFonts w:cs="Arial"/>
                <w:color w:val="000000" w:themeColor="text1"/>
                <w:szCs w:val="19"/>
                <w:lang w:val="en-US"/>
              </w:rPr>
              <w:t xml:space="preserve">Preparation of the operating ophthalmic field (eyelids, eyelashes and cheeks) and for cleaning the eye and its surroundings in case of eye surgery </w:t>
            </w:r>
            <w:r w:rsidRPr="001D195F">
              <w:rPr>
                <w:rFonts w:cs="Arial"/>
                <w:color w:val="000000" w:themeColor="text1"/>
                <w:sz w:val="16"/>
                <w:szCs w:val="16"/>
                <w:lang w:val="en-US"/>
              </w:rPr>
              <w:t>[new formulation]</w:t>
            </w:r>
          </w:p>
          <w:p w14:paraId="7D51135B" w14:textId="3011D237" w:rsidR="001D195F" w:rsidRPr="001D195F" w:rsidRDefault="001D195F" w:rsidP="002C3BD1">
            <w:pPr>
              <w:tabs>
                <w:tab w:val="center" w:pos="3152"/>
              </w:tabs>
              <w:rPr>
                <w:rFonts w:cs="Arial"/>
                <w:i/>
                <w:iCs/>
                <w:szCs w:val="19"/>
                <w:lang w:val="en-US"/>
              </w:rPr>
            </w:pPr>
            <w:r>
              <w:rPr>
                <w:rFonts w:cs="Arial"/>
                <w:i/>
                <w:iCs/>
                <w:color w:val="000000" w:themeColor="text1"/>
                <w:sz w:val="16"/>
                <w:szCs w:val="16"/>
                <w:lang w:val="en-US"/>
              </w:rPr>
              <w:t>Note: Detail of indication provided by company</w:t>
            </w:r>
            <w:r w:rsidR="00345A1D">
              <w:rPr>
                <w:rFonts w:cs="Arial"/>
                <w:i/>
                <w:iCs/>
                <w:color w:val="000000" w:themeColor="text1"/>
                <w:sz w:val="16"/>
                <w:szCs w:val="16"/>
                <w:lang w:val="en-US"/>
              </w:rPr>
              <w:t xml:space="preserve"> but SmPC not yet available on MHRA website to confirm </w:t>
            </w:r>
          </w:p>
        </w:tc>
      </w:tr>
      <w:tr w:rsidR="002C3BD1" w14:paraId="44901D1E" w14:textId="77777777" w:rsidTr="00FE5305">
        <w:tc>
          <w:tcPr>
            <w:tcW w:w="1225" w:type="pct"/>
            <w:shd w:val="clear" w:color="auto" w:fill="auto"/>
            <w:tcMar>
              <w:top w:w="57" w:type="dxa"/>
              <w:bottom w:w="57" w:type="dxa"/>
            </w:tcMar>
          </w:tcPr>
          <w:p w14:paraId="38DE051F" w14:textId="77777777" w:rsidR="002C3BD1" w:rsidRDefault="002C3BD1" w:rsidP="002C3BD1">
            <w:r>
              <w:rPr>
                <w:rFonts w:cs="Arial"/>
                <w:szCs w:val="19"/>
              </w:rPr>
              <w:t>Ranibizumab biosimilar (</w:t>
            </w:r>
            <w:r>
              <w:rPr>
                <w:rFonts w:cs="Arial"/>
                <w:i/>
                <w:iCs/>
                <w:szCs w:val="19"/>
              </w:rPr>
              <w:t>Rimmyrah</w:t>
            </w:r>
            <w:r>
              <w:rPr>
                <w:rFonts w:cs="Arial"/>
                <w:szCs w:val="19"/>
              </w:rPr>
              <w:t>)</w:t>
            </w:r>
            <w:r>
              <w:t xml:space="preserve"> </w:t>
            </w:r>
          </w:p>
          <w:p w14:paraId="63EB4392" w14:textId="38773B0C" w:rsidR="002C3BD1" w:rsidRDefault="002C3BD1" w:rsidP="002C3BD1">
            <w:pPr>
              <w:rPr>
                <w:rFonts w:cs="Arial"/>
                <w:szCs w:val="19"/>
              </w:rPr>
            </w:pPr>
            <w:r w:rsidRPr="00BF53E9">
              <w:rPr>
                <w:rFonts w:cs="Arial"/>
                <w:sz w:val="16"/>
                <w:szCs w:val="16"/>
              </w:rPr>
              <w:t>2.3mg in 0.23mL vials</w:t>
            </w:r>
          </w:p>
        </w:tc>
        <w:tc>
          <w:tcPr>
            <w:tcW w:w="3775" w:type="pct"/>
            <w:shd w:val="clear" w:color="auto" w:fill="auto"/>
            <w:tcMar>
              <w:top w:w="57" w:type="dxa"/>
              <w:bottom w:w="57" w:type="dxa"/>
            </w:tcMar>
          </w:tcPr>
          <w:p w14:paraId="538C3312" w14:textId="51210B75" w:rsidR="002C3BD1" w:rsidRPr="00FE5305" w:rsidRDefault="002C3BD1" w:rsidP="002C3BD1">
            <w:pPr>
              <w:tabs>
                <w:tab w:val="center" w:pos="3152"/>
              </w:tabs>
              <w:rPr>
                <w:rFonts w:cs="Arial"/>
                <w:color w:val="000000"/>
                <w:szCs w:val="19"/>
                <w:lang w:val="en-US"/>
              </w:rPr>
            </w:pPr>
            <w:r>
              <w:rPr>
                <w:rFonts w:cs="Arial"/>
                <w:szCs w:val="19"/>
                <w:lang w:val="en-US"/>
              </w:rPr>
              <w:t>T</w:t>
            </w:r>
            <w:r w:rsidRPr="003C43BD">
              <w:rPr>
                <w:rFonts w:cs="Arial"/>
                <w:szCs w:val="19"/>
                <w:lang w:val="en-US"/>
              </w:rPr>
              <w:t>reatment of neovascular (wet) age-related macular degeneration</w:t>
            </w:r>
            <w:r>
              <w:rPr>
                <w:rFonts w:cs="Arial"/>
                <w:szCs w:val="19"/>
                <w:lang w:val="en-US"/>
              </w:rPr>
              <w:t>,</w:t>
            </w:r>
            <w:r w:rsidRPr="003C43BD">
              <w:rPr>
                <w:rFonts w:cs="Arial"/>
                <w:szCs w:val="19"/>
                <w:lang w:val="en-US"/>
              </w:rPr>
              <w:t xml:space="preserve"> visual impairment due to diabetic macular oedema</w:t>
            </w:r>
            <w:r>
              <w:rPr>
                <w:rFonts w:cs="Arial"/>
                <w:szCs w:val="19"/>
                <w:lang w:val="en-US"/>
              </w:rPr>
              <w:t>,</w:t>
            </w:r>
            <w:r w:rsidRPr="003C43BD">
              <w:rPr>
                <w:rFonts w:cs="Arial"/>
                <w:szCs w:val="19"/>
                <w:lang w:val="en-US"/>
              </w:rPr>
              <w:t xml:space="preserve"> proliferative diabetic retinopathy</w:t>
            </w:r>
            <w:r>
              <w:rPr>
                <w:rFonts w:cs="Arial"/>
                <w:szCs w:val="19"/>
                <w:lang w:val="en-US"/>
              </w:rPr>
              <w:t>,</w:t>
            </w:r>
            <w:r w:rsidRPr="003C43BD">
              <w:rPr>
                <w:rFonts w:cs="Arial"/>
                <w:szCs w:val="19"/>
                <w:lang w:val="en-US"/>
              </w:rPr>
              <w:t xml:space="preserve"> visual impairment due to macular oedema secondary to retinal vein occlusion (branch RVO or central RVO)</w:t>
            </w:r>
            <w:r>
              <w:rPr>
                <w:rFonts w:cs="Arial"/>
                <w:szCs w:val="19"/>
                <w:lang w:val="en-US"/>
              </w:rPr>
              <w:t xml:space="preserve"> and </w:t>
            </w:r>
            <w:r w:rsidRPr="003C43BD">
              <w:rPr>
                <w:rFonts w:cs="Arial"/>
                <w:szCs w:val="19"/>
                <w:lang w:val="en-US"/>
              </w:rPr>
              <w:t>visual impairment due to choroidal neovascularisation</w:t>
            </w:r>
          </w:p>
        </w:tc>
      </w:tr>
      <w:tr w:rsidR="002C3BD1" w14:paraId="4A90796C" w14:textId="77777777" w:rsidTr="00FE5305">
        <w:tc>
          <w:tcPr>
            <w:tcW w:w="1225" w:type="pct"/>
            <w:shd w:val="clear" w:color="auto" w:fill="auto"/>
            <w:tcMar>
              <w:top w:w="57" w:type="dxa"/>
              <w:bottom w:w="57" w:type="dxa"/>
            </w:tcMar>
          </w:tcPr>
          <w:p w14:paraId="767B489E" w14:textId="77777777" w:rsidR="002C3BD1" w:rsidRDefault="002C3BD1" w:rsidP="002C3BD1">
            <w:r>
              <w:t>Trametinib (</w:t>
            </w:r>
            <w:r>
              <w:rPr>
                <w:i/>
                <w:iCs/>
              </w:rPr>
              <w:t>Spexotras</w:t>
            </w:r>
            <w:r>
              <w:t>)</w:t>
            </w:r>
          </w:p>
          <w:p w14:paraId="74AAC34F" w14:textId="0B006A07" w:rsidR="0037419D" w:rsidRDefault="0037419D" w:rsidP="002C3BD1">
            <w:pPr>
              <w:rPr>
                <w:rFonts w:cs="Arial"/>
                <w:szCs w:val="19"/>
              </w:rPr>
            </w:pPr>
            <w:r w:rsidRPr="0037419D">
              <w:rPr>
                <w:rFonts w:cs="Arial"/>
                <w:sz w:val="16"/>
                <w:szCs w:val="16"/>
              </w:rPr>
              <w:t>0.05mg</w:t>
            </w:r>
            <w:r>
              <w:rPr>
                <w:rFonts w:cs="Arial"/>
                <w:sz w:val="16"/>
                <w:szCs w:val="16"/>
              </w:rPr>
              <w:t xml:space="preserve"> in 1</w:t>
            </w:r>
            <w:r w:rsidRPr="0037419D">
              <w:rPr>
                <w:rFonts w:cs="Arial"/>
                <w:sz w:val="16"/>
                <w:szCs w:val="16"/>
              </w:rPr>
              <w:t>m</w:t>
            </w:r>
            <w:r>
              <w:rPr>
                <w:rFonts w:cs="Arial"/>
                <w:sz w:val="16"/>
                <w:szCs w:val="16"/>
              </w:rPr>
              <w:t>L</w:t>
            </w:r>
            <w:r w:rsidRPr="0037419D">
              <w:rPr>
                <w:rFonts w:cs="Arial"/>
                <w:sz w:val="16"/>
                <w:szCs w:val="16"/>
              </w:rPr>
              <w:t xml:space="preserve"> powder for oral solution</w:t>
            </w:r>
          </w:p>
        </w:tc>
        <w:tc>
          <w:tcPr>
            <w:tcW w:w="3775" w:type="pct"/>
            <w:shd w:val="clear" w:color="auto" w:fill="auto"/>
            <w:tcMar>
              <w:top w:w="57" w:type="dxa"/>
              <w:bottom w:w="57" w:type="dxa"/>
            </w:tcMar>
          </w:tcPr>
          <w:p w14:paraId="5613A43C" w14:textId="2FFCD190" w:rsidR="002C3BD1" w:rsidRDefault="002C3BD1" w:rsidP="002C3BD1">
            <w:pPr>
              <w:tabs>
                <w:tab w:val="center" w:pos="3152"/>
              </w:tabs>
              <w:rPr>
                <w:rFonts w:cs="Arial"/>
                <w:szCs w:val="19"/>
                <w:lang w:val="en-US"/>
              </w:rPr>
            </w:pPr>
            <w:r>
              <w:rPr>
                <w:rFonts w:cs="Arial"/>
                <w:szCs w:val="19"/>
                <w:lang w:val="en-US"/>
              </w:rPr>
              <w:t xml:space="preserve">Use </w:t>
            </w:r>
            <w:r w:rsidRPr="00301869">
              <w:rPr>
                <w:rFonts w:cs="Arial"/>
                <w:szCs w:val="19"/>
                <w:lang w:val="en-US"/>
              </w:rPr>
              <w:t xml:space="preserve">in combination with dabrafenib for treatment of paediatric patients aged </w:t>
            </w:r>
            <w:r>
              <w:rPr>
                <w:rFonts w:cs="Arial"/>
                <w:szCs w:val="19"/>
                <w:lang w:val="en-US"/>
              </w:rPr>
              <w:t>≥</w:t>
            </w:r>
            <w:r w:rsidRPr="00301869">
              <w:rPr>
                <w:rFonts w:cs="Arial"/>
                <w:szCs w:val="19"/>
                <w:lang w:val="en-US"/>
              </w:rPr>
              <w:t xml:space="preserve">1 year with low-grade glioma with a BRAF V600E mutation who require systemic therapy, and </w:t>
            </w:r>
            <w:r>
              <w:rPr>
                <w:rFonts w:cs="Arial"/>
                <w:szCs w:val="19"/>
                <w:lang w:val="en-US"/>
              </w:rPr>
              <w:t>use</w:t>
            </w:r>
            <w:r w:rsidRPr="00301869">
              <w:rPr>
                <w:rFonts w:cs="Arial"/>
                <w:szCs w:val="19"/>
                <w:lang w:val="en-US"/>
              </w:rPr>
              <w:t xml:space="preserve"> in combination with dabrafenib for treatment of paediatric patients aged </w:t>
            </w:r>
            <w:r>
              <w:rPr>
                <w:rFonts w:cs="Arial"/>
                <w:szCs w:val="19"/>
                <w:lang w:val="en-US"/>
              </w:rPr>
              <w:t>≥</w:t>
            </w:r>
            <w:r w:rsidRPr="00301869">
              <w:rPr>
                <w:rFonts w:cs="Arial"/>
                <w:szCs w:val="19"/>
                <w:lang w:val="en-US"/>
              </w:rPr>
              <w:t>1 year with high-grade glioma with a BRAF V600E mutation who have received at least one prior radiation and/or chemotherapy treatment</w:t>
            </w:r>
          </w:p>
        </w:tc>
      </w:tr>
      <w:tr w:rsidR="002C3BD1" w:rsidRPr="00862949" w14:paraId="72463056" w14:textId="77777777" w:rsidTr="005A7E09">
        <w:tc>
          <w:tcPr>
            <w:tcW w:w="5000" w:type="pct"/>
            <w:gridSpan w:val="2"/>
            <w:shd w:val="clear" w:color="auto" w:fill="auto"/>
            <w:tcMar>
              <w:top w:w="0" w:type="dxa"/>
              <w:bottom w:w="0" w:type="dxa"/>
            </w:tcMar>
          </w:tcPr>
          <w:p w14:paraId="3E26D1AA" w14:textId="77777777" w:rsidR="002C3BD1" w:rsidRPr="00862949" w:rsidRDefault="002C3BD1" w:rsidP="002C3BD1">
            <w:pPr>
              <w:jc w:val="center"/>
              <w:rPr>
                <w:rFonts w:cs="Arial"/>
                <w:noProof/>
                <w:sz w:val="8"/>
                <w:szCs w:val="8"/>
              </w:rPr>
            </w:pPr>
          </w:p>
        </w:tc>
      </w:tr>
      <w:tr w:rsidR="002C3BD1" w:rsidRPr="000F19E1" w14:paraId="1271EA76" w14:textId="77777777" w:rsidTr="00FE5305">
        <w:tc>
          <w:tcPr>
            <w:tcW w:w="1225" w:type="pct"/>
            <w:shd w:val="clear" w:color="auto" w:fill="DAEEF3"/>
            <w:tcMar>
              <w:top w:w="0" w:type="dxa"/>
              <w:bottom w:w="0" w:type="dxa"/>
            </w:tcMar>
          </w:tcPr>
          <w:p w14:paraId="09B93B52" w14:textId="77777777" w:rsidR="002C3BD1" w:rsidRPr="000F19E1" w:rsidRDefault="002C3BD1" w:rsidP="002C3BD1">
            <w:pPr>
              <w:rPr>
                <w:rFonts w:cs="Arial"/>
                <w:bCs/>
                <w:sz w:val="8"/>
                <w:szCs w:val="8"/>
              </w:rPr>
            </w:pPr>
          </w:p>
        </w:tc>
        <w:tc>
          <w:tcPr>
            <w:tcW w:w="3775" w:type="pct"/>
            <w:shd w:val="clear" w:color="auto" w:fill="DAEEF3"/>
            <w:tcMar>
              <w:top w:w="0" w:type="dxa"/>
              <w:bottom w:w="0" w:type="dxa"/>
            </w:tcMar>
          </w:tcPr>
          <w:p w14:paraId="222577CE" w14:textId="77777777" w:rsidR="002C3BD1" w:rsidRPr="000F19E1" w:rsidRDefault="002C3BD1" w:rsidP="002C3BD1">
            <w:pPr>
              <w:tabs>
                <w:tab w:val="center" w:pos="3152"/>
              </w:tabs>
              <w:rPr>
                <w:rFonts w:cs="Arial"/>
                <w:sz w:val="8"/>
                <w:szCs w:val="8"/>
                <w:lang w:val="en-US"/>
              </w:rPr>
            </w:pPr>
          </w:p>
        </w:tc>
      </w:tr>
    </w:tbl>
    <w:p w14:paraId="007F97DC" w14:textId="6EEF09EA" w:rsidR="00E26EFB" w:rsidRDefault="00E26EFB"/>
    <w:p w14:paraId="196F9E85" w14:textId="77777777" w:rsidR="003260B8" w:rsidRDefault="003260B8"/>
    <w:tbl>
      <w:tblPr>
        <w:tblW w:w="5170" w:type="pct"/>
        <w:tblInd w:w="-176" w:type="dxa"/>
        <w:tblLayout w:type="fixed"/>
        <w:tblLook w:val="01E0" w:firstRow="1" w:lastRow="1" w:firstColumn="1" w:lastColumn="1" w:noHBand="0" w:noVBand="0"/>
      </w:tblPr>
      <w:tblGrid>
        <w:gridCol w:w="2019"/>
        <w:gridCol w:w="8532"/>
      </w:tblGrid>
      <w:tr w:rsidR="00707E1D" w:rsidRPr="00862949" w14:paraId="0BFD9BA5" w14:textId="77777777" w:rsidTr="003D582F">
        <w:tc>
          <w:tcPr>
            <w:tcW w:w="5000" w:type="pct"/>
            <w:gridSpan w:val="2"/>
            <w:shd w:val="clear" w:color="auto" w:fill="0070C0"/>
            <w:tcMar>
              <w:top w:w="85" w:type="dxa"/>
              <w:bottom w:w="85" w:type="dxa"/>
            </w:tcMar>
            <w:vAlign w:val="bottom"/>
          </w:tcPr>
          <w:p w14:paraId="0716AD28" w14:textId="77777777" w:rsidR="00707E1D" w:rsidRPr="00862949" w:rsidRDefault="00707E1D" w:rsidP="003D582F">
            <w:pPr>
              <w:rPr>
                <w:rFonts w:cs="Arial"/>
                <w:color w:val="FFFFFF"/>
                <w:sz w:val="15"/>
                <w:szCs w:val="15"/>
              </w:rPr>
            </w:pPr>
            <w:r w:rsidRPr="00862949">
              <w:rPr>
                <w:rFonts w:cs="Arial"/>
                <w:b/>
                <w:bCs/>
                <w:iCs/>
                <w:color w:val="FFFFFF"/>
                <w:sz w:val="28"/>
                <w:szCs w:val="28"/>
                <w:lang w:val="en-US"/>
              </w:rPr>
              <w:t xml:space="preserve">Regulatory changes in the </w:t>
            </w:r>
            <w:r>
              <w:rPr>
                <w:rFonts w:cs="Arial"/>
                <w:b/>
                <w:bCs/>
                <w:iCs/>
                <w:color w:val="FFFFFF"/>
                <w:sz w:val="28"/>
                <w:szCs w:val="28"/>
                <w:lang w:val="en-US"/>
              </w:rPr>
              <w:t xml:space="preserve">UK or </w:t>
            </w:r>
            <w:r w:rsidRPr="00862949">
              <w:rPr>
                <w:rFonts w:cs="Arial"/>
                <w:b/>
                <w:bCs/>
                <w:iCs/>
                <w:color w:val="FFFFFF"/>
                <w:sz w:val="28"/>
                <w:szCs w:val="28"/>
                <w:lang w:val="en-US"/>
              </w:rPr>
              <w:t>EU</w:t>
            </w:r>
            <w:r w:rsidRPr="00862949">
              <w:rPr>
                <w:rFonts w:cs="Arial"/>
                <w:b/>
                <w:bCs/>
                <w:iCs/>
                <w:color w:val="FFFFFF"/>
                <w:sz w:val="28"/>
                <w:szCs w:val="28"/>
                <w:lang w:val="en-US"/>
              </w:rPr>
              <w:tab/>
            </w:r>
          </w:p>
        </w:tc>
      </w:tr>
      <w:tr w:rsidR="00707E1D" w:rsidRPr="000F19E1" w14:paraId="4CC68DDF" w14:textId="77777777" w:rsidTr="003260B8">
        <w:tc>
          <w:tcPr>
            <w:tcW w:w="957" w:type="pct"/>
            <w:shd w:val="clear" w:color="auto" w:fill="DAEEF3"/>
            <w:tcMar>
              <w:top w:w="0" w:type="dxa"/>
              <w:bottom w:w="0" w:type="dxa"/>
            </w:tcMar>
          </w:tcPr>
          <w:p w14:paraId="1B48CC31" w14:textId="77777777" w:rsidR="00707E1D" w:rsidRPr="000F19E1" w:rsidRDefault="00707E1D" w:rsidP="003D582F">
            <w:pPr>
              <w:rPr>
                <w:rFonts w:cs="Arial"/>
                <w:bCs/>
                <w:sz w:val="8"/>
                <w:szCs w:val="8"/>
              </w:rPr>
            </w:pPr>
          </w:p>
        </w:tc>
        <w:tc>
          <w:tcPr>
            <w:tcW w:w="4043" w:type="pct"/>
            <w:shd w:val="clear" w:color="auto" w:fill="DAEEF3"/>
            <w:tcMar>
              <w:top w:w="0" w:type="dxa"/>
              <w:bottom w:w="0" w:type="dxa"/>
            </w:tcMar>
          </w:tcPr>
          <w:p w14:paraId="52CE3B52" w14:textId="77777777" w:rsidR="00707E1D" w:rsidRPr="000F19E1" w:rsidRDefault="00707E1D" w:rsidP="003D582F">
            <w:pPr>
              <w:tabs>
                <w:tab w:val="center" w:pos="3152"/>
              </w:tabs>
              <w:rPr>
                <w:rFonts w:cs="Arial"/>
                <w:sz w:val="8"/>
                <w:szCs w:val="8"/>
                <w:lang w:val="en-US"/>
              </w:rPr>
            </w:pPr>
          </w:p>
        </w:tc>
      </w:tr>
      <w:tr w:rsidR="00707E1D" w:rsidRPr="00433D3E" w14:paraId="68A4D64A" w14:textId="77777777" w:rsidTr="003D582F">
        <w:tc>
          <w:tcPr>
            <w:tcW w:w="5000" w:type="pct"/>
            <w:gridSpan w:val="2"/>
            <w:shd w:val="clear" w:color="auto" w:fill="00B050"/>
            <w:tcMar>
              <w:top w:w="57" w:type="dxa"/>
              <w:bottom w:w="57" w:type="dxa"/>
            </w:tcMar>
          </w:tcPr>
          <w:p w14:paraId="783D7455" w14:textId="77777777" w:rsidR="00707E1D" w:rsidRPr="0021490D" w:rsidRDefault="00707E1D" w:rsidP="003D582F">
            <w:pPr>
              <w:rPr>
                <w:rFonts w:cs="Arial"/>
                <w:noProof/>
                <w:color w:val="FFFFFF"/>
                <w:sz w:val="16"/>
                <w:szCs w:val="16"/>
              </w:rPr>
            </w:pPr>
            <w:r>
              <w:rPr>
                <w:rFonts w:cs="Arial"/>
                <w:b/>
                <w:bCs/>
                <w:i/>
                <w:iCs/>
                <w:color w:val="FFFFFF"/>
                <w:sz w:val="22"/>
                <w:szCs w:val="20"/>
                <w:lang w:val="en-US"/>
              </w:rPr>
              <w:t xml:space="preserve">Recommended for approval in </w:t>
            </w:r>
            <w:r w:rsidRPr="00433D3E">
              <w:rPr>
                <w:rFonts w:cs="Arial"/>
                <w:b/>
                <w:bCs/>
                <w:i/>
                <w:iCs/>
                <w:color w:val="FFFFFF"/>
                <w:sz w:val="22"/>
                <w:szCs w:val="20"/>
                <w:lang w:val="en-US"/>
              </w:rPr>
              <w:t xml:space="preserve">the </w:t>
            </w:r>
            <w:r>
              <w:rPr>
                <w:rFonts w:cs="Arial"/>
                <w:b/>
                <w:bCs/>
                <w:i/>
                <w:iCs/>
                <w:color w:val="FFFFFF"/>
                <w:sz w:val="22"/>
                <w:szCs w:val="20"/>
                <w:lang w:val="en-US"/>
              </w:rPr>
              <w:t xml:space="preserve">UK or </w:t>
            </w:r>
            <w:r w:rsidRPr="00433D3E">
              <w:rPr>
                <w:rFonts w:cs="Arial"/>
                <w:b/>
                <w:bCs/>
                <w:i/>
                <w:iCs/>
                <w:color w:val="FFFFFF"/>
                <w:sz w:val="22"/>
                <w:szCs w:val="20"/>
                <w:lang w:val="en-US"/>
              </w:rPr>
              <w:t>EU</w:t>
            </w:r>
          </w:p>
        </w:tc>
      </w:tr>
      <w:tr w:rsidR="00707E1D" w:rsidRPr="00A075A3" w14:paraId="5372AEE9" w14:textId="77777777" w:rsidTr="003260B8">
        <w:tc>
          <w:tcPr>
            <w:tcW w:w="957" w:type="pct"/>
            <w:shd w:val="clear" w:color="auto" w:fill="auto"/>
            <w:tcMar>
              <w:top w:w="57" w:type="dxa"/>
              <w:bottom w:w="57" w:type="dxa"/>
            </w:tcMar>
          </w:tcPr>
          <w:p w14:paraId="16BDC700" w14:textId="77777777" w:rsidR="00707E1D" w:rsidRPr="00D079DD" w:rsidRDefault="00707E1D" w:rsidP="003D582F">
            <w:pPr>
              <w:rPr>
                <w:rFonts w:cs="Arial"/>
                <w:szCs w:val="19"/>
              </w:rPr>
            </w:pPr>
            <w:proofErr w:type="spellStart"/>
            <w:r>
              <w:rPr>
                <w:rFonts w:cs="Arial"/>
                <w:szCs w:val="19"/>
              </w:rPr>
              <w:t>Abrocitinib</w:t>
            </w:r>
            <w:proofErr w:type="spellEnd"/>
            <w:r>
              <w:rPr>
                <w:rFonts w:cs="Arial"/>
                <w:szCs w:val="19"/>
              </w:rPr>
              <w:t xml:space="preserve"> (</w:t>
            </w:r>
            <w:proofErr w:type="spellStart"/>
            <w:r>
              <w:rPr>
                <w:rFonts w:cs="Arial"/>
                <w:i/>
                <w:iCs/>
                <w:szCs w:val="19"/>
              </w:rPr>
              <w:t>Cibinqo</w:t>
            </w:r>
            <w:proofErr w:type="spellEnd"/>
            <w:r>
              <w:rPr>
                <w:rFonts w:cs="Arial"/>
                <w:szCs w:val="19"/>
              </w:rPr>
              <w:t>)</w:t>
            </w:r>
          </w:p>
        </w:tc>
        <w:tc>
          <w:tcPr>
            <w:tcW w:w="4043" w:type="pct"/>
            <w:shd w:val="clear" w:color="auto" w:fill="auto"/>
            <w:tcMar>
              <w:top w:w="57" w:type="dxa"/>
              <w:bottom w:w="57" w:type="dxa"/>
            </w:tcMar>
          </w:tcPr>
          <w:p w14:paraId="098816FB" w14:textId="77777777" w:rsidR="00707E1D" w:rsidRDefault="00707E1D" w:rsidP="003D582F">
            <w:pPr>
              <w:tabs>
                <w:tab w:val="center" w:pos="3152"/>
              </w:tabs>
              <w:rPr>
                <w:rFonts w:cs="Arial"/>
                <w:sz w:val="16"/>
                <w:szCs w:val="16"/>
                <w:lang w:val="en-US"/>
              </w:rPr>
            </w:pPr>
            <w:r w:rsidRPr="00D079DD">
              <w:rPr>
                <w:rFonts w:cs="Arial"/>
                <w:szCs w:val="19"/>
                <w:lang w:val="en-US"/>
              </w:rPr>
              <w:t xml:space="preserve">Treatment of moderate-to-severe atopic dermatitis in adults and adolescents </w:t>
            </w:r>
            <w:r>
              <w:rPr>
                <w:rFonts w:cs="Arial"/>
                <w:szCs w:val="19"/>
                <w:lang w:val="en-US"/>
              </w:rPr>
              <w:t>aged ≥</w:t>
            </w:r>
            <w:r w:rsidRPr="00D079DD">
              <w:rPr>
                <w:rFonts w:cs="Arial"/>
                <w:szCs w:val="19"/>
                <w:lang w:val="en-US"/>
              </w:rPr>
              <w:t>12 years who are candidates for systemic therapy</w:t>
            </w:r>
            <w:r w:rsidRPr="00D079DD">
              <w:rPr>
                <w:rFonts w:cs="Arial"/>
                <w:sz w:val="16"/>
                <w:szCs w:val="16"/>
                <w:lang w:val="en-US"/>
              </w:rPr>
              <w:t xml:space="preserve"> [EU] [licence change from use only in adults] </w:t>
            </w:r>
          </w:p>
          <w:p w14:paraId="44E655B4" w14:textId="77777777" w:rsidR="00707E1D" w:rsidRPr="009C27A3" w:rsidRDefault="00707E1D" w:rsidP="003D582F">
            <w:pPr>
              <w:tabs>
                <w:tab w:val="center" w:pos="3152"/>
              </w:tabs>
              <w:rPr>
                <w:rFonts w:cs="Arial"/>
                <w:szCs w:val="19"/>
                <w:lang w:val="en-US"/>
              </w:rPr>
            </w:pPr>
            <w:r w:rsidRPr="00D079DD">
              <w:rPr>
                <w:rFonts w:cs="Arial"/>
                <w:i/>
                <w:iCs/>
                <w:sz w:val="16"/>
                <w:szCs w:val="16"/>
                <w:lang w:val="en-US"/>
              </w:rPr>
              <w:t xml:space="preserve">Note: Already licensed for treatment of </w:t>
            </w:r>
            <w:r>
              <w:rPr>
                <w:rFonts w:cs="Arial"/>
                <w:i/>
                <w:iCs/>
                <w:sz w:val="16"/>
                <w:szCs w:val="16"/>
                <w:lang w:val="en-US"/>
              </w:rPr>
              <w:t>adolescents</w:t>
            </w:r>
            <w:r w:rsidRPr="00D079DD">
              <w:rPr>
                <w:rFonts w:cs="Arial"/>
                <w:i/>
                <w:iCs/>
                <w:sz w:val="16"/>
                <w:szCs w:val="16"/>
                <w:lang w:val="en-US"/>
              </w:rPr>
              <w:t xml:space="preserve"> in the UK</w:t>
            </w:r>
          </w:p>
        </w:tc>
      </w:tr>
      <w:tr w:rsidR="00707E1D" w:rsidRPr="00A075A3" w14:paraId="7AAF9A81" w14:textId="77777777" w:rsidTr="003260B8">
        <w:tc>
          <w:tcPr>
            <w:tcW w:w="957" w:type="pct"/>
            <w:shd w:val="clear" w:color="auto" w:fill="auto"/>
            <w:tcMar>
              <w:top w:w="57" w:type="dxa"/>
              <w:bottom w:w="57" w:type="dxa"/>
            </w:tcMar>
          </w:tcPr>
          <w:p w14:paraId="71ACF649" w14:textId="77777777" w:rsidR="00707E1D" w:rsidRPr="00813950" w:rsidRDefault="00707E1D" w:rsidP="003D582F">
            <w:pPr>
              <w:rPr>
                <w:rFonts w:cs="Arial"/>
                <w:szCs w:val="19"/>
              </w:rPr>
            </w:pPr>
            <w:proofErr w:type="spellStart"/>
            <w:r w:rsidRPr="009C27A3">
              <w:rPr>
                <w:rFonts w:cs="Arial"/>
                <w:szCs w:val="19"/>
              </w:rPr>
              <w:t>Ciltacabtagene</w:t>
            </w:r>
            <w:proofErr w:type="spellEnd"/>
            <w:r w:rsidRPr="009C27A3">
              <w:rPr>
                <w:rFonts w:cs="Arial"/>
                <w:szCs w:val="19"/>
              </w:rPr>
              <w:t xml:space="preserve"> </w:t>
            </w:r>
            <w:proofErr w:type="spellStart"/>
            <w:r w:rsidRPr="009C27A3">
              <w:rPr>
                <w:rFonts w:cs="Arial"/>
                <w:szCs w:val="19"/>
              </w:rPr>
              <w:t>autoleucel</w:t>
            </w:r>
            <w:proofErr w:type="spellEnd"/>
            <w:r w:rsidRPr="009C27A3">
              <w:rPr>
                <w:rFonts w:cs="Arial"/>
                <w:szCs w:val="19"/>
              </w:rPr>
              <w:t xml:space="preserve"> </w:t>
            </w:r>
            <w:r>
              <w:rPr>
                <w:rFonts w:cs="Arial"/>
                <w:szCs w:val="19"/>
              </w:rPr>
              <w:t>(</w:t>
            </w:r>
            <w:proofErr w:type="spellStart"/>
            <w:r>
              <w:rPr>
                <w:rFonts w:cs="Arial"/>
                <w:i/>
                <w:iCs/>
                <w:szCs w:val="19"/>
              </w:rPr>
              <w:t>Carvykti</w:t>
            </w:r>
            <w:proofErr w:type="spellEnd"/>
            <w:r>
              <w:rPr>
                <w:rFonts w:cs="Arial"/>
                <w:szCs w:val="19"/>
              </w:rPr>
              <w:t>)</w:t>
            </w:r>
          </w:p>
        </w:tc>
        <w:tc>
          <w:tcPr>
            <w:tcW w:w="4043" w:type="pct"/>
            <w:shd w:val="clear" w:color="auto" w:fill="auto"/>
            <w:tcMar>
              <w:top w:w="57" w:type="dxa"/>
              <w:bottom w:w="57" w:type="dxa"/>
            </w:tcMar>
          </w:tcPr>
          <w:p w14:paraId="13713FF7" w14:textId="77777777" w:rsidR="00707E1D" w:rsidRPr="00A075A3" w:rsidRDefault="00707E1D" w:rsidP="003D582F">
            <w:pPr>
              <w:tabs>
                <w:tab w:val="center" w:pos="3152"/>
              </w:tabs>
              <w:rPr>
                <w:rFonts w:cs="Arial"/>
                <w:szCs w:val="19"/>
                <w:lang w:val="en-US"/>
              </w:rPr>
            </w:pPr>
            <w:r w:rsidRPr="009C27A3">
              <w:rPr>
                <w:rFonts w:cs="Arial"/>
                <w:szCs w:val="19"/>
                <w:lang w:val="en-US"/>
              </w:rPr>
              <w:t xml:space="preserve">Treatment of adults with relapsed and refractory multiple myeloma, who have received at least one prior therapy, including an immunomodulatory agent and a proteasome inhibitor, have demonstrated disease progression on the last therapy, and are refractory to lenalidomide </w:t>
            </w:r>
            <w:r w:rsidRPr="009C27A3">
              <w:rPr>
                <w:rFonts w:cs="Arial"/>
                <w:sz w:val="16"/>
                <w:szCs w:val="16"/>
                <w:lang w:val="en-US"/>
              </w:rPr>
              <w:t>[EU] [licence change from use only after three prior therapies]</w:t>
            </w:r>
          </w:p>
        </w:tc>
      </w:tr>
      <w:tr w:rsidR="00707E1D" w:rsidRPr="00A075A3" w14:paraId="0EFAA731" w14:textId="77777777" w:rsidTr="003260B8">
        <w:tc>
          <w:tcPr>
            <w:tcW w:w="957" w:type="pct"/>
            <w:shd w:val="clear" w:color="auto" w:fill="auto"/>
            <w:tcMar>
              <w:top w:w="57" w:type="dxa"/>
              <w:bottom w:w="57" w:type="dxa"/>
            </w:tcMar>
          </w:tcPr>
          <w:p w14:paraId="3DC73469" w14:textId="77777777" w:rsidR="00707E1D" w:rsidRPr="009C27A3" w:rsidRDefault="00707E1D" w:rsidP="003D582F">
            <w:pPr>
              <w:rPr>
                <w:rFonts w:cs="Arial"/>
                <w:szCs w:val="19"/>
              </w:rPr>
            </w:pPr>
            <w:proofErr w:type="spellStart"/>
            <w:r w:rsidRPr="00776ED4">
              <w:rPr>
                <w:rFonts w:cs="Arial"/>
                <w:szCs w:val="19"/>
              </w:rPr>
              <w:t>Danicopan</w:t>
            </w:r>
            <w:proofErr w:type="spellEnd"/>
            <w:r>
              <w:rPr>
                <w:rFonts w:cs="Arial"/>
                <w:szCs w:val="19"/>
              </w:rPr>
              <w:t xml:space="preserve"> (</w:t>
            </w:r>
            <w:proofErr w:type="spellStart"/>
            <w:r>
              <w:rPr>
                <w:rFonts w:cs="Arial"/>
                <w:i/>
                <w:iCs/>
                <w:szCs w:val="19"/>
              </w:rPr>
              <w:t>Voydeya</w:t>
            </w:r>
            <w:proofErr w:type="spellEnd"/>
            <w:r>
              <w:rPr>
                <w:rFonts w:cs="Arial"/>
                <w:szCs w:val="19"/>
              </w:rPr>
              <w:t>)</w:t>
            </w:r>
          </w:p>
        </w:tc>
        <w:tc>
          <w:tcPr>
            <w:tcW w:w="4043" w:type="pct"/>
            <w:shd w:val="clear" w:color="auto" w:fill="auto"/>
            <w:tcMar>
              <w:top w:w="57" w:type="dxa"/>
              <w:bottom w:w="57" w:type="dxa"/>
            </w:tcMar>
          </w:tcPr>
          <w:p w14:paraId="1E326934" w14:textId="77777777" w:rsidR="00707E1D" w:rsidRPr="00A075A3" w:rsidRDefault="00707E1D" w:rsidP="003D582F">
            <w:pPr>
              <w:tabs>
                <w:tab w:val="center" w:pos="3152"/>
              </w:tabs>
              <w:rPr>
                <w:rFonts w:cs="Arial"/>
                <w:szCs w:val="19"/>
                <w:lang w:val="en-US"/>
              </w:rPr>
            </w:pPr>
            <w:r>
              <w:rPr>
                <w:rFonts w:cs="Arial"/>
                <w:szCs w:val="19"/>
                <w:lang w:val="en-US"/>
              </w:rPr>
              <w:t xml:space="preserve">Use </w:t>
            </w:r>
            <w:r w:rsidRPr="00776ED4">
              <w:rPr>
                <w:rFonts w:cs="Arial"/>
                <w:szCs w:val="19"/>
                <w:lang w:val="en-US"/>
              </w:rPr>
              <w:t xml:space="preserve">as an add-on to </w:t>
            </w:r>
            <w:proofErr w:type="spellStart"/>
            <w:r w:rsidRPr="00776ED4">
              <w:rPr>
                <w:rFonts w:cs="Arial"/>
                <w:szCs w:val="19"/>
                <w:lang w:val="en-US"/>
              </w:rPr>
              <w:t>ravulizumab</w:t>
            </w:r>
            <w:proofErr w:type="spellEnd"/>
            <w:r w:rsidRPr="00776ED4">
              <w:rPr>
                <w:rFonts w:cs="Arial"/>
                <w:szCs w:val="19"/>
                <w:lang w:val="en-US"/>
              </w:rPr>
              <w:t xml:space="preserve"> or eculizumab for the treatment of adults with paroxysmal nocturnal haemoglobinuria who have residual </w:t>
            </w:r>
            <w:proofErr w:type="spellStart"/>
            <w:r w:rsidRPr="00776ED4">
              <w:rPr>
                <w:rFonts w:cs="Arial"/>
                <w:szCs w:val="19"/>
                <w:lang w:val="en-US"/>
              </w:rPr>
              <w:t>haemolytic</w:t>
            </w:r>
            <w:proofErr w:type="spellEnd"/>
            <w:r w:rsidRPr="00776ED4">
              <w:rPr>
                <w:rFonts w:cs="Arial"/>
                <w:szCs w:val="19"/>
                <w:lang w:val="en-US"/>
              </w:rPr>
              <w:t xml:space="preserve"> </w:t>
            </w:r>
            <w:proofErr w:type="spellStart"/>
            <w:r w:rsidRPr="00776ED4">
              <w:rPr>
                <w:rFonts w:cs="Arial"/>
                <w:szCs w:val="19"/>
                <w:lang w:val="en-US"/>
              </w:rPr>
              <w:t>anaemia</w:t>
            </w:r>
            <w:proofErr w:type="spellEnd"/>
            <w:r>
              <w:rPr>
                <w:rFonts w:cs="Arial"/>
                <w:szCs w:val="19"/>
                <w:lang w:val="en-US"/>
              </w:rPr>
              <w:t xml:space="preserve"> </w:t>
            </w:r>
            <w:r w:rsidRPr="00776ED4">
              <w:rPr>
                <w:rFonts w:cs="Arial"/>
                <w:sz w:val="16"/>
                <w:szCs w:val="16"/>
                <w:lang w:val="en-US"/>
              </w:rPr>
              <w:t>[EU]</w:t>
            </w:r>
          </w:p>
        </w:tc>
      </w:tr>
      <w:tr w:rsidR="003260B8" w:rsidRPr="00A075A3" w14:paraId="12A84984" w14:textId="77777777" w:rsidTr="003260B8">
        <w:tc>
          <w:tcPr>
            <w:tcW w:w="957" w:type="pct"/>
            <w:shd w:val="clear" w:color="auto" w:fill="auto"/>
            <w:tcMar>
              <w:top w:w="57" w:type="dxa"/>
              <w:bottom w:w="57" w:type="dxa"/>
            </w:tcMar>
          </w:tcPr>
          <w:p w14:paraId="49FA0073" w14:textId="44F2D230" w:rsidR="003260B8" w:rsidRDefault="003260B8" w:rsidP="003260B8">
            <w:pPr>
              <w:rPr>
                <w:rFonts w:cs="Arial"/>
                <w:szCs w:val="19"/>
              </w:rPr>
            </w:pPr>
            <w:r>
              <w:rPr>
                <w:rFonts w:cs="Arial"/>
                <w:szCs w:val="19"/>
              </w:rPr>
              <w:t>Denosumab (</w:t>
            </w:r>
            <w:proofErr w:type="spellStart"/>
            <w:r>
              <w:rPr>
                <w:rFonts w:cs="Arial"/>
                <w:i/>
                <w:iCs/>
                <w:szCs w:val="19"/>
              </w:rPr>
              <w:t>Xgeva</w:t>
            </w:r>
            <w:proofErr w:type="spellEnd"/>
            <w:r>
              <w:rPr>
                <w:rFonts w:cs="Arial"/>
                <w:szCs w:val="19"/>
              </w:rPr>
              <w:t>)</w:t>
            </w:r>
          </w:p>
        </w:tc>
        <w:tc>
          <w:tcPr>
            <w:tcW w:w="4043" w:type="pct"/>
            <w:shd w:val="clear" w:color="auto" w:fill="auto"/>
            <w:tcMar>
              <w:top w:w="57" w:type="dxa"/>
              <w:bottom w:w="57" w:type="dxa"/>
            </w:tcMar>
          </w:tcPr>
          <w:p w14:paraId="511474A3" w14:textId="77777777" w:rsidR="003260B8" w:rsidRDefault="003260B8" w:rsidP="003260B8">
            <w:pPr>
              <w:tabs>
                <w:tab w:val="center" w:pos="3152"/>
              </w:tabs>
              <w:rPr>
                <w:rFonts w:cs="Arial"/>
                <w:color w:val="000000"/>
                <w:sz w:val="16"/>
                <w:szCs w:val="16"/>
                <w:lang w:val="en-US"/>
              </w:rPr>
            </w:pPr>
            <w:r w:rsidRPr="00FE5305">
              <w:rPr>
                <w:rFonts w:cs="Arial"/>
                <w:color w:val="000000"/>
                <w:szCs w:val="19"/>
                <w:lang w:val="en-US"/>
              </w:rPr>
              <w:t>Prevention of skeletal related events (pathological fracture, radiation to bone, spinal cord compression or surgery to bone) in adults with advanced malignancies involving bone, and treatment of adults and skeletally mature adolescents with giant cell tumour of bone that is unresectable or where surgical resection is likely to result in severe morbidity</w:t>
            </w:r>
            <w:r>
              <w:rPr>
                <w:rFonts w:cs="Arial"/>
                <w:color w:val="000000"/>
                <w:szCs w:val="19"/>
                <w:lang w:val="en-US"/>
              </w:rPr>
              <w:t xml:space="preserve"> </w:t>
            </w:r>
            <w:r w:rsidRPr="003260B8">
              <w:rPr>
                <w:rFonts w:cs="Arial"/>
                <w:color w:val="000000"/>
                <w:sz w:val="16"/>
                <w:szCs w:val="16"/>
                <w:lang w:val="en-US"/>
              </w:rPr>
              <w:t xml:space="preserve">[EU] </w:t>
            </w:r>
          </w:p>
          <w:p w14:paraId="16F01026" w14:textId="38C373E3" w:rsidR="003260B8" w:rsidRPr="00F54B05" w:rsidRDefault="003260B8" w:rsidP="003260B8">
            <w:pPr>
              <w:tabs>
                <w:tab w:val="center" w:pos="3152"/>
              </w:tabs>
              <w:rPr>
                <w:rFonts w:cs="Arial"/>
                <w:szCs w:val="19"/>
                <w:lang w:val="en-US"/>
              </w:rPr>
            </w:pPr>
            <w:r w:rsidRPr="003260B8">
              <w:rPr>
                <w:rFonts w:cs="Arial"/>
                <w:color w:val="000000"/>
                <w:sz w:val="16"/>
                <w:szCs w:val="16"/>
                <w:lang w:val="en-US"/>
              </w:rPr>
              <w:t xml:space="preserve">[new prefilled syringe formulation] </w:t>
            </w:r>
            <w:r w:rsidRPr="003260B8">
              <w:rPr>
                <w:rFonts w:cs="Arial"/>
                <w:i/>
                <w:iCs/>
                <w:color w:val="000000"/>
                <w:sz w:val="16"/>
                <w:szCs w:val="16"/>
                <w:lang w:val="en-US"/>
              </w:rPr>
              <w:t xml:space="preserve">Note: </w:t>
            </w:r>
            <w:r>
              <w:rPr>
                <w:rFonts w:cs="Arial"/>
                <w:i/>
                <w:iCs/>
                <w:color w:val="000000"/>
                <w:sz w:val="16"/>
                <w:szCs w:val="16"/>
                <w:lang w:val="en-US"/>
              </w:rPr>
              <w:t>This formulation a</w:t>
            </w:r>
            <w:r w:rsidRPr="003260B8">
              <w:rPr>
                <w:rFonts w:cs="Arial"/>
                <w:i/>
                <w:iCs/>
                <w:color w:val="000000"/>
                <w:sz w:val="16"/>
                <w:szCs w:val="16"/>
                <w:lang w:val="en-US"/>
              </w:rPr>
              <w:t>lready licensed in the UK</w:t>
            </w:r>
          </w:p>
        </w:tc>
      </w:tr>
      <w:tr w:rsidR="003260B8" w:rsidRPr="00A075A3" w14:paraId="2761D6C7" w14:textId="77777777" w:rsidTr="003260B8">
        <w:tc>
          <w:tcPr>
            <w:tcW w:w="957" w:type="pct"/>
            <w:shd w:val="clear" w:color="auto" w:fill="auto"/>
            <w:tcMar>
              <w:top w:w="57" w:type="dxa"/>
              <w:bottom w:w="57" w:type="dxa"/>
            </w:tcMar>
          </w:tcPr>
          <w:p w14:paraId="40ECB83A" w14:textId="77777777" w:rsidR="003260B8" w:rsidRPr="00F54B05" w:rsidRDefault="003260B8" w:rsidP="003260B8">
            <w:pPr>
              <w:rPr>
                <w:rFonts w:cs="Arial"/>
                <w:szCs w:val="19"/>
              </w:rPr>
            </w:pPr>
            <w:r>
              <w:rPr>
                <w:rFonts w:cs="Arial"/>
                <w:szCs w:val="19"/>
              </w:rPr>
              <w:t>Hydroxycarbamide (</w:t>
            </w:r>
            <w:proofErr w:type="spellStart"/>
            <w:r>
              <w:rPr>
                <w:rFonts w:cs="Arial"/>
                <w:i/>
                <w:iCs/>
                <w:szCs w:val="19"/>
              </w:rPr>
              <w:t>Xromi</w:t>
            </w:r>
            <w:proofErr w:type="spellEnd"/>
            <w:r>
              <w:rPr>
                <w:rFonts w:cs="Arial"/>
                <w:szCs w:val="19"/>
              </w:rPr>
              <w:t>)</w:t>
            </w:r>
          </w:p>
        </w:tc>
        <w:tc>
          <w:tcPr>
            <w:tcW w:w="4043" w:type="pct"/>
            <w:shd w:val="clear" w:color="auto" w:fill="auto"/>
            <w:tcMar>
              <w:top w:w="57" w:type="dxa"/>
              <w:bottom w:w="57" w:type="dxa"/>
            </w:tcMar>
          </w:tcPr>
          <w:p w14:paraId="5464501A" w14:textId="77777777" w:rsidR="003260B8" w:rsidRDefault="003260B8" w:rsidP="003260B8">
            <w:pPr>
              <w:tabs>
                <w:tab w:val="center" w:pos="3152"/>
              </w:tabs>
              <w:rPr>
                <w:rFonts w:cs="Arial"/>
                <w:szCs w:val="19"/>
                <w:lang w:val="en-US"/>
              </w:rPr>
            </w:pPr>
            <w:r w:rsidRPr="00F54B05">
              <w:rPr>
                <w:rFonts w:cs="Arial"/>
                <w:szCs w:val="19"/>
                <w:lang w:val="en-US"/>
              </w:rPr>
              <w:t xml:space="preserve">Prevention of vaso-occlusive complications of </w:t>
            </w:r>
            <w:r>
              <w:rPr>
                <w:rFonts w:cs="Arial"/>
                <w:szCs w:val="19"/>
                <w:lang w:val="en-US"/>
              </w:rPr>
              <w:t>s</w:t>
            </w:r>
            <w:r w:rsidRPr="00F54B05">
              <w:rPr>
                <w:rFonts w:cs="Arial"/>
                <w:szCs w:val="19"/>
                <w:lang w:val="en-US"/>
              </w:rPr>
              <w:t xml:space="preserve">ickle </w:t>
            </w:r>
            <w:r>
              <w:rPr>
                <w:rFonts w:cs="Arial"/>
                <w:szCs w:val="19"/>
                <w:lang w:val="en-US"/>
              </w:rPr>
              <w:t>c</w:t>
            </w:r>
            <w:r w:rsidRPr="00F54B05">
              <w:rPr>
                <w:rFonts w:cs="Arial"/>
                <w:szCs w:val="19"/>
                <w:lang w:val="en-US"/>
              </w:rPr>
              <w:t xml:space="preserve">ell </w:t>
            </w:r>
            <w:r>
              <w:rPr>
                <w:rFonts w:cs="Arial"/>
                <w:szCs w:val="19"/>
                <w:lang w:val="en-US"/>
              </w:rPr>
              <w:t>d</w:t>
            </w:r>
            <w:r w:rsidRPr="00F54B05">
              <w:rPr>
                <w:rFonts w:cs="Arial"/>
                <w:szCs w:val="19"/>
                <w:lang w:val="en-US"/>
              </w:rPr>
              <w:t xml:space="preserve">isease in patients </w:t>
            </w:r>
            <w:r>
              <w:rPr>
                <w:rFonts w:cs="Arial"/>
                <w:szCs w:val="19"/>
                <w:lang w:val="en-US"/>
              </w:rPr>
              <w:t>aged &gt;</w:t>
            </w:r>
            <w:r w:rsidRPr="00F54B05">
              <w:rPr>
                <w:rFonts w:cs="Arial"/>
                <w:szCs w:val="19"/>
                <w:lang w:val="en-US"/>
              </w:rPr>
              <w:t xml:space="preserve">9 months </w:t>
            </w:r>
            <w:r w:rsidRPr="00F54B05">
              <w:rPr>
                <w:rFonts w:cs="Arial"/>
                <w:sz w:val="16"/>
                <w:szCs w:val="16"/>
                <w:lang w:val="en-US"/>
              </w:rPr>
              <w:t>[EU] [licence change from use only in patients aged &gt;2 years]</w:t>
            </w:r>
          </w:p>
        </w:tc>
      </w:tr>
      <w:tr w:rsidR="003260B8" w:rsidRPr="00A075A3" w14:paraId="1401A461" w14:textId="77777777" w:rsidTr="003260B8">
        <w:tc>
          <w:tcPr>
            <w:tcW w:w="957" w:type="pct"/>
            <w:shd w:val="clear" w:color="auto" w:fill="auto"/>
            <w:tcMar>
              <w:top w:w="57" w:type="dxa"/>
              <w:bottom w:w="57" w:type="dxa"/>
            </w:tcMar>
          </w:tcPr>
          <w:p w14:paraId="6F796842" w14:textId="77777777" w:rsidR="003260B8" w:rsidRPr="00776ED4" w:rsidRDefault="003260B8" w:rsidP="003260B8">
            <w:pPr>
              <w:rPr>
                <w:rFonts w:cs="Arial"/>
                <w:szCs w:val="19"/>
              </w:rPr>
            </w:pPr>
            <w:r>
              <w:rPr>
                <w:rFonts w:cs="Arial"/>
                <w:szCs w:val="19"/>
              </w:rPr>
              <w:t>Influenza vaccine (</w:t>
            </w:r>
            <w:proofErr w:type="spellStart"/>
            <w:r w:rsidRPr="0063140B">
              <w:rPr>
                <w:rFonts w:cs="Arial"/>
                <w:i/>
                <w:iCs/>
                <w:szCs w:val="19"/>
              </w:rPr>
              <w:t>Celldemic</w:t>
            </w:r>
            <w:proofErr w:type="spellEnd"/>
            <w:r>
              <w:rPr>
                <w:rFonts w:cs="Arial"/>
                <w:szCs w:val="19"/>
              </w:rPr>
              <w:t>)</w:t>
            </w:r>
          </w:p>
        </w:tc>
        <w:tc>
          <w:tcPr>
            <w:tcW w:w="4043" w:type="pct"/>
            <w:shd w:val="clear" w:color="auto" w:fill="auto"/>
            <w:tcMar>
              <w:top w:w="57" w:type="dxa"/>
              <w:bottom w:w="57" w:type="dxa"/>
            </w:tcMar>
          </w:tcPr>
          <w:p w14:paraId="1FA18F42" w14:textId="77777777" w:rsidR="003260B8" w:rsidRDefault="003260B8" w:rsidP="003260B8">
            <w:pPr>
              <w:tabs>
                <w:tab w:val="center" w:pos="3152"/>
              </w:tabs>
              <w:rPr>
                <w:rFonts w:cs="Arial"/>
                <w:szCs w:val="19"/>
                <w:lang w:val="en-US"/>
              </w:rPr>
            </w:pPr>
            <w:r w:rsidRPr="0063140B">
              <w:rPr>
                <w:rFonts w:cs="Arial"/>
                <w:szCs w:val="19"/>
                <w:lang w:val="en-US"/>
              </w:rPr>
              <w:t xml:space="preserve">Active immunisation against H5N1 subtype of </w:t>
            </w:r>
            <w:r>
              <w:rPr>
                <w:rFonts w:cs="Arial"/>
                <w:szCs w:val="19"/>
                <w:lang w:val="en-US"/>
              </w:rPr>
              <w:t>i</w:t>
            </w:r>
            <w:r w:rsidRPr="0063140B">
              <w:rPr>
                <w:rFonts w:cs="Arial"/>
                <w:szCs w:val="19"/>
                <w:lang w:val="en-US"/>
              </w:rPr>
              <w:t xml:space="preserve">nfluenza A virus in adults and infants </w:t>
            </w:r>
            <w:r>
              <w:rPr>
                <w:rFonts w:cs="Arial"/>
                <w:szCs w:val="19"/>
                <w:lang w:val="en-US"/>
              </w:rPr>
              <w:t>aged ≥</w:t>
            </w:r>
            <w:r w:rsidRPr="0063140B">
              <w:rPr>
                <w:rFonts w:cs="Arial"/>
                <w:szCs w:val="19"/>
                <w:lang w:val="en-US"/>
              </w:rPr>
              <w:t>6 months</w:t>
            </w:r>
            <w:r>
              <w:rPr>
                <w:rFonts w:cs="Arial"/>
                <w:szCs w:val="19"/>
                <w:lang w:val="en-US"/>
              </w:rPr>
              <w:t xml:space="preserve"> </w:t>
            </w:r>
            <w:r w:rsidRPr="0017266E">
              <w:rPr>
                <w:rFonts w:cs="Arial"/>
                <w:sz w:val="16"/>
                <w:szCs w:val="16"/>
                <w:lang w:val="en-US"/>
              </w:rPr>
              <w:t xml:space="preserve">[EU] </w:t>
            </w:r>
          </w:p>
        </w:tc>
      </w:tr>
      <w:tr w:rsidR="003260B8" w14:paraId="711FF605" w14:textId="77777777" w:rsidTr="003260B8">
        <w:tc>
          <w:tcPr>
            <w:tcW w:w="957" w:type="pct"/>
            <w:shd w:val="clear" w:color="auto" w:fill="auto"/>
            <w:tcMar>
              <w:top w:w="57" w:type="dxa"/>
              <w:bottom w:w="57" w:type="dxa"/>
            </w:tcMar>
          </w:tcPr>
          <w:p w14:paraId="1E0BE911" w14:textId="77777777" w:rsidR="003260B8" w:rsidRPr="006276AF" w:rsidRDefault="003260B8" w:rsidP="003260B8">
            <w:pPr>
              <w:rPr>
                <w:rFonts w:cs="Arial"/>
                <w:szCs w:val="19"/>
              </w:rPr>
            </w:pPr>
            <w:r>
              <w:rPr>
                <w:rFonts w:cs="Arial"/>
                <w:szCs w:val="19"/>
              </w:rPr>
              <w:t>Influenza vaccine (</w:t>
            </w:r>
            <w:proofErr w:type="spellStart"/>
            <w:r>
              <w:rPr>
                <w:rFonts w:cs="Arial"/>
                <w:i/>
                <w:iCs/>
                <w:szCs w:val="19"/>
              </w:rPr>
              <w:t>Incellipan</w:t>
            </w:r>
            <w:proofErr w:type="spellEnd"/>
            <w:r>
              <w:rPr>
                <w:rFonts w:cs="Arial"/>
                <w:szCs w:val="19"/>
              </w:rPr>
              <w:t>)</w:t>
            </w:r>
          </w:p>
        </w:tc>
        <w:tc>
          <w:tcPr>
            <w:tcW w:w="4043" w:type="pct"/>
            <w:shd w:val="clear" w:color="auto" w:fill="auto"/>
            <w:tcMar>
              <w:top w:w="57" w:type="dxa"/>
              <w:bottom w:w="57" w:type="dxa"/>
            </w:tcMar>
          </w:tcPr>
          <w:p w14:paraId="49F9041F" w14:textId="77777777" w:rsidR="003260B8" w:rsidRDefault="003260B8" w:rsidP="003260B8">
            <w:pPr>
              <w:tabs>
                <w:tab w:val="center" w:pos="3152"/>
              </w:tabs>
              <w:rPr>
                <w:rFonts w:cs="Arial"/>
                <w:szCs w:val="19"/>
                <w:lang w:val="en-US"/>
              </w:rPr>
            </w:pPr>
            <w:r w:rsidRPr="0063140B">
              <w:rPr>
                <w:rFonts w:cs="Arial"/>
                <w:szCs w:val="19"/>
                <w:lang w:val="en-US"/>
              </w:rPr>
              <w:t>A</w:t>
            </w:r>
            <w:r w:rsidRPr="003E0592">
              <w:rPr>
                <w:rFonts w:cs="Arial"/>
                <w:szCs w:val="19"/>
                <w:lang w:val="en-US"/>
              </w:rPr>
              <w:t>ctive immunisation against influenza in an officially declared pandemic</w:t>
            </w:r>
            <w:r>
              <w:rPr>
                <w:rFonts w:cs="Arial"/>
                <w:szCs w:val="19"/>
                <w:lang w:val="en-US"/>
              </w:rPr>
              <w:t xml:space="preserve"> </w:t>
            </w:r>
            <w:r w:rsidRPr="00580433">
              <w:rPr>
                <w:rFonts w:cs="Arial"/>
                <w:sz w:val="16"/>
                <w:szCs w:val="16"/>
                <w:lang w:val="en-US"/>
              </w:rPr>
              <w:t xml:space="preserve">[EU] </w:t>
            </w:r>
          </w:p>
        </w:tc>
      </w:tr>
      <w:tr w:rsidR="003260B8" w14:paraId="27435627" w14:textId="77777777" w:rsidTr="003260B8">
        <w:tc>
          <w:tcPr>
            <w:tcW w:w="957" w:type="pct"/>
            <w:shd w:val="clear" w:color="auto" w:fill="auto"/>
            <w:tcMar>
              <w:top w:w="57" w:type="dxa"/>
              <w:bottom w:w="57" w:type="dxa"/>
            </w:tcMar>
          </w:tcPr>
          <w:p w14:paraId="722E1912" w14:textId="77777777" w:rsidR="003260B8" w:rsidRPr="00F93E81" w:rsidRDefault="003260B8" w:rsidP="003260B8">
            <w:pPr>
              <w:rPr>
                <w:rFonts w:cs="Arial"/>
                <w:szCs w:val="19"/>
              </w:rPr>
            </w:pPr>
            <w:r>
              <w:rPr>
                <w:rFonts w:cs="Arial"/>
                <w:szCs w:val="19"/>
              </w:rPr>
              <w:t>Ivacaftor (</w:t>
            </w:r>
            <w:r>
              <w:rPr>
                <w:rFonts w:cs="Arial"/>
                <w:i/>
                <w:iCs/>
                <w:szCs w:val="19"/>
              </w:rPr>
              <w:t>Kalydeco</w:t>
            </w:r>
            <w:r>
              <w:rPr>
                <w:rFonts w:cs="Arial"/>
                <w:szCs w:val="19"/>
              </w:rPr>
              <w:t>)</w:t>
            </w:r>
          </w:p>
        </w:tc>
        <w:tc>
          <w:tcPr>
            <w:tcW w:w="4043" w:type="pct"/>
            <w:shd w:val="clear" w:color="auto" w:fill="auto"/>
            <w:tcMar>
              <w:top w:w="57" w:type="dxa"/>
              <w:bottom w:w="57" w:type="dxa"/>
            </w:tcMar>
          </w:tcPr>
          <w:p w14:paraId="18CA62F7" w14:textId="2390AF43" w:rsidR="003260B8" w:rsidRDefault="003260B8" w:rsidP="003260B8">
            <w:pPr>
              <w:tabs>
                <w:tab w:val="center" w:pos="3152"/>
              </w:tabs>
              <w:rPr>
                <w:rFonts w:cs="Arial"/>
                <w:szCs w:val="19"/>
                <w:lang w:val="en-US"/>
              </w:rPr>
            </w:pPr>
            <w:r>
              <w:rPr>
                <w:rFonts w:cs="Arial"/>
                <w:szCs w:val="19"/>
                <w:lang w:val="en-US"/>
              </w:rPr>
              <w:t xml:space="preserve">Use </w:t>
            </w:r>
            <w:r w:rsidRPr="00F93E81">
              <w:rPr>
                <w:rFonts w:cs="Arial"/>
                <w:szCs w:val="19"/>
                <w:lang w:val="en-US"/>
              </w:rPr>
              <w:t xml:space="preserve">as monotherapy for the treatment of infants aged </w:t>
            </w:r>
            <w:r>
              <w:rPr>
                <w:rFonts w:cs="Arial"/>
                <w:szCs w:val="19"/>
                <w:lang w:val="en-US"/>
              </w:rPr>
              <w:t>≥</w:t>
            </w:r>
            <w:r w:rsidRPr="00F93E81">
              <w:rPr>
                <w:rFonts w:cs="Arial"/>
                <w:szCs w:val="19"/>
                <w:lang w:val="en-US"/>
              </w:rPr>
              <w:t xml:space="preserve">1 month, toddlers and children weighing 3kg to </w:t>
            </w:r>
            <w:r>
              <w:rPr>
                <w:rFonts w:cs="Arial"/>
                <w:szCs w:val="19"/>
                <w:lang w:val="en-US"/>
              </w:rPr>
              <w:t>&lt;</w:t>
            </w:r>
            <w:r w:rsidRPr="00F93E81">
              <w:rPr>
                <w:rFonts w:cs="Arial"/>
                <w:szCs w:val="19"/>
                <w:lang w:val="en-US"/>
              </w:rPr>
              <w:t>25kg with cystic fibrosis who have an R117H CFTR mutation or one of the following gating (class III) mutations in the CFTR gene: G551D, G1244E, G1349D, G178R, G551S, S1251N, S1255P, S549N or S549R</w:t>
            </w:r>
            <w:r>
              <w:rPr>
                <w:rFonts w:cs="Arial"/>
                <w:szCs w:val="19"/>
                <w:lang w:val="en-US"/>
              </w:rPr>
              <w:t xml:space="preserve"> </w:t>
            </w:r>
            <w:r w:rsidRPr="00F93E81">
              <w:rPr>
                <w:rFonts w:cs="Arial"/>
                <w:sz w:val="16"/>
                <w:szCs w:val="16"/>
                <w:lang w:val="en-US"/>
              </w:rPr>
              <w:t xml:space="preserve">[EU] </w:t>
            </w:r>
            <w:r w:rsidRPr="00EA2CDE">
              <w:rPr>
                <w:rFonts w:cs="Arial"/>
                <w:sz w:val="16"/>
                <w:szCs w:val="16"/>
                <w:lang w:val="en-US"/>
              </w:rPr>
              <w:t>[</w:t>
            </w:r>
            <w:r>
              <w:rPr>
                <w:rFonts w:cs="Arial"/>
                <w:sz w:val="16"/>
                <w:szCs w:val="16"/>
                <w:lang w:val="en-US"/>
              </w:rPr>
              <w:t xml:space="preserve">licence change from use only in infants aged ≥4 months weighing ≥5kg and </w:t>
            </w:r>
            <w:r w:rsidRPr="00EA2CDE">
              <w:rPr>
                <w:rFonts w:cs="Arial"/>
                <w:sz w:val="16"/>
                <w:szCs w:val="16"/>
                <w:lang w:val="en-US"/>
              </w:rPr>
              <w:t xml:space="preserve">new </w:t>
            </w:r>
            <w:r>
              <w:rPr>
                <w:rFonts w:cs="Arial"/>
                <w:sz w:val="16"/>
                <w:szCs w:val="16"/>
                <w:lang w:val="en-US"/>
              </w:rPr>
              <w:t>13.4mg</w:t>
            </w:r>
            <w:r w:rsidRPr="00EA2CDE">
              <w:rPr>
                <w:rFonts w:cs="Arial"/>
                <w:sz w:val="16"/>
                <w:szCs w:val="16"/>
                <w:lang w:val="en-US"/>
              </w:rPr>
              <w:t xml:space="preserve"> strength </w:t>
            </w:r>
            <w:r>
              <w:rPr>
                <w:rFonts w:cs="Arial"/>
                <w:sz w:val="16"/>
                <w:szCs w:val="16"/>
                <w:lang w:val="en-US"/>
              </w:rPr>
              <w:t xml:space="preserve">granules in sachet </w:t>
            </w:r>
            <w:r w:rsidRPr="00EA2CDE">
              <w:rPr>
                <w:rFonts w:cs="Arial"/>
                <w:sz w:val="16"/>
                <w:szCs w:val="16"/>
                <w:lang w:val="en-US"/>
              </w:rPr>
              <w:t>formulation]</w:t>
            </w:r>
            <w:r>
              <w:rPr>
                <w:rFonts w:cs="Arial"/>
                <w:sz w:val="16"/>
                <w:szCs w:val="16"/>
                <w:lang w:val="en-US"/>
              </w:rPr>
              <w:t xml:space="preserve"> </w:t>
            </w:r>
            <w:r w:rsidRPr="00D079DD">
              <w:rPr>
                <w:rFonts w:cs="Arial"/>
                <w:i/>
                <w:iCs/>
                <w:sz w:val="16"/>
                <w:szCs w:val="16"/>
                <w:lang w:val="en-US"/>
              </w:rPr>
              <w:t>Note: Already licensed in the UK</w:t>
            </w:r>
            <w:r>
              <w:rPr>
                <w:rFonts w:cs="Arial"/>
                <w:i/>
                <w:iCs/>
                <w:sz w:val="16"/>
                <w:szCs w:val="16"/>
                <w:lang w:val="en-US"/>
              </w:rPr>
              <w:t xml:space="preserve"> but not yet launched</w:t>
            </w:r>
          </w:p>
        </w:tc>
      </w:tr>
      <w:tr w:rsidR="003260B8" w14:paraId="764AE704" w14:textId="77777777" w:rsidTr="003260B8">
        <w:tc>
          <w:tcPr>
            <w:tcW w:w="957" w:type="pct"/>
            <w:shd w:val="clear" w:color="auto" w:fill="auto"/>
            <w:tcMar>
              <w:top w:w="57" w:type="dxa"/>
              <w:bottom w:w="57" w:type="dxa"/>
            </w:tcMar>
          </w:tcPr>
          <w:p w14:paraId="5D4CE764" w14:textId="77777777" w:rsidR="003260B8" w:rsidRPr="001F45C7" w:rsidRDefault="003260B8" w:rsidP="003260B8">
            <w:pPr>
              <w:rPr>
                <w:rFonts w:cs="Arial"/>
                <w:szCs w:val="19"/>
              </w:rPr>
            </w:pPr>
            <w:proofErr w:type="spellStart"/>
            <w:r>
              <w:rPr>
                <w:rFonts w:cs="Arial"/>
                <w:szCs w:val="19"/>
              </w:rPr>
              <w:t>Luspatercept</w:t>
            </w:r>
            <w:proofErr w:type="spellEnd"/>
            <w:r>
              <w:rPr>
                <w:rFonts w:cs="Arial"/>
                <w:szCs w:val="19"/>
              </w:rPr>
              <w:t xml:space="preserve"> (</w:t>
            </w:r>
            <w:proofErr w:type="spellStart"/>
            <w:r>
              <w:rPr>
                <w:rFonts w:cs="Arial"/>
                <w:i/>
                <w:iCs/>
                <w:szCs w:val="19"/>
              </w:rPr>
              <w:t>Reblozyl</w:t>
            </w:r>
            <w:proofErr w:type="spellEnd"/>
            <w:r>
              <w:rPr>
                <w:rFonts w:cs="Arial"/>
                <w:szCs w:val="19"/>
              </w:rPr>
              <w:t>)</w:t>
            </w:r>
          </w:p>
        </w:tc>
        <w:tc>
          <w:tcPr>
            <w:tcW w:w="4043" w:type="pct"/>
            <w:shd w:val="clear" w:color="auto" w:fill="auto"/>
            <w:tcMar>
              <w:top w:w="57" w:type="dxa"/>
              <w:bottom w:w="57" w:type="dxa"/>
            </w:tcMar>
          </w:tcPr>
          <w:p w14:paraId="6A55BD45" w14:textId="77777777" w:rsidR="003260B8" w:rsidRDefault="003260B8" w:rsidP="003260B8">
            <w:pPr>
              <w:tabs>
                <w:tab w:val="center" w:pos="3152"/>
              </w:tabs>
              <w:rPr>
                <w:rFonts w:cs="Arial"/>
                <w:szCs w:val="19"/>
                <w:lang w:val="en-US"/>
              </w:rPr>
            </w:pPr>
            <w:r w:rsidRPr="00462ABA">
              <w:rPr>
                <w:rFonts w:cs="Arial"/>
                <w:szCs w:val="19"/>
                <w:lang w:val="en-US"/>
              </w:rPr>
              <w:t>Use in adults for the treatment of transfusion-dependent anaemia due to very low, low and intermediate-risk myelodysplastic syndromes</w:t>
            </w:r>
            <w:r>
              <w:rPr>
                <w:rFonts w:cs="Arial"/>
                <w:szCs w:val="19"/>
                <w:lang w:val="en-US"/>
              </w:rPr>
              <w:t xml:space="preserve"> </w:t>
            </w:r>
            <w:r w:rsidRPr="00462ABA">
              <w:rPr>
                <w:rFonts w:cs="Arial"/>
                <w:sz w:val="16"/>
                <w:szCs w:val="16"/>
                <w:lang w:val="en-US"/>
              </w:rPr>
              <w:t xml:space="preserve">[EU] [licence change from use only in adults with ring </w:t>
            </w:r>
            <w:proofErr w:type="spellStart"/>
            <w:r w:rsidRPr="00462ABA">
              <w:rPr>
                <w:rFonts w:cs="Arial"/>
                <w:sz w:val="16"/>
                <w:szCs w:val="16"/>
                <w:lang w:val="en-US"/>
              </w:rPr>
              <w:t>sideroblasts</w:t>
            </w:r>
            <w:proofErr w:type="spellEnd"/>
            <w:r w:rsidRPr="00462ABA">
              <w:rPr>
                <w:rFonts w:cs="Arial"/>
                <w:sz w:val="16"/>
                <w:szCs w:val="16"/>
                <w:lang w:val="en-US"/>
              </w:rPr>
              <w:t>, who had an unsatisfactory response to or are ineligible for erythropoietin-based therapy]</w:t>
            </w:r>
          </w:p>
        </w:tc>
      </w:tr>
      <w:tr w:rsidR="003260B8" w14:paraId="5B46707C" w14:textId="77777777" w:rsidTr="003260B8">
        <w:tc>
          <w:tcPr>
            <w:tcW w:w="957" w:type="pct"/>
            <w:shd w:val="clear" w:color="auto" w:fill="auto"/>
            <w:tcMar>
              <w:top w:w="57" w:type="dxa"/>
              <w:bottom w:w="57" w:type="dxa"/>
            </w:tcMar>
          </w:tcPr>
          <w:p w14:paraId="328D7452" w14:textId="77777777" w:rsidR="003260B8" w:rsidRPr="00E9274A" w:rsidRDefault="003260B8" w:rsidP="003260B8">
            <w:pPr>
              <w:rPr>
                <w:rFonts w:cs="Arial"/>
                <w:szCs w:val="19"/>
              </w:rPr>
            </w:pPr>
            <w:r>
              <w:rPr>
                <w:rFonts w:cs="Arial"/>
                <w:szCs w:val="19"/>
              </w:rPr>
              <w:t>Pembrolizumab (</w:t>
            </w:r>
            <w:r>
              <w:rPr>
                <w:rFonts w:cs="Arial"/>
                <w:i/>
                <w:iCs/>
                <w:szCs w:val="19"/>
              </w:rPr>
              <w:t>Keytruda</w:t>
            </w:r>
            <w:r>
              <w:rPr>
                <w:rFonts w:cs="Arial"/>
                <w:szCs w:val="19"/>
              </w:rPr>
              <w:t xml:space="preserve">) </w:t>
            </w:r>
          </w:p>
        </w:tc>
        <w:tc>
          <w:tcPr>
            <w:tcW w:w="4043" w:type="pct"/>
            <w:shd w:val="clear" w:color="auto" w:fill="auto"/>
            <w:tcMar>
              <w:top w:w="57" w:type="dxa"/>
              <w:bottom w:w="57" w:type="dxa"/>
            </w:tcMar>
          </w:tcPr>
          <w:p w14:paraId="77B44EF8" w14:textId="77777777" w:rsidR="003260B8" w:rsidRDefault="003260B8" w:rsidP="003260B8">
            <w:pPr>
              <w:tabs>
                <w:tab w:val="center" w:pos="3152"/>
              </w:tabs>
              <w:rPr>
                <w:rFonts w:cs="Arial"/>
                <w:szCs w:val="19"/>
                <w:lang w:val="en-US"/>
              </w:rPr>
            </w:pPr>
            <w:r>
              <w:rPr>
                <w:rFonts w:cs="Arial"/>
                <w:szCs w:val="19"/>
                <w:lang w:val="en-US"/>
              </w:rPr>
              <w:t xml:space="preserve">Use </w:t>
            </w:r>
            <w:r w:rsidRPr="001F45C7">
              <w:rPr>
                <w:rFonts w:cs="Arial"/>
                <w:szCs w:val="19"/>
                <w:lang w:val="en-US"/>
              </w:rPr>
              <w:t xml:space="preserve">in combination with platinum-containing chemotherapy as neoadjuvant treatment, and then continued as monotherapy as adjuvant treatment, for the treatment of </w:t>
            </w:r>
            <w:proofErr w:type="spellStart"/>
            <w:r w:rsidRPr="001F45C7">
              <w:rPr>
                <w:rFonts w:cs="Arial"/>
                <w:szCs w:val="19"/>
                <w:lang w:val="en-US"/>
              </w:rPr>
              <w:t>resectable</w:t>
            </w:r>
            <w:proofErr w:type="spellEnd"/>
            <w:r w:rsidRPr="001F45C7">
              <w:rPr>
                <w:rFonts w:cs="Arial"/>
                <w:szCs w:val="19"/>
                <w:lang w:val="en-US"/>
              </w:rPr>
              <w:t xml:space="preserve"> non</w:t>
            </w:r>
            <w:r w:rsidRPr="001F45C7">
              <w:rPr>
                <w:rFonts w:ascii="Cambria Math" w:hAnsi="Cambria Math" w:cs="Cambria Math"/>
                <w:szCs w:val="19"/>
                <w:lang w:val="en-US"/>
              </w:rPr>
              <w:t>‑</w:t>
            </w:r>
            <w:r w:rsidRPr="001F45C7">
              <w:rPr>
                <w:rFonts w:cs="Arial"/>
                <w:szCs w:val="19"/>
                <w:lang w:val="en-US"/>
              </w:rPr>
              <w:t>small cell lung carcinoma at high risk of recurrence in adults</w:t>
            </w:r>
            <w:r>
              <w:rPr>
                <w:rFonts w:cs="Arial"/>
                <w:szCs w:val="19"/>
                <w:lang w:val="en-US"/>
              </w:rPr>
              <w:t xml:space="preserve"> </w:t>
            </w:r>
            <w:r w:rsidRPr="001F45C7">
              <w:rPr>
                <w:rFonts w:cs="Arial"/>
                <w:sz w:val="16"/>
                <w:szCs w:val="16"/>
                <w:lang w:val="en-US"/>
              </w:rPr>
              <w:t>[EU] [new indication]</w:t>
            </w:r>
          </w:p>
        </w:tc>
      </w:tr>
      <w:tr w:rsidR="002C3BD1" w14:paraId="76FD5D29" w14:textId="77777777" w:rsidTr="003260B8">
        <w:tc>
          <w:tcPr>
            <w:tcW w:w="957" w:type="pct"/>
            <w:shd w:val="clear" w:color="auto" w:fill="auto"/>
            <w:tcMar>
              <w:top w:w="57" w:type="dxa"/>
              <w:bottom w:w="57" w:type="dxa"/>
            </w:tcMar>
          </w:tcPr>
          <w:p w14:paraId="71362297" w14:textId="4F4E2A3E" w:rsidR="002C3BD1" w:rsidRDefault="002C3BD1" w:rsidP="002C3BD1">
            <w:pPr>
              <w:rPr>
                <w:rFonts w:cs="Arial"/>
                <w:szCs w:val="19"/>
              </w:rPr>
            </w:pPr>
            <w:proofErr w:type="spellStart"/>
            <w:r w:rsidRPr="00E9274A">
              <w:rPr>
                <w:rFonts w:cs="Arial"/>
                <w:szCs w:val="19"/>
              </w:rPr>
              <w:t>Retifanlimab</w:t>
            </w:r>
            <w:proofErr w:type="spellEnd"/>
            <w:r>
              <w:rPr>
                <w:rFonts w:cs="Arial"/>
                <w:szCs w:val="19"/>
              </w:rPr>
              <w:t xml:space="preserve"> (</w:t>
            </w:r>
            <w:proofErr w:type="spellStart"/>
            <w:r>
              <w:rPr>
                <w:rFonts w:cs="Arial"/>
                <w:i/>
                <w:iCs/>
                <w:szCs w:val="19"/>
              </w:rPr>
              <w:t>Zynyz</w:t>
            </w:r>
            <w:proofErr w:type="spellEnd"/>
            <w:r>
              <w:rPr>
                <w:rFonts w:cs="Arial"/>
                <w:szCs w:val="19"/>
              </w:rPr>
              <w:t>)</w:t>
            </w:r>
          </w:p>
        </w:tc>
        <w:tc>
          <w:tcPr>
            <w:tcW w:w="4043" w:type="pct"/>
            <w:shd w:val="clear" w:color="auto" w:fill="auto"/>
            <w:tcMar>
              <w:top w:w="57" w:type="dxa"/>
              <w:bottom w:w="57" w:type="dxa"/>
            </w:tcMar>
          </w:tcPr>
          <w:p w14:paraId="44D9EA46" w14:textId="04B76F95" w:rsidR="002C3BD1" w:rsidRDefault="002C3BD1" w:rsidP="002C3BD1">
            <w:pPr>
              <w:tabs>
                <w:tab w:val="center" w:pos="3152"/>
              </w:tabs>
              <w:rPr>
                <w:rFonts w:cs="Arial"/>
                <w:szCs w:val="19"/>
                <w:lang w:val="en-US"/>
              </w:rPr>
            </w:pPr>
            <w:r>
              <w:rPr>
                <w:rFonts w:cs="Arial"/>
                <w:szCs w:val="19"/>
                <w:lang w:val="en-US"/>
              </w:rPr>
              <w:t xml:space="preserve">Use </w:t>
            </w:r>
            <w:r w:rsidRPr="00580433">
              <w:rPr>
                <w:rFonts w:cs="Arial"/>
                <w:szCs w:val="19"/>
                <w:lang w:val="en-US"/>
              </w:rPr>
              <w:t>as monotherapy for the first</w:t>
            </w:r>
            <w:r w:rsidRPr="00580433">
              <w:rPr>
                <w:rFonts w:ascii="Cambria Math" w:hAnsi="Cambria Math" w:cs="Cambria Math"/>
                <w:szCs w:val="19"/>
                <w:lang w:val="en-US"/>
              </w:rPr>
              <w:t>‑</w:t>
            </w:r>
            <w:r w:rsidRPr="00580433">
              <w:rPr>
                <w:rFonts w:cs="Arial"/>
                <w:szCs w:val="19"/>
                <w:lang w:val="en-US"/>
              </w:rPr>
              <w:t>line treatment of adults with metastatic or recurrent locally advanced Merkel cell carcinoma not amenable to curative surgery or radiation therapy</w:t>
            </w:r>
            <w:r>
              <w:rPr>
                <w:rFonts w:cs="Arial"/>
                <w:szCs w:val="19"/>
                <w:lang w:val="en-US"/>
              </w:rPr>
              <w:t xml:space="preserve"> </w:t>
            </w:r>
            <w:r w:rsidRPr="00580433">
              <w:rPr>
                <w:rFonts w:cs="Arial"/>
                <w:sz w:val="16"/>
                <w:szCs w:val="16"/>
                <w:lang w:val="en-US"/>
              </w:rPr>
              <w:t>[EU]</w:t>
            </w:r>
          </w:p>
        </w:tc>
      </w:tr>
      <w:tr w:rsidR="002C3BD1" w14:paraId="1242EC50" w14:textId="77777777" w:rsidTr="003260B8">
        <w:tc>
          <w:tcPr>
            <w:tcW w:w="957" w:type="pct"/>
            <w:shd w:val="clear" w:color="auto" w:fill="auto"/>
            <w:tcMar>
              <w:top w:w="57" w:type="dxa"/>
              <w:bottom w:w="57" w:type="dxa"/>
            </w:tcMar>
          </w:tcPr>
          <w:p w14:paraId="70EBF703" w14:textId="0C405F8E" w:rsidR="002C3BD1" w:rsidRDefault="002C3BD1" w:rsidP="002C3BD1">
            <w:pPr>
              <w:rPr>
                <w:rFonts w:cs="Arial"/>
                <w:szCs w:val="19"/>
              </w:rPr>
            </w:pPr>
            <w:proofErr w:type="spellStart"/>
            <w:r>
              <w:rPr>
                <w:rFonts w:cs="Arial"/>
                <w:szCs w:val="19"/>
              </w:rPr>
              <w:t>Sparsentan</w:t>
            </w:r>
            <w:proofErr w:type="spellEnd"/>
            <w:r>
              <w:rPr>
                <w:rFonts w:cs="Arial"/>
                <w:szCs w:val="19"/>
              </w:rPr>
              <w:t xml:space="preserve"> (</w:t>
            </w:r>
            <w:proofErr w:type="spellStart"/>
            <w:r>
              <w:rPr>
                <w:rFonts w:cs="Arial"/>
                <w:i/>
                <w:iCs/>
                <w:szCs w:val="19"/>
              </w:rPr>
              <w:t>Filspari</w:t>
            </w:r>
            <w:proofErr w:type="spellEnd"/>
            <w:r>
              <w:rPr>
                <w:rFonts w:cs="Arial"/>
                <w:szCs w:val="19"/>
              </w:rPr>
              <w:t>)</w:t>
            </w:r>
          </w:p>
        </w:tc>
        <w:tc>
          <w:tcPr>
            <w:tcW w:w="4043" w:type="pct"/>
            <w:shd w:val="clear" w:color="auto" w:fill="auto"/>
            <w:tcMar>
              <w:top w:w="57" w:type="dxa"/>
              <w:bottom w:w="57" w:type="dxa"/>
            </w:tcMar>
          </w:tcPr>
          <w:p w14:paraId="27701784" w14:textId="051CA36A" w:rsidR="002C3BD1" w:rsidRDefault="002C3BD1" w:rsidP="002C3BD1">
            <w:pPr>
              <w:tabs>
                <w:tab w:val="center" w:pos="3152"/>
              </w:tabs>
              <w:rPr>
                <w:rFonts w:cs="Arial"/>
                <w:szCs w:val="19"/>
                <w:lang w:val="en-US"/>
              </w:rPr>
            </w:pPr>
            <w:r w:rsidRPr="00A67F4F">
              <w:rPr>
                <w:rFonts w:cs="Arial"/>
                <w:szCs w:val="19"/>
                <w:lang w:val="en-US"/>
              </w:rPr>
              <w:t>Treatment of adults with primary immunoglobulin A nephropathy with a urine protein excretion &gt;1.0g/day (or urine protein-to-creatinine ratio ≥0.75 g/g)</w:t>
            </w:r>
            <w:r>
              <w:rPr>
                <w:rFonts w:cs="Arial"/>
                <w:szCs w:val="19"/>
                <w:lang w:val="en-US"/>
              </w:rPr>
              <w:t xml:space="preserve"> </w:t>
            </w:r>
            <w:r w:rsidRPr="00A67F4F">
              <w:rPr>
                <w:rFonts w:cs="Arial"/>
                <w:sz w:val="16"/>
                <w:szCs w:val="16"/>
                <w:lang w:val="en-US"/>
              </w:rPr>
              <w:t>[EU]</w:t>
            </w:r>
          </w:p>
        </w:tc>
      </w:tr>
      <w:tr w:rsidR="002C3BD1" w14:paraId="10B6D6F6" w14:textId="77777777" w:rsidTr="003260B8">
        <w:tc>
          <w:tcPr>
            <w:tcW w:w="957" w:type="pct"/>
            <w:shd w:val="clear" w:color="auto" w:fill="auto"/>
            <w:tcMar>
              <w:top w:w="57" w:type="dxa"/>
              <w:bottom w:w="57" w:type="dxa"/>
            </w:tcMar>
          </w:tcPr>
          <w:p w14:paraId="2C7065DF" w14:textId="060C6C5C" w:rsidR="002C3BD1" w:rsidRDefault="002C3BD1" w:rsidP="002C3BD1">
            <w:pPr>
              <w:rPr>
                <w:rFonts w:cs="Arial"/>
                <w:szCs w:val="19"/>
              </w:rPr>
            </w:pPr>
            <w:r>
              <w:rPr>
                <w:rFonts w:cs="Arial"/>
                <w:szCs w:val="19"/>
              </w:rPr>
              <w:t>Terbinafine (</w:t>
            </w:r>
            <w:proofErr w:type="spellStart"/>
            <w:r w:rsidRPr="00422681">
              <w:rPr>
                <w:rFonts w:cs="Arial"/>
                <w:i/>
                <w:iCs/>
                <w:szCs w:val="19"/>
              </w:rPr>
              <w:t>Terclara</w:t>
            </w:r>
            <w:proofErr w:type="spellEnd"/>
            <w:r>
              <w:rPr>
                <w:rFonts w:cs="Arial"/>
                <w:szCs w:val="19"/>
              </w:rPr>
              <w:t>)</w:t>
            </w:r>
          </w:p>
        </w:tc>
        <w:tc>
          <w:tcPr>
            <w:tcW w:w="4043" w:type="pct"/>
            <w:shd w:val="clear" w:color="auto" w:fill="auto"/>
            <w:tcMar>
              <w:top w:w="57" w:type="dxa"/>
              <w:bottom w:w="57" w:type="dxa"/>
            </w:tcMar>
          </w:tcPr>
          <w:p w14:paraId="6F00E750" w14:textId="25A5C603" w:rsidR="002C3BD1" w:rsidRDefault="002C3BD1" w:rsidP="002C3BD1">
            <w:pPr>
              <w:tabs>
                <w:tab w:val="center" w:pos="3152"/>
              </w:tabs>
              <w:rPr>
                <w:rFonts w:cs="Arial"/>
                <w:szCs w:val="19"/>
                <w:lang w:val="en-US"/>
              </w:rPr>
            </w:pPr>
            <w:r>
              <w:rPr>
                <w:rFonts w:cs="Arial"/>
                <w:szCs w:val="19"/>
                <w:lang w:val="en-US"/>
              </w:rPr>
              <w:t>Treatment of m</w:t>
            </w:r>
            <w:r w:rsidRPr="00422681">
              <w:rPr>
                <w:rFonts w:cs="Arial"/>
                <w:szCs w:val="19"/>
                <w:lang w:val="en-US"/>
              </w:rPr>
              <w:t>ild to moderate</w:t>
            </w:r>
            <w:r>
              <w:rPr>
                <w:rFonts w:cs="Arial"/>
                <w:szCs w:val="19"/>
                <w:lang w:val="en-US"/>
              </w:rPr>
              <w:t xml:space="preserve"> fungal nail</w:t>
            </w:r>
            <w:r w:rsidRPr="00422681">
              <w:rPr>
                <w:rFonts w:cs="Arial"/>
                <w:szCs w:val="19"/>
                <w:lang w:val="en-US"/>
              </w:rPr>
              <w:t xml:space="preserve"> infections caused by dermatophytes and/or other fungi sensitive to terbinafine</w:t>
            </w:r>
            <w:r>
              <w:rPr>
                <w:rFonts w:cs="Arial"/>
                <w:szCs w:val="19"/>
                <w:lang w:val="en-US"/>
              </w:rPr>
              <w:t xml:space="preserve"> in</w:t>
            </w:r>
            <w:r w:rsidRPr="00422681">
              <w:rPr>
                <w:rFonts w:cs="Arial"/>
                <w:szCs w:val="19"/>
                <w:lang w:val="en-US"/>
              </w:rPr>
              <w:t xml:space="preserve"> adults</w:t>
            </w:r>
            <w:r>
              <w:rPr>
                <w:rFonts w:cs="Arial"/>
                <w:szCs w:val="19"/>
                <w:lang w:val="en-US"/>
              </w:rPr>
              <w:t xml:space="preserve"> </w:t>
            </w:r>
            <w:r w:rsidRPr="00422681">
              <w:rPr>
                <w:rFonts w:cs="Arial"/>
                <w:sz w:val="16"/>
                <w:szCs w:val="16"/>
                <w:lang w:val="en-US"/>
              </w:rPr>
              <w:t>[EU] [new formulation]</w:t>
            </w:r>
          </w:p>
        </w:tc>
      </w:tr>
      <w:tr w:rsidR="002C3BD1" w14:paraId="3F5B93EA" w14:textId="77777777" w:rsidTr="003260B8">
        <w:tc>
          <w:tcPr>
            <w:tcW w:w="957" w:type="pct"/>
            <w:shd w:val="clear" w:color="auto" w:fill="auto"/>
            <w:tcMar>
              <w:top w:w="57" w:type="dxa"/>
              <w:bottom w:w="57" w:type="dxa"/>
            </w:tcMar>
          </w:tcPr>
          <w:p w14:paraId="79F0117A" w14:textId="36194B97" w:rsidR="002C3BD1" w:rsidRDefault="002C3BD1" w:rsidP="002C3BD1">
            <w:pPr>
              <w:rPr>
                <w:rFonts w:cs="Arial"/>
                <w:szCs w:val="19"/>
              </w:rPr>
            </w:pPr>
            <w:r w:rsidRPr="007061CF">
              <w:rPr>
                <w:rFonts w:cs="Arial"/>
                <w:szCs w:val="19"/>
              </w:rPr>
              <w:t>Tislelizumab</w:t>
            </w:r>
            <w:r>
              <w:rPr>
                <w:rFonts w:cs="Arial"/>
                <w:szCs w:val="19"/>
              </w:rPr>
              <w:t xml:space="preserve"> (</w:t>
            </w:r>
            <w:proofErr w:type="spellStart"/>
            <w:r>
              <w:rPr>
                <w:rFonts w:cs="Arial"/>
                <w:i/>
                <w:iCs/>
                <w:szCs w:val="19"/>
              </w:rPr>
              <w:t>Tizveni</w:t>
            </w:r>
            <w:proofErr w:type="spellEnd"/>
            <w:r>
              <w:rPr>
                <w:rFonts w:cs="Arial"/>
                <w:szCs w:val="19"/>
              </w:rPr>
              <w:t>)</w:t>
            </w:r>
          </w:p>
        </w:tc>
        <w:tc>
          <w:tcPr>
            <w:tcW w:w="4043" w:type="pct"/>
            <w:shd w:val="clear" w:color="auto" w:fill="auto"/>
            <w:tcMar>
              <w:top w:w="57" w:type="dxa"/>
              <w:bottom w:w="57" w:type="dxa"/>
            </w:tcMar>
          </w:tcPr>
          <w:p w14:paraId="09DB5BC0" w14:textId="0375A8B1" w:rsidR="002C3BD1" w:rsidRDefault="002C3BD1" w:rsidP="002C3BD1">
            <w:pPr>
              <w:tabs>
                <w:tab w:val="center" w:pos="3152"/>
              </w:tabs>
              <w:rPr>
                <w:rFonts w:cs="Arial"/>
                <w:szCs w:val="19"/>
                <w:lang w:val="en-US"/>
              </w:rPr>
            </w:pPr>
            <w:r>
              <w:rPr>
                <w:rFonts w:cs="Arial"/>
                <w:szCs w:val="19"/>
                <w:lang w:val="en-US"/>
              </w:rPr>
              <w:t xml:space="preserve">Use as </w:t>
            </w:r>
            <w:r w:rsidRPr="00722227">
              <w:rPr>
                <w:rFonts w:cs="Arial"/>
                <w:szCs w:val="19"/>
                <w:lang w:val="en-US"/>
              </w:rPr>
              <w:t xml:space="preserve">monotherapy for the treatment of adults with locally advanced or metastatic non-small cell lung cancer </w:t>
            </w:r>
            <w:r>
              <w:rPr>
                <w:rFonts w:cs="Arial"/>
                <w:szCs w:val="19"/>
                <w:lang w:val="en-US"/>
              </w:rPr>
              <w:t xml:space="preserve">(NSCLC) </w:t>
            </w:r>
            <w:r w:rsidRPr="00722227">
              <w:rPr>
                <w:rFonts w:cs="Arial"/>
                <w:szCs w:val="19"/>
                <w:lang w:val="en-US"/>
              </w:rPr>
              <w:t>after prior platinum-based therapy. Patients with EGFR mutant or ALK positive NSCLC should also have received targeted therapies before receiving tislelizumab</w:t>
            </w:r>
            <w:r>
              <w:rPr>
                <w:rFonts w:cs="Arial"/>
                <w:szCs w:val="19"/>
                <w:lang w:val="en-US"/>
              </w:rPr>
              <w:t xml:space="preserve">. </w:t>
            </w:r>
            <w:r w:rsidRPr="00CD0DD8">
              <w:rPr>
                <w:rFonts w:cs="Arial"/>
                <w:sz w:val="16"/>
                <w:szCs w:val="16"/>
                <w:lang w:val="en-US"/>
              </w:rPr>
              <w:t xml:space="preserve">[EU] </w:t>
            </w:r>
            <w:r>
              <w:rPr>
                <w:rFonts w:cs="Arial"/>
                <w:sz w:val="16"/>
                <w:szCs w:val="16"/>
                <w:lang w:val="en-US"/>
              </w:rPr>
              <w:t>[new formulation with new indication]</w:t>
            </w:r>
          </w:p>
        </w:tc>
      </w:tr>
      <w:tr w:rsidR="002C3BD1" w14:paraId="17B3145E" w14:textId="77777777" w:rsidTr="003260B8">
        <w:tc>
          <w:tcPr>
            <w:tcW w:w="957" w:type="pct"/>
            <w:shd w:val="clear" w:color="auto" w:fill="auto"/>
            <w:tcMar>
              <w:top w:w="57" w:type="dxa"/>
              <w:bottom w:w="57" w:type="dxa"/>
            </w:tcMar>
          </w:tcPr>
          <w:p w14:paraId="37465691" w14:textId="53D530B1" w:rsidR="002C3BD1" w:rsidRDefault="002C3BD1" w:rsidP="002C3BD1">
            <w:pPr>
              <w:rPr>
                <w:rFonts w:cs="Arial"/>
                <w:szCs w:val="19"/>
              </w:rPr>
            </w:pPr>
            <w:r w:rsidRPr="007061CF">
              <w:rPr>
                <w:rFonts w:cs="Arial"/>
                <w:szCs w:val="19"/>
              </w:rPr>
              <w:t>Tislelizumab</w:t>
            </w:r>
            <w:r>
              <w:rPr>
                <w:rFonts w:cs="Arial"/>
                <w:szCs w:val="19"/>
              </w:rPr>
              <w:t xml:space="preserve"> (</w:t>
            </w:r>
            <w:proofErr w:type="spellStart"/>
            <w:r>
              <w:rPr>
                <w:rFonts w:cs="Arial"/>
                <w:i/>
                <w:iCs/>
                <w:szCs w:val="19"/>
              </w:rPr>
              <w:t>Tizveni</w:t>
            </w:r>
            <w:proofErr w:type="spellEnd"/>
            <w:r>
              <w:rPr>
                <w:rFonts w:cs="Arial"/>
                <w:szCs w:val="19"/>
              </w:rPr>
              <w:t>)</w:t>
            </w:r>
          </w:p>
        </w:tc>
        <w:tc>
          <w:tcPr>
            <w:tcW w:w="4043" w:type="pct"/>
            <w:shd w:val="clear" w:color="auto" w:fill="auto"/>
            <w:tcMar>
              <w:top w:w="57" w:type="dxa"/>
              <w:bottom w:w="57" w:type="dxa"/>
            </w:tcMar>
          </w:tcPr>
          <w:p w14:paraId="2073DB5C" w14:textId="34B9DE74" w:rsidR="002C3BD1" w:rsidRDefault="002C3BD1" w:rsidP="002C3BD1">
            <w:pPr>
              <w:tabs>
                <w:tab w:val="center" w:pos="3152"/>
              </w:tabs>
              <w:rPr>
                <w:rFonts w:cs="Arial"/>
                <w:szCs w:val="19"/>
                <w:lang w:val="en-US"/>
              </w:rPr>
            </w:pPr>
            <w:r>
              <w:rPr>
                <w:rFonts w:cs="Arial"/>
                <w:szCs w:val="19"/>
                <w:lang w:val="en-US"/>
              </w:rPr>
              <w:t>Use in c</w:t>
            </w:r>
            <w:r w:rsidRPr="0005518C">
              <w:rPr>
                <w:rFonts w:cs="Arial"/>
                <w:szCs w:val="19"/>
                <w:lang w:val="en-US"/>
              </w:rPr>
              <w:t xml:space="preserve">ombination with carboplatin and either paclitaxel or nab-paclitaxel for the first-line treatment of adults with squamous non-small cell lung cancer </w:t>
            </w:r>
            <w:r>
              <w:rPr>
                <w:rFonts w:cs="Arial"/>
                <w:szCs w:val="19"/>
                <w:lang w:val="en-US"/>
              </w:rPr>
              <w:t xml:space="preserve">(NSCLC) </w:t>
            </w:r>
            <w:r w:rsidRPr="0005518C">
              <w:rPr>
                <w:rFonts w:cs="Arial"/>
                <w:szCs w:val="19"/>
                <w:lang w:val="en-US"/>
              </w:rPr>
              <w:t>who have locally advanced NSCLC and are not candidates for surgical resection or platinum-based chemoradiation, or metastatic NSCLC</w:t>
            </w:r>
            <w:r>
              <w:rPr>
                <w:rFonts w:cs="Arial"/>
                <w:szCs w:val="19"/>
                <w:lang w:val="en-US"/>
              </w:rPr>
              <w:t xml:space="preserve"> </w:t>
            </w:r>
            <w:r w:rsidRPr="00CD0DD8">
              <w:rPr>
                <w:rFonts w:cs="Arial"/>
                <w:sz w:val="16"/>
                <w:szCs w:val="16"/>
                <w:lang w:val="en-US"/>
              </w:rPr>
              <w:t xml:space="preserve">[EU] </w:t>
            </w:r>
            <w:r>
              <w:rPr>
                <w:rFonts w:cs="Arial"/>
                <w:sz w:val="16"/>
                <w:szCs w:val="16"/>
                <w:lang w:val="en-US"/>
              </w:rPr>
              <w:t>[new formulation with new indication]</w:t>
            </w:r>
          </w:p>
        </w:tc>
      </w:tr>
      <w:tr w:rsidR="002C3BD1" w:rsidRPr="000F19E1" w14:paraId="6A928863" w14:textId="77777777" w:rsidTr="003260B8">
        <w:tc>
          <w:tcPr>
            <w:tcW w:w="957" w:type="pct"/>
            <w:shd w:val="clear" w:color="auto" w:fill="auto"/>
            <w:tcMar>
              <w:top w:w="0" w:type="dxa"/>
              <w:bottom w:w="0" w:type="dxa"/>
            </w:tcMar>
          </w:tcPr>
          <w:p w14:paraId="54F58580" w14:textId="77777777" w:rsidR="002C3BD1" w:rsidRPr="000F19E1" w:rsidRDefault="002C3BD1" w:rsidP="002C3BD1">
            <w:pPr>
              <w:rPr>
                <w:rFonts w:cs="Arial"/>
                <w:bCs/>
                <w:sz w:val="8"/>
                <w:szCs w:val="8"/>
              </w:rPr>
            </w:pPr>
          </w:p>
        </w:tc>
        <w:tc>
          <w:tcPr>
            <w:tcW w:w="4043" w:type="pct"/>
            <w:shd w:val="clear" w:color="auto" w:fill="auto"/>
            <w:tcMar>
              <w:top w:w="0" w:type="dxa"/>
              <w:bottom w:w="0" w:type="dxa"/>
            </w:tcMar>
          </w:tcPr>
          <w:p w14:paraId="6A0F5DE8" w14:textId="77777777" w:rsidR="002C3BD1" w:rsidRPr="000F19E1" w:rsidRDefault="002C3BD1" w:rsidP="002C3BD1">
            <w:pPr>
              <w:tabs>
                <w:tab w:val="center" w:pos="3152"/>
              </w:tabs>
              <w:rPr>
                <w:rFonts w:cs="Arial"/>
                <w:sz w:val="8"/>
                <w:szCs w:val="8"/>
                <w:lang w:val="en-US"/>
              </w:rPr>
            </w:pPr>
          </w:p>
        </w:tc>
      </w:tr>
      <w:tr w:rsidR="002C3BD1" w:rsidRPr="000F19E1" w14:paraId="7681913B" w14:textId="77777777" w:rsidTr="003260B8">
        <w:tc>
          <w:tcPr>
            <w:tcW w:w="957" w:type="pct"/>
            <w:shd w:val="clear" w:color="auto" w:fill="DAEEF3"/>
            <w:tcMar>
              <w:top w:w="0" w:type="dxa"/>
              <w:bottom w:w="0" w:type="dxa"/>
            </w:tcMar>
          </w:tcPr>
          <w:p w14:paraId="12872884" w14:textId="77777777" w:rsidR="002C3BD1" w:rsidRPr="000F19E1" w:rsidRDefault="002C3BD1" w:rsidP="002C3BD1">
            <w:pPr>
              <w:rPr>
                <w:rFonts w:cs="Arial"/>
                <w:bCs/>
                <w:sz w:val="8"/>
                <w:szCs w:val="8"/>
              </w:rPr>
            </w:pPr>
          </w:p>
        </w:tc>
        <w:tc>
          <w:tcPr>
            <w:tcW w:w="4043" w:type="pct"/>
            <w:shd w:val="clear" w:color="auto" w:fill="DAEEF3"/>
            <w:tcMar>
              <w:top w:w="0" w:type="dxa"/>
              <w:bottom w:w="0" w:type="dxa"/>
            </w:tcMar>
          </w:tcPr>
          <w:p w14:paraId="662A0EAB" w14:textId="77777777" w:rsidR="002C3BD1" w:rsidRPr="000F19E1" w:rsidRDefault="002C3BD1" w:rsidP="002C3BD1">
            <w:pPr>
              <w:tabs>
                <w:tab w:val="center" w:pos="3152"/>
              </w:tabs>
              <w:rPr>
                <w:rFonts w:cs="Arial"/>
                <w:sz w:val="8"/>
                <w:szCs w:val="8"/>
                <w:lang w:val="en-US"/>
              </w:rPr>
            </w:pPr>
          </w:p>
        </w:tc>
      </w:tr>
    </w:tbl>
    <w:p w14:paraId="015DD08F" w14:textId="77777777" w:rsidR="00707E1D" w:rsidRDefault="00707E1D"/>
    <w:p w14:paraId="4E012912" w14:textId="47036EB9" w:rsidR="00707E1D" w:rsidRDefault="00707E1D">
      <w:r>
        <w:br w:type="page"/>
      </w:r>
    </w:p>
    <w:p w14:paraId="69BB87B2" w14:textId="77777777" w:rsidR="0048777D" w:rsidRDefault="0048777D"/>
    <w:tbl>
      <w:tblPr>
        <w:tblW w:w="5170" w:type="pct"/>
        <w:tblInd w:w="-176" w:type="dxa"/>
        <w:tblLayout w:type="fixed"/>
        <w:tblLook w:val="01E0" w:firstRow="1" w:lastRow="1" w:firstColumn="1" w:lastColumn="1" w:noHBand="0" w:noVBand="0"/>
      </w:tblPr>
      <w:tblGrid>
        <w:gridCol w:w="2019"/>
        <w:gridCol w:w="8532"/>
      </w:tblGrid>
      <w:tr w:rsidR="0021490D" w:rsidRPr="00862949" w14:paraId="7066C005" w14:textId="77777777" w:rsidTr="00D6452A">
        <w:tc>
          <w:tcPr>
            <w:tcW w:w="5000" w:type="pct"/>
            <w:gridSpan w:val="2"/>
            <w:shd w:val="clear" w:color="auto" w:fill="0070C0"/>
            <w:tcMar>
              <w:top w:w="85" w:type="dxa"/>
              <w:bottom w:w="85" w:type="dxa"/>
            </w:tcMar>
            <w:vAlign w:val="bottom"/>
          </w:tcPr>
          <w:p w14:paraId="1D9175F3" w14:textId="77777777" w:rsidR="0021490D" w:rsidRPr="00862949" w:rsidRDefault="0021490D" w:rsidP="00D6452A">
            <w:pPr>
              <w:rPr>
                <w:rFonts w:cs="Arial"/>
                <w:color w:val="FFFFFF"/>
                <w:sz w:val="15"/>
                <w:szCs w:val="15"/>
              </w:rPr>
            </w:pPr>
            <w:bookmarkStart w:id="0" w:name="_Hlk160109312"/>
            <w:r w:rsidRPr="00862949">
              <w:rPr>
                <w:rFonts w:cs="Arial"/>
                <w:b/>
                <w:bCs/>
                <w:iCs/>
                <w:color w:val="FFFFFF"/>
                <w:sz w:val="28"/>
                <w:szCs w:val="28"/>
                <w:lang w:val="en-US"/>
              </w:rPr>
              <w:t xml:space="preserve">Regulatory changes in the </w:t>
            </w:r>
            <w:r>
              <w:rPr>
                <w:rFonts w:cs="Arial"/>
                <w:b/>
                <w:bCs/>
                <w:iCs/>
                <w:color w:val="FFFFFF"/>
                <w:sz w:val="28"/>
                <w:szCs w:val="28"/>
                <w:lang w:val="en-US"/>
              </w:rPr>
              <w:t xml:space="preserve">UK or </w:t>
            </w:r>
            <w:r w:rsidRPr="00862949">
              <w:rPr>
                <w:rFonts w:cs="Arial"/>
                <w:b/>
                <w:bCs/>
                <w:iCs/>
                <w:color w:val="FFFFFF"/>
                <w:sz w:val="28"/>
                <w:szCs w:val="28"/>
                <w:lang w:val="en-US"/>
              </w:rPr>
              <w:t>EU</w:t>
            </w:r>
            <w:r w:rsidRPr="00862949">
              <w:rPr>
                <w:rFonts w:cs="Arial"/>
                <w:b/>
                <w:bCs/>
                <w:iCs/>
                <w:color w:val="FFFFFF"/>
                <w:sz w:val="28"/>
                <w:szCs w:val="28"/>
                <w:lang w:val="en-US"/>
              </w:rPr>
              <w:tab/>
            </w:r>
          </w:p>
        </w:tc>
      </w:tr>
      <w:tr w:rsidR="001C3A55" w:rsidRPr="000F19E1" w14:paraId="51A8F723" w14:textId="77777777" w:rsidTr="003260B8">
        <w:tc>
          <w:tcPr>
            <w:tcW w:w="957" w:type="pct"/>
            <w:shd w:val="clear" w:color="auto" w:fill="DAEEF3"/>
            <w:tcMar>
              <w:top w:w="0" w:type="dxa"/>
              <w:bottom w:w="0" w:type="dxa"/>
            </w:tcMar>
          </w:tcPr>
          <w:p w14:paraId="30E16A5E" w14:textId="77777777" w:rsidR="001C3A55" w:rsidRPr="000F19E1" w:rsidRDefault="001C3A55" w:rsidP="00510003">
            <w:pPr>
              <w:rPr>
                <w:rFonts w:cs="Arial"/>
                <w:bCs/>
                <w:sz w:val="8"/>
                <w:szCs w:val="8"/>
              </w:rPr>
            </w:pPr>
          </w:p>
        </w:tc>
        <w:tc>
          <w:tcPr>
            <w:tcW w:w="4043" w:type="pct"/>
            <w:shd w:val="clear" w:color="auto" w:fill="DAEEF3"/>
            <w:tcMar>
              <w:top w:w="0" w:type="dxa"/>
              <w:bottom w:w="0" w:type="dxa"/>
            </w:tcMar>
          </w:tcPr>
          <w:p w14:paraId="52BA5703" w14:textId="77777777" w:rsidR="001C3A55" w:rsidRPr="000F19E1" w:rsidRDefault="001C3A55" w:rsidP="00510003">
            <w:pPr>
              <w:tabs>
                <w:tab w:val="center" w:pos="3152"/>
              </w:tabs>
              <w:rPr>
                <w:rFonts w:cs="Arial"/>
                <w:sz w:val="8"/>
                <w:szCs w:val="8"/>
                <w:lang w:val="en-US"/>
              </w:rPr>
            </w:pPr>
          </w:p>
        </w:tc>
      </w:tr>
      <w:bookmarkEnd w:id="0"/>
      <w:tr w:rsidR="001C3A55" w:rsidRPr="00433D3E" w14:paraId="4915548C" w14:textId="77777777" w:rsidTr="00155BD9">
        <w:tc>
          <w:tcPr>
            <w:tcW w:w="5000" w:type="pct"/>
            <w:gridSpan w:val="2"/>
            <w:shd w:val="clear" w:color="auto" w:fill="00B050"/>
            <w:tcMar>
              <w:top w:w="57" w:type="dxa"/>
              <w:bottom w:w="57" w:type="dxa"/>
            </w:tcMar>
          </w:tcPr>
          <w:p w14:paraId="5A1DECE1" w14:textId="424B59AE" w:rsidR="001C3A55" w:rsidRPr="0021490D" w:rsidRDefault="001C3A55" w:rsidP="00B94311">
            <w:pPr>
              <w:rPr>
                <w:rFonts w:cs="Arial"/>
                <w:noProof/>
                <w:color w:val="FFFFFF"/>
                <w:sz w:val="16"/>
                <w:szCs w:val="16"/>
              </w:rPr>
            </w:pPr>
            <w:r>
              <w:rPr>
                <w:rFonts w:cs="Arial"/>
                <w:b/>
                <w:bCs/>
                <w:i/>
                <w:iCs/>
                <w:color w:val="FFFFFF"/>
                <w:sz w:val="22"/>
                <w:szCs w:val="20"/>
                <w:lang w:val="en-US"/>
              </w:rPr>
              <w:t xml:space="preserve">Recommended for approval in </w:t>
            </w:r>
            <w:r w:rsidRPr="00433D3E">
              <w:rPr>
                <w:rFonts w:cs="Arial"/>
                <w:b/>
                <w:bCs/>
                <w:i/>
                <w:iCs/>
                <w:color w:val="FFFFFF"/>
                <w:sz w:val="22"/>
                <w:szCs w:val="20"/>
                <w:lang w:val="en-US"/>
              </w:rPr>
              <w:t xml:space="preserve">the </w:t>
            </w:r>
            <w:r w:rsidR="0048777D">
              <w:rPr>
                <w:rFonts w:cs="Arial"/>
                <w:b/>
                <w:bCs/>
                <w:i/>
                <w:iCs/>
                <w:color w:val="FFFFFF"/>
                <w:sz w:val="22"/>
                <w:szCs w:val="20"/>
                <w:lang w:val="en-US"/>
              </w:rPr>
              <w:t>UK</w:t>
            </w:r>
            <w:r w:rsidR="00B94311">
              <w:rPr>
                <w:rFonts w:cs="Arial"/>
                <w:b/>
                <w:bCs/>
                <w:i/>
                <w:iCs/>
                <w:color w:val="FFFFFF"/>
                <w:sz w:val="22"/>
                <w:szCs w:val="20"/>
                <w:lang w:val="en-US"/>
              </w:rPr>
              <w:t xml:space="preserve"> or </w:t>
            </w:r>
            <w:r w:rsidRPr="00433D3E">
              <w:rPr>
                <w:rFonts w:cs="Arial"/>
                <w:b/>
                <w:bCs/>
                <w:i/>
                <w:iCs/>
                <w:color w:val="FFFFFF"/>
                <w:sz w:val="22"/>
                <w:szCs w:val="20"/>
                <w:lang w:val="en-US"/>
              </w:rPr>
              <w:t>EU</w:t>
            </w:r>
            <w:r w:rsidR="00707E1D">
              <w:rPr>
                <w:rFonts w:cs="Arial"/>
                <w:b/>
                <w:bCs/>
                <w:i/>
                <w:iCs/>
                <w:color w:val="FFFFFF"/>
                <w:sz w:val="22"/>
                <w:szCs w:val="20"/>
                <w:lang w:val="en-US"/>
              </w:rPr>
              <w:t xml:space="preserve"> </w:t>
            </w:r>
            <w:r w:rsidR="00707E1D" w:rsidRPr="00707E1D">
              <w:rPr>
                <w:rFonts w:cs="Arial"/>
                <w:b/>
                <w:bCs/>
                <w:color w:val="FFFFFF"/>
                <w:sz w:val="16"/>
                <w:szCs w:val="14"/>
                <w:lang w:val="en-US"/>
              </w:rPr>
              <w:t>(continued)</w:t>
            </w:r>
          </w:p>
        </w:tc>
      </w:tr>
      <w:tr w:rsidR="00F93E81" w:rsidRPr="00A075A3" w14:paraId="6646B146" w14:textId="77777777" w:rsidTr="003260B8">
        <w:tc>
          <w:tcPr>
            <w:tcW w:w="957" w:type="pct"/>
            <w:shd w:val="clear" w:color="auto" w:fill="auto"/>
            <w:tcMar>
              <w:top w:w="57" w:type="dxa"/>
              <w:bottom w:w="57" w:type="dxa"/>
            </w:tcMar>
          </w:tcPr>
          <w:p w14:paraId="7B4C2E61" w14:textId="170680E1" w:rsidR="00F93E81" w:rsidRPr="007061CF" w:rsidRDefault="00F93E81" w:rsidP="00F93E81">
            <w:pPr>
              <w:rPr>
                <w:rFonts w:cs="Arial"/>
                <w:szCs w:val="19"/>
              </w:rPr>
            </w:pPr>
            <w:r w:rsidRPr="007061CF">
              <w:rPr>
                <w:rFonts w:cs="Arial"/>
                <w:szCs w:val="19"/>
              </w:rPr>
              <w:t>Tislelizumab</w:t>
            </w:r>
            <w:r>
              <w:rPr>
                <w:rFonts w:cs="Arial"/>
                <w:szCs w:val="19"/>
              </w:rPr>
              <w:t xml:space="preserve"> (</w:t>
            </w:r>
            <w:proofErr w:type="spellStart"/>
            <w:r>
              <w:rPr>
                <w:rFonts w:cs="Arial"/>
                <w:i/>
                <w:iCs/>
                <w:szCs w:val="19"/>
              </w:rPr>
              <w:t>Tizveni</w:t>
            </w:r>
            <w:proofErr w:type="spellEnd"/>
            <w:r>
              <w:rPr>
                <w:rFonts w:cs="Arial"/>
                <w:szCs w:val="19"/>
              </w:rPr>
              <w:t>)</w:t>
            </w:r>
          </w:p>
        </w:tc>
        <w:tc>
          <w:tcPr>
            <w:tcW w:w="4043" w:type="pct"/>
            <w:shd w:val="clear" w:color="auto" w:fill="auto"/>
            <w:tcMar>
              <w:top w:w="57" w:type="dxa"/>
              <w:bottom w:w="57" w:type="dxa"/>
            </w:tcMar>
          </w:tcPr>
          <w:p w14:paraId="349C2BBD" w14:textId="6F07ED02" w:rsidR="00F93E81" w:rsidRDefault="00F93E81" w:rsidP="00F93E81">
            <w:pPr>
              <w:tabs>
                <w:tab w:val="num" w:pos="720"/>
                <w:tab w:val="center" w:pos="3152"/>
              </w:tabs>
              <w:rPr>
                <w:rFonts w:cs="Arial"/>
                <w:szCs w:val="19"/>
                <w:lang w:val="en-US"/>
              </w:rPr>
            </w:pPr>
            <w:r>
              <w:rPr>
                <w:rFonts w:cs="Arial"/>
                <w:szCs w:val="19"/>
                <w:lang w:val="en-US"/>
              </w:rPr>
              <w:t xml:space="preserve">Use in </w:t>
            </w:r>
            <w:r w:rsidRPr="007061CF">
              <w:rPr>
                <w:rFonts w:cs="Arial"/>
                <w:szCs w:val="19"/>
                <w:lang w:val="en-US"/>
              </w:rPr>
              <w:t>combination with pemetrexed and platinum</w:t>
            </w:r>
            <w:r w:rsidRPr="007061CF">
              <w:rPr>
                <w:rFonts w:ascii="Cambria Math" w:hAnsi="Cambria Math" w:cs="Cambria Math"/>
                <w:szCs w:val="19"/>
                <w:lang w:val="en-US"/>
              </w:rPr>
              <w:t>‑</w:t>
            </w:r>
            <w:r w:rsidRPr="007061CF">
              <w:rPr>
                <w:rFonts w:cs="Arial"/>
                <w:szCs w:val="19"/>
                <w:lang w:val="en-US"/>
              </w:rPr>
              <w:t xml:space="preserve">containing chemotherapy for the first-line treatment of adults with non-squamous non-small cell lung cancer </w:t>
            </w:r>
            <w:r>
              <w:rPr>
                <w:rFonts w:cs="Arial"/>
                <w:szCs w:val="19"/>
                <w:lang w:val="en-US"/>
              </w:rPr>
              <w:t xml:space="preserve">(NSCLC) </w:t>
            </w:r>
            <w:r w:rsidRPr="007061CF">
              <w:rPr>
                <w:rFonts w:cs="Arial"/>
                <w:szCs w:val="19"/>
                <w:lang w:val="en-US"/>
              </w:rPr>
              <w:t>whose tumours have PD-L1 expression on ≥50% of tumour cells with no EGFR or ALK positive mutations and who have locally advanced NSCLC and are not candidates for surgical resection or platinum-based chemoradiation, or metastatic NSCLC</w:t>
            </w:r>
            <w:r>
              <w:rPr>
                <w:rFonts w:cs="Arial"/>
                <w:szCs w:val="19"/>
                <w:lang w:val="en-US"/>
              </w:rPr>
              <w:t xml:space="preserve"> </w:t>
            </w:r>
            <w:r w:rsidRPr="00CD0DD8">
              <w:rPr>
                <w:rFonts w:cs="Arial"/>
                <w:sz w:val="16"/>
                <w:szCs w:val="16"/>
                <w:lang w:val="en-US"/>
              </w:rPr>
              <w:t xml:space="preserve">[EU] </w:t>
            </w:r>
            <w:r>
              <w:rPr>
                <w:rFonts w:cs="Arial"/>
                <w:sz w:val="16"/>
                <w:szCs w:val="16"/>
                <w:lang w:val="en-US"/>
              </w:rPr>
              <w:t>[new formulation with new indication]</w:t>
            </w:r>
          </w:p>
        </w:tc>
      </w:tr>
      <w:tr w:rsidR="00F93E81" w:rsidRPr="00A075A3" w14:paraId="5CB58E21" w14:textId="77777777" w:rsidTr="003260B8">
        <w:tc>
          <w:tcPr>
            <w:tcW w:w="957" w:type="pct"/>
            <w:shd w:val="clear" w:color="auto" w:fill="auto"/>
            <w:tcMar>
              <w:top w:w="57" w:type="dxa"/>
              <w:bottom w:w="57" w:type="dxa"/>
            </w:tcMar>
          </w:tcPr>
          <w:p w14:paraId="53064374" w14:textId="77777777" w:rsidR="00F93E81" w:rsidRDefault="00F93E81" w:rsidP="00F93E81">
            <w:pPr>
              <w:rPr>
                <w:rFonts w:cs="Arial"/>
                <w:szCs w:val="19"/>
              </w:rPr>
            </w:pPr>
            <w:proofErr w:type="spellStart"/>
            <w:r w:rsidRPr="00B428E5">
              <w:rPr>
                <w:rFonts w:cs="Arial"/>
                <w:szCs w:val="19"/>
              </w:rPr>
              <w:t>Tofersen</w:t>
            </w:r>
            <w:proofErr w:type="spellEnd"/>
            <w:r w:rsidRPr="00B428E5">
              <w:rPr>
                <w:rFonts w:cs="Arial"/>
                <w:szCs w:val="19"/>
              </w:rPr>
              <w:t xml:space="preserve"> sodium </w:t>
            </w:r>
          </w:p>
          <w:p w14:paraId="410BAC70" w14:textId="3256AC62" w:rsidR="00F93E81" w:rsidRPr="002618A3" w:rsidRDefault="00F93E81" w:rsidP="00F93E81">
            <w:pPr>
              <w:rPr>
                <w:rFonts w:cs="Arial"/>
                <w:szCs w:val="19"/>
              </w:rPr>
            </w:pPr>
            <w:r>
              <w:rPr>
                <w:rFonts w:cs="Arial"/>
                <w:szCs w:val="19"/>
              </w:rPr>
              <w:t>(</w:t>
            </w:r>
            <w:proofErr w:type="spellStart"/>
            <w:r>
              <w:rPr>
                <w:rFonts w:cs="Arial"/>
                <w:i/>
                <w:iCs/>
                <w:szCs w:val="19"/>
              </w:rPr>
              <w:t>Qalsody</w:t>
            </w:r>
            <w:proofErr w:type="spellEnd"/>
            <w:r>
              <w:rPr>
                <w:rFonts w:cs="Arial"/>
                <w:szCs w:val="19"/>
              </w:rPr>
              <w:t>)</w:t>
            </w:r>
          </w:p>
        </w:tc>
        <w:tc>
          <w:tcPr>
            <w:tcW w:w="4043" w:type="pct"/>
            <w:shd w:val="clear" w:color="auto" w:fill="auto"/>
            <w:tcMar>
              <w:top w:w="57" w:type="dxa"/>
              <w:bottom w:w="57" w:type="dxa"/>
            </w:tcMar>
          </w:tcPr>
          <w:p w14:paraId="77E30EA3" w14:textId="421FED04" w:rsidR="00F93E81" w:rsidRDefault="00F93E81" w:rsidP="00F93E81">
            <w:pPr>
              <w:tabs>
                <w:tab w:val="num" w:pos="720"/>
                <w:tab w:val="center" w:pos="3152"/>
              </w:tabs>
              <w:rPr>
                <w:rFonts w:cs="Arial"/>
                <w:szCs w:val="19"/>
                <w:lang w:val="en-US"/>
              </w:rPr>
            </w:pPr>
            <w:r w:rsidRPr="00B428E5">
              <w:rPr>
                <w:rFonts w:cs="Arial"/>
                <w:szCs w:val="19"/>
                <w:lang w:val="en-US"/>
              </w:rPr>
              <w:t>Treatment of adults with amyotrophic lateral sclerosis associated with a mutation in the superoxide dismutase 1 gene</w:t>
            </w:r>
            <w:r>
              <w:rPr>
                <w:rFonts w:cs="Arial"/>
                <w:szCs w:val="19"/>
                <w:lang w:val="en-US"/>
              </w:rPr>
              <w:t xml:space="preserve"> </w:t>
            </w:r>
            <w:r w:rsidRPr="00B428E5">
              <w:rPr>
                <w:rFonts w:cs="Arial"/>
                <w:sz w:val="16"/>
                <w:szCs w:val="16"/>
                <w:lang w:val="en-US"/>
              </w:rPr>
              <w:t>[EU]</w:t>
            </w:r>
          </w:p>
        </w:tc>
      </w:tr>
      <w:tr w:rsidR="00F93E81" w:rsidRPr="00A075A3" w14:paraId="36E6C76A" w14:textId="77777777" w:rsidTr="003260B8">
        <w:tc>
          <w:tcPr>
            <w:tcW w:w="957" w:type="pct"/>
            <w:shd w:val="clear" w:color="auto" w:fill="auto"/>
            <w:tcMar>
              <w:top w:w="57" w:type="dxa"/>
              <w:bottom w:w="57" w:type="dxa"/>
            </w:tcMar>
          </w:tcPr>
          <w:p w14:paraId="70520B6B" w14:textId="2E453047" w:rsidR="00F93E81" w:rsidRPr="00812244" w:rsidRDefault="00F93E81" w:rsidP="00F93E81">
            <w:pPr>
              <w:rPr>
                <w:rFonts w:cs="Arial"/>
                <w:i/>
                <w:iCs/>
                <w:szCs w:val="19"/>
              </w:rPr>
            </w:pPr>
            <w:r>
              <w:rPr>
                <w:rFonts w:cs="Arial"/>
                <w:szCs w:val="19"/>
              </w:rPr>
              <w:t>Ustekinumab biosimilar (</w:t>
            </w:r>
            <w:proofErr w:type="spellStart"/>
            <w:r w:rsidRPr="00812244">
              <w:rPr>
                <w:rFonts w:cs="Arial"/>
                <w:i/>
                <w:iCs/>
                <w:szCs w:val="19"/>
              </w:rPr>
              <w:t>Pyzchiva</w:t>
            </w:r>
            <w:proofErr w:type="spellEnd"/>
            <w:r>
              <w:rPr>
                <w:rFonts w:cs="Arial"/>
                <w:szCs w:val="19"/>
              </w:rPr>
              <w:t>)</w:t>
            </w:r>
          </w:p>
        </w:tc>
        <w:tc>
          <w:tcPr>
            <w:tcW w:w="4043" w:type="pct"/>
            <w:shd w:val="clear" w:color="auto" w:fill="auto"/>
            <w:tcMar>
              <w:top w:w="57" w:type="dxa"/>
              <w:bottom w:w="57" w:type="dxa"/>
            </w:tcMar>
          </w:tcPr>
          <w:p w14:paraId="168CE981" w14:textId="168AA92D" w:rsidR="00F93E81" w:rsidRPr="00812244" w:rsidRDefault="00F93E81" w:rsidP="00F93E81">
            <w:pPr>
              <w:tabs>
                <w:tab w:val="num" w:pos="720"/>
                <w:tab w:val="center" w:pos="3152"/>
              </w:tabs>
              <w:rPr>
                <w:rFonts w:cs="Arial"/>
                <w:i/>
                <w:iCs/>
                <w:szCs w:val="19"/>
                <w:lang w:val="en-US"/>
              </w:rPr>
            </w:pPr>
            <w:r>
              <w:rPr>
                <w:rFonts w:cs="Arial"/>
                <w:szCs w:val="19"/>
                <w:lang w:val="en-US"/>
              </w:rPr>
              <w:t>T</w:t>
            </w:r>
            <w:r w:rsidRPr="00812244">
              <w:rPr>
                <w:rFonts w:cs="Arial"/>
                <w:szCs w:val="19"/>
                <w:lang w:val="en-US"/>
              </w:rPr>
              <w:t>reatment of moderate to severe plaque psoriasis in adults</w:t>
            </w:r>
            <w:r>
              <w:rPr>
                <w:rFonts w:cs="Arial"/>
                <w:szCs w:val="19"/>
                <w:lang w:val="en-US"/>
              </w:rPr>
              <w:t>, adolescents and c</w:t>
            </w:r>
            <w:r w:rsidRPr="00812244">
              <w:rPr>
                <w:rFonts w:cs="Arial"/>
                <w:szCs w:val="19"/>
                <w:lang w:val="en-US"/>
              </w:rPr>
              <w:t xml:space="preserve">hildren </w:t>
            </w:r>
            <w:r>
              <w:rPr>
                <w:rFonts w:cs="Arial"/>
                <w:szCs w:val="19"/>
                <w:lang w:val="en-US"/>
              </w:rPr>
              <w:t>aged ≥</w:t>
            </w:r>
            <w:r w:rsidRPr="00812244">
              <w:rPr>
                <w:rFonts w:cs="Arial"/>
                <w:szCs w:val="19"/>
                <w:lang w:val="en-US"/>
              </w:rPr>
              <w:t>6 years</w:t>
            </w:r>
            <w:r>
              <w:rPr>
                <w:rFonts w:cs="Arial"/>
                <w:szCs w:val="19"/>
                <w:lang w:val="en-US"/>
              </w:rPr>
              <w:t>,</w:t>
            </w:r>
            <w:r>
              <w:t xml:space="preserve"> </w:t>
            </w:r>
            <w:r w:rsidRPr="00B96D12">
              <w:rPr>
                <w:rFonts w:cs="Arial"/>
                <w:szCs w:val="19"/>
                <w:lang w:val="en-US"/>
              </w:rPr>
              <w:t>treatment of active psoriatic arthritis in adult</w:t>
            </w:r>
            <w:r>
              <w:rPr>
                <w:rFonts w:cs="Arial"/>
                <w:szCs w:val="19"/>
                <w:lang w:val="en-US"/>
              </w:rPr>
              <w:t>s,</w:t>
            </w:r>
            <w:r w:rsidRPr="00812244">
              <w:rPr>
                <w:rFonts w:cs="Arial"/>
                <w:szCs w:val="19"/>
                <w:lang w:val="en-US"/>
              </w:rPr>
              <w:t xml:space="preserve"> </w:t>
            </w:r>
            <w:r>
              <w:rPr>
                <w:rFonts w:cs="Arial"/>
                <w:szCs w:val="19"/>
                <w:lang w:val="en-US"/>
              </w:rPr>
              <w:t>t</w:t>
            </w:r>
            <w:r w:rsidRPr="00812244">
              <w:rPr>
                <w:rFonts w:cs="Arial"/>
                <w:szCs w:val="19"/>
                <w:lang w:val="en-US"/>
              </w:rPr>
              <w:t>reatment of adults with moderately to severely active Crohn’s disease</w:t>
            </w:r>
            <w:r>
              <w:rPr>
                <w:rFonts w:cs="Arial"/>
                <w:szCs w:val="19"/>
                <w:lang w:val="en-US"/>
              </w:rPr>
              <w:t xml:space="preserve"> and t</w:t>
            </w:r>
            <w:r w:rsidRPr="00812244">
              <w:rPr>
                <w:rFonts w:cs="Arial"/>
                <w:szCs w:val="19"/>
                <w:lang w:val="en-US"/>
              </w:rPr>
              <w:t>reatment of adults with moderately to severely active ulcerative colitis</w:t>
            </w:r>
            <w:r>
              <w:rPr>
                <w:rFonts w:cs="Arial"/>
                <w:szCs w:val="19"/>
                <w:lang w:val="en-US"/>
              </w:rPr>
              <w:t xml:space="preserve"> </w:t>
            </w:r>
            <w:r w:rsidRPr="00812244">
              <w:rPr>
                <w:rFonts w:cs="Arial"/>
                <w:sz w:val="16"/>
                <w:szCs w:val="16"/>
                <w:lang w:val="en-US"/>
              </w:rPr>
              <w:t xml:space="preserve">[EU] </w:t>
            </w:r>
            <w:r w:rsidRPr="00812244">
              <w:rPr>
                <w:rFonts w:cs="Arial"/>
                <w:i/>
                <w:iCs/>
                <w:sz w:val="16"/>
                <w:szCs w:val="16"/>
                <w:lang w:val="en-US"/>
              </w:rPr>
              <w:t xml:space="preserve">Note: </w:t>
            </w:r>
            <w:r w:rsidR="00831811">
              <w:rPr>
                <w:rFonts w:cs="Arial"/>
                <w:i/>
                <w:iCs/>
                <w:sz w:val="16"/>
                <w:szCs w:val="16"/>
                <w:lang w:val="en-US"/>
              </w:rPr>
              <w:t>we have shortened the wording of this</w:t>
            </w:r>
            <w:r>
              <w:rPr>
                <w:rFonts w:cs="Arial"/>
                <w:i/>
                <w:iCs/>
                <w:sz w:val="16"/>
                <w:szCs w:val="16"/>
                <w:lang w:val="en-US"/>
              </w:rPr>
              <w:t xml:space="preserve"> indication</w:t>
            </w:r>
            <w:r w:rsidR="00831811">
              <w:rPr>
                <w:rFonts w:cs="Arial"/>
                <w:i/>
                <w:iCs/>
                <w:sz w:val="16"/>
                <w:szCs w:val="16"/>
                <w:lang w:val="en-US"/>
              </w:rPr>
              <w:t xml:space="preserve"> to save space</w:t>
            </w:r>
          </w:p>
        </w:tc>
      </w:tr>
      <w:tr w:rsidR="00F93E81" w:rsidRPr="000F19E1" w14:paraId="7DC30577" w14:textId="77777777" w:rsidTr="003260B8">
        <w:tc>
          <w:tcPr>
            <w:tcW w:w="957" w:type="pct"/>
            <w:shd w:val="clear" w:color="auto" w:fill="auto"/>
            <w:tcMar>
              <w:top w:w="0" w:type="dxa"/>
              <w:bottom w:w="0" w:type="dxa"/>
            </w:tcMar>
          </w:tcPr>
          <w:p w14:paraId="3C1A7F33" w14:textId="77777777" w:rsidR="00F93E81" w:rsidRPr="000F19E1" w:rsidRDefault="00F93E81" w:rsidP="00F93E81">
            <w:pPr>
              <w:rPr>
                <w:rFonts w:cs="Arial"/>
                <w:bCs/>
                <w:sz w:val="8"/>
                <w:szCs w:val="8"/>
              </w:rPr>
            </w:pPr>
          </w:p>
        </w:tc>
        <w:tc>
          <w:tcPr>
            <w:tcW w:w="4043" w:type="pct"/>
            <w:shd w:val="clear" w:color="auto" w:fill="auto"/>
            <w:tcMar>
              <w:top w:w="0" w:type="dxa"/>
              <w:bottom w:w="0" w:type="dxa"/>
            </w:tcMar>
          </w:tcPr>
          <w:p w14:paraId="5F8EA0FD" w14:textId="77777777" w:rsidR="00F93E81" w:rsidRPr="000F19E1" w:rsidRDefault="00F93E81" w:rsidP="00F93E81">
            <w:pPr>
              <w:tabs>
                <w:tab w:val="center" w:pos="3152"/>
              </w:tabs>
              <w:rPr>
                <w:rFonts w:cs="Arial"/>
                <w:sz w:val="8"/>
                <w:szCs w:val="8"/>
                <w:lang w:val="en-US"/>
              </w:rPr>
            </w:pPr>
          </w:p>
        </w:tc>
      </w:tr>
      <w:tr w:rsidR="00F93E81" w:rsidRPr="000F19E1" w14:paraId="104EA999" w14:textId="77777777" w:rsidTr="003260B8">
        <w:tc>
          <w:tcPr>
            <w:tcW w:w="957" w:type="pct"/>
            <w:shd w:val="clear" w:color="auto" w:fill="DAEEF3"/>
            <w:tcMar>
              <w:top w:w="0" w:type="dxa"/>
              <w:bottom w:w="0" w:type="dxa"/>
            </w:tcMar>
          </w:tcPr>
          <w:p w14:paraId="3DB5943A" w14:textId="77777777" w:rsidR="00F93E81" w:rsidRPr="000F19E1" w:rsidRDefault="00F93E81" w:rsidP="00F93E81">
            <w:pPr>
              <w:rPr>
                <w:rFonts w:cs="Arial"/>
                <w:bCs/>
                <w:sz w:val="8"/>
                <w:szCs w:val="8"/>
              </w:rPr>
            </w:pPr>
          </w:p>
        </w:tc>
        <w:tc>
          <w:tcPr>
            <w:tcW w:w="4043" w:type="pct"/>
            <w:shd w:val="clear" w:color="auto" w:fill="DAEEF3"/>
            <w:tcMar>
              <w:top w:w="0" w:type="dxa"/>
              <w:bottom w:w="0" w:type="dxa"/>
            </w:tcMar>
          </w:tcPr>
          <w:p w14:paraId="7A04416B" w14:textId="77777777" w:rsidR="00F93E81" w:rsidRPr="000F19E1" w:rsidRDefault="00F93E81" w:rsidP="00F93E81">
            <w:pPr>
              <w:tabs>
                <w:tab w:val="center" w:pos="3152"/>
              </w:tabs>
              <w:rPr>
                <w:rFonts w:cs="Arial"/>
                <w:sz w:val="8"/>
                <w:szCs w:val="8"/>
                <w:lang w:val="en-US"/>
              </w:rPr>
            </w:pPr>
          </w:p>
        </w:tc>
      </w:tr>
      <w:tr w:rsidR="00F93E81" w:rsidRPr="00433D3E" w14:paraId="3A512965" w14:textId="77777777" w:rsidTr="00155BD9">
        <w:tc>
          <w:tcPr>
            <w:tcW w:w="5000" w:type="pct"/>
            <w:gridSpan w:val="2"/>
            <w:shd w:val="clear" w:color="auto" w:fill="00B050"/>
            <w:tcMar>
              <w:top w:w="57" w:type="dxa"/>
              <w:bottom w:w="57" w:type="dxa"/>
            </w:tcMar>
          </w:tcPr>
          <w:p w14:paraId="34CD12A6" w14:textId="77777777" w:rsidR="00F93E81" w:rsidRPr="00433D3E" w:rsidRDefault="00F93E81" w:rsidP="00F93E81">
            <w:pPr>
              <w:rPr>
                <w:rFonts w:cs="Arial"/>
                <w:noProof/>
                <w:color w:val="FFFFFF"/>
                <w:sz w:val="16"/>
                <w:szCs w:val="16"/>
              </w:rPr>
            </w:pPr>
            <w:r w:rsidRPr="00433D3E">
              <w:rPr>
                <w:rFonts w:cs="Arial"/>
                <w:b/>
                <w:bCs/>
                <w:i/>
                <w:iCs/>
                <w:color w:val="FFFFFF"/>
                <w:sz w:val="22"/>
                <w:szCs w:val="20"/>
                <w:lang w:val="en-US"/>
              </w:rPr>
              <w:t xml:space="preserve">Filed for approval in the </w:t>
            </w:r>
            <w:r>
              <w:rPr>
                <w:rFonts w:cs="Arial"/>
                <w:b/>
                <w:bCs/>
                <w:i/>
                <w:iCs/>
                <w:color w:val="FFFFFF"/>
                <w:sz w:val="22"/>
                <w:szCs w:val="20"/>
                <w:lang w:val="en-US"/>
              </w:rPr>
              <w:t xml:space="preserve">UK or </w:t>
            </w:r>
            <w:r w:rsidRPr="00433D3E">
              <w:rPr>
                <w:rFonts w:cs="Arial"/>
                <w:b/>
                <w:bCs/>
                <w:i/>
                <w:iCs/>
                <w:color w:val="FFFFFF"/>
                <w:sz w:val="22"/>
                <w:szCs w:val="20"/>
                <w:lang w:val="en-US"/>
              </w:rPr>
              <w:t>EU</w:t>
            </w:r>
          </w:p>
        </w:tc>
      </w:tr>
      <w:tr w:rsidR="00F93E81" w:rsidRPr="00A075A3" w14:paraId="06577313" w14:textId="77777777" w:rsidTr="003260B8">
        <w:tc>
          <w:tcPr>
            <w:tcW w:w="957" w:type="pct"/>
            <w:shd w:val="clear" w:color="auto" w:fill="auto"/>
            <w:tcMar>
              <w:top w:w="57" w:type="dxa"/>
              <w:bottom w:w="57" w:type="dxa"/>
            </w:tcMar>
          </w:tcPr>
          <w:p w14:paraId="105372A6" w14:textId="1FB7792E" w:rsidR="00F93E81" w:rsidRPr="0029483D" w:rsidRDefault="00F93E81" w:rsidP="00F93E81">
            <w:pPr>
              <w:rPr>
                <w:rFonts w:cs="Arial"/>
                <w:szCs w:val="19"/>
              </w:rPr>
            </w:pPr>
            <w:proofErr w:type="spellStart"/>
            <w:r w:rsidRPr="00E93745">
              <w:rPr>
                <w:rFonts w:cs="Arial"/>
                <w:szCs w:val="19"/>
              </w:rPr>
              <w:t>Acoramidis</w:t>
            </w:r>
            <w:proofErr w:type="spellEnd"/>
            <w:r>
              <w:rPr>
                <w:rFonts w:cs="Arial"/>
                <w:szCs w:val="19"/>
              </w:rPr>
              <w:t xml:space="preserve"> </w:t>
            </w:r>
          </w:p>
        </w:tc>
        <w:tc>
          <w:tcPr>
            <w:tcW w:w="4043" w:type="pct"/>
            <w:shd w:val="clear" w:color="auto" w:fill="auto"/>
            <w:tcMar>
              <w:top w:w="57" w:type="dxa"/>
              <w:bottom w:w="57" w:type="dxa"/>
            </w:tcMar>
          </w:tcPr>
          <w:p w14:paraId="6C61FDEE" w14:textId="17FC230A" w:rsidR="00F93E81" w:rsidRDefault="00F93E81" w:rsidP="00F93E81">
            <w:pPr>
              <w:tabs>
                <w:tab w:val="center" w:pos="3152"/>
              </w:tabs>
              <w:rPr>
                <w:rFonts w:cs="Arial"/>
                <w:szCs w:val="19"/>
                <w:lang w:val="en-US"/>
              </w:rPr>
            </w:pPr>
            <w:r w:rsidRPr="00E93745">
              <w:rPr>
                <w:rFonts w:cs="Arial"/>
                <w:szCs w:val="19"/>
                <w:lang w:val="en-US"/>
              </w:rPr>
              <w:t>Treatment of wild-type or variant transthyretin amyloidosis in adul</w:t>
            </w:r>
            <w:r>
              <w:rPr>
                <w:rFonts w:cs="Arial"/>
                <w:szCs w:val="19"/>
                <w:lang w:val="en-US"/>
              </w:rPr>
              <w:t>t</w:t>
            </w:r>
            <w:r w:rsidRPr="00E93745">
              <w:rPr>
                <w:rFonts w:cs="Arial"/>
                <w:szCs w:val="19"/>
                <w:lang w:val="en-US"/>
              </w:rPr>
              <w:t>s with cardiomyopathy</w:t>
            </w:r>
            <w:r>
              <w:rPr>
                <w:rFonts w:cs="Arial"/>
                <w:szCs w:val="19"/>
                <w:lang w:val="en-US"/>
              </w:rPr>
              <w:t xml:space="preserve"> </w:t>
            </w:r>
            <w:r w:rsidRPr="00E93745">
              <w:rPr>
                <w:rFonts w:cs="Arial"/>
                <w:sz w:val="16"/>
                <w:szCs w:val="16"/>
                <w:lang w:val="en-US"/>
              </w:rPr>
              <w:t>[EU]</w:t>
            </w:r>
          </w:p>
        </w:tc>
      </w:tr>
      <w:tr w:rsidR="00F93E81" w:rsidRPr="00A075A3" w14:paraId="52663726" w14:textId="77777777" w:rsidTr="003260B8">
        <w:tc>
          <w:tcPr>
            <w:tcW w:w="957" w:type="pct"/>
            <w:shd w:val="clear" w:color="auto" w:fill="auto"/>
            <w:tcMar>
              <w:top w:w="57" w:type="dxa"/>
              <w:bottom w:w="57" w:type="dxa"/>
            </w:tcMar>
          </w:tcPr>
          <w:p w14:paraId="746E0F74" w14:textId="2A41243E" w:rsidR="00F93E81" w:rsidRPr="0029483D" w:rsidRDefault="00F93E81" w:rsidP="00F93E81">
            <w:pPr>
              <w:rPr>
                <w:rFonts w:cs="Arial"/>
                <w:szCs w:val="19"/>
              </w:rPr>
            </w:pPr>
            <w:proofErr w:type="spellStart"/>
            <w:r w:rsidRPr="0029483D">
              <w:rPr>
                <w:rFonts w:cs="Arial"/>
                <w:szCs w:val="19"/>
              </w:rPr>
              <w:t>Alectinib</w:t>
            </w:r>
            <w:proofErr w:type="spellEnd"/>
            <w:r>
              <w:rPr>
                <w:rFonts w:cs="Arial"/>
                <w:szCs w:val="19"/>
              </w:rPr>
              <w:t xml:space="preserve"> (</w:t>
            </w:r>
            <w:proofErr w:type="spellStart"/>
            <w:r>
              <w:rPr>
                <w:rFonts w:cs="Arial"/>
                <w:i/>
                <w:iCs/>
                <w:szCs w:val="19"/>
              </w:rPr>
              <w:t>Alecensa</w:t>
            </w:r>
            <w:proofErr w:type="spellEnd"/>
            <w:r>
              <w:rPr>
                <w:rFonts w:cs="Arial"/>
                <w:szCs w:val="19"/>
              </w:rPr>
              <w:t>)</w:t>
            </w:r>
          </w:p>
        </w:tc>
        <w:tc>
          <w:tcPr>
            <w:tcW w:w="4043" w:type="pct"/>
            <w:shd w:val="clear" w:color="auto" w:fill="auto"/>
            <w:tcMar>
              <w:top w:w="57" w:type="dxa"/>
              <w:bottom w:w="57" w:type="dxa"/>
            </w:tcMar>
          </w:tcPr>
          <w:p w14:paraId="3D53C981" w14:textId="57D33934" w:rsidR="00F93E81" w:rsidRPr="00021A0B" w:rsidRDefault="00F93E81" w:rsidP="00F93E81">
            <w:pPr>
              <w:tabs>
                <w:tab w:val="center" w:pos="3152"/>
              </w:tabs>
              <w:rPr>
                <w:rFonts w:cs="Arial"/>
                <w:szCs w:val="19"/>
                <w:lang w:val="en-US"/>
              </w:rPr>
            </w:pPr>
            <w:r>
              <w:rPr>
                <w:rFonts w:cs="Arial"/>
                <w:szCs w:val="19"/>
                <w:lang w:val="en-US"/>
              </w:rPr>
              <w:t xml:space="preserve">Use </w:t>
            </w:r>
            <w:r w:rsidRPr="0029483D">
              <w:rPr>
                <w:rFonts w:cs="Arial"/>
                <w:szCs w:val="19"/>
                <w:lang w:val="en-US"/>
              </w:rPr>
              <w:t xml:space="preserve">as monotherapy in adults with ALK-positive </w:t>
            </w:r>
            <w:r>
              <w:rPr>
                <w:rFonts w:cs="Arial"/>
                <w:szCs w:val="19"/>
                <w:lang w:val="en-US"/>
              </w:rPr>
              <w:t>non-small cell lung cancer</w:t>
            </w:r>
            <w:r w:rsidRPr="0029483D">
              <w:rPr>
                <w:rFonts w:cs="Arial"/>
                <w:szCs w:val="19"/>
                <w:lang w:val="en-US"/>
              </w:rPr>
              <w:t xml:space="preserve"> as adjuvant treatment following tumour resection</w:t>
            </w:r>
            <w:r>
              <w:rPr>
                <w:rFonts w:cs="Arial"/>
                <w:szCs w:val="19"/>
                <w:lang w:val="en-US"/>
              </w:rPr>
              <w:t xml:space="preserve"> </w:t>
            </w:r>
            <w:r w:rsidRPr="00021A0B">
              <w:rPr>
                <w:rFonts w:cs="Arial"/>
                <w:sz w:val="16"/>
                <w:szCs w:val="16"/>
                <w:lang w:val="en-US"/>
              </w:rPr>
              <w:t>[EU] [new indication]</w:t>
            </w:r>
          </w:p>
        </w:tc>
      </w:tr>
      <w:tr w:rsidR="00F93E81" w:rsidRPr="00A075A3" w14:paraId="44139FEF" w14:textId="77777777" w:rsidTr="003260B8">
        <w:tc>
          <w:tcPr>
            <w:tcW w:w="957" w:type="pct"/>
            <w:shd w:val="clear" w:color="auto" w:fill="auto"/>
            <w:tcMar>
              <w:top w:w="57" w:type="dxa"/>
              <w:bottom w:w="57" w:type="dxa"/>
            </w:tcMar>
          </w:tcPr>
          <w:p w14:paraId="56ADDF48" w14:textId="2AAEDCF0" w:rsidR="00F93E81" w:rsidRPr="00C466BC" w:rsidRDefault="00F93E81" w:rsidP="00F93E81">
            <w:pPr>
              <w:rPr>
                <w:rFonts w:cs="Arial"/>
                <w:szCs w:val="19"/>
              </w:rPr>
            </w:pPr>
            <w:proofErr w:type="spellStart"/>
            <w:r w:rsidRPr="00021A0B">
              <w:rPr>
                <w:rFonts w:cs="Arial"/>
                <w:szCs w:val="19"/>
              </w:rPr>
              <w:t>Bempedoic</w:t>
            </w:r>
            <w:proofErr w:type="spellEnd"/>
            <w:r w:rsidRPr="00021A0B">
              <w:rPr>
                <w:rFonts w:cs="Arial"/>
                <w:szCs w:val="19"/>
              </w:rPr>
              <w:t xml:space="preserve"> acid </w:t>
            </w:r>
            <w:r>
              <w:rPr>
                <w:rFonts w:cs="Arial"/>
                <w:szCs w:val="19"/>
              </w:rPr>
              <w:t>+ ezetimibe (</w:t>
            </w:r>
            <w:proofErr w:type="spellStart"/>
            <w:r>
              <w:rPr>
                <w:rFonts w:cs="Arial"/>
                <w:i/>
                <w:iCs/>
                <w:szCs w:val="19"/>
              </w:rPr>
              <w:t>Nustendi</w:t>
            </w:r>
            <w:proofErr w:type="spellEnd"/>
            <w:r>
              <w:rPr>
                <w:rFonts w:cs="Arial"/>
                <w:szCs w:val="19"/>
              </w:rPr>
              <w:t>)</w:t>
            </w:r>
          </w:p>
        </w:tc>
        <w:tc>
          <w:tcPr>
            <w:tcW w:w="4043" w:type="pct"/>
            <w:shd w:val="clear" w:color="auto" w:fill="auto"/>
            <w:tcMar>
              <w:top w:w="57" w:type="dxa"/>
              <w:bottom w:w="57" w:type="dxa"/>
            </w:tcMar>
          </w:tcPr>
          <w:p w14:paraId="675BB3F5" w14:textId="115EB084" w:rsidR="00F93E81" w:rsidRPr="00A075A3" w:rsidRDefault="00F93E81" w:rsidP="00F93E81">
            <w:pPr>
              <w:tabs>
                <w:tab w:val="center" w:pos="3152"/>
              </w:tabs>
              <w:rPr>
                <w:rFonts w:cs="Arial"/>
                <w:szCs w:val="19"/>
                <w:lang w:val="en-US"/>
              </w:rPr>
            </w:pPr>
            <w:r w:rsidRPr="00021A0B">
              <w:rPr>
                <w:rFonts w:cs="Arial"/>
                <w:szCs w:val="19"/>
                <w:lang w:val="en-US"/>
              </w:rPr>
              <w:t>Prevention of cardiovascular events in patients who are at high risk for cardiovascular disease, with documented statin intolerance</w:t>
            </w:r>
            <w:r>
              <w:rPr>
                <w:rFonts w:cs="Arial"/>
                <w:szCs w:val="19"/>
                <w:lang w:val="en-US"/>
              </w:rPr>
              <w:t xml:space="preserve"> </w:t>
            </w:r>
            <w:r w:rsidRPr="00021A0B">
              <w:rPr>
                <w:rFonts w:cs="Arial"/>
                <w:sz w:val="16"/>
                <w:szCs w:val="16"/>
                <w:lang w:val="en-US"/>
              </w:rPr>
              <w:t>[EU] [new indication]</w:t>
            </w:r>
          </w:p>
        </w:tc>
      </w:tr>
      <w:tr w:rsidR="00F93E81" w:rsidRPr="00A075A3" w14:paraId="2469C8B8" w14:textId="77777777" w:rsidTr="003260B8">
        <w:tc>
          <w:tcPr>
            <w:tcW w:w="957" w:type="pct"/>
            <w:shd w:val="clear" w:color="auto" w:fill="auto"/>
            <w:tcMar>
              <w:top w:w="57" w:type="dxa"/>
              <w:bottom w:w="57" w:type="dxa"/>
            </w:tcMar>
          </w:tcPr>
          <w:p w14:paraId="3FEB7D2C" w14:textId="78A67CCF" w:rsidR="00F93E81" w:rsidRPr="000D2A46" w:rsidRDefault="00F93E81" w:rsidP="00F93E81">
            <w:pPr>
              <w:rPr>
                <w:rFonts w:cs="Arial"/>
                <w:szCs w:val="19"/>
              </w:rPr>
            </w:pPr>
            <w:proofErr w:type="spellStart"/>
            <w:r>
              <w:rPr>
                <w:rFonts w:cs="Arial"/>
                <w:szCs w:val="19"/>
              </w:rPr>
              <w:t>Enfortumab</w:t>
            </w:r>
            <w:proofErr w:type="spellEnd"/>
            <w:r>
              <w:rPr>
                <w:rFonts w:cs="Arial"/>
                <w:szCs w:val="19"/>
              </w:rPr>
              <w:t xml:space="preserve"> </w:t>
            </w:r>
            <w:proofErr w:type="spellStart"/>
            <w:r>
              <w:rPr>
                <w:rFonts w:cs="Arial"/>
                <w:szCs w:val="19"/>
              </w:rPr>
              <w:t>vedotin</w:t>
            </w:r>
            <w:proofErr w:type="spellEnd"/>
            <w:r>
              <w:rPr>
                <w:rFonts w:cs="Arial"/>
                <w:szCs w:val="19"/>
              </w:rPr>
              <w:t xml:space="preserve"> (</w:t>
            </w:r>
            <w:proofErr w:type="spellStart"/>
            <w:r>
              <w:rPr>
                <w:rFonts w:cs="Arial"/>
                <w:i/>
                <w:iCs/>
                <w:szCs w:val="19"/>
              </w:rPr>
              <w:t>Padcev</w:t>
            </w:r>
            <w:proofErr w:type="spellEnd"/>
            <w:r>
              <w:rPr>
                <w:rFonts w:cs="Arial"/>
                <w:szCs w:val="19"/>
              </w:rPr>
              <w:t>)</w:t>
            </w:r>
          </w:p>
        </w:tc>
        <w:tc>
          <w:tcPr>
            <w:tcW w:w="4043" w:type="pct"/>
            <w:shd w:val="clear" w:color="auto" w:fill="auto"/>
            <w:tcMar>
              <w:top w:w="57" w:type="dxa"/>
              <w:bottom w:w="57" w:type="dxa"/>
            </w:tcMar>
          </w:tcPr>
          <w:p w14:paraId="482DE9A9" w14:textId="260F0EA2" w:rsidR="00F93E81" w:rsidRPr="00A075A3" w:rsidRDefault="00F93E81" w:rsidP="00F93E81">
            <w:pPr>
              <w:tabs>
                <w:tab w:val="center" w:pos="3152"/>
              </w:tabs>
              <w:rPr>
                <w:rFonts w:cs="Arial"/>
                <w:szCs w:val="19"/>
                <w:lang w:val="en-US"/>
              </w:rPr>
            </w:pPr>
            <w:r>
              <w:rPr>
                <w:rFonts w:cs="Arial"/>
                <w:szCs w:val="19"/>
                <w:lang w:val="en-US"/>
              </w:rPr>
              <w:t xml:space="preserve">Use with pembrolizumab </w:t>
            </w:r>
            <w:r w:rsidRPr="006A353A">
              <w:rPr>
                <w:rFonts w:cs="Arial"/>
                <w:szCs w:val="19"/>
                <w:lang w:val="en-US"/>
              </w:rPr>
              <w:t>as a combination therapy for the first-line treatment of adults with previously untreated locally advanced or metastatic urothelial cancer</w:t>
            </w:r>
            <w:r>
              <w:rPr>
                <w:rFonts w:cs="Arial"/>
                <w:szCs w:val="19"/>
                <w:lang w:val="en-US"/>
              </w:rPr>
              <w:t xml:space="preserve"> </w:t>
            </w:r>
            <w:r w:rsidRPr="006A353A">
              <w:rPr>
                <w:rFonts w:cs="Arial"/>
                <w:sz w:val="16"/>
                <w:szCs w:val="16"/>
                <w:lang w:val="en-US"/>
              </w:rPr>
              <w:t>[EU] [new indication</w:t>
            </w:r>
            <w:r>
              <w:rPr>
                <w:rFonts w:cs="Arial"/>
                <w:sz w:val="16"/>
                <w:szCs w:val="16"/>
                <w:lang w:val="en-US"/>
              </w:rPr>
              <w:t>, believed to include use in patients who are and are not</w:t>
            </w:r>
            <w:r>
              <w:t xml:space="preserve"> </w:t>
            </w:r>
            <w:r w:rsidRPr="002A2FF2">
              <w:rPr>
                <w:rFonts w:cs="Arial"/>
                <w:sz w:val="16"/>
                <w:szCs w:val="16"/>
                <w:lang w:val="en-US"/>
              </w:rPr>
              <w:t>eligible to receive cisplatin chemotherapy</w:t>
            </w:r>
            <w:r w:rsidRPr="006A353A">
              <w:rPr>
                <w:rFonts w:cs="Arial"/>
                <w:sz w:val="16"/>
                <w:szCs w:val="16"/>
                <w:lang w:val="en-US"/>
              </w:rPr>
              <w:t>]</w:t>
            </w:r>
          </w:p>
        </w:tc>
      </w:tr>
      <w:tr w:rsidR="00F93E81" w:rsidRPr="00A075A3" w14:paraId="2D156D06" w14:textId="77777777" w:rsidTr="003260B8">
        <w:tc>
          <w:tcPr>
            <w:tcW w:w="957" w:type="pct"/>
            <w:shd w:val="clear" w:color="auto" w:fill="auto"/>
            <w:tcMar>
              <w:top w:w="57" w:type="dxa"/>
              <w:bottom w:w="57" w:type="dxa"/>
            </w:tcMar>
          </w:tcPr>
          <w:p w14:paraId="094609E6" w14:textId="6633B388" w:rsidR="00F93E81" w:rsidRPr="006A353A" w:rsidRDefault="00F93E81" w:rsidP="00F93E81">
            <w:pPr>
              <w:rPr>
                <w:rFonts w:cs="Arial"/>
                <w:szCs w:val="19"/>
              </w:rPr>
            </w:pPr>
            <w:proofErr w:type="spellStart"/>
            <w:r w:rsidRPr="000B5C4D">
              <w:rPr>
                <w:rFonts w:cs="Arial"/>
                <w:szCs w:val="19"/>
              </w:rPr>
              <w:t>Linvoseltamab</w:t>
            </w:r>
            <w:proofErr w:type="spellEnd"/>
            <w:r>
              <w:rPr>
                <w:rFonts w:cs="Arial"/>
                <w:szCs w:val="19"/>
              </w:rPr>
              <w:t xml:space="preserve"> </w:t>
            </w:r>
          </w:p>
        </w:tc>
        <w:tc>
          <w:tcPr>
            <w:tcW w:w="4043" w:type="pct"/>
            <w:shd w:val="clear" w:color="auto" w:fill="auto"/>
            <w:tcMar>
              <w:top w:w="57" w:type="dxa"/>
              <w:bottom w:w="57" w:type="dxa"/>
            </w:tcMar>
          </w:tcPr>
          <w:p w14:paraId="5EF661DE" w14:textId="687B46E4" w:rsidR="00F93E81" w:rsidRPr="00A075A3" w:rsidRDefault="00F93E81" w:rsidP="00F93E81">
            <w:pPr>
              <w:tabs>
                <w:tab w:val="center" w:pos="3152"/>
              </w:tabs>
              <w:rPr>
                <w:rFonts w:cs="Arial"/>
                <w:szCs w:val="19"/>
                <w:lang w:val="en-US"/>
              </w:rPr>
            </w:pPr>
            <w:r>
              <w:rPr>
                <w:rFonts w:cs="Arial"/>
                <w:szCs w:val="19"/>
                <w:lang w:val="en-US"/>
              </w:rPr>
              <w:t xml:space="preserve">Treatment of </w:t>
            </w:r>
            <w:r w:rsidRPr="000B5C4D">
              <w:rPr>
                <w:rFonts w:cs="Arial"/>
                <w:szCs w:val="19"/>
                <w:lang w:val="en-US"/>
              </w:rPr>
              <w:t>relapsed or refractory</w:t>
            </w:r>
            <w:r>
              <w:rPr>
                <w:rFonts w:cs="Arial"/>
                <w:szCs w:val="19"/>
                <w:lang w:val="en-US"/>
              </w:rPr>
              <w:t xml:space="preserve"> multiple myeloma</w:t>
            </w:r>
            <w:r w:rsidRPr="000B5C4D">
              <w:rPr>
                <w:rFonts w:cs="Arial"/>
                <w:szCs w:val="19"/>
                <w:lang w:val="en-US"/>
              </w:rPr>
              <w:t xml:space="preserve"> in adults</w:t>
            </w:r>
            <w:r>
              <w:rPr>
                <w:rFonts w:cs="Arial"/>
                <w:szCs w:val="19"/>
                <w:lang w:val="en-US"/>
              </w:rPr>
              <w:t>,</w:t>
            </w:r>
            <w:r w:rsidRPr="000B5C4D">
              <w:rPr>
                <w:rFonts w:cs="Arial"/>
                <w:szCs w:val="19"/>
                <w:lang w:val="en-US"/>
              </w:rPr>
              <w:t xml:space="preserve"> fourth-line monotherapy</w:t>
            </w:r>
            <w:r>
              <w:rPr>
                <w:rFonts w:cs="Arial"/>
                <w:szCs w:val="19"/>
                <w:lang w:val="en-US"/>
              </w:rPr>
              <w:t xml:space="preserve"> </w:t>
            </w:r>
            <w:r w:rsidRPr="000B5C4D">
              <w:rPr>
                <w:rFonts w:cs="Arial"/>
                <w:sz w:val="16"/>
                <w:szCs w:val="16"/>
                <w:lang w:val="en-US"/>
              </w:rPr>
              <w:t>[EU]</w:t>
            </w:r>
          </w:p>
        </w:tc>
      </w:tr>
      <w:tr w:rsidR="00F93E81" w:rsidRPr="00A075A3" w14:paraId="2ED9FC7E" w14:textId="77777777" w:rsidTr="003260B8">
        <w:tc>
          <w:tcPr>
            <w:tcW w:w="957" w:type="pct"/>
            <w:shd w:val="clear" w:color="auto" w:fill="auto"/>
            <w:tcMar>
              <w:top w:w="57" w:type="dxa"/>
              <w:bottom w:w="57" w:type="dxa"/>
            </w:tcMar>
          </w:tcPr>
          <w:p w14:paraId="2A043DD2" w14:textId="5F41478E" w:rsidR="00F93E81" w:rsidRPr="00C35D1E" w:rsidRDefault="00F93E81" w:rsidP="00F93E81">
            <w:pPr>
              <w:rPr>
                <w:rFonts w:cs="Arial"/>
                <w:szCs w:val="19"/>
              </w:rPr>
            </w:pPr>
            <w:proofErr w:type="spellStart"/>
            <w:r>
              <w:rPr>
                <w:rFonts w:cs="Arial"/>
                <w:szCs w:val="19"/>
              </w:rPr>
              <w:t>Linzagolix</w:t>
            </w:r>
            <w:proofErr w:type="spellEnd"/>
            <w:r>
              <w:rPr>
                <w:rFonts w:cs="Arial"/>
                <w:szCs w:val="19"/>
              </w:rPr>
              <w:t xml:space="preserve"> (</w:t>
            </w:r>
            <w:proofErr w:type="spellStart"/>
            <w:r>
              <w:rPr>
                <w:rFonts w:cs="Arial"/>
                <w:i/>
                <w:iCs/>
                <w:szCs w:val="19"/>
              </w:rPr>
              <w:t>Yselty</w:t>
            </w:r>
            <w:proofErr w:type="spellEnd"/>
            <w:r>
              <w:rPr>
                <w:rFonts w:cs="Arial"/>
                <w:szCs w:val="19"/>
              </w:rPr>
              <w:t>)</w:t>
            </w:r>
          </w:p>
        </w:tc>
        <w:tc>
          <w:tcPr>
            <w:tcW w:w="4043" w:type="pct"/>
            <w:shd w:val="clear" w:color="auto" w:fill="auto"/>
            <w:tcMar>
              <w:top w:w="57" w:type="dxa"/>
              <w:bottom w:w="57" w:type="dxa"/>
            </w:tcMar>
          </w:tcPr>
          <w:p w14:paraId="7FC4756E" w14:textId="6EE6A667" w:rsidR="00F93E81" w:rsidRPr="00460B68" w:rsidRDefault="00F93E81" w:rsidP="0037419D">
            <w:pPr>
              <w:tabs>
                <w:tab w:val="center" w:pos="3152"/>
              </w:tabs>
              <w:rPr>
                <w:rFonts w:cs="Arial"/>
                <w:szCs w:val="19"/>
                <w:lang w:val="en-US"/>
              </w:rPr>
            </w:pPr>
            <w:r>
              <w:rPr>
                <w:rFonts w:cs="Arial"/>
                <w:szCs w:val="19"/>
                <w:lang w:val="en-US"/>
              </w:rPr>
              <w:t>Treatment of e</w:t>
            </w:r>
            <w:r w:rsidRPr="00C35D1E">
              <w:rPr>
                <w:rFonts w:cs="Arial"/>
                <w:szCs w:val="19"/>
                <w:lang w:val="en-US"/>
              </w:rPr>
              <w:t>ndometriosis</w:t>
            </w:r>
            <w:r>
              <w:rPr>
                <w:rFonts w:cs="Arial"/>
                <w:szCs w:val="19"/>
                <w:lang w:val="en-US"/>
              </w:rPr>
              <w:t>-</w:t>
            </w:r>
            <w:r w:rsidRPr="00C35D1E">
              <w:rPr>
                <w:rFonts w:cs="Arial"/>
                <w:szCs w:val="19"/>
                <w:lang w:val="en-US"/>
              </w:rPr>
              <w:tab/>
              <w:t>associated moderate to severe pain</w:t>
            </w:r>
            <w:r>
              <w:rPr>
                <w:rFonts w:cs="Arial"/>
                <w:szCs w:val="19"/>
                <w:lang w:val="en-US"/>
              </w:rPr>
              <w:t xml:space="preserve"> </w:t>
            </w:r>
            <w:r w:rsidRPr="00C35D1E">
              <w:rPr>
                <w:rFonts w:cs="Arial"/>
                <w:szCs w:val="19"/>
                <w:lang w:val="en-US"/>
              </w:rPr>
              <w:t>in adult women</w:t>
            </w:r>
            <w:r>
              <w:rPr>
                <w:rFonts w:cs="Arial"/>
                <w:szCs w:val="19"/>
                <w:lang w:val="en-US"/>
              </w:rPr>
              <w:t xml:space="preserve"> </w:t>
            </w:r>
            <w:r w:rsidRPr="002E6630">
              <w:rPr>
                <w:rFonts w:cs="Arial"/>
                <w:sz w:val="16"/>
                <w:szCs w:val="16"/>
                <w:lang w:val="en-US"/>
              </w:rPr>
              <w:t>[EU] [new indication]</w:t>
            </w:r>
          </w:p>
        </w:tc>
      </w:tr>
      <w:tr w:rsidR="00F93E81" w:rsidRPr="00A075A3" w14:paraId="6EB3FF86" w14:textId="77777777" w:rsidTr="003260B8">
        <w:tc>
          <w:tcPr>
            <w:tcW w:w="957" w:type="pct"/>
            <w:shd w:val="clear" w:color="auto" w:fill="auto"/>
            <w:tcMar>
              <w:top w:w="57" w:type="dxa"/>
              <w:bottom w:w="57" w:type="dxa"/>
            </w:tcMar>
          </w:tcPr>
          <w:p w14:paraId="7BB8273D" w14:textId="5C876375" w:rsidR="00F93E81" w:rsidRDefault="00F93E81" w:rsidP="00F93E81">
            <w:pPr>
              <w:rPr>
                <w:rFonts w:cs="Arial"/>
                <w:szCs w:val="19"/>
              </w:rPr>
            </w:pPr>
            <w:proofErr w:type="spellStart"/>
            <w:r w:rsidRPr="003024C3">
              <w:rPr>
                <w:rFonts w:cs="Arial"/>
                <w:szCs w:val="19"/>
              </w:rPr>
              <w:t>Nemolizumab</w:t>
            </w:r>
            <w:proofErr w:type="spellEnd"/>
          </w:p>
        </w:tc>
        <w:tc>
          <w:tcPr>
            <w:tcW w:w="4043" w:type="pct"/>
            <w:shd w:val="clear" w:color="auto" w:fill="auto"/>
            <w:tcMar>
              <w:top w:w="57" w:type="dxa"/>
              <w:bottom w:w="57" w:type="dxa"/>
            </w:tcMar>
          </w:tcPr>
          <w:p w14:paraId="62C65B93" w14:textId="4E494FE3" w:rsidR="00F93E81" w:rsidRPr="00460B68" w:rsidRDefault="00F93E81" w:rsidP="00F93E81">
            <w:pPr>
              <w:tabs>
                <w:tab w:val="center" w:pos="3152"/>
              </w:tabs>
              <w:rPr>
                <w:rFonts w:cs="Arial"/>
                <w:szCs w:val="19"/>
                <w:lang w:val="en-US"/>
              </w:rPr>
            </w:pPr>
            <w:r w:rsidRPr="00006656">
              <w:rPr>
                <w:rFonts w:cs="Arial"/>
                <w:szCs w:val="19"/>
                <w:lang w:val="en-US"/>
              </w:rPr>
              <w:t>Treatment of moderate to severe atopic dermatitis</w:t>
            </w:r>
            <w:r>
              <w:t xml:space="preserve"> in adults and </w:t>
            </w:r>
            <w:r w:rsidRPr="00006656">
              <w:rPr>
                <w:rFonts w:cs="Arial"/>
                <w:szCs w:val="19"/>
                <w:lang w:val="en-US"/>
              </w:rPr>
              <w:t>adolescents</w:t>
            </w:r>
            <w:r w:rsidR="0037419D">
              <w:rPr>
                <w:rFonts w:cs="Arial"/>
                <w:szCs w:val="19"/>
                <w:lang w:val="en-US"/>
              </w:rPr>
              <w:t xml:space="preserve"> </w:t>
            </w:r>
            <w:r w:rsidR="0037419D" w:rsidRPr="000B5C4D">
              <w:rPr>
                <w:rFonts w:cs="Arial"/>
                <w:sz w:val="16"/>
                <w:szCs w:val="16"/>
                <w:lang w:val="en-US"/>
              </w:rPr>
              <w:t>[EU]</w:t>
            </w:r>
          </w:p>
        </w:tc>
      </w:tr>
      <w:tr w:rsidR="00F93E81" w:rsidRPr="00A075A3" w14:paraId="1F5105EB" w14:textId="77777777" w:rsidTr="003260B8">
        <w:tc>
          <w:tcPr>
            <w:tcW w:w="957" w:type="pct"/>
            <w:shd w:val="clear" w:color="auto" w:fill="auto"/>
            <w:tcMar>
              <w:top w:w="57" w:type="dxa"/>
              <w:bottom w:w="57" w:type="dxa"/>
            </w:tcMar>
          </w:tcPr>
          <w:p w14:paraId="0A5EB1D1" w14:textId="7112FF9E" w:rsidR="00F93E81" w:rsidRPr="002E6630" w:rsidRDefault="00F93E81" w:rsidP="00F93E81">
            <w:pPr>
              <w:rPr>
                <w:rFonts w:cs="Arial"/>
                <w:szCs w:val="19"/>
              </w:rPr>
            </w:pPr>
            <w:proofErr w:type="spellStart"/>
            <w:r w:rsidRPr="003024C3">
              <w:rPr>
                <w:rFonts w:cs="Arial"/>
                <w:szCs w:val="19"/>
              </w:rPr>
              <w:t>Nemolizumab</w:t>
            </w:r>
            <w:proofErr w:type="spellEnd"/>
            <w:r>
              <w:rPr>
                <w:rFonts w:cs="Arial"/>
                <w:szCs w:val="19"/>
              </w:rPr>
              <w:t xml:space="preserve"> </w:t>
            </w:r>
          </w:p>
        </w:tc>
        <w:tc>
          <w:tcPr>
            <w:tcW w:w="4043" w:type="pct"/>
            <w:shd w:val="clear" w:color="auto" w:fill="auto"/>
            <w:tcMar>
              <w:top w:w="57" w:type="dxa"/>
              <w:bottom w:w="57" w:type="dxa"/>
            </w:tcMar>
          </w:tcPr>
          <w:p w14:paraId="6DD85565" w14:textId="7B64C76E" w:rsidR="00F93E81" w:rsidRPr="00460B68" w:rsidRDefault="00F93E81" w:rsidP="00F93E81">
            <w:pPr>
              <w:tabs>
                <w:tab w:val="center" w:pos="3152"/>
              </w:tabs>
              <w:rPr>
                <w:rFonts w:cs="Arial"/>
                <w:szCs w:val="19"/>
                <w:lang w:val="en-US"/>
              </w:rPr>
            </w:pPr>
            <w:r>
              <w:rPr>
                <w:rFonts w:cs="Arial"/>
                <w:szCs w:val="19"/>
                <w:lang w:val="en-US"/>
              </w:rPr>
              <w:t xml:space="preserve">Treatment of </w:t>
            </w:r>
            <w:r w:rsidRPr="003024C3">
              <w:rPr>
                <w:rFonts w:cs="Arial"/>
                <w:szCs w:val="19"/>
                <w:lang w:val="en-US"/>
              </w:rPr>
              <w:t>moderate to severe</w:t>
            </w:r>
            <w:r>
              <w:rPr>
                <w:rFonts w:cs="Arial"/>
                <w:szCs w:val="19"/>
                <w:lang w:val="en-US"/>
              </w:rPr>
              <w:t xml:space="preserve"> p</w:t>
            </w:r>
            <w:r w:rsidRPr="003024C3">
              <w:rPr>
                <w:rFonts w:cs="Arial"/>
                <w:szCs w:val="19"/>
                <w:lang w:val="en-US"/>
              </w:rPr>
              <w:t>rurigo nodularis in adults</w:t>
            </w:r>
            <w:r w:rsidR="0037419D">
              <w:rPr>
                <w:rFonts w:cs="Arial"/>
                <w:szCs w:val="19"/>
                <w:lang w:val="en-US"/>
              </w:rPr>
              <w:t xml:space="preserve"> </w:t>
            </w:r>
            <w:r w:rsidR="0037419D" w:rsidRPr="000B5C4D">
              <w:rPr>
                <w:rFonts w:cs="Arial"/>
                <w:sz w:val="16"/>
                <w:szCs w:val="16"/>
                <w:lang w:val="en-US"/>
              </w:rPr>
              <w:t>[EU]</w:t>
            </w:r>
          </w:p>
        </w:tc>
      </w:tr>
      <w:tr w:rsidR="00F93E81" w:rsidRPr="00A075A3" w14:paraId="65258054" w14:textId="77777777" w:rsidTr="003260B8">
        <w:tc>
          <w:tcPr>
            <w:tcW w:w="957" w:type="pct"/>
            <w:shd w:val="clear" w:color="auto" w:fill="auto"/>
            <w:tcMar>
              <w:top w:w="57" w:type="dxa"/>
              <w:bottom w:w="57" w:type="dxa"/>
            </w:tcMar>
          </w:tcPr>
          <w:p w14:paraId="025CD687" w14:textId="778E7E7C" w:rsidR="00F93E81" w:rsidRPr="006A353A" w:rsidRDefault="00F93E81" w:rsidP="00F93E81">
            <w:pPr>
              <w:rPr>
                <w:rFonts w:cs="Arial"/>
                <w:szCs w:val="19"/>
              </w:rPr>
            </w:pPr>
            <w:r>
              <w:rPr>
                <w:rFonts w:cs="Arial"/>
                <w:szCs w:val="19"/>
              </w:rPr>
              <w:t>Nivolumab (</w:t>
            </w:r>
            <w:proofErr w:type="spellStart"/>
            <w:r>
              <w:rPr>
                <w:rFonts w:cs="Arial"/>
                <w:i/>
                <w:iCs/>
                <w:szCs w:val="19"/>
              </w:rPr>
              <w:t>Opdivo</w:t>
            </w:r>
            <w:proofErr w:type="spellEnd"/>
            <w:r>
              <w:rPr>
                <w:rFonts w:cs="Arial"/>
                <w:szCs w:val="19"/>
              </w:rPr>
              <w:t>)</w:t>
            </w:r>
          </w:p>
        </w:tc>
        <w:tc>
          <w:tcPr>
            <w:tcW w:w="4043" w:type="pct"/>
            <w:shd w:val="clear" w:color="auto" w:fill="auto"/>
            <w:tcMar>
              <w:top w:w="57" w:type="dxa"/>
              <w:bottom w:w="57" w:type="dxa"/>
            </w:tcMar>
          </w:tcPr>
          <w:p w14:paraId="3E9E9777" w14:textId="3F6E7102" w:rsidR="00F93E81" w:rsidRPr="003F02CB" w:rsidRDefault="00F93E81" w:rsidP="00F93E81">
            <w:pPr>
              <w:tabs>
                <w:tab w:val="center" w:pos="3152"/>
              </w:tabs>
              <w:rPr>
                <w:rFonts w:cs="Arial"/>
                <w:szCs w:val="19"/>
                <w:lang w:val="en-US"/>
              </w:rPr>
            </w:pPr>
            <w:r>
              <w:rPr>
                <w:rFonts w:cs="Arial"/>
                <w:szCs w:val="19"/>
                <w:lang w:val="en-US"/>
              </w:rPr>
              <w:t xml:space="preserve">Use as </w:t>
            </w:r>
            <w:r w:rsidRPr="002E6630">
              <w:rPr>
                <w:rFonts w:cs="Arial"/>
                <w:szCs w:val="19"/>
                <w:lang w:val="en-US"/>
              </w:rPr>
              <w:t xml:space="preserve">neoadjuvant therapy with chemotherapy </w:t>
            </w:r>
            <w:r>
              <w:rPr>
                <w:rFonts w:cs="Arial"/>
                <w:szCs w:val="19"/>
                <w:lang w:val="en-US"/>
              </w:rPr>
              <w:t xml:space="preserve">for treatment of </w:t>
            </w:r>
            <w:proofErr w:type="spellStart"/>
            <w:r>
              <w:rPr>
                <w:rFonts w:cs="Arial"/>
                <w:szCs w:val="19"/>
                <w:lang w:val="en-US"/>
              </w:rPr>
              <w:t>resectable</w:t>
            </w:r>
            <w:proofErr w:type="spellEnd"/>
            <w:r w:rsidRPr="002E6630">
              <w:rPr>
                <w:rFonts w:cs="Arial"/>
                <w:szCs w:val="19"/>
                <w:lang w:val="en-US"/>
              </w:rPr>
              <w:t xml:space="preserve"> stage IIA to IIIB</w:t>
            </w:r>
            <w:r>
              <w:rPr>
                <w:rFonts w:cs="Arial"/>
                <w:szCs w:val="19"/>
                <w:lang w:val="en-US"/>
              </w:rPr>
              <w:t xml:space="preserve"> n</w:t>
            </w:r>
            <w:r w:rsidRPr="002E6630">
              <w:rPr>
                <w:rFonts w:cs="Arial"/>
                <w:szCs w:val="19"/>
                <w:lang w:val="en-US"/>
              </w:rPr>
              <w:t>on-small cell lung cancer in adults</w:t>
            </w:r>
            <w:r>
              <w:rPr>
                <w:rFonts w:cs="Arial"/>
                <w:szCs w:val="19"/>
                <w:lang w:val="en-US"/>
              </w:rPr>
              <w:t xml:space="preserve"> </w:t>
            </w:r>
            <w:r w:rsidRPr="002E6630">
              <w:rPr>
                <w:rFonts w:cs="Arial"/>
                <w:szCs w:val="19"/>
                <w:lang w:val="en-US"/>
              </w:rPr>
              <w:t>followed by nivolumab monotherapy</w:t>
            </w:r>
            <w:r>
              <w:rPr>
                <w:rFonts w:cs="Arial"/>
                <w:szCs w:val="19"/>
                <w:lang w:val="en-US"/>
              </w:rPr>
              <w:t xml:space="preserve"> as </w:t>
            </w:r>
            <w:r w:rsidRPr="002E6630">
              <w:rPr>
                <w:rFonts w:cs="Arial"/>
                <w:szCs w:val="19"/>
                <w:lang w:val="en-US"/>
              </w:rPr>
              <w:t>adjuvant therapy</w:t>
            </w:r>
            <w:r>
              <w:rPr>
                <w:rFonts w:cs="Arial"/>
                <w:szCs w:val="19"/>
                <w:lang w:val="en-US"/>
              </w:rPr>
              <w:t xml:space="preserve"> </w:t>
            </w:r>
            <w:r w:rsidRPr="002E6630">
              <w:rPr>
                <w:rFonts w:cs="Arial"/>
                <w:sz w:val="16"/>
                <w:szCs w:val="16"/>
                <w:lang w:val="en-US"/>
              </w:rPr>
              <w:t>[EU] [new indication]</w:t>
            </w:r>
          </w:p>
        </w:tc>
      </w:tr>
      <w:tr w:rsidR="00F93E81" w:rsidRPr="00A075A3" w14:paraId="5A4D4006" w14:textId="77777777" w:rsidTr="003260B8">
        <w:tc>
          <w:tcPr>
            <w:tcW w:w="957" w:type="pct"/>
            <w:shd w:val="clear" w:color="auto" w:fill="auto"/>
            <w:tcMar>
              <w:top w:w="57" w:type="dxa"/>
              <w:bottom w:w="57" w:type="dxa"/>
            </w:tcMar>
          </w:tcPr>
          <w:p w14:paraId="6AB90E06" w14:textId="3186D99F" w:rsidR="00F93E81" w:rsidRDefault="00F93E81" w:rsidP="00F93E81">
            <w:pPr>
              <w:rPr>
                <w:rFonts w:cs="Arial"/>
                <w:szCs w:val="19"/>
              </w:rPr>
            </w:pPr>
            <w:r>
              <w:rPr>
                <w:rFonts w:cs="Arial"/>
                <w:szCs w:val="19"/>
              </w:rPr>
              <w:t>Pembrolizumab (</w:t>
            </w:r>
            <w:r>
              <w:rPr>
                <w:rFonts w:cs="Arial"/>
                <w:i/>
                <w:iCs/>
                <w:szCs w:val="19"/>
              </w:rPr>
              <w:t>Keytruda</w:t>
            </w:r>
            <w:r>
              <w:rPr>
                <w:rFonts w:cs="Arial"/>
                <w:szCs w:val="19"/>
              </w:rPr>
              <w:t>)</w:t>
            </w:r>
          </w:p>
        </w:tc>
        <w:tc>
          <w:tcPr>
            <w:tcW w:w="4043" w:type="pct"/>
            <w:shd w:val="clear" w:color="auto" w:fill="auto"/>
            <w:tcMar>
              <w:top w:w="57" w:type="dxa"/>
              <w:bottom w:w="57" w:type="dxa"/>
            </w:tcMar>
          </w:tcPr>
          <w:p w14:paraId="585BF184" w14:textId="3E827EEA" w:rsidR="00F93E81" w:rsidRPr="00272180" w:rsidRDefault="00F93E81" w:rsidP="00F93E81">
            <w:pPr>
              <w:tabs>
                <w:tab w:val="center" w:pos="3152"/>
              </w:tabs>
              <w:rPr>
                <w:rFonts w:cs="Arial"/>
                <w:szCs w:val="19"/>
                <w:lang w:val="en-US"/>
              </w:rPr>
            </w:pPr>
            <w:r>
              <w:rPr>
                <w:rFonts w:cs="Arial"/>
                <w:szCs w:val="19"/>
                <w:lang w:val="en-US"/>
              </w:rPr>
              <w:t xml:space="preserve">Use with </w:t>
            </w:r>
            <w:proofErr w:type="spellStart"/>
            <w:r w:rsidRPr="006A353A">
              <w:rPr>
                <w:rFonts w:cs="Arial"/>
                <w:szCs w:val="19"/>
                <w:lang w:val="en-US"/>
              </w:rPr>
              <w:t>enfortumab</w:t>
            </w:r>
            <w:proofErr w:type="spellEnd"/>
            <w:r w:rsidRPr="006A353A">
              <w:rPr>
                <w:rFonts w:cs="Arial"/>
                <w:szCs w:val="19"/>
                <w:lang w:val="en-US"/>
              </w:rPr>
              <w:t xml:space="preserve"> </w:t>
            </w:r>
            <w:proofErr w:type="spellStart"/>
            <w:r>
              <w:rPr>
                <w:rFonts w:cs="Arial"/>
                <w:szCs w:val="19"/>
                <w:lang w:val="en-US"/>
              </w:rPr>
              <w:t>vedotin</w:t>
            </w:r>
            <w:proofErr w:type="spellEnd"/>
            <w:r>
              <w:rPr>
                <w:rFonts w:cs="Arial"/>
                <w:szCs w:val="19"/>
                <w:lang w:val="en-US"/>
              </w:rPr>
              <w:t xml:space="preserve"> </w:t>
            </w:r>
            <w:r w:rsidRPr="006A353A">
              <w:rPr>
                <w:rFonts w:cs="Arial"/>
                <w:szCs w:val="19"/>
                <w:lang w:val="en-US"/>
              </w:rPr>
              <w:t>as a combination therapy for the first-line treatment of adults with previously untreated locally advanced or metastatic urothelial cancer</w:t>
            </w:r>
            <w:r>
              <w:rPr>
                <w:rFonts w:cs="Arial"/>
                <w:szCs w:val="19"/>
                <w:lang w:val="en-US"/>
              </w:rPr>
              <w:t xml:space="preserve"> </w:t>
            </w:r>
            <w:r w:rsidRPr="006A353A">
              <w:rPr>
                <w:rFonts w:cs="Arial"/>
                <w:sz w:val="16"/>
                <w:szCs w:val="16"/>
                <w:lang w:val="en-US"/>
              </w:rPr>
              <w:t>[EU] [new indication</w:t>
            </w:r>
            <w:r>
              <w:rPr>
                <w:rFonts w:cs="Arial"/>
                <w:sz w:val="16"/>
                <w:szCs w:val="16"/>
                <w:lang w:val="en-US"/>
              </w:rPr>
              <w:t>, believed to include use in patients who are and are not</w:t>
            </w:r>
            <w:r>
              <w:t xml:space="preserve"> </w:t>
            </w:r>
            <w:r w:rsidRPr="002A2FF2">
              <w:rPr>
                <w:rFonts w:cs="Arial"/>
                <w:sz w:val="16"/>
                <w:szCs w:val="16"/>
                <w:lang w:val="en-US"/>
              </w:rPr>
              <w:t>eligible to receive cisplatin chemotherapy</w:t>
            </w:r>
            <w:r w:rsidRPr="006A353A">
              <w:rPr>
                <w:rFonts w:cs="Arial"/>
                <w:sz w:val="16"/>
                <w:szCs w:val="16"/>
                <w:lang w:val="en-US"/>
              </w:rPr>
              <w:t>]</w:t>
            </w:r>
          </w:p>
        </w:tc>
      </w:tr>
      <w:tr w:rsidR="002C3BD1" w:rsidRPr="00A075A3" w14:paraId="43000177" w14:textId="77777777" w:rsidTr="003260B8">
        <w:tc>
          <w:tcPr>
            <w:tcW w:w="957" w:type="pct"/>
            <w:shd w:val="clear" w:color="auto" w:fill="auto"/>
            <w:tcMar>
              <w:top w:w="57" w:type="dxa"/>
              <w:bottom w:w="57" w:type="dxa"/>
            </w:tcMar>
          </w:tcPr>
          <w:p w14:paraId="3C064308" w14:textId="2458593C" w:rsidR="002C3BD1" w:rsidRDefault="002C3BD1" w:rsidP="002C3BD1">
            <w:pPr>
              <w:rPr>
                <w:rFonts w:cs="Arial"/>
                <w:szCs w:val="19"/>
              </w:rPr>
            </w:pPr>
            <w:proofErr w:type="spellStart"/>
            <w:r w:rsidRPr="00405E01">
              <w:rPr>
                <w:rFonts w:cs="Arial"/>
                <w:szCs w:val="19"/>
              </w:rPr>
              <w:t>Pemigatinib</w:t>
            </w:r>
            <w:proofErr w:type="spellEnd"/>
            <w:r>
              <w:rPr>
                <w:rFonts w:cs="Arial"/>
                <w:szCs w:val="19"/>
              </w:rPr>
              <w:t xml:space="preserve"> (</w:t>
            </w:r>
            <w:proofErr w:type="spellStart"/>
            <w:r>
              <w:rPr>
                <w:rFonts w:cs="Arial"/>
                <w:i/>
                <w:iCs/>
                <w:szCs w:val="19"/>
              </w:rPr>
              <w:t>Pemazyre</w:t>
            </w:r>
            <w:proofErr w:type="spellEnd"/>
            <w:r>
              <w:rPr>
                <w:rFonts w:cs="Arial"/>
                <w:szCs w:val="19"/>
              </w:rPr>
              <w:t>)</w:t>
            </w:r>
          </w:p>
        </w:tc>
        <w:tc>
          <w:tcPr>
            <w:tcW w:w="4043" w:type="pct"/>
            <w:shd w:val="clear" w:color="auto" w:fill="auto"/>
            <w:tcMar>
              <w:top w:w="57" w:type="dxa"/>
              <w:bottom w:w="57" w:type="dxa"/>
            </w:tcMar>
          </w:tcPr>
          <w:p w14:paraId="57466791" w14:textId="6C640CB7" w:rsidR="002C3BD1" w:rsidRDefault="002C3BD1" w:rsidP="002C3BD1">
            <w:pPr>
              <w:tabs>
                <w:tab w:val="center" w:pos="3152"/>
              </w:tabs>
              <w:rPr>
                <w:rFonts w:cs="Arial"/>
                <w:szCs w:val="19"/>
                <w:lang w:val="en-US"/>
              </w:rPr>
            </w:pPr>
            <w:r w:rsidRPr="00405E01">
              <w:rPr>
                <w:rFonts w:cs="Arial"/>
                <w:szCs w:val="19"/>
                <w:lang w:val="en-US"/>
              </w:rPr>
              <w:t xml:space="preserve">Treatment of adults with myeloid/lymphoid neoplasms with </w:t>
            </w:r>
            <w:r>
              <w:rPr>
                <w:rFonts w:cs="Arial"/>
                <w:szCs w:val="19"/>
                <w:lang w:val="en-US"/>
              </w:rPr>
              <w:t>f</w:t>
            </w:r>
            <w:r w:rsidRPr="00405E01">
              <w:rPr>
                <w:rFonts w:cs="Arial"/>
                <w:szCs w:val="19"/>
                <w:lang w:val="en-US"/>
              </w:rPr>
              <w:t xml:space="preserve">ibroblast </w:t>
            </w:r>
            <w:r>
              <w:rPr>
                <w:rFonts w:cs="Arial"/>
                <w:szCs w:val="19"/>
                <w:lang w:val="en-US"/>
              </w:rPr>
              <w:t>g</w:t>
            </w:r>
            <w:r w:rsidRPr="00405E01">
              <w:rPr>
                <w:rFonts w:cs="Arial"/>
                <w:szCs w:val="19"/>
                <w:lang w:val="en-US"/>
              </w:rPr>
              <w:t xml:space="preserve">rowth </w:t>
            </w:r>
            <w:r>
              <w:rPr>
                <w:rFonts w:cs="Arial"/>
                <w:szCs w:val="19"/>
                <w:lang w:val="en-US"/>
              </w:rPr>
              <w:t>f</w:t>
            </w:r>
            <w:r w:rsidRPr="00405E01">
              <w:rPr>
                <w:rFonts w:cs="Arial"/>
                <w:szCs w:val="19"/>
                <w:lang w:val="en-US"/>
              </w:rPr>
              <w:t xml:space="preserve">actor </w:t>
            </w:r>
            <w:r>
              <w:rPr>
                <w:rFonts w:cs="Arial"/>
                <w:szCs w:val="19"/>
                <w:lang w:val="en-US"/>
              </w:rPr>
              <w:t>r</w:t>
            </w:r>
            <w:r w:rsidRPr="00405E01">
              <w:rPr>
                <w:rFonts w:cs="Arial"/>
                <w:szCs w:val="19"/>
                <w:lang w:val="en-US"/>
              </w:rPr>
              <w:t>eceptor</w:t>
            </w:r>
            <w:r>
              <w:rPr>
                <w:rFonts w:cs="Arial"/>
                <w:szCs w:val="19"/>
                <w:lang w:val="en-US"/>
              </w:rPr>
              <w:t xml:space="preserve"> </w:t>
            </w:r>
            <w:r w:rsidRPr="00405E01">
              <w:rPr>
                <w:rFonts w:cs="Arial"/>
                <w:szCs w:val="19"/>
                <w:lang w:val="en-US"/>
              </w:rPr>
              <w:t>1 rearrangement</w:t>
            </w:r>
            <w:r>
              <w:rPr>
                <w:rFonts w:cs="Arial"/>
                <w:szCs w:val="19"/>
                <w:lang w:val="en-US"/>
              </w:rPr>
              <w:t xml:space="preserve"> </w:t>
            </w:r>
            <w:r w:rsidRPr="00405E01">
              <w:rPr>
                <w:rFonts w:cs="Arial"/>
                <w:sz w:val="16"/>
                <w:szCs w:val="16"/>
                <w:lang w:val="en-US"/>
              </w:rPr>
              <w:t>[EU] [new indication]</w:t>
            </w:r>
          </w:p>
        </w:tc>
      </w:tr>
      <w:tr w:rsidR="002C3BD1" w:rsidRPr="00A075A3" w14:paraId="44587E86" w14:textId="77777777" w:rsidTr="003260B8">
        <w:tc>
          <w:tcPr>
            <w:tcW w:w="957" w:type="pct"/>
            <w:shd w:val="clear" w:color="auto" w:fill="auto"/>
            <w:tcMar>
              <w:top w:w="57" w:type="dxa"/>
              <w:bottom w:w="57" w:type="dxa"/>
            </w:tcMar>
          </w:tcPr>
          <w:p w14:paraId="5548B1FB" w14:textId="77777777" w:rsidR="002C3BD1" w:rsidRDefault="002C3BD1" w:rsidP="002C3BD1">
            <w:pPr>
              <w:rPr>
                <w:rFonts w:cs="Arial"/>
                <w:szCs w:val="19"/>
              </w:rPr>
            </w:pPr>
            <w:proofErr w:type="spellStart"/>
            <w:r w:rsidRPr="006C6A81">
              <w:rPr>
                <w:rFonts w:cs="Arial"/>
                <w:szCs w:val="19"/>
              </w:rPr>
              <w:t>Tisotumab</w:t>
            </w:r>
            <w:proofErr w:type="spellEnd"/>
            <w:r w:rsidRPr="006C6A81">
              <w:rPr>
                <w:rFonts w:cs="Arial"/>
                <w:szCs w:val="19"/>
              </w:rPr>
              <w:t xml:space="preserve"> </w:t>
            </w:r>
            <w:proofErr w:type="spellStart"/>
            <w:r w:rsidRPr="006C6A81">
              <w:rPr>
                <w:rFonts w:cs="Arial"/>
                <w:szCs w:val="19"/>
              </w:rPr>
              <w:t>vedotin</w:t>
            </w:r>
            <w:proofErr w:type="spellEnd"/>
            <w:r w:rsidRPr="006C6A81">
              <w:rPr>
                <w:rFonts w:cs="Arial"/>
                <w:szCs w:val="19"/>
              </w:rPr>
              <w:t> </w:t>
            </w:r>
          </w:p>
          <w:p w14:paraId="7244F942" w14:textId="60E0BA6E" w:rsidR="002C3BD1" w:rsidRDefault="002C3BD1" w:rsidP="002C3BD1">
            <w:pPr>
              <w:rPr>
                <w:rFonts w:cs="Arial"/>
                <w:szCs w:val="19"/>
              </w:rPr>
            </w:pPr>
            <w:r>
              <w:rPr>
                <w:rFonts w:cs="Arial"/>
                <w:szCs w:val="19"/>
              </w:rPr>
              <w:t>(</w:t>
            </w:r>
            <w:proofErr w:type="spellStart"/>
            <w:r>
              <w:rPr>
                <w:rFonts w:cs="Arial"/>
                <w:i/>
                <w:iCs/>
                <w:szCs w:val="19"/>
              </w:rPr>
              <w:t>Tivdak</w:t>
            </w:r>
            <w:proofErr w:type="spellEnd"/>
            <w:r>
              <w:rPr>
                <w:rFonts w:cs="Arial"/>
                <w:szCs w:val="19"/>
              </w:rPr>
              <w:t>)</w:t>
            </w:r>
          </w:p>
        </w:tc>
        <w:tc>
          <w:tcPr>
            <w:tcW w:w="4043" w:type="pct"/>
            <w:shd w:val="clear" w:color="auto" w:fill="auto"/>
            <w:tcMar>
              <w:top w:w="57" w:type="dxa"/>
              <w:bottom w:w="57" w:type="dxa"/>
            </w:tcMar>
          </w:tcPr>
          <w:p w14:paraId="5B1B60AC" w14:textId="7879B986" w:rsidR="002C3BD1" w:rsidRDefault="002C3BD1" w:rsidP="002C3BD1">
            <w:pPr>
              <w:tabs>
                <w:tab w:val="center" w:pos="3152"/>
              </w:tabs>
              <w:rPr>
                <w:rFonts w:cs="Arial"/>
                <w:szCs w:val="19"/>
                <w:lang w:val="en-US"/>
              </w:rPr>
            </w:pPr>
            <w:r w:rsidRPr="006C6A81">
              <w:rPr>
                <w:rFonts w:cs="Arial"/>
                <w:szCs w:val="19"/>
                <w:lang w:val="en-US"/>
              </w:rPr>
              <w:t>Treatment of adults with recurrent or metastatic cervical cancer with disease progression on or after systemic therapy</w:t>
            </w:r>
            <w:r w:rsidR="00EE12DF">
              <w:rPr>
                <w:rFonts w:cs="Arial"/>
                <w:szCs w:val="19"/>
                <w:lang w:val="en-US"/>
              </w:rPr>
              <w:t xml:space="preserve"> </w:t>
            </w:r>
            <w:r w:rsidR="00EE12DF" w:rsidRPr="000B5C4D">
              <w:rPr>
                <w:rFonts w:cs="Arial"/>
                <w:sz w:val="16"/>
                <w:szCs w:val="16"/>
                <w:lang w:val="en-US"/>
              </w:rPr>
              <w:t>[EU]</w:t>
            </w:r>
          </w:p>
        </w:tc>
      </w:tr>
      <w:tr w:rsidR="002C3BD1" w:rsidRPr="00A075A3" w14:paraId="296A105B" w14:textId="77777777" w:rsidTr="003260B8">
        <w:tc>
          <w:tcPr>
            <w:tcW w:w="957" w:type="pct"/>
            <w:shd w:val="clear" w:color="auto" w:fill="auto"/>
            <w:tcMar>
              <w:top w:w="57" w:type="dxa"/>
              <w:bottom w:w="57" w:type="dxa"/>
            </w:tcMar>
          </w:tcPr>
          <w:p w14:paraId="11FAC4EE" w14:textId="124BF195" w:rsidR="002C3BD1" w:rsidRDefault="002C3BD1" w:rsidP="002C3BD1">
            <w:pPr>
              <w:rPr>
                <w:rFonts w:cs="Arial"/>
                <w:szCs w:val="19"/>
              </w:rPr>
            </w:pPr>
            <w:r>
              <w:rPr>
                <w:rFonts w:cs="Arial"/>
                <w:szCs w:val="19"/>
              </w:rPr>
              <w:t>Tocilizumab</w:t>
            </w:r>
            <w:r w:rsidRPr="001166C5">
              <w:rPr>
                <w:rFonts w:cs="Arial"/>
                <w:szCs w:val="19"/>
              </w:rPr>
              <w:t xml:space="preserve"> biosimilar </w:t>
            </w:r>
            <w:r>
              <w:rPr>
                <w:rFonts w:cs="Arial"/>
                <w:szCs w:val="19"/>
              </w:rPr>
              <w:t>(</w:t>
            </w:r>
            <w:proofErr w:type="spellStart"/>
            <w:r>
              <w:rPr>
                <w:rFonts w:cs="Arial"/>
                <w:i/>
                <w:iCs/>
                <w:szCs w:val="19"/>
              </w:rPr>
              <w:t>Avtozma</w:t>
            </w:r>
            <w:proofErr w:type="spellEnd"/>
            <w:r>
              <w:rPr>
                <w:rFonts w:cs="Arial"/>
                <w:szCs w:val="19"/>
              </w:rPr>
              <w:t>)</w:t>
            </w:r>
          </w:p>
        </w:tc>
        <w:tc>
          <w:tcPr>
            <w:tcW w:w="4043" w:type="pct"/>
            <w:shd w:val="clear" w:color="auto" w:fill="auto"/>
            <w:tcMar>
              <w:top w:w="57" w:type="dxa"/>
              <w:bottom w:w="57" w:type="dxa"/>
            </w:tcMar>
          </w:tcPr>
          <w:p w14:paraId="5C61A7AA" w14:textId="59AB6FA3" w:rsidR="002C3BD1" w:rsidRDefault="002C3BD1" w:rsidP="002C3BD1">
            <w:pPr>
              <w:tabs>
                <w:tab w:val="center" w:pos="3152"/>
              </w:tabs>
              <w:rPr>
                <w:rFonts w:cs="Arial"/>
                <w:szCs w:val="19"/>
                <w:lang w:val="en-US"/>
              </w:rPr>
            </w:pPr>
            <w:r w:rsidRPr="001166C5">
              <w:rPr>
                <w:rFonts w:cs="Arial"/>
                <w:szCs w:val="19"/>
                <w:lang w:val="en-US"/>
              </w:rPr>
              <w:t xml:space="preserve">Rheumatoid arthritis </w:t>
            </w:r>
            <w:r w:rsidRPr="001166C5">
              <w:rPr>
                <w:rFonts w:cs="Arial"/>
                <w:szCs w:val="19"/>
                <w:lang w:val="en-US"/>
              </w:rPr>
              <w:tab/>
              <w:t xml:space="preserve">and other </w:t>
            </w:r>
            <w:proofErr w:type="spellStart"/>
            <w:r w:rsidRPr="001166C5">
              <w:rPr>
                <w:rFonts w:cs="Arial"/>
                <w:i/>
                <w:iCs/>
                <w:szCs w:val="19"/>
                <w:lang w:val="en-US"/>
              </w:rPr>
              <w:t>RoActemra</w:t>
            </w:r>
            <w:proofErr w:type="spellEnd"/>
            <w:r w:rsidRPr="001166C5">
              <w:rPr>
                <w:rFonts w:cs="Arial"/>
                <w:szCs w:val="19"/>
                <w:lang w:val="en-US"/>
              </w:rPr>
              <w:t xml:space="preserve"> indications </w:t>
            </w:r>
            <w:r w:rsidRPr="001166C5">
              <w:rPr>
                <w:rFonts w:cs="Arial"/>
                <w:sz w:val="16"/>
                <w:szCs w:val="16"/>
                <w:lang w:val="en-US"/>
              </w:rPr>
              <w:t>[EU] [IV and SC formulations]</w:t>
            </w:r>
          </w:p>
        </w:tc>
      </w:tr>
      <w:tr w:rsidR="002C3BD1" w:rsidRPr="00A075A3" w14:paraId="326E3614" w14:textId="77777777" w:rsidTr="003260B8">
        <w:tc>
          <w:tcPr>
            <w:tcW w:w="957" w:type="pct"/>
            <w:shd w:val="clear" w:color="auto" w:fill="auto"/>
            <w:tcMar>
              <w:top w:w="57" w:type="dxa"/>
              <w:bottom w:w="57" w:type="dxa"/>
            </w:tcMar>
          </w:tcPr>
          <w:p w14:paraId="55C8F90F" w14:textId="0584B81D" w:rsidR="002C3BD1" w:rsidRDefault="002C3BD1" w:rsidP="002C3BD1">
            <w:pPr>
              <w:rPr>
                <w:rFonts w:cs="Arial"/>
                <w:szCs w:val="19"/>
              </w:rPr>
            </w:pPr>
            <w:proofErr w:type="spellStart"/>
            <w:r w:rsidRPr="00E459E6">
              <w:rPr>
                <w:rFonts w:cs="Arial"/>
                <w:szCs w:val="19"/>
              </w:rPr>
              <w:t>Vorasidenib</w:t>
            </w:r>
            <w:proofErr w:type="spellEnd"/>
            <w:r>
              <w:rPr>
                <w:rFonts w:cs="Arial"/>
                <w:szCs w:val="19"/>
              </w:rPr>
              <w:t xml:space="preserve"> </w:t>
            </w:r>
          </w:p>
        </w:tc>
        <w:tc>
          <w:tcPr>
            <w:tcW w:w="4043" w:type="pct"/>
            <w:shd w:val="clear" w:color="auto" w:fill="auto"/>
            <w:tcMar>
              <w:top w:w="57" w:type="dxa"/>
              <w:bottom w:w="57" w:type="dxa"/>
            </w:tcMar>
          </w:tcPr>
          <w:p w14:paraId="1A07A5BE" w14:textId="4C62BDB8" w:rsidR="002C3BD1" w:rsidRPr="001166C5" w:rsidRDefault="002C3BD1" w:rsidP="002C3BD1">
            <w:pPr>
              <w:tabs>
                <w:tab w:val="center" w:pos="3152"/>
              </w:tabs>
              <w:rPr>
                <w:rFonts w:cs="Arial"/>
                <w:szCs w:val="19"/>
                <w:lang w:val="en-US"/>
              </w:rPr>
            </w:pPr>
            <w:r w:rsidRPr="00E459E6">
              <w:rPr>
                <w:rFonts w:cs="Arial"/>
                <w:szCs w:val="19"/>
                <w:lang w:val="en-US"/>
              </w:rPr>
              <w:t xml:space="preserve">Adjuvant monotherapy </w:t>
            </w:r>
            <w:r>
              <w:rPr>
                <w:rFonts w:cs="Arial"/>
                <w:szCs w:val="19"/>
                <w:lang w:val="en-US"/>
              </w:rPr>
              <w:t>of r</w:t>
            </w:r>
            <w:r w:rsidRPr="00E459E6">
              <w:rPr>
                <w:rFonts w:cs="Arial"/>
                <w:szCs w:val="19"/>
                <w:lang w:val="en-US"/>
              </w:rPr>
              <w:t xml:space="preserve">esidual or recurrent grade 2 </w:t>
            </w:r>
            <w:r>
              <w:rPr>
                <w:rFonts w:cs="Arial"/>
                <w:szCs w:val="19"/>
                <w:lang w:val="en-US"/>
              </w:rPr>
              <w:t xml:space="preserve">glioma </w:t>
            </w:r>
            <w:r w:rsidRPr="00E459E6">
              <w:rPr>
                <w:rFonts w:cs="Arial"/>
                <w:szCs w:val="19"/>
                <w:lang w:val="en-US"/>
              </w:rPr>
              <w:t xml:space="preserve">(oligodendroglioma or astrocytoma), IDH1 or IDH2 mutation-positive, in adults and adolescents aged </w:t>
            </w:r>
            <w:r>
              <w:rPr>
                <w:rFonts w:cs="Arial"/>
                <w:szCs w:val="19"/>
                <w:lang w:val="en-US"/>
              </w:rPr>
              <w:t>≥</w:t>
            </w:r>
            <w:r w:rsidRPr="00E459E6">
              <w:rPr>
                <w:rFonts w:cs="Arial"/>
                <w:szCs w:val="19"/>
                <w:lang w:val="en-US"/>
              </w:rPr>
              <w:t>12 years</w:t>
            </w:r>
            <w:r w:rsidR="00EE12DF">
              <w:rPr>
                <w:rFonts w:cs="Arial"/>
                <w:szCs w:val="19"/>
                <w:lang w:val="en-US"/>
              </w:rPr>
              <w:t xml:space="preserve"> </w:t>
            </w:r>
            <w:r w:rsidR="00EE12DF" w:rsidRPr="000B5C4D">
              <w:rPr>
                <w:rFonts w:cs="Arial"/>
                <w:sz w:val="16"/>
                <w:szCs w:val="16"/>
                <w:lang w:val="en-US"/>
              </w:rPr>
              <w:t>[EU]</w:t>
            </w:r>
          </w:p>
        </w:tc>
      </w:tr>
      <w:tr w:rsidR="002C3BD1" w:rsidRPr="000F19E1" w14:paraId="721ECC33" w14:textId="77777777" w:rsidTr="003260B8">
        <w:tc>
          <w:tcPr>
            <w:tcW w:w="957" w:type="pct"/>
            <w:shd w:val="clear" w:color="auto" w:fill="auto"/>
            <w:tcMar>
              <w:top w:w="0" w:type="dxa"/>
              <w:bottom w:w="0" w:type="dxa"/>
            </w:tcMar>
          </w:tcPr>
          <w:p w14:paraId="609E15AC" w14:textId="77777777" w:rsidR="002C3BD1" w:rsidRPr="000F19E1" w:rsidRDefault="002C3BD1" w:rsidP="002C3BD1">
            <w:pPr>
              <w:rPr>
                <w:rFonts w:cs="Arial"/>
                <w:bCs/>
                <w:sz w:val="8"/>
                <w:szCs w:val="8"/>
              </w:rPr>
            </w:pPr>
          </w:p>
        </w:tc>
        <w:tc>
          <w:tcPr>
            <w:tcW w:w="4043" w:type="pct"/>
            <w:shd w:val="clear" w:color="auto" w:fill="auto"/>
            <w:tcMar>
              <w:top w:w="0" w:type="dxa"/>
              <w:bottom w:w="0" w:type="dxa"/>
            </w:tcMar>
          </w:tcPr>
          <w:p w14:paraId="2BB24C1D" w14:textId="77777777" w:rsidR="002C3BD1" w:rsidRPr="000F19E1" w:rsidRDefault="002C3BD1" w:rsidP="002C3BD1">
            <w:pPr>
              <w:tabs>
                <w:tab w:val="center" w:pos="3152"/>
              </w:tabs>
              <w:rPr>
                <w:rFonts w:cs="Arial"/>
                <w:sz w:val="8"/>
                <w:szCs w:val="8"/>
                <w:lang w:val="en-US"/>
              </w:rPr>
            </w:pPr>
          </w:p>
        </w:tc>
      </w:tr>
      <w:tr w:rsidR="002C3BD1" w:rsidRPr="000F19E1" w14:paraId="5B800D77" w14:textId="77777777" w:rsidTr="003260B8">
        <w:tc>
          <w:tcPr>
            <w:tcW w:w="957" w:type="pct"/>
            <w:shd w:val="clear" w:color="auto" w:fill="DAEEF3"/>
            <w:tcMar>
              <w:top w:w="0" w:type="dxa"/>
              <w:bottom w:w="0" w:type="dxa"/>
            </w:tcMar>
          </w:tcPr>
          <w:p w14:paraId="228CAE4D" w14:textId="77777777" w:rsidR="002C3BD1" w:rsidRPr="000F19E1" w:rsidRDefault="002C3BD1" w:rsidP="002C3BD1">
            <w:pPr>
              <w:rPr>
                <w:rFonts w:cs="Arial"/>
                <w:bCs/>
                <w:sz w:val="8"/>
                <w:szCs w:val="8"/>
              </w:rPr>
            </w:pPr>
          </w:p>
        </w:tc>
        <w:tc>
          <w:tcPr>
            <w:tcW w:w="4043" w:type="pct"/>
            <w:shd w:val="clear" w:color="auto" w:fill="DAEEF3"/>
            <w:tcMar>
              <w:top w:w="0" w:type="dxa"/>
              <w:bottom w:w="0" w:type="dxa"/>
            </w:tcMar>
          </w:tcPr>
          <w:p w14:paraId="0A077780" w14:textId="77777777" w:rsidR="002C3BD1" w:rsidRPr="000F19E1" w:rsidRDefault="002C3BD1" w:rsidP="002C3BD1">
            <w:pPr>
              <w:tabs>
                <w:tab w:val="center" w:pos="3152"/>
              </w:tabs>
              <w:rPr>
                <w:rFonts w:cs="Arial"/>
                <w:sz w:val="8"/>
                <w:szCs w:val="8"/>
                <w:lang w:val="en-US"/>
              </w:rPr>
            </w:pPr>
          </w:p>
        </w:tc>
      </w:tr>
    </w:tbl>
    <w:p w14:paraId="184886C8" w14:textId="316775B5" w:rsidR="00FE6842" w:rsidRDefault="00FE6842"/>
    <w:p w14:paraId="55634C90" w14:textId="3E7FD77E" w:rsidR="00707E1D" w:rsidRDefault="00707E1D">
      <w:r>
        <w:br w:type="page"/>
      </w:r>
    </w:p>
    <w:p w14:paraId="497AD051" w14:textId="77777777" w:rsidR="00707E1D" w:rsidRDefault="00707E1D"/>
    <w:tbl>
      <w:tblPr>
        <w:tblW w:w="5170" w:type="pct"/>
        <w:tblInd w:w="-176" w:type="dxa"/>
        <w:tblLayout w:type="fixed"/>
        <w:tblLook w:val="01E0" w:firstRow="1" w:lastRow="1" w:firstColumn="1" w:lastColumn="1" w:noHBand="0" w:noVBand="0"/>
      </w:tblPr>
      <w:tblGrid>
        <w:gridCol w:w="2585"/>
        <w:gridCol w:w="274"/>
        <w:gridCol w:w="7692"/>
      </w:tblGrid>
      <w:tr w:rsidR="00707E1D" w:rsidRPr="00862949" w14:paraId="22263E64" w14:textId="77777777" w:rsidTr="003D582F">
        <w:tc>
          <w:tcPr>
            <w:tcW w:w="5000" w:type="pct"/>
            <w:gridSpan w:val="3"/>
            <w:shd w:val="clear" w:color="auto" w:fill="0070C0"/>
            <w:tcMar>
              <w:top w:w="85" w:type="dxa"/>
              <w:bottom w:w="85" w:type="dxa"/>
            </w:tcMar>
            <w:vAlign w:val="bottom"/>
          </w:tcPr>
          <w:p w14:paraId="5D7D11F1" w14:textId="77777777" w:rsidR="00707E1D" w:rsidRPr="00862949" w:rsidRDefault="00707E1D" w:rsidP="003D582F">
            <w:pPr>
              <w:rPr>
                <w:rFonts w:cs="Arial"/>
                <w:color w:val="FFFFFF"/>
                <w:sz w:val="15"/>
                <w:szCs w:val="15"/>
              </w:rPr>
            </w:pPr>
            <w:r w:rsidRPr="00862949">
              <w:rPr>
                <w:rFonts w:cs="Arial"/>
                <w:b/>
                <w:bCs/>
                <w:iCs/>
                <w:color w:val="FFFFFF"/>
                <w:sz w:val="28"/>
                <w:szCs w:val="28"/>
                <w:lang w:val="en-US"/>
              </w:rPr>
              <w:t xml:space="preserve">Regulatory changes in the </w:t>
            </w:r>
            <w:r>
              <w:rPr>
                <w:rFonts w:cs="Arial"/>
                <w:b/>
                <w:bCs/>
                <w:iCs/>
                <w:color w:val="FFFFFF"/>
                <w:sz w:val="28"/>
                <w:szCs w:val="28"/>
                <w:lang w:val="en-US"/>
              </w:rPr>
              <w:t xml:space="preserve">UK or </w:t>
            </w:r>
            <w:r w:rsidRPr="00862949">
              <w:rPr>
                <w:rFonts w:cs="Arial"/>
                <w:b/>
                <w:bCs/>
                <w:iCs/>
                <w:color w:val="FFFFFF"/>
                <w:sz w:val="28"/>
                <w:szCs w:val="28"/>
                <w:lang w:val="en-US"/>
              </w:rPr>
              <w:t>EU</w:t>
            </w:r>
            <w:r w:rsidRPr="00862949">
              <w:rPr>
                <w:rFonts w:cs="Arial"/>
                <w:b/>
                <w:bCs/>
                <w:iCs/>
                <w:color w:val="FFFFFF"/>
                <w:sz w:val="28"/>
                <w:szCs w:val="28"/>
                <w:lang w:val="en-US"/>
              </w:rPr>
              <w:tab/>
            </w:r>
          </w:p>
        </w:tc>
      </w:tr>
      <w:tr w:rsidR="00FE6842" w:rsidRPr="000F19E1" w14:paraId="68E8EC2C" w14:textId="77777777" w:rsidTr="002C3BD1">
        <w:tc>
          <w:tcPr>
            <w:tcW w:w="1225" w:type="pct"/>
            <w:shd w:val="clear" w:color="auto" w:fill="DAEEF3"/>
            <w:tcMar>
              <w:top w:w="0" w:type="dxa"/>
              <w:bottom w:w="0" w:type="dxa"/>
            </w:tcMar>
          </w:tcPr>
          <w:p w14:paraId="1615FD4E" w14:textId="77777777" w:rsidR="00FE6842" w:rsidRPr="000F19E1" w:rsidRDefault="00FE6842" w:rsidP="003D582F">
            <w:pPr>
              <w:rPr>
                <w:rFonts w:cs="Arial"/>
                <w:bCs/>
                <w:sz w:val="8"/>
                <w:szCs w:val="8"/>
              </w:rPr>
            </w:pPr>
          </w:p>
        </w:tc>
        <w:tc>
          <w:tcPr>
            <w:tcW w:w="3775" w:type="pct"/>
            <w:gridSpan w:val="2"/>
            <w:shd w:val="clear" w:color="auto" w:fill="DAEEF3"/>
            <w:tcMar>
              <w:top w:w="0" w:type="dxa"/>
              <w:bottom w:w="0" w:type="dxa"/>
            </w:tcMar>
          </w:tcPr>
          <w:p w14:paraId="64A35461" w14:textId="77777777" w:rsidR="00FE6842" w:rsidRPr="000F19E1" w:rsidRDefault="00FE6842" w:rsidP="003D582F">
            <w:pPr>
              <w:tabs>
                <w:tab w:val="center" w:pos="3152"/>
              </w:tabs>
              <w:rPr>
                <w:rFonts w:cs="Arial"/>
                <w:sz w:val="8"/>
                <w:szCs w:val="8"/>
                <w:lang w:val="en-US"/>
              </w:rPr>
            </w:pPr>
          </w:p>
        </w:tc>
      </w:tr>
      <w:tr w:rsidR="00C35D1E" w:rsidRPr="00126CCD" w14:paraId="18663FCC" w14:textId="77777777" w:rsidTr="00155BD9">
        <w:tc>
          <w:tcPr>
            <w:tcW w:w="5000" w:type="pct"/>
            <w:gridSpan w:val="3"/>
            <w:shd w:val="clear" w:color="auto" w:fill="00B050"/>
            <w:tcMar>
              <w:top w:w="57" w:type="dxa"/>
              <w:bottom w:w="57" w:type="dxa"/>
            </w:tcMar>
          </w:tcPr>
          <w:p w14:paraId="5A916F43" w14:textId="6C29BD1A" w:rsidR="00C35D1E" w:rsidRPr="004642B4" w:rsidRDefault="00C35D1E" w:rsidP="00C35D1E">
            <w:pPr>
              <w:rPr>
                <w:rFonts w:cs="Arial"/>
                <w:noProof/>
                <w:color w:val="FFFFFF"/>
                <w:sz w:val="16"/>
                <w:szCs w:val="16"/>
              </w:rPr>
            </w:pPr>
            <w:r w:rsidRPr="004642B4">
              <w:rPr>
                <w:rFonts w:cs="Arial"/>
                <w:b/>
                <w:bCs/>
                <w:i/>
                <w:iCs/>
                <w:color w:val="FFFFFF"/>
                <w:sz w:val="22"/>
                <w:szCs w:val="20"/>
                <w:lang w:val="en-US"/>
              </w:rPr>
              <w:t xml:space="preserve">Other </w:t>
            </w:r>
            <w:r>
              <w:rPr>
                <w:rFonts w:cs="Arial"/>
                <w:b/>
                <w:bCs/>
                <w:i/>
                <w:iCs/>
                <w:color w:val="FFFFFF"/>
                <w:sz w:val="22"/>
                <w:szCs w:val="20"/>
                <w:lang w:val="en-US"/>
              </w:rPr>
              <w:t>UK/</w:t>
            </w:r>
            <w:r w:rsidRPr="004642B4">
              <w:rPr>
                <w:rFonts w:cs="Arial"/>
                <w:b/>
                <w:bCs/>
                <w:i/>
                <w:iCs/>
                <w:color w:val="FFFFFF"/>
                <w:sz w:val="22"/>
                <w:szCs w:val="20"/>
                <w:lang w:val="en-US"/>
              </w:rPr>
              <w:t>EU developments</w:t>
            </w:r>
          </w:p>
        </w:tc>
      </w:tr>
      <w:tr w:rsidR="00C35D1E" w14:paraId="3C7288EC" w14:textId="77777777" w:rsidTr="002C3BD1">
        <w:tc>
          <w:tcPr>
            <w:tcW w:w="1225" w:type="pct"/>
            <w:shd w:val="clear" w:color="auto" w:fill="auto"/>
            <w:tcMar>
              <w:top w:w="57" w:type="dxa"/>
              <w:bottom w:w="57" w:type="dxa"/>
            </w:tcMar>
          </w:tcPr>
          <w:p w14:paraId="0D5B2FE1" w14:textId="4D8FE3FF" w:rsidR="00C35D1E" w:rsidRPr="00FE3BDE" w:rsidRDefault="00C35D1E" w:rsidP="00C35D1E">
            <w:pPr>
              <w:rPr>
                <w:rFonts w:cs="Arial"/>
                <w:szCs w:val="19"/>
              </w:rPr>
            </w:pPr>
            <w:proofErr w:type="spellStart"/>
            <w:r w:rsidRPr="00FE3BDE">
              <w:rPr>
                <w:rFonts w:cs="Arial"/>
                <w:szCs w:val="19"/>
              </w:rPr>
              <w:t>Abemaciclib</w:t>
            </w:r>
            <w:proofErr w:type="spellEnd"/>
            <w:r>
              <w:rPr>
                <w:rFonts w:cs="Arial"/>
                <w:szCs w:val="19"/>
              </w:rPr>
              <w:t xml:space="preserve"> (</w:t>
            </w:r>
            <w:proofErr w:type="spellStart"/>
            <w:r>
              <w:rPr>
                <w:rFonts w:cs="Arial"/>
                <w:i/>
                <w:iCs/>
                <w:szCs w:val="19"/>
              </w:rPr>
              <w:t>Verzenios</w:t>
            </w:r>
            <w:proofErr w:type="spellEnd"/>
            <w:r>
              <w:rPr>
                <w:rFonts w:cs="Arial"/>
                <w:szCs w:val="19"/>
              </w:rPr>
              <w:t>)</w:t>
            </w:r>
          </w:p>
        </w:tc>
        <w:tc>
          <w:tcPr>
            <w:tcW w:w="3775" w:type="pct"/>
            <w:gridSpan w:val="2"/>
            <w:shd w:val="clear" w:color="auto" w:fill="auto"/>
            <w:tcMar>
              <w:top w:w="57" w:type="dxa"/>
              <w:bottom w:w="57" w:type="dxa"/>
            </w:tcMar>
          </w:tcPr>
          <w:p w14:paraId="5D5FD8E0" w14:textId="77777777" w:rsidR="00C35D1E" w:rsidRDefault="00C35D1E" w:rsidP="00C35D1E">
            <w:pPr>
              <w:tabs>
                <w:tab w:val="center" w:pos="3152"/>
              </w:tabs>
              <w:rPr>
                <w:rFonts w:cs="Arial"/>
                <w:szCs w:val="19"/>
                <w:lang w:val="en-US"/>
              </w:rPr>
            </w:pPr>
            <w:r w:rsidRPr="00FE3BDE">
              <w:rPr>
                <w:rFonts w:cs="Arial"/>
                <w:szCs w:val="19"/>
                <w:lang w:val="en-US"/>
              </w:rPr>
              <w:t>Metastatic castration-resistant</w:t>
            </w:r>
            <w:r>
              <w:rPr>
                <w:rFonts w:cs="Arial"/>
                <w:szCs w:val="19"/>
                <w:lang w:val="en-US"/>
              </w:rPr>
              <w:t xml:space="preserve"> prostate cancer</w:t>
            </w:r>
            <w:r w:rsidRPr="00FE3BDE">
              <w:rPr>
                <w:rFonts w:cs="Arial"/>
                <w:szCs w:val="19"/>
                <w:lang w:val="en-US"/>
              </w:rPr>
              <w:t xml:space="preserve"> in adults</w:t>
            </w:r>
            <w:r>
              <w:rPr>
                <w:rFonts w:cs="Arial"/>
                <w:szCs w:val="19"/>
                <w:lang w:val="en-US"/>
              </w:rPr>
              <w:t xml:space="preserve"> – development discontinued </w:t>
            </w:r>
          </w:p>
          <w:p w14:paraId="7E48730C" w14:textId="3437D7D5" w:rsidR="00C35D1E" w:rsidRDefault="00C35D1E" w:rsidP="00C35D1E">
            <w:pPr>
              <w:tabs>
                <w:tab w:val="center" w:pos="3152"/>
              </w:tabs>
              <w:rPr>
                <w:rFonts w:cs="Arial"/>
                <w:szCs w:val="19"/>
                <w:lang w:val="en-US"/>
              </w:rPr>
            </w:pPr>
            <w:r>
              <w:rPr>
                <w:rFonts w:cs="Arial"/>
                <w:szCs w:val="19"/>
                <w:lang w:val="en-US"/>
              </w:rPr>
              <w:t>(lack of efficacy)</w:t>
            </w:r>
          </w:p>
        </w:tc>
      </w:tr>
      <w:tr w:rsidR="00C35D1E" w14:paraId="497A46D1" w14:textId="77777777" w:rsidTr="002C3BD1">
        <w:tc>
          <w:tcPr>
            <w:tcW w:w="1225" w:type="pct"/>
            <w:shd w:val="clear" w:color="auto" w:fill="auto"/>
            <w:tcMar>
              <w:top w:w="57" w:type="dxa"/>
              <w:bottom w:w="57" w:type="dxa"/>
            </w:tcMar>
          </w:tcPr>
          <w:p w14:paraId="25AA4283" w14:textId="0BC41FAD" w:rsidR="00C35D1E" w:rsidRPr="009F6C68" w:rsidRDefault="00C35D1E" w:rsidP="00C35D1E">
            <w:pPr>
              <w:rPr>
                <w:rFonts w:cs="Arial"/>
                <w:szCs w:val="19"/>
              </w:rPr>
            </w:pPr>
            <w:proofErr w:type="spellStart"/>
            <w:r w:rsidRPr="00012945">
              <w:rPr>
                <w:rFonts w:cs="Arial"/>
                <w:szCs w:val="19"/>
              </w:rPr>
              <w:t>Adrabetadex</w:t>
            </w:r>
            <w:proofErr w:type="spellEnd"/>
            <w:r>
              <w:rPr>
                <w:rFonts w:cs="Arial"/>
                <w:szCs w:val="19"/>
              </w:rPr>
              <w:t xml:space="preserve"> </w:t>
            </w:r>
          </w:p>
        </w:tc>
        <w:tc>
          <w:tcPr>
            <w:tcW w:w="3775" w:type="pct"/>
            <w:gridSpan w:val="2"/>
            <w:shd w:val="clear" w:color="auto" w:fill="auto"/>
            <w:tcMar>
              <w:top w:w="57" w:type="dxa"/>
              <w:bottom w:w="57" w:type="dxa"/>
            </w:tcMar>
          </w:tcPr>
          <w:p w14:paraId="40AE1B20" w14:textId="77777777" w:rsidR="003260B8" w:rsidRDefault="00C35D1E" w:rsidP="003260B8">
            <w:pPr>
              <w:tabs>
                <w:tab w:val="center" w:pos="3152"/>
              </w:tabs>
              <w:rPr>
                <w:rFonts w:cs="Arial"/>
                <w:szCs w:val="19"/>
                <w:lang w:val="en-US"/>
              </w:rPr>
            </w:pPr>
            <w:r>
              <w:rPr>
                <w:rFonts w:cs="Arial"/>
                <w:szCs w:val="19"/>
                <w:lang w:val="en-US"/>
              </w:rPr>
              <w:t xml:space="preserve">Type C </w:t>
            </w:r>
            <w:r w:rsidRPr="00012945">
              <w:rPr>
                <w:rFonts w:cs="Arial"/>
                <w:szCs w:val="19"/>
                <w:lang w:val="en-US"/>
              </w:rPr>
              <w:t>Niemann-Pick disease</w:t>
            </w:r>
            <w:r>
              <w:rPr>
                <w:rFonts w:cs="Arial"/>
                <w:szCs w:val="19"/>
                <w:lang w:val="en-US"/>
              </w:rPr>
              <w:t xml:space="preserve"> </w:t>
            </w:r>
            <w:r w:rsidRPr="00012945">
              <w:rPr>
                <w:rFonts w:cs="Arial"/>
                <w:szCs w:val="19"/>
                <w:lang w:val="en-US"/>
              </w:rPr>
              <w:t>in adults and children</w:t>
            </w:r>
            <w:r>
              <w:rPr>
                <w:rFonts w:cs="Arial"/>
                <w:szCs w:val="19"/>
                <w:lang w:val="en-US"/>
              </w:rPr>
              <w:t xml:space="preserve"> – development discontinued </w:t>
            </w:r>
          </w:p>
          <w:p w14:paraId="0FC6676C" w14:textId="027E41C7" w:rsidR="00C35D1E" w:rsidRPr="00C05FAF" w:rsidRDefault="00C35D1E" w:rsidP="003260B8">
            <w:pPr>
              <w:tabs>
                <w:tab w:val="center" w:pos="3152"/>
              </w:tabs>
              <w:rPr>
                <w:rFonts w:cs="Arial"/>
                <w:szCs w:val="19"/>
                <w:lang w:val="en-US"/>
              </w:rPr>
            </w:pPr>
            <w:r>
              <w:rPr>
                <w:rFonts w:cs="Arial"/>
                <w:szCs w:val="19"/>
                <w:lang w:val="en-US"/>
              </w:rPr>
              <w:t>(lack of efficacy)</w:t>
            </w:r>
          </w:p>
        </w:tc>
      </w:tr>
      <w:tr w:rsidR="00C35D1E" w14:paraId="37DC1D93" w14:textId="77777777" w:rsidTr="002C3BD1">
        <w:tc>
          <w:tcPr>
            <w:tcW w:w="1225" w:type="pct"/>
            <w:shd w:val="clear" w:color="auto" w:fill="auto"/>
            <w:tcMar>
              <w:top w:w="57" w:type="dxa"/>
              <w:bottom w:w="57" w:type="dxa"/>
            </w:tcMar>
          </w:tcPr>
          <w:p w14:paraId="72FB9CAF" w14:textId="7CF02E25" w:rsidR="00C35D1E" w:rsidRPr="00C05FAF" w:rsidRDefault="00C35D1E" w:rsidP="00C35D1E">
            <w:pPr>
              <w:rPr>
                <w:rFonts w:cs="Arial"/>
                <w:szCs w:val="19"/>
              </w:rPr>
            </w:pPr>
            <w:r>
              <w:rPr>
                <w:rFonts w:cs="Arial"/>
                <w:szCs w:val="19"/>
              </w:rPr>
              <w:t>Aducanumab (</w:t>
            </w:r>
            <w:proofErr w:type="spellStart"/>
            <w:r>
              <w:rPr>
                <w:rFonts w:cs="Arial"/>
                <w:i/>
                <w:iCs/>
                <w:szCs w:val="19"/>
              </w:rPr>
              <w:t>Aduhelm</w:t>
            </w:r>
            <w:proofErr w:type="spellEnd"/>
            <w:r>
              <w:rPr>
                <w:rFonts w:cs="Arial"/>
                <w:szCs w:val="19"/>
              </w:rPr>
              <w:t>)</w:t>
            </w:r>
          </w:p>
        </w:tc>
        <w:tc>
          <w:tcPr>
            <w:tcW w:w="3775" w:type="pct"/>
            <w:gridSpan w:val="2"/>
            <w:shd w:val="clear" w:color="auto" w:fill="auto"/>
            <w:tcMar>
              <w:top w:w="57" w:type="dxa"/>
              <w:bottom w:w="57" w:type="dxa"/>
            </w:tcMar>
          </w:tcPr>
          <w:p w14:paraId="39B6E0D5" w14:textId="25274D56" w:rsidR="00C35D1E" w:rsidRDefault="00C35D1E" w:rsidP="00C35D1E">
            <w:pPr>
              <w:tabs>
                <w:tab w:val="center" w:pos="3152"/>
              </w:tabs>
              <w:rPr>
                <w:rFonts w:cs="Arial"/>
                <w:szCs w:val="19"/>
                <w:lang w:val="en-US"/>
              </w:rPr>
            </w:pPr>
            <w:r>
              <w:rPr>
                <w:rFonts w:cs="Arial"/>
                <w:szCs w:val="19"/>
                <w:lang w:val="en-US"/>
              </w:rPr>
              <w:t>Early Alzheimer’s disease in adults – development discontinued (company decision)</w:t>
            </w:r>
          </w:p>
        </w:tc>
      </w:tr>
      <w:tr w:rsidR="00C35D1E" w14:paraId="1DBE6D65" w14:textId="77777777" w:rsidTr="002C3BD1">
        <w:tc>
          <w:tcPr>
            <w:tcW w:w="1225" w:type="pct"/>
            <w:shd w:val="clear" w:color="auto" w:fill="auto"/>
            <w:tcMar>
              <w:top w:w="57" w:type="dxa"/>
              <w:bottom w:w="57" w:type="dxa"/>
            </w:tcMar>
          </w:tcPr>
          <w:p w14:paraId="0A4F80DF" w14:textId="6759BB8C" w:rsidR="00C35D1E" w:rsidRPr="0069228B" w:rsidRDefault="00C35D1E" w:rsidP="00C35D1E">
            <w:pPr>
              <w:rPr>
                <w:rFonts w:cs="Arial"/>
                <w:szCs w:val="19"/>
              </w:rPr>
            </w:pPr>
            <w:r>
              <w:rPr>
                <w:rFonts w:cs="Arial"/>
                <w:szCs w:val="19"/>
              </w:rPr>
              <w:t>Agomelatine (</w:t>
            </w:r>
            <w:proofErr w:type="spellStart"/>
            <w:r>
              <w:rPr>
                <w:rFonts w:cs="Arial"/>
                <w:i/>
                <w:iCs/>
                <w:szCs w:val="19"/>
              </w:rPr>
              <w:t>Valdoxan</w:t>
            </w:r>
            <w:proofErr w:type="spellEnd"/>
            <w:r>
              <w:rPr>
                <w:rFonts w:cs="Arial"/>
                <w:szCs w:val="19"/>
              </w:rPr>
              <w:t>)</w:t>
            </w:r>
          </w:p>
        </w:tc>
        <w:tc>
          <w:tcPr>
            <w:tcW w:w="3775" w:type="pct"/>
            <w:gridSpan w:val="2"/>
            <w:shd w:val="clear" w:color="auto" w:fill="auto"/>
            <w:tcMar>
              <w:top w:w="57" w:type="dxa"/>
              <w:bottom w:w="57" w:type="dxa"/>
            </w:tcMar>
          </w:tcPr>
          <w:p w14:paraId="270FA1C9" w14:textId="36EEE6FA" w:rsidR="00C35D1E" w:rsidRDefault="00C35D1E" w:rsidP="00C35D1E">
            <w:pPr>
              <w:tabs>
                <w:tab w:val="center" w:pos="3152"/>
              </w:tabs>
              <w:rPr>
                <w:rFonts w:cs="Arial"/>
                <w:szCs w:val="19"/>
                <w:lang w:val="en-US"/>
              </w:rPr>
            </w:pPr>
            <w:r w:rsidRPr="0069228B">
              <w:rPr>
                <w:rFonts w:cs="Arial"/>
                <w:szCs w:val="19"/>
                <w:lang w:val="en-US"/>
              </w:rPr>
              <w:t>Moderate to severe major depressive episodes in adolescents aged 12 to 17 years</w:t>
            </w:r>
            <w:r>
              <w:rPr>
                <w:rFonts w:cs="Arial"/>
                <w:szCs w:val="19"/>
                <w:lang w:val="en-US"/>
              </w:rPr>
              <w:t xml:space="preserve"> – UK and EU development discontinued </w:t>
            </w:r>
            <w:r w:rsidR="004850F8">
              <w:rPr>
                <w:rFonts w:cs="Arial"/>
                <w:szCs w:val="19"/>
                <w:lang w:val="en-US"/>
              </w:rPr>
              <w:t>(company decision)</w:t>
            </w:r>
          </w:p>
        </w:tc>
      </w:tr>
      <w:tr w:rsidR="00C35D1E" w14:paraId="794F58F5" w14:textId="77777777" w:rsidTr="002C3BD1">
        <w:tc>
          <w:tcPr>
            <w:tcW w:w="1225" w:type="pct"/>
            <w:shd w:val="clear" w:color="auto" w:fill="auto"/>
            <w:tcMar>
              <w:top w:w="57" w:type="dxa"/>
              <w:bottom w:w="57" w:type="dxa"/>
            </w:tcMar>
          </w:tcPr>
          <w:p w14:paraId="3387C0A5" w14:textId="5CDE61CB" w:rsidR="00C35D1E" w:rsidRPr="0029483D" w:rsidRDefault="00C35D1E" w:rsidP="00C35D1E">
            <w:pPr>
              <w:rPr>
                <w:rFonts w:cs="Arial"/>
                <w:szCs w:val="19"/>
              </w:rPr>
            </w:pPr>
            <w:r>
              <w:rPr>
                <w:rFonts w:cs="Arial"/>
                <w:szCs w:val="19"/>
              </w:rPr>
              <w:t xml:space="preserve">Alicaforsen </w:t>
            </w:r>
          </w:p>
        </w:tc>
        <w:tc>
          <w:tcPr>
            <w:tcW w:w="3775" w:type="pct"/>
            <w:gridSpan w:val="2"/>
            <w:shd w:val="clear" w:color="auto" w:fill="auto"/>
            <w:tcMar>
              <w:top w:w="57" w:type="dxa"/>
              <w:bottom w:w="57" w:type="dxa"/>
            </w:tcMar>
          </w:tcPr>
          <w:p w14:paraId="79F64F5B" w14:textId="49B06E9C" w:rsidR="00C35D1E" w:rsidRPr="0029483D" w:rsidRDefault="00C35D1E" w:rsidP="00C35D1E">
            <w:pPr>
              <w:tabs>
                <w:tab w:val="center" w:pos="3152"/>
              </w:tabs>
              <w:rPr>
                <w:rFonts w:cs="Arial"/>
                <w:szCs w:val="19"/>
                <w:lang w:val="en-US"/>
              </w:rPr>
            </w:pPr>
            <w:r>
              <w:rPr>
                <w:rFonts w:cs="Arial"/>
                <w:szCs w:val="19"/>
                <w:lang w:val="en-US"/>
              </w:rPr>
              <w:t>Distal ulcerative colitis – development discontinued (company failed)</w:t>
            </w:r>
          </w:p>
        </w:tc>
      </w:tr>
      <w:tr w:rsidR="00C35D1E" w14:paraId="58922AB3" w14:textId="77777777" w:rsidTr="002C3BD1">
        <w:tc>
          <w:tcPr>
            <w:tcW w:w="1225" w:type="pct"/>
            <w:shd w:val="clear" w:color="auto" w:fill="auto"/>
            <w:tcMar>
              <w:top w:w="57" w:type="dxa"/>
              <w:bottom w:w="57" w:type="dxa"/>
            </w:tcMar>
          </w:tcPr>
          <w:p w14:paraId="5E60B4BB" w14:textId="5AC80807" w:rsidR="00C35D1E" w:rsidRPr="0029483D" w:rsidRDefault="00C35D1E" w:rsidP="00C35D1E">
            <w:pPr>
              <w:rPr>
                <w:rFonts w:cs="Arial"/>
                <w:szCs w:val="19"/>
              </w:rPr>
            </w:pPr>
            <w:r w:rsidRPr="0029483D">
              <w:rPr>
                <w:rFonts w:cs="Arial"/>
                <w:szCs w:val="19"/>
              </w:rPr>
              <w:t>Alicaforsen</w:t>
            </w:r>
            <w:r>
              <w:rPr>
                <w:rFonts w:cs="Arial"/>
                <w:szCs w:val="19"/>
              </w:rPr>
              <w:t xml:space="preserve"> (</w:t>
            </w:r>
            <w:proofErr w:type="spellStart"/>
            <w:r>
              <w:rPr>
                <w:rFonts w:cs="Arial"/>
                <w:i/>
                <w:iCs/>
                <w:szCs w:val="19"/>
              </w:rPr>
              <w:t>Camligo</w:t>
            </w:r>
            <w:proofErr w:type="spellEnd"/>
            <w:r>
              <w:rPr>
                <w:rFonts w:cs="Arial"/>
                <w:szCs w:val="19"/>
              </w:rPr>
              <w:t>)</w:t>
            </w:r>
          </w:p>
        </w:tc>
        <w:tc>
          <w:tcPr>
            <w:tcW w:w="3775" w:type="pct"/>
            <w:gridSpan w:val="2"/>
            <w:shd w:val="clear" w:color="auto" w:fill="auto"/>
            <w:tcMar>
              <w:top w:w="57" w:type="dxa"/>
              <w:bottom w:w="57" w:type="dxa"/>
            </w:tcMar>
          </w:tcPr>
          <w:p w14:paraId="186E0B08" w14:textId="77777777" w:rsidR="00387ABE" w:rsidRDefault="00C35D1E" w:rsidP="00387ABE">
            <w:pPr>
              <w:tabs>
                <w:tab w:val="center" w:pos="3152"/>
              </w:tabs>
              <w:rPr>
                <w:rFonts w:cs="Arial"/>
                <w:szCs w:val="19"/>
                <w:lang w:val="en-US"/>
              </w:rPr>
            </w:pPr>
            <w:r w:rsidRPr="0029483D">
              <w:rPr>
                <w:rFonts w:cs="Arial"/>
                <w:szCs w:val="19"/>
                <w:lang w:val="en-US"/>
              </w:rPr>
              <w:t>Chronic antibiotic refractory</w:t>
            </w:r>
            <w:r>
              <w:rPr>
                <w:rFonts w:cs="Arial"/>
                <w:szCs w:val="19"/>
                <w:lang w:val="en-US"/>
              </w:rPr>
              <w:t xml:space="preserve"> </w:t>
            </w:r>
            <w:proofErr w:type="spellStart"/>
            <w:r>
              <w:rPr>
                <w:rFonts w:cs="Arial"/>
                <w:szCs w:val="19"/>
                <w:lang w:val="en-US"/>
              </w:rPr>
              <w:t>pouchitis</w:t>
            </w:r>
            <w:proofErr w:type="spellEnd"/>
            <w:r w:rsidRPr="0029483D">
              <w:rPr>
                <w:rFonts w:cs="Arial"/>
                <w:szCs w:val="19"/>
                <w:lang w:val="en-US"/>
              </w:rPr>
              <w:t xml:space="preserve"> in adults</w:t>
            </w:r>
            <w:r>
              <w:rPr>
                <w:rFonts w:cs="Arial"/>
                <w:szCs w:val="19"/>
                <w:lang w:val="en-US"/>
              </w:rPr>
              <w:t xml:space="preserve"> – development discontinued </w:t>
            </w:r>
          </w:p>
          <w:p w14:paraId="3F025C0D" w14:textId="0D6936F5" w:rsidR="00C35D1E" w:rsidRDefault="00C35D1E" w:rsidP="00387ABE">
            <w:pPr>
              <w:tabs>
                <w:tab w:val="center" w:pos="3152"/>
              </w:tabs>
              <w:rPr>
                <w:rFonts w:cs="Arial"/>
                <w:szCs w:val="19"/>
                <w:lang w:val="en-US"/>
              </w:rPr>
            </w:pPr>
            <w:r>
              <w:rPr>
                <w:rFonts w:cs="Arial"/>
                <w:szCs w:val="19"/>
                <w:lang w:val="en-US"/>
              </w:rPr>
              <w:t>(company failed)</w:t>
            </w:r>
          </w:p>
        </w:tc>
      </w:tr>
      <w:tr w:rsidR="00C35D1E" w14:paraId="674DC102" w14:textId="77777777" w:rsidTr="002C3BD1">
        <w:tc>
          <w:tcPr>
            <w:tcW w:w="1225" w:type="pct"/>
            <w:shd w:val="clear" w:color="auto" w:fill="auto"/>
            <w:tcMar>
              <w:top w:w="57" w:type="dxa"/>
              <w:bottom w:w="57" w:type="dxa"/>
            </w:tcMar>
          </w:tcPr>
          <w:p w14:paraId="12677436" w14:textId="4FD55D6C" w:rsidR="00C35D1E" w:rsidRPr="00C82557" w:rsidRDefault="00C35D1E" w:rsidP="00C35D1E">
            <w:pPr>
              <w:rPr>
                <w:rFonts w:cs="Arial"/>
                <w:szCs w:val="19"/>
              </w:rPr>
            </w:pPr>
            <w:r>
              <w:rPr>
                <w:rFonts w:cs="Arial"/>
                <w:szCs w:val="19"/>
              </w:rPr>
              <w:t>Crizanlizumab (</w:t>
            </w:r>
            <w:proofErr w:type="spellStart"/>
            <w:r>
              <w:rPr>
                <w:rFonts w:cs="Arial"/>
                <w:i/>
                <w:iCs/>
                <w:szCs w:val="19"/>
              </w:rPr>
              <w:t>Adakveo</w:t>
            </w:r>
            <w:proofErr w:type="spellEnd"/>
            <w:r>
              <w:rPr>
                <w:rFonts w:cs="Arial"/>
                <w:szCs w:val="19"/>
              </w:rPr>
              <w:t>)</w:t>
            </w:r>
          </w:p>
        </w:tc>
        <w:tc>
          <w:tcPr>
            <w:tcW w:w="3775" w:type="pct"/>
            <w:gridSpan w:val="2"/>
            <w:shd w:val="clear" w:color="auto" w:fill="auto"/>
            <w:tcMar>
              <w:top w:w="57" w:type="dxa"/>
              <w:bottom w:w="57" w:type="dxa"/>
            </w:tcMar>
          </w:tcPr>
          <w:p w14:paraId="25E1ECFF" w14:textId="03C37CEC" w:rsidR="00C35D1E" w:rsidRPr="00C05FAF" w:rsidRDefault="00C35D1E" w:rsidP="004850F8">
            <w:pPr>
              <w:tabs>
                <w:tab w:val="center" w:pos="3152"/>
              </w:tabs>
              <w:rPr>
                <w:rFonts w:cs="Arial"/>
                <w:szCs w:val="19"/>
                <w:lang w:val="en-US"/>
              </w:rPr>
            </w:pPr>
            <w:r>
              <w:rPr>
                <w:rFonts w:cs="Arial"/>
                <w:szCs w:val="19"/>
                <w:lang w:val="en-US"/>
              </w:rPr>
              <w:t>P</w:t>
            </w:r>
            <w:r w:rsidRPr="00C82557">
              <w:rPr>
                <w:rFonts w:cs="Arial"/>
                <w:szCs w:val="19"/>
                <w:lang w:val="en-US"/>
              </w:rPr>
              <w:t xml:space="preserve">revention of vaso-occlusive crises in patients aged 6 months to </w:t>
            </w:r>
            <w:r>
              <w:rPr>
                <w:rFonts w:cs="Arial"/>
                <w:szCs w:val="19"/>
                <w:lang w:val="en-US"/>
              </w:rPr>
              <w:t>1</w:t>
            </w:r>
            <w:r w:rsidRPr="00C82557">
              <w:rPr>
                <w:rFonts w:cs="Arial"/>
                <w:szCs w:val="19"/>
                <w:lang w:val="en-US"/>
              </w:rPr>
              <w:t xml:space="preserve">5 years </w:t>
            </w:r>
            <w:r>
              <w:rPr>
                <w:rFonts w:cs="Arial"/>
                <w:szCs w:val="19"/>
                <w:lang w:val="en-US"/>
              </w:rPr>
              <w:t>with s</w:t>
            </w:r>
            <w:r w:rsidRPr="00C82557">
              <w:rPr>
                <w:rFonts w:cs="Arial"/>
                <w:szCs w:val="19"/>
                <w:lang w:val="en-US"/>
              </w:rPr>
              <w:t xml:space="preserve">ickle cell disease </w:t>
            </w:r>
            <w:r>
              <w:rPr>
                <w:rFonts w:cs="Arial"/>
                <w:szCs w:val="19"/>
                <w:lang w:val="en-US"/>
              </w:rPr>
              <w:t>– development discontinued (company decision after licence in patients aged ≥16 years withdrawn)</w:t>
            </w:r>
          </w:p>
        </w:tc>
      </w:tr>
      <w:tr w:rsidR="00C35D1E" w14:paraId="6A639AF5" w14:textId="77777777" w:rsidTr="002C3BD1">
        <w:tc>
          <w:tcPr>
            <w:tcW w:w="1225" w:type="pct"/>
            <w:shd w:val="clear" w:color="auto" w:fill="auto"/>
            <w:tcMar>
              <w:top w:w="57" w:type="dxa"/>
              <w:bottom w:w="57" w:type="dxa"/>
            </w:tcMar>
          </w:tcPr>
          <w:p w14:paraId="2CF269C8" w14:textId="1D50B579" w:rsidR="00C35D1E" w:rsidRDefault="00C35D1E" w:rsidP="00C35D1E">
            <w:pPr>
              <w:rPr>
                <w:rFonts w:cs="Arial"/>
                <w:szCs w:val="19"/>
              </w:rPr>
            </w:pPr>
            <w:proofErr w:type="spellStart"/>
            <w:r w:rsidRPr="0033237A">
              <w:rPr>
                <w:rFonts w:cs="Arial"/>
                <w:szCs w:val="19"/>
              </w:rPr>
              <w:t>Domvanalimab</w:t>
            </w:r>
            <w:proofErr w:type="spellEnd"/>
            <w:r>
              <w:rPr>
                <w:rFonts w:cs="Arial"/>
                <w:szCs w:val="19"/>
              </w:rPr>
              <w:t xml:space="preserve"> </w:t>
            </w:r>
          </w:p>
        </w:tc>
        <w:tc>
          <w:tcPr>
            <w:tcW w:w="3775" w:type="pct"/>
            <w:gridSpan w:val="2"/>
            <w:shd w:val="clear" w:color="auto" w:fill="auto"/>
            <w:tcMar>
              <w:top w:w="57" w:type="dxa"/>
              <w:bottom w:w="57" w:type="dxa"/>
            </w:tcMar>
          </w:tcPr>
          <w:p w14:paraId="6AD0E164" w14:textId="705604F9" w:rsidR="00C35D1E" w:rsidRDefault="00C35D1E" w:rsidP="00C35D1E">
            <w:pPr>
              <w:tabs>
                <w:tab w:val="center" w:pos="3152"/>
              </w:tabs>
              <w:rPr>
                <w:rFonts w:cs="Arial"/>
                <w:szCs w:val="19"/>
                <w:lang w:val="en-US"/>
              </w:rPr>
            </w:pPr>
            <w:r>
              <w:rPr>
                <w:rFonts w:cs="Arial"/>
                <w:szCs w:val="19"/>
                <w:lang w:val="en-US"/>
              </w:rPr>
              <w:t xml:space="preserve">Advanced </w:t>
            </w:r>
            <w:r w:rsidRPr="0033237A">
              <w:rPr>
                <w:rFonts w:cs="Arial"/>
                <w:szCs w:val="19"/>
                <w:lang w:val="en-US"/>
              </w:rPr>
              <w:t>PD-L1-positive</w:t>
            </w:r>
            <w:r>
              <w:rPr>
                <w:rFonts w:cs="Arial"/>
                <w:szCs w:val="19"/>
                <w:lang w:val="en-US"/>
              </w:rPr>
              <w:t xml:space="preserve"> n</w:t>
            </w:r>
            <w:r w:rsidRPr="0033237A">
              <w:rPr>
                <w:rFonts w:cs="Arial"/>
                <w:szCs w:val="19"/>
                <w:lang w:val="en-US"/>
              </w:rPr>
              <w:t>on-small cell lung cance</w:t>
            </w:r>
            <w:r>
              <w:rPr>
                <w:rFonts w:cs="Arial"/>
                <w:szCs w:val="19"/>
                <w:lang w:val="en-US"/>
              </w:rPr>
              <w:t xml:space="preserve">r </w:t>
            </w:r>
            <w:r w:rsidRPr="0033237A">
              <w:rPr>
                <w:rFonts w:cs="Arial"/>
                <w:szCs w:val="19"/>
                <w:lang w:val="en-US"/>
              </w:rPr>
              <w:t>in adults</w:t>
            </w:r>
            <w:r>
              <w:rPr>
                <w:rFonts w:cs="Arial"/>
                <w:szCs w:val="19"/>
                <w:lang w:val="en-US"/>
              </w:rPr>
              <w:t>,</w:t>
            </w:r>
            <w:r w:rsidRPr="0033237A">
              <w:rPr>
                <w:rFonts w:cs="Arial"/>
                <w:szCs w:val="19"/>
                <w:lang w:val="en-US"/>
              </w:rPr>
              <w:t xml:space="preserve"> first-line with </w:t>
            </w:r>
            <w:proofErr w:type="spellStart"/>
            <w:r w:rsidRPr="0033237A">
              <w:rPr>
                <w:rFonts w:cs="Arial"/>
                <w:szCs w:val="19"/>
                <w:lang w:val="en-US"/>
              </w:rPr>
              <w:t>zimberelimab</w:t>
            </w:r>
            <w:proofErr w:type="spellEnd"/>
            <w:r>
              <w:rPr>
                <w:rFonts w:cs="Arial"/>
                <w:szCs w:val="19"/>
                <w:lang w:val="en-US"/>
              </w:rPr>
              <w:t xml:space="preserve"> – development discontinued (company decision)</w:t>
            </w:r>
          </w:p>
        </w:tc>
      </w:tr>
      <w:tr w:rsidR="00C018E9" w14:paraId="118706DB" w14:textId="77777777" w:rsidTr="002C3BD1">
        <w:tc>
          <w:tcPr>
            <w:tcW w:w="1225" w:type="pct"/>
            <w:shd w:val="clear" w:color="auto" w:fill="auto"/>
            <w:tcMar>
              <w:top w:w="57" w:type="dxa"/>
              <w:bottom w:w="57" w:type="dxa"/>
            </w:tcMar>
          </w:tcPr>
          <w:p w14:paraId="32B121F7" w14:textId="6C7027D0" w:rsidR="00C018E9" w:rsidRPr="00C018E9" w:rsidRDefault="00C018E9" w:rsidP="00C35D1E">
            <w:pPr>
              <w:rPr>
                <w:rFonts w:cs="Arial"/>
                <w:szCs w:val="19"/>
              </w:rPr>
            </w:pPr>
            <w:r>
              <w:rPr>
                <w:rFonts w:cs="Arial"/>
                <w:szCs w:val="19"/>
              </w:rPr>
              <w:t>Durvalumab (</w:t>
            </w:r>
            <w:r>
              <w:rPr>
                <w:rFonts w:cs="Arial"/>
                <w:i/>
                <w:iCs/>
                <w:szCs w:val="19"/>
              </w:rPr>
              <w:t>Imfinzi</w:t>
            </w:r>
            <w:r>
              <w:rPr>
                <w:rFonts w:cs="Arial"/>
                <w:szCs w:val="19"/>
              </w:rPr>
              <w:t>)</w:t>
            </w:r>
          </w:p>
        </w:tc>
        <w:tc>
          <w:tcPr>
            <w:tcW w:w="3775" w:type="pct"/>
            <w:gridSpan w:val="2"/>
            <w:shd w:val="clear" w:color="auto" w:fill="auto"/>
            <w:tcMar>
              <w:top w:w="57" w:type="dxa"/>
              <w:bottom w:w="57" w:type="dxa"/>
            </w:tcMar>
          </w:tcPr>
          <w:p w14:paraId="5070C6CA" w14:textId="2A985D6D" w:rsidR="00C018E9" w:rsidRPr="005310A9" w:rsidRDefault="00C018E9" w:rsidP="00C018E9">
            <w:pPr>
              <w:tabs>
                <w:tab w:val="center" w:pos="3152"/>
              </w:tabs>
              <w:rPr>
                <w:rFonts w:cs="Arial"/>
                <w:szCs w:val="19"/>
                <w:lang w:val="en-US"/>
              </w:rPr>
            </w:pPr>
            <w:r>
              <w:rPr>
                <w:rFonts w:cs="Arial"/>
                <w:szCs w:val="19"/>
                <w:lang w:val="en-US"/>
              </w:rPr>
              <w:t>L</w:t>
            </w:r>
            <w:r w:rsidRPr="00C018E9">
              <w:rPr>
                <w:rFonts w:cs="Arial"/>
                <w:szCs w:val="19"/>
                <w:lang w:val="en-US"/>
              </w:rPr>
              <w:t>ocally advanced, unresectable</w:t>
            </w:r>
            <w:r>
              <w:rPr>
                <w:rFonts w:cs="Arial"/>
                <w:szCs w:val="19"/>
                <w:lang w:val="en-US"/>
              </w:rPr>
              <w:t xml:space="preserve"> n</w:t>
            </w:r>
            <w:r w:rsidRPr="00C018E9">
              <w:rPr>
                <w:rFonts w:cs="Arial"/>
                <w:szCs w:val="19"/>
                <w:lang w:val="en-US"/>
              </w:rPr>
              <w:t>on-small cell lung cancer in adults</w:t>
            </w:r>
            <w:r>
              <w:rPr>
                <w:rFonts w:cs="Arial"/>
                <w:szCs w:val="19"/>
                <w:lang w:val="en-US"/>
              </w:rPr>
              <w:t>,</w:t>
            </w:r>
            <w:r w:rsidRPr="00C018E9">
              <w:rPr>
                <w:rFonts w:cs="Arial"/>
                <w:szCs w:val="19"/>
                <w:lang w:val="en-US"/>
              </w:rPr>
              <w:t xml:space="preserve"> with chemoradiation therapy</w:t>
            </w:r>
            <w:r>
              <w:rPr>
                <w:rFonts w:cs="Arial"/>
                <w:szCs w:val="19"/>
                <w:lang w:val="en-US"/>
              </w:rPr>
              <w:t xml:space="preserve"> – development discontinued (lack of efficacy and safety concern)</w:t>
            </w:r>
          </w:p>
        </w:tc>
      </w:tr>
      <w:tr w:rsidR="00C35D1E" w14:paraId="5A5A45F8" w14:textId="77777777" w:rsidTr="002C3BD1">
        <w:tc>
          <w:tcPr>
            <w:tcW w:w="1225" w:type="pct"/>
            <w:shd w:val="clear" w:color="auto" w:fill="auto"/>
            <w:tcMar>
              <w:top w:w="57" w:type="dxa"/>
              <w:bottom w:w="57" w:type="dxa"/>
            </w:tcMar>
          </w:tcPr>
          <w:p w14:paraId="03F0DE15" w14:textId="22DF6202" w:rsidR="00C35D1E" w:rsidRPr="00AA4194" w:rsidRDefault="00C35D1E" w:rsidP="00C35D1E">
            <w:pPr>
              <w:rPr>
                <w:rFonts w:cs="Arial"/>
                <w:szCs w:val="19"/>
              </w:rPr>
            </w:pPr>
            <w:proofErr w:type="spellStart"/>
            <w:r w:rsidRPr="005310A9">
              <w:rPr>
                <w:rFonts w:cs="Arial"/>
                <w:szCs w:val="19"/>
              </w:rPr>
              <w:t>Labafenogene</w:t>
            </w:r>
            <w:proofErr w:type="spellEnd"/>
            <w:r w:rsidRPr="005310A9">
              <w:rPr>
                <w:rFonts w:cs="Arial"/>
                <w:szCs w:val="19"/>
              </w:rPr>
              <w:t xml:space="preserve"> </w:t>
            </w:r>
            <w:proofErr w:type="spellStart"/>
            <w:r w:rsidRPr="005310A9">
              <w:rPr>
                <w:rFonts w:cs="Arial"/>
                <w:szCs w:val="19"/>
              </w:rPr>
              <w:t>marselecobac</w:t>
            </w:r>
            <w:proofErr w:type="spellEnd"/>
          </w:p>
        </w:tc>
        <w:tc>
          <w:tcPr>
            <w:tcW w:w="3775" w:type="pct"/>
            <w:gridSpan w:val="2"/>
            <w:shd w:val="clear" w:color="auto" w:fill="auto"/>
            <w:tcMar>
              <w:top w:w="57" w:type="dxa"/>
              <w:bottom w:w="57" w:type="dxa"/>
            </w:tcMar>
          </w:tcPr>
          <w:p w14:paraId="4A848E77" w14:textId="7B6D7728" w:rsidR="00C35D1E" w:rsidRPr="00AA4194" w:rsidRDefault="00C35D1E" w:rsidP="00C35D1E">
            <w:pPr>
              <w:tabs>
                <w:tab w:val="center" w:pos="3152"/>
              </w:tabs>
              <w:rPr>
                <w:rFonts w:cs="Arial"/>
                <w:szCs w:val="19"/>
                <w:lang w:val="en-US"/>
              </w:rPr>
            </w:pPr>
            <w:r w:rsidRPr="005310A9">
              <w:rPr>
                <w:rFonts w:cs="Arial"/>
                <w:szCs w:val="19"/>
                <w:lang w:val="en-US"/>
              </w:rPr>
              <w:t>Phenylketonuria</w:t>
            </w:r>
            <w:r>
              <w:rPr>
                <w:rFonts w:cs="Arial"/>
                <w:szCs w:val="19"/>
                <w:lang w:val="en-US"/>
              </w:rPr>
              <w:t xml:space="preserve"> in adults – development discontinued (lack of efficacy)</w:t>
            </w:r>
          </w:p>
        </w:tc>
      </w:tr>
      <w:tr w:rsidR="00C35D1E" w14:paraId="3806D5F3" w14:textId="77777777" w:rsidTr="002C3BD1">
        <w:tc>
          <w:tcPr>
            <w:tcW w:w="1225" w:type="pct"/>
            <w:shd w:val="clear" w:color="auto" w:fill="auto"/>
            <w:tcMar>
              <w:top w:w="57" w:type="dxa"/>
              <w:bottom w:w="57" w:type="dxa"/>
            </w:tcMar>
          </w:tcPr>
          <w:p w14:paraId="63BABD35" w14:textId="1518E030" w:rsidR="00C35D1E" w:rsidRPr="003866DF" w:rsidRDefault="00C35D1E" w:rsidP="00C35D1E">
            <w:pPr>
              <w:rPr>
                <w:rFonts w:cs="Arial"/>
                <w:szCs w:val="19"/>
              </w:rPr>
            </w:pPr>
            <w:proofErr w:type="spellStart"/>
            <w:r w:rsidRPr="00AA4194">
              <w:rPr>
                <w:rFonts w:cs="Arial"/>
                <w:szCs w:val="19"/>
              </w:rPr>
              <w:t>Magrolimab</w:t>
            </w:r>
            <w:proofErr w:type="spellEnd"/>
            <w:r>
              <w:rPr>
                <w:rFonts w:cs="Arial"/>
                <w:szCs w:val="19"/>
              </w:rPr>
              <w:t xml:space="preserve"> </w:t>
            </w:r>
          </w:p>
        </w:tc>
        <w:tc>
          <w:tcPr>
            <w:tcW w:w="3775" w:type="pct"/>
            <w:gridSpan w:val="2"/>
            <w:shd w:val="clear" w:color="auto" w:fill="auto"/>
            <w:tcMar>
              <w:top w:w="57" w:type="dxa"/>
              <w:bottom w:w="57" w:type="dxa"/>
            </w:tcMar>
          </w:tcPr>
          <w:p w14:paraId="0DF98242" w14:textId="1D7C1203" w:rsidR="00C35D1E" w:rsidRDefault="00C35D1E" w:rsidP="00C35D1E">
            <w:pPr>
              <w:tabs>
                <w:tab w:val="center" w:pos="3152"/>
              </w:tabs>
              <w:rPr>
                <w:rFonts w:cs="Arial"/>
                <w:szCs w:val="19"/>
                <w:lang w:val="en-US"/>
              </w:rPr>
            </w:pPr>
            <w:r w:rsidRPr="00AA4194">
              <w:rPr>
                <w:rFonts w:cs="Arial"/>
                <w:szCs w:val="19"/>
                <w:lang w:val="en-US"/>
              </w:rPr>
              <w:t xml:space="preserve">Acute myeloid leukaemia </w:t>
            </w:r>
            <w:r>
              <w:rPr>
                <w:rFonts w:cs="Arial"/>
                <w:szCs w:val="19"/>
                <w:lang w:val="en-US"/>
              </w:rPr>
              <w:t xml:space="preserve">in adults </w:t>
            </w:r>
            <w:r w:rsidRPr="00AA4194">
              <w:rPr>
                <w:rFonts w:cs="Arial"/>
                <w:szCs w:val="19"/>
                <w:lang w:val="en-US"/>
              </w:rPr>
              <w:tab/>
              <w:t>unsuitable for intensive chemotherapy</w:t>
            </w:r>
            <w:r>
              <w:rPr>
                <w:rFonts w:cs="Arial"/>
                <w:szCs w:val="19"/>
                <w:lang w:val="en-US"/>
              </w:rPr>
              <w:t>,</w:t>
            </w:r>
            <w:r w:rsidRPr="00AA4194">
              <w:rPr>
                <w:rFonts w:cs="Arial"/>
                <w:szCs w:val="19"/>
                <w:lang w:val="en-US"/>
              </w:rPr>
              <w:t xml:space="preserve"> first-line with </w:t>
            </w:r>
            <w:proofErr w:type="spellStart"/>
            <w:r w:rsidRPr="00AA4194">
              <w:rPr>
                <w:rFonts w:cs="Arial"/>
                <w:szCs w:val="19"/>
                <w:lang w:val="en-US"/>
              </w:rPr>
              <w:t>azacitidine</w:t>
            </w:r>
            <w:proofErr w:type="spellEnd"/>
            <w:r w:rsidRPr="00AA4194">
              <w:rPr>
                <w:rFonts w:cs="Arial"/>
                <w:szCs w:val="19"/>
                <w:lang w:val="en-US"/>
              </w:rPr>
              <w:t xml:space="preserve"> and </w:t>
            </w:r>
            <w:proofErr w:type="spellStart"/>
            <w:r w:rsidRPr="00AA4194">
              <w:rPr>
                <w:rFonts w:cs="Arial"/>
                <w:szCs w:val="19"/>
                <w:lang w:val="en-US"/>
              </w:rPr>
              <w:t>venetoclax</w:t>
            </w:r>
            <w:proofErr w:type="spellEnd"/>
            <w:r>
              <w:rPr>
                <w:rFonts w:cs="Arial"/>
                <w:szCs w:val="19"/>
                <w:lang w:val="en-US"/>
              </w:rPr>
              <w:t xml:space="preserve"> – development discontinued (safety concern)</w:t>
            </w:r>
          </w:p>
        </w:tc>
      </w:tr>
      <w:tr w:rsidR="00C35D1E" w14:paraId="4AD0B26B" w14:textId="77777777" w:rsidTr="002C3BD1">
        <w:tc>
          <w:tcPr>
            <w:tcW w:w="1225" w:type="pct"/>
            <w:shd w:val="clear" w:color="auto" w:fill="auto"/>
            <w:tcMar>
              <w:top w:w="57" w:type="dxa"/>
              <w:bottom w:w="57" w:type="dxa"/>
            </w:tcMar>
          </w:tcPr>
          <w:p w14:paraId="0A3C9CEC" w14:textId="6BB518CF" w:rsidR="00C35D1E" w:rsidRDefault="00C35D1E" w:rsidP="00C35D1E">
            <w:pPr>
              <w:rPr>
                <w:rFonts w:cs="Arial"/>
                <w:szCs w:val="19"/>
              </w:rPr>
            </w:pPr>
            <w:proofErr w:type="spellStart"/>
            <w:r w:rsidRPr="003866DF">
              <w:rPr>
                <w:rFonts w:cs="Arial"/>
                <w:szCs w:val="19"/>
              </w:rPr>
              <w:t>Parsaclisib</w:t>
            </w:r>
            <w:proofErr w:type="spellEnd"/>
            <w:r>
              <w:rPr>
                <w:rFonts w:cs="Arial"/>
                <w:szCs w:val="19"/>
              </w:rPr>
              <w:t xml:space="preserve"> </w:t>
            </w:r>
          </w:p>
        </w:tc>
        <w:tc>
          <w:tcPr>
            <w:tcW w:w="3775" w:type="pct"/>
            <w:gridSpan w:val="2"/>
            <w:shd w:val="clear" w:color="auto" w:fill="auto"/>
            <w:tcMar>
              <w:top w:w="57" w:type="dxa"/>
              <w:bottom w:w="57" w:type="dxa"/>
            </w:tcMar>
          </w:tcPr>
          <w:p w14:paraId="525CBD22" w14:textId="1D85BD8E" w:rsidR="00C35D1E" w:rsidRDefault="00C35D1E" w:rsidP="00C35D1E">
            <w:pPr>
              <w:tabs>
                <w:tab w:val="center" w:pos="3152"/>
              </w:tabs>
              <w:rPr>
                <w:rFonts w:cs="Arial"/>
                <w:szCs w:val="19"/>
                <w:lang w:val="en-US"/>
              </w:rPr>
            </w:pPr>
            <w:r>
              <w:rPr>
                <w:rFonts w:cs="Arial"/>
                <w:szCs w:val="19"/>
                <w:lang w:val="en-US"/>
              </w:rPr>
              <w:t>P</w:t>
            </w:r>
            <w:r w:rsidRPr="003866DF">
              <w:rPr>
                <w:rFonts w:cs="Arial"/>
                <w:szCs w:val="19"/>
                <w:lang w:val="en-US"/>
              </w:rPr>
              <w:t>rimary or secondary</w:t>
            </w:r>
            <w:r>
              <w:rPr>
                <w:rFonts w:cs="Arial"/>
                <w:szCs w:val="19"/>
                <w:lang w:val="en-US"/>
              </w:rPr>
              <w:t xml:space="preserve"> m</w:t>
            </w:r>
            <w:r w:rsidRPr="003866DF">
              <w:rPr>
                <w:rFonts w:cs="Arial"/>
                <w:szCs w:val="19"/>
                <w:lang w:val="en-US"/>
              </w:rPr>
              <w:t>yelofibrosis</w:t>
            </w:r>
            <w:r>
              <w:rPr>
                <w:rFonts w:cs="Arial"/>
                <w:szCs w:val="19"/>
                <w:lang w:val="en-US"/>
              </w:rPr>
              <w:t xml:space="preserve"> </w:t>
            </w:r>
            <w:r w:rsidRPr="003866DF">
              <w:rPr>
                <w:rFonts w:cs="Arial"/>
                <w:szCs w:val="19"/>
                <w:lang w:val="en-US"/>
              </w:rPr>
              <w:t xml:space="preserve">in adults </w:t>
            </w:r>
            <w:r>
              <w:rPr>
                <w:rFonts w:cs="Arial"/>
                <w:szCs w:val="19"/>
                <w:lang w:val="en-US"/>
              </w:rPr>
              <w:t>–</w:t>
            </w:r>
            <w:r w:rsidRPr="003866DF">
              <w:rPr>
                <w:rFonts w:cs="Arial"/>
                <w:szCs w:val="19"/>
                <w:lang w:val="en-US"/>
              </w:rPr>
              <w:t xml:space="preserve"> </w:t>
            </w:r>
            <w:r>
              <w:rPr>
                <w:rFonts w:cs="Arial"/>
                <w:szCs w:val="19"/>
                <w:lang w:val="en-US"/>
              </w:rPr>
              <w:t>development discontinued (lack of efficacy)</w:t>
            </w:r>
          </w:p>
        </w:tc>
      </w:tr>
      <w:tr w:rsidR="00773CB5" w14:paraId="151AF455" w14:textId="77777777" w:rsidTr="002C3BD1">
        <w:tc>
          <w:tcPr>
            <w:tcW w:w="1225" w:type="pct"/>
            <w:shd w:val="clear" w:color="auto" w:fill="auto"/>
            <w:tcMar>
              <w:top w:w="57" w:type="dxa"/>
              <w:bottom w:w="57" w:type="dxa"/>
            </w:tcMar>
          </w:tcPr>
          <w:p w14:paraId="7C5EFA6C" w14:textId="2E1C61CB" w:rsidR="00773CB5" w:rsidRPr="00773CB5" w:rsidRDefault="00773CB5" w:rsidP="00C35D1E">
            <w:pPr>
              <w:rPr>
                <w:rFonts w:cs="Arial"/>
                <w:szCs w:val="19"/>
              </w:rPr>
            </w:pPr>
            <w:proofErr w:type="spellStart"/>
            <w:r>
              <w:rPr>
                <w:rFonts w:cs="Arial"/>
                <w:szCs w:val="19"/>
              </w:rPr>
              <w:t>Patisiran</w:t>
            </w:r>
            <w:proofErr w:type="spellEnd"/>
            <w:r>
              <w:rPr>
                <w:rFonts w:cs="Arial"/>
                <w:szCs w:val="19"/>
              </w:rPr>
              <w:t xml:space="preserve"> (</w:t>
            </w:r>
            <w:proofErr w:type="spellStart"/>
            <w:r>
              <w:rPr>
                <w:rFonts w:cs="Arial"/>
                <w:i/>
                <w:iCs/>
                <w:szCs w:val="19"/>
              </w:rPr>
              <w:t>Onpattro</w:t>
            </w:r>
            <w:proofErr w:type="spellEnd"/>
            <w:r>
              <w:rPr>
                <w:rFonts w:cs="Arial"/>
                <w:szCs w:val="19"/>
              </w:rPr>
              <w:t>)</w:t>
            </w:r>
          </w:p>
        </w:tc>
        <w:tc>
          <w:tcPr>
            <w:tcW w:w="3775" w:type="pct"/>
            <w:gridSpan w:val="2"/>
            <w:shd w:val="clear" w:color="auto" w:fill="auto"/>
            <w:tcMar>
              <w:top w:w="57" w:type="dxa"/>
              <w:bottom w:w="57" w:type="dxa"/>
            </w:tcMar>
          </w:tcPr>
          <w:p w14:paraId="0FEB0A71" w14:textId="77777777" w:rsidR="00773CB5" w:rsidRDefault="00773CB5" w:rsidP="00773CB5">
            <w:pPr>
              <w:tabs>
                <w:tab w:val="center" w:pos="3152"/>
              </w:tabs>
              <w:rPr>
                <w:rFonts w:cs="Arial"/>
                <w:szCs w:val="19"/>
                <w:lang w:val="en-US"/>
              </w:rPr>
            </w:pPr>
            <w:r>
              <w:rPr>
                <w:rFonts w:cs="Arial"/>
                <w:szCs w:val="19"/>
                <w:lang w:val="en-US"/>
              </w:rPr>
              <w:t>T</w:t>
            </w:r>
            <w:r w:rsidRPr="00773CB5">
              <w:rPr>
                <w:rFonts w:cs="Arial"/>
                <w:szCs w:val="19"/>
                <w:lang w:val="en-US"/>
              </w:rPr>
              <w:t xml:space="preserve">ransthyretin </w:t>
            </w:r>
            <w:r>
              <w:rPr>
                <w:rFonts w:cs="Arial"/>
                <w:szCs w:val="19"/>
                <w:lang w:val="en-US"/>
              </w:rPr>
              <w:t>a</w:t>
            </w:r>
            <w:r w:rsidRPr="00773CB5">
              <w:rPr>
                <w:rFonts w:cs="Arial"/>
                <w:szCs w:val="19"/>
                <w:lang w:val="en-US"/>
              </w:rPr>
              <w:t>myloidosis with cardiomyopathy</w:t>
            </w:r>
            <w:r>
              <w:rPr>
                <w:rFonts w:cs="Arial"/>
                <w:szCs w:val="19"/>
                <w:lang w:val="en-US"/>
              </w:rPr>
              <w:t xml:space="preserve"> in adults – development discontinued </w:t>
            </w:r>
          </w:p>
          <w:p w14:paraId="62BA033C" w14:textId="4743D263" w:rsidR="00773CB5" w:rsidRDefault="00773CB5" w:rsidP="00773CB5">
            <w:pPr>
              <w:tabs>
                <w:tab w:val="center" w:pos="3152"/>
              </w:tabs>
              <w:rPr>
                <w:rFonts w:cs="Arial"/>
                <w:szCs w:val="19"/>
                <w:lang w:val="en-US"/>
              </w:rPr>
            </w:pPr>
            <w:r>
              <w:rPr>
                <w:rFonts w:cs="Arial"/>
                <w:szCs w:val="19"/>
                <w:lang w:val="en-US"/>
              </w:rPr>
              <w:t>(company decision)</w:t>
            </w:r>
          </w:p>
        </w:tc>
      </w:tr>
      <w:tr w:rsidR="00941E37" w14:paraId="0EEFFCFE" w14:textId="77777777" w:rsidTr="002C3BD1">
        <w:tc>
          <w:tcPr>
            <w:tcW w:w="1225" w:type="pct"/>
            <w:shd w:val="clear" w:color="auto" w:fill="auto"/>
            <w:tcMar>
              <w:top w:w="57" w:type="dxa"/>
              <w:bottom w:w="57" w:type="dxa"/>
            </w:tcMar>
          </w:tcPr>
          <w:p w14:paraId="2A6F83CD" w14:textId="77777777" w:rsidR="00941E37" w:rsidRDefault="00941E37" w:rsidP="00C35D1E">
            <w:pPr>
              <w:rPr>
                <w:rFonts w:cs="Arial"/>
                <w:szCs w:val="19"/>
              </w:rPr>
            </w:pPr>
            <w:r w:rsidRPr="00941E37">
              <w:rPr>
                <w:rFonts w:cs="Arial"/>
                <w:szCs w:val="19"/>
              </w:rPr>
              <w:t xml:space="preserve">Sacituzumab </w:t>
            </w:r>
            <w:proofErr w:type="spellStart"/>
            <w:r w:rsidRPr="00941E37">
              <w:rPr>
                <w:rFonts w:cs="Arial"/>
                <w:szCs w:val="19"/>
              </w:rPr>
              <w:t>govitecan</w:t>
            </w:r>
            <w:proofErr w:type="spellEnd"/>
            <w:r w:rsidRPr="00941E37">
              <w:rPr>
                <w:rFonts w:cs="Arial"/>
                <w:szCs w:val="19"/>
              </w:rPr>
              <w:t> </w:t>
            </w:r>
          </w:p>
          <w:p w14:paraId="580AF9A5" w14:textId="00F3F7A1" w:rsidR="00941E37" w:rsidRPr="00941E37" w:rsidRDefault="00941E37" w:rsidP="00C35D1E">
            <w:pPr>
              <w:rPr>
                <w:rFonts w:cs="Arial"/>
                <w:szCs w:val="19"/>
              </w:rPr>
            </w:pPr>
            <w:r>
              <w:rPr>
                <w:rFonts w:cs="Arial"/>
                <w:szCs w:val="19"/>
              </w:rPr>
              <w:t>(</w:t>
            </w:r>
            <w:proofErr w:type="spellStart"/>
            <w:r>
              <w:rPr>
                <w:rFonts w:cs="Arial"/>
                <w:i/>
                <w:iCs/>
                <w:szCs w:val="19"/>
              </w:rPr>
              <w:t>Trodelvy</w:t>
            </w:r>
            <w:proofErr w:type="spellEnd"/>
            <w:r>
              <w:rPr>
                <w:rFonts w:cs="Arial"/>
                <w:szCs w:val="19"/>
              </w:rPr>
              <w:t>)</w:t>
            </w:r>
          </w:p>
        </w:tc>
        <w:tc>
          <w:tcPr>
            <w:tcW w:w="3775" w:type="pct"/>
            <w:gridSpan w:val="2"/>
            <w:shd w:val="clear" w:color="auto" w:fill="auto"/>
            <w:tcMar>
              <w:top w:w="57" w:type="dxa"/>
              <w:bottom w:w="57" w:type="dxa"/>
            </w:tcMar>
          </w:tcPr>
          <w:p w14:paraId="38181525" w14:textId="6483BDF5" w:rsidR="00941E37" w:rsidRPr="00F61B12" w:rsidRDefault="00941E37" w:rsidP="00941E37">
            <w:pPr>
              <w:tabs>
                <w:tab w:val="center" w:pos="3152"/>
              </w:tabs>
              <w:rPr>
                <w:rFonts w:cs="Arial"/>
                <w:szCs w:val="19"/>
                <w:lang w:val="en-US"/>
              </w:rPr>
            </w:pPr>
            <w:r>
              <w:rPr>
                <w:rFonts w:cs="Arial"/>
                <w:szCs w:val="19"/>
                <w:lang w:val="en-US"/>
              </w:rPr>
              <w:t>Metastatic n</w:t>
            </w:r>
            <w:r w:rsidRPr="00941E37">
              <w:rPr>
                <w:rFonts w:cs="Arial"/>
                <w:szCs w:val="19"/>
                <w:lang w:val="en-US"/>
              </w:rPr>
              <w:t>on-small cell lung cancer in adults</w:t>
            </w:r>
            <w:r>
              <w:rPr>
                <w:rFonts w:cs="Arial"/>
                <w:szCs w:val="19"/>
                <w:lang w:val="en-US"/>
              </w:rPr>
              <w:t>,</w:t>
            </w:r>
            <w:r w:rsidRPr="00941E37">
              <w:rPr>
                <w:rFonts w:cs="Arial"/>
                <w:szCs w:val="19"/>
                <w:lang w:val="en-US"/>
              </w:rPr>
              <w:t xml:space="preserve"> second- or third-line</w:t>
            </w:r>
            <w:r w:rsidR="001251DA">
              <w:rPr>
                <w:rFonts w:cs="Arial"/>
                <w:szCs w:val="19"/>
                <w:lang w:val="en-US"/>
              </w:rPr>
              <w:t xml:space="preserve"> </w:t>
            </w:r>
            <w:r w:rsidR="001251DA">
              <w:rPr>
                <w:rFonts w:cs="Arial"/>
                <w:szCs w:val="19"/>
                <w:lang w:val="en-US"/>
              </w:rPr>
              <w:t>–</w:t>
            </w:r>
            <w:r w:rsidR="001251DA" w:rsidRPr="003866DF">
              <w:rPr>
                <w:rFonts w:cs="Arial"/>
                <w:szCs w:val="19"/>
                <w:lang w:val="en-US"/>
              </w:rPr>
              <w:t xml:space="preserve"> </w:t>
            </w:r>
            <w:r w:rsidR="001251DA">
              <w:rPr>
                <w:rFonts w:cs="Arial"/>
                <w:szCs w:val="19"/>
                <w:lang w:val="en-US"/>
              </w:rPr>
              <w:t>development discontinued (lack of efficacy)</w:t>
            </w:r>
          </w:p>
        </w:tc>
      </w:tr>
      <w:tr w:rsidR="00C35D1E" w14:paraId="794AAA69" w14:textId="77777777" w:rsidTr="002C3BD1">
        <w:tc>
          <w:tcPr>
            <w:tcW w:w="1225" w:type="pct"/>
            <w:shd w:val="clear" w:color="auto" w:fill="auto"/>
            <w:tcMar>
              <w:top w:w="57" w:type="dxa"/>
              <w:bottom w:w="57" w:type="dxa"/>
            </w:tcMar>
          </w:tcPr>
          <w:p w14:paraId="43599062" w14:textId="31F1463A" w:rsidR="00C35D1E" w:rsidRPr="00F61B12" w:rsidRDefault="00C35D1E" w:rsidP="00C35D1E">
            <w:pPr>
              <w:rPr>
                <w:rFonts w:cs="Arial"/>
                <w:szCs w:val="19"/>
              </w:rPr>
            </w:pPr>
            <w:r>
              <w:rPr>
                <w:rFonts w:cs="Arial"/>
                <w:szCs w:val="19"/>
              </w:rPr>
              <w:t>Sirolimus (</w:t>
            </w:r>
            <w:r>
              <w:rPr>
                <w:rFonts w:cs="Arial"/>
                <w:i/>
                <w:iCs/>
                <w:szCs w:val="19"/>
              </w:rPr>
              <w:t>QTORIN</w:t>
            </w:r>
            <w:r>
              <w:rPr>
                <w:rFonts w:cs="Arial"/>
                <w:szCs w:val="19"/>
              </w:rPr>
              <w:t>)</w:t>
            </w:r>
          </w:p>
        </w:tc>
        <w:tc>
          <w:tcPr>
            <w:tcW w:w="3775" w:type="pct"/>
            <w:gridSpan w:val="2"/>
            <w:shd w:val="clear" w:color="auto" w:fill="auto"/>
            <w:tcMar>
              <w:top w:w="57" w:type="dxa"/>
              <w:bottom w:w="57" w:type="dxa"/>
            </w:tcMar>
          </w:tcPr>
          <w:p w14:paraId="5E04CD73" w14:textId="7797B4C6" w:rsidR="00C35D1E" w:rsidRDefault="00C35D1E" w:rsidP="00C35D1E">
            <w:pPr>
              <w:tabs>
                <w:tab w:val="center" w:pos="3152"/>
              </w:tabs>
              <w:rPr>
                <w:rFonts w:cs="Arial"/>
                <w:szCs w:val="19"/>
                <w:lang w:val="en-US"/>
              </w:rPr>
            </w:pPr>
            <w:r w:rsidRPr="00F61B12">
              <w:rPr>
                <w:rFonts w:cs="Arial"/>
                <w:szCs w:val="19"/>
                <w:lang w:val="en-US"/>
              </w:rPr>
              <w:t>Pachyonychia congenita</w:t>
            </w:r>
            <w:r>
              <w:rPr>
                <w:rFonts w:cs="Arial"/>
                <w:szCs w:val="19"/>
                <w:lang w:val="en-US"/>
              </w:rPr>
              <w:t xml:space="preserve"> in adults – development discontinued </w:t>
            </w:r>
            <w:r w:rsidR="00C018E9">
              <w:rPr>
                <w:rFonts w:cs="Arial"/>
                <w:szCs w:val="19"/>
                <w:lang w:val="en-US"/>
              </w:rPr>
              <w:t>(lack of efficacy)</w:t>
            </w:r>
          </w:p>
        </w:tc>
      </w:tr>
      <w:tr w:rsidR="006A52B9" w14:paraId="245F7CE0" w14:textId="77777777" w:rsidTr="002C3BD1">
        <w:tc>
          <w:tcPr>
            <w:tcW w:w="1225" w:type="pct"/>
            <w:shd w:val="clear" w:color="auto" w:fill="auto"/>
            <w:tcMar>
              <w:top w:w="57" w:type="dxa"/>
              <w:bottom w:w="57" w:type="dxa"/>
            </w:tcMar>
          </w:tcPr>
          <w:p w14:paraId="767C267A" w14:textId="2497CDBC" w:rsidR="006A52B9" w:rsidRPr="00291D2C" w:rsidRDefault="006A52B9" w:rsidP="00C35D1E">
            <w:pPr>
              <w:rPr>
                <w:rFonts w:cs="Arial"/>
                <w:szCs w:val="19"/>
              </w:rPr>
            </w:pPr>
            <w:r w:rsidRPr="006A52B9">
              <w:rPr>
                <w:rFonts w:cs="Arial"/>
                <w:szCs w:val="19"/>
              </w:rPr>
              <w:t>Sodium thiosulfate </w:t>
            </w:r>
          </w:p>
        </w:tc>
        <w:tc>
          <w:tcPr>
            <w:tcW w:w="3775" w:type="pct"/>
            <w:gridSpan w:val="2"/>
            <w:shd w:val="clear" w:color="auto" w:fill="auto"/>
            <w:tcMar>
              <w:top w:w="57" w:type="dxa"/>
              <w:bottom w:w="57" w:type="dxa"/>
            </w:tcMar>
          </w:tcPr>
          <w:p w14:paraId="13DD1AF2" w14:textId="54F43037" w:rsidR="006A52B9" w:rsidRPr="00291D2C" w:rsidRDefault="006A52B9" w:rsidP="006A52B9">
            <w:pPr>
              <w:tabs>
                <w:tab w:val="center" w:pos="3152"/>
              </w:tabs>
              <w:rPr>
                <w:rFonts w:cs="Arial"/>
                <w:szCs w:val="19"/>
                <w:lang w:val="en-US"/>
              </w:rPr>
            </w:pPr>
            <w:r>
              <w:rPr>
                <w:rFonts w:cs="Arial"/>
                <w:szCs w:val="19"/>
                <w:lang w:val="en-US"/>
              </w:rPr>
              <w:t>T</w:t>
            </w:r>
            <w:r w:rsidRPr="006A52B9">
              <w:rPr>
                <w:rFonts w:cs="Arial"/>
                <w:szCs w:val="19"/>
                <w:lang w:val="en-US"/>
              </w:rPr>
              <w:t xml:space="preserve">reatment of </w:t>
            </w:r>
            <w:r>
              <w:rPr>
                <w:rFonts w:cs="Arial"/>
                <w:szCs w:val="19"/>
                <w:lang w:val="en-US"/>
              </w:rPr>
              <w:t>c</w:t>
            </w:r>
            <w:r w:rsidRPr="006A52B9">
              <w:rPr>
                <w:rFonts w:cs="Arial"/>
                <w:szCs w:val="19"/>
                <w:lang w:val="en-US"/>
              </w:rPr>
              <w:t>alciphylaxis</w:t>
            </w:r>
            <w:r>
              <w:rPr>
                <w:rFonts w:cs="Arial"/>
                <w:szCs w:val="19"/>
                <w:lang w:val="en-US"/>
              </w:rPr>
              <w:t>-</w:t>
            </w:r>
            <w:r w:rsidRPr="006A52B9">
              <w:rPr>
                <w:rFonts w:cs="Arial"/>
                <w:szCs w:val="19"/>
                <w:lang w:val="en-US"/>
              </w:rPr>
              <w:t xml:space="preserve">associated pain in chronic </w:t>
            </w:r>
            <w:proofErr w:type="spellStart"/>
            <w:r w:rsidRPr="006A52B9">
              <w:rPr>
                <w:rFonts w:cs="Arial"/>
                <w:szCs w:val="19"/>
                <w:lang w:val="en-US"/>
              </w:rPr>
              <w:t>haemodialysis</w:t>
            </w:r>
            <w:proofErr w:type="spellEnd"/>
            <w:r w:rsidRPr="006A52B9">
              <w:rPr>
                <w:rFonts w:cs="Arial"/>
                <w:szCs w:val="19"/>
                <w:lang w:val="en-US"/>
              </w:rPr>
              <w:t xml:space="preserve"> patients</w:t>
            </w:r>
            <w:r>
              <w:rPr>
                <w:rFonts w:cs="Arial"/>
                <w:szCs w:val="19"/>
                <w:lang w:val="en-US"/>
              </w:rPr>
              <w:t xml:space="preserve"> – development discontinued (company decision)</w:t>
            </w:r>
          </w:p>
        </w:tc>
      </w:tr>
      <w:tr w:rsidR="004970B4" w14:paraId="36A22648" w14:textId="77777777" w:rsidTr="002C3BD1">
        <w:tc>
          <w:tcPr>
            <w:tcW w:w="1225" w:type="pct"/>
            <w:shd w:val="clear" w:color="auto" w:fill="auto"/>
            <w:tcMar>
              <w:top w:w="57" w:type="dxa"/>
              <w:bottom w:w="57" w:type="dxa"/>
            </w:tcMar>
          </w:tcPr>
          <w:p w14:paraId="00296FD9" w14:textId="50219338" w:rsidR="004970B4" w:rsidRPr="00291D2C" w:rsidRDefault="004970B4" w:rsidP="00C35D1E">
            <w:pPr>
              <w:rPr>
                <w:rFonts w:cs="Arial"/>
                <w:szCs w:val="19"/>
              </w:rPr>
            </w:pPr>
            <w:r w:rsidRPr="004970B4">
              <w:rPr>
                <w:rFonts w:cs="Arial"/>
                <w:szCs w:val="19"/>
              </w:rPr>
              <w:t>TAK531</w:t>
            </w:r>
          </w:p>
        </w:tc>
        <w:tc>
          <w:tcPr>
            <w:tcW w:w="3775" w:type="pct"/>
            <w:gridSpan w:val="2"/>
            <w:shd w:val="clear" w:color="auto" w:fill="auto"/>
            <w:tcMar>
              <w:top w:w="57" w:type="dxa"/>
              <w:bottom w:w="57" w:type="dxa"/>
            </w:tcMar>
          </w:tcPr>
          <w:p w14:paraId="028E91F0" w14:textId="77777777" w:rsidR="004970B4" w:rsidRDefault="004970B4" w:rsidP="004970B4">
            <w:pPr>
              <w:tabs>
                <w:tab w:val="center" w:pos="3152"/>
              </w:tabs>
              <w:rPr>
                <w:rFonts w:cs="Arial"/>
                <w:szCs w:val="19"/>
                <w:lang w:val="en-US"/>
              </w:rPr>
            </w:pPr>
            <w:r w:rsidRPr="004970B4">
              <w:rPr>
                <w:rFonts w:cs="Arial"/>
                <w:szCs w:val="19"/>
                <w:lang w:val="en-US"/>
              </w:rPr>
              <w:t>Mucopolysaccharidosis II (Hunter syndrome) in adults</w:t>
            </w:r>
            <w:r>
              <w:rPr>
                <w:rFonts w:cs="Arial"/>
                <w:szCs w:val="19"/>
                <w:lang w:val="en-US"/>
              </w:rPr>
              <w:t xml:space="preserve"> – development discontinued </w:t>
            </w:r>
          </w:p>
          <w:p w14:paraId="50B47966" w14:textId="7707D54B" w:rsidR="004970B4" w:rsidRPr="00291D2C" w:rsidRDefault="004970B4" w:rsidP="004970B4">
            <w:pPr>
              <w:tabs>
                <w:tab w:val="center" w:pos="3152"/>
              </w:tabs>
              <w:rPr>
                <w:rFonts w:cs="Arial"/>
                <w:szCs w:val="19"/>
                <w:lang w:val="en-US"/>
              </w:rPr>
            </w:pPr>
            <w:r>
              <w:rPr>
                <w:rFonts w:cs="Arial"/>
                <w:szCs w:val="19"/>
                <w:lang w:val="en-US"/>
              </w:rPr>
              <w:t>(company decision)</w:t>
            </w:r>
          </w:p>
        </w:tc>
      </w:tr>
      <w:tr w:rsidR="00C35D1E" w14:paraId="2FE28FC9" w14:textId="77777777" w:rsidTr="002C3BD1">
        <w:tc>
          <w:tcPr>
            <w:tcW w:w="1225" w:type="pct"/>
            <w:shd w:val="clear" w:color="auto" w:fill="auto"/>
            <w:tcMar>
              <w:top w:w="57" w:type="dxa"/>
              <w:bottom w:w="57" w:type="dxa"/>
            </w:tcMar>
          </w:tcPr>
          <w:p w14:paraId="40788517" w14:textId="7D58FA93" w:rsidR="00C35D1E" w:rsidRPr="006B6A51" w:rsidRDefault="00C35D1E" w:rsidP="00C35D1E">
            <w:pPr>
              <w:rPr>
                <w:rFonts w:cs="Arial"/>
                <w:szCs w:val="19"/>
              </w:rPr>
            </w:pPr>
            <w:proofErr w:type="spellStart"/>
            <w:r w:rsidRPr="00291D2C">
              <w:rPr>
                <w:rFonts w:cs="Arial"/>
                <w:szCs w:val="19"/>
              </w:rPr>
              <w:t>Zandelisib</w:t>
            </w:r>
            <w:proofErr w:type="spellEnd"/>
            <w:r>
              <w:rPr>
                <w:rFonts w:cs="Arial"/>
                <w:szCs w:val="19"/>
              </w:rPr>
              <w:t xml:space="preserve"> </w:t>
            </w:r>
          </w:p>
        </w:tc>
        <w:tc>
          <w:tcPr>
            <w:tcW w:w="3775" w:type="pct"/>
            <w:gridSpan w:val="2"/>
            <w:shd w:val="clear" w:color="auto" w:fill="auto"/>
            <w:tcMar>
              <w:top w:w="57" w:type="dxa"/>
              <w:bottom w:w="57" w:type="dxa"/>
            </w:tcMar>
          </w:tcPr>
          <w:p w14:paraId="6A96A270" w14:textId="2F3411FF" w:rsidR="00C35D1E" w:rsidRPr="008E641A" w:rsidRDefault="00C35D1E" w:rsidP="00C35D1E">
            <w:pPr>
              <w:tabs>
                <w:tab w:val="center" w:pos="3152"/>
              </w:tabs>
              <w:rPr>
                <w:rFonts w:cs="Arial"/>
                <w:szCs w:val="19"/>
                <w:lang w:val="en-US"/>
              </w:rPr>
            </w:pPr>
            <w:r w:rsidRPr="00291D2C">
              <w:rPr>
                <w:rFonts w:cs="Arial"/>
                <w:szCs w:val="19"/>
                <w:lang w:val="en-US"/>
              </w:rPr>
              <w:t xml:space="preserve">Relapsed or refractory </w:t>
            </w:r>
            <w:r>
              <w:rPr>
                <w:rFonts w:cs="Arial"/>
                <w:szCs w:val="19"/>
                <w:lang w:val="en-US"/>
              </w:rPr>
              <w:t xml:space="preserve">CD20-positive </w:t>
            </w:r>
            <w:r w:rsidRPr="00291D2C">
              <w:rPr>
                <w:rFonts w:cs="Arial"/>
                <w:szCs w:val="19"/>
                <w:lang w:val="en-US"/>
              </w:rPr>
              <w:t>marginal zone lymphoma or follicular lymphoma in adults</w:t>
            </w:r>
            <w:r>
              <w:rPr>
                <w:rFonts w:cs="Arial"/>
                <w:szCs w:val="19"/>
                <w:lang w:val="en-US"/>
              </w:rPr>
              <w:t xml:space="preserve"> – development discontinued (company decision)</w:t>
            </w:r>
          </w:p>
        </w:tc>
      </w:tr>
      <w:tr w:rsidR="00C35D1E" w14:paraId="7DC4A658" w14:textId="77777777" w:rsidTr="002C3BD1">
        <w:tc>
          <w:tcPr>
            <w:tcW w:w="1225" w:type="pct"/>
            <w:shd w:val="clear" w:color="auto" w:fill="auto"/>
            <w:tcMar>
              <w:top w:w="57" w:type="dxa"/>
              <w:bottom w:w="57" w:type="dxa"/>
            </w:tcMar>
          </w:tcPr>
          <w:p w14:paraId="21B2D77B" w14:textId="49BCEA13" w:rsidR="00C35D1E" w:rsidRPr="00A63D29" w:rsidRDefault="00C35D1E" w:rsidP="00C35D1E">
            <w:pPr>
              <w:rPr>
                <w:rFonts w:cs="Arial"/>
                <w:szCs w:val="19"/>
              </w:rPr>
            </w:pPr>
            <w:proofErr w:type="spellStart"/>
            <w:r>
              <w:rPr>
                <w:rFonts w:cs="Arial"/>
                <w:szCs w:val="19"/>
              </w:rPr>
              <w:t>Zimberelimab</w:t>
            </w:r>
            <w:proofErr w:type="spellEnd"/>
          </w:p>
        </w:tc>
        <w:tc>
          <w:tcPr>
            <w:tcW w:w="3775" w:type="pct"/>
            <w:gridSpan w:val="2"/>
            <w:shd w:val="clear" w:color="auto" w:fill="auto"/>
            <w:tcMar>
              <w:top w:w="57" w:type="dxa"/>
              <w:bottom w:w="57" w:type="dxa"/>
            </w:tcMar>
          </w:tcPr>
          <w:p w14:paraId="65014BC5" w14:textId="582BB2D5" w:rsidR="00C35D1E" w:rsidRDefault="00C35D1E" w:rsidP="00C35D1E">
            <w:pPr>
              <w:tabs>
                <w:tab w:val="center" w:pos="3152"/>
              </w:tabs>
              <w:rPr>
                <w:rFonts w:cs="Arial"/>
                <w:szCs w:val="19"/>
                <w:lang w:val="en-US"/>
              </w:rPr>
            </w:pPr>
            <w:r>
              <w:rPr>
                <w:rFonts w:cs="Arial"/>
                <w:szCs w:val="19"/>
                <w:lang w:val="en-US"/>
              </w:rPr>
              <w:t xml:space="preserve">Advanced </w:t>
            </w:r>
            <w:r w:rsidRPr="0033237A">
              <w:rPr>
                <w:rFonts w:cs="Arial"/>
                <w:szCs w:val="19"/>
                <w:lang w:val="en-US"/>
              </w:rPr>
              <w:t>PD-L1-positive</w:t>
            </w:r>
            <w:r>
              <w:rPr>
                <w:rFonts w:cs="Arial"/>
                <w:szCs w:val="19"/>
                <w:lang w:val="en-US"/>
              </w:rPr>
              <w:t xml:space="preserve"> n</w:t>
            </w:r>
            <w:r w:rsidRPr="0033237A">
              <w:rPr>
                <w:rFonts w:cs="Arial"/>
                <w:szCs w:val="19"/>
                <w:lang w:val="en-US"/>
              </w:rPr>
              <w:t>on-small cell lung cance</w:t>
            </w:r>
            <w:r>
              <w:rPr>
                <w:rFonts w:cs="Arial"/>
                <w:szCs w:val="19"/>
                <w:lang w:val="en-US"/>
              </w:rPr>
              <w:t xml:space="preserve">r </w:t>
            </w:r>
            <w:r w:rsidRPr="0033237A">
              <w:rPr>
                <w:rFonts w:cs="Arial"/>
                <w:szCs w:val="19"/>
                <w:lang w:val="en-US"/>
              </w:rPr>
              <w:t>in adults</w:t>
            </w:r>
            <w:r>
              <w:rPr>
                <w:rFonts w:cs="Arial"/>
                <w:szCs w:val="19"/>
                <w:lang w:val="en-US"/>
              </w:rPr>
              <w:t>,</w:t>
            </w:r>
            <w:r w:rsidRPr="0033237A">
              <w:rPr>
                <w:rFonts w:cs="Arial"/>
                <w:szCs w:val="19"/>
                <w:lang w:val="en-US"/>
              </w:rPr>
              <w:t xml:space="preserve"> first-line with </w:t>
            </w:r>
            <w:r>
              <w:rPr>
                <w:rFonts w:cs="Arial"/>
                <w:szCs w:val="19"/>
                <w:lang w:val="en-US"/>
              </w:rPr>
              <w:t>d</w:t>
            </w:r>
            <w:proofErr w:type="spellStart"/>
            <w:r w:rsidRPr="0033237A">
              <w:rPr>
                <w:rFonts w:cs="Arial"/>
                <w:szCs w:val="19"/>
              </w:rPr>
              <w:t>omvanalimab</w:t>
            </w:r>
            <w:proofErr w:type="spellEnd"/>
            <w:r>
              <w:rPr>
                <w:rFonts w:cs="Arial"/>
                <w:szCs w:val="19"/>
              </w:rPr>
              <w:t xml:space="preserve"> </w:t>
            </w:r>
            <w:r>
              <w:rPr>
                <w:rFonts w:cs="Arial"/>
                <w:szCs w:val="19"/>
                <w:lang w:val="en-US"/>
              </w:rPr>
              <w:t>– development discontinued (company decision)</w:t>
            </w:r>
          </w:p>
        </w:tc>
      </w:tr>
      <w:tr w:rsidR="00C35D1E" w:rsidRPr="000F19E1" w14:paraId="3416C933" w14:textId="77777777" w:rsidTr="002C3BD1">
        <w:tc>
          <w:tcPr>
            <w:tcW w:w="1225" w:type="pct"/>
            <w:shd w:val="clear" w:color="auto" w:fill="auto"/>
            <w:tcMar>
              <w:top w:w="0" w:type="dxa"/>
              <w:bottom w:w="0" w:type="dxa"/>
            </w:tcMar>
          </w:tcPr>
          <w:p w14:paraId="7C2E7FBE" w14:textId="77777777" w:rsidR="00C35D1E" w:rsidRPr="000F19E1" w:rsidRDefault="00C35D1E" w:rsidP="00C35D1E">
            <w:pPr>
              <w:rPr>
                <w:rFonts w:cs="Arial"/>
                <w:bCs/>
                <w:sz w:val="8"/>
                <w:szCs w:val="8"/>
              </w:rPr>
            </w:pPr>
          </w:p>
        </w:tc>
        <w:tc>
          <w:tcPr>
            <w:tcW w:w="3775" w:type="pct"/>
            <w:gridSpan w:val="2"/>
            <w:shd w:val="clear" w:color="auto" w:fill="auto"/>
            <w:tcMar>
              <w:top w:w="0" w:type="dxa"/>
              <w:bottom w:w="0" w:type="dxa"/>
            </w:tcMar>
          </w:tcPr>
          <w:p w14:paraId="1EE78CF1" w14:textId="77777777" w:rsidR="00C35D1E" w:rsidRPr="000F19E1" w:rsidRDefault="00C35D1E" w:rsidP="00C35D1E">
            <w:pPr>
              <w:tabs>
                <w:tab w:val="center" w:pos="3152"/>
              </w:tabs>
              <w:rPr>
                <w:rFonts w:cs="Arial"/>
                <w:sz w:val="8"/>
                <w:szCs w:val="8"/>
                <w:lang w:val="en-US"/>
              </w:rPr>
            </w:pPr>
          </w:p>
        </w:tc>
      </w:tr>
      <w:tr w:rsidR="00C35D1E" w:rsidRPr="000F19E1" w14:paraId="5AA6E0FA" w14:textId="77777777" w:rsidTr="00155BD9">
        <w:tc>
          <w:tcPr>
            <w:tcW w:w="1355" w:type="pct"/>
            <w:gridSpan w:val="2"/>
            <w:shd w:val="clear" w:color="auto" w:fill="DAEEF3"/>
            <w:tcMar>
              <w:top w:w="0" w:type="dxa"/>
              <w:bottom w:w="0" w:type="dxa"/>
            </w:tcMar>
          </w:tcPr>
          <w:p w14:paraId="69318696" w14:textId="77777777" w:rsidR="00C35D1E" w:rsidRPr="000F19E1" w:rsidRDefault="00C35D1E" w:rsidP="00C35D1E">
            <w:pPr>
              <w:rPr>
                <w:rFonts w:cs="Arial"/>
                <w:bCs/>
                <w:sz w:val="8"/>
                <w:szCs w:val="8"/>
              </w:rPr>
            </w:pPr>
          </w:p>
        </w:tc>
        <w:tc>
          <w:tcPr>
            <w:tcW w:w="3645" w:type="pct"/>
            <w:shd w:val="clear" w:color="auto" w:fill="DAEEF3"/>
            <w:tcMar>
              <w:top w:w="0" w:type="dxa"/>
              <w:bottom w:w="0" w:type="dxa"/>
            </w:tcMar>
          </w:tcPr>
          <w:p w14:paraId="2C051943" w14:textId="77777777" w:rsidR="00C35D1E" w:rsidRPr="000F19E1" w:rsidRDefault="00C35D1E" w:rsidP="00C35D1E">
            <w:pPr>
              <w:tabs>
                <w:tab w:val="center" w:pos="3152"/>
              </w:tabs>
              <w:rPr>
                <w:rFonts w:cs="Arial"/>
                <w:sz w:val="8"/>
                <w:szCs w:val="8"/>
                <w:lang w:val="en-US"/>
              </w:rPr>
            </w:pPr>
          </w:p>
        </w:tc>
      </w:tr>
    </w:tbl>
    <w:p w14:paraId="1B2EE1C2" w14:textId="77777777" w:rsidR="006825BB" w:rsidRPr="008949EF" w:rsidRDefault="006825BB" w:rsidP="003D16EF">
      <w:pPr>
        <w:rPr>
          <w:sz w:val="8"/>
          <w:szCs w:val="8"/>
        </w:rPr>
      </w:pPr>
    </w:p>
    <w:sectPr w:rsidR="006825BB" w:rsidRPr="008949EF" w:rsidSect="00F566AB">
      <w:headerReference w:type="even" r:id="rId19"/>
      <w:headerReference w:type="default" r:id="rId20"/>
      <w:footerReference w:type="default" r:id="rId21"/>
      <w:headerReference w:type="first" r:id="rId22"/>
      <w:type w:val="evenPage"/>
      <w:pgSz w:w="11906" w:h="16838" w:code="9"/>
      <w:pgMar w:top="1021" w:right="851" w:bottom="1021" w:left="851"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53ABBF" w14:textId="77777777" w:rsidR="002734B9" w:rsidRDefault="002734B9">
      <w:r>
        <w:separator/>
      </w:r>
    </w:p>
  </w:endnote>
  <w:endnote w:type="continuationSeparator" w:id="0">
    <w:p w14:paraId="26AB5629" w14:textId="77777777" w:rsidR="002734B9" w:rsidRDefault="00273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atha">
    <w:panose1 w:val="02000400000000000000"/>
    <w:charset w:val="00"/>
    <w:family w:val="swiss"/>
    <w:pitch w:val="variable"/>
    <w:sig w:usb0="001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80" w:type="dxa"/>
      <w:tblInd w:w="-303" w:type="dxa"/>
      <w:tblBorders>
        <w:top w:val="single" w:sz="4" w:space="0" w:color="000000"/>
        <w:left w:val="single" w:sz="4" w:space="0" w:color="000000"/>
        <w:bottom w:val="single" w:sz="4" w:space="0" w:color="000000"/>
        <w:right w:val="single" w:sz="4" w:space="0" w:color="000000"/>
        <w:insideH w:val="single" w:sz="4" w:space="0" w:color="000000"/>
      </w:tblBorders>
      <w:tblLook w:val="01E0" w:firstRow="1" w:lastRow="1" w:firstColumn="1" w:lastColumn="1" w:noHBand="0" w:noVBand="0"/>
    </w:tblPr>
    <w:tblGrid>
      <w:gridCol w:w="10980"/>
    </w:tblGrid>
    <w:tr w:rsidR="000D44DB" w:rsidRPr="00710A1C" w14:paraId="24C51BF9" w14:textId="77777777">
      <w:tc>
        <w:tcPr>
          <w:tcW w:w="10980" w:type="dxa"/>
          <w:shd w:val="clear" w:color="auto" w:fill="3366FF"/>
          <w:tcMar>
            <w:top w:w="28" w:type="dxa"/>
            <w:left w:w="57" w:type="dxa"/>
            <w:bottom w:w="28" w:type="dxa"/>
            <w:right w:w="57" w:type="dxa"/>
          </w:tcMar>
        </w:tcPr>
        <w:p w14:paraId="6E14887D" w14:textId="77777777" w:rsidR="000D44DB" w:rsidRPr="00710A1C" w:rsidRDefault="000D44DB" w:rsidP="00710A1C">
          <w:pPr>
            <w:spacing w:before="60" w:after="60"/>
            <w:ind w:right="57"/>
            <w:rPr>
              <w:rFonts w:ascii="Verdana" w:hAnsi="Verdana" w:cs="Arial"/>
              <w:b/>
              <w:bCs/>
              <w:color w:val="000080"/>
              <w:sz w:val="15"/>
              <w:szCs w:val="15"/>
              <w:lang w:val="en-US"/>
            </w:rPr>
          </w:pPr>
          <w:r w:rsidRPr="00710A1C">
            <w:rPr>
              <w:rFonts w:ascii="Verdana" w:hAnsi="Verdana" w:cs="Arial"/>
              <w:b/>
              <w:bCs/>
              <w:color w:val="FFFFFF"/>
              <w:sz w:val="15"/>
              <w:szCs w:val="15"/>
              <w:lang w:val="en-US"/>
            </w:rPr>
            <w:t xml:space="preserve">If you do not wish to continue receiving NDO </w:t>
          </w:r>
          <w:r w:rsidRPr="00710A1C">
            <w:rPr>
              <w:rFonts w:ascii="Verdana" w:hAnsi="Verdana" w:cs="Arial"/>
              <w:b/>
              <w:bCs/>
              <w:i/>
              <w:color w:val="FFFFFF"/>
              <w:sz w:val="15"/>
              <w:szCs w:val="15"/>
              <w:lang w:val="en-US"/>
            </w:rPr>
            <w:t>Newsletter</w:t>
          </w:r>
          <w:r w:rsidRPr="00710A1C">
            <w:rPr>
              <w:rFonts w:ascii="Verdana" w:hAnsi="Verdana" w:cs="Arial"/>
              <w:b/>
              <w:bCs/>
              <w:color w:val="FFFFFF"/>
              <w:sz w:val="15"/>
              <w:szCs w:val="15"/>
              <w:lang w:val="en-US"/>
            </w:rPr>
            <w:t xml:space="preserve"> log in and update your profile at </w:t>
          </w:r>
          <w:hyperlink r:id="rId1" w:history="1">
            <w:r w:rsidRPr="00710A1C">
              <w:rPr>
                <w:rStyle w:val="Hyperlink"/>
                <w:rFonts w:cs="Arial"/>
                <w:b/>
                <w:bCs/>
                <w:color w:val="FFFFFF"/>
                <w:sz w:val="15"/>
                <w:szCs w:val="15"/>
                <w:lang w:val="en-US"/>
              </w:rPr>
              <w:t>www.ukmi.nhs.uk/ndo</w:t>
            </w:r>
          </w:hyperlink>
        </w:p>
      </w:tc>
    </w:tr>
    <w:tr w:rsidR="000D44DB" w14:paraId="73001B2A" w14:textId="77777777">
      <w:tc>
        <w:tcPr>
          <w:tcW w:w="10980" w:type="dxa"/>
          <w:shd w:val="clear" w:color="auto" w:fill="auto"/>
          <w:tcMar>
            <w:left w:w="28" w:type="dxa"/>
            <w:right w:w="28" w:type="dxa"/>
          </w:tcMar>
        </w:tcPr>
        <w:p w14:paraId="38CEDCF9" w14:textId="77777777" w:rsidR="000D44DB" w:rsidRPr="00710A1C" w:rsidRDefault="000D44DB" w:rsidP="00710A1C">
          <w:pPr>
            <w:spacing w:before="120" w:after="60"/>
            <w:ind w:left="57" w:right="57"/>
            <w:rPr>
              <w:sz w:val="15"/>
              <w:szCs w:val="15"/>
            </w:rPr>
          </w:pPr>
          <w:r w:rsidRPr="00710A1C">
            <w:rPr>
              <w:rFonts w:ascii="Verdana" w:hAnsi="Verdana" w:cs="Arial"/>
              <w:b/>
              <w:bCs/>
              <w:color w:val="333399"/>
              <w:sz w:val="15"/>
              <w:szCs w:val="15"/>
              <w:lang w:val="en-US"/>
            </w:rPr>
            <w:t>In September 2011</w:t>
          </w:r>
          <w:r w:rsidRPr="00710A1C">
            <w:rPr>
              <w:rFonts w:ascii="Verdana" w:hAnsi="Verdana" w:cs="Arial"/>
              <w:bCs/>
              <w:color w:val="000000"/>
              <w:sz w:val="15"/>
              <w:szCs w:val="15"/>
              <w:lang w:val="en-US"/>
            </w:rPr>
            <w:t xml:space="preserve"> </w:t>
          </w:r>
          <w:r w:rsidRPr="00710A1C">
            <w:rPr>
              <w:rFonts w:ascii="Verdana" w:hAnsi="Verdana" w:cs="Arial"/>
              <w:b/>
              <w:bCs/>
              <w:color w:val="000000"/>
              <w:sz w:val="15"/>
              <w:szCs w:val="15"/>
              <w:lang w:val="en-US"/>
            </w:rPr>
            <w:t>| 229 monographs updated | 14 evidence-based evaluations added | 2,200 registered NDO users</w:t>
          </w:r>
        </w:p>
      </w:tc>
    </w:tr>
  </w:tbl>
  <w:p w14:paraId="661F0ADF" w14:textId="77777777" w:rsidR="000D44DB" w:rsidRDefault="000D44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74" w:type="dxa"/>
      <w:tblInd w:w="-227" w:type="dxa"/>
      <w:tblLook w:val="01E0" w:firstRow="1" w:lastRow="1" w:firstColumn="1" w:lastColumn="1" w:noHBand="0" w:noVBand="0"/>
    </w:tblPr>
    <w:tblGrid>
      <w:gridCol w:w="10774"/>
    </w:tblGrid>
    <w:tr w:rsidR="001F4283" w:rsidRPr="00862949" w14:paraId="38FC2F9F" w14:textId="77777777" w:rsidTr="001734BF">
      <w:trPr>
        <w:trHeight w:val="262"/>
      </w:trPr>
      <w:tc>
        <w:tcPr>
          <w:tcW w:w="10774" w:type="dxa"/>
          <w:shd w:val="clear" w:color="auto" w:fill="0070C0"/>
          <w:tcMar>
            <w:top w:w="28" w:type="dxa"/>
            <w:left w:w="57" w:type="dxa"/>
            <w:bottom w:w="28" w:type="dxa"/>
            <w:right w:w="57" w:type="dxa"/>
          </w:tcMar>
        </w:tcPr>
        <w:p w14:paraId="6DA04822" w14:textId="77777777" w:rsidR="001F4283" w:rsidRPr="00114EBA" w:rsidRDefault="001F4283" w:rsidP="001F4283">
          <w:pPr>
            <w:spacing w:before="60" w:after="60"/>
            <w:ind w:right="57"/>
            <w:jc w:val="center"/>
            <w:rPr>
              <w:rFonts w:cs="Arial"/>
              <w:bCs/>
              <w:color w:val="F2F2F2"/>
              <w:sz w:val="17"/>
              <w:szCs w:val="17"/>
              <w:lang w:val="en-US"/>
            </w:rPr>
          </w:pPr>
          <w:r w:rsidRPr="00114EBA">
            <w:rPr>
              <w:rFonts w:cs="Arial"/>
              <w:b/>
              <w:bCs/>
              <w:color w:val="FFFFFF"/>
              <w:sz w:val="17"/>
              <w:szCs w:val="17"/>
              <w:lang w:val="en-US"/>
            </w:rPr>
            <w:t>This is a NHS document not to be used for commercial purposes</w:t>
          </w:r>
        </w:p>
      </w:tc>
    </w:tr>
    <w:tr w:rsidR="001F4283" w:rsidRPr="00862949" w14:paraId="677B0A70" w14:textId="77777777" w:rsidTr="001734BF">
      <w:trPr>
        <w:trHeight w:val="331"/>
      </w:trPr>
      <w:tc>
        <w:tcPr>
          <w:tcW w:w="10774" w:type="dxa"/>
          <w:shd w:val="clear" w:color="auto" w:fill="DAEEF3"/>
          <w:tcMar>
            <w:left w:w="28" w:type="dxa"/>
            <w:right w:w="28" w:type="dxa"/>
          </w:tcMar>
        </w:tcPr>
        <w:p w14:paraId="3DBBB690" w14:textId="77777777" w:rsidR="001F4283" w:rsidRDefault="001F4283" w:rsidP="001F4283">
          <w:pPr>
            <w:spacing w:before="60" w:after="60"/>
            <w:ind w:right="57"/>
            <w:rPr>
              <w:rFonts w:cs="Arial"/>
              <w:bCs/>
              <w:color w:val="000000"/>
              <w:sz w:val="17"/>
              <w:szCs w:val="17"/>
              <w:lang w:val="en-US"/>
            </w:rPr>
          </w:pPr>
          <w:r w:rsidRPr="00114EBA">
            <w:rPr>
              <w:rFonts w:cs="Arial"/>
              <w:bCs/>
              <w:color w:val="00B050"/>
              <w:sz w:val="17"/>
              <w:szCs w:val="17"/>
              <w:lang w:val="en-US"/>
            </w:rPr>
            <w:t>New Medicines</w:t>
          </w:r>
          <w:r w:rsidRPr="00114EBA">
            <w:rPr>
              <w:rFonts w:cs="Arial"/>
              <w:bCs/>
              <w:color w:val="F2F2F2"/>
              <w:sz w:val="17"/>
              <w:szCs w:val="17"/>
              <w:lang w:val="en-US"/>
            </w:rPr>
            <w:t xml:space="preserve"> </w:t>
          </w:r>
          <w:r w:rsidRPr="00114EBA">
            <w:rPr>
              <w:rStyle w:val="Hyperlink"/>
              <w:rFonts w:ascii="Arial" w:hAnsi="Arial"/>
              <w:i/>
              <w:color w:val="0070C0"/>
              <w:sz w:val="17"/>
              <w:szCs w:val="17"/>
              <w:u w:val="none"/>
            </w:rPr>
            <w:t>News</w:t>
          </w:r>
          <w:r w:rsidRPr="00114EBA">
            <w:rPr>
              <w:rFonts w:cs="Arial"/>
              <w:bCs/>
              <w:color w:val="F2F2F2"/>
              <w:sz w:val="17"/>
              <w:szCs w:val="17"/>
              <w:lang w:val="en-US"/>
            </w:rPr>
            <w:t xml:space="preserve"> </w:t>
          </w:r>
          <w:r w:rsidRPr="00114EBA">
            <w:rPr>
              <w:rFonts w:cs="Arial"/>
              <w:bCs/>
              <w:color w:val="000000"/>
              <w:sz w:val="17"/>
              <w:szCs w:val="17"/>
              <w:lang w:val="en-US"/>
            </w:rPr>
            <w:t xml:space="preserve">is one of several horizon scanning resources produced by </w:t>
          </w:r>
          <w:r>
            <w:rPr>
              <w:rFonts w:cs="Arial"/>
              <w:bCs/>
              <w:color w:val="000000"/>
              <w:sz w:val="17"/>
              <w:szCs w:val="17"/>
              <w:lang w:val="en-US"/>
            </w:rPr>
            <w:t>the Specialist Pharmacy Service</w:t>
          </w:r>
          <w:r w:rsidRPr="00114EBA">
            <w:rPr>
              <w:rFonts w:cs="Arial"/>
              <w:bCs/>
              <w:color w:val="000000"/>
              <w:sz w:val="17"/>
              <w:szCs w:val="17"/>
              <w:lang w:val="en-US"/>
            </w:rPr>
            <w:t xml:space="preserve"> to support managed introduction of new medicines into the NHS,</w:t>
          </w:r>
          <w:r w:rsidRPr="00114EBA">
            <w:rPr>
              <w:color w:val="000000"/>
              <w:sz w:val="17"/>
              <w:szCs w:val="17"/>
            </w:rPr>
            <w:t xml:space="preserve"> </w:t>
          </w:r>
          <w:r w:rsidRPr="00114EBA">
            <w:rPr>
              <w:rFonts w:cs="Arial"/>
              <w:bCs/>
              <w:color w:val="000000"/>
              <w:sz w:val="17"/>
              <w:szCs w:val="17"/>
              <w:lang w:val="en-US"/>
            </w:rPr>
            <w:t xml:space="preserve">to help organisations develop medicines management policies and to inform prescribing decisions when a product has been launched. </w:t>
          </w:r>
        </w:p>
        <w:p w14:paraId="655776F2" w14:textId="77777777" w:rsidR="001F4283" w:rsidRPr="00114EBA" w:rsidRDefault="001F4283" w:rsidP="001F4283">
          <w:pPr>
            <w:spacing w:before="60" w:after="60"/>
            <w:ind w:right="57"/>
            <w:jc w:val="right"/>
            <w:rPr>
              <w:rFonts w:cs="Arial"/>
              <w:bCs/>
              <w:color w:val="000000"/>
              <w:sz w:val="17"/>
              <w:szCs w:val="17"/>
              <w:lang w:val="en-US"/>
            </w:rPr>
          </w:pPr>
          <w:r w:rsidRPr="00114EBA">
            <w:rPr>
              <w:rFonts w:cs="Arial"/>
              <w:bCs/>
              <w:color w:val="000000"/>
              <w:sz w:val="17"/>
              <w:szCs w:val="17"/>
              <w:lang w:val="en-US"/>
            </w:rPr>
            <w:t>For more information</w:t>
          </w:r>
          <w:r>
            <w:rPr>
              <w:rFonts w:cs="Arial"/>
              <w:bCs/>
              <w:color w:val="000000"/>
              <w:sz w:val="17"/>
              <w:szCs w:val="17"/>
              <w:lang w:val="en-US"/>
            </w:rPr>
            <w:t xml:space="preserve"> or </w:t>
          </w:r>
          <w:r w:rsidRPr="00114EBA">
            <w:rPr>
              <w:rFonts w:cs="Arial"/>
              <w:bCs/>
              <w:color w:val="000000"/>
              <w:sz w:val="17"/>
              <w:szCs w:val="17"/>
              <w:lang w:val="en-US"/>
            </w:rPr>
            <w:t>if you have a question about this newsletter, contact</w:t>
          </w:r>
          <w:r>
            <w:rPr>
              <w:rFonts w:cs="Arial"/>
              <w:bCs/>
              <w:color w:val="000000"/>
              <w:sz w:val="17"/>
              <w:szCs w:val="17"/>
              <w:lang w:val="en-US"/>
            </w:rPr>
            <w:t xml:space="preserve"> </w:t>
          </w:r>
          <w:hyperlink r:id="rId1" w:history="1">
            <w:r w:rsidRPr="00114EBA">
              <w:rPr>
                <w:rStyle w:val="Hyperlink"/>
                <w:rFonts w:ascii="Arial" w:hAnsi="Arial" w:cs="Arial"/>
                <w:bCs/>
                <w:sz w:val="17"/>
                <w:szCs w:val="17"/>
                <w:lang w:val="en-US"/>
              </w:rPr>
              <w:t>nwmedinfo@nhs.net</w:t>
            </w:r>
          </w:hyperlink>
          <w:r w:rsidRPr="00114EBA">
            <w:rPr>
              <w:rFonts w:cs="Arial"/>
              <w:bCs/>
              <w:color w:val="000000"/>
              <w:sz w:val="17"/>
              <w:szCs w:val="17"/>
              <w:lang w:val="en-US"/>
            </w:rPr>
            <w:t>.</w:t>
          </w:r>
        </w:p>
      </w:tc>
    </w:tr>
  </w:tbl>
  <w:p w14:paraId="764C536F" w14:textId="77777777" w:rsidR="000D44DB" w:rsidRDefault="000D44D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74" w:type="dxa"/>
      <w:tblInd w:w="-227" w:type="dxa"/>
      <w:tblLook w:val="01E0" w:firstRow="1" w:lastRow="1" w:firstColumn="1" w:lastColumn="1" w:noHBand="0" w:noVBand="0"/>
    </w:tblPr>
    <w:tblGrid>
      <w:gridCol w:w="10774"/>
    </w:tblGrid>
    <w:tr w:rsidR="001F4283" w:rsidRPr="00862949" w14:paraId="4133289C" w14:textId="77777777" w:rsidTr="001734BF">
      <w:trPr>
        <w:trHeight w:val="262"/>
      </w:trPr>
      <w:tc>
        <w:tcPr>
          <w:tcW w:w="10774" w:type="dxa"/>
          <w:shd w:val="clear" w:color="auto" w:fill="0070C0"/>
          <w:tcMar>
            <w:top w:w="28" w:type="dxa"/>
            <w:left w:w="57" w:type="dxa"/>
            <w:bottom w:w="28" w:type="dxa"/>
            <w:right w:w="57" w:type="dxa"/>
          </w:tcMar>
        </w:tcPr>
        <w:p w14:paraId="27D8BF64" w14:textId="77777777" w:rsidR="001F4283" w:rsidRPr="00114EBA" w:rsidRDefault="001F4283" w:rsidP="001F4283">
          <w:pPr>
            <w:spacing w:before="60" w:after="60"/>
            <w:ind w:right="57"/>
            <w:jc w:val="center"/>
            <w:rPr>
              <w:rFonts w:cs="Arial"/>
              <w:bCs/>
              <w:color w:val="F2F2F2"/>
              <w:sz w:val="17"/>
              <w:szCs w:val="17"/>
              <w:lang w:val="en-US"/>
            </w:rPr>
          </w:pPr>
          <w:r w:rsidRPr="00114EBA">
            <w:rPr>
              <w:rFonts w:cs="Arial"/>
              <w:b/>
              <w:bCs/>
              <w:color w:val="FFFFFF"/>
              <w:sz w:val="17"/>
              <w:szCs w:val="17"/>
              <w:lang w:val="en-US"/>
            </w:rPr>
            <w:t>This is a NHS document not to be used for commercial purposes</w:t>
          </w:r>
        </w:p>
      </w:tc>
    </w:tr>
    <w:tr w:rsidR="001F4283" w:rsidRPr="00862949" w14:paraId="6A66B4A0" w14:textId="77777777" w:rsidTr="001734BF">
      <w:trPr>
        <w:trHeight w:val="331"/>
      </w:trPr>
      <w:tc>
        <w:tcPr>
          <w:tcW w:w="10774" w:type="dxa"/>
          <w:shd w:val="clear" w:color="auto" w:fill="DAEEF3"/>
          <w:tcMar>
            <w:left w:w="28" w:type="dxa"/>
            <w:right w:w="28" w:type="dxa"/>
          </w:tcMar>
        </w:tcPr>
        <w:p w14:paraId="62A9B4DF" w14:textId="77777777" w:rsidR="001F4283" w:rsidRDefault="001F4283" w:rsidP="001F4283">
          <w:pPr>
            <w:spacing w:before="60" w:after="60"/>
            <w:ind w:right="57"/>
            <w:rPr>
              <w:rFonts w:cs="Arial"/>
              <w:bCs/>
              <w:color w:val="000000"/>
              <w:sz w:val="17"/>
              <w:szCs w:val="17"/>
              <w:lang w:val="en-US"/>
            </w:rPr>
          </w:pPr>
          <w:r w:rsidRPr="00114EBA">
            <w:rPr>
              <w:rFonts w:cs="Arial"/>
              <w:bCs/>
              <w:color w:val="00B050"/>
              <w:sz w:val="17"/>
              <w:szCs w:val="17"/>
              <w:lang w:val="en-US"/>
            </w:rPr>
            <w:t>New Medicines</w:t>
          </w:r>
          <w:r w:rsidRPr="00114EBA">
            <w:rPr>
              <w:rFonts w:cs="Arial"/>
              <w:bCs/>
              <w:color w:val="F2F2F2"/>
              <w:sz w:val="17"/>
              <w:szCs w:val="17"/>
              <w:lang w:val="en-US"/>
            </w:rPr>
            <w:t xml:space="preserve"> </w:t>
          </w:r>
          <w:r w:rsidRPr="00114EBA">
            <w:rPr>
              <w:rStyle w:val="Hyperlink"/>
              <w:rFonts w:ascii="Arial" w:hAnsi="Arial"/>
              <w:i/>
              <w:color w:val="0070C0"/>
              <w:sz w:val="17"/>
              <w:szCs w:val="17"/>
              <w:u w:val="none"/>
            </w:rPr>
            <w:t>News</w:t>
          </w:r>
          <w:r w:rsidRPr="00114EBA">
            <w:rPr>
              <w:rFonts w:cs="Arial"/>
              <w:bCs/>
              <w:color w:val="F2F2F2"/>
              <w:sz w:val="17"/>
              <w:szCs w:val="17"/>
              <w:lang w:val="en-US"/>
            </w:rPr>
            <w:t xml:space="preserve"> </w:t>
          </w:r>
          <w:r w:rsidRPr="00114EBA">
            <w:rPr>
              <w:rFonts w:cs="Arial"/>
              <w:bCs/>
              <w:color w:val="000000"/>
              <w:sz w:val="17"/>
              <w:szCs w:val="17"/>
              <w:lang w:val="en-US"/>
            </w:rPr>
            <w:t xml:space="preserve">is one of several horizon scanning resources produced by </w:t>
          </w:r>
          <w:r>
            <w:rPr>
              <w:rFonts w:cs="Arial"/>
              <w:bCs/>
              <w:color w:val="000000"/>
              <w:sz w:val="17"/>
              <w:szCs w:val="17"/>
              <w:lang w:val="en-US"/>
            </w:rPr>
            <w:t>the Specialist Pharmacy Service</w:t>
          </w:r>
          <w:r w:rsidRPr="00114EBA">
            <w:rPr>
              <w:rFonts w:cs="Arial"/>
              <w:bCs/>
              <w:color w:val="000000"/>
              <w:sz w:val="17"/>
              <w:szCs w:val="17"/>
              <w:lang w:val="en-US"/>
            </w:rPr>
            <w:t xml:space="preserve"> to support managed introduction of new medicines into the NHS,</w:t>
          </w:r>
          <w:r w:rsidRPr="00114EBA">
            <w:rPr>
              <w:color w:val="000000"/>
              <w:sz w:val="17"/>
              <w:szCs w:val="17"/>
            </w:rPr>
            <w:t xml:space="preserve"> </w:t>
          </w:r>
          <w:r w:rsidRPr="00114EBA">
            <w:rPr>
              <w:rFonts w:cs="Arial"/>
              <w:bCs/>
              <w:color w:val="000000"/>
              <w:sz w:val="17"/>
              <w:szCs w:val="17"/>
              <w:lang w:val="en-US"/>
            </w:rPr>
            <w:t xml:space="preserve">to help organisations develop medicines management policies and to inform prescribing decisions when a product has been launched. </w:t>
          </w:r>
        </w:p>
        <w:p w14:paraId="238CC4CD" w14:textId="77777777" w:rsidR="001F4283" w:rsidRPr="00114EBA" w:rsidRDefault="001F4283" w:rsidP="001F4283">
          <w:pPr>
            <w:spacing w:before="60" w:after="60"/>
            <w:ind w:right="57"/>
            <w:jc w:val="right"/>
            <w:rPr>
              <w:rFonts w:cs="Arial"/>
              <w:bCs/>
              <w:color w:val="000000"/>
              <w:sz w:val="17"/>
              <w:szCs w:val="17"/>
              <w:lang w:val="en-US"/>
            </w:rPr>
          </w:pPr>
          <w:r w:rsidRPr="00114EBA">
            <w:rPr>
              <w:rFonts w:cs="Arial"/>
              <w:bCs/>
              <w:color w:val="000000"/>
              <w:sz w:val="17"/>
              <w:szCs w:val="17"/>
              <w:lang w:val="en-US"/>
            </w:rPr>
            <w:t>For more information</w:t>
          </w:r>
          <w:r>
            <w:rPr>
              <w:rFonts w:cs="Arial"/>
              <w:bCs/>
              <w:color w:val="000000"/>
              <w:sz w:val="17"/>
              <w:szCs w:val="17"/>
              <w:lang w:val="en-US"/>
            </w:rPr>
            <w:t xml:space="preserve"> or </w:t>
          </w:r>
          <w:r w:rsidRPr="00114EBA">
            <w:rPr>
              <w:rFonts w:cs="Arial"/>
              <w:bCs/>
              <w:color w:val="000000"/>
              <w:sz w:val="17"/>
              <w:szCs w:val="17"/>
              <w:lang w:val="en-US"/>
            </w:rPr>
            <w:t>if you have a question about this newsletter, contact</w:t>
          </w:r>
          <w:r>
            <w:rPr>
              <w:rFonts w:cs="Arial"/>
              <w:bCs/>
              <w:color w:val="000000"/>
              <w:sz w:val="17"/>
              <w:szCs w:val="17"/>
              <w:lang w:val="en-US"/>
            </w:rPr>
            <w:t xml:space="preserve"> </w:t>
          </w:r>
          <w:hyperlink r:id="rId1" w:history="1">
            <w:r w:rsidRPr="00114EBA">
              <w:rPr>
                <w:rStyle w:val="Hyperlink"/>
                <w:rFonts w:ascii="Arial" w:hAnsi="Arial" w:cs="Arial"/>
                <w:bCs/>
                <w:sz w:val="17"/>
                <w:szCs w:val="17"/>
                <w:lang w:val="en-US"/>
              </w:rPr>
              <w:t>nwmedinfo@nhs.net</w:t>
            </w:r>
          </w:hyperlink>
          <w:r w:rsidRPr="00114EBA">
            <w:rPr>
              <w:rFonts w:cs="Arial"/>
              <w:bCs/>
              <w:color w:val="000000"/>
              <w:sz w:val="17"/>
              <w:szCs w:val="17"/>
              <w:lang w:val="en-US"/>
            </w:rPr>
            <w:t>.</w:t>
          </w:r>
        </w:p>
      </w:tc>
    </w:tr>
  </w:tbl>
  <w:p w14:paraId="012C5B42" w14:textId="77777777" w:rsidR="000D44DB" w:rsidRPr="00862949" w:rsidRDefault="000D44DB" w:rsidP="00F95449">
    <w:pPr>
      <w:spacing w:before="60" w:after="60"/>
      <w:ind w:left="57" w:right="57"/>
      <w:jc w:val="center"/>
      <w:rPr>
        <w:rFonts w:cs="Arial"/>
        <w:bCs/>
        <w:color w:val="333399"/>
        <w:sz w:val="8"/>
        <w:szCs w:val="8"/>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97959C" w14:textId="77777777" w:rsidR="002734B9" w:rsidRDefault="002734B9">
      <w:r>
        <w:separator/>
      </w:r>
    </w:p>
  </w:footnote>
  <w:footnote w:type="continuationSeparator" w:id="0">
    <w:p w14:paraId="54BABD7D" w14:textId="77777777" w:rsidR="002734B9" w:rsidRDefault="002734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9253F" w14:textId="33C4BBF3" w:rsidR="000D44DB" w:rsidRPr="00CD021E" w:rsidRDefault="00CD021E" w:rsidP="009A09B7">
    <w:pPr>
      <w:pStyle w:val="Header"/>
      <w:rPr>
        <w:rFonts w:ascii="Verdana" w:hAnsi="Verdana" w:cs="Arial"/>
        <w:b/>
        <w:bCs/>
        <w:i/>
        <w:color w:val="33CCCC"/>
        <w:sz w:val="52"/>
        <w:szCs w:val="52"/>
        <w14:shadow w14:blurRad="50800" w14:dist="38100" w14:dir="2700000" w14:sx="100000" w14:sy="100000" w14:kx="0" w14:ky="0" w14:algn="tl">
          <w14:srgbClr w14:val="000000">
            <w14:alpha w14:val="60000"/>
          </w14:srgbClr>
        </w14:shadow>
      </w:rPr>
    </w:pPr>
    <w:r>
      <w:rPr>
        <w:noProof/>
      </w:rPr>
      <w:drawing>
        <wp:anchor distT="0" distB="0" distL="114300" distR="114300" simplePos="0" relativeHeight="251657216" behindDoc="1" locked="0" layoutInCell="1" allowOverlap="1" wp14:anchorId="02830431" wp14:editId="77446FB1">
          <wp:simplePos x="0" y="0"/>
          <wp:positionH relativeFrom="column">
            <wp:posOffset>5715000</wp:posOffset>
          </wp:positionH>
          <wp:positionV relativeFrom="paragraph">
            <wp:posOffset>10795</wp:posOffset>
          </wp:positionV>
          <wp:extent cx="816610" cy="463550"/>
          <wp:effectExtent l="0" t="0" r="2540" b="0"/>
          <wp:wrapTight wrapText="bothSides">
            <wp:wrapPolygon edited="0">
              <wp:start x="0" y="0"/>
              <wp:lineTo x="0" y="20416"/>
              <wp:lineTo x="21163" y="20416"/>
              <wp:lineTo x="21163" y="0"/>
              <wp:lineTo x="0" y="0"/>
            </wp:wrapPolygon>
          </wp:wrapTight>
          <wp:docPr id="18" name="Picture 18" descr="UKMi logo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KMi logo ar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6610" cy="4635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168" behindDoc="1" locked="0" layoutInCell="1" allowOverlap="1" wp14:anchorId="177DBEDE" wp14:editId="4E10029F">
          <wp:simplePos x="0" y="0"/>
          <wp:positionH relativeFrom="column">
            <wp:posOffset>5193665</wp:posOffset>
          </wp:positionH>
          <wp:positionV relativeFrom="paragraph">
            <wp:posOffset>116205</wp:posOffset>
          </wp:positionV>
          <wp:extent cx="533400" cy="219075"/>
          <wp:effectExtent l="0" t="0" r="0" b="9525"/>
          <wp:wrapTight wrapText="bothSides">
            <wp:wrapPolygon edited="0">
              <wp:start x="0" y="0"/>
              <wp:lineTo x="0" y="20661"/>
              <wp:lineTo x="20829" y="20661"/>
              <wp:lineTo x="20829" y="0"/>
              <wp:lineTo x="0" y="0"/>
            </wp:wrapPolygon>
          </wp:wrapTight>
          <wp:docPr id="19" name="Picture 19" descr="NHS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HS 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33400" cy="2190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57415B89" wp14:editId="01618571">
          <wp:extent cx="1075055" cy="467995"/>
          <wp:effectExtent l="0" t="0" r="0" b="8255"/>
          <wp:docPr id="20" name="Picture 20" descr="ND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DO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75055" cy="467995"/>
                  </a:xfrm>
                  <a:prstGeom prst="rect">
                    <a:avLst/>
                  </a:prstGeom>
                  <a:noFill/>
                  <a:ln>
                    <a:noFill/>
                  </a:ln>
                </pic:spPr>
              </pic:pic>
            </a:graphicData>
          </a:graphic>
        </wp:inline>
      </w:drawing>
    </w:r>
    <w:r w:rsidR="000D44DB" w:rsidRPr="00CD021E">
      <w:rPr>
        <w:rFonts w:ascii="Verdana" w:hAnsi="Verdana" w:cs="Arial"/>
        <w:b/>
        <w:bCs/>
        <w:i/>
        <w:color w:val="33CCCC"/>
        <w:sz w:val="44"/>
        <w:szCs w:val="44"/>
        <w14:shadow w14:blurRad="50800" w14:dist="38100" w14:dir="2700000" w14:sx="100000" w14:sy="100000" w14:kx="0" w14:ky="0" w14:algn="tl">
          <w14:srgbClr w14:val="000000">
            <w14:alpha w14:val="60000"/>
          </w14:srgbClr>
        </w14:shadow>
      </w:rPr>
      <w:t>Newsletter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890CA" w14:textId="1D6B1F1D" w:rsidR="000D44DB" w:rsidRPr="00CD021E" w:rsidRDefault="00A75BCB" w:rsidP="00BA65A9">
    <w:pPr>
      <w:pStyle w:val="Header"/>
      <w:ind w:left="-142"/>
      <w:rPr>
        <w:rFonts w:cs="Arial"/>
        <w:b/>
        <w:bCs/>
        <w:color w:val="244061"/>
        <w:sz w:val="32"/>
        <w:szCs w:val="32"/>
        <w14:shadow w14:blurRad="50800" w14:dist="38100" w14:dir="2700000" w14:sx="100000" w14:sy="100000" w14:kx="0" w14:ky="0" w14:algn="tl">
          <w14:srgbClr w14:val="000000">
            <w14:alpha w14:val="60000"/>
          </w14:srgbClr>
        </w14:shadow>
      </w:rPr>
    </w:pPr>
    <w:r>
      <w:rPr>
        <w:noProof/>
        <w:color w:val="00B050"/>
        <w:sz w:val="32"/>
        <w:szCs w:val="32"/>
      </w:rPr>
      <w:drawing>
        <wp:anchor distT="0" distB="0" distL="114300" distR="114300" simplePos="0" relativeHeight="251654144" behindDoc="0" locked="0" layoutInCell="1" allowOverlap="1" wp14:anchorId="1548FE65" wp14:editId="2C5420F7">
          <wp:simplePos x="0" y="0"/>
          <wp:positionH relativeFrom="column">
            <wp:posOffset>6073775</wp:posOffset>
          </wp:positionH>
          <wp:positionV relativeFrom="paragraph">
            <wp:posOffset>-21590</wp:posOffset>
          </wp:positionV>
          <wp:extent cx="521335" cy="213995"/>
          <wp:effectExtent l="0" t="0" r="0" b="0"/>
          <wp:wrapNone/>
          <wp:docPr id="21" name="Picture 21" descr="NHS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HS 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1335" cy="2139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376C39" w14:textId="77777777" w:rsidR="000D44DB" w:rsidRPr="00CD021E" w:rsidRDefault="00CD021E" w:rsidP="00C3217F">
    <w:pPr>
      <w:pStyle w:val="Header"/>
      <w:tabs>
        <w:tab w:val="clear" w:pos="8306"/>
        <w:tab w:val="left" w:pos="7830"/>
      </w:tabs>
      <w:ind w:left="-255" w:hanging="142"/>
      <w:rPr>
        <w:rFonts w:cs="Arial"/>
        <w:b/>
        <w:bCs/>
        <w:i/>
        <w:color w:val="244061"/>
        <w:sz w:val="72"/>
        <w:szCs w:val="72"/>
        <w14:shadow w14:blurRad="50800" w14:dist="38100" w14:dir="2700000" w14:sx="100000" w14:sy="100000" w14:kx="0" w14:ky="0" w14:algn="tl">
          <w14:srgbClr w14:val="000000">
            <w14:alpha w14:val="60000"/>
          </w14:srgbClr>
        </w14:shadow>
      </w:rPr>
    </w:pPr>
    <w:r>
      <w:rPr>
        <w:rFonts w:cs="Arial"/>
        <w:b/>
        <w:bCs/>
        <w:noProof/>
        <w:color w:val="00B050"/>
        <w:sz w:val="72"/>
        <w:szCs w:val="72"/>
      </w:rPr>
      <w:drawing>
        <wp:anchor distT="0" distB="0" distL="114300" distR="114300" simplePos="0" relativeHeight="251661312" behindDoc="1" locked="0" layoutInCell="1" allowOverlap="1" wp14:anchorId="2B131ECA" wp14:editId="1790EBA3">
          <wp:simplePos x="0" y="0"/>
          <wp:positionH relativeFrom="column">
            <wp:posOffset>-360045</wp:posOffset>
          </wp:positionH>
          <wp:positionV relativeFrom="paragraph">
            <wp:posOffset>34925</wp:posOffset>
          </wp:positionV>
          <wp:extent cx="1051560" cy="448945"/>
          <wp:effectExtent l="0" t="0" r="0" b="8255"/>
          <wp:wrapNone/>
          <wp:docPr id="2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51560" cy="448945"/>
                  </a:xfrm>
                  <a:prstGeom prst="rect">
                    <a:avLst/>
                  </a:prstGeom>
                  <a:noFill/>
                </pic:spPr>
              </pic:pic>
            </a:graphicData>
          </a:graphic>
          <wp14:sizeRelH relativeFrom="page">
            <wp14:pctWidth>0</wp14:pctWidth>
          </wp14:sizeRelH>
          <wp14:sizeRelV relativeFrom="page">
            <wp14:pctHeight>0</wp14:pctHeight>
          </wp14:sizeRelV>
        </wp:anchor>
      </w:drawing>
    </w:r>
    <w:r w:rsidR="000D44DB" w:rsidRPr="00CD021E">
      <w:rPr>
        <w:rFonts w:cs="Arial"/>
        <w:b/>
        <w:bCs/>
        <w:color w:val="00B050"/>
        <w:sz w:val="72"/>
        <w:szCs w:val="72"/>
        <w14:shadow w14:blurRad="50800" w14:dist="38100" w14:dir="2700000" w14:sx="100000" w14:sy="100000" w14:kx="0" w14:ky="0" w14:algn="tl">
          <w14:srgbClr w14:val="000000">
            <w14:alpha w14:val="60000"/>
          </w14:srgbClr>
        </w14:shadow>
      </w:rPr>
      <w:tab/>
    </w:r>
    <w:r w:rsidR="000D44DB" w:rsidRPr="00CD021E">
      <w:rPr>
        <w:rFonts w:cs="Arial"/>
        <w:b/>
        <w:bCs/>
        <w:color w:val="00B050"/>
        <w:sz w:val="72"/>
        <w:szCs w:val="72"/>
        <w14:shadow w14:blurRad="50800" w14:dist="38100" w14:dir="2700000" w14:sx="100000" w14:sy="100000" w14:kx="0" w14:ky="0" w14:algn="tl">
          <w14:srgbClr w14:val="000000">
            <w14:alpha w14:val="60000"/>
          </w14:srgbClr>
        </w14:shadow>
      </w:rPr>
      <w:tab/>
      <w:t xml:space="preserve">      New Medicines</w:t>
    </w:r>
    <w:r w:rsidR="000D44DB" w:rsidRPr="00CD021E">
      <w:rPr>
        <w:rFonts w:cs="Arial"/>
        <w:b/>
        <w:bCs/>
        <w:i/>
        <w:color w:val="244061"/>
        <w:sz w:val="72"/>
        <w:szCs w:val="72"/>
        <w14:shadow w14:blurRad="50800" w14:dist="38100" w14:dir="2700000" w14:sx="100000" w14:sy="100000" w14:kx="0" w14:ky="0" w14:algn="tl">
          <w14:srgbClr w14:val="000000">
            <w14:alpha w14:val="60000"/>
          </w14:srgbClr>
        </w14:shadow>
      </w:rPr>
      <w:t xml:space="preserve"> </w:t>
    </w:r>
    <w:r w:rsidR="000D44DB" w:rsidRPr="00CD021E">
      <w:rPr>
        <w:rFonts w:cs="Arial"/>
        <w:b/>
        <w:bCs/>
        <w:i/>
        <w:color w:val="0070C0"/>
        <w:sz w:val="72"/>
        <w:szCs w:val="72"/>
        <w14:shadow w14:blurRad="50800" w14:dist="38100" w14:dir="2700000" w14:sx="100000" w14:sy="100000" w14:kx="0" w14:ky="0" w14:algn="tl">
          <w14:srgbClr w14:val="000000">
            <w14:alpha w14:val="60000"/>
          </w14:srgbClr>
        </w14:shadow>
      </w:rPr>
      <w:t>News</w:t>
    </w:r>
  </w:p>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0D44DB" w:rsidRPr="00CD021E" w14:paraId="75FE6A00" w14:textId="77777777" w:rsidTr="002772ED">
      <w:tc>
        <w:tcPr>
          <w:tcW w:w="10774" w:type="dxa"/>
          <w:tcBorders>
            <w:top w:val="nil"/>
            <w:left w:val="nil"/>
            <w:bottom w:val="nil"/>
            <w:right w:val="nil"/>
          </w:tcBorders>
          <w:shd w:val="clear" w:color="auto" w:fill="DAEEF3"/>
        </w:tcPr>
        <w:p w14:paraId="1B3FB48E" w14:textId="15E83A0C" w:rsidR="000D44DB" w:rsidRPr="00CD021E" w:rsidRDefault="002734B9" w:rsidP="00EB3E6F">
          <w:pPr>
            <w:pStyle w:val="Header"/>
            <w:spacing w:before="60" w:after="60"/>
            <w:rPr>
              <w:rFonts w:cs="Arial"/>
              <w:b/>
              <w:bCs/>
              <w:color w:val="000000"/>
              <w:sz w:val="36"/>
              <w:szCs w:val="36"/>
              <w14:shadow w14:blurRad="50800" w14:dist="38100" w14:dir="2700000" w14:sx="100000" w14:sy="100000" w14:kx="0" w14:ky="0" w14:algn="tl">
                <w14:srgbClr w14:val="000000">
                  <w14:alpha w14:val="60000"/>
                </w14:srgbClr>
              </w14:shadow>
            </w:rPr>
          </w:pPr>
          <w:r>
            <w:rPr>
              <w:rFonts w:cs="Arial"/>
              <w:b/>
              <w:bCs/>
              <w:color w:val="0070C0"/>
              <w:sz w:val="36"/>
              <w:szCs w:val="36"/>
              <w14:shadow w14:blurRad="50800" w14:dist="38100" w14:dir="2700000" w14:sx="100000" w14:sy="100000" w14:kx="0" w14:ky="0" w14:algn="tl">
                <w14:srgbClr w14:val="000000">
                  <w14:alpha w14:val="60000"/>
                </w14:srgbClr>
              </w14:shadow>
            </w:rPr>
            <w:t>February 2</w:t>
          </w:r>
          <w:r w:rsidR="00A75BCB">
            <w:rPr>
              <w:rFonts w:cs="Arial"/>
              <w:b/>
              <w:bCs/>
              <w:color w:val="0070C0"/>
              <w:sz w:val="36"/>
              <w:szCs w:val="36"/>
              <w14:shadow w14:blurRad="50800" w14:dist="38100" w14:dir="2700000" w14:sx="100000" w14:sy="100000" w14:kx="0" w14:ky="0" w14:algn="tl">
                <w14:srgbClr w14:val="000000">
                  <w14:alpha w14:val="60000"/>
                </w14:srgbClr>
              </w14:shadow>
            </w:rPr>
            <w:t>02</w:t>
          </w:r>
          <w:r w:rsidR="001D7529">
            <w:rPr>
              <w:rFonts w:cs="Arial"/>
              <w:b/>
              <w:bCs/>
              <w:color w:val="0070C0"/>
              <w:sz w:val="36"/>
              <w:szCs w:val="36"/>
              <w14:shadow w14:blurRad="50800" w14:dist="38100" w14:dir="2700000" w14:sx="100000" w14:sy="100000" w14:kx="0" w14:ky="0" w14:algn="tl">
                <w14:srgbClr w14:val="000000">
                  <w14:alpha w14:val="60000"/>
                </w14:srgbClr>
              </w14:shadow>
            </w:rPr>
            <w:t>4</w:t>
          </w:r>
        </w:p>
      </w:tc>
    </w:tr>
    <w:tr w:rsidR="000D44DB" w:rsidRPr="00CD021E" w14:paraId="67D46479" w14:textId="77777777" w:rsidTr="002772ED">
      <w:tc>
        <w:tcPr>
          <w:tcW w:w="10774" w:type="dxa"/>
          <w:tcBorders>
            <w:top w:val="nil"/>
            <w:left w:val="nil"/>
            <w:bottom w:val="nil"/>
            <w:right w:val="nil"/>
          </w:tcBorders>
          <w:shd w:val="clear" w:color="auto" w:fill="0070C0"/>
        </w:tcPr>
        <w:p w14:paraId="3C35679A" w14:textId="77777777" w:rsidR="000D44DB" w:rsidRPr="00CD021E" w:rsidRDefault="000D44DB" w:rsidP="00395D20">
          <w:pPr>
            <w:pStyle w:val="Header"/>
            <w:tabs>
              <w:tab w:val="clear" w:pos="4153"/>
              <w:tab w:val="clear" w:pos="8306"/>
              <w:tab w:val="left" w:pos="2197"/>
            </w:tabs>
            <w:rPr>
              <w:rFonts w:cs="Arial"/>
              <w:b/>
              <w:bCs/>
              <w:color w:val="0070C0"/>
              <w:sz w:val="8"/>
              <w:szCs w:val="8"/>
              <w14:shadow w14:blurRad="50800" w14:dist="38100" w14:dir="2700000" w14:sx="100000" w14:sy="100000" w14:kx="0" w14:ky="0" w14:algn="tl">
                <w14:srgbClr w14:val="000000">
                  <w14:alpha w14:val="60000"/>
                </w14:srgbClr>
              </w14:shadow>
            </w:rPr>
          </w:pPr>
          <w:r w:rsidRPr="00CD021E">
            <w:rPr>
              <w:rFonts w:cs="Arial"/>
              <w:b/>
              <w:bCs/>
              <w:color w:val="0070C0"/>
              <w:sz w:val="28"/>
              <w:szCs w:val="28"/>
              <w14:shadow w14:blurRad="50800" w14:dist="38100" w14:dir="2700000" w14:sx="100000" w14:sy="100000" w14:kx="0" w14:ky="0" w14:algn="tl">
                <w14:srgbClr w14:val="000000">
                  <w14:alpha w14:val="60000"/>
                </w14:srgbClr>
              </w14:shadow>
            </w:rPr>
            <w:tab/>
          </w:r>
        </w:p>
      </w:tc>
    </w:tr>
    <w:tr w:rsidR="000D44DB" w:rsidRPr="00CD021E" w14:paraId="7EFA2EA1" w14:textId="77777777" w:rsidTr="002772ED">
      <w:tc>
        <w:tcPr>
          <w:tcW w:w="10774" w:type="dxa"/>
          <w:tcBorders>
            <w:top w:val="nil"/>
            <w:left w:val="nil"/>
            <w:bottom w:val="nil"/>
            <w:right w:val="nil"/>
          </w:tcBorders>
          <w:shd w:val="clear" w:color="auto" w:fill="DAEEF3"/>
        </w:tcPr>
        <w:p w14:paraId="5A1F5484" w14:textId="77777777" w:rsidR="000D44DB" w:rsidRPr="00C315D6" w:rsidRDefault="00885CAE" w:rsidP="00CB6344">
          <w:pPr>
            <w:pStyle w:val="Header"/>
            <w:tabs>
              <w:tab w:val="clear" w:pos="4153"/>
              <w:tab w:val="clear" w:pos="8306"/>
              <w:tab w:val="left" w:pos="2197"/>
            </w:tabs>
            <w:spacing w:before="120" w:after="120"/>
            <w:rPr>
              <w:rFonts w:cs="Arial"/>
              <w:b/>
              <w:bCs/>
              <w:color w:val="0070C0"/>
              <w:sz w:val="18"/>
              <w:szCs w:val="18"/>
            </w:rPr>
          </w:pPr>
          <w:r w:rsidRPr="009B0BCE">
            <w:rPr>
              <w:rFonts w:cs="Arial"/>
              <w:b/>
              <w:bCs/>
              <w:color w:val="0070C0"/>
              <w:sz w:val="18"/>
              <w:szCs w:val="18"/>
            </w:rPr>
            <w:t xml:space="preserve">This newsletter is produced by </w:t>
          </w:r>
          <w:hyperlink r:id="rId3" w:history="1">
            <w:r w:rsidRPr="00551321">
              <w:rPr>
                <w:rStyle w:val="Hyperlink"/>
                <w:rFonts w:ascii="Arial" w:hAnsi="Arial" w:cs="Arial"/>
                <w:b/>
                <w:bCs/>
              </w:rPr>
              <w:t xml:space="preserve">SPS </w:t>
            </w:r>
            <w:r w:rsidR="003C4624">
              <w:rPr>
                <w:rStyle w:val="Hyperlink"/>
                <w:rFonts w:ascii="Arial" w:hAnsi="Arial" w:cs="Arial"/>
                <w:b/>
                <w:bCs/>
              </w:rPr>
              <w:t>H</w:t>
            </w:r>
            <w:r w:rsidRPr="00551321">
              <w:rPr>
                <w:rStyle w:val="Hyperlink"/>
                <w:rFonts w:ascii="Arial" w:hAnsi="Arial" w:cs="Arial"/>
                <w:b/>
                <w:bCs/>
              </w:rPr>
              <w:t xml:space="preserve">orizon </w:t>
            </w:r>
            <w:r w:rsidR="003C4624">
              <w:rPr>
                <w:rStyle w:val="Hyperlink"/>
                <w:rFonts w:ascii="Arial" w:hAnsi="Arial" w:cs="Arial"/>
                <w:b/>
                <w:bCs/>
              </w:rPr>
              <w:t>S</w:t>
            </w:r>
            <w:r w:rsidRPr="00551321">
              <w:rPr>
                <w:rStyle w:val="Hyperlink"/>
                <w:rFonts w:ascii="Arial" w:hAnsi="Arial" w:cs="Arial"/>
                <w:b/>
                <w:bCs/>
              </w:rPr>
              <w:t>canning</w:t>
            </w:r>
          </w:hyperlink>
          <w:r w:rsidRPr="009B0BCE">
            <w:rPr>
              <w:rFonts w:cs="Arial"/>
              <w:b/>
              <w:bCs/>
              <w:color w:val="0070C0"/>
              <w:sz w:val="18"/>
              <w:szCs w:val="18"/>
            </w:rPr>
            <w:t xml:space="preserve"> and highlights recent</w:t>
          </w:r>
          <w:r>
            <w:rPr>
              <w:rFonts w:cs="Arial"/>
              <w:b/>
              <w:bCs/>
              <w:color w:val="0070C0"/>
              <w:sz w:val="18"/>
              <w:szCs w:val="18"/>
            </w:rPr>
            <w:t xml:space="preserve"> new product launches and </w:t>
          </w:r>
          <w:r w:rsidRPr="009B0BCE">
            <w:rPr>
              <w:rFonts w:cs="Arial"/>
              <w:b/>
              <w:bCs/>
              <w:color w:val="0070C0"/>
              <w:sz w:val="18"/>
              <w:szCs w:val="18"/>
            </w:rPr>
            <w:t xml:space="preserve">medicines regulatory changes. More detailed information on medicines </w:t>
          </w:r>
          <w:r>
            <w:rPr>
              <w:rFonts w:cs="Arial"/>
              <w:b/>
              <w:bCs/>
              <w:color w:val="0070C0"/>
              <w:sz w:val="18"/>
              <w:szCs w:val="18"/>
            </w:rPr>
            <w:t>estimated</w:t>
          </w:r>
          <w:r w:rsidRPr="009B0BCE">
            <w:rPr>
              <w:rFonts w:cs="Arial"/>
              <w:b/>
              <w:bCs/>
              <w:color w:val="0070C0"/>
              <w:sz w:val="18"/>
              <w:szCs w:val="18"/>
            </w:rPr>
            <w:t xml:space="preserve"> to </w:t>
          </w:r>
          <w:r>
            <w:rPr>
              <w:rFonts w:cs="Arial"/>
              <w:b/>
              <w:bCs/>
              <w:color w:val="0070C0"/>
              <w:sz w:val="18"/>
              <w:szCs w:val="18"/>
            </w:rPr>
            <w:t>become available for use</w:t>
          </w:r>
          <w:r w:rsidRPr="009B0BCE">
            <w:rPr>
              <w:rFonts w:cs="Arial"/>
              <w:b/>
              <w:bCs/>
              <w:color w:val="0070C0"/>
              <w:sz w:val="18"/>
              <w:szCs w:val="18"/>
            </w:rPr>
            <w:t xml:space="preserve"> in the next 2</w:t>
          </w:r>
          <w:r>
            <w:rPr>
              <w:rFonts w:cs="Arial"/>
              <w:b/>
              <w:bCs/>
              <w:color w:val="0070C0"/>
              <w:sz w:val="18"/>
              <w:szCs w:val="18"/>
            </w:rPr>
            <w:t xml:space="preserve"> financial years</w:t>
          </w:r>
          <w:r w:rsidRPr="009B0BCE">
            <w:rPr>
              <w:rFonts w:cs="Arial"/>
              <w:b/>
              <w:bCs/>
              <w:color w:val="0070C0"/>
              <w:sz w:val="18"/>
              <w:szCs w:val="18"/>
            </w:rPr>
            <w:t xml:space="preserve"> and on marketed medicines expected to have major new indications approved</w:t>
          </w:r>
          <w:r>
            <w:rPr>
              <w:rFonts w:cs="Arial"/>
              <w:b/>
              <w:bCs/>
              <w:color w:val="0070C0"/>
              <w:sz w:val="18"/>
              <w:szCs w:val="18"/>
            </w:rPr>
            <w:t xml:space="preserve"> is</w:t>
          </w:r>
          <w:r w:rsidRPr="009B0BCE">
            <w:rPr>
              <w:rFonts w:cs="Arial"/>
              <w:b/>
              <w:bCs/>
              <w:color w:val="0070C0"/>
              <w:sz w:val="18"/>
              <w:szCs w:val="18"/>
            </w:rPr>
            <w:t xml:space="preserve"> in </w:t>
          </w:r>
          <w:hyperlink r:id="rId4" w:history="1">
            <w:r w:rsidRPr="009B0BCE">
              <w:rPr>
                <w:rStyle w:val="Hyperlink"/>
                <w:rFonts w:ascii="Arial" w:hAnsi="Arial" w:cs="Arial"/>
                <w:b/>
                <w:bCs/>
              </w:rPr>
              <w:t>Prescribing Outlook</w:t>
            </w:r>
          </w:hyperlink>
          <w:r w:rsidRPr="009B0BCE">
            <w:rPr>
              <w:rFonts w:cs="Arial"/>
              <w:b/>
              <w:bCs/>
              <w:color w:val="0070C0"/>
              <w:sz w:val="18"/>
              <w:szCs w:val="18"/>
            </w:rPr>
            <w:t>.</w:t>
          </w:r>
        </w:p>
      </w:tc>
    </w:tr>
  </w:tbl>
  <w:p w14:paraId="5EDBDF28" w14:textId="77777777" w:rsidR="000D44DB" w:rsidRPr="00CD021E" w:rsidRDefault="000D44DB" w:rsidP="00A56726">
    <w:pPr>
      <w:pStyle w:val="Header"/>
      <w:rPr>
        <w:rFonts w:cs="Arial"/>
        <w:b/>
        <w:bCs/>
        <w:color w:val="244061"/>
        <w:sz w:val="8"/>
        <w:szCs w:val="8"/>
        <w14:shadow w14:blurRad="50800" w14:dist="38100" w14:dir="2700000" w14:sx="100000" w14:sy="100000" w14:kx="0" w14:ky="0" w14:algn="tl">
          <w14:srgbClr w14:val="000000">
            <w14:alpha w14:val="60000"/>
          </w14:srgbClr>
        </w14:shadow>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35631" w14:textId="00E6DD4E" w:rsidR="0090527B" w:rsidRDefault="0090527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8663C" w14:textId="4B67A0C5" w:rsidR="0090527B" w:rsidRDefault="0090527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B17E9" w14:textId="618F8343" w:rsidR="000D44DB" w:rsidRPr="00CD021E" w:rsidRDefault="00A75BCB" w:rsidP="003866DF">
    <w:pPr>
      <w:pStyle w:val="Header"/>
      <w:tabs>
        <w:tab w:val="clear" w:pos="8306"/>
        <w:tab w:val="left" w:pos="7830"/>
      </w:tabs>
      <w:spacing w:before="120"/>
      <w:rPr>
        <w:rFonts w:cs="Arial"/>
        <w:b/>
        <w:bCs/>
        <w:i/>
        <w:color w:val="31849B"/>
        <w:sz w:val="44"/>
        <w:szCs w:val="44"/>
        <w14:shadow w14:blurRad="50800" w14:dist="38100" w14:dir="2700000" w14:sx="100000" w14:sy="100000" w14:kx="0" w14:ky="0" w14:algn="tl">
          <w14:srgbClr w14:val="000000">
            <w14:alpha w14:val="60000"/>
          </w14:srgbClr>
        </w14:shadow>
      </w:rPr>
    </w:pPr>
    <w:r>
      <w:rPr>
        <w:rFonts w:cs="Arial"/>
        <w:noProof/>
        <w:color w:val="00A249"/>
        <w:sz w:val="40"/>
        <w:szCs w:val="40"/>
      </w:rPr>
      <w:drawing>
        <wp:anchor distT="0" distB="0" distL="114300" distR="114300" simplePos="0" relativeHeight="251658240" behindDoc="0" locked="0" layoutInCell="1" allowOverlap="1" wp14:anchorId="6BC4E077" wp14:editId="7AE434C1">
          <wp:simplePos x="0" y="0"/>
          <wp:positionH relativeFrom="column">
            <wp:posOffset>6182360</wp:posOffset>
          </wp:positionH>
          <wp:positionV relativeFrom="paragraph">
            <wp:posOffset>93345</wp:posOffset>
          </wp:positionV>
          <wp:extent cx="469265" cy="192405"/>
          <wp:effectExtent l="0" t="0" r="6985" b="0"/>
          <wp:wrapNone/>
          <wp:docPr id="8" name="Picture 8" descr="NHS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HS 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9265" cy="192405"/>
                  </a:xfrm>
                  <a:prstGeom prst="rect">
                    <a:avLst/>
                  </a:prstGeom>
                  <a:noFill/>
                  <a:ln>
                    <a:noFill/>
                  </a:ln>
                </pic:spPr>
              </pic:pic>
            </a:graphicData>
          </a:graphic>
          <wp14:sizeRelH relativeFrom="page">
            <wp14:pctWidth>0</wp14:pctWidth>
          </wp14:sizeRelH>
          <wp14:sizeRelV relativeFrom="page">
            <wp14:pctHeight>0</wp14:pctHeight>
          </wp14:sizeRelV>
        </wp:anchor>
      </w:drawing>
    </w:r>
    <w:r w:rsidR="00CD021E">
      <w:rPr>
        <w:noProof/>
      </w:rPr>
      <w:drawing>
        <wp:anchor distT="0" distB="0" distL="114300" distR="114300" simplePos="0" relativeHeight="251660288" behindDoc="0" locked="0" layoutInCell="1" allowOverlap="1" wp14:anchorId="76D27AD3" wp14:editId="03BEE099">
          <wp:simplePos x="0" y="0"/>
          <wp:positionH relativeFrom="column">
            <wp:posOffset>-286385</wp:posOffset>
          </wp:positionH>
          <wp:positionV relativeFrom="paragraph">
            <wp:posOffset>8890</wp:posOffset>
          </wp:positionV>
          <wp:extent cx="940435" cy="401955"/>
          <wp:effectExtent l="0" t="0" r="0" b="0"/>
          <wp:wrapSquare wrapText="bothSides"/>
          <wp:docPr id="1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40435" cy="401955"/>
                  </a:xfrm>
                  <a:prstGeom prst="rect">
                    <a:avLst/>
                  </a:prstGeom>
                  <a:noFill/>
                </pic:spPr>
              </pic:pic>
            </a:graphicData>
          </a:graphic>
          <wp14:sizeRelH relativeFrom="page">
            <wp14:pctWidth>0</wp14:pctWidth>
          </wp14:sizeRelH>
          <wp14:sizeRelV relativeFrom="page">
            <wp14:pctHeight>0</wp14:pctHeight>
          </wp14:sizeRelV>
        </wp:anchor>
      </w:drawing>
    </w:r>
    <w:r w:rsidR="000D44DB" w:rsidRPr="00CD021E">
      <w:rPr>
        <w:rFonts w:cs="Arial"/>
        <w:b/>
        <w:bCs/>
        <w:color w:val="00A249"/>
        <w:sz w:val="44"/>
        <w:szCs w:val="44"/>
        <w14:shadow w14:blurRad="50800" w14:dist="38100" w14:dir="2700000" w14:sx="100000" w14:sy="100000" w14:kx="0" w14:ky="0" w14:algn="tl">
          <w14:srgbClr w14:val="000000">
            <w14:alpha w14:val="60000"/>
          </w14:srgbClr>
        </w14:shadow>
      </w:rPr>
      <w:t>New Medicines</w:t>
    </w:r>
    <w:r w:rsidR="000D44DB" w:rsidRPr="00CD021E">
      <w:rPr>
        <w:rFonts w:cs="Arial"/>
        <w:b/>
        <w:bCs/>
        <w:i/>
        <w:color w:val="244061"/>
        <w:sz w:val="44"/>
        <w:szCs w:val="44"/>
        <w14:shadow w14:blurRad="50800" w14:dist="38100" w14:dir="2700000" w14:sx="100000" w14:sy="100000" w14:kx="0" w14:ky="0" w14:algn="tl">
          <w14:srgbClr w14:val="000000">
            <w14:alpha w14:val="60000"/>
          </w14:srgbClr>
        </w14:shadow>
      </w:rPr>
      <w:t xml:space="preserve"> </w:t>
    </w:r>
    <w:r w:rsidR="000D44DB" w:rsidRPr="00CD021E">
      <w:rPr>
        <w:rFonts w:cs="Arial"/>
        <w:b/>
        <w:bCs/>
        <w:i/>
        <w:color w:val="0070C0"/>
        <w:sz w:val="44"/>
        <w:szCs w:val="44"/>
        <w14:shadow w14:blurRad="50800" w14:dist="38100" w14:dir="2700000" w14:sx="100000" w14:sy="100000" w14:kx="0" w14:ky="0" w14:algn="tl">
          <w14:srgbClr w14:val="000000">
            <w14:alpha w14:val="60000"/>
          </w14:srgbClr>
        </w14:shadow>
      </w:rPr>
      <w:t>News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3AB4F" w14:textId="3195659A" w:rsidR="0090527B" w:rsidRDefault="009052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E6EF9"/>
    <w:multiLevelType w:val="multilevel"/>
    <w:tmpl w:val="29F4C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B055FA1"/>
    <w:multiLevelType w:val="hybridMultilevel"/>
    <w:tmpl w:val="BCF48EAE"/>
    <w:lvl w:ilvl="0" w:tplc="1AB04B0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37104711">
    <w:abstractNumId w:val="1"/>
  </w:num>
  <w:num w:numId="2" w16cid:durableId="4269289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style="mso-width-relative:margin;mso-height-relative:margin"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4B9"/>
    <w:rsid w:val="0000035C"/>
    <w:rsid w:val="000005B6"/>
    <w:rsid w:val="000005EF"/>
    <w:rsid w:val="00000A0A"/>
    <w:rsid w:val="00000BE4"/>
    <w:rsid w:val="00000F87"/>
    <w:rsid w:val="0000199C"/>
    <w:rsid w:val="00001F19"/>
    <w:rsid w:val="0000290B"/>
    <w:rsid w:val="00002A08"/>
    <w:rsid w:val="00003329"/>
    <w:rsid w:val="00003421"/>
    <w:rsid w:val="000034B3"/>
    <w:rsid w:val="00003C95"/>
    <w:rsid w:val="00003D95"/>
    <w:rsid w:val="000042E9"/>
    <w:rsid w:val="00005014"/>
    <w:rsid w:val="00005119"/>
    <w:rsid w:val="00005271"/>
    <w:rsid w:val="000052F0"/>
    <w:rsid w:val="00005673"/>
    <w:rsid w:val="00005703"/>
    <w:rsid w:val="000057D2"/>
    <w:rsid w:val="00005CE9"/>
    <w:rsid w:val="00006527"/>
    <w:rsid w:val="000065F4"/>
    <w:rsid w:val="00006656"/>
    <w:rsid w:val="000072EC"/>
    <w:rsid w:val="0000751E"/>
    <w:rsid w:val="000075ED"/>
    <w:rsid w:val="0000769C"/>
    <w:rsid w:val="000102A1"/>
    <w:rsid w:val="000102E8"/>
    <w:rsid w:val="00010447"/>
    <w:rsid w:val="0001067C"/>
    <w:rsid w:val="00010B1D"/>
    <w:rsid w:val="00011176"/>
    <w:rsid w:val="000111C5"/>
    <w:rsid w:val="000114B1"/>
    <w:rsid w:val="00011D4B"/>
    <w:rsid w:val="00011E5B"/>
    <w:rsid w:val="00012945"/>
    <w:rsid w:val="00012B74"/>
    <w:rsid w:val="00012BA7"/>
    <w:rsid w:val="00012DCA"/>
    <w:rsid w:val="00012E19"/>
    <w:rsid w:val="00012E28"/>
    <w:rsid w:val="000132A0"/>
    <w:rsid w:val="00013575"/>
    <w:rsid w:val="000135BF"/>
    <w:rsid w:val="00013853"/>
    <w:rsid w:val="00013B16"/>
    <w:rsid w:val="00013CD9"/>
    <w:rsid w:val="00013E21"/>
    <w:rsid w:val="00014028"/>
    <w:rsid w:val="00014115"/>
    <w:rsid w:val="00014240"/>
    <w:rsid w:val="0001441B"/>
    <w:rsid w:val="00014631"/>
    <w:rsid w:val="00014657"/>
    <w:rsid w:val="000148ED"/>
    <w:rsid w:val="00014AFE"/>
    <w:rsid w:val="00015455"/>
    <w:rsid w:val="000158C2"/>
    <w:rsid w:val="00015915"/>
    <w:rsid w:val="000159C6"/>
    <w:rsid w:val="00015A48"/>
    <w:rsid w:val="00015B43"/>
    <w:rsid w:val="000165BE"/>
    <w:rsid w:val="000166D7"/>
    <w:rsid w:val="0001694F"/>
    <w:rsid w:val="00016C87"/>
    <w:rsid w:val="00016CDC"/>
    <w:rsid w:val="00016E17"/>
    <w:rsid w:val="000171BC"/>
    <w:rsid w:val="000173BA"/>
    <w:rsid w:val="0001791D"/>
    <w:rsid w:val="00017CA2"/>
    <w:rsid w:val="00017D66"/>
    <w:rsid w:val="00020261"/>
    <w:rsid w:val="000202B3"/>
    <w:rsid w:val="000202FE"/>
    <w:rsid w:val="000203F6"/>
    <w:rsid w:val="000207FB"/>
    <w:rsid w:val="00020D00"/>
    <w:rsid w:val="0002143C"/>
    <w:rsid w:val="0002181A"/>
    <w:rsid w:val="000225BB"/>
    <w:rsid w:val="000225EE"/>
    <w:rsid w:val="0002265E"/>
    <w:rsid w:val="0002269F"/>
    <w:rsid w:val="00022775"/>
    <w:rsid w:val="0002291B"/>
    <w:rsid w:val="000229C8"/>
    <w:rsid w:val="00022CCE"/>
    <w:rsid w:val="00022FB9"/>
    <w:rsid w:val="0002372C"/>
    <w:rsid w:val="00023B87"/>
    <w:rsid w:val="00023E2E"/>
    <w:rsid w:val="00023FBB"/>
    <w:rsid w:val="00025142"/>
    <w:rsid w:val="00025A1E"/>
    <w:rsid w:val="00025AD9"/>
    <w:rsid w:val="00025B8F"/>
    <w:rsid w:val="00026E35"/>
    <w:rsid w:val="00026FAE"/>
    <w:rsid w:val="0002715B"/>
    <w:rsid w:val="00027AC3"/>
    <w:rsid w:val="00027B21"/>
    <w:rsid w:val="00027C1C"/>
    <w:rsid w:val="00027D1D"/>
    <w:rsid w:val="00027E7C"/>
    <w:rsid w:val="00030002"/>
    <w:rsid w:val="0003000F"/>
    <w:rsid w:val="000305BA"/>
    <w:rsid w:val="00030663"/>
    <w:rsid w:val="0003082E"/>
    <w:rsid w:val="0003092A"/>
    <w:rsid w:val="00030ADE"/>
    <w:rsid w:val="00030B98"/>
    <w:rsid w:val="00030E87"/>
    <w:rsid w:val="00031218"/>
    <w:rsid w:val="00031336"/>
    <w:rsid w:val="00031909"/>
    <w:rsid w:val="00031E46"/>
    <w:rsid w:val="000320DC"/>
    <w:rsid w:val="000322AB"/>
    <w:rsid w:val="000327BA"/>
    <w:rsid w:val="00032BD9"/>
    <w:rsid w:val="0003313C"/>
    <w:rsid w:val="00033349"/>
    <w:rsid w:val="0003344C"/>
    <w:rsid w:val="000341CF"/>
    <w:rsid w:val="0003447E"/>
    <w:rsid w:val="0003499B"/>
    <w:rsid w:val="00034BCE"/>
    <w:rsid w:val="00034E8C"/>
    <w:rsid w:val="00035436"/>
    <w:rsid w:val="0003552B"/>
    <w:rsid w:val="00035B23"/>
    <w:rsid w:val="00035CA7"/>
    <w:rsid w:val="00035D82"/>
    <w:rsid w:val="00035DBD"/>
    <w:rsid w:val="00036A16"/>
    <w:rsid w:val="000373F3"/>
    <w:rsid w:val="0003742D"/>
    <w:rsid w:val="000374FF"/>
    <w:rsid w:val="000375C8"/>
    <w:rsid w:val="000378F6"/>
    <w:rsid w:val="000379EB"/>
    <w:rsid w:val="00037AE9"/>
    <w:rsid w:val="00037BAB"/>
    <w:rsid w:val="00037BE4"/>
    <w:rsid w:val="00040013"/>
    <w:rsid w:val="0004019A"/>
    <w:rsid w:val="000401A1"/>
    <w:rsid w:val="00040734"/>
    <w:rsid w:val="00040B83"/>
    <w:rsid w:val="00040CA3"/>
    <w:rsid w:val="000416FC"/>
    <w:rsid w:val="00041AC8"/>
    <w:rsid w:val="00041BDC"/>
    <w:rsid w:val="0004243E"/>
    <w:rsid w:val="000427D5"/>
    <w:rsid w:val="00042CCD"/>
    <w:rsid w:val="00043342"/>
    <w:rsid w:val="000435DE"/>
    <w:rsid w:val="00043A2D"/>
    <w:rsid w:val="00043ED2"/>
    <w:rsid w:val="00044148"/>
    <w:rsid w:val="00044204"/>
    <w:rsid w:val="00044475"/>
    <w:rsid w:val="00044C33"/>
    <w:rsid w:val="000452E2"/>
    <w:rsid w:val="00045745"/>
    <w:rsid w:val="0004575D"/>
    <w:rsid w:val="000457B4"/>
    <w:rsid w:val="00045D5B"/>
    <w:rsid w:val="00045DDF"/>
    <w:rsid w:val="0004601F"/>
    <w:rsid w:val="00046375"/>
    <w:rsid w:val="00046777"/>
    <w:rsid w:val="00046C42"/>
    <w:rsid w:val="00046CCE"/>
    <w:rsid w:val="0004702B"/>
    <w:rsid w:val="0004733A"/>
    <w:rsid w:val="00047608"/>
    <w:rsid w:val="00050249"/>
    <w:rsid w:val="000507C3"/>
    <w:rsid w:val="00050920"/>
    <w:rsid w:val="0005105D"/>
    <w:rsid w:val="000515F0"/>
    <w:rsid w:val="00051791"/>
    <w:rsid w:val="000518A6"/>
    <w:rsid w:val="000519EA"/>
    <w:rsid w:val="00051B61"/>
    <w:rsid w:val="00051F32"/>
    <w:rsid w:val="000523FE"/>
    <w:rsid w:val="00052436"/>
    <w:rsid w:val="000529B6"/>
    <w:rsid w:val="00052AD4"/>
    <w:rsid w:val="00052BA6"/>
    <w:rsid w:val="00053F21"/>
    <w:rsid w:val="00054462"/>
    <w:rsid w:val="0005460C"/>
    <w:rsid w:val="0005518C"/>
    <w:rsid w:val="00056696"/>
    <w:rsid w:val="000566A1"/>
    <w:rsid w:val="00056809"/>
    <w:rsid w:val="00056DB0"/>
    <w:rsid w:val="000570FC"/>
    <w:rsid w:val="000577CB"/>
    <w:rsid w:val="0005783A"/>
    <w:rsid w:val="00057C03"/>
    <w:rsid w:val="00057FA2"/>
    <w:rsid w:val="0006026C"/>
    <w:rsid w:val="0006036B"/>
    <w:rsid w:val="00060AC6"/>
    <w:rsid w:val="00060BB0"/>
    <w:rsid w:val="0006109A"/>
    <w:rsid w:val="0006141D"/>
    <w:rsid w:val="00061A5F"/>
    <w:rsid w:val="00061B9D"/>
    <w:rsid w:val="00061FEF"/>
    <w:rsid w:val="00062740"/>
    <w:rsid w:val="00062834"/>
    <w:rsid w:val="00062B47"/>
    <w:rsid w:val="00062F98"/>
    <w:rsid w:val="0006320B"/>
    <w:rsid w:val="00063C19"/>
    <w:rsid w:val="000646B3"/>
    <w:rsid w:val="00064C77"/>
    <w:rsid w:val="00064E8C"/>
    <w:rsid w:val="00064EB7"/>
    <w:rsid w:val="00064EF7"/>
    <w:rsid w:val="0006514E"/>
    <w:rsid w:val="000652C1"/>
    <w:rsid w:val="00065458"/>
    <w:rsid w:val="00066145"/>
    <w:rsid w:val="0006622F"/>
    <w:rsid w:val="00066787"/>
    <w:rsid w:val="00066A42"/>
    <w:rsid w:val="00066B48"/>
    <w:rsid w:val="00067279"/>
    <w:rsid w:val="000672F8"/>
    <w:rsid w:val="0006730B"/>
    <w:rsid w:val="00067942"/>
    <w:rsid w:val="00067D4E"/>
    <w:rsid w:val="00067D5B"/>
    <w:rsid w:val="000702DB"/>
    <w:rsid w:val="00070948"/>
    <w:rsid w:val="00070A7A"/>
    <w:rsid w:val="00071178"/>
    <w:rsid w:val="0007155B"/>
    <w:rsid w:val="000719B7"/>
    <w:rsid w:val="00071A86"/>
    <w:rsid w:val="00071BD9"/>
    <w:rsid w:val="00071DB1"/>
    <w:rsid w:val="0007203F"/>
    <w:rsid w:val="0007204B"/>
    <w:rsid w:val="00072F47"/>
    <w:rsid w:val="00073808"/>
    <w:rsid w:val="00074396"/>
    <w:rsid w:val="0007446E"/>
    <w:rsid w:val="00074745"/>
    <w:rsid w:val="00074951"/>
    <w:rsid w:val="00074F67"/>
    <w:rsid w:val="000752E8"/>
    <w:rsid w:val="000755B8"/>
    <w:rsid w:val="00075D05"/>
    <w:rsid w:val="00075D4B"/>
    <w:rsid w:val="0007679E"/>
    <w:rsid w:val="00077371"/>
    <w:rsid w:val="00077C0C"/>
    <w:rsid w:val="00080116"/>
    <w:rsid w:val="000808F9"/>
    <w:rsid w:val="00080A6B"/>
    <w:rsid w:val="00080EE8"/>
    <w:rsid w:val="0008125C"/>
    <w:rsid w:val="00081277"/>
    <w:rsid w:val="000813E4"/>
    <w:rsid w:val="00081417"/>
    <w:rsid w:val="0008159C"/>
    <w:rsid w:val="0008195B"/>
    <w:rsid w:val="00081CFF"/>
    <w:rsid w:val="0008258A"/>
    <w:rsid w:val="00082DF6"/>
    <w:rsid w:val="00082E64"/>
    <w:rsid w:val="0008303B"/>
    <w:rsid w:val="00083231"/>
    <w:rsid w:val="000834AE"/>
    <w:rsid w:val="00083FAC"/>
    <w:rsid w:val="0008405B"/>
    <w:rsid w:val="00084760"/>
    <w:rsid w:val="000848E2"/>
    <w:rsid w:val="00085268"/>
    <w:rsid w:val="00085475"/>
    <w:rsid w:val="0008576B"/>
    <w:rsid w:val="000858D1"/>
    <w:rsid w:val="000859AA"/>
    <w:rsid w:val="00085A04"/>
    <w:rsid w:val="00085C5D"/>
    <w:rsid w:val="00085CCC"/>
    <w:rsid w:val="00085DA5"/>
    <w:rsid w:val="000863E2"/>
    <w:rsid w:val="000864A2"/>
    <w:rsid w:val="0008668D"/>
    <w:rsid w:val="00086F97"/>
    <w:rsid w:val="00087308"/>
    <w:rsid w:val="00087474"/>
    <w:rsid w:val="0008785C"/>
    <w:rsid w:val="00087A3E"/>
    <w:rsid w:val="00090233"/>
    <w:rsid w:val="000906FB"/>
    <w:rsid w:val="000907E5"/>
    <w:rsid w:val="00091245"/>
    <w:rsid w:val="00091EAA"/>
    <w:rsid w:val="00092238"/>
    <w:rsid w:val="0009266A"/>
    <w:rsid w:val="00092AEC"/>
    <w:rsid w:val="000933A6"/>
    <w:rsid w:val="00093CB7"/>
    <w:rsid w:val="0009414D"/>
    <w:rsid w:val="000941A9"/>
    <w:rsid w:val="00094388"/>
    <w:rsid w:val="00094B31"/>
    <w:rsid w:val="00094FC6"/>
    <w:rsid w:val="0009514E"/>
    <w:rsid w:val="0009515F"/>
    <w:rsid w:val="000951E1"/>
    <w:rsid w:val="000954DD"/>
    <w:rsid w:val="000955AC"/>
    <w:rsid w:val="000957EA"/>
    <w:rsid w:val="00095818"/>
    <w:rsid w:val="00095974"/>
    <w:rsid w:val="00095B4D"/>
    <w:rsid w:val="00095EE7"/>
    <w:rsid w:val="000966BB"/>
    <w:rsid w:val="00096800"/>
    <w:rsid w:val="00096BBF"/>
    <w:rsid w:val="00096C4B"/>
    <w:rsid w:val="0009792A"/>
    <w:rsid w:val="00097B79"/>
    <w:rsid w:val="00097E17"/>
    <w:rsid w:val="000A0040"/>
    <w:rsid w:val="000A02AD"/>
    <w:rsid w:val="000A0B38"/>
    <w:rsid w:val="000A1199"/>
    <w:rsid w:val="000A22E9"/>
    <w:rsid w:val="000A241E"/>
    <w:rsid w:val="000A2810"/>
    <w:rsid w:val="000A289B"/>
    <w:rsid w:val="000A2C52"/>
    <w:rsid w:val="000A2E37"/>
    <w:rsid w:val="000A36D0"/>
    <w:rsid w:val="000A3B1E"/>
    <w:rsid w:val="000A41D4"/>
    <w:rsid w:val="000A421F"/>
    <w:rsid w:val="000A4BCB"/>
    <w:rsid w:val="000A4BE4"/>
    <w:rsid w:val="000A5077"/>
    <w:rsid w:val="000A50F2"/>
    <w:rsid w:val="000A534D"/>
    <w:rsid w:val="000A5ABE"/>
    <w:rsid w:val="000A5B0D"/>
    <w:rsid w:val="000A60E1"/>
    <w:rsid w:val="000A60F4"/>
    <w:rsid w:val="000A61FB"/>
    <w:rsid w:val="000A7A40"/>
    <w:rsid w:val="000A7AD6"/>
    <w:rsid w:val="000A7C5A"/>
    <w:rsid w:val="000B001D"/>
    <w:rsid w:val="000B015F"/>
    <w:rsid w:val="000B0274"/>
    <w:rsid w:val="000B038E"/>
    <w:rsid w:val="000B08CB"/>
    <w:rsid w:val="000B08D1"/>
    <w:rsid w:val="000B0A95"/>
    <w:rsid w:val="000B0ADF"/>
    <w:rsid w:val="000B0C23"/>
    <w:rsid w:val="000B18C2"/>
    <w:rsid w:val="000B1AAB"/>
    <w:rsid w:val="000B1C18"/>
    <w:rsid w:val="000B1C59"/>
    <w:rsid w:val="000B2C16"/>
    <w:rsid w:val="000B2FC7"/>
    <w:rsid w:val="000B310F"/>
    <w:rsid w:val="000B38C0"/>
    <w:rsid w:val="000B3DAA"/>
    <w:rsid w:val="000B3EEB"/>
    <w:rsid w:val="000B466E"/>
    <w:rsid w:val="000B4681"/>
    <w:rsid w:val="000B4763"/>
    <w:rsid w:val="000B4E20"/>
    <w:rsid w:val="000B4EDC"/>
    <w:rsid w:val="000B5120"/>
    <w:rsid w:val="000B515F"/>
    <w:rsid w:val="000B5605"/>
    <w:rsid w:val="000B57AA"/>
    <w:rsid w:val="000B5AF8"/>
    <w:rsid w:val="000B5C4D"/>
    <w:rsid w:val="000B5F2C"/>
    <w:rsid w:val="000B6184"/>
    <w:rsid w:val="000B6843"/>
    <w:rsid w:val="000B6EB2"/>
    <w:rsid w:val="000B706F"/>
    <w:rsid w:val="000B77F8"/>
    <w:rsid w:val="000B78CC"/>
    <w:rsid w:val="000B7AE2"/>
    <w:rsid w:val="000C0203"/>
    <w:rsid w:val="000C041C"/>
    <w:rsid w:val="000C091B"/>
    <w:rsid w:val="000C0F48"/>
    <w:rsid w:val="000C0F5C"/>
    <w:rsid w:val="000C1356"/>
    <w:rsid w:val="000C18D0"/>
    <w:rsid w:val="000C1FB5"/>
    <w:rsid w:val="000C20E9"/>
    <w:rsid w:val="000C2555"/>
    <w:rsid w:val="000C25C3"/>
    <w:rsid w:val="000C2DF1"/>
    <w:rsid w:val="000C3692"/>
    <w:rsid w:val="000C37AC"/>
    <w:rsid w:val="000C3B1F"/>
    <w:rsid w:val="000C43D9"/>
    <w:rsid w:val="000C44B7"/>
    <w:rsid w:val="000C458C"/>
    <w:rsid w:val="000C4D1E"/>
    <w:rsid w:val="000C5329"/>
    <w:rsid w:val="000C5D43"/>
    <w:rsid w:val="000C5F42"/>
    <w:rsid w:val="000C60E6"/>
    <w:rsid w:val="000C6548"/>
    <w:rsid w:val="000C6591"/>
    <w:rsid w:val="000C6D2E"/>
    <w:rsid w:val="000C709F"/>
    <w:rsid w:val="000C72CA"/>
    <w:rsid w:val="000C7872"/>
    <w:rsid w:val="000C7AFF"/>
    <w:rsid w:val="000C7BA9"/>
    <w:rsid w:val="000C7C7C"/>
    <w:rsid w:val="000C7CAA"/>
    <w:rsid w:val="000D0476"/>
    <w:rsid w:val="000D04C1"/>
    <w:rsid w:val="000D0624"/>
    <w:rsid w:val="000D0DF7"/>
    <w:rsid w:val="000D0E50"/>
    <w:rsid w:val="000D1171"/>
    <w:rsid w:val="000D13A6"/>
    <w:rsid w:val="000D2113"/>
    <w:rsid w:val="000D2266"/>
    <w:rsid w:val="000D2736"/>
    <w:rsid w:val="000D2A46"/>
    <w:rsid w:val="000D2C27"/>
    <w:rsid w:val="000D30E7"/>
    <w:rsid w:val="000D35F7"/>
    <w:rsid w:val="000D3646"/>
    <w:rsid w:val="000D3760"/>
    <w:rsid w:val="000D3BCC"/>
    <w:rsid w:val="000D43AC"/>
    <w:rsid w:val="000D44DB"/>
    <w:rsid w:val="000D4645"/>
    <w:rsid w:val="000D467B"/>
    <w:rsid w:val="000D58C9"/>
    <w:rsid w:val="000D5DA8"/>
    <w:rsid w:val="000D5F42"/>
    <w:rsid w:val="000D62F3"/>
    <w:rsid w:val="000D6630"/>
    <w:rsid w:val="000D682D"/>
    <w:rsid w:val="000D7E24"/>
    <w:rsid w:val="000D7EAD"/>
    <w:rsid w:val="000E06CA"/>
    <w:rsid w:val="000E07FC"/>
    <w:rsid w:val="000E0B79"/>
    <w:rsid w:val="000E0C92"/>
    <w:rsid w:val="000E0D69"/>
    <w:rsid w:val="000E0ECF"/>
    <w:rsid w:val="000E0F57"/>
    <w:rsid w:val="000E12A8"/>
    <w:rsid w:val="000E184E"/>
    <w:rsid w:val="000E1A44"/>
    <w:rsid w:val="000E1A48"/>
    <w:rsid w:val="000E1DE0"/>
    <w:rsid w:val="000E21D3"/>
    <w:rsid w:val="000E247B"/>
    <w:rsid w:val="000E247C"/>
    <w:rsid w:val="000E27E9"/>
    <w:rsid w:val="000E2A6C"/>
    <w:rsid w:val="000E2DC9"/>
    <w:rsid w:val="000E2E4B"/>
    <w:rsid w:val="000E2FF1"/>
    <w:rsid w:val="000E3DFD"/>
    <w:rsid w:val="000E3F10"/>
    <w:rsid w:val="000E4477"/>
    <w:rsid w:val="000E45E9"/>
    <w:rsid w:val="000E4A24"/>
    <w:rsid w:val="000E5217"/>
    <w:rsid w:val="000E5C17"/>
    <w:rsid w:val="000E6471"/>
    <w:rsid w:val="000E69A5"/>
    <w:rsid w:val="000E721B"/>
    <w:rsid w:val="000E74D2"/>
    <w:rsid w:val="000E789D"/>
    <w:rsid w:val="000F0055"/>
    <w:rsid w:val="000F0481"/>
    <w:rsid w:val="000F04BF"/>
    <w:rsid w:val="000F0699"/>
    <w:rsid w:val="000F078E"/>
    <w:rsid w:val="000F0BA2"/>
    <w:rsid w:val="000F0E83"/>
    <w:rsid w:val="000F0F98"/>
    <w:rsid w:val="000F1485"/>
    <w:rsid w:val="000F19E1"/>
    <w:rsid w:val="000F1B61"/>
    <w:rsid w:val="000F2032"/>
    <w:rsid w:val="000F22ED"/>
    <w:rsid w:val="000F2362"/>
    <w:rsid w:val="000F35A9"/>
    <w:rsid w:val="000F377A"/>
    <w:rsid w:val="000F3964"/>
    <w:rsid w:val="000F3BFE"/>
    <w:rsid w:val="000F3C1E"/>
    <w:rsid w:val="000F3DE4"/>
    <w:rsid w:val="000F3EC1"/>
    <w:rsid w:val="000F40FF"/>
    <w:rsid w:val="000F4C32"/>
    <w:rsid w:val="000F4C9B"/>
    <w:rsid w:val="000F52A7"/>
    <w:rsid w:val="000F58A1"/>
    <w:rsid w:val="000F5AA4"/>
    <w:rsid w:val="000F5AC6"/>
    <w:rsid w:val="000F5C5A"/>
    <w:rsid w:val="000F5D25"/>
    <w:rsid w:val="000F613C"/>
    <w:rsid w:val="000F6985"/>
    <w:rsid w:val="000F715A"/>
    <w:rsid w:val="000F72CB"/>
    <w:rsid w:val="000F7AE5"/>
    <w:rsid w:val="000F7B5F"/>
    <w:rsid w:val="001007E8"/>
    <w:rsid w:val="0010093F"/>
    <w:rsid w:val="00100AA8"/>
    <w:rsid w:val="00100B3E"/>
    <w:rsid w:val="0010109D"/>
    <w:rsid w:val="00101327"/>
    <w:rsid w:val="001017B0"/>
    <w:rsid w:val="0010229B"/>
    <w:rsid w:val="00102869"/>
    <w:rsid w:val="00102BB5"/>
    <w:rsid w:val="001036A5"/>
    <w:rsid w:val="001044CC"/>
    <w:rsid w:val="00104591"/>
    <w:rsid w:val="00104765"/>
    <w:rsid w:val="00104B62"/>
    <w:rsid w:val="00104CAF"/>
    <w:rsid w:val="00104F3E"/>
    <w:rsid w:val="00105230"/>
    <w:rsid w:val="001054D4"/>
    <w:rsid w:val="00105520"/>
    <w:rsid w:val="0010589B"/>
    <w:rsid w:val="00105BB1"/>
    <w:rsid w:val="00105C0B"/>
    <w:rsid w:val="00105CAF"/>
    <w:rsid w:val="0010629A"/>
    <w:rsid w:val="00106609"/>
    <w:rsid w:val="00106691"/>
    <w:rsid w:val="00107637"/>
    <w:rsid w:val="001079F5"/>
    <w:rsid w:val="00107BCE"/>
    <w:rsid w:val="00107E98"/>
    <w:rsid w:val="00110139"/>
    <w:rsid w:val="00110B0E"/>
    <w:rsid w:val="00110D86"/>
    <w:rsid w:val="00110E83"/>
    <w:rsid w:val="00110F6A"/>
    <w:rsid w:val="00111092"/>
    <w:rsid w:val="00111226"/>
    <w:rsid w:val="00111231"/>
    <w:rsid w:val="00111769"/>
    <w:rsid w:val="00111903"/>
    <w:rsid w:val="001119E0"/>
    <w:rsid w:val="001122A8"/>
    <w:rsid w:val="00112340"/>
    <w:rsid w:val="00112FE4"/>
    <w:rsid w:val="0011301C"/>
    <w:rsid w:val="0011309C"/>
    <w:rsid w:val="00113644"/>
    <w:rsid w:val="00113D17"/>
    <w:rsid w:val="00113E55"/>
    <w:rsid w:val="00113F26"/>
    <w:rsid w:val="0011452F"/>
    <w:rsid w:val="001146D7"/>
    <w:rsid w:val="00114791"/>
    <w:rsid w:val="001149FA"/>
    <w:rsid w:val="00114A1E"/>
    <w:rsid w:val="00114AB9"/>
    <w:rsid w:val="00114DA9"/>
    <w:rsid w:val="00114EBA"/>
    <w:rsid w:val="00114F6B"/>
    <w:rsid w:val="0011546D"/>
    <w:rsid w:val="001155CF"/>
    <w:rsid w:val="00115872"/>
    <w:rsid w:val="00116043"/>
    <w:rsid w:val="001160C4"/>
    <w:rsid w:val="00116463"/>
    <w:rsid w:val="00116637"/>
    <w:rsid w:val="001166C5"/>
    <w:rsid w:val="001168CC"/>
    <w:rsid w:val="001169DD"/>
    <w:rsid w:val="0011771E"/>
    <w:rsid w:val="001200DD"/>
    <w:rsid w:val="0012045D"/>
    <w:rsid w:val="001209AC"/>
    <w:rsid w:val="00120B32"/>
    <w:rsid w:val="0012143F"/>
    <w:rsid w:val="00122124"/>
    <w:rsid w:val="001221E3"/>
    <w:rsid w:val="0012226D"/>
    <w:rsid w:val="0012281C"/>
    <w:rsid w:val="00122966"/>
    <w:rsid w:val="00122EC3"/>
    <w:rsid w:val="00123512"/>
    <w:rsid w:val="00123811"/>
    <w:rsid w:val="00123C6D"/>
    <w:rsid w:val="00123FBB"/>
    <w:rsid w:val="001241B1"/>
    <w:rsid w:val="00124603"/>
    <w:rsid w:val="0012477A"/>
    <w:rsid w:val="00124CBF"/>
    <w:rsid w:val="00124FE3"/>
    <w:rsid w:val="001251DA"/>
    <w:rsid w:val="0012683D"/>
    <w:rsid w:val="00126CCD"/>
    <w:rsid w:val="00126E8C"/>
    <w:rsid w:val="00127081"/>
    <w:rsid w:val="001271F3"/>
    <w:rsid w:val="0012736E"/>
    <w:rsid w:val="00127A3E"/>
    <w:rsid w:val="00130301"/>
    <w:rsid w:val="001304D0"/>
    <w:rsid w:val="00130543"/>
    <w:rsid w:val="00130B6B"/>
    <w:rsid w:val="00130D1C"/>
    <w:rsid w:val="001314D3"/>
    <w:rsid w:val="001314E0"/>
    <w:rsid w:val="0013190B"/>
    <w:rsid w:val="00131942"/>
    <w:rsid w:val="00131B41"/>
    <w:rsid w:val="00131B76"/>
    <w:rsid w:val="00131CFA"/>
    <w:rsid w:val="00131D4C"/>
    <w:rsid w:val="001325E6"/>
    <w:rsid w:val="0013261A"/>
    <w:rsid w:val="00132D15"/>
    <w:rsid w:val="001338F8"/>
    <w:rsid w:val="00134027"/>
    <w:rsid w:val="0013460E"/>
    <w:rsid w:val="00134DB3"/>
    <w:rsid w:val="00134DB5"/>
    <w:rsid w:val="00135434"/>
    <w:rsid w:val="00135B8B"/>
    <w:rsid w:val="00135D8F"/>
    <w:rsid w:val="001360AE"/>
    <w:rsid w:val="00136298"/>
    <w:rsid w:val="00136887"/>
    <w:rsid w:val="00136EE3"/>
    <w:rsid w:val="00136FC4"/>
    <w:rsid w:val="001370F3"/>
    <w:rsid w:val="001373C5"/>
    <w:rsid w:val="001375C8"/>
    <w:rsid w:val="00137605"/>
    <w:rsid w:val="00137C23"/>
    <w:rsid w:val="00137D50"/>
    <w:rsid w:val="00137EA2"/>
    <w:rsid w:val="00140395"/>
    <w:rsid w:val="00140724"/>
    <w:rsid w:val="0014076F"/>
    <w:rsid w:val="00140EF1"/>
    <w:rsid w:val="0014109C"/>
    <w:rsid w:val="001410D6"/>
    <w:rsid w:val="00141635"/>
    <w:rsid w:val="00141796"/>
    <w:rsid w:val="001429B9"/>
    <w:rsid w:val="00142EAA"/>
    <w:rsid w:val="00144258"/>
    <w:rsid w:val="00144425"/>
    <w:rsid w:val="0014519F"/>
    <w:rsid w:val="00145426"/>
    <w:rsid w:val="001455B3"/>
    <w:rsid w:val="00145984"/>
    <w:rsid w:val="001459AF"/>
    <w:rsid w:val="00145A91"/>
    <w:rsid w:val="00145B63"/>
    <w:rsid w:val="00145CFD"/>
    <w:rsid w:val="00145DFA"/>
    <w:rsid w:val="00146059"/>
    <w:rsid w:val="001460E1"/>
    <w:rsid w:val="00146C32"/>
    <w:rsid w:val="00147177"/>
    <w:rsid w:val="001473E8"/>
    <w:rsid w:val="001474FC"/>
    <w:rsid w:val="00147874"/>
    <w:rsid w:val="00147DEE"/>
    <w:rsid w:val="00147E5F"/>
    <w:rsid w:val="00150038"/>
    <w:rsid w:val="00150095"/>
    <w:rsid w:val="00150374"/>
    <w:rsid w:val="00150648"/>
    <w:rsid w:val="001507BD"/>
    <w:rsid w:val="00150873"/>
    <w:rsid w:val="001508D4"/>
    <w:rsid w:val="001509A6"/>
    <w:rsid w:val="00150AB6"/>
    <w:rsid w:val="0015194F"/>
    <w:rsid w:val="0015213C"/>
    <w:rsid w:val="001521A6"/>
    <w:rsid w:val="00153126"/>
    <w:rsid w:val="00153942"/>
    <w:rsid w:val="00153ECC"/>
    <w:rsid w:val="00154281"/>
    <w:rsid w:val="0015493E"/>
    <w:rsid w:val="0015496C"/>
    <w:rsid w:val="00154F9D"/>
    <w:rsid w:val="00155081"/>
    <w:rsid w:val="001552E6"/>
    <w:rsid w:val="0015546F"/>
    <w:rsid w:val="00155BD9"/>
    <w:rsid w:val="00155D5A"/>
    <w:rsid w:val="00156078"/>
    <w:rsid w:val="00156870"/>
    <w:rsid w:val="00156AAF"/>
    <w:rsid w:val="00156CE9"/>
    <w:rsid w:val="00157445"/>
    <w:rsid w:val="001575AB"/>
    <w:rsid w:val="00157760"/>
    <w:rsid w:val="00157A80"/>
    <w:rsid w:val="00157B8C"/>
    <w:rsid w:val="00157C96"/>
    <w:rsid w:val="00160A03"/>
    <w:rsid w:val="00160C3F"/>
    <w:rsid w:val="00160C4D"/>
    <w:rsid w:val="00160CE3"/>
    <w:rsid w:val="00161702"/>
    <w:rsid w:val="00161AC5"/>
    <w:rsid w:val="00162022"/>
    <w:rsid w:val="0016202E"/>
    <w:rsid w:val="001620E8"/>
    <w:rsid w:val="001622D0"/>
    <w:rsid w:val="00162453"/>
    <w:rsid w:val="00162626"/>
    <w:rsid w:val="00162C56"/>
    <w:rsid w:val="0016413C"/>
    <w:rsid w:val="001642D5"/>
    <w:rsid w:val="00164CA0"/>
    <w:rsid w:val="00164FB6"/>
    <w:rsid w:val="001650FE"/>
    <w:rsid w:val="001655B0"/>
    <w:rsid w:val="001655B4"/>
    <w:rsid w:val="001655F0"/>
    <w:rsid w:val="00165695"/>
    <w:rsid w:val="0016571D"/>
    <w:rsid w:val="00165736"/>
    <w:rsid w:val="001659BD"/>
    <w:rsid w:val="001659E9"/>
    <w:rsid w:val="0016613D"/>
    <w:rsid w:val="00166961"/>
    <w:rsid w:val="00166A99"/>
    <w:rsid w:val="00166B54"/>
    <w:rsid w:val="00166B7F"/>
    <w:rsid w:val="00166E75"/>
    <w:rsid w:val="00166FC3"/>
    <w:rsid w:val="00167172"/>
    <w:rsid w:val="00167697"/>
    <w:rsid w:val="0016788F"/>
    <w:rsid w:val="001678DC"/>
    <w:rsid w:val="00167A77"/>
    <w:rsid w:val="00167B77"/>
    <w:rsid w:val="00167C18"/>
    <w:rsid w:val="001705BD"/>
    <w:rsid w:val="00170609"/>
    <w:rsid w:val="00170759"/>
    <w:rsid w:val="001709F6"/>
    <w:rsid w:val="00170A84"/>
    <w:rsid w:val="00170FE8"/>
    <w:rsid w:val="0017100D"/>
    <w:rsid w:val="0017128E"/>
    <w:rsid w:val="001714C4"/>
    <w:rsid w:val="00171709"/>
    <w:rsid w:val="00171736"/>
    <w:rsid w:val="001719DC"/>
    <w:rsid w:val="00171B78"/>
    <w:rsid w:val="00171F52"/>
    <w:rsid w:val="0017266E"/>
    <w:rsid w:val="0017278A"/>
    <w:rsid w:val="001731F8"/>
    <w:rsid w:val="00173504"/>
    <w:rsid w:val="001736EE"/>
    <w:rsid w:val="001738EB"/>
    <w:rsid w:val="00173AE7"/>
    <w:rsid w:val="00173BE6"/>
    <w:rsid w:val="00173F9E"/>
    <w:rsid w:val="00174031"/>
    <w:rsid w:val="00174144"/>
    <w:rsid w:val="001745D3"/>
    <w:rsid w:val="00174929"/>
    <w:rsid w:val="0017508C"/>
    <w:rsid w:val="0017531D"/>
    <w:rsid w:val="00175832"/>
    <w:rsid w:val="00175908"/>
    <w:rsid w:val="00175B07"/>
    <w:rsid w:val="001760AF"/>
    <w:rsid w:val="0017623C"/>
    <w:rsid w:val="00176569"/>
    <w:rsid w:val="001765B1"/>
    <w:rsid w:val="001766A3"/>
    <w:rsid w:val="00176A18"/>
    <w:rsid w:val="00176C78"/>
    <w:rsid w:val="00176D60"/>
    <w:rsid w:val="00176FAB"/>
    <w:rsid w:val="00177544"/>
    <w:rsid w:val="0017769E"/>
    <w:rsid w:val="0017782F"/>
    <w:rsid w:val="00177EF9"/>
    <w:rsid w:val="0018042E"/>
    <w:rsid w:val="001804CD"/>
    <w:rsid w:val="00180B42"/>
    <w:rsid w:val="00180D2E"/>
    <w:rsid w:val="00180F31"/>
    <w:rsid w:val="00181004"/>
    <w:rsid w:val="001812E2"/>
    <w:rsid w:val="001817C8"/>
    <w:rsid w:val="00181854"/>
    <w:rsid w:val="001819C5"/>
    <w:rsid w:val="00181FA9"/>
    <w:rsid w:val="00182666"/>
    <w:rsid w:val="00182900"/>
    <w:rsid w:val="00183709"/>
    <w:rsid w:val="00183750"/>
    <w:rsid w:val="001844DA"/>
    <w:rsid w:val="00184F1D"/>
    <w:rsid w:val="00185114"/>
    <w:rsid w:val="0018553B"/>
    <w:rsid w:val="00185C20"/>
    <w:rsid w:val="00185D40"/>
    <w:rsid w:val="0018631D"/>
    <w:rsid w:val="00186487"/>
    <w:rsid w:val="0018699B"/>
    <w:rsid w:val="00186F8A"/>
    <w:rsid w:val="001873D4"/>
    <w:rsid w:val="001877D8"/>
    <w:rsid w:val="0018793A"/>
    <w:rsid w:val="00187A70"/>
    <w:rsid w:val="00187BB1"/>
    <w:rsid w:val="00187C58"/>
    <w:rsid w:val="00187CDB"/>
    <w:rsid w:val="00190171"/>
    <w:rsid w:val="001905A1"/>
    <w:rsid w:val="00190606"/>
    <w:rsid w:val="00190876"/>
    <w:rsid w:val="00190C73"/>
    <w:rsid w:val="00190CC6"/>
    <w:rsid w:val="00190DD4"/>
    <w:rsid w:val="00191B7B"/>
    <w:rsid w:val="00191C5D"/>
    <w:rsid w:val="00192083"/>
    <w:rsid w:val="00192383"/>
    <w:rsid w:val="00192F26"/>
    <w:rsid w:val="00193B7B"/>
    <w:rsid w:val="00193CF3"/>
    <w:rsid w:val="00193F5C"/>
    <w:rsid w:val="00194127"/>
    <w:rsid w:val="00194410"/>
    <w:rsid w:val="00194557"/>
    <w:rsid w:val="001948CB"/>
    <w:rsid w:val="00194D95"/>
    <w:rsid w:val="00194D9C"/>
    <w:rsid w:val="00194F99"/>
    <w:rsid w:val="00195377"/>
    <w:rsid w:val="00195A3C"/>
    <w:rsid w:val="00195D18"/>
    <w:rsid w:val="00195E3A"/>
    <w:rsid w:val="0019676F"/>
    <w:rsid w:val="0019683F"/>
    <w:rsid w:val="00196A61"/>
    <w:rsid w:val="00196A8B"/>
    <w:rsid w:val="0019715F"/>
    <w:rsid w:val="001972B1"/>
    <w:rsid w:val="001974D4"/>
    <w:rsid w:val="001975FB"/>
    <w:rsid w:val="001977EC"/>
    <w:rsid w:val="001978AE"/>
    <w:rsid w:val="00197BE4"/>
    <w:rsid w:val="001A0763"/>
    <w:rsid w:val="001A1339"/>
    <w:rsid w:val="001A1527"/>
    <w:rsid w:val="001A1555"/>
    <w:rsid w:val="001A1661"/>
    <w:rsid w:val="001A175F"/>
    <w:rsid w:val="001A19B4"/>
    <w:rsid w:val="001A1B68"/>
    <w:rsid w:val="001A1BB2"/>
    <w:rsid w:val="001A27B9"/>
    <w:rsid w:val="001A2A37"/>
    <w:rsid w:val="001A2B11"/>
    <w:rsid w:val="001A2F36"/>
    <w:rsid w:val="001A2FFF"/>
    <w:rsid w:val="001A31FA"/>
    <w:rsid w:val="001A3496"/>
    <w:rsid w:val="001A381D"/>
    <w:rsid w:val="001A3DFA"/>
    <w:rsid w:val="001A3EF1"/>
    <w:rsid w:val="001A4093"/>
    <w:rsid w:val="001A42CE"/>
    <w:rsid w:val="001A43F6"/>
    <w:rsid w:val="001A453A"/>
    <w:rsid w:val="001A46DA"/>
    <w:rsid w:val="001A4757"/>
    <w:rsid w:val="001A4D97"/>
    <w:rsid w:val="001A4FB3"/>
    <w:rsid w:val="001A501A"/>
    <w:rsid w:val="001A52CF"/>
    <w:rsid w:val="001A5914"/>
    <w:rsid w:val="001A5BFF"/>
    <w:rsid w:val="001A5E41"/>
    <w:rsid w:val="001A6195"/>
    <w:rsid w:val="001A62CD"/>
    <w:rsid w:val="001A639A"/>
    <w:rsid w:val="001A6519"/>
    <w:rsid w:val="001A6715"/>
    <w:rsid w:val="001A6A70"/>
    <w:rsid w:val="001A6F06"/>
    <w:rsid w:val="001A719C"/>
    <w:rsid w:val="001A7C03"/>
    <w:rsid w:val="001A7CE0"/>
    <w:rsid w:val="001A7D50"/>
    <w:rsid w:val="001A7E97"/>
    <w:rsid w:val="001B0F05"/>
    <w:rsid w:val="001B10C5"/>
    <w:rsid w:val="001B12D9"/>
    <w:rsid w:val="001B12FB"/>
    <w:rsid w:val="001B16C8"/>
    <w:rsid w:val="001B1A60"/>
    <w:rsid w:val="001B1CF8"/>
    <w:rsid w:val="001B20B3"/>
    <w:rsid w:val="001B20EC"/>
    <w:rsid w:val="001B3187"/>
    <w:rsid w:val="001B322B"/>
    <w:rsid w:val="001B3587"/>
    <w:rsid w:val="001B364C"/>
    <w:rsid w:val="001B38ED"/>
    <w:rsid w:val="001B3B03"/>
    <w:rsid w:val="001B3C11"/>
    <w:rsid w:val="001B3C27"/>
    <w:rsid w:val="001B3C2A"/>
    <w:rsid w:val="001B4020"/>
    <w:rsid w:val="001B406D"/>
    <w:rsid w:val="001B40C8"/>
    <w:rsid w:val="001B42D3"/>
    <w:rsid w:val="001B5580"/>
    <w:rsid w:val="001B5808"/>
    <w:rsid w:val="001B5AEE"/>
    <w:rsid w:val="001B5E4E"/>
    <w:rsid w:val="001B5EBE"/>
    <w:rsid w:val="001B608F"/>
    <w:rsid w:val="001B6210"/>
    <w:rsid w:val="001B630E"/>
    <w:rsid w:val="001B6498"/>
    <w:rsid w:val="001B6EB6"/>
    <w:rsid w:val="001B700A"/>
    <w:rsid w:val="001B7294"/>
    <w:rsid w:val="001B7AC1"/>
    <w:rsid w:val="001B7C4F"/>
    <w:rsid w:val="001B7CFF"/>
    <w:rsid w:val="001C0985"/>
    <w:rsid w:val="001C0BB4"/>
    <w:rsid w:val="001C0CFC"/>
    <w:rsid w:val="001C0F6D"/>
    <w:rsid w:val="001C12DF"/>
    <w:rsid w:val="001C162D"/>
    <w:rsid w:val="001C19C1"/>
    <w:rsid w:val="001C21C3"/>
    <w:rsid w:val="001C2379"/>
    <w:rsid w:val="001C24D1"/>
    <w:rsid w:val="001C26D4"/>
    <w:rsid w:val="001C29D1"/>
    <w:rsid w:val="001C304B"/>
    <w:rsid w:val="001C3113"/>
    <w:rsid w:val="001C3616"/>
    <w:rsid w:val="001C372A"/>
    <w:rsid w:val="001C38E9"/>
    <w:rsid w:val="001C3A55"/>
    <w:rsid w:val="001C3A64"/>
    <w:rsid w:val="001C3A6B"/>
    <w:rsid w:val="001C42F0"/>
    <w:rsid w:val="001C44CF"/>
    <w:rsid w:val="001C4891"/>
    <w:rsid w:val="001C491E"/>
    <w:rsid w:val="001C51D6"/>
    <w:rsid w:val="001C52EB"/>
    <w:rsid w:val="001C53CD"/>
    <w:rsid w:val="001C5587"/>
    <w:rsid w:val="001C5C58"/>
    <w:rsid w:val="001C5F2F"/>
    <w:rsid w:val="001C6350"/>
    <w:rsid w:val="001C6762"/>
    <w:rsid w:val="001C6A94"/>
    <w:rsid w:val="001C6F75"/>
    <w:rsid w:val="001C7BB7"/>
    <w:rsid w:val="001C7F0D"/>
    <w:rsid w:val="001D00BE"/>
    <w:rsid w:val="001D059B"/>
    <w:rsid w:val="001D0BAA"/>
    <w:rsid w:val="001D194C"/>
    <w:rsid w:val="001D195F"/>
    <w:rsid w:val="001D19F8"/>
    <w:rsid w:val="001D1AC6"/>
    <w:rsid w:val="001D1BE1"/>
    <w:rsid w:val="001D1C22"/>
    <w:rsid w:val="001D1CB8"/>
    <w:rsid w:val="001D1EE8"/>
    <w:rsid w:val="001D25F7"/>
    <w:rsid w:val="001D2869"/>
    <w:rsid w:val="001D3504"/>
    <w:rsid w:val="001D3E33"/>
    <w:rsid w:val="001D44A9"/>
    <w:rsid w:val="001D477C"/>
    <w:rsid w:val="001D48C2"/>
    <w:rsid w:val="001D4F5D"/>
    <w:rsid w:val="001D4F72"/>
    <w:rsid w:val="001D5156"/>
    <w:rsid w:val="001D51EE"/>
    <w:rsid w:val="001D553A"/>
    <w:rsid w:val="001D56D8"/>
    <w:rsid w:val="001D5D63"/>
    <w:rsid w:val="001D5E32"/>
    <w:rsid w:val="001D662A"/>
    <w:rsid w:val="001D6674"/>
    <w:rsid w:val="001D68A9"/>
    <w:rsid w:val="001D69F6"/>
    <w:rsid w:val="001D6ED1"/>
    <w:rsid w:val="001D73E9"/>
    <w:rsid w:val="001D7529"/>
    <w:rsid w:val="001D7622"/>
    <w:rsid w:val="001D7849"/>
    <w:rsid w:val="001E0231"/>
    <w:rsid w:val="001E0988"/>
    <w:rsid w:val="001E0B4B"/>
    <w:rsid w:val="001E1104"/>
    <w:rsid w:val="001E17EE"/>
    <w:rsid w:val="001E2057"/>
    <w:rsid w:val="001E3126"/>
    <w:rsid w:val="001E342F"/>
    <w:rsid w:val="001E3641"/>
    <w:rsid w:val="001E3BB7"/>
    <w:rsid w:val="001E4075"/>
    <w:rsid w:val="001E4458"/>
    <w:rsid w:val="001E4A4E"/>
    <w:rsid w:val="001E4EC8"/>
    <w:rsid w:val="001E5296"/>
    <w:rsid w:val="001E52D0"/>
    <w:rsid w:val="001E5898"/>
    <w:rsid w:val="001E679C"/>
    <w:rsid w:val="001E6E9B"/>
    <w:rsid w:val="001E74A2"/>
    <w:rsid w:val="001E7571"/>
    <w:rsid w:val="001E79EC"/>
    <w:rsid w:val="001E7C9C"/>
    <w:rsid w:val="001E7D80"/>
    <w:rsid w:val="001F0064"/>
    <w:rsid w:val="001F019D"/>
    <w:rsid w:val="001F02C9"/>
    <w:rsid w:val="001F04C1"/>
    <w:rsid w:val="001F066B"/>
    <w:rsid w:val="001F06CB"/>
    <w:rsid w:val="001F0917"/>
    <w:rsid w:val="001F0E07"/>
    <w:rsid w:val="001F10BF"/>
    <w:rsid w:val="001F1264"/>
    <w:rsid w:val="001F265E"/>
    <w:rsid w:val="001F27EF"/>
    <w:rsid w:val="001F2A08"/>
    <w:rsid w:val="001F2AF4"/>
    <w:rsid w:val="001F2BDD"/>
    <w:rsid w:val="001F2EC3"/>
    <w:rsid w:val="001F3A14"/>
    <w:rsid w:val="001F3F6B"/>
    <w:rsid w:val="001F4031"/>
    <w:rsid w:val="001F4041"/>
    <w:rsid w:val="001F4283"/>
    <w:rsid w:val="001F45C7"/>
    <w:rsid w:val="001F4BC4"/>
    <w:rsid w:val="001F4FE5"/>
    <w:rsid w:val="001F51FB"/>
    <w:rsid w:val="001F526D"/>
    <w:rsid w:val="001F6640"/>
    <w:rsid w:val="001F668A"/>
    <w:rsid w:val="001F692A"/>
    <w:rsid w:val="001F6A76"/>
    <w:rsid w:val="001F6B79"/>
    <w:rsid w:val="001F70B0"/>
    <w:rsid w:val="001F7219"/>
    <w:rsid w:val="001F7299"/>
    <w:rsid w:val="001F739B"/>
    <w:rsid w:val="001F74EC"/>
    <w:rsid w:val="001F7675"/>
    <w:rsid w:val="001F78C4"/>
    <w:rsid w:val="001F7A57"/>
    <w:rsid w:val="001F7BE1"/>
    <w:rsid w:val="001F7FE3"/>
    <w:rsid w:val="0020001D"/>
    <w:rsid w:val="00200066"/>
    <w:rsid w:val="0020021E"/>
    <w:rsid w:val="00200846"/>
    <w:rsid w:val="002008F6"/>
    <w:rsid w:val="00200ACA"/>
    <w:rsid w:val="00200FAF"/>
    <w:rsid w:val="0020101A"/>
    <w:rsid w:val="002012D2"/>
    <w:rsid w:val="002014B8"/>
    <w:rsid w:val="002014D6"/>
    <w:rsid w:val="00201CE7"/>
    <w:rsid w:val="0020209C"/>
    <w:rsid w:val="00202205"/>
    <w:rsid w:val="002025B5"/>
    <w:rsid w:val="00202618"/>
    <w:rsid w:val="0020266D"/>
    <w:rsid w:val="00202F0E"/>
    <w:rsid w:val="002032D7"/>
    <w:rsid w:val="002035D3"/>
    <w:rsid w:val="00203771"/>
    <w:rsid w:val="00203EAB"/>
    <w:rsid w:val="00203EED"/>
    <w:rsid w:val="0020407D"/>
    <w:rsid w:val="002048E5"/>
    <w:rsid w:val="00205930"/>
    <w:rsid w:val="00206439"/>
    <w:rsid w:val="00206457"/>
    <w:rsid w:val="00206A85"/>
    <w:rsid w:val="00206B8C"/>
    <w:rsid w:val="00206B91"/>
    <w:rsid w:val="00206F96"/>
    <w:rsid w:val="00207716"/>
    <w:rsid w:val="00210012"/>
    <w:rsid w:val="002103DD"/>
    <w:rsid w:val="00210665"/>
    <w:rsid w:val="00210E29"/>
    <w:rsid w:val="002116E1"/>
    <w:rsid w:val="00211AEA"/>
    <w:rsid w:val="00211DBE"/>
    <w:rsid w:val="00211E03"/>
    <w:rsid w:val="00211E9E"/>
    <w:rsid w:val="00211FCD"/>
    <w:rsid w:val="002122ED"/>
    <w:rsid w:val="002129BF"/>
    <w:rsid w:val="00212C2D"/>
    <w:rsid w:val="002136A6"/>
    <w:rsid w:val="00213AAA"/>
    <w:rsid w:val="0021490D"/>
    <w:rsid w:val="00214A82"/>
    <w:rsid w:val="00214C79"/>
    <w:rsid w:val="00214D19"/>
    <w:rsid w:val="00214DE3"/>
    <w:rsid w:val="00215003"/>
    <w:rsid w:val="002152D9"/>
    <w:rsid w:val="00215812"/>
    <w:rsid w:val="00215CD2"/>
    <w:rsid w:val="00215D95"/>
    <w:rsid w:val="002164C7"/>
    <w:rsid w:val="0021683B"/>
    <w:rsid w:val="00216A24"/>
    <w:rsid w:val="00216A67"/>
    <w:rsid w:val="00216AC5"/>
    <w:rsid w:val="002170B5"/>
    <w:rsid w:val="00217308"/>
    <w:rsid w:val="002173B6"/>
    <w:rsid w:val="00217568"/>
    <w:rsid w:val="00217608"/>
    <w:rsid w:val="002176E7"/>
    <w:rsid w:val="00217885"/>
    <w:rsid w:val="002178E0"/>
    <w:rsid w:val="00217AF0"/>
    <w:rsid w:val="00217B22"/>
    <w:rsid w:val="00217C37"/>
    <w:rsid w:val="00217D57"/>
    <w:rsid w:val="00217E5F"/>
    <w:rsid w:val="00220199"/>
    <w:rsid w:val="00221008"/>
    <w:rsid w:val="00221168"/>
    <w:rsid w:val="00221460"/>
    <w:rsid w:val="00221936"/>
    <w:rsid w:val="002222EC"/>
    <w:rsid w:val="00222562"/>
    <w:rsid w:val="00222611"/>
    <w:rsid w:val="0022269C"/>
    <w:rsid w:val="00223048"/>
    <w:rsid w:val="002230B3"/>
    <w:rsid w:val="00223499"/>
    <w:rsid w:val="00223525"/>
    <w:rsid w:val="00223BD2"/>
    <w:rsid w:val="002243B2"/>
    <w:rsid w:val="00224558"/>
    <w:rsid w:val="002250B5"/>
    <w:rsid w:val="00225968"/>
    <w:rsid w:val="00226AC8"/>
    <w:rsid w:val="00226B8B"/>
    <w:rsid w:val="00227007"/>
    <w:rsid w:val="00227831"/>
    <w:rsid w:val="00227D77"/>
    <w:rsid w:val="00227D9A"/>
    <w:rsid w:val="00227EE4"/>
    <w:rsid w:val="00227F75"/>
    <w:rsid w:val="0023026E"/>
    <w:rsid w:val="002306DA"/>
    <w:rsid w:val="002308E6"/>
    <w:rsid w:val="00230AC9"/>
    <w:rsid w:val="00230ADF"/>
    <w:rsid w:val="00230D85"/>
    <w:rsid w:val="00230ED9"/>
    <w:rsid w:val="002313E1"/>
    <w:rsid w:val="0023181D"/>
    <w:rsid w:val="0023182B"/>
    <w:rsid w:val="00231D41"/>
    <w:rsid w:val="00232009"/>
    <w:rsid w:val="00232690"/>
    <w:rsid w:val="00232775"/>
    <w:rsid w:val="002328B4"/>
    <w:rsid w:val="00232CE9"/>
    <w:rsid w:val="00233281"/>
    <w:rsid w:val="00233467"/>
    <w:rsid w:val="002337E3"/>
    <w:rsid w:val="00233F46"/>
    <w:rsid w:val="002344C2"/>
    <w:rsid w:val="00234984"/>
    <w:rsid w:val="00234F01"/>
    <w:rsid w:val="002351A0"/>
    <w:rsid w:val="00235925"/>
    <w:rsid w:val="00235CCC"/>
    <w:rsid w:val="00236081"/>
    <w:rsid w:val="00236831"/>
    <w:rsid w:val="00236B8C"/>
    <w:rsid w:val="00236D6E"/>
    <w:rsid w:val="00236DF8"/>
    <w:rsid w:val="00236F7D"/>
    <w:rsid w:val="00237301"/>
    <w:rsid w:val="00237491"/>
    <w:rsid w:val="002375C3"/>
    <w:rsid w:val="00237742"/>
    <w:rsid w:val="002377CA"/>
    <w:rsid w:val="00237E30"/>
    <w:rsid w:val="002401AA"/>
    <w:rsid w:val="002403AB"/>
    <w:rsid w:val="00240540"/>
    <w:rsid w:val="002406C1"/>
    <w:rsid w:val="00240970"/>
    <w:rsid w:val="002413F9"/>
    <w:rsid w:val="002418C5"/>
    <w:rsid w:val="00241952"/>
    <w:rsid w:val="00241CE5"/>
    <w:rsid w:val="00242508"/>
    <w:rsid w:val="002428CD"/>
    <w:rsid w:val="00242E99"/>
    <w:rsid w:val="0024358F"/>
    <w:rsid w:val="002436C3"/>
    <w:rsid w:val="0024378C"/>
    <w:rsid w:val="00243B48"/>
    <w:rsid w:val="002442D2"/>
    <w:rsid w:val="002446F5"/>
    <w:rsid w:val="002452CD"/>
    <w:rsid w:val="00245778"/>
    <w:rsid w:val="002459A7"/>
    <w:rsid w:val="00245CD4"/>
    <w:rsid w:val="002461A0"/>
    <w:rsid w:val="00246381"/>
    <w:rsid w:val="0024647E"/>
    <w:rsid w:val="00246488"/>
    <w:rsid w:val="002464D6"/>
    <w:rsid w:val="00246D42"/>
    <w:rsid w:val="002474BB"/>
    <w:rsid w:val="00247547"/>
    <w:rsid w:val="0024757C"/>
    <w:rsid w:val="0024791E"/>
    <w:rsid w:val="00247DA9"/>
    <w:rsid w:val="00247EEF"/>
    <w:rsid w:val="00250008"/>
    <w:rsid w:val="00250197"/>
    <w:rsid w:val="00250199"/>
    <w:rsid w:val="00250BBC"/>
    <w:rsid w:val="0025166D"/>
    <w:rsid w:val="002517D6"/>
    <w:rsid w:val="00251857"/>
    <w:rsid w:val="00251CAD"/>
    <w:rsid w:val="00251CDB"/>
    <w:rsid w:val="00251F27"/>
    <w:rsid w:val="0025288D"/>
    <w:rsid w:val="0025295F"/>
    <w:rsid w:val="00252CAC"/>
    <w:rsid w:val="00252F03"/>
    <w:rsid w:val="00254068"/>
    <w:rsid w:val="00254132"/>
    <w:rsid w:val="002542D2"/>
    <w:rsid w:val="0025437F"/>
    <w:rsid w:val="002543B7"/>
    <w:rsid w:val="002543E4"/>
    <w:rsid w:val="0025491D"/>
    <w:rsid w:val="00254C66"/>
    <w:rsid w:val="00254F01"/>
    <w:rsid w:val="00255EE8"/>
    <w:rsid w:val="00255FCE"/>
    <w:rsid w:val="00256194"/>
    <w:rsid w:val="002561EB"/>
    <w:rsid w:val="002562FC"/>
    <w:rsid w:val="0025655B"/>
    <w:rsid w:val="00256DF7"/>
    <w:rsid w:val="0025779A"/>
    <w:rsid w:val="0025779D"/>
    <w:rsid w:val="0026029A"/>
    <w:rsid w:val="00260D15"/>
    <w:rsid w:val="00260E67"/>
    <w:rsid w:val="00260F20"/>
    <w:rsid w:val="00261176"/>
    <w:rsid w:val="00261393"/>
    <w:rsid w:val="002613DB"/>
    <w:rsid w:val="002618A3"/>
    <w:rsid w:val="00262123"/>
    <w:rsid w:val="00262646"/>
    <w:rsid w:val="002628FC"/>
    <w:rsid w:val="00262D2B"/>
    <w:rsid w:val="002636FF"/>
    <w:rsid w:val="002645DA"/>
    <w:rsid w:val="00264E7D"/>
    <w:rsid w:val="002657DE"/>
    <w:rsid w:val="002664C8"/>
    <w:rsid w:val="00266664"/>
    <w:rsid w:val="00266C14"/>
    <w:rsid w:val="00266FD1"/>
    <w:rsid w:val="00267219"/>
    <w:rsid w:val="002676F0"/>
    <w:rsid w:val="002678EF"/>
    <w:rsid w:val="00270446"/>
    <w:rsid w:val="002709C0"/>
    <w:rsid w:val="00270D16"/>
    <w:rsid w:val="00270ED1"/>
    <w:rsid w:val="0027103B"/>
    <w:rsid w:val="0027108A"/>
    <w:rsid w:val="0027121E"/>
    <w:rsid w:val="00271908"/>
    <w:rsid w:val="002719B4"/>
    <w:rsid w:val="00271DA3"/>
    <w:rsid w:val="00272180"/>
    <w:rsid w:val="00272224"/>
    <w:rsid w:val="0027239D"/>
    <w:rsid w:val="00272821"/>
    <w:rsid w:val="00272AB6"/>
    <w:rsid w:val="00272F4D"/>
    <w:rsid w:val="0027343A"/>
    <w:rsid w:val="002734B9"/>
    <w:rsid w:val="0027364E"/>
    <w:rsid w:val="00273CD5"/>
    <w:rsid w:val="00274631"/>
    <w:rsid w:val="00274945"/>
    <w:rsid w:val="00274BBF"/>
    <w:rsid w:val="0027520A"/>
    <w:rsid w:val="00275496"/>
    <w:rsid w:val="0027561D"/>
    <w:rsid w:val="0027585D"/>
    <w:rsid w:val="00275FB4"/>
    <w:rsid w:val="00276E24"/>
    <w:rsid w:val="002772ED"/>
    <w:rsid w:val="00277358"/>
    <w:rsid w:val="00277383"/>
    <w:rsid w:val="0027787A"/>
    <w:rsid w:val="00277E59"/>
    <w:rsid w:val="00277F37"/>
    <w:rsid w:val="00277FA6"/>
    <w:rsid w:val="002803B0"/>
    <w:rsid w:val="0028083E"/>
    <w:rsid w:val="002808C0"/>
    <w:rsid w:val="00280A17"/>
    <w:rsid w:val="002810C1"/>
    <w:rsid w:val="0028153E"/>
    <w:rsid w:val="00281667"/>
    <w:rsid w:val="00281697"/>
    <w:rsid w:val="00281FAA"/>
    <w:rsid w:val="00281FDB"/>
    <w:rsid w:val="0028231C"/>
    <w:rsid w:val="002823E7"/>
    <w:rsid w:val="002824CF"/>
    <w:rsid w:val="002832D4"/>
    <w:rsid w:val="00283478"/>
    <w:rsid w:val="00283911"/>
    <w:rsid w:val="00283CB0"/>
    <w:rsid w:val="00283F18"/>
    <w:rsid w:val="00283F7A"/>
    <w:rsid w:val="00283F89"/>
    <w:rsid w:val="00284054"/>
    <w:rsid w:val="00284309"/>
    <w:rsid w:val="0028484C"/>
    <w:rsid w:val="00284A2D"/>
    <w:rsid w:val="00284AC3"/>
    <w:rsid w:val="00284BAB"/>
    <w:rsid w:val="00284BEB"/>
    <w:rsid w:val="00285217"/>
    <w:rsid w:val="00285391"/>
    <w:rsid w:val="00285468"/>
    <w:rsid w:val="00285C95"/>
    <w:rsid w:val="00285DB7"/>
    <w:rsid w:val="0028600C"/>
    <w:rsid w:val="00286614"/>
    <w:rsid w:val="0028663B"/>
    <w:rsid w:val="002872FD"/>
    <w:rsid w:val="002873A1"/>
    <w:rsid w:val="00287719"/>
    <w:rsid w:val="00287779"/>
    <w:rsid w:val="002879F7"/>
    <w:rsid w:val="00287CCB"/>
    <w:rsid w:val="00287E8A"/>
    <w:rsid w:val="00290279"/>
    <w:rsid w:val="00290C6C"/>
    <w:rsid w:val="002910D9"/>
    <w:rsid w:val="00291C64"/>
    <w:rsid w:val="00291D2C"/>
    <w:rsid w:val="00291ECE"/>
    <w:rsid w:val="00292281"/>
    <w:rsid w:val="002922FD"/>
    <w:rsid w:val="002928CE"/>
    <w:rsid w:val="00292D97"/>
    <w:rsid w:val="00293126"/>
    <w:rsid w:val="002931D4"/>
    <w:rsid w:val="00293C95"/>
    <w:rsid w:val="00293CD8"/>
    <w:rsid w:val="002941AC"/>
    <w:rsid w:val="0029483D"/>
    <w:rsid w:val="00294DEF"/>
    <w:rsid w:val="00295028"/>
    <w:rsid w:val="00295262"/>
    <w:rsid w:val="002955A7"/>
    <w:rsid w:val="002958D3"/>
    <w:rsid w:val="00295902"/>
    <w:rsid w:val="00295BB7"/>
    <w:rsid w:val="00295F1E"/>
    <w:rsid w:val="00295FEA"/>
    <w:rsid w:val="00296333"/>
    <w:rsid w:val="00296462"/>
    <w:rsid w:val="0029646F"/>
    <w:rsid w:val="00296630"/>
    <w:rsid w:val="00296802"/>
    <w:rsid w:val="002968A9"/>
    <w:rsid w:val="00296B5F"/>
    <w:rsid w:val="00296BAF"/>
    <w:rsid w:val="00296FDD"/>
    <w:rsid w:val="0029703E"/>
    <w:rsid w:val="002970D6"/>
    <w:rsid w:val="002970ED"/>
    <w:rsid w:val="00297669"/>
    <w:rsid w:val="00297711"/>
    <w:rsid w:val="00297BDD"/>
    <w:rsid w:val="00297D57"/>
    <w:rsid w:val="002A005D"/>
    <w:rsid w:val="002A0275"/>
    <w:rsid w:val="002A0C6D"/>
    <w:rsid w:val="002A0DC3"/>
    <w:rsid w:val="002A113E"/>
    <w:rsid w:val="002A13AA"/>
    <w:rsid w:val="002A1658"/>
    <w:rsid w:val="002A1691"/>
    <w:rsid w:val="002A1C66"/>
    <w:rsid w:val="002A1C73"/>
    <w:rsid w:val="002A2277"/>
    <w:rsid w:val="002A27A0"/>
    <w:rsid w:val="002A2FF2"/>
    <w:rsid w:val="002A3751"/>
    <w:rsid w:val="002A38A0"/>
    <w:rsid w:val="002A3F2C"/>
    <w:rsid w:val="002A4093"/>
    <w:rsid w:val="002A4128"/>
    <w:rsid w:val="002A4668"/>
    <w:rsid w:val="002A48F7"/>
    <w:rsid w:val="002A4A88"/>
    <w:rsid w:val="002A5138"/>
    <w:rsid w:val="002A5147"/>
    <w:rsid w:val="002A552B"/>
    <w:rsid w:val="002A55E2"/>
    <w:rsid w:val="002A56EA"/>
    <w:rsid w:val="002A57FC"/>
    <w:rsid w:val="002A5875"/>
    <w:rsid w:val="002A59D9"/>
    <w:rsid w:val="002A6072"/>
    <w:rsid w:val="002A64C7"/>
    <w:rsid w:val="002A6761"/>
    <w:rsid w:val="002A6BD3"/>
    <w:rsid w:val="002A6DA7"/>
    <w:rsid w:val="002A72AF"/>
    <w:rsid w:val="002A72DE"/>
    <w:rsid w:val="002A75FA"/>
    <w:rsid w:val="002A7722"/>
    <w:rsid w:val="002A7C62"/>
    <w:rsid w:val="002A7FD3"/>
    <w:rsid w:val="002B0125"/>
    <w:rsid w:val="002B0601"/>
    <w:rsid w:val="002B0C0C"/>
    <w:rsid w:val="002B0D66"/>
    <w:rsid w:val="002B10C1"/>
    <w:rsid w:val="002B10D7"/>
    <w:rsid w:val="002B1B71"/>
    <w:rsid w:val="002B1C28"/>
    <w:rsid w:val="002B1D1D"/>
    <w:rsid w:val="002B2009"/>
    <w:rsid w:val="002B20ED"/>
    <w:rsid w:val="002B23C6"/>
    <w:rsid w:val="002B2526"/>
    <w:rsid w:val="002B28AE"/>
    <w:rsid w:val="002B2EDF"/>
    <w:rsid w:val="002B2FC0"/>
    <w:rsid w:val="002B2FD5"/>
    <w:rsid w:val="002B30EB"/>
    <w:rsid w:val="002B31A3"/>
    <w:rsid w:val="002B336E"/>
    <w:rsid w:val="002B34B2"/>
    <w:rsid w:val="002B38F1"/>
    <w:rsid w:val="002B3C01"/>
    <w:rsid w:val="002B3D58"/>
    <w:rsid w:val="002B435F"/>
    <w:rsid w:val="002B43A2"/>
    <w:rsid w:val="002B43C9"/>
    <w:rsid w:val="002B5110"/>
    <w:rsid w:val="002B51FD"/>
    <w:rsid w:val="002B5479"/>
    <w:rsid w:val="002B5C09"/>
    <w:rsid w:val="002B602B"/>
    <w:rsid w:val="002B64DB"/>
    <w:rsid w:val="002B6B56"/>
    <w:rsid w:val="002B6C12"/>
    <w:rsid w:val="002B72BD"/>
    <w:rsid w:val="002B7E68"/>
    <w:rsid w:val="002B7FAB"/>
    <w:rsid w:val="002C002D"/>
    <w:rsid w:val="002C029E"/>
    <w:rsid w:val="002C02C7"/>
    <w:rsid w:val="002C0380"/>
    <w:rsid w:val="002C077D"/>
    <w:rsid w:val="002C0931"/>
    <w:rsid w:val="002C095D"/>
    <w:rsid w:val="002C10CE"/>
    <w:rsid w:val="002C1246"/>
    <w:rsid w:val="002C1393"/>
    <w:rsid w:val="002C179E"/>
    <w:rsid w:val="002C1B55"/>
    <w:rsid w:val="002C1C98"/>
    <w:rsid w:val="002C1ED9"/>
    <w:rsid w:val="002C2AC0"/>
    <w:rsid w:val="002C362D"/>
    <w:rsid w:val="002C3BCC"/>
    <w:rsid w:val="002C3BD1"/>
    <w:rsid w:val="002C420F"/>
    <w:rsid w:val="002C426A"/>
    <w:rsid w:val="002C47BE"/>
    <w:rsid w:val="002C48CD"/>
    <w:rsid w:val="002C4ACD"/>
    <w:rsid w:val="002C51FF"/>
    <w:rsid w:val="002C5267"/>
    <w:rsid w:val="002C5815"/>
    <w:rsid w:val="002C5863"/>
    <w:rsid w:val="002C5BCB"/>
    <w:rsid w:val="002C5C27"/>
    <w:rsid w:val="002C5EC5"/>
    <w:rsid w:val="002C6327"/>
    <w:rsid w:val="002C656E"/>
    <w:rsid w:val="002C686F"/>
    <w:rsid w:val="002C6B91"/>
    <w:rsid w:val="002C6BA2"/>
    <w:rsid w:val="002C6CA2"/>
    <w:rsid w:val="002C6F2A"/>
    <w:rsid w:val="002C70B9"/>
    <w:rsid w:val="002C716C"/>
    <w:rsid w:val="002C78F7"/>
    <w:rsid w:val="002C7C1C"/>
    <w:rsid w:val="002D02AE"/>
    <w:rsid w:val="002D06D3"/>
    <w:rsid w:val="002D074A"/>
    <w:rsid w:val="002D0A34"/>
    <w:rsid w:val="002D13A2"/>
    <w:rsid w:val="002D1513"/>
    <w:rsid w:val="002D1592"/>
    <w:rsid w:val="002D1932"/>
    <w:rsid w:val="002D194C"/>
    <w:rsid w:val="002D1A4A"/>
    <w:rsid w:val="002D202D"/>
    <w:rsid w:val="002D219F"/>
    <w:rsid w:val="002D2442"/>
    <w:rsid w:val="002D26ED"/>
    <w:rsid w:val="002D2901"/>
    <w:rsid w:val="002D2BDD"/>
    <w:rsid w:val="002D2D26"/>
    <w:rsid w:val="002D2F9B"/>
    <w:rsid w:val="002D3267"/>
    <w:rsid w:val="002D33E0"/>
    <w:rsid w:val="002D3400"/>
    <w:rsid w:val="002D3674"/>
    <w:rsid w:val="002D4119"/>
    <w:rsid w:val="002D424E"/>
    <w:rsid w:val="002D432D"/>
    <w:rsid w:val="002D4FCA"/>
    <w:rsid w:val="002D53FA"/>
    <w:rsid w:val="002D5439"/>
    <w:rsid w:val="002D5710"/>
    <w:rsid w:val="002D57DD"/>
    <w:rsid w:val="002D582F"/>
    <w:rsid w:val="002D5B8B"/>
    <w:rsid w:val="002D5BE6"/>
    <w:rsid w:val="002D655C"/>
    <w:rsid w:val="002D69C3"/>
    <w:rsid w:val="002D6EB1"/>
    <w:rsid w:val="002D7226"/>
    <w:rsid w:val="002D779F"/>
    <w:rsid w:val="002D77A7"/>
    <w:rsid w:val="002D7C5E"/>
    <w:rsid w:val="002E070D"/>
    <w:rsid w:val="002E073E"/>
    <w:rsid w:val="002E0DCF"/>
    <w:rsid w:val="002E1352"/>
    <w:rsid w:val="002E1417"/>
    <w:rsid w:val="002E1873"/>
    <w:rsid w:val="002E2774"/>
    <w:rsid w:val="002E27E7"/>
    <w:rsid w:val="002E29CE"/>
    <w:rsid w:val="002E2B15"/>
    <w:rsid w:val="002E30EE"/>
    <w:rsid w:val="002E3651"/>
    <w:rsid w:val="002E367B"/>
    <w:rsid w:val="002E43EB"/>
    <w:rsid w:val="002E44A8"/>
    <w:rsid w:val="002E4627"/>
    <w:rsid w:val="002E4B6E"/>
    <w:rsid w:val="002E4E4E"/>
    <w:rsid w:val="002E5146"/>
    <w:rsid w:val="002E5748"/>
    <w:rsid w:val="002E57CF"/>
    <w:rsid w:val="002E595A"/>
    <w:rsid w:val="002E5991"/>
    <w:rsid w:val="002E5CE7"/>
    <w:rsid w:val="002E64B4"/>
    <w:rsid w:val="002E64FC"/>
    <w:rsid w:val="002E6630"/>
    <w:rsid w:val="002E701E"/>
    <w:rsid w:val="002E7020"/>
    <w:rsid w:val="002E73C6"/>
    <w:rsid w:val="002E7CC8"/>
    <w:rsid w:val="002F0135"/>
    <w:rsid w:val="002F0446"/>
    <w:rsid w:val="002F0A87"/>
    <w:rsid w:val="002F0EA1"/>
    <w:rsid w:val="002F2242"/>
    <w:rsid w:val="002F244C"/>
    <w:rsid w:val="002F24CE"/>
    <w:rsid w:val="002F24D8"/>
    <w:rsid w:val="002F27FC"/>
    <w:rsid w:val="002F299B"/>
    <w:rsid w:val="002F2A3F"/>
    <w:rsid w:val="002F2C51"/>
    <w:rsid w:val="002F3890"/>
    <w:rsid w:val="002F3B20"/>
    <w:rsid w:val="002F4ABE"/>
    <w:rsid w:val="002F4AE9"/>
    <w:rsid w:val="002F51E1"/>
    <w:rsid w:val="002F561B"/>
    <w:rsid w:val="002F5B3D"/>
    <w:rsid w:val="002F697E"/>
    <w:rsid w:val="002F6A2E"/>
    <w:rsid w:val="002F6B4E"/>
    <w:rsid w:val="002F73AB"/>
    <w:rsid w:val="002F73AD"/>
    <w:rsid w:val="00300059"/>
    <w:rsid w:val="00300393"/>
    <w:rsid w:val="00300520"/>
    <w:rsid w:val="00300AE4"/>
    <w:rsid w:val="00300C62"/>
    <w:rsid w:val="00301756"/>
    <w:rsid w:val="0030185F"/>
    <w:rsid w:val="00302229"/>
    <w:rsid w:val="003024C3"/>
    <w:rsid w:val="00302636"/>
    <w:rsid w:val="0030267A"/>
    <w:rsid w:val="00302715"/>
    <w:rsid w:val="00302957"/>
    <w:rsid w:val="00302C9E"/>
    <w:rsid w:val="003034DA"/>
    <w:rsid w:val="0030355A"/>
    <w:rsid w:val="00303866"/>
    <w:rsid w:val="00303CC6"/>
    <w:rsid w:val="00303CF1"/>
    <w:rsid w:val="0030453B"/>
    <w:rsid w:val="00304577"/>
    <w:rsid w:val="00304656"/>
    <w:rsid w:val="003048BD"/>
    <w:rsid w:val="00304ABA"/>
    <w:rsid w:val="00304D42"/>
    <w:rsid w:val="0030564B"/>
    <w:rsid w:val="00305A04"/>
    <w:rsid w:val="00305AD9"/>
    <w:rsid w:val="00305F70"/>
    <w:rsid w:val="00306641"/>
    <w:rsid w:val="003069A8"/>
    <w:rsid w:val="0030711A"/>
    <w:rsid w:val="003073A2"/>
    <w:rsid w:val="003078C4"/>
    <w:rsid w:val="00307E91"/>
    <w:rsid w:val="003102EC"/>
    <w:rsid w:val="00310786"/>
    <w:rsid w:val="003111E6"/>
    <w:rsid w:val="00311634"/>
    <w:rsid w:val="003117DF"/>
    <w:rsid w:val="00311D65"/>
    <w:rsid w:val="0031223E"/>
    <w:rsid w:val="00312ECF"/>
    <w:rsid w:val="00313BDB"/>
    <w:rsid w:val="00314148"/>
    <w:rsid w:val="00314648"/>
    <w:rsid w:val="0031470E"/>
    <w:rsid w:val="00314B94"/>
    <w:rsid w:val="0031590F"/>
    <w:rsid w:val="00315B98"/>
    <w:rsid w:val="00315BBF"/>
    <w:rsid w:val="00316376"/>
    <w:rsid w:val="003163DD"/>
    <w:rsid w:val="00316455"/>
    <w:rsid w:val="003168F4"/>
    <w:rsid w:val="00316FBB"/>
    <w:rsid w:val="00317A0A"/>
    <w:rsid w:val="00317AE6"/>
    <w:rsid w:val="00317CEC"/>
    <w:rsid w:val="0032048A"/>
    <w:rsid w:val="003206E0"/>
    <w:rsid w:val="003209CB"/>
    <w:rsid w:val="00320BAD"/>
    <w:rsid w:val="00320D0B"/>
    <w:rsid w:val="00320FE8"/>
    <w:rsid w:val="0032121F"/>
    <w:rsid w:val="00321788"/>
    <w:rsid w:val="00321BE4"/>
    <w:rsid w:val="00322892"/>
    <w:rsid w:val="0032292D"/>
    <w:rsid w:val="0032298C"/>
    <w:rsid w:val="003237A6"/>
    <w:rsid w:val="0032395B"/>
    <w:rsid w:val="00323C16"/>
    <w:rsid w:val="00323C42"/>
    <w:rsid w:val="00323E89"/>
    <w:rsid w:val="00324107"/>
    <w:rsid w:val="00324521"/>
    <w:rsid w:val="003247C9"/>
    <w:rsid w:val="00324E8B"/>
    <w:rsid w:val="00325027"/>
    <w:rsid w:val="0032527A"/>
    <w:rsid w:val="00325376"/>
    <w:rsid w:val="003253C8"/>
    <w:rsid w:val="00325C4E"/>
    <w:rsid w:val="00325D50"/>
    <w:rsid w:val="00325E0B"/>
    <w:rsid w:val="00325E3B"/>
    <w:rsid w:val="003260B8"/>
    <w:rsid w:val="00326A49"/>
    <w:rsid w:val="00326D45"/>
    <w:rsid w:val="0032718E"/>
    <w:rsid w:val="003271F0"/>
    <w:rsid w:val="00327D5E"/>
    <w:rsid w:val="003304C7"/>
    <w:rsid w:val="00330516"/>
    <w:rsid w:val="00330519"/>
    <w:rsid w:val="003309C5"/>
    <w:rsid w:val="00330CB0"/>
    <w:rsid w:val="003316AF"/>
    <w:rsid w:val="00331E19"/>
    <w:rsid w:val="00332332"/>
    <w:rsid w:val="0033237A"/>
    <w:rsid w:val="0033241E"/>
    <w:rsid w:val="003324DE"/>
    <w:rsid w:val="003326CC"/>
    <w:rsid w:val="003327C5"/>
    <w:rsid w:val="003328E3"/>
    <w:rsid w:val="00332D03"/>
    <w:rsid w:val="0033305D"/>
    <w:rsid w:val="003339B9"/>
    <w:rsid w:val="00333F11"/>
    <w:rsid w:val="0033402E"/>
    <w:rsid w:val="00334111"/>
    <w:rsid w:val="0033461F"/>
    <w:rsid w:val="003349B3"/>
    <w:rsid w:val="003349B5"/>
    <w:rsid w:val="00334CFD"/>
    <w:rsid w:val="00334E1E"/>
    <w:rsid w:val="00335004"/>
    <w:rsid w:val="0033521F"/>
    <w:rsid w:val="00335FB8"/>
    <w:rsid w:val="00336166"/>
    <w:rsid w:val="003361B1"/>
    <w:rsid w:val="00336E33"/>
    <w:rsid w:val="00336EBB"/>
    <w:rsid w:val="0033762D"/>
    <w:rsid w:val="003379BA"/>
    <w:rsid w:val="00340303"/>
    <w:rsid w:val="0034038D"/>
    <w:rsid w:val="0034089C"/>
    <w:rsid w:val="00340BEA"/>
    <w:rsid w:val="00340F89"/>
    <w:rsid w:val="00341B3D"/>
    <w:rsid w:val="00341B8F"/>
    <w:rsid w:val="00341CA3"/>
    <w:rsid w:val="00341E5D"/>
    <w:rsid w:val="003420C4"/>
    <w:rsid w:val="00342233"/>
    <w:rsid w:val="00342728"/>
    <w:rsid w:val="00342C76"/>
    <w:rsid w:val="00342D6B"/>
    <w:rsid w:val="00343340"/>
    <w:rsid w:val="00343361"/>
    <w:rsid w:val="00343912"/>
    <w:rsid w:val="00343C82"/>
    <w:rsid w:val="0034409F"/>
    <w:rsid w:val="00344407"/>
    <w:rsid w:val="00344B74"/>
    <w:rsid w:val="00344C48"/>
    <w:rsid w:val="00344F44"/>
    <w:rsid w:val="00344FE7"/>
    <w:rsid w:val="00345955"/>
    <w:rsid w:val="00345A1D"/>
    <w:rsid w:val="00345C33"/>
    <w:rsid w:val="00345FAA"/>
    <w:rsid w:val="00346459"/>
    <w:rsid w:val="0034649F"/>
    <w:rsid w:val="003468F1"/>
    <w:rsid w:val="00346C32"/>
    <w:rsid w:val="00347072"/>
    <w:rsid w:val="00347414"/>
    <w:rsid w:val="003475C1"/>
    <w:rsid w:val="00347782"/>
    <w:rsid w:val="003479AF"/>
    <w:rsid w:val="00350390"/>
    <w:rsid w:val="003508FF"/>
    <w:rsid w:val="00350B83"/>
    <w:rsid w:val="00350E61"/>
    <w:rsid w:val="003512E5"/>
    <w:rsid w:val="0035147C"/>
    <w:rsid w:val="00351B63"/>
    <w:rsid w:val="00352144"/>
    <w:rsid w:val="003523AB"/>
    <w:rsid w:val="00352581"/>
    <w:rsid w:val="00352EA7"/>
    <w:rsid w:val="00353DAF"/>
    <w:rsid w:val="0035474A"/>
    <w:rsid w:val="00354CC4"/>
    <w:rsid w:val="00354D0C"/>
    <w:rsid w:val="00354DAE"/>
    <w:rsid w:val="00355241"/>
    <w:rsid w:val="0035528E"/>
    <w:rsid w:val="0035578E"/>
    <w:rsid w:val="00355825"/>
    <w:rsid w:val="00355A16"/>
    <w:rsid w:val="00355B51"/>
    <w:rsid w:val="00356626"/>
    <w:rsid w:val="00357023"/>
    <w:rsid w:val="003574E3"/>
    <w:rsid w:val="003575E6"/>
    <w:rsid w:val="00357E81"/>
    <w:rsid w:val="0036014A"/>
    <w:rsid w:val="00360153"/>
    <w:rsid w:val="00360316"/>
    <w:rsid w:val="00360AE9"/>
    <w:rsid w:val="00360F70"/>
    <w:rsid w:val="003610ED"/>
    <w:rsid w:val="00361DC0"/>
    <w:rsid w:val="00361F12"/>
    <w:rsid w:val="00362096"/>
    <w:rsid w:val="003620D8"/>
    <w:rsid w:val="00362421"/>
    <w:rsid w:val="00362C25"/>
    <w:rsid w:val="003630CC"/>
    <w:rsid w:val="0036312D"/>
    <w:rsid w:val="003634C1"/>
    <w:rsid w:val="00363BA7"/>
    <w:rsid w:val="0036427D"/>
    <w:rsid w:val="00364875"/>
    <w:rsid w:val="00364C1A"/>
    <w:rsid w:val="00365813"/>
    <w:rsid w:val="00365B22"/>
    <w:rsid w:val="00365B95"/>
    <w:rsid w:val="003661C5"/>
    <w:rsid w:val="003662E5"/>
    <w:rsid w:val="003666DC"/>
    <w:rsid w:val="00366B6A"/>
    <w:rsid w:val="00366D64"/>
    <w:rsid w:val="00367233"/>
    <w:rsid w:val="0036771C"/>
    <w:rsid w:val="0036792E"/>
    <w:rsid w:val="00367A5E"/>
    <w:rsid w:val="00367B65"/>
    <w:rsid w:val="00367BB1"/>
    <w:rsid w:val="00367D24"/>
    <w:rsid w:val="0037050D"/>
    <w:rsid w:val="00370770"/>
    <w:rsid w:val="003709D5"/>
    <w:rsid w:val="00370AA8"/>
    <w:rsid w:val="00370AE9"/>
    <w:rsid w:val="00370C38"/>
    <w:rsid w:val="00371254"/>
    <w:rsid w:val="003713AE"/>
    <w:rsid w:val="0037198B"/>
    <w:rsid w:val="003719D1"/>
    <w:rsid w:val="0037277E"/>
    <w:rsid w:val="0037294B"/>
    <w:rsid w:val="003729AD"/>
    <w:rsid w:val="00372E11"/>
    <w:rsid w:val="00372FAB"/>
    <w:rsid w:val="0037308D"/>
    <w:rsid w:val="003730B9"/>
    <w:rsid w:val="00373885"/>
    <w:rsid w:val="00373EB0"/>
    <w:rsid w:val="00374017"/>
    <w:rsid w:val="0037419D"/>
    <w:rsid w:val="003745F4"/>
    <w:rsid w:val="00374661"/>
    <w:rsid w:val="00374992"/>
    <w:rsid w:val="00374E6B"/>
    <w:rsid w:val="00375D55"/>
    <w:rsid w:val="00375FF5"/>
    <w:rsid w:val="0037627E"/>
    <w:rsid w:val="003762D9"/>
    <w:rsid w:val="003765F0"/>
    <w:rsid w:val="00376A21"/>
    <w:rsid w:val="00376DA8"/>
    <w:rsid w:val="003770B5"/>
    <w:rsid w:val="003771CB"/>
    <w:rsid w:val="0037766D"/>
    <w:rsid w:val="00377B1E"/>
    <w:rsid w:val="00377BFB"/>
    <w:rsid w:val="00377DA9"/>
    <w:rsid w:val="0038016B"/>
    <w:rsid w:val="0038022C"/>
    <w:rsid w:val="00380683"/>
    <w:rsid w:val="003809C8"/>
    <w:rsid w:val="00380F9F"/>
    <w:rsid w:val="00381607"/>
    <w:rsid w:val="00381643"/>
    <w:rsid w:val="003818C6"/>
    <w:rsid w:val="0038195D"/>
    <w:rsid w:val="00382698"/>
    <w:rsid w:val="003826DB"/>
    <w:rsid w:val="00382762"/>
    <w:rsid w:val="00382D32"/>
    <w:rsid w:val="00382E6A"/>
    <w:rsid w:val="00382F7E"/>
    <w:rsid w:val="00383059"/>
    <w:rsid w:val="003834DF"/>
    <w:rsid w:val="00383A8F"/>
    <w:rsid w:val="00383C0F"/>
    <w:rsid w:val="00383CAB"/>
    <w:rsid w:val="00383D55"/>
    <w:rsid w:val="00383E25"/>
    <w:rsid w:val="00384120"/>
    <w:rsid w:val="0038419E"/>
    <w:rsid w:val="00384865"/>
    <w:rsid w:val="00384C56"/>
    <w:rsid w:val="00384CE5"/>
    <w:rsid w:val="003857F4"/>
    <w:rsid w:val="00385BC6"/>
    <w:rsid w:val="00385EF9"/>
    <w:rsid w:val="00386415"/>
    <w:rsid w:val="003865C8"/>
    <w:rsid w:val="003866DF"/>
    <w:rsid w:val="00386C60"/>
    <w:rsid w:val="00386D01"/>
    <w:rsid w:val="00387529"/>
    <w:rsid w:val="00387ABE"/>
    <w:rsid w:val="0039035E"/>
    <w:rsid w:val="003903F6"/>
    <w:rsid w:val="00390620"/>
    <w:rsid w:val="0039065B"/>
    <w:rsid w:val="00390732"/>
    <w:rsid w:val="00390AEA"/>
    <w:rsid w:val="0039104A"/>
    <w:rsid w:val="0039143C"/>
    <w:rsid w:val="0039174F"/>
    <w:rsid w:val="0039199B"/>
    <w:rsid w:val="003921FB"/>
    <w:rsid w:val="00392300"/>
    <w:rsid w:val="0039255E"/>
    <w:rsid w:val="00392796"/>
    <w:rsid w:val="00392C21"/>
    <w:rsid w:val="00393210"/>
    <w:rsid w:val="0039331E"/>
    <w:rsid w:val="00393882"/>
    <w:rsid w:val="003946D6"/>
    <w:rsid w:val="0039479A"/>
    <w:rsid w:val="00394B90"/>
    <w:rsid w:val="0039578A"/>
    <w:rsid w:val="00395D20"/>
    <w:rsid w:val="00395D28"/>
    <w:rsid w:val="003962B1"/>
    <w:rsid w:val="003962EA"/>
    <w:rsid w:val="00396F81"/>
    <w:rsid w:val="003972DA"/>
    <w:rsid w:val="0039753D"/>
    <w:rsid w:val="003976A2"/>
    <w:rsid w:val="003978EB"/>
    <w:rsid w:val="00397951"/>
    <w:rsid w:val="00397BEA"/>
    <w:rsid w:val="003A073D"/>
    <w:rsid w:val="003A0CDC"/>
    <w:rsid w:val="003A0D57"/>
    <w:rsid w:val="003A0E08"/>
    <w:rsid w:val="003A1183"/>
    <w:rsid w:val="003A120F"/>
    <w:rsid w:val="003A1A56"/>
    <w:rsid w:val="003A25AD"/>
    <w:rsid w:val="003A26E3"/>
    <w:rsid w:val="003A2CE5"/>
    <w:rsid w:val="003A2F62"/>
    <w:rsid w:val="003A2F68"/>
    <w:rsid w:val="003A33D8"/>
    <w:rsid w:val="003A3782"/>
    <w:rsid w:val="003A37C9"/>
    <w:rsid w:val="003A39AA"/>
    <w:rsid w:val="003A3C8A"/>
    <w:rsid w:val="003A3F32"/>
    <w:rsid w:val="003A40BC"/>
    <w:rsid w:val="003A4BD5"/>
    <w:rsid w:val="003A4BE5"/>
    <w:rsid w:val="003A4F03"/>
    <w:rsid w:val="003A4FAF"/>
    <w:rsid w:val="003A4FDF"/>
    <w:rsid w:val="003A5141"/>
    <w:rsid w:val="003A5689"/>
    <w:rsid w:val="003A56A2"/>
    <w:rsid w:val="003A6049"/>
    <w:rsid w:val="003A6B12"/>
    <w:rsid w:val="003A6D26"/>
    <w:rsid w:val="003A6E2C"/>
    <w:rsid w:val="003A715A"/>
    <w:rsid w:val="003A7594"/>
    <w:rsid w:val="003A7659"/>
    <w:rsid w:val="003A7B3A"/>
    <w:rsid w:val="003A7D64"/>
    <w:rsid w:val="003B0061"/>
    <w:rsid w:val="003B014D"/>
    <w:rsid w:val="003B0537"/>
    <w:rsid w:val="003B0D57"/>
    <w:rsid w:val="003B0E1F"/>
    <w:rsid w:val="003B169B"/>
    <w:rsid w:val="003B1A50"/>
    <w:rsid w:val="003B23DC"/>
    <w:rsid w:val="003B2A0B"/>
    <w:rsid w:val="003B2C6B"/>
    <w:rsid w:val="003B2E04"/>
    <w:rsid w:val="003B2FCA"/>
    <w:rsid w:val="003B36CB"/>
    <w:rsid w:val="003B37EE"/>
    <w:rsid w:val="003B3A4F"/>
    <w:rsid w:val="003B3C7C"/>
    <w:rsid w:val="003B3DE4"/>
    <w:rsid w:val="003B3F00"/>
    <w:rsid w:val="003B442D"/>
    <w:rsid w:val="003B4BAE"/>
    <w:rsid w:val="003B4DE1"/>
    <w:rsid w:val="003B4F0F"/>
    <w:rsid w:val="003B4F75"/>
    <w:rsid w:val="003B5210"/>
    <w:rsid w:val="003B5364"/>
    <w:rsid w:val="003B5410"/>
    <w:rsid w:val="003B55B3"/>
    <w:rsid w:val="003B56ED"/>
    <w:rsid w:val="003B5A9C"/>
    <w:rsid w:val="003B5BC4"/>
    <w:rsid w:val="003B5E5E"/>
    <w:rsid w:val="003B5F5B"/>
    <w:rsid w:val="003B60A5"/>
    <w:rsid w:val="003B61F9"/>
    <w:rsid w:val="003B6275"/>
    <w:rsid w:val="003B6519"/>
    <w:rsid w:val="003B6568"/>
    <w:rsid w:val="003B6AC6"/>
    <w:rsid w:val="003B755C"/>
    <w:rsid w:val="003B7E25"/>
    <w:rsid w:val="003B7ECB"/>
    <w:rsid w:val="003C010A"/>
    <w:rsid w:val="003C0C11"/>
    <w:rsid w:val="003C12D1"/>
    <w:rsid w:val="003C12E3"/>
    <w:rsid w:val="003C1324"/>
    <w:rsid w:val="003C2148"/>
    <w:rsid w:val="003C2320"/>
    <w:rsid w:val="003C236F"/>
    <w:rsid w:val="003C27A5"/>
    <w:rsid w:val="003C2BDF"/>
    <w:rsid w:val="003C2DC1"/>
    <w:rsid w:val="003C2E43"/>
    <w:rsid w:val="003C2F9E"/>
    <w:rsid w:val="003C32C5"/>
    <w:rsid w:val="003C3604"/>
    <w:rsid w:val="003C3631"/>
    <w:rsid w:val="003C39C7"/>
    <w:rsid w:val="003C3AAC"/>
    <w:rsid w:val="003C404C"/>
    <w:rsid w:val="003C41CE"/>
    <w:rsid w:val="003C43BD"/>
    <w:rsid w:val="003C44AD"/>
    <w:rsid w:val="003C4624"/>
    <w:rsid w:val="003C49A2"/>
    <w:rsid w:val="003C4C7E"/>
    <w:rsid w:val="003C4FFE"/>
    <w:rsid w:val="003C5049"/>
    <w:rsid w:val="003C558A"/>
    <w:rsid w:val="003C55C6"/>
    <w:rsid w:val="003C55E3"/>
    <w:rsid w:val="003C5C3F"/>
    <w:rsid w:val="003C5E38"/>
    <w:rsid w:val="003C6397"/>
    <w:rsid w:val="003C6399"/>
    <w:rsid w:val="003C63C2"/>
    <w:rsid w:val="003C652A"/>
    <w:rsid w:val="003C665E"/>
    <w:rsid w:val="003C69FB"/>
    <w:rsid w:val="003C71DE"/>
    <w:rsid w:val="003C7209"/>
    <w:rsid w:val="003C730A"/>
    <w:rsid w:val="003C7384"/>
    <w:rsid w:val="003C767E"/>
    <w:rsid w:val="003C78AA"/>
    <w:rsid w:val="003C79C7"/>
    <w:rsid w:val="003C7B15"/>
    <w:rsid w:val="003C7DAE"/>
    <w:rsid w:val="003C7F87"/>
    <w:rsid w:val="003C7FC2"/>
    <w:rsid w:val="003D000D"/>
    <w:rsid w:val="003D006D"/>
    <w:rsid w:val="003D033A"/>
    <w:rsid w:val="003D051B"/>
    <w:rsid w:val="003D0A61"/>
    <w:rsid w:val="003D0FB8"/>
    <w:rsid w:val="003D1616"/>
    <w:rsid w:val="003D16EF"/>
    <w:rsid w:val="003D2023"/>
    <w:rsid w:val="003D21E7"/>
    <w:rsid w:val="003D23FD"/>
    <w:rsid w:val="003D2477"/>
    <w:rsid w:val="003D2826"/>
    <w:rsid w:val="003D2915"/>
    <w:rsid w:val="003D298E"/>
    <w:rsid w:val="003D2E40"/>
    <w:rsid w:val="003D2ECA"/>
    <w:rsid w:val="003D3467"/>
    <w:rsid w:val="003D3668"/>
    <w:rsid w:val="003D3A89"/>
    <w:rsid w:val="003D3AF3"/>
    <w:rsid w:val="003D42F1"/>
    <w:rsid w:val="003D4486"/>
    <w:rsid w:val="003D4D1D"/>
    <w:rsid w:val="003D4EDC"/>
    <w:rsid w:val="003D4FF9"/>
    <w:rsid w:val="003D507F"/>
    <w:rsid w:val="003D5530"/>
    <w:rsid w:val="003D560C"/>
    <w:rsid w:val="003D5961"/>
    <w:rsid w:val="003D5A56"/>
    <w:rsid w:val="003D5CE8"/>
    <w:rsid w:val="003D5E09"/>
    <w:rsid w:val="003D64A6"/>
    <w:rsid w:val="003D6C63"/>
    <w:rsid w:val="003D6D36"/>
    <w:rsid w:val="003D6ED6"/>
    <w:rsid w:val="003D751B"/>
    <w:rsid w:val="003D76E5"/>
    <w:rsid w:val="003D781E"/>
    <w:rsid w:val="003D7A02"/>
    <w:rsid w:val="003D7C32"/>
    <w:rsid w:val="003D7C90"/>
    <w:rsid w:val="003E0592"/>
    <w:rsid w:val="003E06F6"/>
    <w:rsid w:val="003E079F"/>
    <w:rsid w:val="003E097D"/>
    <w:rsid w:val="003E0FBF"/>
    <w:rsid w:val="003E10D0"/>
    <w:rsid w:val="003E1131"/>
    <w:rsid w:val="003E137F"/>
    <w:rsid w:val="003E14C9"/>
    <w:rsid w:val="003E18C3"/>
    <w:rsid w:val="003E26ED"/>
    <w:rsid w:val="003E2A10"/>
    <w:rsid w:val="003E2D28"/>
    <w:rsid w:val="003E2FF0"/>
    <w:rsid w:val="003E337B"/>
    <w:rsid w:val="003E3AB7"/>
    <w:rsid w:val="003E4923"/>
    <w:rsid w:val="003E4D74"/>
    <w:rsid w:val="003E51A4"/>
    <w:rsid w:val="003E5319"/>
    <w:rsid w:val="003E58C2"/>
    <w:rsid w:val="003E5916"/>
    <w:rsid w:val="003E5A76"/>
    <w:rsid w:val="003E6376"/>
    <w:rsid w:val="003E6687"/>
    <w:rsid w:val="003E6B27"/>
    <w:rsid w:val="003E6B9D"/>
    <w:rsid w:val="003E72B1"/>
    <w:rsid w:val="003E764F"/>
    <w:rsid w:val="003E7A12"/>
    <w:rsid w:val="003E7DC6"/>
    <w:rsid w:val="003F00DF"/>
    <w:rsid w:val="003F02CB"/>
    <w:rsid w:val="003F0522"/>
    <w:rsid w:val="003F0FD9"/>
    <w:rsid w:val="003F12EC"/>
    <w:rsid w:val="003F14FD"/>
    <w:rsid w:val="003F172A"/>
    <w:rsid w:val="003F1C3D"/>
    <w:rsid w:val="003F1FDA"/>
    <w:rsid w:val="003F23D3"/>
    <w:rsid w:val="003F25E9"/>
    <w:rsid w:val="003F2602"/>
    <w:rsid w:val="003F2678"/>
    <w:rsid w:val="003F2797"/>
    <w:rsid w:val="003F2FAE"/>
    <w:rsid w:val="003F33C3"/>
    <w:rsid w:val="003F37AB"/>
    <w:rsid w:val="003F387F"/>
    <w:rsid w:val="003F3ABA"/>
    <w:rsid w:val="003F3E96"/>
    <w:rsid w:val="003F452D"/>
    <w:rsid w:val="003F45D6"/>
    <w:rsid w:val="003F4BFE"/>
    <w:rsid w:val="003F4F25"/>
    <w:rsid w:val="003F5BE6"/>
    <w:rsid w:val="003F60FD"/>
    <w:rsid w:val="003F6D16"/>
    <w:rsid w:val="003F6D25"/>
    <w:rsid w:val="003F6F5A"/>
    <w:rsid w:val="003F7603"/>
    <w:rsid w:val="003F788F"/>
    <w:rsid w:val="003F797D"/>
    <w:rsid w:val="003F7A45"/>
    <w:rsid w:val="0040000C"/>
    <w:rsid w:val="004001E8"/>
    <w:rsid w:val="00400302"/>
    <w:rsid w:val="004009D9"/>
    <w:rsid w:val="00400F52"/>
    <w:rsid w:val="00401764"/>
    <w:rsid w:val="0040189C"/>
    <w:rsid w:val="00401C21"/>
    <w:rsid w:val="00402A89"/>
    <w:rsid w:val="00403293"/>
    <w:rsid w:val="0040338B"/>
    <w:rsid w:val="004035DD"/>
    <w:rsid w:val="004038B3"/>
    <w:rsid w:val="0040398A"/>
    <w:rsid w:val="00403CA0"/>
    <w:rsid w:val="00403E2F"/>
    <w:rsid w:val="00404BDC"/>
    <w:rsid w:val="00404D7B"/>
    <w:rsid w:val="00404E4D"/>
    <w:rsid w:val="00405871"/>
    <w:rsid w:val="00405CD9"/>
    <w:rsid w:val="00405E01"/>
    <w:rsid w:val="0040653F"/>
    <w:rsid w:val="00406651"/>
    <w:rsid w:val="00406703"/>
    <w:rsid w:val="00406B25"/>
    <w:rsid w:val="00406BCD"/>
    <w:rsid w:val="0040736D"/>
    <w:rsid w:val="00407382"/>
    <w:rsid w:val="0040745B"/>
    <w:rsid w:val="0040758D"/>
    <w:rsid w:val="00407E97"/>
    <w:rsid w:val="00410065"/>
    <w:rsid w:val="00411FC4"/>
    <w:rsid w:val="0041234E"/>
    <w:rsid w:val="0041253D"/>
    <w:rsid w:val="00412813"/>
    <w:rsid w:val="004129C0"/>
    <w:rsid w:val="00412EE0"/>
    <w:rsid w:val="0041338E"/>
    <w:rsid w:val="004133C3"/>
    <w:rsid w:val="00413660"/>
    <w:rsid w:val="004137F1"/>
    <w:rsid w:val="0041384B"/>
    <w:rsid w:val="004138A4"/>
    <w:rsid w:val="00414055"/>
    <w:rsid w:val="004143E8"/>
    <w:rsid w:val="004144CF"/>
    <w:rsid w:val="0041463A"/>
    <w:rsid w:val="0041476E"/>
    <w:rsid w:val="00414823"/>
    <w:rsid w:val="004152CD"/>
    <w:rsid w:val="0041555C"/>
    <w:rsid w:val="00415A63"/>
    <w:rsid w:val="00415AC4"/>
    <w:rsid w:val="00415ED1"/>
    <w:rsid w:val="0041620C"/>
    <w:rsid w:val="00416BBD"/>
    <w:rsid w:val="00416C06"/>
    <w:rsid w:val="00416C36"/>
    <w:rsid w:val="004172A8"/>
    <w:rsid w:val="0041733C"/>
    <w:rsid w:val="0041772B"/>
    <w:rsid w:val="004179DB"/>
    <w:rsid w:val="004179EA"/>
    <w:rsid w:val="00417D4E"/>
    <w:rsid w:val="004200C3"/>
    <w:rsid w:val="00420212"/>
    <w:rsid w:val="00420865"/>
    <w:rsid w:val="00420A55"/>
    <w:rsid w:val="00420A5C"/>
    <w:rsid w:val="00420E60"/>
    <w:rsid w:val="0042178F"/>
    <w:rsid w:val="004217D5"/>
    <w:rsid w:val="0042190C"/>
    <w:rsid w:val="004219A7"/>
    <w:rsid w:val="00422049"/>
    <w:rsid w:val="00422232"/>
    <w:rsid w:val="0042226E"/>
    <w:rsid w:val="004222F3"/>
    <w:rsid w:val="00422681"/>
    <w:rsid w:val="00423192"/>
    <w:rsid w:val="00423816"/>
    <w:rsid w:val="00423B70"/>
    <w:rsid w:val="00423BE9"/>
    <w:rsid w:val="00423D75"/>
    <w:rsid w:val="0042453A"/>
    <w:rsid w:val="0042465E"/>
    <w:rsid w:val="00424683"/>
    <w:rsid w:val="004246C9"/>
    <w:rsid w:val="00424B98"/>
    <w:rsid w:val="00424B9C"/>
    <w:rsid w:val="00425006"/>
    <w:rsid w:val="004255E5"/>
    <w:rsid w:val="00425DEC"/>
    <w:rsid w:val="004263BC"/>
    <w:rsid w:val="004270FE"/>
    <w:rsid w:val="0042793F"/>
    <w:rsid w:val="00427D7C"/>
    <w:rsid w:val="00430378"/>
    <w:rsid w:val="00430858"/>
    <w:rsid w:val="00430BD9"/>
    <w:rsid w:val="0043106B"/>
    <w:rsid w:val="0043119A"/>
    <w:rsid w:val="004312B6"/>
    <w:rsid w:val="0043178A"/>
    <w:rsid w:val="004317C7"/>
    <w:rsid w:val="00431A22"/>
    <w:rsid w:val="0043230A"/>
    <w:rsid w:val="0043233C"/>
    <w:rsid w:val="00432422"/>
    <w:rsid w:val="004324FB"/>
    <w:rsid w:val="00432B97"/>
    <w:rsid w:val="004336E6"/>
    <w:rsid w:val="004337C6"/>
    <w:rsid w:val="0043393D"/>
    <w:rsid w:val="00433D25"/>
    <w:rsid w:val="00433D3E"/>
    <w:rsid w:val="00433F16"/>
    <w:rsid w:val="00434140"/>
    <w:rsid w:val="00434275"/>
    <w:rsid w:val="004346A9"/>
    <w:rsid w:val="00434904"/>
    <w:rsid w:val="00434B5B"/>
    <w:rsid w:val="00434B6E"/>
    <w:rsid w:val="00434EAB"/>
    <w:rsid w:val="00435761"/>
    <w:rsid w:val="00435AD6"/>
    <w:rsid w:val="004362B0"/>
    <w:rsid w:val="00436464"/>
    <w:rsid w:val="0043651B"/>
    <w:rsid w:val="004367C1"/>
    <w:rsid w:val="00436EBA"/>
    <w:rsid w:val="00436F1D"/>
    <w:rsid w:val="00436F32"/>
    <w:rsid w:val="00436F50"/>
    <w:rsid w:val="004373A2"/>
    <w:rsid w:val="0043769C"/>
    <w:rsid w:val="004376DB"/>
    <w:rsid w:val="004376EE"/>
    <w:rsid w:val="00437764"/>
    <w:rsid w:val="00437925"/>
    <w:rsid w:val="00437AA7"/>
    <w:rsid w:val="00437ABF"/>
    <w:rsid w:val="00437E05"/>
    <w:rsid w:val="00440608"/>
    <w:rsid w:val="004406EE"/>
    <w:rsid w:val="00440855"/>
    <w:rsid w:val="00440F2E"/>
    <w:rsid w:val="00441251"/>
    <w:rsid w:val="00441324"/>
    <w:rsid w:val="004413AD"/>
    <w:rsid w:val="004414B8"/>
    <w:rsid w:val="0044178A"/>
    <w:rsid w:val="004418A6"/>
    <w:rsid w:val="00441A2F"/>
    <w:rsid w:val="00441F70"/>
    <w:rsid w:val="004426B8"/>
    <w:rsid w:val="004428CE"/>
    <w:rsid w:val="00442EC7"/>
    <w:rsid w:val="00442F62"/>
    <w:rsid w:val="00443120"/>
    <w:rsid w:val="00443D7E"/>
    <w:rsid w:val="00443E53"/>
    <w:rsid w:val="00443E6D"/>
    <w:rsid w:val="0044411D"/>
    <w:rsid w:val="004442B5"/>
    <w:rsid w:val="00444A3B"/>
    <w:rsid w:val="00444C15"/>
    <w:rsid w:val="00444DE6"/>
    <w:rsid w:val="00444FE2"/>
    <w:rsid w:val="00445828"/>
    <w:rsid w:val="00445954"/>
    <w:rsid w:val="00445DC2"/>
    <w:rsid w:val="00445F43"/>
    <w:rsid w:val="004467D3"/>
    <w:rsid w:val="00446B0F"/>
    <w:rsid w:val="00446DC5"/>
    <w:rsid w:val="00446E09"/>
    <w:rsid w:val="00446EBD"/>
    <w:rsid w:val="00447030"/>
    <w:rsid w:val="00447884"/>
    <w:rsid w:val="00447B74"/>
    <w:rsid w:val="00447E6B"/>
    <w:rsid w:val="00447EB2"/>
    <w:rsid w:val="00447F8E"/>
    <w:rsid w:val="00450AEA"/>
    <w:rsid w:val="00450FDD"/>
    <w:rsid w:val="0045175C"/>
    <w:rsid w:val="00451C3D"/>
    <w:rsid w:val="00452298"/>
    <w:rsid w:val="004526DA"/>
    <w:rsid w:val="00452C33"/>
    <w:rsid w:val="00452C7B"/>
    <w:rsid w:val="00452CD6"/>
    <w:rsid w:val="0045334B"/>
    <w:rsid w:val="0045456C"/>
    <w:rsid w:val="004545B7"/>
    <w:rsid w:val="00454FF5"/>
    <w:rsid w:val="004551A9"/>
    <w:rsid w:val="0045595B"/>
    <w:rsid w:val="004559AE"/>
    <w:rsid w:val="00455D79"/>
    <w:rsid w:val="00455F0E"/>
    <w:rsid w:val="00456453"/>
    <w:rsid w:val="00456B6B"/>
    <w:rsid w:val="00456BE5"/>
    <w:rsid w:val="00456DFE"/>
    <w:rsid w:val="004573E5"/>
    <w:rsid w:val="00457544"/>
    <w:rsid w:val="00457999"/>
    <w:rsid w:val="00457A73"/>
    <w:rsid w:val="00457E4A"/>
    <w:rsid w:val="00457F43"/>
    <w:rsid w:val="00460642"/>
    <w:rsid w:val="00460A31"/>
    <w:rsid w:val="00460B3B"/>
    <w:rsid w:val="00460B68"/>
    <w:rsid w:val="00461CC8"/>
    <w:rsid w:val="00462038"/>
    <w:rsid w:val="0046286D"/>
    <w:rsid w:val="004629AB"/>
    <w:rsid w:val="00462ABA"/>
    <w:rsid w:val="00463171"/>
    <w:rsid w:val="004633E0"/>
    <w:rsid w:val="0046387D"/>
    <w:rsid w:val="004638DB"/>
    <w:rsid w:val="004642B4"/>
    <w:rsid w:val="0046486E"/>
    <w:rsid w:val="00464A42"/>
    <w:rsid w:val="00464CAE"/>
    <w:rsid w:val="00464E42"/>
    <w:rsid w:val="0046502C"/>
    <w:rsid w:val="004650E4"/>
    <w:rsid w:val="004655C6"/>
    <w:rsid w:val="00465634"/>
    <w:rsid w:val="004656BF"/>
    <w:rsid w:val="00465D17"/>
    <w:rsid w:val="004664DB"/>
    <w:rsid w:val="0046658D"/>
    <w:rsid w:val="00466FB5"/>
    <w:rsid w:val="004703E1"/>
    <w:rsid w:val="004709B2"/>
    <w:rsid w:val="00470BAF"/>
    <w:rsid w:val="00470C96"/>
    <w:rsid w:val="00470D00"/>
    <w:rsid w:val="00471B00"/>
    <w:rsid w:val="00472AE1"/>
    <w:rsid w:val="00472EA9"/>
    <w:rsid w:val="00473157"/>
    <w:rsid w:val="00473176"/>
    <w:rsid w:val="004734B6"/>
    <w:rsid w:val="004734C5"/>
    <w:rsid w:val="0047364B"/>
    <w:rsid w:val="0047374E"/>
    <w:rsid w:val="00473B3D"/>
    <w:rsid w:val="00473E7E"/>
    <w:rsid w:val="00473E90"/>
    <w:rsid w:val="00473EBB"/>
    <w:rsid w:val="004741F7"/>
    <w:rsid w:val="004742BB"/>
    <w:rsid w:val="004744DB"/>
    <w:rsid w:val="0047477B"/>
    <w:rsid w:val="0047497B"/>
    <w:rsid w:val="00474C6B"/>
    <w:rsid w:val="00475321"/>
    <w:rsid w:val="0047565B"/>
    <w:rsid w:val="0047634F"/>
    <w:rsid w:val="00476358"/>
    <w:rsid w:val="00476B07"/>
    <w:rsid w:val="00476C35"/>
    <w:rsid w:val="00476FD3"/>
    <w:rsid w:val="00477808"/>
    <w:rsid w:val="004779D0"/>
    <w:rsid w:val="00477C19"/>
    <w:rsid w:val="00477DBB"/>
    <w:rsid w:val="004801E0"/>
    <w:rsid w:val="00480BB7"/>
    <w:rsid w:val="00480EE3"/>
    <w:rsid w:val="004812FB"/>
    <w:rsid w:val="004816CA"/>
    <w:rsid w:val="004817BE"/>
    <w:rsid w:val="00481E5F"/>
    <w:rsid w:val="00481E92"/>
    <w:rsid w:val="004826AF"/>
    <w:rsid w:val="0048272F"/>
    <w:rsid w:val="00482D54"/>
    <w:rsid w:val="00483271"/>
    <w:rsid w:val="004835C2"/>
    <w:rsid w:val="00483859"/>
    <w:rsid w:val="00483B46"/>
    <w:rsid w:val="00483D3B"/>
    <w:rsid w:val="004845F1"/>
    <w:rsid w:val="004850B3"/>
    <w:rsid w:val="004850F8"/>
    <w:rsid w:val="004857E7"/>
    <w:rsid w:val="00486130"/>
    <w:rsid w:val="004865A8"/>
    <w:rsid w:val="00486ADC"/>
    <w:rsid w:val="00486B96"/>
    <w:rsid w:val="00486C58"/>
    <w:rsid w:val="0048777D"/>
    <w:rsid w:val="004879AF"/>
    <w:rsid w:val="00487D18"/>
    <w:rsid w:val="00490038"/>
    <w:rsid w:val="00490059"/>
    <w:rsid w:val="00490162"/>
    <w:rsid w:val="004904F7"/>
    <w:rsid w:val="00490A5D"/>
    <w:rsid w:val="00491030"/>
    <w:rsid w:val="004910AC"/>
    <w:rsid w:val="004914D8"/>
    <w:rsid w:val="004919E8"/>
    <w:rsid w:val="00491E18"/>
    <w:rsid w:val="00491F91"/>
    <w:rsid w:val="00491FF6"/>
    <w:rsid w:val="00492145"/>
    <w:rsid w:val="004928CE"/>
    <w:rsid w:val="00492A2F"/>
    <w:rsid w:val="00492BA1"/>
    <w:rsid w:val="00492D7E"/>
    <w:rsid w:val="00493540"/>
    <w:rsid w:val="00493607"/>
    <w:rsid w:val="004939E4"/>
    <w:rsid w:val="00493D36"/>
    <w:rsid w:val="00493E35"/>
    <w:rsid w:val="00494AD6"/>
    <w:rsid w:val="00495120"/>
    <w:rsid w:val="00495E67"/>
    <w:rsid w:val="004963F9"/>
    <w:rsid w:val="0049698A"/>
    <w:rsid w:val="00496B4E"/>
    <w:rsid w:val="00496DE2"/>
    <w:rsid w:val="004970B4"/>
    <w:rsid w:val="00497448"/>
    <w:rsid w:val="004975AA"/>
    <w:rsid w:val="00497935"/>
    <w:rsid w:val="004A034A"/>
    <w:rsid w:val="004A0476"/>
    <w:rsid w:val="004A07D7"/>
    <w:rsid w:val="004A0A69"/>
    <w:rsid w:val="004A0F9E"/>
    <w:rsid w:val="004A10D4"/>
    <w:rsid w:val="004A1130"/>
    <w:rsid w:val="004A1219"/>
    <w:rsid w:val="004A1A77"/>
    <w:rsid w:val="004A1DAA"/>
    <w:rsid w:val="004A23D2"/>
    <w:rsid w:val="004A25A0"/>
    <w:rsid w:val="004A285D"/>
    <w:rsid w:val="004A2D1D"/>
    <w:rsid w:val="004A302B"/>
    <w:rsid w:val="004A3242"/>
    <w:rsid w:val="004A3838"/>
    <w:rsid w:val="004A4467"/>
    <w:rsid w:val="004A4957"/>
    <w:rsid w:val="004A5258"/>
    <w:rsid w:val="004A5467"/>
    <w:rsid w:val="004A5AE2"/>
    <w:rsid w:val="004A5BB1"/>
    <w:rsid w:val="004A5CB1"/>
    <w:rsid w:val="004A5E3E"/>
    <w:rsid w:val="004A5EAA"/>
    <w:rsid w:val="004A638D"/>
    <w:rsid w:val="004A64EC"/>
    <w:rsid w:val="004A695F"/>
    <w:rsid w:val="004A697B"/>
    <w:rsid w:val="004A6A35"/>
    <w:rsid w:val="004A6EA6"/>
    <w:rsid w:val="004A7550"/>
    <w:rsid w:val="004A7966"/>
    <w:rsid w:val="004A7A54"/>
    <w:rsid w:val="004B0239"/>
    <w:rsid w:val="004B0379"/>
    <w:rsid w:val="004B0A69"/>
    <w:rsid w:val="004B0D1E"/>
    <w:rsid w:val="004B0E2E"/>
    <w:rsid w:val="004B1604"/>
    <w:rsid w:val="004B1701"/>
    <w:rsid w:val="004B1804"/>
    <w:rsid w:val="004B18CC"/>
    <w:rsid w:val="004B2609"/>
    <w:rsid w:val="004B2722"/>
    <w:rsid w:val="004B2F3D"/>
    <w:rsid w:val="004B32A0"/>
    <w:rsid w:val="004B36C1"/>
    <w:rsid w:val="004B3A60"/>
    <w:rsid w:val="004B3FCD"/>
    <w:rsid w:val="004B4C62"/>
    <w:rsid w:val="004B4D15"/>
    <w:rsid w:val="004B5064"/>
    <w:rsid w:val="004B5078"/>
    <w:rsid w:val="004B5096"/>
    <w:rsid w:val="004B51DA"/>
    <w:rsid w:val="004B54EF"/>
    <w:rsid w:val="004B592E"/>
    <w:rsid w:val="004B5CE2"/>
    <w:rsid w:val="004B5DAC"/>
    <w:rsid w:val="004B6147"/>
    <w:rsid w:val="004B6184"/>
    <w:rsid w:val="004B6634"/>
    <w:rsid w:val="004B67BB"/>
    <w:rsid w:val="004B67F1"/>
    <w:rsid w:val="004B6812"/>
    <w:rsid w:val="004B6A28"/>
    <w:rsid w:val="004B70CD"/>
    <w:rsid w:val="004B7293"/>
    <w:rsid w:val="004B7DD1"/>
    <w:rsid w:val="004C0096"/>
    <w:rsid w:val="004C00A3"/>
    <w:rsid w:val="004C00F4"/>
    <w:rsid w:val="004C037B"/>
    <w:rsid w:val="004C082A"/>
    <w:rsid w:val="004C0830"/>
    <w:rsid w:val="004C085B"/>
    <w:rsid w:val="004C0BDA"/>
    <w:rsid w:val="004C1472"/>
    <w:rsid w:val="004C165E"/>
    <w:rsid w:val="004C1BF9"/>
    <w:rsid w:val="004C1C3E"/>
    <w:rsid w:val="004C23BD"/>
    <w:rsid w:val="004C2498"/>
    <w:rsid w:val="004C331E"/>
    <w:rsid w:val="004C333F"/>
    <w:rsid w:val="004C33BC"/>
    <w:rsid w:val="004C3D19"/>
    <w:rsid w:val="004C3FC0"/>
    <w:rsid w:val="004C42C9"/>
    <w:rsid w:val="004C4CD7"/>
    <w:rsid w:val="004C4D54"/>
    <w:rsid w:val="004C5B42"/>
    <w:rsid w:val="004C5ECB"/>
    <w:rsid w:val="004C6672"/>
    <w:rsid w:val="004C68B6"/>
    <w:rsid w:val="004C74F1"/>
    <w:rsid w:val="004D039F"/>
    <w:rsid w:val="004D04F6"/>
    <w:rsid w:val="004D0ED5"/>
    <w:rsid w:val="004D12A8"/>
    <w:rsid w:val="004D1906"/>
    <w:rsid w:val="004D1C16"/>
    <w:rsid w:val="004D203B"/>
    <w:rsid w:val="004D240F"/>
    <w:rsid w:val="004D2434"/>
    <w:rsid w:val="004D2710"/>
    <w:rsid w:val="004D29CC"/>
    <w:rsid w:val="004D2AB8"/>
    <w:rsid w:val="004D2D7A"/>
    <w:rsid w:val="004D37B3"/>
    <w:rsid w:val="004D391B"/>
    <w:rsid w:val="004D3E11"/>
    <w:rsid w:val="004D4043"/>
    <w:rsid w:val="004D4304"/>
    <w:rsid w:val="004D470B"/>
    <w:rsid w:val="004D4CD1"/>
    <w:rsid w:val="004D4E73"/>
    <w:rsid w:val="004D503B"/>
    <w:rsid w:val="004D50AB"/>
    <w:rsid w:val="004D514C"/>
    <w:rsid w:val="004D524E"/>
    <w:rsid w:val="004D5266"/>
    <w:rsid w:val="004D54B7"/>
    <w:rsid w:val="004D60DF"/>
    <w:rsid w:val="004D6786"/>
    <w:rsid w:val="004D69E1"/>
    <w:rsid w:val="004D7869"/>
    <w:rsid w:val="004D7EE4"/>
    <w:rsid w:val="004E0137"/>
    <w:rsid w:val="004E11CF"/>
    <w:rsid w:val="004E121B"/>
    <w:rsid w:val="004E18E7"/>
    <w:rsid w:val="004E1E29"/>
    <w:rsid w:val="004E1ECE"/>
    <w:rsid w:val="004E1EF5"/>
    <w:rsid w:val="004E23F7"/>
    <w:rsid w:val="004E24D1"/>
    <w:rsid w:val="004E2A73"/>
    <w:rsid w:val="004E2B5D"/>
    <w:rsid w:val="004E3268"/>
    <w:rsid w:val="004E33F8"/>
    <w:rsid w:val="004E368A"/>
    <w:rsid w:val="004E3801"/>
    <w:rsid w:val="004E39C9"/>
    <w:rsid w:val="004E417F"/>
    <w:rsid w:val="004E41A1"/>
    <w:rsid w:val="004E4391"/>
    <w:rsid w:val="004E46F5"/>
    <w:rsid w:val="004E4CA8"/>
    <w:rsid w:val="004E4D78"/>
    <w:rsid w:val="004E4E20"/>
    <w:rsid w:val="004E500B"/>
    <w:rsid w:val="004E5153"/>
    <w:rsid w:val="004E5C65"/>
    <w:rsid w:val="004E687B"/>
    <w:rsid w:val="004E70F3"/>
    <w:rsid w:val="004E713A"/>
    <w:rsid w:val="004E7649"/>
    <w:rsid w:val="004E79EC"/>
    <w:rsid w:val="004E7AD7"/>
    <w:rsid w:val="004E7B2E"/>
    <w:rsid w:val="004E7BDD"/>
    <w:rsid w:val="004F01D5"/>
    <w:rsid w:val="004F0439"/>
    <w:rsid w:val="004F0738"/>
    <w:rsid w:val="004F0A17"/>
    <w:rsid w:val="004F115C"/>
    <w:rsid w:val="004F13A0"/>
    <w:rsid w:val="004F17D0"/>
    <w:rsid w:val="004F1BB6"/>
    <w:rsid w:val="004F2044"/>
    <w:rsid w:val="004F20DC"/>
    <w:rsid w:val="004F23BA"/>
    <w:rsid w:val="004F33A6"/>
    <w:rsid w:val="004F35B2"/>
    <w:rsid w:val="004F35D6"/>
    <w:rsid w:val="004F3982"/>
    <w:rsid w:val="004F3A47"/>
    <w:rsid w:val="004F3AE1"/>
    <w:rsid w:val="004F3C71"/>
    <w:rsid w:val="004F3CDC"/>
    <w:rsid w:val="004F4537"/>
    <w:rsid w:val="004F4797"/>
    <w:rsid w:val="004F5068"/>
    <w:rsid w:val="004F51E9"/>
    <w:rsid w:val="004F54F5"/>
    <w:rsid w:val="004F551A"/>
    <w:rsid w:val="004F5C06"/>
    <w:rsid w:val="004F5FCC"/>
    <w:rsid w:val="004F63CD"/>
    <w:rsid w:val="004F63D5"/>
    <w:rsid w:val="004F64E4"/>
    <w:rsid w:val="004F662E"/>
    <w:rsid w:val="004F6A3A"/>
    <w:rsid w:val="004F6D13"/>
    <w:rsid w:val="004F6D20"/>
    <w:rsid w:val="004F6E61"/>
    <w:rsid w:val="004F71AC"/>
    <w:rsid w:val="004F75B7"/>
    <w:rsid w:val="004F783D"/>
    <w:rsid w:val="004F798E"/>
    <w:rsid w:val="005004E2"/>
    <w:rsid w:val="005009D1"/>
    <w:rsid w:val="005012E6"/>
    <w:rsid w:val="00501B88"/>
    <w:rsid w:val="0050246A"/>
    <w:rsid w:val="005025AD"/>
    <w:rsid w:val="005029B4"/>
    <w:rsid w:val="005033B1"/>
    <w:rsid w:val="0050348C"/>
    <w:rsid w:val="005039C8"/>
    <w:rsid w:val="00503A7E"/>
    <w:rsid w:val="00503ADE"/>
    <w:rsid w:val="00503BA8"/>
    <w:rsid w:val="00504660"/>
    <w:rsid w:val="00504D6A"/>
    <w:rsid w:val="00505BCC"/>
    <w:rsid w:val="00505CD4"/>
    <w:rsid w:val="00506869"/>
    <w:rsid w:val="00506974"/>
    <w:rsid w:val="00506E52"/>
    <w:rsid w:val="005072C5"/>
    <w:rsid w:val="005078D1"/>
    <w:rsid w:val="00510003"/>
    <w:rsid w:val="00510174"/>
    <w:rsid w:val="005104D5"/>
    <w:rsid w:val="0051091F"/>
    <w:rsid w:val="00510AC0"/>
    <w:rsid w:val="00511028"/>
    <w:rsid w:val="0051115B"/>
    <w:rsid w:val="00511482"/>
    <w:rsid w:val="00511611"/>
    <w:rsid w:val="005117FB"/>
    <w:rsid w:val="00511A63"/>
    <w:rsid w:val="00511A77"/>
    <w:rsid w:val="00511AC5"/>
    <w:rsid w:val="00512305"/>
    <w:rsid w:val="00512844"/>
    <w:rsid w:val="00512B6C"/>
    <w:rsid w:val="00512C52"/>
    <w:rsid w:val="00512FFF"/>
    <w:rsid w:val="00513075"/>
    <w:rsid w:val="0051350B"/>
    <w:rsid w:val="00513592"/>
    <w:rsid w:val="00513851"/>
    <w:rsid w:val="00513D9B"/>
    <w:rsid w:val="00514152"/>
    <w:rsid w:val="0051436F"/>
    <w:rsid w:val="0051498D"/>
    <w:rsid w:val="00514D56"/>
    <w:rsid w:val="00514F71"/>
    <w:rsid w:val="005158B6"/>
    <w:rsid w:val="005158C0"/>
    <w:rsid w:val="005159D9"/>
    <w:rsid w:val="00515A24"/>
    <w:rsid w:val="00515DD3"/>
    <w:rsid w:val="00515E0B"/>
    <w:rsid w:val="00515ED5"/>
    <w:rsid w:val="00516523"/>
    <w:rsid w:val="005166CD"/>
    <w:rsid w:val="00516705"/>
    <w:rsid w:val="005169BC"/>
    <w:rsid w:val="00516B0E"/>
    <w:rsid w:val="00517A06"/>
    <w:rsid w:val="00517BD2"/>
    <w:rsid w:val="00517CD1"/>
    <w:rsid w:val="00517FA7"/>
    <w:rsid w:val="0052026F"/>
    <w:rsid w:val="005203C5"/>
    <w:rsid w:val="0052042A"/>
    <w:rsid w:val="00520AA1"/>
    <w:rsid w:val="005213EA"/>
    <w:rsid w:val="00521578"/>
    <w:rsid w:val="00521BA2"/>
    <w:rsid w:val="0052217F"/>
    <w:rsid w:val="00522204"/>
    <w:rsid w:val="0052237E"/>
    <w:rsid w:val="0052269D"/>
    <w:rsid w:val="00522E94"/>
    <w:rsid w:val="00522EEE"/>
    <w:rsid w:val="005231EC"/>
    <w:rsid w:val="005233DC"/>
    <w:rsid w:val="00523E4B"/>
    <w:rsid w:val="005241BC"/>
    <w:rsid w:val="00524468"/>
    <w:rsid w:val="00524EDE"/>
    <w:rsid w:val="0052534A"/>
    <w:rsid w:val="005255A6"/>
    <w:rsid w:val="005255B4"/>
    <w:rsid w:val="00526648"/>
    <w:rsid w:val="005266F3"/>
    <w:rsid w:val="0052770D"/>
    <w:rsid w:val="00527EBA"/>
    <w:rsid w:val="00527FDA"/>
    <w:rsid w:val="00530135"/>
    <w:rsid w:val="005302FC"/>
    <w:rsid w:val="00530B8F"/>
    <w:rsid w:val="005310A9"/>
    <w:rsid w:val="005315C8"/>
    <w:rsid w:val="005315E4"/>
    <w:rsid w:val="005316DB"/>
    <w:rsid w:val="00531966"/>
    <w:rsid w:val="00532066"/>
    <w:rsid w:val="005321A2"/>
    <w:rsid w:val="0053222A"/>
    <w:rsid w:val="00532396"/>
    <w:rsid w:val="00532417"/>
    <w:rsid w:val="00532418"/>
    <w:rsid w:val="0053254C"/>
    <w:rsid w:val="00532933"/>
    <w:rsid w:val="00532A29"/>
    <w:rsid w:val="00532BC4"/>
    <w:rsid w:val="00533380"/>
    <w:rsid w:val="005337F7"/>
    <w:rsid w:val="00533A0B"/>
    <w:rsid w:val="00533C23"/>
    <w:rsid w:val="00533C90"/>
    <w:rsid w:val="00534950"/>
    <w:rsid w:val="00534A0C"/>
    <w:rsid w:val="00534B75"/>
    <w:rsid w:val="00534E2E"/>
    <w:rsid w:val="005351E4"/>
    <w:rsid w:val="00535465"/>
    <w:rsid w:val="005355A6"/>
    <w:rsid w:val="0053561B"/>
    <w:rsid w:val="00535AC6"/>
    <w:rsid w:val="00535BD2"/>
    <w:rsid w:val="00535FD3"/>
    <w:rsid w:val="005360FC"/>
    <w:rsid w:val="005363F4"/>
    <w:rsid w:val="00536F72"/>
    <w:rsid w:val="00537690"/>
    <w:rsid w:val="00537A6F"/>
    <w:rsid w:val="00537B0E"/>
    <w:rsid w:val="00537EFF"/>
    <w:rsid w:val="00540565"/>
    <w:rsid w:val="00540AA0"/>
    <w:rsid w:val="0054113C"/>
    <w:rsid w:val="0054195C"/>
    <w:rsid w:val="00541BCD"/>
    <w:rsid w:val="00541CAA"/>
    <w:rsid w:val="00542522"/>
    <w:rsid w:val="00542AA2"/>
    <w:rsid w:val="00542B06"/>
    <w:rsid w:val="00542B7D"/>
    <w:rsid w:val="00542BCC"/>
    <w:rsid w:val="00542E14"/>
    <w:rsid w:val="00542FA8"/>
    <w:rsid w:val="00543058"/>
    <w:rsid w:val="00543BA1"/>
    <w:rsid w:val="00543FFA"/>
    <w:rsid w:val="00544148"/>
    <w:rsid w:val="00544398"/>
    <w:rsid w:val="0054463A"/>
    <w:rsid w:val="00544845"/>
    <w:rsid w:val="005448C9"/>
    <w:rsid w:val="00544B14"/>
    <w:rsid w:val="0054518F"/>
    <w:rsid w:val="00545300"/>
    <w:rsid w:val="0054571A"/>
    <w:rsid w:val="005457D4"/>
    <w:rsid w:val="0054591C"/>
    <w:rsid w:val="00545B9B"/>
    <w:rsid w:val="00545CBC"/>
    <w:rsid w:val="00545DF4"/>
    <w:rsid w:val="00545FB6"/>
    <w:rsid w:val="005463A2"/>
    <w:rsid w:val="0054677C"/>
    <w:rsid w:val="005469A6"/>
    <w:rsid w:val="00546B77"/>
    <w:rsid w:val="00547AA9"/>
    <w:rsid w:val="00550112"/>
    <w:rsid w:val="0055100A"/>
    <w:rsid w:val="005516B3"/>
    <w:rsid w:val="00551800"/>
    <w:rsid w:val="00551AE2"/>
    <w:rsid w:val="00551B81"/>
    <w:rsid w:val="00551C21"/>
    <w:rsid w:val="0055250F"/>
    <w:rsid w:val="00552BF6"/>
    <w:rsid w:val="005534FA"/>
    <w:rsid w:val="00553CA4"/>
    <w:rsid w:val="00554897"/>
    <w:rsid w:val="005550CA"/>
    <w:rsid w:val="0055522B"/>
    <w:rsid w:val="00555785"/>
    <w:rsid w:val="00555BDF"/>
    <w:rsid w:val="00555D4A"/>
    <w:rsid w:val="00555FBA"/>
    <w:rsid w:val="00556368"/>
    <w:rsid w:val="0055742C"/>
    <w:rsid w:val="00557471"/>
    <w:rsid w:val="005578D0"/>
    <w:rsid w:val="00557AA6"/>
    <w:rsid w:val="00560BA8"/>
    <w:rsid w:val="005610E1"/>
    <w:rsid w:val="005618E0"/>
    <w:rsid w:val="005619AA"/>
    <w:rsid w:val="00561B6E"/>
    <w:rsid w:val="00562394"/>
    <w:rsid w:val="00562BE1"/>
    <w:rsid w:val="00563106"/>
    <w:rsid w:val="00563255"/>
    <w:rsid w:val="00563563"/>
    <w:rsid w:val="005635AA"/>
    <w:rsid w:val="00563762"/>
    <w:rsid w:val="00563C9E"/>
    <w:rsid w:val="005640B5"/>
    <w:rsid w:val="005644F1"/>
    <w:rsid w:val="0056462D"/>
    <w:rsid w:val="00564A38"/>
    <w:rsid w:val="00564B47"/>
    <w:rsid w:val="00564B73"/>
    <w:rsid w:val="00564E65"/>
    <w:rsid w:val="00564E90"/>
    <w:rsid w:val="00564F88"/>
    <w:rsid w:val="00565212"/>
    <w:rsid w:val="005652AF"/>
    <w:rsid w:val="005652C6"/>
    <w:rsid w:val="00565929"/>
    <w:rsid w:val="00565AF7"/>
    <w:rsid w:val="00565E5B"/>
    <w:rsid w:val="00565E87"/>
    <w:rsid w:val="00566273"/>
    <w:rsid w:val="005662BC"/>
    <w:rsid w:val="005665DB"/>
    <w:rsid w:val="00566A09"/>
    <w:rsid w:val="00566A47"/>
    <w:rsid w:val="00566ACF"/>
    <w:rsid w:val="00566AE8"/>
    <w:rsid w:val="00566DA7"/>
    <w:rsid w:val="0057069F"/>
    <w:rsid w:val="00570776"/>
    <w:rsid w:val="00570FAD"/>
    <w:rsid w:val="00570FE4"/>
    <w:rsid w:val="00571B29"/>
    <w:rsid w:val="00571E28"/>
    <w:rsid w:val="0057277D"/>
    <w:rsid w:val="00572ACB"/>
    <w:rsid w:val="00572CEF"/>
    <w:rsid w:val="00572E2C"/>
    <w:rsid w:val="00573117"/>
    <w:rsid w:val="0057350C"/>
    <w:rsid w:val="00573BD3"/>
    <w:rsid w:val="00573D00"/>
    <w:rsid w:val="00573E67"/>
    <w:rsid w:val="00573F30"/>
    <w:rsid w:val="00574AA0"/>
    <w:rsid w:val="00574FCC"/>
    <w:rsid w:val="00575587"/>
    <w:rsid w:val="00575AAB"/>
    <w:rsid w:val="005769B5"/>
    <w:rsid w:val="00576CC9"/>
    <w:rsid w:val="00577116"/>
    <w:rsid w:val="00577515"/>
    <w:rsid w:val="005775E2"/>
    <w:rsid w:val="00577816"/>
    <w:rsid w:val="00577A1C"/>
    <w:rsid w:val="00577B64"/>
    <w:rsid w:val="005800B7"/>
    <w:rsid w:val="005802D0"/>
    <w:rsid w:val="00580433"/>
    <w:rsid w:val="005804DF"/>
    <w:rsid w:val="005807D8"/>
    <w:rsid w:val="00580CE8"/>
    <w:rsid w:val="00580D6B"/>
    <w:rsid w:val="00581383"/>
    <w:rsid w:val="00581737"/>
    <w:rsid w:val="00581C48"/>
    <w:rsid w:val="00581FC5"/>
    <w:rsid w:val="005820A6"/>
    <w:rsid w:val="0058212D"/>
    <w:rsid w:val="00582229"/>
    <w:rsid w:val="005822C5"/>
    <w:rsid w:val="00582516"/>
    <w:rsid w:val="00582C63"/>
    <w:rsid w:val="0058361C"/>
    <w:rsid w:val="00583778"/>
    <w:rsid w:val="0058383C"/>
    <w:rsid w:val="005838B8"/>
    <w:rsid w:val="0058391D"/>
    <w:rsid w:val="0058398E"/>
    <w:rsid w:val="00583C90"/>
    <w:rsid w:val="00584505"/>
    <w:rsid w:val="00584604"/>
    <w:rsid w:val="005846A8"/>
    <w:rsid w:val="005847E6"/>
    <w:rsid w:val="00584806"/>
    <w:rsid w:val="00584831"/>
    <w:rsid w:val="00584A09"/>
    <w:rsid w:val="00584A21"/>
    <w:rsid w:val="00584AB8"/>
    <w:rsid w:val="00584B4D"/>
    <w:rsid w:val="00584D83"/>
    <w:rsid w:val="005852EB"/>
    <w:rsid w:val="00585768"/>
    <w:rsid w:val="00585A42"/>
    <w:rsid w:val="00585F27"/>
    <w:rsid w:val="00586120"/>
    <w:rsid w:val="00586531"/>
    <w:rsid w:val="00586A0A"/>
    <w:rsid w:val="00586E21"/>
    <w:rsid w:val="00586EA5"/>
    <w:rsid w:val="00586F35"/>
    <w:rsid w:val="0058704D"/>
    <w:rsid w:val="00587430"/>
    <w:rsid w:val="0058746A"/>
    <w:rsid w:val="005874A3"/>
    <w:rsid w:val="00587C9D"/>
    <w:rsid w:val="00587D7C"/>
    <w:rsid w:val="00587DC2"/>
    <w:rsid w:val="00590176"/>
    <w:rsid w:val="00590567"/>
    <w:rsid w:val="00590750"/>
    <w:rsid w:val="00590BDF"/>
    <w:rsid w:val="00590F26"/>
    <w:rsid w:val="005913B3"/>
    <w:rsid w:val="00591656"/>
    <w:rsid w:val="00592157"/>
    <w:rsid w:val="005929EA"/>
    <w:rsid w:val="005929EC"/>
    <w:rsid w:val="00592CF7"/>
    <w:rsid w:val="00592EB2"/>
    <w:rsid w:val="00592F94"/>
    <w:rsid w:val="005934AC"/>
    <w:rsid w:val="0059365F"/>
    <w:rsid w:val="00593788"/>
    <w:rsid w:val="0059391A"/>
    <w:rsid w:val="00593A5A"/>
    <w:rsid w:val="00593C45"/>
    <w:rsid w:val="0059453A"/>
    <w:rsid w:val="00594AE8"/>
    <w:rsid w:val="00594B4B"/>
    <w:rsid w:val="00594BDC"/>
    <w:rsid w:val="005953E3"/>
    <w:rsid w:val="0059564B"/>
    <w:rsid w:val="005956AF"/>
    <w:rsid w:val="00595C9E"/>
    <w:rsid w:val="005960EF"/>
    <w:rsid w:val="005961D5"/>
    <w:rsid w:val="005962B7"/>
    <w:rsid w:val="00596420"/>
    <w:rsid w:val="005969C4"/>
    <w:rsid w:val="005969EC"/>
    <w:rsid w:val="005972A7"/>
    <w:rsid w:val="00597639"/>
    <w:rsid w:val="0059772F"/>
    <w:rsid w:val="00597DBA"/>
    <w:rsid w:val="005A02B1"/>
    <w:rsid w:val="005A057F"/>
    <w:rsid w:val="005A059E"/>
    <w:rsid w:val="005A05B4"/>
    <w:rsid w:val="005A06B0"/>
    <w:rsid w:val="005A0A58"/>
    <w:rsid w:val="005A0C38"/>
    <w:rsid w:val="005A0F4F"/>
    <w:rsid w:val="005A0FCF"/>
    <w:rsid w:val="005A183D"/>
    <w:rsid w:val="005A1A1F"/>
    <w:rsid w:val="005A1AF5"/>
    <w:rsid w:val="005A1D6F"/>
    <w:rsid w:val="005A242A"/>
    <w:rsid w:val="005A26CC"/>
    <w:rsid w:val="005A2B28"/>
    <w:rsid w:val="005A2C1D"/>
    <w:rsid w:val="005A31F6"/>
    <w:rsid w:val="005A39B7"/>
    <w:rsid w:val="005A3AAC"/>
    <w:rsid w:val="005A4ACE"/>
    <w:rsid w:val="005A4E51"/>
    <w:rsid w:val="005A4FD2"/>
    <w:rsid w:val="005A5104"/>
    <w:rsid w:val="005A52C4"/>
    <w:rsid w:val="005A5975"/>
    <w:rsid w:val="005A59E3"/>
    <w:rsid w:val="005A663A"/>
    <w:rsid w:val="005A69B8"/>
    <w:rsid w:val="005A6B60"/>
    <w:rsid w:val="005A6DB1"/>
    <w:rsid w:val="005A729F"/>
    <w:rsid w:val="005A7396"/>
    <w:rsid w:val="005A73F3"/>
    <w:rsid w:val="005A7824"/>
    <w:rsid w:val="005A7E09"/>
    <w:rsid w:val="005A7F44"/>
    <w:rsid w:val="005B08FF"/>
    <w:rsid w:val="005B0F65"/>
    <w:rsid w:val="005B1334"/>
    <w:rsid w:val="005B19CD"/>
    <w:rsid w:val="005B2C14"/>
    <w:rsid w:val="005B2C54"/>
    <w:rsid w:val="005B3B48"/>
    <w:rsid w:val="005B4580"/>
    <w:rsid w:val="005B489D"/>
    <w:rsid w:val="005B4A6E"/>
    <w:rsid w:val="005B4C2D"/>
    <w:rsid w:val="005B5739"/>
    <w:rsid w:val="005B5791"/>
    <w:rsid w:val="005B6005"/>
    <w:rsid w:val="005B6213"/>
    <w:rsid w:val="005B62F3"/>
    <w:rsid w:val="005B7047"/>
    <w:rsid w:val="005B711D"/>
    <w:rsid w:val="005B7276"/>
    <w:rsid w:val="005B785B"/>
    <w:rsid w:val="005B7BD0"/>
    <w:rsid w:val="005B7BEE"/>
    <w:rsid w:val="005B7D6D"/>
    <w:rsid w:val="005C0072"/>
    <w:rsid w:val="005C009B"/>
    <w:rsid w:val="005C01D9"/>
    <w:rsid w:val="005C0ACF"/>
    <w:rsid w:val="005C0C7B"/>
    <w:rsid w:val="005C0D5D"/>
    <w:rsid w:val="005C118D"/>
    <w:rsid w:val="005C126B"/>
    <w:rsid w:val="005C18B8"/>
    <w:rsid w:val="005C1B14"/>
    <w:rsid w:val="005C1F09"/>
    <w:rsid w:val="005C216F"/>
    <w:rsid w:val="005C244F"/>
    <w:rsid w:val="005C2625"/>
    <w:rsid w:val="005C26BE"/>
    <w:rsid w:val="005C29F5"/>
    <w:rsid w:val="005C2E8B"/>
    <w:rsid w:val="005C3959"/>
    <w:rsid w:val="005C3ADC"/>
    <w:rsid w:val="005C4A8B"/>
    <w:rsid w:val="005C4D91"/>
    <w:rsid w:val="005C6369"/>
    <w:rsid w:val="005C7170"/>
    <w:rsid w:val="005C743D"/>
    <w:rsid w:val="005D05B7"/>
    <w:rsid w:val="005D17FB"/>
    <w:rsid w:val="005D1956"/>
    <w:rsid w:val="005D1973"/>
    <w:rsid w:val="005D1E51"/>
    <w:rsid w:val="005D24BC"/>
    <w:rsid w:val="005D26BD"/>
    <w:rsid w:val="005D28C6"/>
    <w:rsid w:val="005D2D22"/>
    <w:rsid w:val="005D34C9"/>
    <w:rsid w:val="005D34D5"/>
    <w:rsid w:val="005D37C7"/>
    <w:rsid w:val="005D41AA"/>
    <w:rsid w:val="005D4771"/>
    <w:rsid w:val="005D47AD"/>
    <w:rsid w:val="005D47E4"/>
    <w:rsid w:val="005D485D"/>
    <w:rsid w:val="005D4955"/>
    <w:rsid w:val="005D4DAC"/>
    <w:rsid w:val="005D51CD"/>
    <w:rsid w:val="005D5337"/>
    <w:rsid w:val="005D53B1"/>
    <w:rsid w:val="005D53BB"/>
    <w:rsid w:val="005D562A"/>
    <w:rsid w:val="005D5685"/>
    <w:rsid w:val="005D5831"/>
    <w:rsid w:val="005D589A"/>
    <w:rsid w:val="005D5ADE"/>
    <w:rsid w:val="005D5DC7"/>
    <w:rsid w:val="005D60F5"/>
    <w:rsid w:val="005D6411"/>
    <w:rsid w:val="005D6595"/>
    <w:rsid w:val="005D68E0"/>
    <w:rsid w:val="005D6C85"/>
    <w:rsid w:val="005D6D4E"/>
    <w:rsid w:val="005D707A"/>
    <w:rsid w:val="005D7268"/>
    <w:rsid w:val="005D7480"/>
    <w:rsid w:val="005D7556"/>
    <w:rsid w:val="005D78D0"/>
    <w:rsid w:val="005D7CCD"/>
    <w:rsid w:val="005D7D5E"/>
    <w:rsid w:val="005E0545"/>
    <w:rsid w:val="005E0829"/>
    <w:rsid w:val="005E08C6"/>
    <w:rsid w:val="005E08F5"/>
    <w:rsid w:val="005E0CA4"/>
    <w:rsid w:val="005E10A1"/>
    <w:rsid w:val="005E1164"/>
    <w:rsid w:val="005E11A1"/>
    <w:rsid w:val="005E12A3"/>
    <w:rsid w:val="005E1625"/>
    <w:rsid w:val="005E18E3"/>
    <w:rsid w:val="005E20EE"/>
    <w:rsid w:val="005E29DC"/>
    <w:rsid w:val="005E2AFA"/>
    <w:rsid w:val="005E2C13"/>
    <w:rsid w:val="005E2DA3"/>
    <w:rsid w:val="005E3316"/>
    <w:rsid w:val="005E33FF"/>
    <w:rsid w:val="005E3455"/>
    <w:rsid w:val="005E365F"/>
    <w:rsid w:val="005E3A8B"/>
    <w:rsid w:val="005E3D47"/>
    <w:rsid w:val="005E3D69"/>
    <w:rsid w:val="005E413B"/>
    <w:rsid w:val="005E4150"/>
    <w:rsid w:val="005E4453"/>
    <w:rsid w:val="005E473D"/>
    <w:rsid w:val="005E4916"/>
    <w:rsid w:val="005E50A7"/>
    <w:rsid w:val="005E50F0"/>
    <w:rsid w:val="005E653B"/>
    <w:rsid w:val="005E6D07"/>
    <w:rsid w:val="005E6F38"/>
    <w:rsid w:val="005E6F3B"/>
    <w:rsid w:val="005E7606"/>
    <w:rsid w:val="005E7E61"/>
    <w:rsid w:val="005E7F69"/>
    <w:rsid w:val="005F00AF"/>
    <w:rsid w:val="005F00B0"/>
    <w:rsid w:val="005F0960"/>
    <w:rsid w:val="005F0CB7"/>
    <w:rsid w:val="005F0EF2"/>
    <w:rsid w:val="005F1083"/>
    <w:rsid w:val="005F1784"/>
    <w:rsid w:val="005F17B1"/>
    <w:rsid w:val="005F2955"/>
    <w:rsid w:val="005F3115"/>
    <w:rsid w:val="005F31C7"/>
    <w:rsid w:val="005F3411"/>
    <w:rsid w:val="005F3517"/>
    <w:rsid w:val="005F3752"/>
    <w:rsid w:val="005F380F"/>
    <w:rsid w:val="005F40C3"/>
    <w:rsid w:val="005F4128"/>
    <w:rsid w:val="005F42F9"/>
    <w:rsid w:val="005F4347"/>
    <w:rsid w:val="005F435C"/>
    <w:rsid w:val="005F49A9"/>
    <w:rsid w:val="005F4ABE"/>
    <w:rsid w:val="005F4C78"/>
    <w:rsid w:val="005F4F1D"/>
    <w:rsid w:val="005F5735"/>
    <w:rsid w:val="005F5A1F"/>
    <w:rsid w:val="005F65BC"/>
    <w:rsid w:val="005F6645"/>
    <w:rsid w:val="005F67A3"/>
    <w:rsid w:val="005F6C8C"/>
    <w:rsid w:val="005F6CE5"/>
    <w:rsid w:val="005F6D92"/>
    <w:rsid w:val="005F7012"/>
    <w:rsid w:val="005F7017"/>
    <w:rsid w:val="005F7A87"/>
    <w:rsid w:val="005F7AD7"/>
    <w:rsid w:val="005F7DD2"/>
    <w:rsid w:val="006004F3"/>
    <w:rsid w:val="00600653"/>
    <w:rsid w:val="00600996"/>
    <w:rsid w:val="0060184C"/>
    <w:rsid w:val="00601E0D"/>
    <w:rsid w:val="006020F1"/>
    <w:rsid w:val="006022C7"/>
    <w:rsid w:val="00602778"/>
    <w:rsid w:val="00602D87"/>
    <w:rsid w:val="00602F91"/>
    <w:rsid w:val="00603232"/>
    <w:rsid w:val="006036B2"/>
    <w:rsid w:val="00603754"/>
    <w:rsid w:val="00603E5C"/>
    <w:rsid w:val="00603F06"/>
    <w:rsid w:val="0060439D"/>
    <w:rsid w:val="006043A8"/>
    <w:rsid w:val="00604BBE"/>
    <w:rsid w:val="0060605D"/>
    <w:rsid w:val="00606236"/>
    <w:rsid w:val="00606886"/>
    <w:rsid w:val="00606B99"/>
    <w:rsid w:val="00606CB7"/>
    <w:rsid w:val="00607705"/>
    <w:rsid w:val="00607B52"/>
    <w:rsid w:val="00607F14"/>
    <w:rsid w:val="006109BB"/>
    <w:rsid w:val="0061106D"/>
    <w:rsid w:val="0061109B"/>
    <w:rsid w:val="0061134E"/>
    <w:rsid w:val="006113BD"/>
    <w:rsid w:val="006113CC"/>
    <w:rsid w:val="006117B4"/>
    <w:rsid w:val="00611953"/>
    <w:rsid w:val="00611C90"/>
    <w:rsid w:val="00611F6C"/>
    <w:rsid w:val="00612578"/>
    <w:rsid w:val="0061258B"/>
    <w:rsid w:val="006127BF"/>
    <w:rsid w:val="006128F8"/>
    <w:rsid w:val="00612A80"/>
    <w:rsid w:val="00612F04"/>
    <w:rsid w:val="00612F0B"/>
    <w:rsid w:val="006130A6"/>
    <w:rsid w:val="0061356B"/>
    <w:rsid w:val="006137F8"/>
    <w:rsid w:val="006137FE"/>
    <w:rsid w:val="0061394D"/>
    <w:rsid w:val="00613B2E"/>
    <w:rsid w:val="00613C48"/>
    <w:rsid w:val="00613E3B"/>
    <w:rsid w:val="00613F1E"/>
    <w:rsid w:val="00614695"/>
    <w:rsid w:val="00614A56"/>
    <w:rsid w:val="00614CC2"/>
    <w:rsid w:val="00615085"/>
    <w:rsid w:val="0061540E"/>
    <w:rsid w:val="00615C24"/>
    <w:rsid w:val="00615D1F"/>
    <w:rsid w:val="00616442"/>
    <w:rsid w:val="006164D9"/>
    <w:rsid w:val="006164F3"/>
    <w:rsid w:val="00616661"/>
    <w:rsid w:val="00616747"/>
    <w:rsid w:val="00616BDB"/>
    <w:rsid w:val="00616C25"/>
    <w:rsid w:val="00616CE0"/>
    <w:rsid w:val="00616D73"/>
    <w:rsid w:val="00617728"/>
    <w:rsid w:val="006177F6"/>
    <w:rsid w:val="00617B24"/>
    <w:rsid w:val="00617D7E"/>
    <w:rsid w:val="00617F8D"/>
    <w:rsid w:val="0062124C"/>
    <w:rsid w:val="0062157E"/>
    <w:rsid w:val="006218CE"/>
    <w:rsid w:val="006219C5"/>
    <w:rsid w:val="00621AEC"/>
    <w:rsid w:val="00622144"/>
    <w:rsid w:val="006231ED"/>
    <w:rsid w:val="0062388A"/>
    <w:rsid w:val="006238CC"/>
    <w:rsid w:val="006243E7"/>
    <w:rsid w:val="006245CA"/>
    <w:rsid w:val="00624EEE"/>
    <w:rsid w:val="00624F7C"/>
    <w:rsid w:val="00625077"/>
    <w:rsid w:val="00625DC4"/>
    <w:rsid w:val="00626112"/>
    <w:rsid w:val="006262C6"/>
    <w:rsid w:val="0062643E"/>
    <w:rsid w:val="00626D56"/>
    <w:rsid w:val="00627100"/>
    <w:rsid w:val="00627384"/>
    <w:rsid w:val="006276AF"/>
    <w:rsid w:val="00627745"/>
    <w:rsid w:val="0062791F"/>
    <w:rsid w:val="00627B83"/>
    <w:rsid w:val="00627E57"/>
    <w:rsid w:val="0063140B"/>
    <w:rsid w:val="00631C65"/>
    <w:rsid w:val="00631E20"/>
    <w:rsid w:val="00632A22"/>
    <w:rsid w:val="00632C95"/>
    <w:rsid w:val="006332A7"/>
    <w:rsid w:val="006336AF"/>
    <w:rsid w:val="00633874"/>
    <w:rsid w:val="00633889"/>
    <w:rsid w:val="006339D0"/>
    <w:rsid w:val="00633EAA"/>
    <w:rsid w:val="006340C6"/>
    <w:rsid w:val="006341ED"/>
    <w:rsid w:val="00634454"/>
    <w:rsid w:val="0063447D"/>
    <w:rsid w:val="00634937"/>
    <w:rsid w:val="00634D37"/>
    <w:rsid w:val="00635016"/>
    <w:rsid w:val="0063506E"/>
    <w:rsid w:val="0063573E"/>
    <w:rsid w:val="00636005"/>
    <w:rsid w:val="006360B8"/>
    <w:rsid w:val="006360F9"/>
    <w:rsid w:val="00636168"/>
    <w:rsid w:val="00636241"/>
    <w:rsid w:val="006362D3"/>
    <w:rsid w:val="00636812"/>
    <w:rsid w:val="00636BBD"/>
    <w:rsid w:val="0063767F"/>
    <w:rsid w:val="00637827"/>
    <w:rsid w:val="00637D54"/>
    <w:rsid w:val="00640005"/>
    <w:rsid w:val="00640498"/>
    <w:rsid w:val="006405D7"/>
    <w:rsid w:val="00640834"/>
    <w:rsid w:val="006416F0"/>
    <w:rsid w:val="00641707"/>
    <w:rsid w:val="00641B8D"/>
    <w:rsid w:val="00641BA2"/>
    <w:rsid w:val="00642092"/>
    <w:rsid w:val="006421AD"/>
    <w:rsid w:val="0064283F"/>
    <w:rsid w:val="00642A9B"/>
    <w:rsid w:val="00642D02"/>
    <w:rsid w:val="00642EB6"/>
    <w:rsid w:val="0064301A"/>
    <w:rsid w:val="006435FD"/>
    <w:rsid w:val="00643AA2"/>
    <w:rsid w:val="00643BDB"/>
    <w:rsid w:val="00643DE7"/>
    <w:rsid w:val="00644900"/>
    <w:rsid w:val="006449E0"/>
    <w:rsid w:val="00644DFE"/>
    <w:rsid w:val="00644ED1"/>
    <w:rsid w:val="00645360"/>
    <w:rsid w:val="006455AE"/>
    <w:rsid w:val="006457D8"/>
    <w:rsid w:val="00645B7E"/>
    <w:rsid w:val="00645D75"/>
    <w:rsid w:val="00645DBA"/>
    <w:rsid w:val="006461EB"/>
    <w:rsid w:val="006467A3"/>
    <w:rsid w:val="006468FE"/>
    <w:rsid w:val="00646CCB"/>
    <w:rsid w:val="006471E1"/>
    <w:rsid w:val="0064734F"/>
    <w:rsid w:val="006475B9"/>
    <w:rsid w:val="00647C50"/>
    <w:rsid w:val="00647D2A"/>
    <w:rsid w:val="00647D74"/>
    <w:rsid w:val="006500A7"/>
    <w:rsid w:val="00650265"/>
    <w:rsid w:val="006503F5"/>
    <w:rsid w:val="006504E2"/>
    <w:rsid w:val="00650FEF"/>
    <w:rsid w:val="006511C7"/>
    <w:rsid w:val="006512F6"/>
    <w:rsid w:val="0065169A"/>
    <w:rsid w:val="006517D6"/>
    <w:rsid w:val="0065193C"/>
    <w:rsid w:val="00652167"/>
    <w:rsid w:val="00652396"/>
    <w:rsid w:val="00652DEF"/>
    <w:rsid w:val="00653332"/>
    <w:rsid w:val="00653422"/>
    <w:rsid w:val="00653476"/>
    <w:rsid w:val="006534CF"/>
    <w:rsid w:val="0065370B"/>
    <w:rsid w:val="00653EA6"/>
    <w:rsid w:val="0065404E"/>
    <w:rsid w:val="006540D0"/>
    <w:rsid w:val="006540FC"/>
    <w:rsid w:val="006544F2"/>
    <w:rsid w:val="00654D04"/>
    <w:rsid w:val="006552B4"/>
    <w:rsid w:val="00655518"/>
    <w:rsid w:val="00655BCB"/>
    <w:rsid w:val="00655F5B"/>
    <w:rsid w:val="0065646A"/>
    <w:rsid w:val="006565CD"/>
    <w:rsid w:val="00656770"/>
    <w:rsid w:val="00656B4A"/>
    <w:rsid w:val="00656B78"/>
    <w:rsid w:val="00657024"/>
    <w:rsid w:val="006575CD"/>
    <w:rsid w:val="006578EA"/>
    <w:rsid w:val="00657AA5"/>
    <w:rsid w:val="00657B78"/>
    <w:rsid w:val="00657C90"/>
    <w:rsid w:val="0066003A"/>
    <w:rsid w:val="00660633"/>
    <w:rsid w:val="0066082F"/>
    <w:rsid w:val="006609D4"/>
    <w:rsid w:val="00660B05"/>
    <w:rsid w:val="00660E90"/>
    <w:rsid w:val="006611BE"/>
    <w:rsid w:val="00661248"/>
    <w:rsid w:val="00661277"/>
    <w:rsid w:val="00661D96"/>
    <w:rsid w:val="00661E48"/>
    <w:rsid w:val="00662122"/>
    <w:rsid w:val="006621A9"/>
    <w:rsid w:val="006628A0"/>
    <w:rsid w:val="00662E06"/>
    <w:rsid w:val="0066382F"/>
    <w:rsid w:val="006638A6"/>
    <w:rsid w:val="00663988"/>
    <w:rsid w:val="0066433A"/>
    <w:rsid w:val="00664451"/>
    <w:rsid w:val="006645CA"/>
    <w:rsid w:val="00664AEE"/>
    <w:rsid w:val="00664B59"/>
    <w:rsid w:val="00664BEE"/>
    <w:rsid w:val="00664CBC"/>
    <w:rsid w:val="00664D95"/>
    <w:rsid w:val="0066517F"/>
    <w:rsid w:val="00665353"/>
    <w:rsid w:val="00666221"/>
    <w:rsid w:val="006665C4"/>
    <w:rsid w:val="006666CE"/>
    <w:rsid w:val="006669DB"/>
    <w:rsid w:val="00666DA4"/>
    <w:rsid w:val="006671C9"/>
    <w:rsid w:val="0066761D"/>
    <w:rsid w:val="0066762D"/>
    <w:rsid w:val="00667634"/>
    <w:rsid w:val="00667C8A"/>
    <w:rsid w:val="00667ED5"/>
    <w:rsid w:val="00670501"/>
    <w:rsid w:val="00670855"/>
    <w:rsid w:val="00670B9E"/>
    <w:rsid w:val="00670BBD"/>
    <w:rsid w:val="00670BEE"/>
    <w:rsid w:val="00670D0F"/>
    <w:rsid w:val="00670DCE"/>
    <w:rsid w:val="00670F29"/>
    <w:rsid w:val="00670F9D"/>
    <w:rsid w:val="006716EC"/>
    <w:rsid w:val="00672825"/>
    <w:rsid w:val="0067295B"/>
    <w:rsid w:val="00672A42"/>
    <w:rsid w:val="00672B92"/>
    <w:rsid w:val="00672DD7"/>
    <w:rsid w:val="00673092"/>
    <w:rsid w:val="0067398F"/>
    <w:rsid w:val="00673C4F"/>
    <w:rsid w:val="0067423D"/>
    <w:rsid w:val="00674B54"/>
    <w:rsid w:val="006751ED"/>
    <w:rsid w:val="006751F0"/>
    <w:rsid w:val="00675A29"/>
    <w:rsid w:val="00675E7A"/>
    <w:rsid w:val="00675EF9"/>
    <w:rsid w:val="00676167"/>
    <w:rsid w:val="006762C1"/>
    <w:rsid w:val="006768A0"/>
    <w:rsid w:val="00676D1E"/>
    <w:rsid w:val="00676F7A"/>
    <w:rsid w:val="0067702C"/>
    <w:rsid w:val="00677172"/>
    <w:rsid w:val="00677637"/>
    <w:rsid w:val="00677F91"/>
    <w:rsid w:val="0068009E"/>
    <w:rsid w:val="0068014B"/>
    <w:rsid w:val="006807EC"/>
    <w:rsid w:val="00680991"/>
    <w:rsid w:val="00680E0A"/>
    <w:rsid w:val="00681108"/>
    <w:rsid w:val="00681688"/>
    <w:rsid w:val="00681D9D"/>
    <w:rsid w:val="0068227D"/>
    <w:rsid w:val="006822C1"/>
    <w:rsid w:val="00682346"/>
    <w:rsid w:val="006825BB"/>
    <w:rsid w:val="00682A3E"/>
    <w:rsid w:val="00682F54"/>
    <w:rsid w:val="00683004"/>
    <w:rsid w:val="00683084"/>
    <w:rsid w:val="0068336A"/>
    <w:rsid w:val="00683988"/>
    <w:rsid w:val="006839C4"/>
    <w:rsid w:val="0068426D"/>
    <w:rsid w:val="0068481E"/>
    <w:rsid w:val="00684AA5"/>
    <w:rsid w:val="00684DA6"/>
    <w:rsid w:val="00684FBB"/>
    <w:rsid w:val="00685310"/>
    <w:rsid w:val="0068569E"/>
    <w:rsid w:val="00685B0A"/>
    <w:rsid w:val="00686A94"/>
    <w:rsid w:val="00686F3B"/>
    <w:rsid w:val="00687341"/>
    <w:rsid w:val="00687611"/>
    <w:rsid w:val="00687FB5"/>
    <w:rsid w:val="006902BA"/>
    <w:rsid w:val="006902EB"/>
    <w:rsid w:val="0069037C"/>
    <w:rsid w:val="00690EB0"/>
    <w:rsid w:val="006910C3"/>
    <w:rsid w:val="00691133"/>
    <w:rsid w:val="00691AD0"/>
    <w:rsid w:val="00691BCD"/>
    <w:rsid w:val="00691D8B"/>
    <w:rsid w:val="0069207C"/>
    <w:rsid w:val="0069228B"/>
    <w:rsid w:val="00692305"/>
    <w:rsid w:val="006928BA"/>
    <w:rsid w:val="006929A8"/>
    <w:rsid w:val="00692C58"/>
    <w:rsid w:val="0069313E"/>
    <w:rsid w:val="00693C16"/>
    <w:rsid w:val="006941C5"/>
    <w:rsid w:val="006943A3"/>
    <w:rsid w:val="0069492A"/>
    <w:rsid w:val="0069495B"/>
    <w:rsid w:val="00694A7C"/>
    <w:rsid w:val="00694A90"/>
    <w:rsid w:val="00694C07"/>
    <w:rsid w:val="00694CA9"/>
    <w:rsid w:val="006951A5"/>
    <w:rsid w:val="006954B0"/>
    <w:rsid w:val="0069567D"/>
    <w:rsid w:val="00695E0E"/>
    <w:rsid w:val="00696680"/>
    <w:rsid w:val="006967E0"/>
    <w:rsid w:val="00696C25"/>
    <w:rsid w:val="00696FCD"/>
    <w:rsid w:val="0069764B"/>
    <w:rsid w:val="00697D72"/>
    <w:rsid w:val="00697DDD"/>
    <w:rsid w:val="00697F54"/>
    <w:rsid w:val="006A06A3"/>
    <w:rsid w:val="006A0A11"/>
    <w:rsid w:val="006A0C5B"/>
    <w:rsid w:val="006A0EEF"/>
    <w:rsid w:val="006A11A6"/>
    <w:rsid w:val="006A11E4"/>
    <w:rsid w:val="006A121F"/>
    <w:rsid w:val="006A1BC4"/>
    <w:rsid w:val="006A21E5"/>
    <w:rsid w:val="006A21F4"/>
    <w:rsid w:val="006A22C1"/>
    <w:rsid w:val="006A28B6"/>
    <w:rsid w:val="006A2D65"/>
    <w:rsid w:val="006A300A"/>
    <w:rsid w:val="006A353A"/>
    <w:rsid w:val="006A359D"/>
    <w:rsid w:val="006A36AE"/>
    <w:rsid w:val="006A38CF"/>
    <w:rsid w:val="006A3B7B"/>
    <w:rsid w:val="006A3DD4"/>
    <w:rsid w:val="006A4A8C"/>
    <w:rsid w:val="006A4F9B"/>
    <w:rsid w:val="006A5031"/>
    <w:rsid w:val="006A52B9"/>
    <w:rsid w:val="006A5658"/>
    <w:rsid w:val="006A579F"/>
    <w:rsid w:val="006A57FB"/>
    <w:rsid w:val="006A61AA"/>
    <w:rsid w:val="006A6377"/>
    <w:rsid w:val="006A6C5B"/>
    <w:rsid w:val="006A7950"/>
    <w:rsid w:val="006A7D15"/>
    <w:rsid w:val="006B03DF"/>
    <w:rsid w:val="006B0587"/>
    <w:rsid w:val="006B061A"/>
    <w:rsid w:val="006B0F57"/>
    <w:rsid w:val="006B1017"/>
    <w:rsid w:val="006B12A7"/>
    <w:rsid w:val="006B1390"/>
    <w:rsid w:val="006B1499"/>
    <w:rsid w:val="006B157C"/>
    <w:rsid w:val="006B162E"/>
    <w:rsid w:val="006B17AD"/>
    <w:rsid w:val="006B1847"/>
    <w:rsid w:val="006B19C4"/>
    <w:rsid w:val="006B1C99"/>
    <w:rsid w:val="006B1CAE"/>
    <w:rsid w:val="006B204A"/>
    <w:rsid w:val="006B2954"/>
    <w:rsid w:val="006B2A89"/>
    <w:rsid w:val="006B3C78"/>
    <w:rsid w:val="006B40F4"/>
    <w:rsid w:val="006B4337"/>
    <w:rsid w:val="006B4774"/>
    <w:rsid w:val="006B47BE"/>
    <w:rsid w:val="006B4829"/>
    <w:rsid w:val="006B53A4"/>
    <w:rsid w:val="006B5481"/>
    <w:rsid w:val="006B59E3"/>
    <w:rsid w:val="006B5D8F"/>
    <w:rsid w:val="006B61D0"/>
    <w:rsid w:val="006B62D9"/>
    <w:rsid w:val="006B6A51"/>
    <w:rsid w:val="006B6E64"/>
    <w:rsid w:val="006B7096"/>
    <w:rsid w:val="006B767C"/>
    <w:rsid w:val="006B79CB"/>
    <w:rsid w:val="006B7F05"/>
    <w:rsid w:val="006C04E7"/>
    <w:rsid w:val="006C069F"/>
    <w:rsid w:val="006C0907"/>
    <w:rsid w:val="006C10E5"/>
    <w:rsid w:val="006C1FD2"/>
    <w:rsid w:val="006C20D0"/>
    <w:rsid w:val="006C28F0"/>
    <w:rsid w:val="006C2E24"/>
    <w:rsid w:val="006C32D8"/>
    <w:rsid w:val="006C35BE"/>
    <w:rsid w:val="006C39D5"/>
    <w:rsid w:val="006C3B47"/>
    <w:rsid w:val="006C3BDD"/>
    <w:rsid w:val="006C3E21"/>
    <w:rsid w:val="006C44F0"/>
    <w:rsid w:val="006C4525"/>
    <w:rsid w:val="006C4717"/>
    <w:rsid w:val="006C5726"/>
    <w:rsid w:val="006C58DA"/>
    <w:rsid w:val="006C5DC5"/>
    <w:rsid w:val="006C607C"/>
    <w:rsid w:val="006C6147"/>
    <w:rsid w:val="006C6364"/>
    <w:rsid w:val="006C642F"/>
    <w:rsid w:val="006C647D"/>
    <w:rsid w:val="006C668E"/>
    <w:rsid w:val="006C67C5"/>
    <w:rsid w:val="006C67CF"/>
    <w:rsid w:val="006C69B2"/>
    <w:rsid w:val="006C6A64"/>
    <w:rsid w:val="006C6A81"/>
    <w:rsid w:val="006C730B"/>
    <w:rsid w:val="006C7548"/>
    <w:rsid w:val="006C7B7A"/>
    <w:rsid w:val="006C7FC1"/>
    <w:rsid w:val="006D06D3"/>
    <w:rsid w:val="006D1003"/>
    <w:rsid w:val="006D11D6"/>
    <w:rsid w:val="006D163F"/>
    <w:rsid w:val="006D17AB"/>
    <w:rsid w:val="006D17B1"/>
    <w:rsid w:val="006D209B"/>
    <w:rsid w:val="006D2420"/>
    <w:rsid w:val="006D2602"/>
    <w:rsid w:val="006D2944"/>
    <w:rsid w:val="006D2BB9"/>
    <w:rsid w:val="006D3175"/>
    <w:rsid w:val="006D3280"/>
    <w:rsid w:val="006D3472"/>
    <w:rsid w:val="006D3550"/>
    <w:rsid w:val="006D35A6"/>
    <w:rsid w:val="006D36F5"/>
    <w:rsid w:val="006D374C"/>
    <w:rsid w:val="006D3AC0"/>
    <w:rsid w:val="006D3D8F"/>
    <w:rsid w:val="006D3E5D"/>
    <w:rsid w:val="006D466B"/>
    <w:rsid w:val="006D4759"/>
    <w:rsid w:val="006D48BE"/>
    <w:rsid w:val="006D4B29"/>
    <w:rsid w:val="006D4F5A"/>
    <w:rsid w:val="006D52DC"/>
    <w:rsid w:val="006D5332"/>
    <w:rsid w:val="006D5460"/>
    <w:rsid w:val="006D54F5"/>
    <w:rsid w:val="006D5BAB"/>
    <w:rsid w:val="006D6DD3"/>
    <w:rsid w:val="006D7828"/>
    <w:rsid w:val="006D7FA2"/>
    <w:rsid w:val="006E0038"/>
    <w:rsid w:val="006E0125"/>
    <w:rsid w:val="006E0197"/>
    <w:rsid w:val="006E04C4"/>
    <w:rsid w:val="006E0CFD"/>
    <w:rsid w:val="006E1253"/>
    <w:rsid w:val="006E1338"/>
    <w:rsid w:val="006E1592"/>
    <w:rsid w:val="006E15C8"/>
    <w:rsid w:val="006E1614"/>
    <w:rsid w:val="006E1622"/>
    <w:rsid w:val="006E1BEA"/>
    <w:rsid w:val="006E1E35"/>
    <w:rsid w:val="006E2007"/>
    <w:rsid w:val="006E245B"/>
    <w:rsid w:val="006E249C"/>
    <w:rsid w:val="006E2680"/>
    <w:rsid w:val="006E2822"/>
    <w:rsid w:val="006E2A83"/>
    <w:rsid w:val="006E2E7D"/>
    <w:rsid w:val="006E3CAC"/>
    <w:rsid w:val="006E44EC"/>
    <w:rsid w:val="006E4C29"/>
    <w:rsid w:val="006E4DBD"/>
    <w:rsid w:val="006E4EA2"/>
    <w:rsid w:val="006E5545"/>
    <w:rsid w:val="006E5D4C"/>
    <w:rsid w:val="006E6041"/>
    <w:rsid w:val="006E6049"/>
    <w:rsid w:val="006E6419"/>
    <w:rsid w:val="006E695F"/>
    <w:rsid w:val="006E6ED9"/>
    <w:rsid w:val="006E719C"/>
    <w:rsid w:val="006E7271"/>
    <w:rsid w:val="006E76A3"/>
    <w:rsid w:val="006E7B09"/>
    <w:rsid w:val="006E7ED0"/>
    <w:rsid w:val="006E7FD1"/>
    <w:rsid w:val="006F0138"/>
    <w:rsid w:val="006F0480"/>
    <w:rsid w:val="006F0553"/>
    <w:rsid w:val="006F0583"/>
    <w:rsid w:val="006F0889"/>
    <w:rsid w:val="006F0DD8"/>
    <w:rsid w:val="006F10BB"/>
    <w:rsid w:val="006F127E"/>
    <w:rsid w:val="006F15F0"/>
    <w:rsid w:val="006F179F"/>
    <w:rsid w:val="006F1A7B"/>
    <w:rsid w:val="006F2133"/>
    <w:rsid w:val="006F22B9"/>
    <w:rsid w:val="006F2609"/>
    <w:rsid w:val="006F2B36"/>
    <w:rsid w:val="006F3123"/>
    <w:rsid w:val="006F32E8"/>
    <w:rsid w:val="006F446C"/>
    <w:rsid w:val="006F4BAD"/>
    <w:rsid w:val="006F4C36"/>
    <w:rsid w:val="006F51D6"/>
    <w:rsid w:val="006F5232"/>
    <w:rsid w:val="006F59AB"/>
    <w:rsid w:val="006F5B61"/>
    <w:rsid w:val="006F61CA"/>
    <w:rsid w:val="006F658F"/>
    <w:rsid w:val="006F6A40"/>
    <w:rsid w:val="006F6B5E"/>
    <w:rsid w:val="006F6BF0"/>
    <w:rsid w:val="006F6F3F"/>
    <w:rsid w:val="006F70E1"/>
    <w:rsid w:val="006F7301"/>
    <w:rsid w:val="006F7AA6"/>
    <w:rsid w:val="006F7B37"/>
    <w:rsid w:val="006F7BB6"/>
    <w:rsid w:val="00700038"/>
    <w:rsid w:val="0070050E"/>
    <w:rsid w:val="00700D7D"/>
    <w:rsid w:val="00701C61"/>
    <w:rsid w:val="00702087"/>
    <w:rsid w:val="007024B9"/>
    <w:rsid w:val="007028BD"/>
    <w:rsid w:val="00702929"/>
    <w:rsid w:val="00702C18"/>
    <w:rsid w:val="00702DC4"/>
    <w:rsid w:val="0070330F"/>
    <w:rsid w:val="00703351"/>
    <w:rsid w:val="00703D71"/>
    <w:rsid w:val="00703DCE"/>
    <w:rsid w:val="00704754"/>
    <w:rsid w:val="00704AA2"/>
    <w:rsid w:val="00704C4A"/>
    <w:rsid w:val="00704EFC"/>
    <w:rsid w:val="0070507B"/>
    <w:rsid w:val="0070543F"/>
    <w:rsid w:val="0070555E"/>
    <w:rsid w:val="00705E66"/>
    <w:rsid w:val="00706047"/>
    <w:rsid w:val="007061CF"/>
    <w:rsid w:val="0070633E"/>
    <w:rsid w:val="007073F3"/>
    <w:rsid w:val="00707ABF"/>
    <w:rsid w:val="00707E1D"/>
    <w:rsid w:val="00707F9A"/>
    <w:rsid w:val="0071061B"/>
    <w:rsid w:val="00710A1C"/>
    <w:rsid w:val="00710AC1"/>
    <w:rsid w:val="00710E84"/>
    <w:rsid w:val="007111FD"/>
    <w:rsid w:val="00711290"/>
    <w:rsid w:val="00711489"/>
    <w:rsid w:val="007114B5"/>
    <w:rsid w:val="0071190A"/>
    <w:rsid w:val="00711B79"/>
    <w:rsid w:val="00711C32"/>
    <w:rsid w:val="00712386"/>
    <w:rsid w:val="0071239A"/>
    <w:rsid w:val="00712607"/>
    <w:rsid w:val="007126C3"/>
    <w:rsid w:val="007129FF"/>
    <w:rsid w:val="00712FBF"/>
    <w:rsid w:val="0071309D"/>
    <w:rsid w:val="0071314E"/>
    <w:rsid w:val="0071326B"/>
    <w:rsid w:val="00713717"/>
    <w:rsid w:val="00713CEF"/>
    <w:rsid w:val="00714233"/>
    <w:rsid w:val="007143A4"/>
    <w:rsid w:val="007147E9"/>
    <w:rsid w:val="007149EF"/>
    <w:rsid w:val="00715192"/>
    <w:rsid w:val="007152F9"/>
    <w:rsid w:val="007162D2"/>
    <w:rsid w:val="00716310"/>
    <w:rsid w:val="007165ED"/>
    <w:rsid w:val="00716F0E"/>
    <w:rsid w:val="00716F5A"/>
    <w:rsid w:val="00717404"/>
    <w:rsid w:val="00717F5C"/>
    <w:rsid w:val="007200F4"/>
    <w:rsid w:val="00720508"/>
    <w:rsid w:val="00720CFB"/>
    <w:rsid w:val="00720DBC"/>
    <w:rsid w:val="00720F9E"/>
    <w:rsid w:val="007216AD"/>
    <w:rsid w:val="00721979"/>
    <w:rsid w:val="00721C39"/>
    <w:rsid w:val="00721E0E"/>
    <w:rsid w:val="00721E59"/>
    <w:rsid w:val="00721F48"/>
    <w:rsid w:val="00721FE3"/>
    <w:rsid w:val="00722227"/>
    <w:rsid w:val="007222C0"/>
    <w:rsid w:val="00722492"/>
    <w:rsid w:val="00723718"/>
    <w:rsid w:val="00723804"/>
    <w:rsid w:val="007239DF"/>
    <w:rsid w:val="007239F0"/>
    <w:rsid w:val="00723A5B"/>
    <w:rsid w:val="007240B5"/>
    <w:rsid w:val="00724C16"/>
    <w:rsid w:val="00724DB0"/>
    <w:rsid w:val="00724FFA"/>
    <w:rsid w:val="0072515F"/>
    <w:rsid w:val="00725667"/>
    <w:rsid w:val="00725D10"/>
    <w:rsid w:val="007266AB"/>
    <w:rsid w:val="007266C9"/>
    <w:rsid w:val="00726F37"/>
    <w:rsid w:val="00727412"/>
    <w:rsid w:val="00727574"/>
    <w:rsid w:val="007276AA"/>
    <w:rsid w:val="00727945"/>
    <w:rsid w:val="00727D6A"/>
    <w:rsid w:val="007300AE"/>
    <w:rsid w:val="007307F0"/>
    <w:rsid w:val="007308A7"/>
    <w:rsid w:val="00730A2B"/>
    <w:rsid w:val="007313DB"/>
    <w:rsid w:val="007314D9"/>
    <w:rsid w:val="007318B3"/>
    <w:rsid w:val="00731F81"/>
    <w:rsid w:val="0073224D"/>
    <w:rsid w:val="00732821"/>
    <w:rsid w:val="00732B14"/>
    <w:rsid w:val="00732BF8"/>
    <w:rsid w:val="00732CB5"/>
    <w:rsid w:val="00732FFC"/>
    <w:rsid w:val="0073324D"/>
    <w:rsid w:val="00733251"/>
    <w:rsid w:val="00733268"/>
    <w:rsid w:val="007335E3"/>
    <w:rsid w:val="007344D8"/>
    <w:rsid w:val="007349B7"/>
    <w:rsid w:val="00734BA5"/>
    <w:rsid w:val="007352A1"/>
    <w:rsid w:val="007355BF"/>
    <w:rsid w:val="0073564E"/>
    <w:rsid w:val="00735798"/>
    <w:rsid w:val="00735AD3"/>
    <w:rsid w:val="00735D01"/>
    <w:rsid w:val="00736681"/>
    <w:rsid w:val="0073687D"/>
    <w:rsid w:val="00736F50"/>
    <w:rsid w:val="00737B4A"/>
    <w:rsid w:val="00737DEF"/>
    <w:rsid w:val="00740010"/>
    <w:rsid w:val="00740792"/>
    <w:rsid w:val="00740FC8"/>
    <w:rsid w:val="0074116E"/>
    <w:rsid w:val="00741435"/>
    <w:rsid w:val="00741ED9"/>
    <w:rsid w:val="007420DA"/>
    <w:rsid w:val="007428FB"/>
    <w:rsid w:val="00742B09"/>
    <w:rsid w:val="00742EEF"/>
    <w:rsid w:val="0074320A"/>
    <w:rsid w:val="0074324C"/>
    <w:rsid w:val="00743672"/>
    <w:rsid w:val="00743D92"/>
    <w:rsid w:val="0074432D"/>
    <w:rsid w:val="00744734"/>
    <w:rsid w:val="00744952"/>
    <w:rsid w:val="007452E4"/>
    <w:rsid w:val="007456E9"/>
    <w:rsid w:val="007459DD"/>
    <w:rsid w:val="00745A08"/>
    <w:rsid w:val="00745CDE"/>
    <w:rsid w:val="00745D6A"/>
    <w:rsid w:val="00745E43"/>
    <w:rsid w:val="00745EE1"/>
    <w:rsid w:val="00745F11"/>
    <w:rsid w:val="0074665A"/>
    <w:rsid w:val="00746E70"/>
    <w:rsid w:val="00747176"/>
    <w:rsid w:val="0074747A"/>
    <w:rsid w:val="00747490"/>
    <w:rsid w:val="00750192"/>
    <w:rsid w:val="007504A5"/>
    <w:rsid w:val="007505C2"/>
    <w:rsid w:val="00751158"/>
    <w:rsid w:val="007513C1"/>
    <w:rsid w:val="00751892"/>
    <w:rsid w:val="00751C2D"/>
    <w:rsid w:val="00752816"/>
    <w:rsid w:val="00752D52"/>
    <w:rsid w:val="0075322A"/>
    <w:rsid w:val="0075377E"/>
    <w:rsid w:val="00753CB8"/>
    <w:rsid w:val="007542D4"/>
    <w:rsid w:val="00754CFD"/>
    <w:rsid w:val="00754F18"/>
    <w:rsid w:val="007552AF"/>
    <w:rsid w:val="00755374"/>
    <w:rsid w:val="00755481"/>
    <w:rsid w:val="00755516"/>
    <w:rsid w:val="00755553"/>
    <w:rsid w:val="00755678"/>
    <w:rsid w:val="00755DFE"/>
    <w:rsid w:val="0075625C"/>
    <w:rsid w:val="007575DC"/>
    <w:rsid w:val="007575E8"/>
    <w:rsid w:val="007602A0"/>
    <w:rsid w:val="007604E1"/>
    <w:rsid w:val="00760725"/>
    <w:rsid w:val="00760DCF"/>
    <w:rsid w:val="00761385"/>
    <w:rsid w:val="00761730"/>
    <w:rsid w:val="0076181A"/>
    <w:rsid w:val="007619C2"/>
    <w:rsid w:val="007619DE"/>
    <w:rsid w:val="00761B35"/>
    <w:rsid w:val="00761B5A"/>
    <w:rsid w:val="0076201F"/>
    <w:rsid w:val="00762372"/>
    <w:rsid w:val="00762837"/>
    <w:rsid w:val="00762AA6"/>
    <w:rsid w:val="00762D57"/>
    <w:rsid w:val="0076318A"/>
    <w:rsid w:val="007637C1"/>
    <w:rsid w:val="0076397D"/>
    <w:rsid w:val="00763A76"/>
    <w:rsid w:val="0076416B"/>
    <w:rsid w:val="00764E4B"/>
    <w:rsid w:val="007653D8"/>
    <w:rsid w:val="00765643"/>
    <w:rsid w:val="00765708"/>
    <w:rsid w:val="00765917"/>
    <w:rsid w:val="007659BA"/>
    <w:rsid w:val="007659EB"/>
    <w:rsid w:val="00765DA3"/>
    <w:rsid w:val="00765E87"/>
    <w:rsid w:val="007660E3"/>
    <w:rsid w:val="00766384"/>
    <w:rsid w:val="007664FC"/>
    <w:rsid w:val="00766931"/>
    <w:rsid w:val="007669E5"/>
    <w:rsid w:val="00766EC6"/>
    <w:rsid w:val="00767779"/>
    <w:rsid w:val="007678A0"/>
    <w:rsid w:val="00767A1F"/>
    <w:rsid w:val="00767AE4"/>
    <w:rsid w:val="00767BBB"/>
    <w:rsid w:val="00770172"/>
    <w:rsid w:val="00770D87"/>
    <w:rsid w:val="0077105B"/>
    <w:rsid w:val="00771C67"/>
    <w:rsid w:val="00771FEF"/>
    <w:rsid w:val="0077261B"/>
    <w:rsid w:val="00772C12"/>
    <w:rsid w:val="0077321D"/>
    <w:rsid w:val="007735F8"/>
    <w:rsid w:val="00773854"/>
    <w:rsid w:val="00773CB5"/>
    <w:rsid w:val="00773DB6"/>
    <w:rsid w:val="007740A5"/>
    <w:rsid w:val="007740F7"/>
    <w:rsid w:val="0077410C"/>
    <w:rsid w:val="0077443C"/>
    <w:rsid w:val="00774746"/>
    <w:rsid w:val="00774C25"/>
    <w:rsid w:val="00774FDB"/>
    <w:rsid w:val="0077559D"/>
    <w:rsid w:val="00775AA8"/>
    <w:rsid w:val="00775B75"/>
    <w:rsid w:val="00775E64"/>
    <w:rsid w:val="00776D2B"/>
    <w:rsid w:val="00776E2C"/>
    <w:rsid w:val="00776ED4"/>
    <w:rsid w:val="007772EF"/>
    <w:rsid w:val="00777432"/>
    <w:rsid w:val="00777986"/>
    <w:rsid w:val="00777BFE"/>
    <w:rsid w:val="00780897"/>
    <w:rsid w:val="007815ED"/>
    <w:rsid w:val="007816CA"/>
    <w:rsid w:val="0078192A"/>
    <w:rsid w:val="00781C68"/>
    <w:rsid w:val="00781E69"/>
    <w:rsid w:val="007821C1"/>
    <w:rsid w:val="00782D62"/>
    <w:rsid w:val="007838FF"/>
    <w:rsid w:val="00783EBB"/>
    <w:rsid w:val="0078438B"/>
    <w:rsid w:val="0078451D"/>
    <w:rsid w:val="00784A2B"/>
    <w:rsid w:val="00784CAD"/>
    <w:rsid w:val="00784D68"/>
    <w:rsid w:val="007851A8"/>
    <w:rsid w:val="0078531C"/>
    <w:rsid w:val="0078544D"/>
    <w:rsid w:val="00785788"/>
    <w:rsid w:val="00785862"/>
    <w:rsid w:val="0078649D"/>
    <w:rsid w:val="007864C1"/>
    <w:rsid w:val="007865A6"/>
    <w:rsid w:val="00786A09"/>
    <w:rsid w:val="00786EAA"/>
    <w:rsid w:val="007871CA"/>
    <w:rsid w:val="007874F6"/>
    <w:rsid w:val="00787A69"/>
    <w:rsid w:val="00787D89"/>
    <w:rsid w:val="00787EEF"/>
    <w:rsid w:val="0079034C"/>
    <w:rsid w:val="0079040F"/>
    <w:rsid w:val="0079062A"/>
    <w:rsid w:val="00790899"/>
    <w:rsid w:val="00791007"/>
    <w:rsid w:val="007912F9"/>
    <w:rsid w:val="00791DD8"/>
    <w:rsid w:val="00792041"/>
    <w:rsid w:val="00792444"/>
    <w:rsid w:val="007924E3"/>
    <w:rsid w:val="0079273F"/>
    <w:rsid w:val="00792899"/>
    <w:rsid w:val="00792BAF"/>
    <w:rsid w:val="00792D5D"/>
    <w:rsid w:val="007930B2"/>
    <w:rsid w:val="007930F4"/>
    <w:rsid w:val="00793975"/>
    <w:rsid w:val="007943EE"/>
    <w:rsid w:val="00794469"/>
    <w:rsid w:val="00795383"/>
    <w:rsid w:val="0079692E"/>
    <w:rsid w:val="00796942"/>
    <w:rsid w:val="00796A34"/>
    <w:rsid w:val="00797011"/>
    <w:rsid w:val="007974B5"/>
    <w:rsid w:val="00797AB1"/>
    <w:rsid w:val="00797BC8"/>
    <w:rsid w:val="00797F59"/>
    <w:rsid w:val="007A0036"/>
    <w:rsid w:val="007A0284"/>
    <w:rsid w:val="007A02BC"/>
    <w:rsid w:val="007A05D5"/>
    <w:rsid w:val="007A069F"/>
    <w:rsid w:val="007A08D1"/>
    <w:rsid w:val="007A0C74"/>
    <w:rsid w:val="007A0E8E"/>
    <w:rsid w:val="007A128E"/>
    <w:rsid w:val="007A14A3"/>
    <w:rsid w:val="007A1DCB"/>
    <w:rsid w:val="007A20B9"/>
    <w:rsid w:val="007A235A"/>
    <w:rsid w:val="007A28AB"/>
    <w:rsid w:val="007A28EC"/>
    <w:rsid w:val="007A2A3A"/>
    <w:rsid w:val="007A2D8C"/>
    <w:rsid w:val="007A34AE"/>
    <w:rsid w:val="007A35CD"/>
    <w:rsid w:val="007A3A9B"/>
    <w:rsid w:val="007A3AD9"/>
    <w:rsid w:val="007A3B98"/>
    <w:rsid w:val="007A3E1C"/>
    <w:rsid w:val="007A43DE"/>
    <w:rsid w:val="007A4682"/>
    <w:rsid w:val="007A47C1"/>
    <w:rsid w:val="007A48A3"/>
    <w:rsid w:val="007A4CC8"/>
    <w:rsid w:val="007A4DFF"/>
    <w:rsid w:val="007A54C5"/>
    <w:rsid w:val="007A5659"/>
    <w:rsid w:val="007A5B1C"/>
    <w:rsid w:val="007A5D40"/>
    <w:rsid w:val="007A62BB"/>
    <w:rsid w:val="007A63C1"/>
    <w:rsid w:val="007A6501"/>
    <w:rsid w:val="007A65BD"/>
    <w:rsid w:val="007A67B3"/>
    <w:rsid w:val="007A6FCF"/>
    <w:rsid w:val="007A736E"/>
    <w:rsid w:val="007A77E8"/>
    <w:rsid w:val="007A7857"/>
    <w:rsid w:val="007B01E9"/>
    <w:rsid w:val="007B0265"/>
    <w:rsid w:val="007B0DAA"/>
    <w:rsid w:val="007B0EF2"/>
    <w:rsid w:val="007B10A8"/>
    <w:rsid w:val="007B1429"/>
    <w:rsid w:val="007B1811"/>
    <w:rsid w:val="007B21C2"/>
    <w:rsid w:val="007B225A"/>
    <w:rsid w:val="007B2492"/>
    <w:rsid w:val="007B2504"/>
    <w:rsid w:val="007B2F5E"/>
    <w:rsid w:val="007B32BA"/>
    <w:rsid w:val="007B3B23"/>
    <w:rsid w:val="007B4164"/>
    <w:rsid w:val="007B42CE"/>
    <w:rsid w:val="007B556F"/>
    <w:rsid w:val="007B55D6"/>
    <w:rsid w:val="007B55E8"/>
    <w:rsid w:val="007B59C2"/>
    <w:rsid w:val="007B5B27"/>
    <w:rsid w:val="007B5D6B"/>
    <w:rsid w:val="007B5F5F"/>
    <w:rsid w:val="007B63FA"/>
    <w:rsid w:val="007B6524"/>
    <w:rsid w:val="007B7166"/>
    <w:rsid w:val="007B7278"/>
    <w:rsid w:val="007B73AA"/>
    <w:rsid w:val="007B7420"/>
    <w:rsid w:val="007B79E7"/>
    <w:rsid w:val="007B79F1"/>
    <w:rsid w:val="007B7B93"/>
    <w:rsid w:val="007B7F30"/>
    <w:rsid w:val="007C04A5"/>
    <w:rsid w:val="007C07F7"/>
    <w:rsid w:val="007C0FAA"/>
    <w:rsid w:val="007C16B2"/>
    <w:rsid w:val="007C1AA6"/>
    <w:rsid w:val="007C2536"/>
    <w:rsid w:val="007C2C3F"/>
    <w:rsid w:val="007C2CAF"/>
    <w:rsid w:val="007C35C9"/>
    <w:rsid w:val="007C3A5D"/>
    <w:rsid w:val="007C3CF5"/>
    <w:rsid w:val="007C4012"/>
    <w:rsid w:val="007C4633"/>
    <w:rsid w:val="007C4CA0"/>
    <w:rsid w:val="007C4DF0"/>
    <w:rsid w:val="007C5C68"/>
    <w:rsid w:val="007C5F2F"/>
    <w:rsid w:val="007C5F78"/>
    <w:rsid w:val="007C6163"/>
    <w:rsid w:val="007C6177"/>
    <w:rsid w:val="007C65F9"/>
    <w:rsid w:val="007C7529"/>
    <w:rsid w:val="007C762F"/>
    <w:rsid w:val="007C7A1B"/>
    <w:rsid w:val="007C7C71"/>
    <w:rsid w:val="007C7CA6"/>
    <w:rsid w:val="007C7D00"/>
    <w:rsid w:val="007C7E05"/>
    <w:rsid w:val="007D01FD"/>
    <w:rsid w:val="007D0289"/>
    <w:rsid w:val="007D0382"/>
    <w:rsid w:val="007D06B1"/>
    <w:rsid w:val="007D120C"/>
    <w:rsid w:val="007D14CF"/>
    <w:rsid w:val="007D16FA"/>
    <w:rsid w:val="007D1855"/>
    <w:rsid w:val="007D193D"/>
    <w:rsid w:val="007D1EA4"/>
    <w:rsid w:val="007D2332"/>
    <w:rsid w:val="007D24BA"/>
    <w:rsid w:val="007D2579"/>
    <w:rsid w:val="007D2656"/>
    <w:rsid w:val="007D2940"/>
    <w:rsid w:val="007D2D22"/>
    <w:rsid w:val="007D3125"/>
    <w:rsid w:val="007D3B5C"/>
    <w:rsid w:val="007D3D59"/>
    <w:rsid w:val="007D4266"/>
    <w:rsid w:val="007D43EC"/>
    <w:rsid w:val="007D4529"/>
    <w:rsid w:val="007D45C3"/>
    <w:rsid w:val="007D46BA"/>
    <w:rsid w:val="007D46FC"/>
    <w:rsid w:val="007D4886"/>
    <w:rsid w:val="007D4971"/>
    <w:rsid w:val="007D4ABA"/>
    <w:rsid w:val="007D4F32"/>
    <w:rsid w:val="007D5037"/>
    <w:rsid w:val="007D54B3"/>
    <w:rsid w:val="007D57E8"/>
    <w:rsid w:val="007D5C6F"/>
    <w:rsid w:val="007D5F20"/>
    <w:rsid w:val="007D6142"/>
    <w:rsid w:val="007D61F3"/>
    <w:rsid w:val="007D6740"/>
    <w:rsid w:val="007D6ACF"/>
    <w:rsid w:val="007D6BCD"/>
    <w:rsid w:val="007D702F"/>
    <w:rsid w:val="007D73D7"/>
    <w:rsid w:val="007D7D67"/>
    <w:rsid w:val="007E01ED"/>
    <w:rsid w:val="007E0D0E"/>
    <w:rsid w:val="007E1314"/>
    <w:rsid w:val="007E13FF"/>
    <w:rsid w:val="007E2120"/>
    <w:rsid w:val="007E2130"/>
    <w:rsid w:val="007E237C"/>
    <w:rsid w:val="007E260F"/>
    <w:rsid w:val="007E2FCF"/>
    <w:rsid w:val="007E3C41"/>
    <w:rsid w:val="007E3C8C"/>
    <w:rsid w:val="007E3F39"/>
    <w:rsid w:val="007E418F"/>
    <w:rsid w:val="007E44B7"/>
    <w:rsid w:val="007E47F6"/>
    <w:rsid w:val="007E5EAC"/>
    <w:rsid w:val="007E5EC6"/>
    <w:rsid w:val="007E613A"/>
    <w:rsid w:val="007E6291"/>
    <w:rsid w:val="007E7408"/>
    <w:rsid w:val="007E7AE8"/>
    <w:rsid w:val="007E7C36"/>
    <w:rsid w:val="007F05D4"/>
    <w:rsid w:val="007F0E97"/>
    <w:rsid w:val="007F109F"/>
    <w:rsid w:val="007F1200"/>
    <w:rsid w:val="007F167E"/>
    <w:rsid w:val="007F16D4"/>
    <w:rsid w:val="007F1A02"/>
    <w:rsid w:val="007F2273"/>
    <w:rsid w:val="007F2285"/>
    <w:rsid w:val="007F261E"/>
    <w:rsid w:val="007F262C"/>
    <w:rsid w:val="007F2B77"/>
    <w:rsid w:val="007F3B8F"/>
    <w:rsid w:val="007F45FE"/>
    <w:rsid w:val="007F4AC8"/>
    <w:rsid w:val="007F4C18"/>
    <w:rsid w:val="007F4E4C"/>
    <w:rsid w:val="007F6156"/>
    <w:rsid w:val="007F6379"/>
    <w:rsid w:val="007F648B"/>
    <w:rsid w:val="007F6657"/>
    <w:rsid w:val="007F6805"/>
    <w:rsid w:val="007F6B57"/>
    <w:rsid w:val="007F6C13"/>
    <w:rsid w:val="007F7043"/>
    <w:rsid w:val="007F7190"/>
    <w:rsid w:val="007F72C9"/>
    <w:rsid w:val="007F744F"/>
    <w:rsid w:val="007F7A92"/>
    <w:rsid w:val="00800A3E"/>
    <w:rsid w:val="00800C44"/>
    <w:rsid w:val="00800CDA"/>
    <w:rsid w:val="00800D86"/>
    <w:rsid w:val="00800EA0"/>
    <w:rsid w:val="0080117E"/>
    <w:rsid w:val="008013C4"/>
    <w:rsid w:val="008014E9"/>
    <w:rsid w:val="0080160E"/>
    <w:rsid w:val="00801802"/>
    <w:rsid w:val="00801C6C"/>
    <w:rsid w:val="00801D40"/>
    <w:rsid w:val="00801E11"/>
    <w:rsid w:val="00801EAB"/>
    <w:rsid w:val="00802064"/>
    <w:rsid w:val="008024AA"/>
    <w:rsid w:val="00802FC4"/>
    <w:rsid w:val="00803ADC"/>
    <w:rsid w:val="00803E8D"/>
    <w:rsid w:val="00804069"/>
    <w:rsid w:val="0080410C"/>
    <w:rsid w:val="0080446C"/>
    <w:rsid w:val="008044AA"/>
    <w:rsid w:val="008058D7"/>
    <w:rsid w:val="00805D04"/>
    <w:rsid w:val="00805E7F"/>
    <w:rsid w:val="00806081"/>
    <w:rsid w:val="0080637B"/>
    <w:rsid w:val="00806819"/>
    <w:rsid w:val="00807036"/>
    <w:rsid w:val="0080755F"/>
    <w:rsid w:val="0080760E"/>
    <w:rsid w:val="0080764B"/>
    <w:rsid w:val="008077E2"/>
    <w:rsid w:val="00807C7C"/>
    <w:rsid w:val="00810288"/>
    <w:rsid w:val="00810386"/>
    <w:rsid w:val="008115DE"/>
    <w:rsid w:val="008118BE"/>
    <w:rsid w:val="00811CCA"/>
    <w:rsid w:val="00811EE5"/>
    <w:rsid w:val="00811EF9"/>
    <w:rsid w:val="008120EE"/>
    <w:rsid w:val="00812244"/>
    <w:rsid w:val="00812296"/>
    <w:rsid w:val="0081272F"/>
    <w:rsid w:val="00812A22"/>
    <w:rsid w:val="00813256"/>
    <w:rsid w:val="00813950"/>
    <w:rsid w:val="008140BB"/>
    <w:rsid w:val="00814138"/>
    <w:rsid w:val="0081419D"/>
    <w:rsid w:val="00815261"/>
    <w:rsid w:val="00815348"/>
    <w:rsid w:val="0081564B"/>
    <w:rsid w:val="0081572D"/>
    <w:rsid w:val="00815B1A"/>
    <w:rsid w:val="00815BDA"/>
    <w:rsid w:val="008162D4"/>
    <w:rsid w:val="00816332"/>
    <w:rsid w:val="008167D6"/>
    <w:rsid w:val="00816CA6"/>
    <w:rsid w:val="00816DCD"/>
    <w:rsid w:val="00816FD8"/>
    <w:rsid w:val="00816FFA"/>
    <w:rsid w:val="0081722D"/>
    <w:rsid w:val="00817513"/>
    <w:rsid w:val="00817E9A"/>
    <w:rsid w:val="00817EA6"/>
    <w:rsid w:val="00817EF0"/>
    <w:rsid w:val="008200F3"/>
    <w:rsid w:val="008203CF"/>
    <w:rsid w:val="008205DB"/>
    <w:rsid w:val="0082114F"/>
    <w:rsid w:val="008219AF"/>
    <w:rsid w:val="00821CF6"/>
    <w:rsid w:val="008222E0"/>
    <w:rsid w:val="00822D87"/>
    <w:rsid w:val="008231F9"/>
    <w:rsid w:val="0082356F"/>
    <w:rsid w:val="0082358D"/>
    <w:rsid w:val="008236D2"/>
    <w:rsid w:val="0082374B"/>
    <w:rsid w:val="00823CDA"/>
    <w:rsid w:val="00824072"/>
    <w:rsid w:val="0082413A"/>
    <w:rsid w:val="00824508"/>
    <w:rsid w:val="0082454E"/>
    <w:rsid w:val="0082518B"/>
    <w:rsid w:val="00826469"/>
    <w:rsid w:val="008264C2"/>
    <w:rsid w:val="00826C10"/>
    <w:rsid w:val="00826C96"/>
    <w:rsid w:val="00826DF0"/>
    <w:rsid w:val="008275D0"/>
    <w:rsid w:val="0082772E"/>
    <w:rsid w:val="00830052"/>
    <w:rsid w:val="00830080"/>
    <w:rsid w:val="008302CC"/>
    <w:rsid w:val="00830A0D"/>
    <w:rsid w:val="00830C70"/>
    <w:rsid w:val="008311BD"/>
    <w:rsid w:val="008315B7"/>
    <w:rsid w:val="00831779"/>
    <w:rsid w:val="00831811"/>
    <w:rsid w:val="00831923"/>
    <w:rsid w:val="00831A40"/>
    <w:rsid w:val="00831B61"/>
    <w:rsid w:val="00831CE6"/>
    <w:rsid w:val="00831F58"/>
    <w:rsid w:val="00832044"/>
    <w:rsid w:val="008325B8"/>
    <w:rsid w:val="008326F6"/>
    <w:rsid w:val="0083296B"/>
    <w:rsid w:val="008329A9"/>
    <w:rsid w:val="00832E74"/>
    <w:rsid w:val="00833A9F"/>
    <w:rsid w:val="00833D24"/>
    <w:rsid w:val="00833E52"/>
    <w:rsid w:val="00833ED5"/>
    <w:rsid w:val="00834730"/>
    <w:rsid w:val="0083475D"/>
    <w:rsid w:val="008348F3"/>
    <w:rsid w:val="00834C6B"/>
    <w:rsid w:val="008351BD"/>
    <w:rsid w:val="00835CA0"/>
    <w:rsid w:val="00835D55"/>
    <w:rsid w:val="00835DE8"/>
    <w:rsid w:val="008367B1"/>
    <w:rsid w:val="0083720E"/>
    <w:rsid w:val="008376DB"/>
    <w:rsid w:val="0083774D"/>
    <w:rsid w:val="00837B3C"/>
    <w:rsid w:val="00837E2F"/>
    <w:rsid w:val="008402F2"/>
    <w:rsid w:val="0084050F"/>
    <w:rsid w:val="00840C10"/>
    <w:rsid w:val="00840CF5"/>
    <w:rsid w:val="00840E91"/>
    <w:rsid w:val="00840F0C"/>
    <w:rsid w:val="008410BE"/>
    <w:rsid w:val="00841211"/>
    <w:rsid w:val="008413CD"/>
    <w:rsid w:val="008416DD"/>
    <w:rsid w:val="008419EA"/>
    <w:rsid w:val="00841A8D"/>
    <w:rsid w:val="008422A9"/>
    <w:rsid w:val="00842CC4"/>
    <w:rsid w:val="00842F2F"/>
    <w:rsid w:val="008438AF"/>
    <w:rsid w:val="00843B03"/>
    <w:rsid w:val="00843C94"/>
    <w:rsid w:val="00844BBD"/>
    <w:rsid w:val="00844C51"/>
    <w:rsid w:val="00845809"/>
    <w:rsid w:val="00845D05"/>
    <w:rsid w:val="008465C4"/>
    <w:rsid w:val="00846694"/>
    <w:rsid w:val="008471EB"/>
    <w:rsid w:val="00847300"/>
    <w:rsid w:val="00847436"/>
    <w:rsid w:val="00847590"/>
    <w:rsid w:val="008475A0"/>
    <w:rsid w:val="008475B5"/>
    <w:rsid w:val="0084769B"/>
    <w:rsid w:val="00847B76"/>
    <w:rsid w:val="00847E48"/>
    <w:rsid w:val="00850CA7"/>
    <w:rsid w:val="00850EF5"/>
    <w:rsid w:val="008517B6"/>
    <w:rsid w:val="00851F99"/>
    <w:rsid w:val="00852428"/>
    <w:rsid w:val="00852858"/>
    <w:rsid w:val="00852B24"/>
    <w:rsid w:val="00852CAE"/>
    <w:rsid w:val="00852D6D"/>
    <w:rsid w:val="00852EDF"/>
    <w:rsid w:val="00853444"/>
    <w:rsid w:val="008534E6"/>
    <w:rsid w:val="008536B8"/>
    <w:rsid w:val="008537D9"/>
    <w:rsid w:val="0085389A"/>
    <w:rsid w:val="00854075"/>
    <w:rsid w:val="008549A6"/>
    <w:rsid w:val="008549DE"/>
    <w:rsid w:val="00855A18"/>
    <w:rsid w:val="00855DD9"/>
    <w:rsid w:val="008565A6"/>
    <w:rsid w:val="00856A2D"/>
    <w:rsid w:val="00856AF6"/>
    <w:rsid w:val="00856DC4"/>
    <w:rsid w:val="0085707D"/>
    <w:rsid w:val="008572A0"/>
    <w:rsid w:val="0085730B"/>
    <w:rsid w:val="00857596"/>
    <w:rsid w:val="00857A80"/>
    <w:rsid w:val="00857A96"/>
    <w:rsid w:val="00857B28"/>
    <w:rsid w:val="00860317"/>
    <w:rsid w:val="008603FA"/>
    <w:rsid w:val="00860B89"/>
    <w:rsid w:val="0086166B"/>
    <w:rsid w:val="00861A2B"/>
    <w:rsid w:val="00861B19"/>
    <w:rsid w:val="008628EA"/>
    <w:rsid w:val="00862949"/>
    <w:rsid w:val="00862DA5"/>
    <w:rsid w:val="008639F3"/>
    <w:rsid w:val="00863DF2"/>
    <w:rsid w:val="00863FB2"/>
    <w:rsid w:val="008641C5"/>
    <w:rsid w:val="00864E63"/>
    <w:rsid w:val="00864EFD"/>
    <w:rsid w:val="0086523C"/>
    <w:rsid w:val="0086535C"/>
    <w:rsid w:val="00865C9B"/>
    <w:rsid w:val="0086624C"/>
    <w:rsid w:val="008664B3"/>
    <w:rsid w:val="0086687C"/>
    <w:rsid w:val="00866CC6"/>
    <w:rsid w:val="00866EC0"/>
    <w:rsid w:val="00867047"/>
    <w:rsid w:val="0086711E"/>
    <w:rsid w:val="0086791E"/>
    <w:rsid w:val="008679CB"/>
    <w:rsid w:val="00867EB0"/>
    <w:rsid w:val="008706AE"/>
    <w:rsid w:val="0087171C"/>
    <w:rsid w:val="008718F2"/>
    <w:rsid w:val="00871AD3"/>
    <w:rsid w:val="00872220"/>
    <w:rsid w:val="0087223E"/>
    <w:rsid w:val="008725F3"/>
    <w:rsid w:val="008726B8"/>
    <w:rsid w:val="008733E0"/>
    <w:rsid w:val="00873539"/>
    <w:rsid w:val="008737DA"/>
    <w:rsid w:val="00873827"/>
    <w:rsid w:val="0087419B"/>
    <w:rsid w:val="008743BB"/>
    <w:rsid w:val="00874644"/>
    <w:rsid w:val="00874730"/>
    <w:rsid w:val="008757D3"/>
    <w:rsid w:val="00875C0D"/>
    <w:rsid w:val="00875EF1"/>
    <w:rsid w:val="00875FCC"/>
    <w:rsid w:val="00876025"/>
    <w:rsid w:val="008760F3"/>
    <w:rsid w:val="00876482"/>
    <w:rsid w:val="0087675C"/>
    <w:rsid w:val="00877191"/>
    <w:rsid w:val="008773F4"/>
    <w:rsid w:val="00877421"/>
    <w:rsid w:val="00877433"/>
    <w:rsid w:val="008774A9"/>
    <w:rsid w:val="008774CB"/>
    <w:rsid w:val="008779FF"/>
    <w:rsid w:val="0088039B"/>
    <w:rsid w:val="008803E8"/>
    <w:rsid w:val="00880B6F"/>
    <w:rsid w:val="00881134"/>
    <w:rsid w:val="0088142E"/>
    <w:rsid w:val="00881AFF"/>
    <w:rsid w:val="00881B49"/>
    <w:rsid w:val="00882366"/>
    <w:rsid w:val="0088251A"/>
    <w:rsid w:val="00882692"/>
    <w:rsid w:val="008828FA"/>
    <w:rsid w:val="00882A68"/>
    <w:rsid w:val="00882C58"/>
    <w:rsid w:val="00882FDE"/>
    <w:rsid w:val="00883035"/>
    <w:rsid w:val="008831BD"/>
    <w:rsid w:val="00883214"/>
    <w:rsid w:val="0088328C"/>
    <w:rsid w:val="008834FB"/>
    <w:rsid w:val="008835A8"/>
    <w:rsid w:val="0088374E"/>
    <w:rsid w:val="00884080"/>
    <w:rsid w:val="00884218"/>
    <w:rsid w:val="0088422E"/>
    <w:rsid w:val="0088425A"/>
    <w:rsid w:val="00884BEA"/>
    <w:rsid w:val="00884C0E"/>
    <w:rsid w:val="00884CB4"/>
    <w:rsid w:val="00884E51"/>
    <w:rsid w:val="00885CAE"/>
    <w:rsid w:val="00885E17"/>
    <w:rsid w:val="00885FC2"/>
    <w:rsid w:val="008860CC"/>
    <w:rsid w:val="00886CB7"/>
    <w:rsid w:val="008870B3"/>
    <w:rsid w:val="0088780F"/>
    <w:rsid w:val="00887A91"/>
    <w:rsid w:val="00887CEB"/>
    <w:rsid w:val="0089017C"/>
    <w:rsid w:val="008903FB"/>
    <w:rsid w:val="00890BEB"/>
    <w:rsid w:val="00891346"/>
    <w:rsid w:val="00891CDA"/>
    <w:rsid w:val="00891D6F"/>
    <w:rsid w:val="00892841"/>
    <w:rsid w:val="00892898"/>
    <w:rsid w:val="008928C6"/>
    <w:rsid w:val="008929C9"/>
    <w:rsid w:val="00892B50"/>
    <w:rsid w:val="008930A4"/>
    <w:rsid w:val="00893101"/>
    <w:rsid w:val="00893225"/>
    <w:rsid w:val="00893A94"/>
    <w:rsid w:val="00893B13"/>
    <w:rsid w:val="00893C8C"/>
    <w:rsid w:val="00894417"/>
    <w:rsid w:val="0089449E"/>
    <w:rsid w:val="0089456A"/>
    <w:rsid w:val="0089468A"/>
    <w:rsid w:val="008949EF"/>
    <w:rsid w:val="008952F3"/>
    <w:rsid w:val="0089548F"/>
    <w:rsid w:val="00895527"/>
    <w:rsid w:val="008955A8"/>
    <w:rsid w:val="00895AC7"/>
    <w:rsid w:val="00895E29"/>
    <w:rsid w:val="0089647F"/>
    <w:rsid w:val="00896AE9"/>
    <w:rsid w:val="00896D1E"/>
    <w:rsid w:val="00896FAD"/>
    <w:rsid w:val="0089786D"/>
    <w:rsid w:val="00897936"/>
    <w:rsid w:val="008A00D2"/>
    <w:rsid w:val="008A0357"/>
    <w:rsid w:val="008A03E2"/>
    <w:rsid w:val="008A08FD"/>
    <w:rsid w:val="008A1526"/>
    <w:rsid w:val="008A15DB"/>
    <w:rsid w:val="008A17A1"/>
    <w:rsid w:val="008A1977"/>
    <w:rsid w:val="008A1CA2"/>
    <w:rsid w:val="008A1D4D"/>
    <w:rsid w:val="008A1DD4"/>
    <w:rsid w:val="008A1DD5"/>
    <w:rsid w:val="008A1FDD"/>
    <w:rsid w:val="008A201A"/>
    <w:rsid w:val="008A2465"/>
    <w:rsid w:val="008A256C"/>
    <w:rsid w:val="008A2852"/>
    <w:rsid w:val="008A2AF4"/>
    <w:rsid w:val="008A2C28"/>
    <w:rsid w:val="008A2DD7"/>
    <w:rsid w:val="008A351C"/>
    <w:rsid w:val="008A3B35"/>
    <w:rsid w:val="008A40A1"/>
    <w:rsid w:val="008A4139"/>
    <w:rsid w:val="008A4323"/>
    <w:rsid w:val="008A45C1"/>
    <w:rsid w:val="008A46D1"/>
    <w:rsid w:val="008A4964"/>
    <w:rsid w:val="008A4C3C"/>
    <w:rsid w:val="008A4DF9"/>
    <w:rsid w:val="008A4E5C"/>
    <w:rsid w:val="008A517C"/>
    <w:rsid w:val="008A51D1"/>
    <w:rsid w:val="008A52C8"/>
    <w:rsid w:val="008A5AEF"/>
    <w:rsid w:val="008A5E56"/>
    <w:rsid w:val="008A63B9"/>
    <w:rsid w:val="008A70F4"/>
    <w:rsid w:val="008A7697"/>
    <w:rsid w:val="008A7745"/>
    <w:rsid w:val="008A7B18"/>
    <w:rsid w:val="008A7E9E"/>
    <w:rsid w:val="008A7EB5"/>
    <w:rsid w:val="008B0487"/>
    <w:rsid w:val="008B0646"/>
    <w:rsid w:val="008B0CB1"/>
    <w:rsid w:val="008B0EC4"/>
    <w:rsid w:val="008B18D4"/>
    <w:rsid w:val="008B1940"/>
    <w:rsid w:val="008B1E65"/>
    <w:rsid w:val="008B1FEE"/>
    <w:rsid w:val="008B23DC"/>
    <w:rsid w:val="008B2817"/>
    <w:rsid w:val="008B2867"/>
    <w:rsid w:val="008B2B54"/>
    <w:rsid w:val="008B2CA0"/>
    <w:rsid w:val="008B2CB4"/>
    <w:rsid w:val="008B2DC6"/>
    <w:rsid w:val="008B307A"/>
    <w:rsid w:val="008B36AD"/>
    <w:rsid w:val="008B4358"/>
    <w:rsid w:val="008B44C4"/>
    <w:rsid w:val="008B468E"/>
    <w:rsid w:val="008B4972"/>
    <w:rsid w:val="008B512F"/>
    <w:rsid w:val="008B517D"/>
    <w:rsid w:val="008B55BE"/>
    <w:rsid w:val="008B57AA"/>
    <w:rsid w:val="008B57E8"/>
    <w:rsid w:val="008B58AF"/>
    <w:rsid w:val="008B597B"/>
    <w:rsid w:val="008B5F6C"/>
    <w:rsid w:val="008B62C9"/>
    <w:rsid w:val="008B6862"/>
    <w:rsid w:val="008B6F06"/>
    <w:rsid w:val="008B70BC"/>
    <w:rsid w:val="008B7E06"/>
    <w:rsid w:val="008B7EF2"/>
    <w:rsid w:val="008C0444"/>
    <w:rsid w:val="008C0588"/>
    <w:rsid w:val="008C0F1A"/>
    <w:rsid w:val="008C102A"/>
    <w:rsid w:val="008C103B"/>
    <w:rsid w:val="008C137C"/>
    <w:rsid w:val="008C157A"/>
    <w:rsid w:val="008C179F"/>
    <w:rsid w:val="008C1B8A"/>
    <w:rsid w:val="008C1D02"/>
    <w:rsid w:val="008C1FD7"/>
    <w:rsid w:val="008C20A0"/>
    <w:rsid w:val="008C21B7"/>
    <w:rsid w:val="008C22F1"/>
    <w:rsid w:val="008C2379"/>
    <w:rsid w:val="008C2575"/>
    <w:rsid w:val="008C2661"/>
    <w:rsid w:val="008C2734"/>
    <w:rsid w:val="008C28F3"/>
    <w:rsid w:val="008C33C8"/>
    <w:rsid w:val="008C3519"/>
    <w:rsid w:val="008C377C"/>
    <w:rsid w:val="008C38C0"/>
    <w:rsid w:val="008C41AD"/>
    <w:rsid w:val="008C4550"/>
    <w:rsid w:val="008C456F"/>
    <w:rsid w:val="008C4687"/>
    <w:rsid w:val="008C4E2E"/>
    <w:rsid w:val="008C5555"/>
    <w:rsid w:val="008C5B89"/>
    <w:rsid w:val="008C5E3C"/>
    <w:rsid w:val="008C6B23"/>
    <w:rsid w:val="008C6CE9"/>
    <w:rsid w:val="008C7013"/>
    <w:rsid w:val="008C7394"/>
    <w:rsid w:val="008C73EC"/>
    <w:rsid w:val="008C75A7"/>
    <w:rsid w:val="008C792A"/>
    <w:rsid w:val="008C7B53"/>
    <w:rsid w:val="008C7B89"/>
    <w:rsid w:val="008C7F97"/>
    <w:rsid w:val="008D01B9"/>
    <w:rsid w:val="008D03FB"/>
    <w:rsid w:val="008D0D3F"/>
    <w:rsid w:val="008D0E74"/>
    <w:rsid w:val="008D146A"/>
    <w:rsid w:val="008D1809"/>
    <w:rsid w:val="008D18B0"/>
    <w:rsid w:val="008D1D76"/>
    <w:rsid w:val="008D22C7"/>
    <w:rsid w:val="008D2747"/>
    <w:rsid w:val="008D390E"/>
    <w:rsid w:val="008D3EF1"/>
    <w:rsid w:val="008D3F17"/>
    <w:rsid w:val="008D426D"/>
    <w:rsid w:val="008D4460"/>
    <w:rsid w:val="008D49CA"/>
    <w:rsid w:val="008D4D53"/>
    <w:rsid w:val="008D530E"/>
    <w:rsid w:val="008D5EF0"/>
    <w:rsid w:val="008D60EF"/>
    <w:rsid w:val="008D62ED"/>
    <w:rsid w:val="008D63BE"/>
    <w:rsid w:val="008D66EC"/>
    <w:rsid w:val="008D6A94"/>
    <w:rsid w:val="008D6B34"/>
    <w:rsid w:val="008D6DCA"/>
    <w:rsid w:val="008D6DE3"/>
    <w:rsid w:val="008D6F39"/>
    <w:rsid w:val="008D78DE"/>
    <w:rsid w:val="008E015C"/>
    <w:rsid w:val="008E01E0"/>
    <w:rsid w:val="008E02E1"/>
    <w:rsid w:val="008E0610"/>
    <w:rsid w:val="008E0717"/>
    <w:rsid w:val="008E0B8B"/>
    <w:rsid w:val="008E0C83"/>
    <w:rsid w:val="008E0CC2"/>
    <w:rsid w:val="008E0EB6"/>
    <w:rsid w:val="008E10FC"/>
    <w:rsid w:val="008E1D6F"/>
    <w:rsid w:val="008E220F"/>
    <w:rsid w:val="008E267F"/>
    <w:rsid w:val="008E27DE"/>
    <w:rsid w:val="008E299C"/>
    <w:rsid w:val="008E2BCC"/>
    <w:rsid w:val="008E3077"/>
    <w:rsid w:val="008E30CF"/>
    <w:rsid w:val="008E369E"/>
    <w:rsid w:val="008E3771"/>
    <w:rsid w:val="008E383B"/>
    <w:rsid w:val="008E3E2C"/>
    <w:rsid w:val="008E4133"/>
    <w:rsid w:val="008E433C"/>
    <w:rsid w:val="008E481B"/>
    <w:rsid w:val="008E4CCB"/>
    <w:rsid w:val="008E4FFA"/>
    <w:rsid w:val="008E577C"/>
    <w:rsid w:val="008E5887"/>
    <w:rsid w:val="008E63E0"/>
    <w:rsid w:val="008E641A"/>
    <w:rsid w:val="008E70F6"/>
    <w:rsid w:val="008E7649"/>
    <w:rsid w:val="008E77F2"/>
    <w:rsid w:val="008E7D20"/>
    <w:rsid w:val="008F0E28"/>
    <w:rsid w:val="008F0F3C"/>
    <w:rsid w:val="008F10F8"/>
    <w:rsid w:val="008F1231"/>
    <w:rsid w:val="008F1300"/>
    <w:rsid w:val="008F1563"/>
    <w:rsid w:val="008F18CA"/>
    <w:rsid w:val="008F1AB0"/>
    <w:rsid w:val="008F1EA4"/>
    <w:rsid w:val="008F2666"/>
    <w:rsid w:val="008F286E"/>
    <w:rsid w:val="008F2B09"/>
    <w:rsid w:val="008F35B5"/>
    <w:rsid w:val="008F3778"/>
    <w:rsid w:val="008F3817"/>
    <w:rsid w:val="008F4146"/>
    <w:rsid w:val="008F45BE"/>
    <w:rsid w:val="008F4B49"/>
    <w:rsid w:val="008F4BE6"/>
    <w:rsid w:val="008F5026"/>
    <w:rsid w:val="008F5345"/>
    <w:rsid w:val="008F5464"/>
    <w:rsid w:val="008F54C1"/>
    <w:rsid w:val="008F54F0"/>
    <w:rsid w:val="008F5A6E"/>
    <w:rsid w:val="008F5CE6"/>
    <w:rsid w:val="008F60D5"/>
    <w:rsid w:val="008F6214"/>
    <w:rsid w:val="008F62A1"/>
    <w:rsid w:val="008F67C4"/>
    <w:rsid w:val="008F67CF"/>
    <w:rsid w:val="008F6DBC"/>
    <w:rsid w:val="008F6EE6"/>
    <w:rsid w:val="008F71BD"/>
    <w:rsid w:val="008F7378"/>
    <w:rsid w:val="008F773C"/>
    <w:rsid w:val="008F78D6"/>
    <w:rsid w:val="008F79A0"/>
    <w:rsid w:val="0090006C"/>
    <w:rsid w:val="00900B03"/>
    <w:rsid w:val="00901145"/>
    <w:rsid w:val="00901D4A"/>
    <w:rsid w:val="0090234B"/>
    <w:rsid w:val="009023F9"/>
    <w:rsid w:val="0090266F"/>
    <w:rsid w:val="00903515"/>
    <w:rsid w:val="009035B4"/>
    <w:rsid w:val="00903BCA"/>
    <w:rsid w:val="00904598"/>
    <w:rsid w:val="0090527B"/>
    <w:rsid w:val="00905620"/>
    <w:rsid w:val="00905743"/>
    <w:rsid w:val="00905ECE"/>
    <w:rsid w:val="00906333"/>
    <w:rsid w:val="00906371"/>
    <w:rsid w:val="009067C5"/>
    <w:rsid w:val="009067ED"/>
    <w:rsid w:val="00906BCE"/>
    <w:rsid w:val="0090760B"/>
    <w:rsid w:val="00907659"/>
    <w:rsid w:val="0090785F"/>
    <w:rsid w:val="00907923"/>
    <w:rsid w:val="00907EBE"/>
    <w:rsid w:val="009101B1"/>
    <w:rsid w:val="0091063B"/>
    <w:rsid w:val="00911075"/>
    <w:rsid w:val="009113E6"/>
    <w:rsid w:val="0091177F"/>
    <w:rsid w:val="00911945"/>
    <w:rsid w:val="00911DAF"/>
    <w:rsid w:val="00912637"/>
    <w:rsid w:val="00912804"/>
    <w:rsid w:val="00912A27"/>
    <w:rsid w:val="00912A5B"/>
    <w:rsid w:val="00912A6C"/>
    <w:rsid w:val="00912DA6"/>
    <w:rsid w:val="00912DC5"/>
    <w:rsid w:val="009138B1"/>
    <w:rsid w:val="009139C5"/>
    <w:rsid w:val="00913CD1"/>
    <w:rsid w:val="00913D57"/>
    <w:rsid w:val="00913DE6"/>
    <w:rsid w:val="009144AF"/>
    <w:rsid w:val="009148D3"/>
    <w:rsid w:val="00914B4C"/>
    <w:rsid w:val="00915595"/>
    <w:rsid w:val="00915752"/>
    <w:rsid w:val="00915B47"/>
    <w:rsid w:val="00915D5A"/>
    <w:rsid w:val="00915E0D"/>
    <w:rsid w:val="00916472"/>
    <w:rsid w:val="0091685C"/>
    <w:rsid w:val="00916D7B"/>
    <w:rsid w:val="00916DF0"/>
    <w:rsid w:val="00916E29"/>
    <w:rsid w:val="0091705E"/>
    <w:rsid w:val="00917223"/>
    <w:rsid w:val="00917A9C"/>
    <w:rsid w:val="0092034C"/>
    <w:rsid w:val="009207E8"/>
    <w:rsid w:val="00920943"/>
    <w:rsid w:val="0092105F"/>
    <w:rsid w:val="009214A4"/>
    <w:rsid w:val="0092153C"/>
    <w:rsid w:val="009215E6"/>
    <w:rsid w:val="00921E3B"/>
    <w:rsid w:val="009221D3"/>
    <w:rsid w:val="009225DB"/>
    <w:rsid w:val="0092328E"/>
    <w:rsid w:val="0092330C"/>
    <w:rsid w:val="00923568"/>
    <w:rsid w:val="009237C2"/>
    <w:rsid w:val="0092380A"/>
    <w:rsid w:val="00923902"/>
    <w:rsid w:val="009239E8"/>
    <w:rsid w:val="00923F5A"/>
    <w:rsid w:val="00924235"/>
    <w:rsid w:val="0092476E"/>
    <w:rsid w:val="00925205"/>
    <w:rsid w:val="009253D8"/>
    <w:rsid w:val="009257EF"/>
    <w:rsid w:val="00926664"/>
    <w:rsid w:val="009267EF"/>
    <w:rsid w:val="009268FC"/>
    <w:rsid w:val="00926A7D"/>
    <w:rsid w:val="00926F3B"/>
    <w:rsid w:val="009272DD"/>
    <w:rsid w:val="009278CF"/>
    <w:rsid w:val="00927921"/>
    <w:rsid w:val="009279CD"/>
    <w:rsid w:val="00927A35"/>
    <w:rsid w:val="00927C3C"/>
    <w:rsid w:val="00927E1F"/>
    <w:rsid w:val="00930096"/>
    <w:rsid w:val="00930D87"/>
    <w:rsid w:val="00931089"/>
    <w:rsid w:val="0093111B"/>
    <w:rsid w:val="0093178B"/>
    <w:rsid w:val="0093218B"/>
    <w:rsid w:val="00932612"/>
    <w:rsid w:val="0093266A"/>
    <w:rsid w:val="0093278B"/>
    <w:rsid w:val="00932822"/>
    <w:rsid w:val="00932828"/>
    <w:rsid w:val="009332E8"/>
    <w:rsid w:val="00933575"/>
    <w:rsid w:val="009338F8"/>
    <w:rsid w:val="00933DEB"/>
    <w:rsid w:val="00933EF0"/>
    <w:rsid w:val="009346B6"/>
    <w:rsid w:val="009348D9"/>
    <w:rsid w:val="00934C4D"/>
    <w:rsid w:val="00934C4F"/>
    <w:rsid w:val="009350C6"/>
    <w:rsid w:val="00935349"/>
    <w:rsid w:val="009353FA"/>
    <w:rsid w:val="009354D9"/>
    <w:rsid w:val="00935FEA"/>
    <w:rsid w:val="009365A5"/>
    <w:rsid w:val="00936F59"/>
    <w:rsid w:val="009370CE"/>
    <w:rsid w:val="00937272"/>
    <w:rsid w:val="00937317"/>
    <w:rsid w:val="009377C0"/>
    <w:rsid w:val="00937A99"/>
    <w:rsid w:val="009400BF"/>
    <w:rsid w:val="0094096E"/>
    <w:rsid w:val="009409B6"/>
    <w:rsid w:val="00940B15"/>
    <w:rsid w:val="00940ED8"/>
    <w:rsid w:val="00941464"/>
    <w:rsid w:val="009414D7"/>
    <w:rsid w:val="009419CD"/>
    <w:rsid w:val="00941CB7"/>
    <w:rsid w:val="00941E37"/>
    <w:rsid w:val="00942428"/>
    <w:rsid w:val="009429C4"/>
    <w:rsid w:val="00942C22"/>
    <w:rsid w:val="00942D96"/>
    <w:rsid w:val="00943159"/>
    <w:rsid w:val="009434B9"/>
    <w:rsid w:val="009434CE"/>
    <w:rsid w:val="009435BC"/>
    <w:rsid w:val="00943BC3"/>
    <w:rsid w:val="009444C2"/>
    <w:rsid w:val="00944673"/>
    <w:rsid w:val="00944751"/>
    <w:rsid w:val="009447E3"/>
    <w:rsid w:val="00944A91"/>
    <w:rsid w:val="0094500A"/>
    <w:rsid w:val="0094597B"/>
    <w:rsid w:val="00945F66"/>
    <w:rsid w:val="009462F5"/>
    <w:rsid w:val="0094635A"/>
    <w:rsid w:val="00946462"/>
    <w:rsid w:val="00946606"/>
    <w:rsid w:val="0094682C"/>
    <w:rsid w:val="009470DE"/>
    <w:rsid w:val="00947464"/>
    <w:rsid w:val="00947777"/>
    <w:rsid w:val="00947907"/>
    <w:rsid w:val="00947A68"/>
    <w:rsid w:val="00947D22"/>
    <w:rsid w:val="00950670"/>
    <w:rsid w:val="00952349"/>
    <w:rsid w:val="009529A0"/>
    <w:rsid w:val="00952E84"/>
    <w:rsid w:val="009530AE"/>
    <w:rsid w:val="00953574"/>
    <w:rsid w:val="0095371E"/>
    <w:rsid w:val="00953A30"/>
    <w:rsid w:val="0095418D"/>
    <w:rsid w:val="009543FF"/>
    <w:rsid w:val="00954A20"/>
    <w:rsid w:val="009551A2"/>
    <w:rsid w:val="009554F2"/>
    <w:rsid w:val="0095563D"/>
    <w:rsid w:val="0095568E"/>
    <w:rsid w:val="00955C65"/>
    <w:rsid w:val="00955E81"/>
    <w:rsid w:val="009564D1"/>
    <w:rsid w:val="00957622"/>
    <w:rsid w:val="00957CF8"/>
    <w:rsid w:val="00957EC2"/>
    <w:rsid w:val="0096028C"/>
    <w:rsid w:val="00960563"/>
    <w:rsid w:val="00960791"/>
    <w:rsid w:val="00960A3D"/>
    <w:rsid w:val="00960EA8"/>
    <w:rsid w:val="00960FA5"/>
    <w:rsid w:val="00961218"/>
    <w:rsid w:val="009613C1"/>
    <w:rsid w:val="009614F1"/>
    <w:rsid w:val="0096165E"/>
    <w:rsid w:val="009616E2"/>
    <w:rsid w:val="00961B9C"/>
    <w:rsid w:val="009622F3"/>
    <w:rsid w:val="00962304"/>
    <w:rsid w:val="00962B6C"/>
    <w:rsid w:val="0096301A"/>
    <w:rsid w:val="0096313F"/>
    <w:rsid w:val="00963479"/>
    <w:rsid w:val="00964337"/>
    <w:rsid w:val="00964389"/>
    <w:rsid w:val="00964467"/>
    <w:rsid w:val="009650EF"/>
    <w:rsid w:val="00965331"/>
    <w:rsid w:val="00966052"/>
    <w:rsid w:val="009661D0"/>
    <w:rsid w:val="00966C36"/>
    <w:rsid w:val="00967139"/>
    <w:rsid w:val="0096727A"/>
    <w:rsid w:val="00967773"/>
    <w:rsid w:val="0096781B"/>
    <w:rsid w:val="00967D09"/>
    <w:rsid w:val="00970377"/>
    <w:rsid w:val="00970392"/>
    <w:rsid w:val="00970FC6"/>
    <w:rsid w:val="0097157E"/>
    <w:rsid w:val="00971A21"/>
    <w:rsid w:val="00972054"/>
    <w:rsid w:val="00972C44"/>
    <w:rsid w:val="009733AE"/>
    <w:rsid w:val="00973545"/>
    <w:rsid w:val="00973CBA"/>
    <w:rsid w:val="00973F8E"/>
    <w:rsid w:val="0097465C"/>
    <w:rsid w:val="009746F4"/>
    <w:rsid w:val="00975A9A"/>
    <w:rsid w:val="0097673A"/>
    <w:rsid w:val="00976F7F"/>
    <w:rsid w:val="009770CC"/>
    <w:rsid w:val="00977ABA"/>
    <w:rsid w:val="00980128"/>
    <w:rsid w:val="009801FC"/>
    <w:rsid w:val="0098098C"/>
    <w:rsid w:val="00980EBD"/>
    <w:rsid w:val="009826D9"/>
    <w:rsid w:val="00983533"/>
    <w:rsid w:val="0098373B"/>
    <w:rsid w:val="0098393E"/>
    <w:rsid w:val="00983943"/>
    <w:rsid w:val="00983BF4"/>
    <w:rsid w:val="00983EBA"/>
    <w:rsid w:val="00983F8E"/>
    <w:rsid w:val="00984696"/>
    <w:rsid w:val="009846F6"/>
    <w:rsid w:val="00984892"/>
    <w:rsid w:val="00984D31"/>
    <w:rsid w:val="00984D7A"/>
    <w:rsid w:val="00984EE1"/>
    <w:rsid w:val="00984F46"/>
    <w:rsid w:val="009850B8"/>
    <w:rsid w:val="00985C15"/>
    <w:rsid w:val="00985F89"/>
    <w:rsid w:val="00986457"/>
    <w:rsid w:val="00986530"/>
    <w:rsid w:val="0098656E"/>
    <w:rsid w:val="00986A78"/>
    <w:rsid w:val="00987332"/>
    <w:rsid w:val="0098777E"/>
    <w:rsid w:val="00987B7F"/>
    <w:rsid w:val="00987C13"/>
    <w:rsid w:val="0099008A"/>
    <w:rsid w:val="00990411"/>
    <w:rsid w:val="00990413"/>
    <w:rsid w:val="009906A4"/>
    <w:rsid w:val="00990EE0"/>
    <w:rsid w:val="00990FC4"/>
    <w:rsid w:val="009911FD"/>
    <w:rsid w:val="0099178E"/>
    <w:rsid w:val="00991CCA"/>
    <w:rsid w:val="00992C96"/>
    <w:rsid w:val="00993226"/>
    <w:rsid w:val="0099322F"/>
    <w:rsid w:val="00993A68"/>
    <w:rsid w:val="00993DE6"/>
    <w:rsid w:val="009945B3"/>
    <w:rsid w:val="00994831"/>
    <w:rsid w:val="00994CC6"/>
    <w:rsid w:val="00995180"/>
    <w:rsid w:val="00995427"/>
    <w:rsid w:val="0099549A"/>
    <w:rsid w:val="00995CEA"/>
    <w:rsid w:val="00995D5B"/>
    <w:rsid w:val="00995F52"/>
    <w:rsid w:val="009964BA"/>
    <w:rsid w:val="0099653D"/>
    <w:rsid w:val="009967CC"/>
    <w:rsid w:val="00996DE6"/>
    <w:rsid w:val="00997235"/>
    <w:rsid w:val="00997540"/>
    <w:rsid w:val="009976BD"/>
    <w:rsid w:val="00997F4F"/>
    <w:rsid w:val="009A09B7"/>
    <w:rsid w:val="009A0ECF"/>
    <w:rsid w:val="009A1119"/>
    <w:rsid w:val="009A1369"/>
    <w:rsid w:val="009A1547"/>
    <w:rsid w:val="009A177E"/>
    <w:rsid w:val="009A1A84"/>
    <w:rsid w:val="009A28BA"/>
    <w:rsid w:val="009A2FDC"/>
    <w:rsid w:val="009A35B0"/>
    <w:rsid w:val="009A35CA"/>
    <w:rsid w:val="009A4096"/>
    <w:rsid w:val="009A4B84"/>
    <w:rsid w:val="009A4E1D"/>
    <w:rsid w:val="009A5151"/>
    <w:rsid w:val="009A58B0"/>
    <w:rsid w:val="009A5D7A"/>
    <w:rsid w:val="009A5F87"/>
    <w:rsid w:val="009A5F8E"/>
    <w:rsid w:val="009A62F4"/>
    <w:rsid w:val="009A6C43"/>
    <w:rsid w:val="009A6F6B"/>
    <w:rsid w:val="009A6FFE"/>
    <w:rsid w:val="009A774C"/>
    <w:rsid w:val="009A7C0B"/>
    <w:rsid w:val="009A7CE0"/>
    <w:rsid w:val="009A7CFC"/>
    <w:rsid w:val="009B008F"/>
    <w:rsid w:val="009B0233"/>
    <w:rsid w:val="009B043E"/>
    <w:rsid w:val="009B06CF"/>
    <w:rsid w:val="009B070E"/>
    <w:rsid w:val="009B0B9C"/>
    <w:rsid w:val="009B0BCE"/>
    <w:rsid w:val="009B0BD8"/>
    <w:rsid w:val="009B0BF5"/>
    <w:rsid w:val="009B1134"/>
    <w:rsid w:val="009B1990"/>
    <w:rsid w:val="009B377B"/>
    <w:rsid w:val="009B3A98"/>
    <w:rsid w:val="009B3D5F"/>
    <w:rsid w:val="009B446F"/>
    <w:rsid w:val="009B4F17"/>
    <w:rsid w:val="009B4F9E"/>
    <w:rsid w:val="009B4FE5"/>
    <w:rsid w:val="009B5A8F"/>
    <w:rsid w:val="009B5D53"/>
    <w:rsid w:val="009B6113"/>
    <w:rsid w:val="009B6501"/>
    <w:rsid w:val="009B6C22"/>
    <w:rsid w:val="009B6EFC"/>
    <w:rsid w:val="009B73AE"/>
    <w:rsid w:val="009B7771"/>
    <w:rsid w:val="009B78A4"/>
    <w:rsid w:val="009B7E53"/>
    <w:rsid w:val="009B7F61"/>
    <w:rsid w:val="009C015B"/>
    <w:rsid w:val="009C01BD"/>
    <w:rsid w:val="009C01DD"/>
    <w:rsid w:val="009C04AE"/>
    <w:rsid w:val="009C06CE"/>
    <w:rsid w:val="009C1390"/>
    <w:rsid w:val="009C15E8"/>
    <w:rsid w:val="009C16CD"/>
    <w:rsid w:val="009C17E5"/>
    <w:rsid w:val="009C1A1A"/>
    <w:rsid w:val="009C22D6"/>
    <w:rsid w:val="009C2581"/>
    <w:rsid w:val="009C27A3"/>
    <w:rsid w:val="009C28A4"/>
    <w:rsid w:val="009C2B38"/>
    <w:rsid w:val="009C30CF"/>
    <w:rsid w:val="009C3444"/>
    <w:rsid w:val="009C385C"/>
    <w:rsid w:val="009C3C1A"/>
    <w:rsid w:val="009C4096"/>
    <w:rsid w:val="009C4947"/>
    <w:rsid w:val="009C4C59"/>
    <w:rsid w:val="009C5383"/>
    <w:rsid w:val="009C539A"/>
    <w:rsid w:val="009C53D5"/>
    <w:rsid w:val="009C5643"/>
    <w:rsid w:val="009C5B64"/>
    <w:rsid w:val="009C5E7B"/>
    <w:rsid w:val="009C6040"/>
    <w:rsid w:val="009C6BF6"/>
    <w:rsid w:val="009C6C0E"/>
    <w:rsid w:val="009C6C69"/>
    <w:rsid w:val="009C6D9F"/>
    <w:rsid w:val="009C7264"/>
    <w:rsid w:val="009C72FB"/>
    <w:rsid w:val="009C7783"/>
    <w:rsid w:val="009C7897"/>
    <w:rsid w:val="009C7BC8"/>
    <w:rsid w:val="009D032A"/>
    <w:rsid w:val="009D04C7"/>
    <w:rsid w:val="009D05F9"/>
    <w:rsid w:val="009D08B1"/>
    <w:rsid w:val="009D0ADE"/>
    <w:rsid w:val="009D0B13"/>
    <w:rsid w:val="009D20E0"/>
    <w:rsid w:val="009D315F"/>
    <w:rsid w:val="009D33C3"/>
    <w:rsid w:val="009D3A1D"/>
    <w:rsid w:val="009D3FF3"/>
    <w:rsid w:val="009D424A"/>
    <w:rsid w:val="009D471A"/>
    <w:rsid w:val="009D4D91"/>
    <w:rsid w:val="009D4EFF"/>
    <w:rsid w:val="009D5361"/>
    <w:rsid w:val="009D564A"/>
    <w:rsid w:val="009D641B"/>
    <w:rsid w:val="009D67EF"/>
    <w:rsid w:val="009D6D1E"/>
    <w:rsid w:val="009D6E84"/>
    <w:rsid w:val="009D73F2"/>
    <w:rsid w:val="009D7B22"/>
    <w:rsid w:val="009D7E09"/>
    <w:rsid w:val="009E00C8"/>
    <w:rsid w:val="009E04D4"/>
    <w:rsid w:val="009E0708"/>
    <w:rsid w:val="009E095D"/>
    <w:rsid w:val="009E100C"/>
    <w:rsid w:val="009E1296"/>
    <w:rsid w:val="009E1888"/>
    <w:rsid w:val="009E19E0"/>
    <w:rsid w:val="009E1E01"/>
    <w:rsid w:val="009E22FD"/>
    <w:rsid w:val="009E2416"/>
    <w:rsid w:val="009E2AC9"/>
    <w:rsid w:val="009E2B1B"/>
    <w:rsid w:val="009E2FF5"/>
    <w:rsid w:val="009E3D4A"/>
    <w:rsid w:val="009E4841"/>
    <w:rsid w:val="009E4D8C"/>
    <w:rsid w:val="009E4FC9"/>
    <w:rsid w:val="009E561F"/>
    <w:rsid w:val="009E6502"/>
    <w:rsid w:val="009E655A"/>
    <w:rsid w:val="009E6EA2"/>
    <w:rsid w:val="009E79A0"/>
    <w:rsid w:val="009E7ABF"/>
    <w:rsid w:val="009F000F"/>
    <w:rsid w:val="009F0146"/>
    <w:rsid w:val="009F1934"/>
    <w:rsid w:val="009F1B0D"/>
    <w:rsid w:val="009F1F30"/>
    <w:rsid w:val="009F224F"/>
    <w:rsid w:val="009F2467"/>
    <w:rsid w:val="009F2A02"/>
    <w:rsid w:val="009F2A77"/>
    <w:rsid w:val="009F3414"/>
    <w:rsid w:val="009F368A"/>
    <w:rsid w:val="009F3D2F"/>
    <w:rsid w:val="009F3FBC"/>
    <w:rsid w:val="009F446F"/>
    <w:rsid w:val="009F4515"/>
    <w:rsid w:val="009F4BB8"/>
    <w:rsid w:val="009F5231"/>
    <w:rsid w:val="009F587F"/>
    <w:rsid w:val="009F59B1"/>
    <w:rsid w:val="009F5CDC"/>
    <w:rsid w:val="009F5D43"/>
    <w:rsid w:val="009F6020"/>
    <w:rsid w:val="009F6877"/>
    <w:rsid w:val="009F6893"/>
    <w:rsid w:val="009F6C68"/>
    <w:rsid w:val="009F6DAD"/>
    <w:rsid w:val="009F6FCB"/>
    <w:rsid w:val="009F70F9"/>
    <w:rsid w:val="009F7710"/>
    <w:rsid w:val="009F7CAC"/>
    <w:rsid w:val="00A002FD"/>
    <w:rsid w:val="00A0046D"/>
    <w:rsid w:val="00A01161"/>
    <w:rsid w:val="00A012BB"/>
    <w:rsid w:val="00A014C3"/>
    <w:rsid w:val="00A0171C"/>
    <w:rsid w:val="00A01A51"/>
    <w:rsid w:val="00A01A6F"/>
    <w:rsid w:val="00A0260A"/>
    <w:rsid w:val="00A0268A"/>
    <w:rsid w:val="00A02AE2"/>
    <w:rsid w:val="00A032D3"/>
    <w:rsid w:val="00A038CC"/>
    <w:rsid w:val="00A044A1"/>
    <w:rsid w:val="00A05136"/>
    <w:rsid w:val="00A05F06"/>
    <w:rsid w:val="00A06219"/>
    <w:rsid w:val="00A0757A"/>
    <w:rsid w:val="00A075A3"/>
    <w:rsid w:val="00A0763F"/>
    <w:rsid w:val="00A07AB9"/>
    <w:rsid w:val="00A07AE9"/>
    <w:rsid w:val="00A07B29"/>
    <w:rsid w:val="00A1024C"/>
    <w:rsid w:val="00A102B1"/>
    <w:rsid w:val="00A1096A"/>
    <w:rsid w:val="00A109A0"/>
    <w:rsid w:val="00A10E5C"/>
    <w:rsid w:val="00A11547"/>
    <w:rsid w:val="00A115E1"/>
    <w:rsid w:val="00A11911"/>
    <w:rsid w:val="00A11A8E"/>
    <w:rsid w:val="00A11DBB"/>
    <w:rsid w:val="00A12169"/>
    <w:rsid w:val="00A122B0"/>
    <w:rsid w:val="00A122BF"/>
    <w:rsid w:val="00A12FAC"/>
    <w:rsid w:val="00A1321B"/>
    <w:rsid w:val="00A133FF"/>
    <w:rsid w:val="00A1393D"/>
    <w:rsid w:val="00A13CA8"/>
    <w:rsid w:val="00A13E0A"/>
    <w:rsid w:val="00A13FEF"/>
    <w:rsid w:val="00A14012"/>
    <w:rsid w:val="00A147EB"/>
    <w:rsid w:val="00A14992"/>
    <w:rsid w:val="00A14D22"/>
    <w:rsid w:val="00A14D61"/>
    <w:rsid w:val="00A14DF6"/>
    <w:rsid w:val="00A1576A"/>
    <w:rsid w:val="00A157AC"/>
    <w:rsid w:val="00A158D2"/>
    <w:rsid w:val="00A1660B"/>
    <w:rsid w:val="00A16640"/>
    <w:rsid w:val="00A16855"/>
    <w:rsid w:val="00A168F1"/>
    <w:rsid w:val="00A169B3"/>
    <w:rsid w:val="00A17464"/>
    <w:rsid w:val="00A1783D"/>
    <w:rsid w:val="00A178DB"/>
    <w:rsid w:val="00A2001F"/>
    <w:rsid w:val="00A20098"/>
    <w:rsid w:val="00A200FD"/>
    <w:rsid w:val="00A206A9"/>
    <w:rsid w:val="00A20828"/>
    <w:rsid w:val="00A20D6C"/>
    <w:rsid w:val="00A21058"/>
    <w:rsid w:val="00A21148"/>
    <w:rsid w:val="00A21583"/>
    <w:rsid w:val="00A219FD"/>
    <w:rsid w:val="00A21D83"/>
    <w:rsid w:val="00A2205A"/>
    <w:rsid w:val="00A2239A"/>
    <w:rsid w:val="00A22F58"/>
    <w:rsid w:val="00A23263"/>
    <w:rsid w:val="00A23358"/>
    <w:rsid w:val="00A2369F"/>
    <w:rsid w:val="00A23A9F"/>
    <w:rsid w:val="00A24335"/>
    <w:rsid w:val="00A247C5"/>
    <w:rsid w:val="00A24BBA"/>
    <w:rsid w:val="00A24CB8"/>
    <w:rsid w:val="00A24E81"/>
    <w:rsid w:val="00A24F45"/>
    <w:rsid w:val="00A252AE"/>
    <w:rsid w:val="00A253AC"/>
    <w:rsid w:val="00A257D1"/>
    <w:rsid w:val="00A25DEF"/>
    <w:rsid w:val="00A26093"/>
    <w:rsid w:val="00A26170"/>
    <w:rsid w:val="00A26177"/>
    <w:rsid w:val="00A26323"/>
    <w:rsid w:val="00A263EB"/>
    <w:rsid w:val="00A26A18"/>
    <w:rsid w:val="00A26A4C"/>
    <w:rsid w:val="00A2709E"/>
    <w:rsid w:val="00A27142"/>
    <w:rsid w:val="00A2752C"/>
    <w:rsid w:val="00A27792"/>
    <w:rsid w:val="00A27896"/>
    <w:rsid w:val="00A30290"/>
    <w:rsid w:val="00A3053B"/>
    <w:rsid w:val="00A30613"/>
    <w:rsid w:val="00A30AA2"/>
    <w:rsid w:val="00A31DBF"/>
    <w:rsid w:val="00A31E63"/>
    <w:rsid w:val="00A32465"/>
    <w:rsid w:val="00A32625"/>
    <w:rsid w:val="00A331C8"/>
    <w:rsid w:val="00A3330A"/>
    <w:rsid w:val="00A3374E"/>
    <w:rsid w:val="00A337C0"/>
    <w:rsid w:val="00A33B0C"/>
    <w:rsid w:val="00A33BD1"/>
    <w:rsid w:val="00A33FED"/>
    <w:rsid w:val="00A3414F"/>
    <w:rsid w:val="00A348A3"/>
    <w:rsid w:val="00A3499F"/>
    <w:rsid w:val="00A3558D"/>
    <w:rsid w:val="00A35BDE"/>
    <w:rsid w:val="00A35E05"/>
    <w:rsid w:val="00A35E90"/>
    <w:rsid w:val="00A35F5A"/>
    <w:rsid w:val="00A35FE9"/>
    <w:rsid w:val="00A369EF"/>
    <w:rsid w:val="00A37007"/>
    <w:rsid w:val="00A37866"/>
    <w:rsid w:val="00A37999"/>
    <w:rsid w:val="00A379C7"/>
    <w:rsid w:val="00A37C7C"/>
    <w:rsid w:val="00A408C8"/>
    <w:rsid w:val="00A40BAA"/>
    <w:rsid w:val="00A40F85"/>
    <w:rsid w:val="00A40F94"/>
    <w:rsid w:val="00A41924"/>
    <w:rsid w:val="00A41A3C"/>
    <w:rsid w:val="00A423B0"/>
    <w:rsid w:val="00A42667"/>
    <w:rsid w:val="00A42F5B"/>
    <w:rsid w:val="00A431BA"/>
    <w:rsid w:val="00A43499"/>
    <w:rsid w:val="00A43EC7"/>
    <w:rsid w:val="00A44216"/>
    <w:rsid w:val="00A44409"/>
    <w:rsid w:val="00A4457E"/>
    <w:rsid w:val="00A44871"/>
    <w:rsid w:val="00A44E6D"/>
    <w:rsid w:val="00A45015"/>
    <w:rsid w:val="00A4505B"/>
    <w:rsid w:val="00A4537B"/>
    <w:rsid w:val="00A453B0"/>
    <w:rsid w:val="00A454FC"/>
    <w:rsid w:val="00A4565F"/>
    <w:rsid w:val="00A45846"/>
    <w:rsid w:val="00A45EF0"/>
    <w:rsid w:val="00A45F6E"/>
    <w:rsid w:val="00A46195"/>
    <w:rsid w:val="00A46A4C"/>
    <w:rsid w:val="00A46E0B"/>
    <w:rsid w:val="00A4766A"/>
    <w:rsid w:val="00A502BA"/>
    <w:rsid w:val="00A50371"/>
    <w:rsid w:val="00A505C0"/>
    <w:rsid w:val="00A5060F"/>
    <w:rsid w:val="00A50660"/>
    <w:rsid w:val="00A50681"/>
    <w:rsid w:val="00A5082F"/>
    <w:rsid w:val="00A508DC"/>
    <w:rsid w:val="00A510DE"/>
    <w:rsid w:val="00A51B2A"/>
    <w:rsid w:val="00A51B53"/>
    <w:rsid w:val="00A521C1"/>
    <w:rsid w:val="00A522B0"/>
    <w:rsid w:val="00A5235B"/>
    <w:rsid w:val="00A52966"/>
    <w:rsid w:val="00A52B98"/>
    <w:rsid w:val="00A5372B"/>
    <w:rsid w:val="00A545BF"/>
    <w:rsid w:val="00A54B50"/>
    <w:rsid w:val="00A54D6B"/>
    <w:rsid w:val="00A550B8"/>
    <w:rsid w:val="00A55A10"/>
    <w:rsid w:val="00A55DC8"/>
    <w:rsid w:val="00A55ED3"/>
    <w:rsid w:val="00A5632B"/>
    <w:rsid w:val="00A563D3"/>
    <w:rsid w:val="00A56579"/>
    <w:rsid w:val="00A56726"/>
    <w:rsid w:val="00A56765"/>
    <w:rsid w:val="00A56AC5"/>
    <w:rsid w:val="00A574F0"/>
    <w:rsid w:val="00A57755"/>
    <w:rsid w:val="00A57B63"/>
    <w:rsid w:val="00A57BA9"/>
    <w:rsid w:val="00A57FD8"/>
    <w:rsid w:val="00A60132"/>
    <w:rsid w:val="00A60939"/>
    <w:rsid w:val="00A60A0F"/>
    <w:rsid w:val="00A60A69"/>
    <w:rsid w:val="00A617E7"/>
    <w:rsid w:val="00A619F3"/>
    <w:rsid w:val="00A61DC9"/>
    <w:rsid w:val="00A61F1E"/>
    <w:rsid w:val="00A61F43"/>
    <w:rsid w:val="00A62ED1"/>
    <w:rsid w:val="00A633E0"/>
    <w:rsid w:val="00A63601"/>
    <w:rsid w:val="00A63B2D"/>
    <w:rsid w:val="00A63D29"/>
    <w:rsid w:val="00A6404F"/>
    <w:rsid w:val="00A640B5"/>
    <w:rsid w:val="00A64426"/>
    <w:rsid w:val="00A64468"/>
    <w:rsid w:val="00A64728"/>
    <w:rsid w:val="00A64904"/>
    <w:rsid w:val="00A64C1C"/>
    <w:rsid w:val="00A64CBA"/>
    <w:rsid w:val="00A64E4E"/>
    <w:rsid w:val="00A659D8"/>
    <w:rsid w:val="00A65AFA"/>
    <w:rsid w:val="00A65B38"/>
    <w:rsid w:val="00A65E89"/>
    <w:rsid w:val="00A66603"/>
    <w:rsid w:val="00A66D4C"/>
    <w:rsid w:val="00A67379"/>
    <w:rsid w:val="00A67676"/>
    <w:rsid w:val="00A67BCA"/>
    <w:rsid w:val="00A67CCE"/>
    <w:rsid w:val="00A67F4F"/>
    <w:rsid w:val="00A70EBC"/>
    <w:rsid w:val="00A70FE3"/>
    <w:rsid w:val="00A710D0"/>
    <w:rsid w:val="00A7118D"/>
    <w:rsid w:val="00A71339"/>
    <w:rsid w:val="00A7135B"/>
    <w:rsid w:val="00A71759"/>
    <w:rsid w:val="00A71A83"/>
    <w:rsid w:val="00A72091"/>
    <w:rsid w:val="00A723BF"/>
    <w:rsid w:val="00A72469"/>
    <w:rsid w:val="00A72829"/>
    <w:rsid w:val="00A72BFA"/>
    <w:rsid w:val="00A72CAF"/>
    <w:rsid w:val="00A730EA"/>
    <w:rsid w:val="00A73139"/>
    <w:rsid w:val="00A7374F"/>
    <w:rsid w:val="00A73894"/>
    <w:rsid w:val="00A73993"/>
    <w:rsid w:val="00A73BB9"/>
    <w:rsid w:val="00A73F82"/>
    <w:rsid w:val="00A742B1"/>
    <w:rsid w:val="00A74CDF"/>
    <w:rsid w:val="00A75408"/>
    <w:rsid w:val="00A75598"/>
    <w:rsid w:val="00A756D0"/>
    <w:rsid w:val="00A75BCB"/>
    <w:rsid w:val="00A75CC3"/>
    <w:rsid w:val="00A75F1D"/>
    <w:rsid w:val="00A75F8C"/>
    <w:rsid w:val="00A761CF"/>
    <w:rsid w:val="00A7631D"/>
    <w:rsid w:val="00A7667E"/>
    <w:rsid w:val="00A76D19"/>
    <w:rsid w:val="00A775E6"/>
    <w:rsid w:val="00A7768F"/>
    <w:rsid w:val="00A7771D"/>
    <w:rsid w:val="00A80BF6"/>
    <w:rsid w:val="00A80E98"/>
    <w:rsid w:val="00A81694"/>
    <w:rsid w:val="00A817CD"/>
    <w:rsid w:val="00A818A0"/>
    <w:rsid w:val="00A81935"/>
    <w:rsid w:val="00A82113"/>
    <w:rsid w:val="00A825A5"/>
    <w:rsid w:val="00A82899"/>
    <w:rsid w:val="00A82D87"/>
    <w:rsid w:val="00A83251"/>
    <w:rsid w:val="00A83ACB"/>
    <w:rsid w:val="00A84327"/>
    <w:rsid w:val="00A844C2"/>
    <w:rsid w:val="00A84BBC"/>
    <w:rsid w:val="00A85698"/>
    <w:rsid w:val="00A859E4"/>
    <w:rsid w:val="00A85BDC"/>
    <w:rsid w:val="00A85C83"/>
    <w:rsid w:val="00A85CBA"/>
    <w:rsid w:val="00A861BB"/>
    <w:rsid w:val="00A8620B"/>
    <w:rsid w:val="00A866EE"/>
    <w:rsid w:val="00A8686B"/>
    <w:rsid w:val="00A875BA"/>
    <w:rsid w:val="00A875BE"/>
    <w:rsid w:val="00A87D9B"/>
    <w:rsid w:val="00A87DB4"/>
    <w:rsid w:val="00A901A1"/>
    <w:rsid w:val="00A9043C"/>
    <w:rsid w:val="00A90BEF"/>
    <w:rsid w:val="00A90D4F"/>
    <w:rsid w:val="00A90DF4"/>
    <w:rsid w:val="00A9166F"/>
    <w:rsid w:val="00A91DEE"/>
    <w:rsid w:val="00A92531"/>
    <w:rsid w:val="00A92A1A"/>
    <w:rsid w:val="00A937D2"/>
    <w:rsid w:val="00A94191"/>
    <w:rsid w:val="00A9428C"/>
    <w:rsid w:val="00A94A38"/>
    <w:rsid w:val="00A94E56"/>
    <w:rsid w:val="00A956DD"/>
    <w:rsid w:val="00A95A68"/>
    <w:rsid w:val="00A95ACC"/>
    <w:rsid w:val="00A95F24"/>
    <w:rsid w:val="00A96284"/>
    <w:rsid w:val="00A96451"/>
    <w:rsid w:val="00A96524"/>
    <w:rsid w:val="00A9665E"/>
    <w:rsid w:val="00A96673"/>
    <w:rsid w:val="00A96DEB"/>
    <w:rsid w:val="00A96E97"/>
    <w:rsid w:val="00A96F5F"/>
    <w:rsid w:val="00A97168"/>
    <w:rsid w:val="00A9755C"/>
    <w:rsid w:val="00A978CA"/>
    <w:rsid w:val="00A978CC"/>
    <w:rsid w:val="00A97A15"/>
    <w:rsid w:val="00A97A3F"/>
    <w:rsid w:val="00A97BF0"/>
    <w:rsid w:val="00AA00E4"/>
    <w:rsid w:val="00AA0275"/>
    <w:rsid w:val="00AA04F7"/>
    <w:rsid w:val="00AA06BA"/>
    <w:rsid w:val="00AA0CBC"/>
    <w:rsid w:val="00AA0E60"/>
    <w:rsid w:val="00AA0EF1"/>
    <w:rsid w:val="00AA15D3"/>
    <w:rsid w:val="00AA1639"/>
    <w:rsid w:val="00AA165D"/>
    <w:rsid w:val="00AA1F49"/>
    <w:rsid w:val="00AA21D3"/>
    <w:rsid w:val="00AA2482"/>
    <w:rsid w:val="00AA25C1"/>
    <w:rsid w:val="00AA27CC"/>
    <w:rsid w:val="00AA2EEE"/>
    <w:rsid w:val="00AA31A5"/>
    <w:rsid w:val="00AA3BB3"/>
    <w:rsid w:val="00AA4194"/>
    <w:rsid w:val="00AA42BD"/>
    <w:rsid w:val="00AA4F20"/>
    <w:rsid w:val="00AA617C"/>
    <w:rsid w:val="00AA626C"/>
    <w:rsid w:val="00AA65C9"/>
    <w:rsid w:val="00AA6BD8"/>
    <w:rsid w:val="00AA7B21"/>
    <w:rsid w:val="00AA7ED7"/>
    <w:rsid w:val="00AA7EE4"/>
    <w:rsid w:val="00AB0537"/>
    <w:rsid w:val="00AB06EC"/>
    <w:rsid w:val="00AB0845"/>
    <w:rsid w:val="00AB08D7"/>
    <w:rsid w:val="00AB0984"/>
    <w:rsid w:val="00AB0DC4"/>
    <w:rsid w:val="00AB0EFB"/>
    <w:rsid w:val="00AB28F6"/>
    <w:rsid w:val="00AB2949"/>
    <w:rsid w:val="00AB2B40"/>
    <w:rsid w:val="00AB2B51"/>
    <w:rsid w:val="00AB2C97"/>
    <w:rsid w:val="00AB304A"/>
    <w:rsid w:val="00AB331C"/>
    <w:rsid w:val="00AB34E3"/>
    <w:rsid w:val="00AB3533"/>
    <w:rsid w:val="00AB354B"/>
    <w:rsid w:val="00AB3B1C"/>
    <w:rsid w:val="00AB3B95"/>
    <w:rsid w:val="00AB45BE"/>
    <w:rsid w:val="00AB4670"/>
    <w:rsid w:val="00AB4835"/>
    <w:rsid w:val="00AB4A4E"/>
    <w:rsid w:val="00AB4CB4"/>
    <w:rsid w:val="00AB4DB7"/>
    <w:rsid w:val="00AB4EBF"/>
    <w:rsid w:val="00AB517C"/>
    <w:rsid w:val="00AB5709"/>
    <w:rsid w:val="00AB57DC"/>
    <w:rsid w:val="00AB592A"/>
    <w:rsid w:val="00AB5C1D"/>
    <w:rsid w:val="00AB5C38"/>
    <w:rsid w:val="00AB751C"/>
    <w:rsid w:val="00AB7625"/>
    <w:rsid w:val="00AB7910"/>
    <w:rsid w:val="00AB7C8E"/>
    <w:rsid w:val="00AC0214"/>
    <w:rsid w:val="00AC0251"/>
    <w:rsid w:val="00AC0646"/>
    <w:rsid w:val="00AC06D6"/>
    <w:rsid w:val="00AC0996"/>
    <w:rsid w:val="00AC0BA3"/>
    <w:rsid w:val="00AC0E98"/>
    <w:rsid w:val="00AC1341"/>
    <w:rsid w:val="00AC146B"/>
    <w:rsid w:val="00AC1919"/>
    <w:rsid w:val="00AC19A1"/>
    <w:rsid w:val="00AC1FB2"/>
    <w:rsid w:val="00AC24B4"/>
    <w:rsid w:val="00AC2A78"/>
    <w:rsid w:val="00AC2C4C"/>
    <w:rsid w:val="00AC2C5B"/>
    <w:rsid w:val="00AC2D57"/>
    <w:rsid w:val="00AC2DCB"/>
    <w:rsid w:val="00AC3531"/>
    <w:rsid w:val="00AC3665"/>
    <w:rsid w:val="00AC38A9"/>
    <w:rsid w:val="00AC3BC2"/>
    <w:rsid w:val="00AC40CC"/>
    <w:rsid w:val="00AC4122"/>
    <w:rsid w:val="00AC4C3A"/>
    <w:rsid w:val="00AC4DEF"/>
    <w:rsid w:val="00AC4F21"/>
    <w:rsid w:val="00AC4FD5"/>
    <w:rsid w:val="00AC4FF5"/>
    <w:rsid w:val="00AC547E"/>
    <w:rsid w:val="00AC54F6"/>
    <w:rsid w:val="00AC5642"/>
    <w:rsid w:val="00AC61B7"/>
    <w:rsid w:val="00AC6345"/>
    <w:rsid w:val="00AC656B"/>
    <w:rsid w:val="00AC67DD"/>
    <w:rsid w:val="00AC7039"/>
    <w:rsid w:val="00AC7174"/>
    <w:rsid w:val="00AC7595"/>
    <w:rsid w:val="00AC7801"/>
    <w:rsid w:val="00AC79F8"/>
    <w:rsid w:val="00AC7F37"/>
    <w:rsid w:val="00AD004B"/>
    <w:rsid w:val="00AD049F"/>
    <w:rsid w:val="00AD0C1E"/>
    <w:rsid w:val="00AD0E10"/>
    <w:rsid w:val="00AD12B8"/>
    <w:rsid w:val="00AD2992"/>
    <w:rsid w:val="00AD2D23"/>
    <w:rsid w:val="00AD2DBB"/>
    <w:rsid w:val="00AD2EFE"/>
    <w:rsid w:val="00AD317F"/>
    <w:rsid w:val="00AD3A9D"/>
    <w:rsid w:val="00AD4106"/>
    <w:rsid w:val="00AD4620"/>
    <w:rsid w:val="00AD4C1D"/>
    <w:rsid w:val="00AD5BF8"/>
    <w:rsid w:val="00AD5E5E"/>
    <w:rsid w:val="00AD602C"/>
    <w:rsid w:val="00AD6141"/>
    <w:rsid w:val="00AD62A3"/>
    <w:rsid w:val="00AD657D"/>
    <w:rsid w:val="00AD660E"/>
    <w:rsid w:val="00AD6D8B"/>
    <w:rsid w:val="00AD6FA9"/>
    <w:rsid w:val="00AD6FC8"/>
    <w:rsid w:val="00AD739E"/>
    <w:rsid w:val="00AD7C60"/>
    <w:rsid w:val="00AE013C"/>
    <w:rsid w:val="00AE0375"/>
    <w:rsid w:val="00AE044B"/>
    <w:rsid w:val="00AE061D"/>
    <w:rsid w:val="00AE06C9"/>
    <w:rsid w:val="00AE0777"/>
    <w:rsid w:val="00AE0879"/>
    <w:rsid w:val="00AE0B80"/>
    <w:rsid w:val="00AE137C"/>
    <w:rsid w:val="00AE13AD"/>
    <w:rsid w:val="00AE1601"/>
    <w:rsid w:val="00AE18EF"/>
    <w:rsid w:val="00AE20B3"/>
    <w:rsid w:val="00AE228C"/>
    <w:rsid w:val="00AE2757"/>
    <w:rsid w:val="00AE2DB2"/>
    <w:rsid w:val="00AE31F9"/>
    <w:rsid w:val="00AE3435"/>
    <w:rsid w:val="00AE34E1"/>
    <w:rsid w:val="00AE3C76"/>
    <w:rsid w:val="00AE3D7A"/>
    <w:rsid w:val="00AE4060"/>
    <w:rsid w:val="00AE4B0F"/>
    <w:rsid w:val="00AE4F52"/>
    <w:rsid w:val="00AE5F79"/>
    <w:rsid w:val="00AE6AA2"/>
    <w:rsid w:val="00AE6CA7"/>
    <w:rsid w:val="00AE7293"/>
    <w:rsid w:val="00AE761B"/>
    <w:rsid w:val="00AF0080"/>
    <w:rsid w:val="00AF020A"/>
    <w:rsid w:val="00AF0365"/>
    <w:rsid w:val="00AF0760"/>
    <w:rsid w:val="00AF0B54"/>
    <w:rsid w:val="00AF0D06"/>
    <w:rsid w:val="00AF0F01"/>
    <w:rsid w:val="00AF1227"/>
    <w:rsid w:val="00AF1AF2"/>
    <w:rsid w:val="00AF1E4E"/>
    <w:rsid w:val="00AF22DA"/>
    <w:rsid w:val="00AF306E"/>
    <w:rsid w:val="00AF3538"/>
    <w:rsid w:val="00AF387E"/>
    <w:rsid w:val="00AF39AD"/>
    <w:rsid w:val="00AF3B0A"/>
    <w:rsid w:val="00AF4055"/>
    <w:rsid w:val="00AF40DB"/>
    <w:rsid w:val="00AF4110"/>
    <w:rsid w:val="00AF45F2"/>
    <w:rsid w:val="00AF4672"/>
    <w:rsid w:val="00AF4A64"/>
    <w:rsid w:val="00AF550D"/>
    <w:rsid w:val="00AF5F2C"/>
    <w:rsid w:val="00AF6052"/>
    <w:rsid w:val="00AF614E"/>
    <w:rsid w:val="00AF638E"/>
    <w:rsid w:val="00AF63CB"/>
    <w:rsid w:val="00AF6717"/>
    <w:rsid w:val="00AF715D"/>
    <w:rsid w:val="00AF7FE0"/>
    <w:rsid w:val="00B001A4"/>
    <w:rsid w:val="00B00499"/>
    <w:rsid w:val="00B006BD"/>
    <w:rsid w:val="00B0084A"/>
    <w:rsid w:val="00B00BDE"/>
    <w:rsid w:val="00B01065"/>
    <w:rsid w:val="00B01112"/>
    <w:rsid w:val="00B024DF"/>
    <w:rsid w:val="00B0257E"/>
    <w:rsid w:val="00B02B74"/>
    <w:rsid w:val="00B035BC"/>
    <w:rsid w:val="00B03661"/>
    <w:rsid w:val="00B03856"/>
    <w:rsid w:val="00B042C2"/>
    <w:rsid w:val="00B04665"/>
    <w:rsid w:val="00B04C1F"/>
    <w:rsid w:val="00B04C3B"/>
    <w:rsid w:val="00B04F8B"/>
    <w:rsid w:val="00B057B8"/>
    <w:rsid w:val="00B059B9"/>
    <w:rsid w:val="00B0678A"/>
    <w:rsid w:val="00B06859"/>
    <w:rsid w:val="00B06C77"/>
    <w:rsid w:val="00B0744B"/>
    <w:rsid w:val="00B07605"/>
    <w:rsid w:val="00B07B64"/>
    <w:rsid w:val="00B07BB2"/>
    <w:rsid w:val="00B101F3"/>
    <w:rsid w:val="00B10408"/>
    <w:rsid w:val="00B106E2"/>
    <w:rsid w:val="00B1097C"/>
    <w:rsid w:val="00B10DBF"/>
    <w:rsid w:val="00B10E4A"/>
    <w:rsid w:val="00B10FAB"/>
    <w:rsid w:val="00B110B4"/>
    <w:rsid w:val="00B114BF"/>
    <w:rsid w:val="00B116EF"/>
    <w:rsid w:val="00B11861"/>
    <w:rsid w:val="00B126D6"/>
    <w:rsid w:val="00B128F9"/>
    <w:rsid w:val="00B129C4"/>
    <w:rsid w:val="00B12C78"/>
    <w:rsid w:val="00B12EE3"/>
    <w:rsid w:val="00B13500"/>
    <w:rsid w:val="00B1373F"/>
    <w:rsid w:val="00B13C92"/>
    <w:rsid w:val="00B13D65"/>
    <w:rsid w:val="00B14227"/>
    <w:rsid w:val="00B14651"/>
    <w:rsid w:val="00B14738"/>
    <w:rsid w:val="00B14AF7"/>
    <w:rsid w:val="00B14F4E"/>
    <w:rsid w:val="00B15478"/>
    <w:rsid w:val="00B15797"/>
    <w:rsid w:val="00B15A5B"/>
    <w:rsid w:val="00B15B47"/>
    <w:rsid w:val="00B15FC9"/>
    <w:rsid w:val="00B166EB"/>
    <w:rsid w:val="00B168D1"/>
    <w:rsid w:val="00B16D40"/>
    <w:rsid w:val="00B16DA1"/>
    <w:rsid w:val="00B173D9"/>
    <w:rsid w:val="00B1741E"/>
    <w:rsid w:val="00B17F04"/>
    <w:rsid w:val="00B2013D"/>
    <w:rsid w:val="00B20236"/>
    <w:rsid w:val="00B202A7"/>
    <w:rsid w:val="00B20535"/>
    <w:rsid w:val="00B21592"/>
    <w:rsid w:val="00B21CDE"/>
    <w:rsid w:val="00B22497"/>
    <w:rsid w:val="00B22786"/>
    <w:rsid w:val="00B228A5"/>
    <w:rsid w:val="00B238C1"/>
    <w:rsid w:val="00B23E9D"/>
    <w:rsid w:val="00B24054"/>
    <w:rsid w:val="00B240CB"/>
    <w:rsid w:val="00B24453"/>
    <w:rsid w:val="00B244B9"/>
    <w:rsid w:val="00B24B62"/>
    <w:rsid w:val="00B24BE1"/>
    <w:rsid w:val="00B2536C"/>
    <w:rsid w:val="00B25A88"/>
    <w:rsid w:val="00B25D3C"/>
    <w:rsid w:val="00B2602A"/>
    <w:rsid w:val="00B260A5"/>
    <w:rsid w:val="00B2621D"/>
    <w:rsid w:val="00B26A85"/>
    <w:rsid w:val="00B2708A"/>
    <w:rsid w:val="00B27DD2"/>
    <w:rsid w:val="00B317D1"/>
    <w:rsid w:val="00B31CAC"/>
    <w:rsid w:val="00B31E02"/>
    <w:rsid w:val="00B3330F"/>
    <w:rsid w:val="00B334A7"/>
    <w:rsid w:val="00B3359A"/>
    <w:rsid w:val="00B3372F"/>
    <w:rsid w:val="00B337F4"/>
    <w:rsid w:val="00B33B4C"/>
    <w:rsid w:val="00B34F9E"/>
    <w:rsid w:val="00B35048"/>
    <w:rsid w:val="00B35250"/>
    <w:rsid w:val="00B3582D"/>
    <w:rsid w:val="00B35926"/>
    <w:rsid w:val="00B359DB"/>
    <w:rsid w:val="00B35ABB"/>
    <w:rsid w:val="00B35BA6"/>
    <w:rsid w:val="00B361E0"/>
    <w:rsid w:val="00B3675A"/>
    <w:rsid w:val="00B36927"/>
    <w:rsid w:val="00B373FA"/>
    <w:rsid w:val="00B37963"/>
    <w:rsid w:val="00B37C4D"/>
    <w:rsid w:val="00B37D48"/>
    <w:rsid w:val="00B37E43"/>
    <w:rsid w:val="00B40734"/>
    <w:rsid w:val="00B40D66"/>
    <w:rsid w:val="00B410BA"/>
    <w:rsid w:val="00B41511"/>
    <w:rsid w:val="00B41998"/>
    <w:rsid w:val="00B41F4B"/>
    <w:rsid w:val="00B42035"/>
    <w:rsid w:val="00B4240B"/>
    <w:rsid w:val="00B42525"/>
    <w:rsid w:val="00B42526"/>
    <w:rsid w:val="00B428E5"/>
    <w:rsid w:val="00B42CB3"/>
    <w:rsid w:val="00B42D7C"/>
    <w:rsid w:val="00B42FED"/>
    <w:rsid w:val="00B4322C"/>
    <w:rsid w:val="00B4324C"/>
    <w:rsid w:val="00B43E18"/>
    <w:rsid w:val="00B43E91"/>
    <w:rsid w:val="00B444A9"/>
    <w:rsid w:val="00B44AE5"/>
    <w:rsid w:val="00B44D61"/>
    <w:rsid w:val="00B454F3"/>
    <w:rsid w:val="00B45A17"/>
    <w:rsid w:val="00B45E84"/>
    <w:rsid w:val="00B4650D"/>
    <w:rsid w:val="00B46571"/>
    <w:rsid w:val="00B4657C"/>
    <w:rsid w:val="00B4667D"/>
    <w:rsid w:val="00B466D1"/>
    <w:rsid w:val="00B4683D"/>
    <w:rsid w:val="00B46907"/>
    <w:rsid w:val="00B46B38"/>
    <w:rsid w:val="00B46C0D"/>
    <w:rsid w:val="00B46CC8"/>
    <w:rsid w:val="00B46D06"/>
    <w:rsid w:val="00B47381"/>
    <w:rsid w:val="00B47724"/>
    <w:rsid w:val="00B47839"/>
    <w:rsid w:val="00B47991"/>
    <w:rsid w:val="00B47E30"/>
    <w:rsid w:val="00B506D1"/>
    <w:rsid w:val="00B5074D"/>
    <w:rsid w:val="00B50CE6"/>
    <w:rsid w:val="00B510EC"/>
    <w:rsid w:val="00B5160D"/>
    <w:rsid w:val="00B51656"/>
    <w:rsid w:val="00B51745"/>
    <w:rsid w:val="00B51A4C"/>
    <w:rsid w:val="00B51B65"/>
    <w:rsid w:val="00B51E74"/>
    <w:rsid w:val="00B522E0"/>
    <w:rsid w:val="00B52359"/>
    <w:rsid w:val="00B5250D"/>
    <w:rsid w:val="00B5279D"/>
    <w:rsid w:val="00B52894"/>
    <w:rsid w:val="00B53506"/>
    <w:rsid w:val="00B5350C"/>
    <w:rsid w:val="00B536C4"/>
    <w:rsid w:val="00B53715"/>
    <w:rsid w:val="00B53D25"/>
    <w:rsid w:val="00B53DA1"/>
    <w:rsid w:val="00B53F14"/>
    <w:rsid w:val="00B551C4"/>
    <w:rsid w:val="00B553E8"/>
    <w:rsid w:val="00B554A0"/>
    <w:rsid w:val="00B55A94"/>
    <w:rsid w:val="00B55CD5"/>
    <w:rsid w:val="00B561B3"/>
    <w:rsid w:val="00B57550"/>
    <w:rsid w:val="00B57908"/>
    <w:rsid w:val="00B57CBD"/>
    <w:rsid w:val="00B57DC8"/>
    <w:rsid w:val="00B60447"/>
    <w:rsid w:val="00B60819"/>
    <w:rsid w:val="00B60887"/>
    <w:rsid w:val="00B609E0"/>
    <w:rsid w:val="00B61427"/>
    <w:rsid w:val="00B629E7"/>
    <w:rsid w:val="00B62ABF"/>
    <w:rsid w:val="00B62D32"/>
    <w:rsid w:val="00B63594"/>
    <w:rsid w:val="00B6383A"/>
    <w:rsid w:val="00B638C5"/>
    <w:rsid w:val="00B63E7F"/>
    <w:rsid w:val="00B640A0"/>
    <w:rsid w:val="00B6489E"/>
    <w:rsid w:val="00B6494F"/>
    <w:rsid w:val="00B64A1C"/>
    <w:rsid w:val="00B64E53"/>
    <w:rsid w:val="00B64EF0"/>
    <w:rsid w:val="00B658E6"/>
    <w:rsid w:val="00B6599C"/>
    <w:rsid w:val="00B65D74"/>
    <w:rsid w:val="00B665EE"/>
    <w:rsid w:val="00B666AB"/>
    <w:rsid w:val="00B66B42"/>
    <w:rsid w:val="00B66E89"/>
    <w:rsid w:val="00B6715C"/>
    <w:rsid w:val="00B677F3"/>
    <w:rsid w:val="00B67C95"/>
    <w:rsid w:val="00B7040F"/>
    <w:rsid w:val="00B709AD"/>
    <w:rsid w:val="00B70ED5"/>
    <w:rsid w:val="00B712A1"/>
    <w:rsid w:val="00B7139C"/>
    <w:rsid w:val="00B7171E"/>
    <w:rsid w:val="00B719F8"/>
    <w:rsid w:val="00B720D1"/>
    <w:rsid w:val="00B7220E"/>
    <w:rsid w:val="00B72C03"/>
    <w:rsid w:val="00B72C33"/>
    <w:rsid w:val="00B72EA2"/>
    <w:rsid w:val="00B72EE3"/>
    <w:rsid w:val="00B72FCB"/>
    <w:rsid w:val="00B73A04"/>
    <w:rsid w:val="00B73C01"/>
    <w:rsid w:val="00B73C54"/>
    <w:rsid w:val="00B74070"/>
    <w:rsid w:val="00B74B48"/>
    <w:rsid w:val="00B74C67"/>
    <w:rsid w:val="00B74C8F"/>
    <w:rsid w:val="00B74DBE"/>
    <w:rsid w:val="00B754A2"/>
    <w:rsid w:val="00B7598D"/>
    <w:rsid w:val="00B75DB6"/>
    <w:rsid w:val="00B75E41"/>
    <w:rsid w:val="00B7631F"/>
    <w:rsid w:val="00B766D8"/>
    <w:rsid w:val="00B76A9D"/>
    <w:rsid w:val="00B77544"/>
    <w:rsid w:val="00B7772A"/>
    <w:rsid w:val="00B77C61"/>
    <w:rsid w:val="00B77DC4"/>
    <w:rsid w:val="00B77F5B"/>
    <w:rsid w:val="00B801B0"/>
    <w:rsid w:val="00B807D8"/>
    <w:rsid w:val="00B8092F"/>
    <w:rsid w:val="00B80F88"/>
    <w:rsid w:val="00B81261"/>
    <w:rsid w:val="00B81987"/>
    <w:rsid w:val="00B81BE4"/>
    <w:rsid w:val="00B81E3B"/>
    <w:rsid w:val="00B8235A"/>
    <w:rsid w:val="00B826F5"/>
    <w:rsid w:val="00B8291A"/>
    <w:rsid w:val="00B82DCD"/>
    <w:rsid w:val="00B83136"/>
    <w:rsid w:val="00B8325C"/>
    <w:rsid w:val="00B83CA3"/>
    <w:rsid w:val="00B83F54"/>
    <w:rsid w:val="00B840C8"/>
    <w:rsid w:val="00B8442C"/>
    <w:rsid w:val="00B855D9"/>
    <w:rsid w:val="00B856BA"/>
    <w:rsid w:val="00B85859"/>
    <w:rsid w:val="00B8600A"/>
    <w:rsid w:val="00B86261"/>
    <w:rsid w:val="00B8639B"/>
    <w:rsid w:val="00B86764"/>
    <w:rsid w:val="00B87561"/>
    <w:rsid w:val="00B87596"/>
    <w:rsid w:val="00B87721"/>
    <w:rsid w:val="00B8772F"/>
    <w:rsid w:val="00B87BA2"/>
    <w:rsid w:val="00B90433"/>
    <w:rsid w:val="00B9061C"/>
    <w:rsid w:val="00B908AA"/>
    <w:rsid w:val="00B90EAE"/>
    <w:rsid w:val="00B90F57"/>
    <w:rsid w:val="00B91894"/>
    <w:rsid w:val="00B91C4A"/>
    <w:rsid w:val="00B91F3B"/>
    <w:rsid w:val="00B9237D"/>
    <w:rsid w:val="00B92E95"/>
    <w:rsid w:val="00B937B5"/>
    <w:rsid w:val="00B938A0"/>
    <w:rsid w:val="00B938BA"/>
    <w:rsid w:val="00B94311"/>
    <w:rsid w:val="00B944CC"/>
    <w:rsid w:val="00B94553"/>
    <w:rsid w:val="00B94A47"/>
    <w:rsid w:val="00B94B2D"/>
    <w:rsid w:val="00B94D07"/>
    <w:rsid w:val="00B94DDD"/>
    <w:rsid w:val="00B94F62"/>
    <w:rsid w:val="00B94F7C"/>
    <w:rsid w:val="00B95063"/>
    <w:rsid w:val="00B955DE"/>
    <w:rsid w:val="00B957B1"/>
    <w:rsid w:val="00B95942"/>
    <w:rsid w:val="00B95C5E"/>
    <w:rsid w:val="00B96463"/>
    <w:rsid w:val="00B96A98"/>
    <w:rsid w:val="00B96D12"/>
    <w:rsid w:val="00B96E45"/>
    <w:rsid w:val="00B96F11"/>
    <w:rsid w:val="00BA09EA"/>
    <w:rsid w:val="00BA0A64"/>
    <w:rsid w:val="00BA0AA5"/>
    <w:rsid w:val="00BA0AE1"/>
    <w:rsid w:val="00BA0DBB"/>
    <w:rsid w:val="00BA1359"/>
    <w:rsid w:val="00BA1B39"/>
    <w:rsid w:val="00BA1DD6"/>
    <w:rsid w:val="00BA2416"/>
    <w:rsid w:val="00BA26BA"/>
    <w:rsid w:val="00BA30C4"/>
    <w:rsid w:val="00BA326A"/>
    <w:rsid w:val="00BA32CB"/>
    <w:rsid w:val="00BA3D4F"/>
    <w:rsid w:val="00BA3E27"/>
    <w:rsid w:val="00BA3FD8"/>
    <w:rsid w:val="00BA41DC"/>
    <w:rsid w:val="00BA4402"/>
    <w:rsid w:val="00BA44A8"/>
    <w:rsid w:val="00BA4DB5"/>
    <w:rsid w:val="00BA56C3"/>
    <w:rsid w:val="00BA65A9"/>
    <w:rsid w:val="00BA6967"/>
    <w:rsid w:val="00BA6983"/>
    <w:rsid w:val="00BA6B44"/>
    <w:rsid w:val="00BA7251"/>
    <w:rsid w:val="00BA7320"/>
    <w:rsid w:val="00BA7712"/>
    <w:rsid w:val="00BA7C0C"/>
    <w:rsid w:val="00BB0503"/>
    <w:rsid w:val="00BB1143"/>
    <w:rsid w:val="00BB115A"/>
    <w:rsid w:val="00BB1A5C"/>
    <w:rsid w:val="00BB1CCC"/>
    <w:rsid w:val="00BB21AA"/>
    <w:rsid w:val="00BB24DB"/>
    <w:rsid w:val="00BB24FE"/>
    <w:rsid w:val="00BB2777"/>
    <w:rsid w:val="00BB2A1B"/>
    <w:rsid w:val="00BB2D69"/>
    <w:rsid w:val="00BB3F8B"/>
    <w:rsid w:val="00BB429F"/>
    <w:rsid w:val="00BB45B7"/>
    <w:rsid w:val="00BB51AE"/>
    <w:rsid w:val="00BB5BE7"/>
    <w:rsid w:val="00BB6025"/>
    <w:rsid w:val="00BB624A"/>
    <w:rsid w:val="00BB63B6"/>
    <w:rsid w:val="00BB64E2"/>
    <w:rsid w:val="00BB653D"/>
    <w:rsid w:val="00BB6A29"/>
    <w:rsid w:val="00BB6E1A"/>
    <w:rsid w:val="00BB731C"/>
    <w:rsid w:val="00BC0016"/>
    <w:rsid w:val="00BC0399"/>
    <w:rsid w:val="00BC0D47"/>
    <w:rsid w:val="00BC1223"/>
    <w:rsid w:val="00BC1278"/>
    <w:rsid w:val="00BC153B"/>
    <w:rsid w:val="00BC1791"/>
    <w:rsid w:val="00BC1DCC"/>
    <w:rsid w:val="00BC2582"/>
    <w:rsid w:val="00BC28E9"/>
    <w:rsid w:val="00BC2C71"/>
    <w:rsid w:val="00BC348F"/>
    <w:rsid w:val="00BC36CF"/>
    <w:rsid w:val="00BC39F8"/>
    <w:rsid w:val="00BC3BA2"/>
    <w:rsid w:val="00BC3CC1"/>
    <w:rsid w:val="00BC47F7"/>
    <w:rsid w:val="00BC4808"/>
    <w:rsid w:val="00BC490A"/>
    <w:rsid w:val="00BC4A08"/>
    <w:rsid w:val="00BC4CE5"/>
    <w:rsid w:val="00BC4CF2"/>
    <w:rsid w:val="00BC4D7B"/>
    <w:rsid w:val="00BC607E"/>
    <w:rsid w:val="00BC637E"/>
    <w:rsid w:val="00BC6401"/>
    <w:rsid w:val="00BC651F"/>
    <w:rsid w:val="00BC6901"/>
    <w:rsid w:val="00BC6A9D"/>
    <w:rsid w:val="00BC6F0A"/>
    <w:rsid w:val="00BC6FD6"/>
    <w:rsid w:val="00BC71B8"/>
    <w:rsid w:val="00BC76B8"/>
    <w:rsid w:val="00BD0A4C"/>
    <w:rsid w:val="00BD0D7D"/>
    <w:rsid w:val="00BD0D96"/>
    <w:rsid w:val="00BD12C4"/>
    <w:rsid w:val="00BD1929"/>
    <w:rsid w:val="00BD2465"/>
    <w:rsid w:val="00BD27E4"/>
    <w:rsid w:val="00BD2DF0"/>
    <w:rsid w:val="00BD31F3"/>
    <w:rsid w:val="00BD3ABB"/>
    <w:rsid w:val="00BD3EAE"/>
    <w:rsid w:val="00BD44C2"/>
    <w:rsid w:val="00BD481D"/>
    <w:rsid w:val="00BD490F"/>
    <w:rsid w:val="00BD4AA1"/>
    <w:rsid w:val="00BD55C2"/>
    <w:rsid w:val="00BD5716"/>
    <w:rsid w:val="00BD59A6"/>
    <w:rsid w:val="00BD59AA"/>
    <w:rsid w:val="00BD5C11"/>
    <w:rsid w:val="00BD5C90"/>
    <w:rsid w:val="00BD5CD1"/>
    <w:rsid w:val="00BD60F0"/>
    <w:rsid w:val="00BD677F"/>
    <w:rsid w:val="00BD6DA7"/>
    <w:rsid w:val="00BD6EF0"/>
    <w:rsid w:val="00BD6F0B"/>
    <w:rsid w:val="00BD7081"/>
    <w:rsid w:val="00BD718A"/>
    <w:rsid w:val="00BD728B"/>
    <w:rsid w:val="00BD761F"/>
    <w:rsid w:val="00BD76EA"/>
    <w:rsid w:val="00BD78A0"/>
    <w:rsid w:val="00BE06B6"/>
    <w:rsid w:val="00BE06E8"/>
    <w:rsid w:val="00BE0BE3"/>
    <w:rsid w:val="00BE12F5"/>
    <w:rsid w:val="00BE14F6"/>
    <w:rsid w:val="00BE15A9"/>
    <w:rsid w:val="00BE1669"/>
    <w:rsid w:val="00BE18D4"/>
    <w:rsid w:val="00BE1BA1"/>
    <w:rsid w:val="00BE27F2"/>
    <w:rsid w:val="00BE290C"/>
    <w:rsid w:val="00BE2963"/>
    <w:rsid w:val="00BE319B"/>
    <w:rsid w:val="00BE3619"/>
    <w:rsid w:val="00BE3B0F"/>
    <w:rsid w:val="00BE4068"/>
    <w:rsid w:val="00BE4A38"/>
    <w:rsid w:val="00BE4C8B"/>
    <w:rsid w:val="00BE5A1D"/>
    <w:rsid w:val="00BE5D38"/>
    <w:rsid w:val="00BE5DDA"/>
    <w:rsid w:val="00BE621A"/>
    <w:rsid w:val="00BE670A"/>
    <w:rsid w:val="00BE6B8C"/>
    <w:rsid w:val="00BE6BCE"/>
    <w:rsid w:val="00BE6D6C"/>
    <w:rsid w:val="00BE6DC1"/>
    <w:rsid w:val="00BE72D2"/>
    <w:rsid w:val="00BE72D4"/>
    <w:rsid w:val="00BE7433"/>
    <w:rsid w:val="00BE7618"/>
    <w:rsid w:val="00BE79AB"/>
    <w:rsid w:val="00BE7AFB"/>
    <w:rsid w:val="00BF06B6"/>
    <w:rsid w:val="00BF0A8D"/>
    <w:rsid w:val="00BF0C1D"/>
    <w:rsid w:val="00BF0E00"/>
    <w:rsid w:val="00BF133B"/>
    <w:rsid w:val="00BF1937"/>
    <w:rsid w:val="00BF1A02"/>
    <w:rsid w:val="00BF1A9C"/>
    <w:rsid w:val="00BF1AB6"/>
    <w:rsid w:val="00BF1C3C"/>
    <w:rsid w:val="00BF1FA4"/>
    <w:rsid w:val="00BF2309"/>
    <w:rsid w:val="00BF2597"/>
    <w:rsid w:val="00BF337F"/>
    <w:rsid w:val="00BF380D"/>
    <w:rsid w:val="00BF3867"/>
    <w:rsid w:val="00BF4122"/>
    <w:rsid w:val="00BF41E2"/>
    <w:rsid w:val="00BF4910"/>
    <w:rsid w:val="00BF4E4A"/>
    <w:rsid w:val="00BF5399"/>
    <w:rsid w:val="00BF53E9"/>
    <w:rsid w:val="00BF57D7"/>
    <w:rsid w:val="00BF5E79"/>
    <w:rsid w:val="00BF648C"/>
    <w:rsid w:val="00BF7B16"/>
    <w:rsid w:val="00BF7BBC"/>
    <w:rsid w:val="00BF7C02"/>
    <w:rsid w:val="00BF7C26"/>
    <w:rsid w:val="00C00877"/>
    <w:rsid w:val="00C00BF6"/>
    <w:rsid w:val="00C011A5"/>
    <w:rsid w:val="00C011B1"/>
    <w:rsid w:val="00C011E4"/>
    <w:rsid w:val="00C011EC"/>
    <w:rsid w:val="00C018E9"/>
    <w:rsid w:val="00C01C82"/>
    <w:rsid w:val="00C01CC5"/>
    <w:rsid w:val="00C01CF9"/>
    <w:rsid w:val="00C01DEF"/>
    <w:rsid w:val="00C01E8D"/>
    <w:rsid w:val="00C020AC"/>
    <w:rsid w:val="00C02954"/>
    <w:rsid w:val="00C02AEA"/>
    <w:rsid w:val="00C03037"/>
    <w:rsid w:val="00C031A5"/>
    <w:rsid w:val="00C03262"/>
    <w:rsid w:val="00C034BB"/>
    <w:rsid w:val="00C034F9"/>
    <w:rsid w:val="00C0368E"/>
    <w:rsid w:val="00C03788"/>
    <w:rsid w:val="00C03AC7"/>
    <w:rsid w:val="00C03D25"/>
    <w:rsid w:val="00C040CF"/>
    <w:rsid w:val="00C0422F"/>
    <w:rsid w:val="00C04588"/>
    <w:rsid w:val="00C046E0"/>
    <w:rsid w:val="00C046EE"/>
    <w:rsid w:val="00C0475C"/>
    <w:rsid w:val="00C04D2A"/>
    <w:rsid w:val="00C0514C"/>
    <w:rsid w:val="00C05298"/>
    <w:rsid w:val="00C054D6"/>
    <w:rsid w:val="00C055A5"/>
    <w:rsid w:val="00C05695"/>
    <w:rsid w:val="00C05D41"/>
    <w:rsid w:val="00C05FAF"/>
    <w:rsid w:val="00C061A5"/>
    <w:rsid w:val="00C064D4"/>
    <w:rsid w:val="00C07572"/>
    <w:rsid w:val="00C0786D"/>
    <w:rsid w:val="00C07FC7"/>
    <w:rsid w:val="00C10FEB"/>
    <w:rsid w:val="00C11239"/>
    <w:rsid w:val="00C1176E"/>
    <w:rsid w:val="00C119CC"/>
    <w:rsid w:val="00C11CE5"/>
    <w:rsid w:val="00C11E5F"/>
    <w:rsid w:val="00C127B2"/>
    <w:rsid w:val="00C12E50"/>
    <w:rsid w:val="00C133B1"/>
    <w:rsid w:val="00C133C1"/>
    <w:rsid w:val="00C1381E"/>
    <w:rsid w:val="00C13858"/>
    <w:rsid w:val="00C1394A"/>
    <w:rsid w:val="00C13DB9"/>
    <w:rsid w:val="00C13F70"/>
    <w:rsid w:val="00C14423"/>
    <w:rsid w:val="00C14E00"/>
    <w:rsid w:val="00C15627"/>
    <w:rsid w:val="00C15696"/>
    <w:rsid w:val="00C1588C"/>
    <w:rsid w:val="00C15932"/>
    <w:rsid w:val="00C15A5A"/>
    <w:rsid w:val="00C15F19"/>
    <w:rsid w:val="00C1624A"/>
    <w:rsid w:val="00C16A8B"/>
    <w:rsid w:val="00C17519"/>
    <w:rsid w:val="00C1790D"/>
    <w:rsid w:val="00C17919"/>
    <w:rsid w:val="00C17C6C"/>
    <w:rsid w:val="00C17F4D"/>
    <w:rsid w:val="00C20121"/>
    <w:rsid w:val="00C202FA"/>
    <w:rsid w:val="00C208FE"/>
    <w:rsid w:val="00C20BFC"/>
    <w:rsid w:val="00C20FA0"/>
    <w:rsid w:val="00C2260B"/>
    <w:rsid w:val="00C22F97"/>
    <w:rsid w:val="00C22FA7"/>
    <w:rsid w:val="00C23113"/>
    <w:rsid w:val="00C23158"/>
    <w:rsid w:val="00C23666"/>
    <w:rsid w:val="00C24067"/>
    <w:rsid w:val="00C2406D"/>
    <w:rsid w:val="00C241B3"/>
    <w:rsid w:val="00C24798"/>
    <w:rsid w:val="00C24E68"/>
    <w:rsid w:val="00C255D8"/>
    <w:rsid w:val="00C256D8"/>
    <w:rsid w:val="00C2572B"/>
    <w:rsid w:val="00C259B2"/>
    <w:rsid w:val="00C25AC1"/>
    <w:rsid w:val="00C2616C"/>
    <w:rsid w:val="00C2656D"/>
    <w:rsid w:val="00C26E51"/>
    <w:rsid w:val="00C272A8"/>
    <w:rsid w:val="00C273F9"/>
    <w:rsid w:val="00C27DB6"/>
    <w:rsid w:val="00C30029"/>
    <w:rsid w:val="00C3042A"/>
    <w:rsid w:val="00C3065B"/>
    <w:rsid w:val="00C30662"/>
    <w:rsid w:val="00C306EF"/>
    <w:rsid w:val="00C30DA4"/>
    <w:rsid w:val="00C3123C"/>
    <w:rsid w:val="00C314C5"/>
    <w:rsid w:val="00C315D6"/>
    <w:rsid w:val="00C316B1"/>
    <w:rsid w:val="00C31F2E"/>
    <w:rsid w:val="00C31FCB"/>
    <w:rsid w:val="00C3217F"/>
    <w:rsid w:val="00C3234E"/>
    <w:rsid w:val="00C32473"/>
    <w:rsid w:val="00C32771"/>
    <w:rsid w:val="00C32981"/>
    <w:rsid w:val="00C32D0D"/>
    <w:rsid w:val="00C32E2F"/>
    <w:rsid w:val="00C32E35"/>
    <w:rsid w:val="00C336A0"/>
    <w:rsid w:val="00C337F5"/>
    <w:rsid w:val="00C33A95"/>
    <w:rsid w:val="00C33F24"/>
    <w:rsid w:val="00C33FD7"/>
    <w:rsid w:val="00C33FF1"/>
    <w:rsid w:val="00C34B4F"/>
    <w:rsid w:val="00C34DA4"/>
    <w:rsid w:val="00C34DBA"/>
    <w:rsid w:val="00C34F52"/>
    <w:rsid w:val="00C3515C"/>
    <w:rsid w:val="00C353C6"/>
    <w:rsid w:val="00C35B4B"/>
    <w:rsid w:val="00C35C36"/>
    <w:rsid w:val="00C35D1E"/>
    <w:rsid w:val="00C35F16"/>
    <w:rsid w:val="00C36277"/>
    <w:rsid w:val="00C36907"/>
    <w:rsid w:val="00C37450"/>
    <w:rsid w:val="00C374B9"/>
    <w:rsid w:val="00C37827"/>
    <w:rsid w:val="00C37894"/>
    <w:rsid w:val="00C41021"/>
    <w:rsid w:val="00C41315"/>
    <w:rsid w:val="00C4144B"/>
    <w:rsid w:val="00C4144E"/>
    <w:rsid w:val="00C415D1"/>
    <w:rsid w:val="00C41937"/>
    <w:rsid w:val="00C41DC4"/>
    <w:rsid w:val="00C41F79"/>
    <w:rsid w:val="00C420D9"/>
    <w:rsid w:val="00C42249"/>
    <w:rsid w:val="00C42525"/>
    <w:rsid w:val="00C430F1"/>
    <w:rsid w:val="00C43331"/>
    <w:rsid w:val="00C4391C"/>
    <w:rsid w:val="00C43B8C"/>
    <w:rsid w:val="00C4407C"/>
    <w:rsid w:val="00C4439D"/>
    <w:rsid w:val="00C443CA"/>
    <w:rsid w:val="00C44643"/>
    <w:rsid w:val="00C44B84"/>
    <w:rsid w:val="00C44BBE"/>
    <w:rsid w:val="00C44C55"/>
    <w:rsid w:val="00C450D9"/>
    <w:rsid w:val="00C45917"/>
    <w:rsid w:val="00C45C22"/>
    <w:rsid w:val="00C45D1F"/>
    <w:rsid w:val="00C46448"/>
    <w:rsid w:val="00C4652B"/>
    <w:rsid w:val="00C46605"/>
    <w:rsid w:val="00C46662"/>
    <w:rsid w:val="00C466BC"/>
    <w:rsid w:val="00C467ED"/>
    <w:rsid w:val="00C46866"/>
    <w:rsid w:val="00C469F0"/>
    <w:rsid w:val="00C46E53"/>
    <w:rsid w:val="00C46F20"/>
    <w:rsid w:val="00C4705F"/>
    <w:rsid w:val="00C47207"/>
    <w:rsid w:val="00C473F7"/>
    <w:rsid w:val="00C476CC"/>
    <w:rsid w:val="00C47864"/>
    <w:rsid w:val="00C50190"/>
    <w:rsid w:val="00C501B3"/>
    <w:rsid w:val="00C502F9"/>
    <w:rsid w:val="00C50307"/>
    <w:rsid w:val="00C5044E"/>
    <w:rsid w:val="00C50646"/>
    <w:rsid w:val="00C508ED"/>
    <w:rsid w:val="00C50ACB"/>
    <w:rsid w:val="00C50C36"/>
    <w:rsid w:val="00C50C44"/>
    <w:rsid w:val="00C511E1"/>
    <w:rsid w:val="00C5176A"/>
    <w:rsid w:val="00C5188E"/>
    <w:rsid w:val="00C5191D"/>
    <w:rsid w:val="00C51F95"/>
    <w:rsid w:val="00C5208F"/>
    <w:rsid w:val="00C5247E"/>
    <w:rsid w:val="00C52F7E"/>
    <w:rsid w:val="00C537A0"/>
    <w:rsid w:val="00C53913"/>
    <w:rsid w:val="00C53BB9"/>
    <w:rsid w:val="00C53EA4"/>
    <w:rsid w:val="00C547C3"/>
    <w:rsid w:val="00C550F7"/>
    <w:rsid w:val="00C553D5"/>
    <w:rsid w:val="00C55BC6"/>
    <w:rsid w:val="00C55FCD"/>
    <w:rsid w:val="00C5625F"/>
    <w:rsid w:val="00C5636F"/>
    <w:rsid w:val="00C568D5"/>
    <w:rsid w:val="00C57248"/>
    <w:rsid w:val="00C57595"/>
    <w:rsid w:val="00C57852"/>
    <w:rsid w:val="00C6021D"/>
    <w:rsid w:val="00C603C5"/>
    <w:rsid w:val="00C60B1F"/>
    <w:rsid w:val="00C60D71"/>
    <w:rsid w:val="00C60D8F"/>
    <w:rsid w:val="00C60E2A"/>
    <w:rsid w:val="00C60E31"/>
    <w:rsid w:val="00C610AB"/>
    <w:rsid w:val="00C6145A"/>
    <w:rsid w:val="00C61CDA"/>
    <w:rsid w:val="00C621D4"/>
    <w:rsid w:val="00C621F6"/>
    <w:rsid w:val="00C623C1"/>
    <w:rsid w:val="00C6279E"/>
    <w:rsid w:val="00C6294E"/>
    <w:rsid w:val="00C62EA3"/>
    <w:rsid w:val="00C635E0"/>
    <w:rsid w:val="00C63701"/>
    <w:rsid w:val="00C63A69"/>
    <w:rsid w:val="00C63A94"/>
    <w:rsid w:val="00C63B07"/>
    <w:rsid w:val="00C647C5"/>
    <w:rsid w:val="00C64989"/>
    <w:rsid w:val="00C659F9"/>
    <w:rsid w:val="00C65D21"/>
    <w:rsid w:val="00C65FDD"/>
    <w:rsid w:val="00C662DB"/>
    <w:rsid w:val="00C66666"/>
    <w:rsid w:val="00C66669"/>
    <w:rsid w:val="00C66DE2"/>
    <w:rsid w:val="00C66E87"/>
    <w:rsid w:val="00C6730B"/>
    <w:rsid w:val="00C67DE5"/>
    <w:rsid w:val="00C70743"/>
    <w:rsid w:val="00C70884"/>
    <w:rsid w:val="00C708E3"/>
    <w:rsid w:val="00C709B9"/>
    <w:rsid w:val="00C70DF7"/>
    <w:rsid w:val="00C70EF3"/>
    <w:rsid w:val="00C711AB"/>
    <w:rsid w:val="00C71469"/>
    <w:rsid w:val="00C717E7"/>
    <w:rsid w:val="00C71CA4"/>
    <w:rsid w:val="00C725D8"/>
    <w:rsid w:val="00C72A4D"/>
    <w:rsid w:val="00C7306C"/>
    <w:rsid w:val="00C733ED"/>
    <w:rsid w:val="00C735CC"/>
    <w:rsid w:val="00C7390B"/>
    <w:rsid w:val="00C739A6"/>
    <w:rsid w:val="00C739FC"/>
    <w:rsid w:val="00C739FF"/>
    <w:rsid w:val="00C73AF8"/>
    <w:rsid w:val="00C74A34"/>
    <w:rsid w:val="00C7537A"/>
    <w:rsid w:val="00C75665"/>
    <w:rsid w:val="00C75E90"/>
    <w:rsid w:val="00C761BD"/>
    <w:rsid w:val="00C761BE"/>
    <w:rsid w:val="00C762F4"/>
    <w:rsid w:val="00C763E3"/>
    <w:rsid w:val="00C7657E"/>
    <w:rsid w:val="00C766EE"/>
    <w:rsid w:val="00C769DC"/>
    <w:rsid w:val="00C76FF2"/>
    <w:rsid w:val="00C7702F"/>
    <w:rsid w:val="00C77054"/>
    <w:rsid w:val="00C77222"/>
    <w:rsid w:val="00C77EF6"/>
    <w:rsid w:val="00C80278"/>
    <w:rsid w:val="00C808EC"/>
    <w:rsid w:val="00C80A5B"/>
    <w:rsid w:val="00C80A9E"/>
    <w:rsid w:val="00C80D20"/>
    <w:rsid w:val="00C8151C"/>
    <w:rsid w:val="00C8155D"/>
    <w:rsid w:val="00C817C3"/>
    <w:rsid w:val="00C81848"/>
    <w:rsid w:val="00C81E75"/>
    <w:rsid w:val="00C81EB1"/>
    <w:rsid w:val="00C82012"/>
    <w:rsid w:val="00C82387"/>
    <w:rsid w:val="00C82548"/>
    <w:rsid w:val="00C82557"/>
    <w:rsid w:val="00C828BA"/>
    <w:rsid w:val="00C82990"/>
    <w:rsid w:val="00C82D95"/>
    <w:rsid w:val="00C835CD"/>
    <w:rsid w:val="00C83787"/>
    <w:rsid w:val="00C8394C"/>
    <w:rsid w:val="00C83C6D"/>
    <w:rsid w:val="00C84400"/>
    <w:rsid w:val="00C8443D"/>
    <w:rsid w:val="00C845E7"/>
    <w:rsid w:val="00C84CDA"/>
    <w:rsid w:val="00C85352"/>
    <w:rsid w:val="00C85938"/>
    <w:rsid w:val="00C860B6"/>
    <w:rsid w:val="00C86B6D"/>
    <w:rsid w:val="00C86EC5"/>
    <w:rsid w:val="00C87072"/>
    <w:rsid w:val="00C870C0"/>
    <w:rsid w:val="00C87E79"/>
    <w:rsid w:val="00C87FCB"/>
    <w:rsid w:val="00C90123"/>
    <w:rsid w:val="00C9022E"/>
    <w:rsid w:val="00C90244"/>
    <w:rsid w:val="00C902C5"/>
    <w:rsid w:val="00C902E5"/>
    <w:rsid w:val="00C903EE"/>
    <w:rsid w:val="00C905F6"/>
    <w:rsid w:val="00C9097A"/>
    <w:rsid w:val="00C9104E"/>
    <w:rsid w:val="00C91554"/>
    <w:rsid w:val="00C91770"/>
    <w:rsid w:val="00C91884"/>
    <w:rsid w:val="00C91F7F"/>
    <w:rsid w:val="00C9218E"/>
    <w:rsid w:val="00C922BB"/>
    <w:rsid w:val="00C927F3"/>
    <w:rsid w:val="00C9308C"/>
    <w:rsid w:val="00C93FDC"/>
    <w:rsid w:val="00C946AC"/>
    <w:rsid w:val="00C95099"/>
    <w:rsid w:val="00C951CA"/>
    <w:rsid w:val="00C95518"/>
    <w:rsid w:val="00C955D2"/>
    <w:rsid w:val="00C95866"/>
    <w:rsid w:val="00C96D33"/>
    <w:rsid w:val="00C96DA8"/>
    <w:rsid w:val="00C96FB2"/>
    <w:rsid w:val="00C97137"/>
    <w:rsid w:val="00C972E0"/>
    <w:rsid w:val="00C972FE"/>
    <w:rsid w:val="00C976C5"/>
    <w:rsid w:val="00C97A1B"/>
    <w:rsid w:val="00CA02CE"/>
    <w:rsid w:val="00CA02CF"/>
    <w:rsid w:val="00CA03EC"/>
    <w:rsid w:val="00CA0984"/>
    <w:rsid w:val="00CA0AC9"/>
    <w:rsid w:val="00CA128F"/>
    <w:rsid w:val="00CA1C89"/>
    <w:rsid w:val="00CA1E33"/>
    <w:rsid w:val="00CA1ED3"/>
    <w:rsid w:val="00CA2AFD"/>
    <w:rsid w:val="00CA2C66"/>
    <w:rsid w:val="00CA2E00"/>
    <w:rsid w:val="00CA3558"/>
    <w:rsid w:val="00CA3950"/>
    <w:rsid w:val="00CA3A6C"/>
    <w:rsid w:val="00CA3B6B"/>
    <w:rsid w:val="00CA3CB8"/>
    <w:rsid w:val="00CA42E1"/>
    <w:rsid w:val="00CA4BB7"/>
    <w:rsid w:val="00CA4D0F"/>
    <w:rsid w:val="00CA5EBA"/>
    <w:rsid w:val="00CA5F70"/>
    <w:rsid w:val="00CA6488"/>
    <w:rsid w:val="00CA64CB"/>
    <w:rsid w:val="00CA6799"/>
    <w:rsid w:val="00CA69C5"/>
    <w:rsid w:val="00CA6A66"/>
    <w:rsid w:val="00CA6B8F"/>
    <w:rsid w:val="00CA6BD2"/>
    <w:rsid w:val="00CA6C49"/>
    <w:rsid w:val="00CA6CC0"/>
    <w:rsid w:val="00CA7CB0"/>
    <w:rsid w:val="00CA7E94"/>
    <w:rsid w:val="00CA7EAF"/>
    <w:rsid w:val="00CB01D3"/>
    <w:rsid w:val="00CB0465"/>
    <w:rsid w:val="00CB04F1"/>
    <w:rsid w:val="00CB0918"/>
    <w:rsid w:val="00CB0E4C"/>
    <w:rsid w:val="00CB1154"/>
    <w:rsid w:val="00CB18E2"/>
    <w:rsid w:val="00CB2789"/>
    <w:rsid w:val="00CB2827"/>
    <w:rsid w:val="00CB2A8C"/>
    <w:rsid w:val="00CB2C72"/>
    <w:rsid w:val="00CB2EA9"/>
    <w:rsid w:val="00CB2FD6"/>
    <w:rsid w:val="00CB3124"/>
    <w:rsid w:val="00CB3DB0"/>
    <w:rsid w:val="00CB3F6E"/>
    <w:rsid w:val="00CB4950"/>
    <w:rsid w:val="00CB4A0E"/>
    <w:rsid w:val="00CB4C8C"/>
    <w:rsid w:val="00CB4FA4"/>
    <w:rsid w:val="00CB55D5"/>
    <w:rsid w:val="00CB5DEA"/>
    <w:rsid w:val="00CB6269"/>
    <w:rsid w:val="00CB62F1"/>
    <w:rsid w:val="00CB6344"/>
    <w:rsid w:val="00CB66DE"/>
    <w:rsid w:val="00CB67C5"/>
    <w:rsid w:val="00CB6DA0"/>
    <w:rsid w:val="00CB6FC5"/>
    <w:rsid w:val="00CB7B12"/>
    <w:rsid w:val="00CB7C0A"/>
    <w:rsid w:val="00CB7CB1"/>
    <w:rsid w:val="00CC0827"/>
    <w:rsid w:val="00CC0AB9"/>
    <w:rsid w:val="00CC0CA3"/>
    <w:rsid w:val="00CC0D65"/>
    <w:rsid w:val="00CC112F"/>
    <w:rsid w:val="00CC1466"/>
    <w:rsid w:val="00CC15E9"/>
    <w:rsid w:val="00CC19B8"/>
    <w:rsid w:val="00CC1B9B"/>
    <w:rsid w:val="00CC22BF"/>
    <w:rsid w:val="00CC2BB1"/>
    <w:rsid w:val="00CC2DE3"/>
    <w:rsid w:val="00CC34BB"/>
    <w:rsid w:val="00CC3E5D"/>
    <w:rsid w:val="00CC4261"/>
    <w:rsid w:val="00CC44A5"/>
    <w:rsid w:val="00CC50DB"/>
    <w:rsid w:val="00CC53D9"/>
    <w:rsid w:val="00CC74F6"/>
    <w:rsid w:val="00CD003F"/>
    <w:rsid w:val="00CD021E"/>
    <w:rsid w:val="00CD03EC"/>
    <w:rsid w:val="00CD072C"/>
    <w:rsid w:val="00CD087F"/>
    <w:rsid w:val="00CD0892"/>
    <w:rsid w:val="00CD0DD8"/>
    <w:rsid w:val="00CD0DE6"/>
    <w:rsid w:val="00CD1C33"/>
    <w:rsid w:val="00CD27BA"/>
    <w:rsid w:val="00CD2944"/>
    <w:rsid w:val="00CD2B5B"/>
    <w:rsid w:val="00CD2DA6"/>
    <w:rsid w:val="00CD2FF2"/>
    <w:rsid w:val="00CD311C"/>
    <w:rsid w:val="00CD32F4"/>
    <w:rsid w:val="00CD3362"/>
    <w:rsid w:val="00CD33AD"/>
    <w:rsid w:val="00CD3806"/>
    <w:rsid w:val="00CD408D"/>
    <w:rsid w:val="00CD4120"/>
    <w:rsid w:val="00CD412E"/>
    <w:rsid w:val="00CD442C"/>
    <w:rsid w:val="00CD48EC"/>
    <w:rsid w:val="00CD4AA5"/>
    <w:rsid w:val="00CD5201"/>
    <w:rsid w:val="00CD5537"/>
    <w:rsid w:val="00CD5682"/>
    <w:rsid w:val="00CD66B3"/>
    <w:rsid w:val="00CD6825"/>
    <w:rsid w:val="00CD6DFF"/>
    <w:rsid w:val="00CD6FAE"/>
    <w:rsid w:val="00CE0076"/>
    <w:rsid w:val="00CE00B5"/>
    <w:rsid w:val="00CE00B7"/>
    <w:rsid w:val="00CE01A8"/>
    <w:rsid w:val="00CE024F"/>
    <w:rsid w:val="00CE06C4"/>
    <w:rsid w:val="00CE0752"/>
    <w:rsid w:val="00CE0962"/>
    <w:rsid w:val="00CE0CA4"/>
    <w:rsid w:val="00CE16BE"/>
    <w:rsid w:val="00CE1774"/>
    <w:rsid w:val="00CE1957"/>
    <w:rsid w:val="00CE1977"/>
    <w:rsid w:val="00CE202D"/>
    <w:rsid w:val="00CE230F"/>
    <w:rsid w:val="00CE2C1E"/>
    <w:rsid w:val="00CE3531"/>
    <w:rsid w:val="00CE3F0B"/>
    <w:rsid w:val="00CE4C99"/>
    <w:rsid w:val="00CE4DCA"/>
    <w:rsid w:val="00CE4DEC"/>
    <w:rsid w:val="00CE5093"/>
    <w:rsid w:val="00CE55D9"/>
    <w:rsid w:val="00CE57A1"/>
    <w:rsid w:val="00CE6002"/>
    <w:rsid w:val="00CE60CA"/>
    <w:rsid w:val="00CE613A"/>
    <w:rsid w:val="00CE6CB6"/>
    <w:rsid w:val="00CE6FBA"/>
    <w:rsid w:val="00CE7321"/>
    <w:rsid w:val="00CE741B"/>
    <w:rsid w:val="00CE7733"/>
    <w:rsid w:val="00CE78C1"/>
    <w:rsid w:val="00CE78D7"/>
    <w:rsid w:val="00CE7CF2"/>
    <w:rsid w:val="00CF0112"/>
    <w:rsid w:val="00CF02FE"/>
    <w:rsid w:val="00CF0788"/>
    <w:rsid w:val="00CF0A9D"/>
    <w:rsid w:val="00CF0D15"/>
    <w:rsid w:val="00CF0D7F"/>
    <w:rsid w:val="00CF0EA2"/>
    <w:rsid w:val="00CF0ED8"/>
    <w:rsid w:val="00CF0F4D"/>
    <w:rsid w:val="00CF11B0"/>
    <w:rsid w:val="00CF134F"/>
    <w:rsid w:val="00CF13CC"/>
    <w:rsid w:val="00CF1788"/>
    <w:rsid w:val="00CF17A6"/>
    <w:rsid w:val="00CF18BA"/>
    <w:rsid w:val="00CF1E64"/>
    <w:rsid w:val="00CF224B"/>
    <w:rsid w:val="00CF2503"/>
    <w:rsid w:val="00CF2889"/>
    <w:rsid w:val="00CF2A7D"/>
    <w:rsid w:val="00CF2C08"/>
    <w:rsid w:val="00CF2C65"/>
    <w:rsid w:val="00CF2CA9"/>
    <w:rsid w:val="00CF2E0D"/>
    <w:rsid w:val="00CF324E"/>
    <w:rsid w:val="00CF3934"/>
    <w:rsid w:val="00CF3986"/>
    <w:rsid w:val="00CF39E8"/>
    <w:rsid w:val="00CF3A14"/>
    <w:rsid w:val="00CF42AF"/>
    <w:rsid w:val="00CF43BA"/>
    <w:rsid w:val="00CF44F4"/>
    <w:rsid w:val="00CF450C"/>
    <w:rsid w:val="00CF472B"/>
    <w:rsid w:val="00CF51DE"/>
    <w:rsid w:val="00CF56B7"/>
    <w:rsid w:val="00CF56D5"/>
    <w:rsid w:val="00CF581C"/>
    <w:rsid w:val="00CF5F3A"/>
    <w:rsid w:val="00CF6318"/>
    <w:rsid w:val="00CF6E1B"/>
    <w:rsid w:val="00CF6FF1"/>
    <w:rsid w:val="00CF702F"/>
    <w:rsid w:val="00CF7075"/>
    <w:rsid w:val="00CF724E"/>
    <w:rsid w:val="00CF75A4"/>
    <w:rsid w:val="00CF773E"/>
    <w:rsid w:val="00CF7757"/>
    <w:rsid w:val="00CF7C54"/>
    <w:rsid w:val="00CF7D1F"/>
    <w:rsid w:val="00D000F1"/>
    <w:rsid w:val="00D00297"/>
    <w:rsid w:val="00D0081E"/>
    <w:rsid w:val="00D00C46"/>
    <w:rsid w:val="00D010A1"/>
    <w:rsid w:val="00D013D0"/>
    <w:rsid w:val="00D0148E"/>
    <w:rsid w:val="00D01491"/>
    <w:rsid w:val="00D014BC"/>
    <w:rsid w:val="00D0181A"/>
    <w:rsid w:val="00D01FC6"/>
    <w:rsid w:val="00D02280"/>
    <w:rsid w:val="00D0248A"/>
    <w:rsid w:val="00D025B4"/>
    <w:rsid w:val="00D02B3C"/>
    <w:rsid w:val="00D038AC"/>
    <w:rsid w:val="00D03A90"/>
    <w:rsid w:val="00D03E66"/>
    <w:rsid w:val="00D0403D"/>
    <w:rsid w:val="00D04E3E"/>
    <w:rsid w:val="00D05196"/>
    <w:rsid w:val="00D052D5"/>
    <w:rsid w:val="00D05E6C"/>
    <w:rsid w:val="00D062D0"/>
    <w:rsid w:val="00D06335"/>
    <w:rsid w:val="00D06A58"/>
    <w:rsid w:val="00D076B1"/>
    <w:rsid w:val="00D078CA"/>
    <w:rsid w:val="00D079DD"/>
    <w:rsid w:val="00D07B7A"/>
    <w:rsid w:val="00D07DF8"/>
    <w:rsid w:val="00D07EE1"/>
    <w:rsid w:val="00D10645"/>
    <w:rsid w:val="00D10E41"/>
    <w:rsid w:val="00D111FB"/>
    <w:rsid w:val="00D11B16"/>
    <w:rsid w:val="00D12872"/>
    <w:rsid w:val="00D12FF9"/>
    <w:rsid w:val="00D132B2"/>
    <w:rsid w:val="00D136E5"/>
    <w:rsid w:val="00D13A0B"/>
    <w:rsid w:val="00D13D58"/>
    <w:rsid w:val="00D14922"/>
    <w:rsid w:val="00D14D14"/>
    <w:rsid w:val="00D14EB4"/>
    <w:rsid w:val="00D150AE"/>
    <w:rsid w:val="00D1540B"/>
    <w:rsid w:val="00D156F3"/>
    <w:rsid w:val="00D15796"/>
    <w:rsid w:val="00D159CF"/>
    <w:rsid w:val="00D15C52"/>
    <w:rsid w:val="00D16648"/>
    <w:rsid w:val="00D16B48"/>
    <w:rsid w:val="00D16BB4"/>
    <w:rsid w:val="00D16CE7"/>
    <w:rsid w:val="00D170D2"/>
    <w:rsid w:val="00D17228"/>
    <w:rsid w:val="00D1733C"/>
    <w:rsid w:val="00D1753D"/>
    <w:rsid w:val="00D17E7C"/>
    <w:rsid w:val="00D203D0"/>
    <w:rsid w:val="00D20966"/>
    <w:rsid w:val="00D20CDE"/>
    <w:rsid w:val="00D20DB8"/>
    <w:rsid w:val="00D21302"/>
    <w:rsid w:val="00D2167E"/>
    <w:rsid w:val="00D21C13"/>
    <w:rsid w:val="00D229CF"/>
    <w:rsid w:val="00D22BE6"/>
    <w:rsid w:val="00D22D56"/>
    <w:rsid w:val="00D23356"/>
    <w:rsid w:val="00D234C6"/>
    <w:rsid w:val="00D236FD"/>
    <w:rsid w:val="00D23AF3"/>
    <w:rsid w:val="00D23C83"/>
    <w:rsid w:val="00D23E16"/>
    <w:rsid w:val="00D23E40"/>
    <w:rsid w:val="00D2402E"/>
    <w:rsid w:val="00D242D2"/>
    <w:rsid w:val="00D24C6C"/>
    <w:rsid w:val="00D24D8E"/>
    <w:rsid w:val="00D24FD9"/>
    <w:rsid w:val="00D25395"/>
    <w:rsid w:val="00D25B96"/>
    <w:rsid w:val="00D260F4"/>
    <w:rsid w:val="00D27694"/>
    <w:rsid w:val="00D27F3B"/>
    <w:rsid w:val="00D30031"/>
    <w:rsid w:val="00D30799"/>
    <w:rsid w:val="00D3124C"/>
    <w:rsid w:val="00D31967"/>
    <w:rsid w:val="00D31DE7"/>
    <w:rsid w:val="00D32557"/>
    <w:rsid w:val="00D32F47"/>
    <w:rsid w:val="00D330A5"/>
    <w:rsid w:val="00D33121"/>
    <w:rsid w:val="00D33576"/>
    <w:rsid w:val="00D337C4"/>
    <w:rsid w:val="00D33A99"/>
    <w:rsid w:val="00D33BCB"/>
    <w:rsid w:val="00D33CE4"/>
    <w:rsid w:val="00D3479A"/>
    <w:rsid w:val="00D34A0E"/>
    <w:rsid w:val="00D34BBF"/>
    <w:rsid w:val="00D34E03"/>
    <w:rsid w:val="00D34E47"/>
    <w:rsid w:val="00D358F0"/>
    <w:rsid w:val="00D35CBE"/>
    <w:rsid w:val="00D368DE"/>
    <w:rsid w:val="00D36CFF"/>
    <w:rsid w:val="00D375EB"/>
    <w:rsid w:val="00D377B1"/>
    <w:rsid w:val="00D400A1"/>
    <w:rsid w:val="00D400C3"/>
    <w:rsid w:val="00D4051E"/>
    <w:rsid w:val="00D40ABC"/>
    <w:rsid w:val="00D40AF0"/>
    <w:rsid w:val="00D410F2"/>
    <w:rsid w:val="00D4169C"/>
    <w:rsid w:val="00D425AC"/>
    <w:rsid w:val="00D42871"/>
    <w:rsid w:val="00D42880"/>
    <w:rsid w:val="00D42F41"/>
    <w:rsid w:val="00D4302F"/>
    <w:rsid w:val="00D430C5"/>
    <w:rsid w:val="00D43176"/>
    <w:rsid w:val="00D43ABD"/>
    <w:rsid w:val="00D43D09"/>
    <w:rsid w:val="00D448EA"/>
    <w:rsid w:val="00D44CFD"/>
    <w:rsid w:val="00D44EC1"/>
    <w:rsid w:val="00D45D49"/>
    <w:rsid w:val="00D45EF7"/>
    <w:rsid w:val="00D45FB6"/>
    <w:rsid w:val="00D46304"/>
    <w:rsid w:val="00D46D2E"/>
    <w:rsid w:val="00D46FDC"/>
    <w:rsid w:val="00D47044"/>
    <w:rsid w:val="00D47DA4"/>
    <w:rsid w:val="00D47EE2"/>
    <w:rsid w:val="00D50110"/>
    <w:rsid w:val="00D5046F"/>
    <w:rsid w:val="00D5078E"/>
    <w:rsid w:val="00D50CCB"/>
    <w:rsid w:val="00D511E6"/>
    <w:rsid w:val="00D513BC"/>
    <w:rsid w:val="00D5160C"/>
    <w:rsid w:val="00D516B9"/>
    <w:rsid w:val="00D521C5"/>
    <w:rsid w:val="00D522A3"/>
    <w:rsid w:val="00D5264F"/>
    <w:rsid w:val="00D526CA"/>
    <w:rsid w:val="00D528B8"/>
    <w:rsid w:val="00D52BCB"/>
    <w:rsid w:val="00D535C5"/>
    <w:rsid w:val="00D535F7"/>
    <w:rsid w:val="00D536C0"/>
    <w:rsid w:val="00D5400D"/>
    <w:rsid w:val="00D549A2"/>
    <w:rsid w:val="00D55016"/>
    <w:rsid w:val="00D55737"/>
    <w:rsid w:val="00D558B1"/>
    <w:rsid w:val="00D55A1B"/>
    <w:rsid w:val="00D55F0A"/>
    <w:rsid w:val="00D56055"/>
    <w:rsid w:val="00D56177"/>
    <w:rsid w:val="00D563D5"/>
    <w:rsid w:val="00D5673E"/>
    <w:rsid w:val="00D56B32"/>
    <w:rsid w:val="00D5745C"/>
    <w:rsid w:val="00D57466"/>
    <w:rsid w:val="00D576FB"/>
    <w:rsid w:val="00D578EC"/>
    <w:rsid w:val="00D60052"/>
    <w:rsid w:val="00D60261"/>
    <w:rsid w:val="00D6038E"/>
    <w:rsid w:val="00D605D4"/>
    <w:rsid w:val="00D60DA1"/>
    <w:rsid w:val="00D610C1"/>
    <w:rsid w:val="00D6149D"/>
    <w:rsid w:val="00D61D28"/>
    <w:rsid w:val="00D620C4"/>
    <w:rsid w:val="00D622BD"/>
    <w:rsid w:val="00D625E7"/>
    <w:rsid w:val="00D627F7"/>
    <w:rsid w:val="00D62B05"/>
    <w:rsid w:val="00D62FA1"/>
    <w:rsid w:val="00D6304D"/>
    <w:rsid w:val="00D63380"/>
    <w:rsid w:val="00D633AF"/>
    <w:rsid w:val="00D6360C"/>
    <w:rsid w:val="00D638FC"/>
    <w:rsid w:val="00D63978"/>
    <w:rsid w:val="00D63CA0"/>
    <w:rsid w:val="00D63CE4"/>
    <w:rsid w:val="00D63F75"/>
    <w:rsid w:val="00D640E6"/>
    <w:rsid w:val="00D64961"/>
    <w:rsid w:val="00D6510E"/>
    <w:rsid w:val="00D65371"/>
    <w:rsid w:val="00D6586C"/>
    <w:rsid w:val="00D6598B"/>
    <w:rsid w:val="00D659A4"/>
    <w:rsid w:val="00D66145"/>
    <w:rsid w:val="00D66A8A"/>
    <w:rsid w:val="00D66C1C"/>
    <w:rsid w:val="00D66F0E"/>
    <w:rsid w:val="00D67889"/>
    <w:rsid w:val="00D701B9"/>
    <w:rsid w:val="00D70333"/>
    <w:rsid w:val="00D70460"/>
    <w:rsid w:val="00D7104B"/>
    <w:rsid w:val="00D71280"/>
    <w:rsid w:val="00D71617"/>
    <w:rsid w:val="00D71EB0"/>
    <w:rsid w:val="00D722CF"/>
    <w:rsid w:val="00D72B52"/>
    <w:rsid w:val="00D72F11"/>
    <w:rsid w:val="00D7318B"/>
    <w:rsid w:val="00D73210"/>
    <w:rsid w:val="00D732C3"/>
    <w:rsid w:val="00D737DE"/>
    <w:rsid w:val="00D738D2"/>
    <w:rsid w:val="00D748E9"/>
    <w:rsid w:val="00D74BF2"/>
    <w:rsid w:val="00D75030"/>
    <w:rsid w:val="00D750A5"/>
    <w:rsid w:val="00D7511C"/>
    <w:rsid w:val="00D755E7"/>
    <w:rsid w:val="00D7587E"/>
    <w:rsid w:val="00D75D40"/>
    <w:rsid w:val="00D760C5"/>
    <w:rsid w:val="00D7695A"/>
    <w:rsid w:val="00D77649"/>
    <w:rsid w:val="00D7788C"/>
    <w:rsid w:val="00D779F9"/>
    <w:rsid w:val="00D77AF0"/>
    <w:rsid w:val="00D77DFF"/>
    <w:rsid w:val="00D80053"/>
    <w:rsid w:val="00D80337"/>
    <w:rsid w:val="00D80462"/>
    <w:rsid w:val="00D80670"/>
    <w:rsid w:val="00D807B7"/>
    <w:rsid w:val="00D8080B"/>
    <w:rsid w:val="00D80A4F"/>
    <w:rsid w:val="00D80BB3"/>
    <w:rsid w:val="00D80C1F"/>
    <w:rsid w:val="00D80DD3"/>
    <w:rsid w:val="00D80E33"/>
    <w:rsid w:val="00D81386"/>
    <w:rsid w:val="00D81EC5"/>
    <w:rsid w:val="00D81F1F"/>
    <w:rsid w:val="00D8212C"/>
    <w:rsid w:val="00D824D5"/>
    <w:rsid w:val="00D827E2"/>
    <w:rsid w:val="00D82AB8"/>
    <w:rsid w:val="00D830A0"/>
    <w:rsid w:val="00D83912"/>
    <w:rsid w:val="00D84009"/>
    <w:rsid w:val="00D840BB"/>
    <w:rsid w:val="00D845A3"/>
    <w:rsid w:val="00D847F5"/>
    <w:rsid w:val="00D849DB"/>
    <w:rsid w:val="00D84B46"/>
    <w:rsid w:val="00D85210"/>
    <w:rsid w:val="00D86791"/>
    <w:rsid w:val="00D86A15"/>
    <w:rsid w:val="00D86B32"/>
    <w:rsid w:val="00D86CDD"/>
    <w:rsid w:val="00D86D62"/>
    <w:rsid w:val="00D86D91"/>
    <w:rsid w:val="00D873CC"/>
    <w:rsid w:val="00D8757F"/>
    <w:rsid w:val="00D876DD"/>
    <w:rsid w:val="00D87AA3"/>
    <w:rsid w:val="00D87ADC"/>
    <w:rsid w:val="00D87BEC"/>
    <w:rsid w:val="00D87E58"/>
    <w:rsid w:val="00D9006C"/>
    <w:rsid w:val="00D9024E"/>
    <w:rsid w:val="00D903F4"/>
    <w:rsid w:val="00D90D80"/>
    <w:rsid w:val="00D910D6"/>
    <w:rsid w:val="00D91386"/>
    <w:rsid w:val="00D922E7"/>
    <w:rsid w:val="00D9255F"/>
    <w:rsid w:val="00D92609"/>
    <w:rsid w:val="00D9266C"/>
    <w:rsid w:val="00D92E4A"/>
    <w:rsid w:val="00D93267"/>
    <w:rsid w:val="00D94257"/>
    <w:rsid w:val="00D94DF7"/>
    <w:rsid w:val="00D9560C"/>
    <w:rsid w:val="00D95A82"/>
    <w:rsid w:val="00D9625F"/>
    <w:rsid w:val="00D963B5"/>
    <w:rsid w:val="00D96488"/>
    <w:rsid w:val="00D967C8"/>
    <w:rsid w:val="00D968CA"/>
    <w:rsid w:val="00D96B03"/>
    <w:rsid w:val="00D96D60"/>
    <w:rsid w:val="00D96DAA"/>
    <w:rsid w:val="00D9756E"/>
    <w:rsid w:val="00D976C2"/>
    <w:rsid w:val="00D97A49"/>
    <w:rsid w:val="00D97CDE"/>
    <w:rsid w:val="00D97DAB"/>
    <w:rsid w:val="00D97ED6"/>
    <w:rsid w:val="00DA0163"/>
    <w:rsid w:val="00DA098A"/>
    <w:rsid w:val="00DA0C94"/>
    <w:rsid w:val="00DA0F0A"/>
    <w:rsid w:val="00DA1332"/>
    <w:rsid w:val="00DA13A0"/>
    <w:rsid w:val="00DA17D0"/>
    <w:rsid w:val="00DA1984"/>
    <w:rsid w:val="00DA1C9F"/>
    <w:rsid w:val="00DA1D64"/>
    <w:rsid w:val="00DA1DFB"/>
    <w:rsid w:val="00DA2028"/>
    <w:rsid w:val="00DA2185"/>
    <w:rsid w:val="00DA2297"/>
    <w:rsid w:val="00DA231C"/>
    <w:rsid w:val="00DA235A"/>
    <w:rsid w:val="00DA2395"/>
    <w:rsid w:val="00DA2920"/>
    <w:rsid w:val="00DA2973"/>
    <w:rsid w:val="00DA30B7"/>
    <w:rsid w:val="00DA37FE"/>
    <w:rsid w:val="00DA395C"/>
    <w:rsid w:val="00DA3A22"/>
    <w:rsid w:val="00DA3AF4"/>
    <w:rsid w:val="00DA422C"/>
    <w:rsid w:val="00DA46B2"/>
    <w:rsid w:val="00DA4706"/>
    <w:rsid w:val="00DA4A0E"/>
    <w:rsid w:val="00DA4DD5"/>
    <w:rsid w:val="00DA5B86"/>
    <w:rsid w:val="00DA5EBB"/>
    <w:rsid w:val="00DA6372"/>
    <w:rsid w:val="00DA65B4"/>
    <w:rsid w:val="00DA6D29"/>
    <w:rsid w:val="00DA7003"/>
    <w:rsid w:val="00DA71CF"/>
    <w:rsid w:val="00DA7390"/>
    <w:rsid w:val="00DA7974"/>
    <w:rsid w:val="00DA79C0"/>
    <w:rsid w:val="00DA7F78"/>
    <w:rsid w:val="00DA7FBB"/>
    <w:rsid w:val="00DA7FEA"/>
    <w:rsid w:val="00DB013B"/>
    <w:rsid w:val="00DB039E"/>
    <w:rsid w:val="00DB03D5"/>
    <w:rsid w:val="00DB0904"/>
    <w:rsid w:val="00DB1851"/>
    <w:rsid w:val="00DB1C06"/>
    <w:rsid w:val="00DB1CD2"/>
    <w:rsid w:val="00DB1D28"/>
    <w:rsid w:val="00DB1FD6"/>
    <w:rsid w:val="00DB2990"/>
    <w:rsid w:val="00DB311E"/>
    <w:rsid w:val="00DB33FD"/>
    <w:rsid w:val="00DB3427"/>
    <w:rsid w:val="00DB36C3"/>
    <w:rsid w:val="00DB3C34"/>
    <w:rsid w:val="00DB3D43"/>
    <w:rsid w:val="00DB3FA3"/>
    <w:rsid w:val="00DB41C2"/>
    <w:rsid w:val="00DB45C2"/>
    <w:rsid w:val="00DB4676"/>
    <w:rsid w:val="00DB4E53"/>
    <w:rsid w:val="00DB5B68"/>
    <w:rsid w:val="00DB5E66"/>
    <w:rsid w:val="00DB5EDB"/>
    <w:rsid w:val="00DB61C3"/>
    <w:rsid w:val="00DB691D"/>
    <w:rsid w:val="00DB6A90"/>
    <w:rsid w:val="00DB6C82"/>
    <w:rsid w:val="00DB6CB7"/>
    <w:rsid w:val="00DB7A41"/>
    <w:rsid w:val="00DB7CC3"/>
    <w:rsid w:val="00DB7D2E"/>
    <w:rsid w:val="00DB7E00"/>
    <w:rsid w:val="00DB7E70"/>
    <w:rsid w:val="00DC0252"/>
    <w:rsid w:val="00DC0913"/>
    <w:rsid w:val="00DC0B96"/>
    <w:rsid w:val="00DC1044"/>
    <w:rsid w:val="00DC146A"/>
    <w:rsid w:val="00DC14BE"/>
    <w:rsid w:val="00DC15D0"/>
    <w:rsid w:val="00DC180D"/>
    <w:rsid w:val="00DC180F"/>
    <w:rsid w:val="00DC1B38"/>
    <w:rsid w:val="00DC1B5C"/>
    <w:rsid w:val="00DC1C83"/>
    <w:rsid w:val="00DC1EDE"/>
    <w:rsid w:val="00DC1FAB"/>
    <w:rsid w:val="00DC1FD0"/>
    <w:rsid w:val="00DC208E"/>
    <w:rsid w:val="00DC2104"/>
    <w:rsid w:val="00DC21E0"/>
    <w:rsid w:val="00DC220E"/>
    <w:rsid w:val="00DC2489"/>
    <w:rsid w:val="00DC268A"/>
    <w:rsid w:val="00DC2889"/>
    <w:rsid w:val="00DC296A"/>
    <w:rsid w:val="00DC29D6"/>
    <w:rsid w:val="00DC2B64"/>
    <w:rsid w:val="00DC2BEA"/>
    <w:rsid w:val="00DC2D77"/>
    <w:rsid w:val="00DC33BF"/>
    <w:rsid w:val="00DC3873"/>
    <w:rsid w:val="00DC38D1"/>
    <w:rsid w:val="00DC393F"/>
    <w:rsid w:val="00DC3969"/>
    <w:rsid w:val="00DC3A76"/>
    <w:rsid w:val="00DC3AEA"/>
    <w:rsid w:val="00DC3B40"/>
    <w:rsid w:val="00DC499D"/>
    <w:rsid w:val="00DC4A9E"/>
    <w:rsid w:val="00DC50B5"/>
    <w:rsid w:val="00DC5135"/>
    <w:rsid w:val="00DC5951"/>
    <w:rsid w:val="00DC5953"/>
    <w:rsid w:val="00DC59C8"/>
    <w:rsid w:val="00DC5DC5"/>
    <w:rsid w:val="00DC5EEA"/>
    <w:rsid w:val="00DC79C3"/>
    <w:rsid w:val="00DD0382"/>
    <w:rsid w:val="00DD0E3B"/>
    <w:rsid w:val="00DD1020"/>
    <w:rsid w:val="00DD1EB5"/>
    <w:rsid w:val="00DD2373"/>
    <w:rsid w:val="00DD24C7"/>
    <w:rsid w:val="00DD2B86"/>
    <w:rsid w:val="00DD2E62"/>
    <w:rsid w:val="00DD2EB6"/>
    <w:rsid w:val="00DD385E"/>
    <w:rsid w:val="00DD3F4A"/>
    <w:rsid w:val="00DD40C1"/>
    <w:rsid w:val="00DD42E4"/>
    <w:rsid w:val="00DD4899"/>
    <w:rsid w:val="00DD5552"/>
    <w:rsid w:val="00DD5679"/>
    <w:rsid w:val="00DD5DD3"/>
    <w:rsid w:val="00DD6030"/>
    <w:rsid w:val="00DD6199"/>
    <w:rsid w:val="00DD6234"/>
    <w:rsid w:val="00DD64F3"/>
    <w:rsid w:val="00DD6C04"/>
    <w:rsid w:val="00DD6F77"/>
    <w:rsid w:val="00DD70E9"/>
    <w:rsid w:val="00DD7545"/>
    <w:rsid w:val="00DD75BC"/>
    <w:rsid w:val="00DD770D"/>
    <w:rsid w:val="00DD7936"/>
    <w:rsid w:val="00DD7E11"/>
    <w:rsid w:val="00DE08EE"/>
    <w:rsid w:val="00DE0C6A"/>
    <w:rsid w:val="00DE1855"/>
    <w:rsid w:val="00DE1EAB"/>
    <w:rsid w:val="00DE1F2F"/>
    <w:rsid w:val="00DE2061"/>
    <w:rsid w:val="00DE26EE"/>
    <w:rsid w:val="00DE27FA"/>
    <w:rsid w:val="00DE2A82"/>
    <w:rsid w:val="00DE2B6D"/>
    <w:rsid w:val="00DE2E7D"/>
    <w:rsid w:val="00DE3406"/>
    <w:rsid w:val="00DE37E1"/>
    <w:rsid w:val="00DE3814"/>
    <w:rsid w:val="00DE391D"/>
    <w:rsid w:val="00DE39A1"/>
    <w:rsid w:val="00DE3C60"/>
    <w:rsid w:val="00DE3EED"/>
    <w:rsid w:val="00DE4593"/>
    <w:rsid w:val="00DE4A83"/>
    <w:rsid w:val="00DE4AD5"/>
    <w:rsid w:val="00DE5580"/>
    <w:rsid w:val="00DE5B20"/>
    <w:rsid w:val="00DE5DB5"/>
    <w:rsid w:val="00DE5FF3"/>
    <w:rsid w:val="00DE60E5"/>
    <w:rsid w:val="00DE634F"/>
    <w:rsid w:val="00DE664D"/>
    <w:rsid w:val="00DE6A7B"/>
    <w:rsid w:val="00DE6B0F"/>
    <w:rsid w:val="00DE6C09"/>
    <w:rsid w:val="00DE709A"/>
    <w:rsid w:val="00DE7116"/>
    <w:rsid w:val="00DE75F5"/>
    <w:rsid w:val="00DE76B5"/>
    <w:rsid w:val="00DE7E07"/>
    <w:rsid w:val="00DF004F"/>
    <w:rsid w:val="00DF052F"/>
    <w:rsid w:val="00DF06CB"/>
    <w:rsid w:val="00DF07BA"/>
    <w:rsid w:val="00DF08F2"/>
    <w:rsid w:val="00DF0F35"/>
    <w:rsid w:val="00DF0FF5"/>
    <w:rsid w:val="00DF11FA"/>
    <w:rsid w:val="00DF124D"/>
    <w:rsid w:val="00DF1331"/>
    <w:rsid w:val="00DF13F5"/>
    <w:rsid w:val="00DF194D"/>
    <w:rsid w:val="00DF1B3E"/>
    <w:rsid w:val="00DF1D2E"/>
    <w:rsid w:val="00DF1F77"/>
    <w:rsid w:val="00DF24E3"/>
    <w:rsid w:val="00DF2B33"/>
    <w:rsid w:val="00DF493E"/>
    <w:rsid w:val="00DF49B5"/>
    <w:rsid w:val="00DF49FA"/>
    <w:rsid w:val="00DF4FC6"/>
    <w:rsid w:val="00DF4FCB"/>
    <w:rsid w:val="00DF5619"/>
    <w:rsid w:val="00DF5CAB"/>
    <w:rsid w:val="00DF5EDF"/>
    <w:rsid w:val="00DF615A"/>
    <w:rsid w:val="00DF679C"/>
    <w:rsid w:val="00DF6841"/>
    <w:rsid w:val="00DF7114"/>
    <w:rsid w:val="00DF7492"/>
    <w:rsid w:val="00DF75E6"/>
    <w:rsid w:val="00DF7806"/>
    <w:rsid w:val="00DF7D65"/>
    <w:rsid w:val="00DF7F98"/>
    <w:rsid w:val="00DF7FD1"/>
    <w:rsid w:val="00E0005B"/>
    <w:rsid w:val="00E00672"/>
    <w:rsid w:val="00E0077C"/>
    <w:rsid w:val="00E010D7"/>
    <w:rsid w:val="00E011DC"/>
    <w:rsid w:val="00E013E6"/>
    <w:rsid w:val="00E0165C"/>
    <w:rsid w:val="00E016CB"/>
    <w:rsid w:val="00E01775"/>
    <w:rsid w:val="00E01AC9"/>
    <w:rsid w:val="00E01B79"/>
    <w:rsid w:val="00E02412"/>
    <w:rsid w:val="00E024E6"/>
    <w:rsid w:val="00E0278D"/>
    <w:rsid w:val="00E02A70"/>
    <w:rsid w:val="00E02BC4"/>
    <w:rsid w:val="00E02DC9"/>
    <w:rsid w:val="00E02F19"/>
    <w:rsid w:val="00E032C0"/>
    <w:rsid w:val="00E0380B"/>
    <w:rsid w:val="00E03AF9"/>
    <w:rsid w:val="00E03B96"/>
    <w:rsid w:val="00E045F6"/>
    <w:rsid w:val="00E04A2D"/>
    <w:rsid w:val="00E04B9A"/>
    <w:rsid w:val="00E04FB9"/>
    <w:rsid w:val="00E05408"/>
    <w:rsid w:val="00E055A1"/>
    <w:rsid w:val="00E05EA7"/>
    <w:rsid w:val="00E0691D"/>
    <w:rsid w:val="00E06C3E"/>
    <w:rsid w:val="00E07667"/>
    <w:rsid w:val="00E0773C"/>
    <w:rsid w:val="00E0798C"/>
    <w:rsid w:val="00E07B89"/>
    <w:rsid w:val="00E07FF0"/>
    <w:rsid w:val="00E1021B"/>
    <w:rsid w:val="00E10344"/>
    <w:rsid w:val="00E10ED5"/>
    <w:rsid w:val="00E112B8"/>
    <w:rsid w:val="00E11449"/>
    <w:rsid w:val="00E11642"/>
    <w:rsid w:val="00E11825"/>
    <w:rsid w:val="00E11BF1"/>
    <w:rsid w:val="00E11C50"/>
    <w:rsid w:val="00E11F29"/>
    <w:rsid w:val="00E11F2D"/>
    <w:rsid w:val="00E1210B"/>
    <w:rsid w:val="00E12139"/>
    <w:rsid w:val="00E122D6"/>
    <w:rsid w:val="00E12A55"/>
    <w:rsid w:val="00E12E22"/>
    <w:rsid w:val="00E12E28"/>
    <w:rsid w:val="00E12F0A"/>
    <w:rsid w:val="00E12F43"/>
    <w:rsid w:val="00E13357"/>
    <w:rsid w:val="00E13ED2"/>
    <w:rsid w:val="00E14132"/>
    <w:rsid w:val="00E14A2D"/>
    <w:rsid w:val="00E15278"/>
    <w:rsid w:val="00E15345"/>
    <w:rsid w:val="00E15770"/>
    <w:rsid w:val="00E1581C"/>
    <w:rsid w:val="00E15F47"/>
    <w:rsid w:val="00E16353"/>
    <w:rsid w:val="00E1693D"/>
    <w:rsid w:val="00E16A5A"/>
    <w:rsid w:val="00E16D36"/>
    <w:rsid w:val="00E16FE5"/>
    <w:rsid w:val="00E17D2A"/>
    <w:rsid w:val="00E203B7"/>
    <w:rsid w:val="00E20632"/>
    <w:rsid w:val="00E208BE"/>
    <w:rsid w:val="00E20BE5"/>
    <w:rsid w:val="00E20D5E"/>
    <w:rsid w:val="00E20F4E"/>
    <w:rsid w:val="00E2144F"/>
    <w:rsid w:val="00E2153E"/>
    <w:rsid w:val="00E215F1"/>
    <w:rsid w:val="00E2345B"/>
    <w:rsid w:val="00E2387C"/>
    <w:rsid w:val="00E238D0"/>
    <w:rsid w:val="00E24251"/>
    <w:rsid w:val="00E246E9"/>
    <w:rsid w:val="00E24A0F"/>
    <w:rsid w:val="00E24E9F"/>
    <w:rsid w:val="00E25E5A"/>
    <w:rsid w:val="00E261BF"/>
    <w:rsid w:val="00E2685B"/>
    <w:rsid w:val="00E26987"/>
    <w:rsid w:val="00E26B36"/>
    <w:rsid w:val="00E26DD6"/>
    <w:rsid w:val="00E26E2C"/>
    <w:rsid w:val="00E26EFB"/>
    <w:rsid w:val="00E2707B"/>
    <w:rsid w:val="00E2749F"/>
    <w:rsid w:val="00E27601"/>
    <w:rsid w:val="00E27645"/>
    <w:rsid w:val="00E30031"/>
    <w:rsid w:val="00E304F8"/>
    <w:rsid w:val="00E30702"/>
    <w:rsid w:val="00E3078D"/>
    <w:rsid w:val="00E3173F"/>
    <w:rsid w:val="00E31C45"/>
    <w:rsid w:val="00E31ED9"/>
    <w:rsid w:val="00E322C8"/>
    <w:rsid w:val="00E325E4"/>
    <w:rsid w:val="00E32727"/>
    <w:rsid w:val="00E32903"/>
    <w:rsid w:val="00E32E4C"/>
    <w:rsid w:val="00E3307E"/>
    <w:rsid w:val="00E335D0"/>
    <w:rsid w:val="00E3381F"/>
    <w:rsid w:val="00E33BB0"/>
    <w:rsid w:val="00E33F91"/>
    <w:rsid w:val="00E343B2"/>
    <w:rsid w:val="00E346DF"/>
    <w:rsid w:val="00E35012"/>
    <w:rsid w:val="00E351EA"/>
    <w:rsid w:val="00E35607"/>
    <w:rsid w:val="00E367E4"/>
    <w:rsid w:val="00E369CC"/>
    <w:rsid w:val="00E36C0B"/>
    <w:rsid w:val="00E36E4A"/>
    <w:rsid w:val="00E37A29"/>
    <w:rsid w:val="00E4018F"/>
    <w:rsid w:val="00E402D6"/>
    <w:rsid w:val="00E4080F"/>
    <w:rsid w:val="00E408BF"/>
    <w:rsid w:val="00E409D7"/>
    <w:rsid w:val="00E40BCB"/>
    <w:rsid w:val="00E40CAD"/>
    <w:rsid w:val="00E40D08"/>
    <w:rsid w:val="00E411E8"/>
    <w:rsid w:val="00E4138F"/>
    <w:rsid w:val="00E41893"/>
    <w:rsid w:val="00E418A4"/>
    <w:rsid w:val="00E41DB1"/>
    <w:rsid w:val="00E42018"/>
    <w:rsid w:val="00E42245"/>
    <w:rsid w:val="00E42CF2"/>
    <w:rsid w:val="00E43329"/>
    <w:rsid w:val="00E43391"/>
    <w:rsid w:val="00E4362C"/>
    <w:rsid w:val="00E438A6"/>
    <w:rsid w:val="00E43EF7"/>
    <w:rsid w:val="00E43FA9"/>
    <w:rsid w:val="00E44075"/>
    <w:rsid w:val="00E4437D"/>
    <w:rsid w:val="00E4446A"/>
    <w:rsid w:val="00E44579"/>
    <w:rsid w:val="00E451D7"/>
    <w:rsid w:val="00E452AC"/>
    <w:rsid w:val="00E4544B"/>
    <w:rsid w:val="00E457EB"/>
    <w:rsid w:val="00E4597D"/>
    <w:rsid w:val="00E459E6"/>
    <w:rsid w:val="00E45EBE"/>
    <w:rsid w:val="00E463A2"/>
    <w:rsid w:val="00E4650F"/>
    <w:rsid w:val="00E46555"/>
    <w:rsid w:val="00E46EC1"/>
    <w:rsid w:val="00E47325"/>
    <w:rsid w:val="00E4794F"/>
    <w:rsid w:val="00E47D3F"/>
    <w:rsid w:val="00E47DA3"/>
    <w:rsid w:val="00E47FA6"/>
    <w:rsid w:val="00E5062B"/>
    <w:rsid w:val="00E5066E"/>
    <w:rsid w:val="00E50CBB"/>
    <w:rsid w:val="00E50D53"/>
    <w:rsid w:val="00E51A36"/>
    <w:rsid w:val="00E51A61"/>
    <w:rsid w:val="00E51CC1"/>
    <w:rsid w:val="00E520D3"/>
    <w:rsid w:val="00E52385"/>
    <w:rsid w:val="00E529B5"/>
    <w:rsid w:val="00E52FC8"/>
    <w:rsid w:val="00E5378B"/>
    <w:rsid w:val="00E53CD7"/>
    <w:rsid w:val="00E541AD"/>
    <w:rsid w:val="00E54354"/>
    <w:rsid w:val="00E54BED"/>
    <w:rsid w:val="00E5522B"/>
    <w:rsid w:val="00E556F9"/>
    <w:rsid w:val="00E55844"/>
    <w:rsid w:val="00E55FD5"/>
    <w:rsid w:val="00E56330"/>
    <w:rsid w:val="00E563B1"/>
    <w:rsid w:val="00E56DC3"/>
    <w:rsid w:val="00E56EA4"/>
    <w:rsid w:val="00E570B0"/>
    <w:rsid w:val="00E571B1"/>
    <w:rsid w:val="00E5770B"/>
    <w:rsid w:val="00E57D2F"/>
    <w:rsid w:val="00E6023E"/>
    <w:rsid w:val="00E602E5"/>
    <w:rsid w:val="00E6036E"/>
    <w:rsid w:val="00E603AF"/>
    <w:rsid w:val="00E60991"/>
    <w:rsid w:val="00E60C38"/>
    <w:rsid w:val="00E60C4A"/>
    <w:rsid w:val="00E61336"/>
    <w:rsid w:val="00E61727"/>
    <w:rsid w:val="00E61F88"/>
    <w:rsid w:val="00E626B9"/>
    <w:rsid w:val="00E62730"/>
    <w:rsid w:val="00E6284F"/>
    <w:rsid w:val="00E62B8B"/>
    <w:rsid w:val="00E630B8"/>
    <w:rsid w:val="00E63396"/>
    <w:rsid w:val="00E6360A"/>
    <w:rsid w:val="00E636D4"/>
    <w:rsid w:val="00E637AB"/>
    <w:rsid w:val="00E63D29"/>
    <w:rsid w:val="00E64355"/>
    <w:rsid w:val="00E64400"/>
    <w:rsid w:val="00E64567"/>
    <w:rsid w:val="00E645EF"/>
    <w:rsid w:val="00E64615"/>
    <w:rsid w:val="00E6498A"/>
    <w:rsid w:val="00E64A18"/>
    <w:rsid w:val="00E64BB0"/>
    <w:rsid w:val="00E64D6D"/>
    <w:rsid w:val="00E65438"/>
    <w:rsid w:val="00E65979"/>
    <w:rsid w:val="00E65A02"/>
    <w:rsid w:val="00E65B71"/>
    <w:rsid w:val="00E66176"/>
    <w:rsid w:val="00E66452"/>
    <w:rsid w:val="00E66ADA"/>
    <w:rsid w:val="00E671C0"/>
    <w:rsid w:val="00E674C1"/>
    <w:rsid w:val="00E6750B"/>
    <w:rsid w:val="00E679EF"/>
    <w:rsid w:val="00E7030D"/>
    <w:rsid w:val="00E70748"/>
    <w:rsid w:val="00E707FE"/>
    <w:rsid w:val="00E70E2D"/>
    <w:rsid w:val="00E70FF1"/>
    <w:rsid w:val="00E7125D"/>
    <w:rsid w:val="00E71723"/>
    <w:rsid w:val="00E71926"/>
    <w:rsid w:val="00E71AAB"/>
    <w:rsid w:val="00E71BB4"/>
    <w:rsid w:val="00E7221E"/>
    <w:rsid w:val="00E722BC"/>
    <w:rsid w:val="00E722C6"/>
    <w:rsid w:val="00E72A2C"/>
    <w:rsid w:val="00E72B09"/>
    <w:rsid w:val="00E72BC5"/>
    <w:rsid w:val="00E72DB8"/>
    <w:rsid w:val="00E7309D"/>
    <w:rsid w:val="00E734CB"/>
    <w:rsid w:val="00E735F2"/>
    <w:rsid w:val="00E73615"/>
    <w:rsid w:val="00E73841"/>
    <w:rsid w:val="00E73976"/>
    <w:rsid w:val="00E742CD"/>
    <w:rsid w:val="00E74FB6"/>
    <w:rsid w:val="00E75356"/>
    <w:rsid w:val="00E7537E"/>
    <w:rsid w:val="00E754BB"/>
    <w:rsid w:val="00E75896"/>
    <w:rsid w:val="00E75DAE"/>
    <w:rsid w:val="00E75F59"/>
    <w:rsid w:val="00E760DB"/>
    <w:rsid w:val="00E76429"/>
    <w:rsid w:val="00E766E3"/>
    <w:rsid w:val="00E76A87"/>
    <w:rsid w:val="00E76FCF"/>
    <w:rsid w:val="00E771F5"/>
    <w:rsid w:val="00E7793F"/>
    <w:rsid w:val="00E77E4B"/>
    <w:rsid w:val="00E80394"/>
    <w:rsid w:val="00E803FE"/>
    <w:rsid w:val="00E806C3"/>
    <w:rsid w:val="00E80C95"/>
    <w:rsid w:val="00E80CC0"/>
    <w:rsid w:val="00E81BB1"/>
    <w:rsid w:val="00E81C2E"/>
    <w:rsid w:val="00E81D02"/>
    <w:rsid w:val="00E82145"/>
    <w:rsid w:val="00E8273A"/>
    <w:rsid w:val="00E82A0E"/>
    <w:rsid w:val="00E82DBE"/>
    <w:rsid w:val="00E82EBA"/>
    <w:rsid w:val="00E82FCA"/>
    <w:rsid w:val="00E83232"/>
    <w:rsid w:val="00E833EC"/>
    <w:rsid w:val="00E8356B"/>
    <w:rsid w:val="00E83CF9"/>
    <w:rsid w:val="00E8417B"/>
    <w:rsid w:val="00E846B8"/>
    <w:rsid w:val="00E84D1C"/>
    <w:rsid w:val="00E84F38"/>
    <w:rsid w:val="00E852DD"/>
    <w:rsid w:val="00E8549B"/>
    <w:rsid w:val="00E859AB"/>
    <w:rsid w:val="00E85E42"/>
    <w:rsid w:val="00E8606E"/>
    <w:rsid w:val="00E86381"/>
    <w:rsid w:val="00E863CE"/>
    <w:rsid w:val="00E86515"/>
    <w:rsid w:val="00E87855"/>
    <w:rsid w:val="00E878EC"/>
    <w:rsid w:val="00E87C3E"/>
    <w:rsid w:val="00E87C51"/>
    <w:rsid w:val="00E87D08"/>
    <w:rsid w:val="00E87F1E"/>
    <w:rsid w:val="00E90436"/>
    <w:rsid w:val="00E908CF"/>
    <w:rsid w:val="00E90A69"/>
    <w:rsid w:val="00E91231"/>
    <w:rsid w:val="00E9138E"/>
    <w:rsid w:val="00E9159C"/>
    <w:rsid w:val="00E91649"/>
    <w:rsid w:val="00E91C5B"/>
    <w:rsid w:val="00E9274A"/>
    <w:rsid w:val="00E92ADF"/>
    <w:rsid w:val="00E933AC"/>
    <w:rsid w:val="00E93745"/>
    <w:rsid w:val="00E9497A"/>
    <w:rsid w:val="00E949D3"/>
    <w:rsid w:val="00E94B22"/>
    <w:rsid w:val="00E94D6A"/>
    <w:rsid w:val="00E94DF0"/>
    <w:rsid w:val="00E95199"/>
    <w:rsid w:val="00E953A5"/>
    <w:rsid w:val="00E95466"/>
    <w:rsid w:val="00E957A2"/>
    <w:rsid w:val="00E9584C"/>
    <w:rsid w:val="00E958F1"/>
    <w:rsid w:val="00E959E8"/>
    <w:rsid w:val="00E96455"/>
    <w:rsid w:val="00E965BC"/>
    <w:rsid w:val="00E965ED"/>
    <w:rsid w:val="00E96634"/>
    <w:rsid w:val="00E96855"/>
    <w:rsid w:val="00E975A4"/>
    <w:rsid w:val="00EA0BC2"/>
    <w:rsid w:val="00EA0CC4"/>
    <w:rsid w:val="00EA13BF"/>
    <w:rsid w:val="00EA13FD"/>
    <w:rsid w:val="00EA1656"/>
    <w:rsid w:val="00EA1BBB"/>
    <w:rsid w:val="00EA2380"/>
    <w:rsid w:val="00EA2523"/>
    <w:rsid w:val="00EA2C30"/>
    <w:rsid w:val="00EA2CB7"/>
    <w:rsid w:val="00EA2D5F"/>
    <w:rsid w:val="00EA2DD9"/>
    <w:rsid w:val="00EA3435"/>
    <w:rsid w:val="00EA43FC"/>
    <w:rsid w:val="00EA4E49"/>
    <w:rsid w:val="00EA51C2"/>
    <w:rsid w:val="00EA5582"/>
    <w:rsid w:val="00EA5A2A"/>
    <w:rsid w:val="00EA60EC"/>
    <w:rsid w:val="00EA6374"/>
    <w:rsid w:val="00EA669D"/>
    <w:rsid w:val="00EA6C55"/>
    <w:rsid w:val="00EA7446"/>
    <w:rsid w:val="00EB0679"/>
    <w:rsid w:val="00EB06B1"/>
    <w:rsid w:val="00EB06DD"/>
    <w:rsid w:val="00EB0959"/>
    <w:rsid w:val="00EB0B01"/>
    <w:rsid w:val="00EB0CE3"/>
    <w:rsid w:val="00EB15BE"/>
    <w:rsid w:val="00EB15E4"/>
    <w:rsid w:val="00EB1947"/>
    <w:rsid w:val="00EB1964"/>
    <w:rsid w:val="00EB1DD4"/>
    <w:rsid w:val="00EB2719"/>
    <w:rsid w:val="00EB2801"/>
    <w:rsid w:val="00EB312F"/>
    <w:rsid w:val="00EB33B1"/>
    <w:rsid w:val="00EB35D8"/>
    <w:rsid w:val="00EB367F"/>
    <w:rsid w:val="00EB3716"/>
    <w:rsid w:val="00EB378C"/>
    <w:rsid w:val="00EB3B93"/>
    <w:rsid w:val="00EB3C93"/>
    <w:rsid w:val="00EB3E6F"/>
    <w:rsid w:val="00EB3EF4"/>
    <w:rsid w:val="00EB4056"/>
    <w:rsid w:val="00EB43BA"/>
    <w:rsid w:val="00EB4894"/>
    <w:rsid w:val="00EB4FF7"/>
    <w:rsid w:val="00EB503F"/>
    <w:rsid w:val="00EB50FD"/>
    <w:rsid w:val="00EB575F"/>
    <w:rsid w:val="00EB59A8"/>
    <w:rsid w:val="00EB5AA6"/>
    <w:rsid w:val="00EB693F"/>
    <w:rsid w:val="00EB695C"/>
    <w:rsid w:val="00EB6C89"/>
    <w:rsid w:val="00EB6FA6"/>
    <w:rsid w:val="00EB7233"/>
    <w:rsid w:val="00EB7250"/>
    <w:rsid w:val="00EB7436"/>
    <w:rsid w:val="00EB7D3A"/>
    <w:rsid w:val="00EC005A"/>
    <w:rsid w:val="00EC0167"/>
    <w:rsid w:val="00EC0666"/>
    <w:rsid w:val="00EC0B95"/>
    <w:rsid w:val="00EC0CF2"/>
    <w:rsid w:val="00EC12D6"/>
    <w:rsid w:val="00EC20C9"/>
    <w:rsid w:val="00EC2166"/>
    <w:rsid w:val="00EC272E"/>
    <w:rsid w:val="00EC273E"/>
    <w:rsid w:val="00EC475D"/>
    <w:rsid w:val="00EC4876"/>
    <w:rsid w:val="00EC4ED4"/>
    <w:rsid w:val="00EC5042"/>
    <w:rsid w:val="00EC50B7"/>
    <w:rsid w:val="00EC5607"/>
    <w:rsid w:val="00EC5899"/>
    <w:rsid w:val="00EC59A2"/>
    <w:rsid w:val="00EC60A2"/>
    <w:rsid w:val="00EC633F"/>
    <w:rsid w:val="00EC6D09"/>
    <w:rsid w:val="00EC70D3"/>
    <w:rsid w:val="00EC739D"/>
    <w:rsid w:val="00EC79AA"/>
    <w:rsid w:val="00EC7DD8"/>
    <w:rsid w:val="00EC7F35"/>
    <w:rsid w:val="00EC7FA3"/>
    <w:rsid w:val="00ED017D"/>
    <w:rsid w:val="00ED02AB"/>
    <w:rsid w:val="00ED02E6"/>
    <w:rsid w:val="00ED0328"/>
    <w:rsid w:val="00ED04FB"/>
    <w:rsid w:val="00ED0516"/>
    <w:rsid w:val="00ED0619"/>
    <w:rsid w:val="00ED163A"/>
    <w:rsid w:val="00ED17E7"/>
    <w:rsid w:val="00ED1893"/>
    <w:rsid w:val="00ED1D71"/>
    <w:rsid w:val="00ED2544"/>
    <w:rsid w:val="00ED2B7E"/>
    <w:rsid w:val="00ED36E6"/>
    <w:rsid w:val="00ED3705"/>
    <w:rsid w:val="00ED3B86"/>
    <w:rsid w:val="00ED417C"/>
    <w:rsid w:val="00ED4351"/>
    <w:rsid w:val="00ED47D4"/>
    <w:rsid w:val="00ED4955"/>
    <w:rsid w:val="00ED4971"/>
    <w:rsid w:val="00ED4AD7"/>
    <w:rsid w:val="00ED4C35"/>
    <w:rsid w:val="00ED5075"/>
    <w:rsid w:val="00ED5115"/>
    <w:rsid w:val="00ED5560"/>
    <w:rsid w:val="00ED56CC"/>
    <w:rsid w:val="00ED585E"/>
    <w:rsid w:val="00ED5E81"/>
    <w:rsid w:val="00ED6083"/>
    <w:rsid w:val="00ED613D"/>
    <w:rsid w:val="00ED6C45"/>
    <w:rsid w:val="00ED6EE6"/>
    <w:rsid w:val="00ED7245"/>
    <w:rsid w:val="00ED726E"/>
    <w:rsid w:val="00ED77DC"/>
    <w:rsid w:val="00ED7BB2"/>
    <w:rsid w:val="00ED7E8C"/>
    <w:rsid w:val="00EE0871"/>
    <w:rsid w:val="00EE0D6E"/>
    <w:rsid w:val="00EE0E5A"/>
    <w:rsid w:val="00EE1058"/>
    <w:rsid w:val="00EE1251"/>
    <w:rsid w:val="00EE12DF"/>
    <w:rsid w:val="00EE130E"/>
    <w:rsid w:val="00EE148B"/>
    <w:rsid w:val="00EE16D8"/>
    <w:rsid w:val="00EE17BB"/>
    <w:rsid w:val="00EE19E7"/>
    <w:rsid w:val="00EE1B54"/>
    <w:rsid w:val="00EE1E16"/>
    <w:rsid w:val="00EE2153"/>
    <w:rsid w:val="00EE23B4"/>
    <w:rsid w:val="00EE2930"/>
    <w:rsid w:val="00EE3150"/>
    <w:rsid w:val="00EE3248"/>
    <w:rsid w:val="00EE3FDA"/>
    <w:rsid w:val="00EE4165"/>
    <w:rsid w:val="00EE44B0"/>
    <w:rsid w:val="00EE4BF8"/>
    <w:rsid w:val="00EE4D62"/>
    <w:rsid w:val="00EE5081"/>
    <w:rsid w:val="00EE5325"/>
    <w:rsid w:val="00EE539B"/>
    <w:rsid w:val="00EE5582"/>
    <w:rsid w:val="00EE564E"/>
    <w:rsid w:val="00EE5771"/>
    <w:rsid w:val="00EE5A01"/>
    <w:rsid w:val="00EE5C21"/>
    <w:rsid w:val="00EE602C"/>
    <w:rsid w:val="00EE60A5"/>
    <w:rsid w:val="00EE62E3"/>
    <w:rsid w:val="00EE6483"/>
    <w:rsid w:val="00EE687D"/>
    <w:rsid w:val="00EE6A95"/>
    <w:rsid w:val="00EE6C36"/>
    <w:rsid w:val="00EE6C44"/>
    <w:rsid w:val="00EE7646"/>
    <w:rsid w:val="00EE7AC0"/>
    <w:rsid w:val="00EE7DF4"/>
    <w:rsid w:val="00EF0218"/>
    <w:rsid w:val="00EF03DA"/>
    <w:rsid w:val="00EF0C96"/>
    <w:rsid w:val="00EF0D7F"/>
    <w:rsid w:val="00EF1AEC"/>
    <w:rsid w:val="00EF1B43"/>
    <w:rsid w:val="00EF1BB0"/>
    <w:rsid w:val="00EF1C74"/>
    <w:rsid w:val="00EF29F1"/>
    <w:rsid w:val="00EF2A1B"/>
    <w:rsid w:val="00EF2B0C"/>
    <w:rsid w:val="00EF2D67"/>
    <w:rsid w:val="00EF307C"/>
    <w:rsid w:val="00EF312E"/>
    <w:rsid w:val="00EF33CE"/>
    <w:rsid w:val="00EF3511"/>
    <w:rsid w:val="00EF35D4"/>
    <w:rsid w:val="00EF36DF"/>
    <w:rsid w:val="00EF38BF"/>
    <w:rsid w:val="00EF39A3"/>
    <w:rsid w:val="00EF3F7B"/>
    <w:rsid w:val="00EF4515"/>
    <w:rsid w:val="00EF4594"/>
    <w:rsid w:val="00EF4690"/>
    <w:rsid w:val="00EF476C"/>
    <w:rsid w:val="00EF4921"/>
    <w:rsid w:val="00EF4A7B"/>
    <w:rsid w:val="00EF4B8D"/>
    <w:rsid w:val="00EF4D37"/>
    <w:rsid w:val="00EF5501"/>
    <w:rsid w:val="00EF56FD"/>
    <w:rsid w:val="00EF5AEE"/>
    <w:rsid w:val="00EF5C07"/>
    <w:rsid w:val="00EF5EC7"/>
    <w:rsid w:val="00EF61DB"/>
    <w:rsid w:val="00EF695C"/>
    <w:rsid w:val="00EF6D9D"/>
    <w:rsid w:val="00EF732C"/>
    <w:rsid w:val="00EF7677"/>
    <w:rsid w:val="00EF7DCB"/>
    <w:rsid w:val="00EF7F83"/>
    <w:rsid w:val="00F0014F"/>
    <w:rsid w:val="00F0016F"/>
    <w:rsid w:val="00F006A7"/>
    <w:rsid w:val="00F006E4"/>
    <w:rsid w:val="00F00776"/>
    <w:rsid w:val="00F00B43"/>
    <w:rsid w:val="00F00C1D"/>
    <w:rsid w:val="00F00D0D"/>
    <w:rsid w:val="00F00EC4"/>
    <w:rsid w:val="00F00F38"/>
    <w:rsid w:val="00F00FBC"/>
    <w:rsid w:val="00F0132F"/>
    <w:rsid w:val="00F01512"/>
    <w:rsid w:val="00F01771"/>
    <w:rsid w:val="00F01A6C"/>
    <w:rsid w:val="00F01CD3"/>
    <w:rsid w:val="00F01EB6"/>
    <w:rsid w:val="00F0232F"/>
    <w:rsid w:val="00F023C6"/>
    <w:rsid w:val="00F02F7E"/>
    <w:rsid w:val="00F0318D"/>
    <w:rsid w:val="00F0321E"/>
    <w:rsid w:val="00F0361C"/>
    <w:rsid w:val="00F03A7B"/>
    <w:rsid w:val="00F03B86"/>
    <w:rsid w:val="00F03C1E"/>
    <w:rsid w:val="00F03D9C"/>
    <w:rsid w:val="00F03DD6"/>
    <w:rsid w:val="00F04214"/>
    <w:rsid w:val="00F043EF"/>
    <w:rsid w:val="00F05678"/>
    <w:rsid w:val="00F0567D"/>
    <w:rsid w:val="00F05BD3"/>
    <w:rsid w:val="00F06022"/>
    <w:rsid w:val="00F06190"/>
    <w:rsid w:val="00F062D7"/>
    <w:rsid w:val="00F06745"/>
    <w:rsid w:val="00F06B3F"/>
    <w:rsid w:val="00F06C4F"/>
    <w:rsid w:val="00F0719A"/>
    <w:rsid w:val="00F072AE"/>
    <w:rsid w:val="00F0730A"/>
    <w:rsid w:val="00F073EA"/>
    <w:rsid w:val="00F07896"/>
    <w:rsid w:val="00F07AC6"/>
    <w:rsid w:val="00F07BA8"/>
    <w:rsid w:val="00F101AC"/>
    <w:rsid w:val="00F1081A"/>
    <w:rsid w:val="00F10C55"/>
    <w:rsid w:val="00F110FA"/>
    <w:rsid w:val="00F11303"/>
    <w:rsid w:val="00F115EC"/>
    <w:rsid w:val="00F12691"/>
    <w:rsid w:val="00F13248"/>
    <w:rsid w:val="00F132A4"/>
    <w:rsid w:val="00F1347B"/>
    <w:rsid w:val="00F13564"/>
    <w:rsid w:val="00F136DD"/>
    <w:rsid w:val="00F13A19"/>
    <w:rsid w:val="00F13BB3"/>
    <w:rsid w:val="00F13D7E"/>
    <w:rsid w:val="00F14047"/>
    <w:rsid w:val="00F1490E"/>
    <w:rsid w:val="00F14AC9"/>
    <w:rsid w:val="00F152D6"/>
    <w:rsid w:val="00F1588B"/>
    <w:rsid w:val="00F159B9"/>
    <w:rsid w:val="00F15C7B"/>
    <w:rsid w:val="00F15EA4"/>
    <w:rsid w:val="00F1620C"/>
    <w:rsid w:val="00F17111"/>
    <w:rsid w:val="00F1754F"/>
    <w:rsid w:val="00F1755C"/>
    <w:rsid w:val="00F175FD"/>
    <w:rsid w:val="00F17781"/>
    <w:rsid w:val="00F178BE"/>
    <w:rsid w:val="00F17E1D"/>
    <w:rsid w:val="00F17FF9"/>
    <w:rsid w:val="00F20462"/>
    <w:rsid w:val="00F2065D"/>
    <w:rsid w:val="00F21B8C"/>
    <w:rsid w:val="00F21C72"/>
    <w:rsid w:val="00F21D0B"/>
    <w:rsid w:val="00F2210D"/>
    <w:rsid w:val="00F2216F"/>
    <w:rsid w:val="00F22578"/>
    <w:rsid w:val="00F23134"/>
    <w:rsid w:val="00F238D2"/>
    <w:rsid w:val="00F23AAB"/>
    <w:rsid w:val="00F2405E"/>
    <w:rsid w:val="00F2411C"/>
    <w:rsid w:val="00F24281"/>
    <w:rsid w:val="00F2450A"/>
    <w:rsid w:val="00F2465C"/>
    <w:rsid w:val="00F249D2"/>
    <w:rsid w:val="00F24C32"/>
    <w:rsid w:val="00F25109"/>
    <w:rsid w:val="00F25560"/>
    <w:rsid w:val="00F2581F"/>
    <w:rsid w:val="00F263D9"/>
    <w:rsid w:val="00F26475"/>
    <w:rsid w:val="00F26721"/>
    <w:rsid w:val="00F26865"/>
    <w:rsid w:val="00F26967"/>
    <w:rsid w:val="00F26D11"/>
    <w:rsid w:val="00F27156"/>
    <w:rsid w:val="00F2758F"/>
    <w:rsid w:val="00F279B8"/>
    <w:rsid w:val="00F27B13"/>
    <w:rsid w:val="00F3033A"/>
    <w:rsid w:val="00F3074E"/>
    <w:rsid w:val="00F30936"/>
    <w:rsid w:val="00F3115F"/>
    <w:rsid w:val="00F311BF"/>
    <w:rsid w:val="00F3175A"/>
    <w:rsid w:val="00F31CCE"/>
    <w:rsid w:val="00F31CD9"/>
    <w:rsid w:val="00F32149"/>
    <w:rsid w:val="00F3231E"/>
    <w:rsid w:val="00F32D6D"/>
    <w:rsid w:val="00F33681"/>
    <w:rsid w:val="00F3370B"/>
    <w:rsid w:val="00F33BD9"/>
    <w:rsid w:val="00F34707"/>
    <w:rsid w:val="00F34A91"/>
    <w:rsid w:val="00F34DCE"/>
    <w:rsid w:val="00F34F03"/>
    <w:rsid w:val="00F35039"/>
    <w:rsid w:val="00F35101"/>
    <w:rsid w:val="00F351DC"/>
    <w:rsid w:val="00F35BFD"/>
    <w:rsid w:val="00F35EBE"/>
    <w:rsid w:val="00F364A6"/>
    <w:rsid w:val="00F36EE2"/>
    <w:rsid w:val="00F3726A"/>
    <w:rsid w:val="00F37993"/>
    <w:rsid w:val="00F37DFB"/>
    <w:rsid w:val="00F404A2"/>
    <w:rsid w:val="00F40F05"/>
    <w:rsid w:val="00F41BA7"/>
    <w:rsid w:val="00F42613"/>
    <w:rsid w:val="00F427EB"/>
    <w:rsid w:val="00F42A7B"/>
    <w:rsid w:val="00F42B39"/>
    <w:rsid w:val="00F42C9B"/>
    <w:rsid w:val="00F43160"/>
    <w:rsid w:val="00F4323A"/>
    <w:rsid w:val="00F43817"/>
    <w:rsid w:val="00F43A48"/>
    <w:rsid w:val="00F43A75"/>
    <w:rsid w:val="00F43C2F"/>
    <w:rsid w:val="00F443C7"/>
    <w:rsid w:val="00F4444E"/>
    <w:rsid w:val="00F44534"/>
    <w:rsid w:val="00F44657"/>
    <w:rsid w:val="00F44B7B"/>
    <w:rsid w:val="00F455F3"/>
    <w:rsid w:val="00F45CE7"/>
    <w:rsid w:val="00F45E2C"/>
    <w:rsid w:val="00F460D6"/>
    <w:rsid w:val="00F465B1"/>
    <w:rsid w:val="00F46756"/>
    <w:rsid w:val="00F46788"/>
    <w:rsid w:val="00F46A12"/>
    <w:rsid w:val="00F46A5E"/>
    <w:rsid w:val="00F46E18"/>
    <w:rsid w:val="00F47145"/>
    <w:rsid w:val="00F474C4"/>
    <w:rsid w:val="00F4755B"/>
    <w:rsid w:val="00F47572"/>
    <w:rsid w:val="00F477DE"/>
    <w:rsid w:val="00F47A07"/>
    <w:rsid w:val="00F47E33"/>
    <w:rsid w:val="00F502B4"/>
    <w:rsid w:val="00F50475"/>
    <w:rsid w:val="00F50A4F"/>
    <w:rsid w:val="00F51096"/>
    <w:rsid w:val="00F51413"/>
    <w:rsid w:val="00F515C9"/>
    <w:rsid w:val="00F51781"/>
    <w:rsid w:val="00F517B7"/>
    <w:rsid w:val="00F517FC"/>
    <w:rsid w:val="00F51994"/>
    <w:rsid w:val="00F51EE6"/>
    <w:rsid w:val="00F5247C"/>
    <w:rsid w:val="00F525CC"/>
    <w:rsid w:val="00F52858"/>
    <w:rsid w:val="00F52EC4"/>
    <w:rsid w:val="00F5331A"/>
    <w:rsid w:val="00F5354A"/>
    <w:rsid w:val="00F53720"/>
    <w:rsid w:val="00F53740"/>
    <w:rsid w:val="00F53817"/>
    <w:rsid w:val="00F538D8"/>
    <w:rsid w:val="00F53E5F"/>
    <w:rsid w:val="00F5406D"/>
    <w:rsid w:val="00F540C7"/>
    <w:rsid w:val="00F54129"/>
    <w:rsid w:val="00F5419A"/>
    <w:rsid w:val="00F545E0"/>
    <w:rsid w:val="00F545EE"/>
    <w:rsid w:val="00F546FD"/>
    <w:rsid w:val="00F54B05"/>
    <w:rsid w:val="00F54E1E"/>
    <w:rsid w:val="00F5501A"/>
    <w:rsid w:val="00F55251"/>
    <w:rsid w:val="00F553C5"/>
    <w:rsid w:val="00F5549C"/>
    <w:rsid w:val="00F55B06"/>
    <w:rsid w:val="00F55CAB"/>
    <w:rsid w:val="00F55DA0"/>
    <w:rsid w:val="00F55DF1"/>
    <w:rsid w:val="00F56007"/>
    <w:rsid w:val="00F564B1"/>
    <w:rsid w:val="00F56502"/>
    <w:rsid w:val="00F566AB"/>
    <w:rsid w:val="00F568AA"/>
    <w:rsid w:val="00F574D8"/>
    <w:rsid w:val="00F575E8"/>
    <w:rsid w:val="00F57956"/>
    <w:rsid w:val="00F57CEB"/>
    <w:rsid w:val="00F57E29"/>
    <w:rsid w:val="00F60330"/>
    <w:rsid w:val="00F6039C"/>
    <w:rsid w:val="00F609A0"/>
    <w:rsid w:val="00F60E04"/>
    <w:rsid w:val="00F61870"/>
    <w:rsid w:val="00F61893"/>
    <w:rsid w:val="00F61B12"/>
    <w:rsid w:val="00F61E8B"/>
    <w:rsid w:val="00F6288D"/>
    <w:rsid w:val="00F62E6F"/>
    <w:rsid w:val="00F630AF"/>
    <w:rsid w:val="00F632B5"/>
    <w:rsid w:val="00F633CD"/>
    <w:rsid w:val="00F63680"/>
    <w:rsid w:val="00F63A3C"/>
    <w:rsid w:val="00F63D77"/>
    <w:rsid w:val="00F63F6B"/>
    <w:rsid w:val="00F63FDF"/>
    <w:rsid w:val="00F64096"/>
    <w:rsid w:val="00F64964"/>
    <w:rsid w:val="00F64AEE"/>
    <w:rsid w:val="00F64D2F"/>
    <w:rsid w:val="00F6509A"/>
    <w:rsid w:val="00F6608E"/>
    <w:rsid w:val="00F6620B"/>
    <w:rsid w:val="00F6625F"/>
    <w:rsid w:val="00F66631"/>
    <w:rsid w:val="00F66722"/>
    <w:rsid w:val="00F66B82"/>
    <w:rsid w:val="00F66C8A"/>
    <w:rsid w:val="00F676F9"/>
    <w:rsid w:val="00F6775D"/>
    <w:rsid w:val="00F677EA"/>
    <w:rsid w:val="00F679DE"/>
    <w:rsid w:val="00F67D52"/>
    <w:rsid w:val="00F67DD2"/>
    <w:rsid w:val="00F70308"/>
    <w:rsid w:val="00F703BD"/>
    <w:rsid w:val="00F705EC"/>
    <w:rsid w:val="00F70602"/>
    <w:rsid w:val="00F70669"/>
    <w:rsid w:val="00F70F5B"/>
    <w:rsid w:val="00F7165F"/>
    <w:rsid w:val="00F71A12"/>
    <w:rsid w:val="00F71B1C"/>
    <w:rsid w:val="00F71B30"/>
    <w:rsid w:val="00F721F0"/>
    <w:rsid w:val="00F72482"/>
    <w:rsid w:val="00F72977"/>
    <w:rsid w:val="00F73476"/>
    <w:rsid w:val="00F7348B"/>
    <w:rsid w:val="00F73E97"/>
    <w:rsid w:val="00F73FA8"/>
    <w:rsid w:val="00F740C0"/>
    <w:rsid w:val="00F74539"/>
    <w:rsid w:val="00F74863"/>
    <w:rsid w:val="00F748AA"/>
    <w:rsid w:val="00F74E51"/>
    <w:rsid w:val="00F74F33"/>
    <w:rsid w:val="00F76162"/>
    <w:rsid w:val="00F761D4"/>
    <w:rsid w:val="00F764D0"/>
    <w:rsid w:val="00F764E9"/>
    <w:rsid w:val="00F76590"/>
    <w:rsid w:val="00F7665B"/>
    <w:rsid w:val="00F7688B"/>
    <w:rsid w:val="00F76C10"/>
    <w:rsid w:val="00F77977"/>
    <w:rsid w:val="00F77A4A"/>
    <w:rsid w:val="00F77A59"/>
    <w:rsid w:val="00F77DB5"/>
    <w:rsid w:val="00F80764"/>
    <w:rsid w:val="00F807EB"/>
    <w:rsid w:val="00F808CE"/>
    <w:rsid w:val="00F80A72"/>
    <w:rsid w:val="00F810C3"/>
    <w:rsid w:val="00F81370"/>
    <w:rsid w:val="00F816C4"/>
    <w:rsid w:val="00F81A28"/>
    <w:rsid w:val="00F81E5A"/>
    <w:rsid w:val="00F81FDD"/>
    <w:rsid w:val="00F821E8"/>
    <w:rsid w:val="00F82A66"/>
    <w:rsid w:val="00F82DD4"/>
    <w:rsid w:val="00F838D2"/>
    <w:rsid w:val="00F83BCA"/>
    <w:rsid w:val="00F83BCC"/>
    <w:rsid w:val="00F84160"/>
    <w:rsid w:val="00F844F2"/>
    <w:rsid w:val="00F84799"/>
    <w:rsid w:val="00F84C50"/>
    <w:rsid w:val="00F85925"/>
    <w:rsid w:val="00F85B3C"/>
    <w:rsid w:val="00F85F3E"/>
    <w:rsid w:val="00F865DF"/>
    <w:rsid w:val="00F86F69"/>
    <w:rsid w:val="00F871F7"/>
    <w:rsid w:val="00F8758B"/>
    <w:rsid w:val="00F87700"/>
    <w:rsid w:val="00F87947"/>
    <w:rsid w:val="00F87F06"/>
    <w:rsid w:val="00F900C1"/>
    <w:rsid w:val="00F9096C"/>
    <w:rsid w:val="00F90AC7"/>
    <w:rsid w:val="00F90CEE"/>
    <w:rsid w:val="00F9153D"/>
    <w:rsid w:val="00F91ADB"/>
    <w:rsid w:val="00F92078"/>
    <w:rsid w:val="00F9219F"/>
    <w:rsid w:val="00F924AD"/>
    <w:rsid w:val="00F92F39"/>
    <w:rsid w:val="00F93032"/>
    <w:rsid w:val="00F930BC"/>
    <w:rsid w:val="00F934ED"/>
    <w:rsid w:val="00F93A88"/>
    <w:rsid w:val="00F93D58"/>
    <w:rsid w:val="00F93E81"/>
    <w:rsid w:val="00F942DB"/>
    <w:rsid w:val="00F94560"/>
    <w:rsid w:val="00F946C9"/>
    <w:rsid w:val="00F94C1F"/>
    <w:rsid w:val="00F94FCA"/>
    <w:rsid w:val="00F9509C"/>
    <w:rsid w:val="00F95449"/>
    <w:rsid w:val="00F9562F"/>
    <w:rsid w:val="00F956D6"/>
    <w:rsid w:val="00F956F9"/>
    <w:rsid w:val="00F957B7"/>
    <w:rsid w:val="00F95A96"/>
    <w:rsid w:val="00F95B1C"/>
    <w:rsid w:val="00F960CD"/>
    <w:rsid w:val="00F96281"/>
    <w:rsid w:val="00F9680A"/>
    <w:rsid w:val="00F96869"/>
    <w:rsid w:val="00F9686B"/>
    <w:rsid w:val="00F96A38"/>
    <w:rsid w:val="00F96B17"/>
    <w:rsid w:val="00F96CBA"/>
    <w:rsid w:val="00F96E18"/>
    <w:rsid w:val="00F9701E"/>
    <w:rsid w:val="00F9751F"/>
    <w:rsid w:val="00F97943"/>
    <w:rsid w:val="00F97E6C"/>
    <w:rsid w:val="00FA0351"/>
    <w:rsid w:val="00FA0F6F"/>
    <w:rsid w:val="00FA1134"/>
    <w:rsid w:val="00FA16B9"/>
    <w:rsid w:val="00FA1726"/>
    <w:rsid w:val="00FA1980"/>
    <w:rsid w:val="00FA1D87"/>
    <w:rsid w:val="00FA284D"/>
    <w:rsid w:val="00FA296B"/>
    <w:rsid w:val="00FA2FFA"/>
    <w:rsid w:val="00FA3470"/>
    <w:rsid w:val="00FA3B3A"/>
    <w:rsid w:val="00FA42D5"/>
    <w:rsid w:val="00FA45E6"/>
    <w:rsid w:val="00FA4688"/>
    <w:rsid w:val="00FA48B7"/>
    <w:rsid w:val="00FA5060"/>
    <w:rsid w:val="00FA50F9"/>
    <w:rsid w:val="00FA5574"/>
    <w:rsid w:val="00FA5580"/>
    <w:rsid w:val="00FA558C"/>
    <w:rsid w:val="00FA5B47"/>
    <w:rsid w:val="00FA5C3E"/>
    <w:rsid w:val="00FA6138"/>
    <w:rsid w:val="00FA6649"/>
    <w:rsid w:val="00FA66B1"/>
    <w:rsid w:val="00FA6982"/>
    <w:rsid w:val="00FA6FDB"/>
    <w:rsid w:val="00FA7140"/>
    <w:rsid w:val="00FA7211"/>
    <w:rsid w:val="00FA72E3"/>
    <w:rsid w:val="00FA7CC5"/>
    <w:rsid w:val="00FA7D6D"/>
    <w:rsid w:val="00FA7E55"/>
    <w:rsid w:val="00FA7F80"/>
    <w:rsid w:val="00FB01A0"/>
    <w:rsid w:val="00FB08FC"/>
    <w:rsid w:val="00FB0D95"/>
    <w:rsid w:val="00FB23A3"/>
    <w:rsid w:val="00FB26F2"/>
    <w:rsid w:val="00FB270D"/>
    <w:rsid w:val="00FB2909"/>
    <w:rsid w:val="00FB2C62"/>
    <w:rsid w:val="00FB2F0D"/>
    <w:rsid w:val="00FB32B9"/>
    <w:rsid w:val="00FB38F2"/>
    <w:rsid w:val="00FB3B9A"/>
    <w:rsid w:val="00FB435C"/>
    <w:rsid w:val="00FB45F6"/>
    <w:rsid w:val="00FB4B19"/>
    <w:rsid w:val="00FB4CDD"/>
    <w:rsid w:val="00FB5287"/>
    <w:rsid w:val="00FB5789"/>
    <w:rsid w:val="00FB5B35"/>
    <w:rsid w:val="00FB62AA"/>
    <w:rsid w:val="00FB6858"/>
    <w:rsid w:val="00FB6928"/>
    <w:rsid w:val="00FB6AB1"/>
    <w:rsid w:val="00FB6EB9"/>
    <w:rsid w:val="00FB6ECD"/>
    <w:rsid w:val="00FB6F2E"/>
    <w:rsid w:val="00FB6F82"/>
    <w:rsid w:val="00FB7190"/>
    <w:rsid w:val="00FB731C"/>
    <w:rsid w:val="00FB76C8"/>
    <w:rsid w:val="00FB76E5"/>
    <w:rsid w:val="00FB7A17"/>
    <w:rsid w:val="00FC030F"/>
    <w:rsid w:val="00FC092D"/>
    <w:rsid w:val="00FC0D64"/>
    <w:rsid w:val="00FC137A"/>
    <w:rsid w:val="00FC158F"/>
    <w:rsid w:val="00FC1D68"/>
    <w:rsid w:val="00FC1E65"/>
    <w:rsid w:val="00FC2119"/>
    <w:rsid w:val="00FC37C5"/>
    <w:rsid w:val="00FC3893"/>
    <w:rsid w:val="00FC3BC2"/>
    <w:rsid w:val="00FC3D1F"/>
    <w:rsid w:val="00FC3D49"/>
    <w:rsid w:val="00FC426A"/>
    <w:rsid w:val="00FC4326"/>
    <w:rsid w:val="00FC4B88"/>
    <w:rsid w:val="00FC4C25"/>
    <w:rsid w:val="00FC4F30"/>
    <w:rsid w:val="00FC5426"/>
    <w:rsid w:val="00FC5AD5"/>
    <w:rsid w:val="00FC5BF2"/>
    <w:rsid w:val="00FC5D55"/>
    <w:rsid w:val="00FC5E15"/>
    <w:rsid w:val="00FC5F7A"/>
    <w:rsid w:val="00FC6103"/>
    <w:rsid w:val="00FC6371"/>
    <w:rsid w:val="00FC657E"/>
    <w:rsid w:val="00FC6872"/>
    <w:rsid w:val="00FC6B31"/>
    <w:rsid w:val="00FC6C2F"/>
    <w:rsid w:val="00FC6C40"/>
    <w:rsid w:val="00FC6D65"/>
    <w:rsid w:val="00FC736F"/>
    <w:rsid w:val="00FC7D05"/>
    <w:rsid w:val="00FC7E74"/>
    <w:rsid w:val="00FD020F"/>
    <w:rsid w:val="00FD04E9"/>
    <w:rsid w:val="00FD09EE"/>
    <w:rsid w:val="00FD0BD2"/>
    <w:rsid w:val="00FD1304"/>
    <w:rsid w:val="00FD13FA"/>
    <w:rsid w:val="00FD1421"/>
    <w:rsid w:val="00FD19EA"/>
    <w:rsid w:val="00FD1FF2"/>
    <w:rsid w:val="00FD24E5"/>
    <w:rsid w:val="00FD2986"/>
    <w:rsid w:val="00FD31E6"/>
    <w:rsid w:val="00FD3590"/>
    <w:rsid w:val="00FD41D8"/>
    <w:rsid w:val="00FD437B"/>
    <w:rsid w:val="00FD446E"/>
    <w:rsid w:val="00FD4626"/>
    <w:rsid w:val="00FD4881"/>
    <w:rsid w:val="00FD5525"/>
    <w:rsid w:val="00FD5553"/>
    <w:rsid w:val="00FD56F5"/>
    <w:rsid w:val="00FD58D9"/>
    <w:rsid w:val="00FD5B0B"/>
    <w:rsid w:val="00FD5C08"/>
    <w:rsid w:val="00FD5CF6"/>
    <w:rsid w:val="00FD60F3"/>
    <w:rsid w:val="00FD6209"/>
    <w:rsid w:val="00FD6996"/>
    <w:rsid w:val="00FD7798"/>
    <w:rsid w:val="00FD7917"/>
    <w:rsid w:val="00FD7B33"/>
    <w:rsid w:val="00FD7CC4"/>
    <w:rsid w:val="00FD7EC9"/>
    <w:rsid w:val="00FE036D"/>
    <w:rsid w:val="00FE0B2E"/>
    <w:rsid w:val="00FE14EC"/>
    <w:rsid w:val="00FE1887"/>
    <w:rsid w:val="00FE1ECC"/>
    <w:rsid w:val="00FE2122"/>
    <w:rsid w:val="00FE23B6"/>
    <w:rsid w:val="00FE29AA"/>
    <w:rsid w:val="00FE2D10"/>
    <w:rsid w:val="00FE3067"/>
    <w:rsid w:val="00FE3957"/>
    <w:rsid w:val="00FE3A5A"/>
    <w:rsid w:val="00FE3BDE"/>
    <w:rsid w:val="00FE3EC2"/>
    <w:rsid w:val="00FE3F6B"/>
    <w:rsid w:val="00FE4003"/>
    <w:rsid w:val="00FE4E99"/>
    <w:rsid w:val="00FE519B"/>
    <w:rsid w:val="00FE5305"/>
    <w:rsid w:val="00FE53A1"/>
    <w:rsid w:val="00FE5673"/>
    <w:rsid w:val="00FE5866"/>
    <w:rsid w:val="00FE60CA"/>
    <w:rsid w:val="00FE60D6"/>
    <w:rsid w:val="00FE6842"/>
    <w:rsid w:val="00FE692B"/>
    <w:rsid w:val="00FE6AC5"/>
    <w:rsid w:val="00FE6D55"/>
    <w:rsid w:val="00FE6E8C"/>
    <w:rsid w:val="00FE6EA1"/>
    <w:rsid w:val="00FE6F14"/>
    <w:rsid w:val="00FE7437"/>
    <w:rsid w:val="00FE799B"/>
    <w:rsid w:val="00FE7EBD"/>
    <w:rsid w:val="00FF09D0"/>
    <w:rsid w:val="00FF0A58"/>
    <w:rsid w:val="00FF0A75"/>
    <w:rsid w:val="00FF0FBF"/>
    <w:rsid w:val="00FF1241"/>
    <w:rsid w:val="00FF14E7"/>
    <w:rsid w:val="00FF1892"/>
    <w:rsid w:val="00FF1915"/>
    <w:rsid w:val="00FF198C"/>
    <w:rsid w:val="00FF1A9B"/>
    <w:rsid w:val="00FF2C6E"/>
    <w:rsid w:val="00FF2E3D"/>
    <w:rsid w:val="00FF32FB"/>
    <w:rsid w:val="00FF3986"/>
    <w:rsid w:val="00FF3A27"/>
    <w:rsid w:val="00FF3AB2"/>
    <w:rsid w:val="00FF3CB7"/>
    <w:rsid w:val="00FF3F46"/>
    <w:rsid w:val="00FF409C"/>
    <w:rsid w:val="00FF43D5"/>
    <w:rsid w:val="00FF4FEE"/>
    <w:rsid w:val="00FF52F7"/>
    <w:rsid w:val="00FF5417"/>
    <w:rsid w:val="00FF5869"/>
    <w:rsid w:val="00FF5ADC"/>
    <w:rsid w:val="00FF5B3D"/>
    <w:rsid w:val="00FF5C6B"/>
    <w:rsid w:val="00FF5CAC"/>
    <w:rsid w:val="00FF5EEB"/>
    <w:rsid w:val="00FF6186"/>
    <w:rsid w:val="00FF65BC"/>
    <w:rsid w:val="00FF6A62"/>
    <w:rsid w:val="00FF6B1B"/>
    <w:rsid w:val="00FF703D"/>
    <w:rsid w:val="00FF711A"/>
    <w:rsid w:val="00FF7128"/>
    <w:rsid w:val="00FF7144"/>
    <w:rsid w:val="00FF7151"/>
    <w:rsid w:val="00FF71DE"/>
    <w:rsid w:val="00FF7592"/>
    <w:rsid w:val="00FF770B"/>
    <w:rsid w:val="00FF78EA"/>
    <w:rsid w:val="00FF7C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width-relative:margin;mso-height-relative:margin" fill="f" fillcolor="white" stroke="f">
      <v:fill color="white" on="f"/>
      <v:stroke on="f"/>
    </o:shapedefaults>
    <o:shapelayout v:ext="edit">
      <o:idmap v:ext="edit" data="2"/>
    </o:shapelayout>
  </w:shapeDefaults>
  <w:decimalSymbol w:val="."/>
  <w:listSeparator w:val=","/>
  <w14:docId w14:val="6E70DFA8"/>
  <w15:docId w15:val="{9D0EF6E1-A9D9-4D75-96B2-9C71F382E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021E"/>
    <w:rPr>
      <w:rFonts w:ascii="Arial" w:hAnsi="Arial"/>
      <w:sz w:val="19"/>
      <w:szCs w:val="24"/>
    </w:rPr>
  </w:style>
  <w:style w:type="paragraph" w:styleId="Heading1">
    <w:name w:val="heading 1"/>
    <w:basedOn w:val="Normal"/>
    <w:next w:val="Normal"/>
    <w:link w:val="Heading1Char"/>
    <w:qFormat/>
    <w:rsid w:val="00F96869"/>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semiHidden/>
    <w:unhideWhenUsed/>
    <w:qFormat/>
    <w:rsid w:val="009661D0"/>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16A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E16A5A"/>
    <w:pPr>
      <w:tabs>
        <w:tab w:val="center" w:pos="4153"/>
        <w:tab w:val="right" w:pos="8306"/>
      </w:tabs>
    </w:pPr>
  </w:style>
  <w:style w:type="paragraph" w:styleId="Footer">
    <w:name w:val="footer"/>
    <w:basedOn w:val="Normal"/>
    <w:rsid w:val="00E16A5A"/>
    <w:pPr>
      <w:tabs>
        <w:tab w:val="center" w:pos="4153"/>
        <w:tab w:val="right" w:pos="8306"/>
      </w:tabs>
    </w:pPr>
  </w:style>
  <w:style w:type="character" w:styleId="Hyperlink">
    <w:name w:val="Hyperlink"/>
    <w:rsid w:val="00C61CDA"/>
    <w:rPr>
      <w:rFonts w:ascii="Verdana" w:hAnsi="Verdana"/>
      <w:color w:val="000080"/>
      <w:sz w:val="18"/>
      <w:szCs w:val="18"/>
      <w:u w:val="single" w:color="000080"/>
    </w:rPr>
  </w:style>
  <w:style w:type="character" w:styleId="FollowedHyperlink">
    <w:name w:val="FollowedHyperlink"/>
    <w:rsid w:val="00C61CDA"/>
    <w:rPr>
      <w:rFonts w:ascii="Verdana" w:hAnsi="Verdana"/>
      <w:color w:val="800080"/>
      <w:sz w:val="18"/>
      <w:szCs w:val="18"/>
      <w:u w:val="single" w:color="800080"/>
    </w:rPr>
  </w:style>
  <w:style w:type="paragraph" w:styleId="BalloonText">
    <w:name w:val="Balloon Text"/>
    <w:basedOn w:val="Normal"/>
    <w:semiHidden/>
    <w:rsid w:val="00B53715"/>
    <w:rPr>
      <w:rFonts w:ascii="Tahoma" w:hAnsi="Tahoma" w:cs="Tahoma"/>
      <w:sz w:val="16"/>
      <w:szCs w:val="16"/>
    </w:rPr>
  </w:style>
  <w:style w:type="paragraph" w:customStyle="1" w:styleId="Default">
    <w:name w:val="Default"/>
    <w:rsid w:val="0076397D"/>
    <w:pPr>
      <w:autoSpaceDE w:val="0"/>
      <w:autoSpaceDN w:val="0"/>
      <w:adjustRightInd w:val="0"/>
    </w:pPr>
    <w:rPr>
      <w:rFonts w:ascii="Verdana" w:hAnsi="Verdana" w:cs="Verdana"/>
      <w:color w:val="000000"/>
      <w:sz w:val="24"/>
      <w:szCs w:val="24"/>
    </w:rPr>
  </w:style>
  <w:style w:type="character" w:styleId="CommentReference">
    <w:name w:val="annotation reference"/>
    <w:rsid w:val="00C273F9"/>
    <w:rPr>
      <w:sz w:val="16"/>
      <w:szCs w:val="16"/>
    </w:rPr>
  </w:style>
  <w:style w:type="paragraph" w:styleId="CommentText">
    <w:name w:val="annotation text"/>
    <w:basedOn w:val="Normal"/>
    <w:link w:val="CommentTextChar"/>
    <w:rsid w:val="00C273F9"/>
    <w:rPr>
      <w:sz w:val="20"/>
      <w:szCs w:val="20"/>
    </w:rPr>
  </w:style>
  <w:style w:type="character" w:customStyle="1" w:styleId="CommentTextChar">
    <w:name w:val="Comment Text Char"/>
    <w:basedOn w:val="DefaultParagraphFont"/>
    <w:link w:val="CommentText"/>
    <w:rsid w:val="00C273F9"/>
  </w:style>
  <w:style w:type="paragraph" w:styleId="CommentSubject">
    <w:name w:val="annotation subject"/>
    <w:basedOn w:val="CommentText"/>
    <w:next w:val="CommentText"/>
    <w:link w:val="CommentSubjectChar"/>
    <w:rsid w:val="00C273F9"/>
    <w:rPr>
      <w:b/>
      <w:bCs/>
    </w:rPr>
  </w:style>
  <w:style w:type="character" w:customStyle="1" w:styleId="CommentSubjectChar">
    <w:name w:val="Comment Subject Char"/>
    <w:link w:val="CommentSubject"/>
    <w:rsid w:val="00C273F9"/>
    <w:rPr>
      <w:b/>
      <w:bCs/>
    </w:rPr>
  </w:style>
  <w:style w:type="character" w:customStyle="1" w:styleId="Heading3Char">
    <w:name w:val="Heading 3 Char"/>
    <w:link w:val="Heading3"/>
    <w:semiHidden/>
    <w:rsid w:val="009661D0"/>
    <w:rPr>
      <w:rFonts w:ascii="Cambria" w:eastAsia="Times New Roman" w:hAnsi="Cambria" w:cs="Times New Roman"/>
      <w:b/>
      <w:bCs/>
      <w:sz w:val="26"/>
      <w:szCs w:val="26"/>
    </w:rPr>
  </w:style>
  <w:style w:type="character" w:customStyle="1" w:styleId="Heading1Char">
    <w:name w:val="Heading 1 Char"/>
    <w:link w:val="Heading1"/>
    <w:rsid w:val="00F96869"/>
    <w:rPr>
      <w:rFonts w:ascii="Cambria" w:eastAsia="Times New Roman" w:hAnsi="Cambria" w:cs="Times New Roman"/>
      <w:b/>
      <w:bCs/>
      <w:kern w:val="32"/>
      <w:sz w:val="32"/>
      <w:szCs w:val="32"/>
    </w:rPr>
  </w:style>
  <w:style w:type="paragraph" w:customStyle="1" w:styleId="Explanatorytext">
    <w:name w:val="Explanatory text"/>
    <w:basedOn w:val="Normal"/>
    <w:link w:val="ExplanatorytextChar"/>
    <w:qFormat/>
    <w:rsid w:val="00CD021E"/>
    <w:pPr>
      <w:tabs>
        <w:tab w:val="center" w:pos="3152"/>
      </w:tabs>
    </w:pPr>
    <w:rPr>
      <w:rFonts w:cs="Arial"/>
      <w:sz w:val="16"/>
      <w:szCs w:val="19"/>
      <w:lang w:val="en-US"/>
    </w:rPr>
  </w:style>
  <w:style w:type="character" w:customStyle="1" w:styleId="ExplanatorytextChar">
    <w:name w:val="Explanatory text Char"/>
    <w:basedOn w:val="DefaultParagraphFont"/>
    <w:link w:val="Explanatorytext"/>
    <w:rsid w:val="00CD021E"/>
    <w:rPr>
      <w:rFonts w:ascii="Arial" w:hAnsi="Arial" w:cs="Arial"/>
      <w:sz w:val="16"/>
      <w:szCs w:val="19"/>
      <w:lang w:val="en-US"/>
    </w:rPr>
  </w:style>
  <w:style w:type="character" w:styleId="UnresolvedMention">
    <w:name w:val="Unresolved Mention"/>
    <w:basedOn w:val="DefaultParagraphFont"/>
    <w:uiPriority w:val="99"/>
    <w:semiHidden/>
    <w:unhideWhenUsed/>
    <w:rsid w:val="00211F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12655">
      <w:bodyDiv w:val="1"/>
      <w:marLeft w:val="0"/>
      <w:marRight w:val="0"/>
      <w:marTop w:val="0"/>
      <w:marBottom w:val="0"/>
      <w:divBdr>
        <w:top w:val="none" w:sz="0" w:space="0" w:color="auto"/>
        <w:left w:val="none" w:sz="0" w:space="0" w:color="auto"/>
        <w:bottom w:val="none" w:sz="0" w:space="0" w:color="auto"/>
        <w:right w:val="none" w:sz="0" w:space="0" w:color="auto"/>
      </w:divBdr>
    </w:div>
    <w:div w:id="18940625">
      <w:bodyDiv w:val="1"/>
      <w:marLeft w:val="0"/>
      <w:marRight w:val="0"/>
      <w:marTop w:val="0"/>
      <w:marBottom w:val="0"/>
      <w:divBdr>
        <w:top w:val="none" w:sz="0" w:space="0" w:color="auto"/>
        <w:left w:val="none" w:sz="0" w:space="0" w:color="auto"/>
        <w:bottom w:val="none" w:sz="0" w:space="0" w:color="auto"/>
        <w:right w:val="none" w:sz="0" w:space="0" w:color="auto"/>
      </w:divBdr>
    </w:div>
    <w:div w:id="36780126">
      <w:bodyDiv w:val="1"/>
      <w:marLeft w:val="0"/>
      <w:marRight w:val="0"/>
      <w:marTop w:val="0"/>
      <w:marBottom w:val="0"/>
      <w:divBdr>
        <w:top w:val="none" w:sz="0" w:space="0" w:color="auto"/>
        <w:left w:val="none" w:sz="0" w:space="0" w:color="auto"/>
        <w:bottom w:val="none" w:sz="0" w:space="0" w:color="auto"/>
        <w:right w:val="none" w:sz="0" w:space="0" w:color="auto"/>
      </w:divBdr>
    </w:div>
    <w:div w:id="44254406">
      <w:bodyDiv w:val="1"/>
      <w:marLeft w:val="0"/>
      <w:marRight w:val="0"/>
      <w:marTop w:val="0"/>
      <w:marBottom w:val="0"/>
      <w:divBdr>
        <w:top w:val="none" w:sz="0" w:space="0" w:color="auto"/>
        <w:left w:val="none" w:sz="0" w:space="0" w:color="auto"/>
        <w:bottom w:val="none" w:sz="0" w:space="0" w:color="auto"/>
        <w:right w:val="none" w:sz="0" w:space="0" w:color="auto"/>
      </w:divBdr>
    </w:div>
    <w:div w:id="49577063">
      <w:bodyDiv w:val="1"/>
      <w:marLeft w:val="0"/>
      <w:marRight w:val="0"/>
      <w:marTop w:val="0"/>
      <w:marBottom w:val="0"/>
      <w:divBdr>
        <w:top w:val="none" w:sz="0" w:space="0" w:color="auto"/>
        <w:left w:val="none" w:sz="0" w:space="0" w:color="auto"/>
        <w:bottom w:val="none" w:sz="0" w:space="0" w:color="auto"/>
        <w:right w:val="none" w:sz="0" w:space="0" w:color="auto"/>
      </w:divBdr>
    </w:div>
    <w:div w:id="50203157">
      <w:bodyDiv w:val="1"/>
      <w:marLeft w:val="0"/>
      <w:marRight w:val="0"/>
      <w:marTop w:val="0"/>
      <w:marBottom w:val="0"/>
      <w:divBdr>
        <w:top w:val="none" w:sz="0" w:space="0" w:color="auto"/>
        <w:left w:val="none" w:sz="0" w:space="0" w:color="auto"/>
        <w:bottom w:val="none" w:sz="0" w:space="0" w:color="auto"/>
        <w:right w:val="none" w:sz="0" w:space="0" w:color="auto"/>
      </w:divBdr>
    </w:div>
    <w:div w:id="75133025">
      <w:bodyDiv w:val="1"/>
      <w:marLeft w:val="0"/>
      <w:marRight w:val="0"/>
      <w:marTop w:val="0"/>
      <w:marBottom w:val="0"/>
      <w:divBdr>
        <w:top w:val="none" w:sz="0" w:space="0" w:color="auto"/>
        <w:left w:val="none" w:sz="0" w:space="0" w:color="auto"/>
        <w:bottom w:val="none" w:sz="0" w:space="0" w:color="auto"/>
        <w:right w:val="none" w:sz="0" w:space="0" w:color="auto"/>
      </w:divBdr>
    </w:div>
    <w:div w:id="105078129">
      <w:bodyDiv w:val="1"/>
      <w:marLeft w:val="0"/>
      <w:marRight w:val="0"/>
      <w:marTop w:val="0"/>
      <w:marBottom w:val="0"/>
      <w:divBdr>
        <w:top w:val="none" w:sz="0" w:space="0" w:color="auto"/>
        <w:left w:val="none" w:sz="0" w:space="0" w:color="auto"/>
        <w:bottom w:val="none" w:sz="0" w:space="0" w:color="auto"/>
        <w:right w:val="none" w:sz="0" w:space="0" w:color="auto"/>
      </w:divBdr>
    </w:div>
    <w:div w:id="166293802">
      <w:bodyDiv w:val="1"/>
      <w:marLeft w:val="0"/>
      <w:marRight w:val="0"/>
      <w:marTop w:val="0"/>
      <w:marBottom w:val="0"/>
      <w:divBdr>
        <w:top w:val="none" w:sz="0" w:space="0" w:color="auto"/>
        <w:left w:val="none" w:sz="0" w:space="0" w:color="auto"/>
        <w:bottom w:val="none" w:sz="0" w:space="0" w:color="auto"/>
        <w:right w:val="none" w:sz="0" w:space="0" w:color="auto"/>
      </w:divBdr>
    </w:div>
    <w:div w:id="182062482">
      <w:bodyDiv w:val="1"/>
      <w:marLeft w:val="0"/>
      <w:marRight w:val="0"/>
      <w:marTop w:val="0"/>
      <w:marBottom w:val="0"/>
      <w:divBdr>
        <w:top w:val="none" w:sz="0" w:space="0" w:color="auto"/>
        <w:left w:val="none" w:sz="0" w:space="0" w:color="auto"/>
        <w:bottom w:val="none" w:sz="0" w:space="0" w:color="auto"/>
        <w:right w:val="none" w:sz="0" w:space="0" w:color="auto"/>
      </w:divBdr>
    </w:div>
    <w:div w:id="188568170">
      <w:bodyDiv w:val="1"/>
      <w:marLeft w:val="0"/>
      <w:marRight w:val="0"/>
      <w:marTop w:val="0"/>
      <w:marBottom w:val="0"/>
      <w:divBdr>
        <w:top w:val="none" w:sz="0" w:space="0" w:color="auto"/>
        <w:left w:val="none" w:sz="0" w:space="0" w:color="auto"/>
        <w:bottom w:val="none" w:sz="0" w:space="0" w:color="auto"/>
        <w:right w:val="none" w:sz="0" w:space="0" w:color="auto"/>
      </w:divBdr>
    </w:div>
    <w:div w:id="196285041">
      <w:bodyDiv w:val="1"/>
      <w:marLeft w:val="0"/>
      <w:marRight w:val="0"/>
      <w:marTop w:val="0"/>
      <w:marBottom w:val="0"/>
      <w:divBdr>
        <w:top w:val="none" w:sz="0" w:space="0" w:color="auto"/>
        <w:left w:val="none" w:sz="0" w:space="0" w:color="auto"/>
        <w:bottom w:val="none" w:sz="0" w:space="0" w:color="auto"/>
        <w:right w:val="none" w:sz="0" w:space="0" w:color="auto"/>
      </w:divBdr>
    </w:div>
    <w:div w:id="205456442">
      <w:bodyDiv w:val="1"/>
      <w:marLeft w:val="0"/>
      <w:marRight w:val="0"/>
      <w:marTop w:val="0"/>
      <w:marBottom w:val="0"/>
      <w:divBdr>
        <w:top w:val="none" w:sz="0" w:space="0" w:color="auto"/>
        <w:left w:val="none" w:sz="0" w:space="0" w:color="auto"/>
        <w:bottom w:val="none" w:sz="0" w:space="0" w:color="auto"/>
        <w:right w:val="none" w:sz="0" w:space="0" w:color="auto"/>
      </w:divBdr>
    </w:div>
    <w:div w:id="225457942">
      <w:bodyDiv w:val="1"/>
      <w:marLeft w:val="0"/>
      <w:marRight w:val="0"/>
      <w:marTop w:val="0"/>
      <w:marBottom w:val="0"/>
      <w:divBdr>
        <w:top w:val="none" w:sz="0" w:space="0" w:color="auto"/>
        <w:left w:val="none" w:sz="0" w:space="0" w:color="auto"/>
        <w:bottom w:val="none" w:sz="0" w:space="0" w:color="auto"/>
        <w:right w:val="none" w:sz="0" w:space="0" w:color="auto"/>
      </w:divBdr>
    </w:div>
    <w:div w:id="241646439">
      <w:bodyDiv w:val="1"/>
      <w:marLeft w:val="0"/>
      <w:marRight w:val="0"/>
      <w:marTop w:val="0"/>
      <w:marBottom w:val="0"/>
      <w:divBdr>
        <w:top w:val="none" w:sz="0" w:space="0" w:color="auto"/>
        <w:left w:val="none" w:sz="0" w:space="0" w:color="auto"/>
        <w:bottom w:val="none" w:sz="0" w:space="0" w:color="auto"/>
        <w:right w:val="none" w:sz="0" w:space="0" w:color="auto"/>
      </w:divBdr>
    </w:div>
    <w:div w:id="262612622">
      <w:bodyDiv w:val="1"/>
      <w:marLeft w:val="0"/>
      <w:marRight w:val="0"/>
      <w:marTop w:val="0"/>
      <w:marBottom w:val="0"/>
      <w:divBdr>
        <w:top w:val="none" w:sz="0" w:space="0" w:color="auto"/>
        <w:left w:val="none" w:sz="0" w:space="0" w:color="auto"/>
        <w:bottom w:val="none" w:sz="0" w:space="0" w:color="auto"/>
        <w:right w:val="none" w:sz="0" w:space="0" w:color="auto"/>
      </w:divBdr>
    </w:div>
    <w:div w:id="268316975">
      <w:bodyDiv w:val="1"/>
      <w:marLeft w:val="0"/>
      <w:marRight w:val="0"/>
      <w:marTop w:val="0"/>
      <w:marBottom w:val="0"/>
      <w:divBdr>
        <w:top w:val="none" w:sz="0" w:space="0" w:color="auto"/>
        <w:left w:val="none" w:sz="0" w:space="0" w:color="auto"/>
        <w:bottom w:val="none" w:sz="0" w:space="0" w:color="auto"/>
        <w:right w:val="none" w:sz="0" w:space="0" w:color="auto"/>
      </w:divBdr>
    </w:div>
    <w:div w:id="271980019">
      <w:bodyDiv w:val="1"/>
      <w:marLeft w:val="0"/>
      <w:marRight w:val="0"/>
      <w:marTop w:val="0"/>
      <w:marBottom w:val="0"/>
      <w:divBdr>
        <w:top w:val="none" w:sz="0" w:space="0" w:color="auto"/>
        <w:left w:val="none" w:sz="0" w:space="0" w:color="auto"/>
        <w:bottom w:val="none" w:sz="0" w:space="0" w:color="auto"/>
        <w:right w:val="none" w:sz="0" w:space="0" w:color="auto"/>
      </w:divBdr>
    </w:div>
    <w:div w:id="281309733">
      <w:bodyDiv w:val="1"/>
      <w:marLeft w:val="0"/>
      <w:marRight w:val="0"/>
      <w:marTop w:val="0"/>
      <w:marBottom w:val="0"/>
      <w:divBdr>
        <w:top w:val="none" w:sz="0" w:space="0" w:color="auto"/>
        <w:left w:val="none" w:sz="0" w:space="0" w:color="auto"/>
        <w:bottom w:val="none" w:sz="0" w:space="0" w:color="auto"/>
        <w:right w:val="none" w:sz="0" w:space="0" w:color="auto"/>
      </w:divBdr>
    </w:div>
    <w:div w:id="299922167">
      <w:bodyDiv w:val="1"/>
      <w:marLeft w:val="0"/>
      <w:marRight w:val="0"/>
      <w:marTop w:val="0"/>
      <w:marBottom w:val="0"/>
      <w:divBdr>
        <w:top w:val="none" w:sz="0" w:space="0" w:color="auto"/>
        <w:left w:val="none" w:sz="0" w:space="0" w:color="auto"/>
        <w:bottom w:val="none" w:sz="0" w:space="0" w:color="auto"/>
        <w:right w:val="none" w:sz="0" w:space="0" w:color="auto"/>
      </w:divBdr>
    </w:div>
    <w:div w:id="301160891">
      <w:bodyDiv w:val="1"/>
      <w:marLeft w:val="0"/>
      <w:marRight w:val="0"/>
      <w:marTop w:val="0"/>
      <w:marBottom w:val="0"/>
      <w:divBdr>
        <w:top w:val="none" w:sz="0" w:space="0" w:color="auto"/>
        <w:left w:val="none" w:sz="0" w:space="0" w:color="auto"/>
        <w:bottom w:val="none" w:sz="0" w:space="0" w:color="auto"/>
        <w:right w:val="none" w:sz="0" w:space="0" w:color="auto"/>
      </w:divBdr>
    </w:div>
    <w:div w:id="304697955">
      <w:bodyDiv w:val="1"/>
      <w:marLeft w:val="0"/>
      <w:marRight w:val="0"/>
      <w:marTop w:val="0"/>
      <w:marBottom w:val="0"/>
      <w:divBdr>
        <w:top w:val="none" w:sz="0" w:space="0" w:color="auto"/>
        <w:left w:val="none" w:sz="0" w:space="0" w:color="auto"/>
        <w:bottom w:val="none" w:sz="0" w:space="0" w:color="auto"/>
        <w:right w:val="none" w:sz="0" w:space="0" w:color="auto"/>
      </w:divBdr>
    </w:div>
    <w:div w:id="313025055">
      <w:bodyDiv w:val="1"/>
      <w:marLeft w:val="0"/>
      <w:marRight w:val="0"/>
      <w:marTop w:val="0"/>
      <w:marBottom w:val="0"/>
      <w:divBdr>
        <w:top w:val="none" w:sz="0" w:space="0" w:color="auto"/>
        <w:left w:val="none" w:sz="0" w:space="0" w:color="auto"/>
        <w:bottom w:val="none" w:sz="0" w:space="0" w:color="auto"/>
        <w:right w:val="none" w:sz="0" w:space="0" w:color="auto"/>
      </w:divBdr>
    </w:div>
    <w:div w:id="329790941">
      <w:bodyDiv w:val="1"/>
      <w:marLeft w:val="0"/>
      <w:marRight w:val="0"/>
      <w:marTop w:val="0"/>
      <w:marBottom w:val="0"/>
      <w:divBdr>
        <w:top w:val="none" w:sz="0" w:space="0" w:color="auto"/>
        <w:left w:val="none" w:sz="0" w:space="0" w:color="auto"/>
        <w:bottom w:val="none" w:sz="0" w:space="0" w:color="auto"/>
        <w:right w:val="none" w:sz="0" w:space="0" w:color="auto"/>
      </w:divBdr>
    </w:div>
    <w:div w:id="331566186">
      <w:bodyDiv w:val="1"/>
      <w:marLeft w:val="0"/>
      <w:marRight w:val="0"/>
      <w:marTop w:val="0"/>
      <w:marBottom w:val="0"/>
      <w:divBdr>
        <w:top w:val="none" w:sz="0" w:space="0" w:color="auto"/>
        <w:left w:val="none" w:sz="0" w:space="0" w:color="auto"/>
        <w:bottom w:val="none" w:sz="0" w:space="0" w:color="auto"/>
        <w:right w:val="none" w:sz="0" w:space="0" w:color="auto"/>
      </w:divBdr>
    </w:div>
    <w:div w:id="350422774">
      <w:bodyDiv w:val="1"/>
      <w:marLeft w:val="0"/>
      <w:marRight w:val="0"/>
      <w:marTop w:val="0"/>
      <w:marBottom w:val="0"/>
      <w:divBdr>
        <w:top w:val="none" w:sz="0" w:space="0" w:color="auto"/>
        <w:left w:val="none" w:sz="0" w:space="0" w:color="auto"/>
        <w:bottom w:val="none" w:sz="0" w:space="0" w:color="auto"/>
        <w:right w:val="none" w:sz="0" w:space="0" w:color="auto"/>
      </w:divBdr>
    </w:div>
    <w:div w:id="353506112">
      <w:bodyDiv w:val="1"/>
      <w:marLeft w:val="0"/>
      <w:marRight w:val="0"/>
      <w:marTop w:val="0"/>
      <w:marBottom w:val="0"/>
      <w:divBdr>
        <w:top w:val="none" w:sz="0" w:space="0" w:color="auto"/>
        <w:left w:val="none" w:sz="0" w:space="0" w:color="auto"/>
        <w:bottom w:val="none" w:sz="0" w:space="0" w:color="auto"/>
        <w:right w:val="none" w:sz="0" w:space="0" w:color="auto"/>
      </w:divBdr>
    </w:div>
    <w:div w:id="357661603">
      <w:bodyDiv w:val="1"/>
      <w:marLeft w:val="0"/>
      <w:marRight w:val="0"/>
      <w:marTop w:val="0"/>
      <w:marBottom w:val="0"/>
      <w:divBdr>
        <w:top w:val="none" w:sz="0" w:space="0" w:color="auto"/>
        <w:left w:val="none" w:sz="0" w:space="0" w:color="auto"/>
        <w:bottom w:val="none" w:sz="0" w:space="0" w:color="auto"/>
        <w:right w:val="none" w:sz="0" w:space="0" w:color="auto"/>
      </w:divBdr>
    </w:div>
    <w:div w:id="410395297">
      <w:bodyDiv w:val="1"/>
      <w:marLeft w:val="0"/>
      <w:marRight w:val="0"/>
      <w:marTop w:val="0"/>
      <w:marBottom w:val="0"/>
      <w:divBdr>
        <w:top w:val="none" w:sz="0" w:space="0" w:color="auto"/>
        <w:left w:val="none" w:sz="0" w:space="0" w:color="auto"/>
        <w:bottom w:val="none" w:sz="0" w:space="0" w:color="auto"/>
        <w:right w:val="none" w:sz="0" w:space="0" w:color="auto"/>
      </w:divBdr>
    </w:div>
    <w:div w:id="440492896">
      <w:bodyDiv w:val="1"/>
      <w:marLeft w:val="0"/>
      <w:marRight w:val="0"/>
      <w:marTop w:val="0"/>
      <w:marBottom w:val="0"/>
      <w:divBdr>
        <w:top w:val="none" w:sz="0" w:space="0" w:color="auto"/>
        <w:left w:val="none" w:sz="0" w:space="0" w:color="auto"/>
        <w:bottom w:val="none" w:sz="0" w:space="0" w:color="auto"/>
        <w:right w:val="none" w:sz="0" w:space="0" w:color="auto"/>
      </w:divBdr>
    </w:div>
    <w:div w:id="470828134">
      <w:bodyDiv w:val="1"/>
      <w:marLeft w:val="0"/>
      <w:marRight w:val="0"/>
      <w:marTop w:val="0"/>
      <w:marBottom w:val="0"/>
      <w:divBdr>
        <w:top w:val="none" w:sz="0" w:space="0" w:color="auto"/>
        <w:left w:val="none" w:sz="0" w:space="0" w:color="auto"/>
        <w:bottom w:val="none" w:sz="0" w:space="0" w:color="auto"/>
        <w:right w:val="none" w:sz="0" w:space="0" w:color="auto"/>
      </w:divBdr>
    </w:div>
    <w:div w:id="480464002">
      <w:bodyDiv w:val="1"/>
      <w:marLeft w:val="0"/>
      <w:marRight w:val="0"/>
      <w:marTop w:val="0"/>
      <w:marBottom w:val="0"/>
      <w:divBdr>
        <w:top w:val="none" w:sz="0" w:space="0" w:color="auto"/>
        <w:left w:val="none" w:sz="0" w:space="0" w:color="auto"/>
        <w:bottom w:val="none" w:sz="0" w:space="0" w:color="auto"/>
        <w:right w:val="none" w:sz="0" w:space="0" w:color="auto"/>
      </w:divBdr>
    </w:div>
    <w:div w:id="496532464">
      <w:bodyDiv w:val="1"/>
      <w:marLeft w:val="0"/>
      <w:marRight w:val="0"/>
      <w:marTop w:val="0"/>
      <w:marBottom w:val="0"/>
      <w:divBdr>
        <w:top w:val="none" w:sz="0" w:space="0" w:color="auto"/>
        <w:left w:val="none" w:sz="0" w:space="0" w:color="auto"/>
        <w:bottom w:val="none" w:sz="0" w:space="0" w:color="auto"/>
        <w:right w:val="none" w:sz="0" w:space="0" w:color="auto"/>
      </w:divBdr>
    </w:div>
    <w:div w:id="505635167">
      <w:bodyDiv w:val="1"/>
      <w:marLeft w:val="0"/>
      <w:marRight w:val="0"/>
      <w:marTop w:val="0"/>
      <w:marBottom w:val="0"/>
      <w:divBdr>
        <w:top w:val="none" w:sz="0" w:space="0" w:color="auto"/>
        <w:left w:val="none" w:sz="0" w:space="0" w:color="auto"/>
        <w:bottom w:val="none" w:sz="0" w:space="0" w:color="auto"/>
        <w:right w:val="none" w:sz="0" w:space="0" w:color="auto"/>
      </w:divBdr>
    </w:div>
    <w:div w:id="526722528">
      <w:bodyDiv w:val="1"/>
      <w:marLeft w:val="0"/>
      <w:marRight w:val="0"/>
      <w:marTop w:val="0"/>
      <w:marBottom w:val="0"/>
      <w:divBdr>
        <w:top w:val="none" w:sz="0" w:space="0" w:color="auto"/>
        <w:left w:val="none" w:sz="0" w:space="0" w:color="auto"/>
        <w:bottom w:val="none" w:sz="0" w:space="0" w:color="auto"/>
        <w:right w:val="none" w:sz="0" w:space="0" w:color="auto"/>
      </w:divBdr>
    </w:div>
    <w:div w:id="546260429">
      <w:bodyDiv w:val="1"/>
      <w:marLeft w:val="0"/>
      <w:marRight w:val="0"/>
      <w:marTop w:val="0"/>
      <w:marBottom w:val="0"/>
      <w:divBdr>
        <w:top w:val="none" w:sz="0" w:space="0" w:color="auto"/>
        <w:left w:val="none" w:sz="0" w:space="0" w:color="auto"/>
        <w:bottom w:val="none" w:sz="0" w:space="0" w:color="auto"/>
        <w:right w:val="none" w:sz="0" w:space="0" w:color="auto"/>
      </w:divBdr>
    </w:div>
    <w:div w:id="576134585">
      <w:bodyDiv w:val="1"/>
      <w:marLeft w:val="0"/>
      <w:marRight w:val="0"/>
      <w:marTop w:val="0"/>
      <w:marBottom w:val="0"/>
      <w:divBdr>
        <w:top w:val="none" w:sz="0" w:space="0" w:color="auto"/>
        <w:left w:val="none" w:sz="0" w:space="0" w:color="auto"/>
        <w:bottom w:val="none" w:sz="0" w:space="0" w:color="auto"/>
        <w:right w:val="none" w:sz="0" w:space="0" w:color="auto"/>
      </w:divBdr>
    </w:div>
    <w:div w:id="596445269">
      <w:bodyDiv w:val="1"/>
      <w:marLeft w:val="0"/>
      <w:marRight w:val="0"/>
      <w:marTop w:val="0"/>
      <w:marBottom w:val="0"/>
      <w:divBdr>
        <w:top w:val="none" w:sz="0" w:space="0" w:color="auto"/>
        <w:left w:val="none" w:sz="0" w:space="0" w:color="auto"/>
        <w:bottom w:val="none" w:sz="0" w:space="0" w:color="auto"/>
        <w:right w:val="none" w:sz="0" w:space="0" w:color="auto"/>
      </w:divBdr>
    </w:div>
    <w:div w:id="604581575">
      <w:bodyDiv w:val="1"/>
      <w:marLeft w:val="0"/>
      <w:marRight w:val="0"/>
      <w:marTop w:val="0"/>
      <w:marBottom w:val="0"/>
      <w:divBdr>
        <w:top w:val="none" w:sz="0" w:space="0" w:color="auto"/>
        <w:left w:val="none" w:sz="0" w:space="0" w:color="auto"/>
        <w:bottom w:val="none" w:sz="0" w:space="0" w:color="auto"/>
        <w:right w:val="none" w:sz="0" w:space="0" w:color="auto"/>
      </w:divBdr>
    </w:div>
    <w:div w:id="641154061">
      <w:bodyDiv w:val="1"/>
      <w:marLeft w:val="0"/>
      <w:marRight w:val="0"/>
      <w:marTop w:val="0"/>
      <w:marBottom w:val="0"/>
      <w:divBdr>
        <w:top w:val="none" w:sz="0" w:space="0" w:color="auto"/>
        <w:left w:val="none" w:sz="0" w:space="0" w:color="auto"/>
        <w:bottom w:val="none" w:sz="0" w:space="0" w:color="auto"/>
        <w:right w:val="none" w:sz="0" w:space="0" w:color="auto"/>
      </w:divBdr>
    </w:div>
    <w:div w:id="651788207">
      <w:bodyDiv w:val="1"/>
      <w:marLeft w:val="0"/>
      <w:marRight w:val="0"/>
      <w:marTop w:val="0"/>
      <w:marBottom w:val="0"/>
      <w:divBdr>
        <w:top w:val="none" w:sz="0" w:space="0" w:color="auto"/>
        <w:left w:val="none" w:sz="0" w:space="0" w:color="auto"/>
        <w:bottom w:val="none" w:sz="0" w:space="0" w:color="auto"/>
        <w:right w:val="none" w:sz="0" w:space="0" w:color="auto"/>
      </w:divBdr>
    </w:div>
    <w:div w:id="686950297">
      <w:bodyDiv w:val="1"/>
      <w:marLeft w:val="0"/>
      <w:marRight w:val="0"/>
      <w:marTop w:val="0"/>
      <w:marBottom w:val="0"/>
      <w:divBdr>
        <w:top w:val="none" w:sz="0" w:space="0" w:color="auto"/>
        <w:left w:val="none" w:sz="0" w:space="0" w:color="auto"/>
        <w:bottom w:val="none" w:sz="0" w:space="0" w:color="auto"/>
        <w:right w:val="none" w:sz="0" w:space="0" w:color="auto"/>
      </w:divBdr>
    </w:div>
    <w:div w:id="716705382">
      <w:bodyDiv w:val="1"/>
      <w:marLeft w:val="0"/>
      <w:marRight w:val="0"/>
      <w:marTop w:val="0"/>
      <w:marBottom w:val="0"/>
      <w:divBdr>
        <w:top w:val="none" w:sz="0" w:space="0" w:color="auto"/>
        <w:left w:val="none" w:sz="0" w:space="0" w:color="auto"/>
        <w:bottom w:val="none" w:sz="0" w:space="0" w:color="auto"/>
        <w:right w:val="none" w:sz="0" w:space="0" w:color="auto"/>
      </w:divBdr>
    </w:div>
    <w:div w:id="719551592">
      <w:bodyDiv w:val="1"/>
      <w:marLeft w:val="0"/>
      <w:marRight w:val="0"/>
      <w:marTop w:val="0"/>
      <w:marBottom w:val="0"/>
      <w:divBdr>
        <w:top w:val="none" w:sz="0" w:space="0" w:color="auto"/>
        <w:left w:val="none" w:sz="0" w:space="0" w:color="auto"/>
        <w:bottom w:val="none" w:sz="0" w:space="0" w:color="auto"/>
        <w:right w:val="none" w:sz="0" w:space="0" w:color="auto"/>
      </w:divBdr>
    </w:div>
    <w:div w:id="768159267">
      <w:bodyDiv w:val="1"/>
      <w:marLeft w:val="0"/>
      <w:marRight w:val="0"/>
      <w:marTop w:val="0"/>
      <w:marBottom w:val="0"/>
      <w:divBdr>
        <w:top w:val="none" w:sz="0" w:space="0" w:color="auto"/>
        <w:left w:val="none" w:sz="0" w:space="0" w:color="auto"/>
        <w:bottom w:val="none" w:sz="0" w:space="0" w:color="auto"/>
        <w:right w:val="none" w:sz="0" w:space="0" w:color="auto"/>
      </w:divBdr>
    </w:div>
    <w:div w:id="775758363">
      <w:bodyDiv w:val="1"/>
      <w:marLeft w:val="0"/>
      <w:marRight w:val="0"/>
      <w:marTop w:val="0"/>
      <w:marBottom w:val="0"/>
      <w:divBdr>
        <w:top w:val="none" w:sz="0" w:space="0" w:color="auto"/>
        <w:left w:val="none" w:sz="0" w:space="0" w:color="auto"/>
        <w:bottom w:val="none" w:sz="0" w:space="0" w:color="auto"/>
        <w:right w:val="none" w:sz="0" w:space="0" w:color="auto"/>
      </w:divBdr>
    </w:div>
    <w:div w:id="775835043">
      <w:bodyDiv w:val="1"/>
      <w:marLeft w:val="0"/>
      <w:marRight w:val="0"/>
      <w:marTop w:val="0"/>
      <w:marBottom w:val="0"/>
      <w:divBdr>
        <w:top w:val="none" w:sz="0" w:space="0" w:color="auto"/>
        <w:left w:val="none" w:sz="0" w:space="0" w:color="auto"/>
        <w:bottom w:val="none" w:sz="0" w:space="0" w:color="auto"/>
        <w:right w:val="none" w:sz="0" w:space="0" w:color="auto"/>
      </w:divBdr>
    </w:div>
    <w:div w:id="812259928">
      <w:bodyDiv w:val="1"/>
      <w:marLeft w:val="0"/>
      <w:marRight w:val="0"/>
      <w:marTop w:val="0"/>
      <w:marBottom w:val="0"/>
      <w:divBdr>
        <w:top w:val="none" w:sz="0" w:space="0" w:color="auto"/>
        <w:left w:val="none" w:sz="0" w:space="0" w:color="auto"/>
        <w:bottom w:val="none" w:sz="0" w:space="0" w:color="auto"/>
        <w:right w:val="none" w:sz="0" w:space="0" w:color="auto"/>
      </w:divBdr>
    </w:div>
    <w:div w:id="836308796">
      <w:bodyDiv w:val="1"/>
      <w:marLeft w:val="0"/>
      <w:marRight w:val="0"/>
      <w:marTop w:val="0"/>
      <w:marBottom w:val="0"/>
      <w:divBdr>
        <w:top w:val="none" w:sz="0" w:space="0" w:color="auto"/>
        <w:left w:val="none" w:sz="0" w:space="0" w:color="auto"/>
        <w:bottom w:val="none" w:sz="0" w:space="0" w:color="auto"/>
        <w:right w:val="none" w:sz="0" w:space="0" w:color="auto"/>
      </w:divBdr>
    </w:div>
    <w:div w:id="845486405">
      <w:bodyDiv w:val="1"/>
      <w:marLeft w:val="0"/>
      <w:marRight w:val="0"/>
      <w:marTop w:val="0"/>
      <w:marBottom w:val="0"/>
      <w:divBdr>
        <w:top w:val="none" w:sz="0" w:space="0" w:color="auto"/>
        <w:left w:val="none" w:sz="0" w:space="0" w:color="auto"/>
        <w:bottom w:val="none" w:sz="0" w:space="0" w:color="auto"/>
        <w:right w:val="none" w:sz="0" w:space="0" w:color="auto"/>
      </w:divBdr>
    </w:div>
    <w:div w:id="850342537">
      <w:bodyDiv w:val="1"/>
      <w:marLeft w:val="0"/>
      <w:marRight w:val="0"/>
      <w:marTop w:val="0"/>
      <w:marBottom w:val="0"/>
      <w:divBdr>
        <w:top w:val="none" w:sz="0" w:space="0" w:color="auto"/>
        <w:left w:val="none" w:sz="0" w:space="0" w:color="auto"/>
        <w:bottom w:val="none" w:sz="0" w:space="0" w:color="auto"/>
        <w:right w:val="none" w:sz="0" w:space="0" w:color="auto"/>
      </w:divBdr>
    </w:div>
    <w:div w:id="893154804">
      <w:bodyDiv w:val="1"/>
      <w:marLeft w:val="0"/>
      <w:marRight w:val="0"/>
      <w:marTop w:val="0"/>
      <w:marBottom w:val="0"/>
      <w:divBdr>
        <w:top w:val="none" w:sz="0" w:space="0" w:color="auto"/>
        <w:left w:val="none" w:sz="0" w:space="0" w:color="auto"/>
        <w:bottom w:val="none" w:sz="0" w:space="0" w:color="auto"/>
        <w:right w:val="none" w:sz="0" w:space="0" w:color="auto"/>
      </w:divBdr>
    </w:div>
    <w:div w:id="901251177">
      <w:bodyDiv w:val="1"/>
      <w:marLeft w:val="0"/>
      <w:marRight w:val="0"/>
      <w:marTop w:val="0"/>
      <w:marBottom w:val="0"/>
      <w:divBdr>
        <w:top w:val="none" w:sz="0" w:space="0" w:color="auto"/>
        <w:left w:val="none" w:sz="0" w:space="0" w:color="auto"/>
        <w:bottom w:val="none" w:sz="0" w:space="0" w:color="auto"/>
        <w:right w:val="none" w:sz="0" w:space="0" w:color="auto"/>
      </w:divBdr>
    </w:div>
    <w:div w:id="937711592">
      <w:bodyDiv w:val="1"/>
      <w:marLeft w:val="0"/>
      <w:marRight w:val="0"/>
      <w:marTop w:val="0"/>
      <w:marBottom w:val="0"/>
      <w:divBdr>
        <w:top w:val="none" w:sz="0" w:space="0" w:color="auto"/>
        <w:left w:val="none" w:sz="0" w:space="0" w:color="auto"/>
        <w:bottom w:val="none" w:sz="0" w:space="0" w:color="auto"/>
        <w:right w:val="none" w:sz="0" w:space="0" w:color="auto"/>
      </w:divBdr>
    </w:div>
    <w:div w:id="960039579">
      <w:bodyDiv w:val="1"/>
      <w:marLeft w:val="0"/>
      <w:marRight w:val="0"/>
      <w:marTop w:val="0"/>
      <w:marBottom w:val="0"/>
      <w:divBdr>
        <w:top w:val="none" w:sz="0" w:space="0" w:color="auto"/>
        <w:left w:val="none" w:sz="0" w:space="0" w:color="auto"/>
        <w:bottom w:val="none" w:sz="0" w:space="0" w:color="auto"/>
        <w:right w:val="none" w:sz="0" w:space="0" w:color="auto"/>
      </w:divBdr>
    </w:div>
    <w:div w:id="990794495">
      <w:bodyDiv w:val="1"/>
      <w:marLeft w:val="0"/>
      <w:marRight w:val="0"/>
      <w:marTop w:val="0"/>
      <w:marBottom w:val="0"/>
      <w:divBdr>
        <w:top w:val="none" w:sz="0" w:space="0" w:color="auto"/>
        <w:left w:val="none" w:sz="0" w:space="0" w:color="auto"/>
        <w:bottom w:val="none" w:sz="0" w:space="0" w:color="auto"/>
        <w:right w:val="none" w:sz="0" w:space="0" w:color="auto"/>
      </w:divBdr>
    </w:div>
    <w:div w:id="1000737428">
      <w:bodyDiv w:val="1"/>
      <w:marLeft w:val="0"/>
      <w:marRight w:val="0"/>
      <w:marTop w:val="0"/>
      <w:marBottom w:val="0"/>
      <w:divBdr>
        <w:top w:val="none" w:sz="0" w:space="0" w:color="auto"/>
        <w:left w:val="none" w:sz="0" w:space="0" w:color="auto"/>
        <w:bottom w:val="none" w:sz="0" w:space="0" w:color="auto"/>
        <w:right w:val="none" w:sz="0" w:space="0" w:color="auto"/>
      </w:divBdr>
    </w:div>
    <w:div w:id="1011302341">
      <w:bodyDiv w:val="1"/>
      <w:marLeft w:val="0"/>
      <w:marRight w:val="0"/>
      <w:marTop w:val="0"/>
      <w:marBottom w:val="0"/>
      <w:divBdr>
        <w:top w:val="none" w:sz="0" w:space="0" w:color="auto"/>
        <w:left w:val="none" w:sz="0" w:space="0" w:color="auto"/>
        <w:bottom w:val="none" w:sz="0" w:space="0" w:color="auto"/>
        <w:right w:val="none" w:sz="0" w:space="0" w:color="auto"/>
      </w:divBdr>
    </w:div>
    <w:div w:id="1037196896">
      <w:bodyDiv w:val="1"/>
      <w:marLeft w:val="0"/>
      <w:marRight w:val="0"/>
      <w:marTop w:val="0"/>
      <w:marBottom w:val="0"/>
      <w:divBdr>
        <w:top w:val="none" w:sz="0" w:space="0" w:color="auto"/>
        <w:left w:val="none" w:sz="0" w:space="0" w:color="auto"/>
        <w:bottom w:val="none" w:sz="0" w:space="0" w:color="auto"/>
        <w:right w:val="none" w:sz="0" w:space="0" w:color="auto"/>
      </w:divBdr>
    </w:div>
    <w:div w:id="1043209617">
      <w:bodyDiv w:val="1"/>
      <w:marLeft w:val="0"/>
      <w:marRight w:val="0"/>
      <w:marTop w:val="0"/>
      <w:marBottom w:val="0"/>
      <w:divBdr>
        <w:top w:val="none" w:sz="0" w:space="0" w:color="auto"/>
        <w:left w:val="none" w:sz="0" w:space="0" w:color="auto"/>
        <w:bottom w:val="none" w:sz="0" w:space="0" w:color="auto"/>
        <w:right w:val="none" w:sz="0" w:space="0" w:color="auto"/>
      </w:divBdr>
    </w:div>
    <w:div w:id="1095320843">
      <w:bodyDiv w:val="1"/>
      <w:marLeft w:val="0"/>
      <w:marRight w:val="0"/>
      <w:marTop w:val="0"/>
      <w:marBottom w:val="0"/>
      <w:divBdr>
        <w:top w:val="none" w:sz="0" w:space="0" w:color="auto"/>
        <w:left w:val="none" w:sz="0" w:space="0" w:color="auto"/>
        <w:bottom w:val="none" w:sz="0" w:space="0" w:color="auto"/>
        <w:right w:val="none" w:sz="0" w:space="0" w:color="auto"/>
      </w:divBdr>
    </w:div>
    <w:div w:id="1115445023">
      <w:bodyDiv w:val="1"/>
      <w:marLeft w:val="0"/>
      <w:marRight w:val="0"/>
      <w:marTop w:val="0"/>
      <w:marBottom w:val="0"/>
      <w:divBdr>
        <w:top w:val="none" w:sz="0" w:space="0" w:color="auto"/>
        <w:left w:val="none" w:sz="0" w:space="0" w:color="auto"/>
        <w:bottom w:val="none" w:sz="0" w:space="0" w:color="auto"/>
        <w:right w:val="none" w:sz="0" w:space="0" w:color="auto"/>
      </w:divBdr>
    </w:div>
    <w:div w:id="1154033411">
      <w:bodyDiv w:val="1"/>
      <w:marLeft w:val="0"/>
      <w:marRight w:val="0"/>
      <w:marTop w:val="0"/>
      <w:marBottom w:val="0"/>
      <w:divBdr>
        <w:top w:val="none" w:sz="0" w:space="0" w:color="auto"/>
        <w:left w:val="none" w:sz="0" w:space="0" w:color="auto"/>
        <w:bottom w:val="none" w:sz="0" w:space="0" w:color="auto"/>
        <w:right w:val="none" w:sz="0" w:space="0" w:color="auto"/>
      </w:divBdr>
    </w:div>
    <w:div w:id="1185905074">
      <w:bodyDiv w:val="1"/>
      <w:marLeft w:val="0"/>
      <w:marRight w:val="0"/>
      <w:marTop w:val="0"/>
      <w:marBottom w:val="0"/>
      <w:divBdr>
        <w:top w:val="none" w:sz="0" w:space="0" w:color="auto"/>
        <w:left w:val="none" w:sz="0" w:space="0" w:color="auto"/>
        <w:bottom w:val="none" w:sz="0" w:space="0" w:color="auto"/>
        <w:right w:val="none" w:sz="0" w:space="0" w:color="auto"/>
      </w:divBdr>
    </w:div>
    <w:div w:id="1198087235">
      <w:bodyDiv w:val="1"/>
      <w:marLeft w:val="0"/>
      <w:marRight w:val="0"/>
      <w:marTop w:val="0"/>
      <w:marBottom w:val="0"/>
      <w:divBdr>
        <w:top w:val="none" w:sz="0" w:space="0" w:color="auto"/>
        <w:left w:val="none" w:sz="0" w:space="0" w:color="auto"/>
        <w:bottom w:val="none" w:sz="0" w:space="0" w:color="auto"/>
        <w:right w:val="none" w:sz="0" w:space="0" w:color="auto"/>
      </w:divBdr>
    </w:div>
    <w:div w:id="1207252199">
      <w:bodyDiv w:val="1"/>
      <w:marLeft w:val="0"/>
      <w:marRight w:val="0"/>
      <w:marTop w:val="0"/>
      <w:marBottom w:val="0"/>
      <w:divBdr>
        <w:top w:val="none" w:sz="0" w:space="0" w:color="auto"/>
        <w:left w:val="none" w:sz="0" w:space="0" w:color="auto"/>
        <w:bottom w:val="none" w:sz="0" w:space="0" w:color="auto"/>
        <w:right w:val="none" w:sz="0" w:space="0" w:color="auto"/>
      </w:divBdr>
    </w:div>
    <w:div w:id="1234967197">
      <w:bodyDiv w:val="1"/>
      <w:marLeft w:val="0"/>
      <w:marRight w:val="0"/>
      <w:marTop w:val="0"/>
      <w:marBottom w:val="0"/>
      <w:divBdr>
        <w:top w:val="none" w:sz="0" w:space="0" w:color="auto"/>
        <w:left w:val="none" w:sz="0" w:space="0" w:color="auto"/>
        <w:bottom w:val="none" w:sz="0" w:space="0" w:color="auto"/>
        <w:right w:val="none" w:sz="0" w:space="0" w:color="auto"/>
      </w:divBdr>
    </w:div>
    <w:div w:id="1265074049">
      <w:bodyDiv w:val="1"/>
      <w:marLeft w:val="0"/>
      <w:marRight w:val="0"/>
      <w:marTop w:val="0"/>
      <w:marBottom w:val="0"/>
      <w:divBdr>
        <w:top w:val="none" w:sz="0" w:space="0" w:color="auto"/>
        <w:left w:val="none" w:sz="0" w:space="0" w:color="auto"/>
        <w:bottom w:val="none" w:sz="0" w:space="0" w:color="auto"/>
        <w:right w:val="none" w:sz="0" w:space="0" w:color="auto"/>
      </w:divBdr>
    </w:div>
    <w:div w:id="1282154651">
      <w:bodyDiv w:val="1"/>
      <w:marLeft w:val="0"/>
      <w:marRight w:val="0"/>
      <w:marTop w:val="0"/>
      <w:marBottom w:val="0"/>
      <w:divBdr>
        <w:top w:val="none" w:sz="0" w:space="0" w:color="auto"/>
        <w:left w:val="none" w:sz="0" w:space="0" w:color="auto"/>
        <w:bottom w:val="none" w:sz="0" w:space="0" w:color="auto"/>
        <w:right w:val="none" w:sz="0" w:space="0" w:color="auto"/>
      </w:divBdr>
    </w:div>
    <w:div w:id="1294480727">
      <w:bodyDiv w:val="1"/>
      <w:marLeft w:val="0"/>
      <w:marRight w:val="0"/>
      <w:marTop w:val="0"/>
      <w:marBottom w:val="0"/>
      <w:divBdr>
        <w:top w:val="none" w:sz="0" w:space="0" w:color="auto"/>
        <w:left w:val="none" w:sz="0" w:space="0" w:color="auto"/>
        <w:bottom w:val="none" w:sz="0" w:space="0" w:color="auto"/>
        <w:right w:val="none" w:sz="0" w:space="0" w:color="auto"/>
      </w:divBdr>
    </w:div>
    <w:div w:id="1296526062">
      <w:bodyDiv w:val="1"/>
      <w:marLeft w:val="0"/>
      <w:marRight w:val="0"/>
      <w:marTop w:val="0"/>
      <w:marBottom w:val="0"/>
      <w:divBdr>
        <w:top w:val="none" w:sz="0" w:space="0" w:color="auto"/>
        <w:left w:val="none" w:sz="0" w:space="0" w:color="auto"/>
        <w:bottom w:val="none" w:sz="0" w:space="0" w:color="auto"/>
        <w:right w:val="none" w:sz="0" w:space="0" w:color="auto"/>
      </w:divBdr>
    </w:div>
    <w:div w:id="1389257293">
      <w:bodyDiv w:val="1"/>
      <w:marLeft w:val="0"/>
      <w:marRight w:val="0"/>
      <w:marTop w:val="0"/>
      <w:marBottom w:val="0"/>
      <w:divBdr>
        <w:top w:val="none" w:sz="0" w:space="0" w:color="auto"/>
        <w:left w:val="none" w:sz="0" w:space="0" w:color="auto"/>
        <w:bottom w:val="none" w:sz="0" w:space="0" w:color="auto"/>
        <w:right w:val="none" w:sz="0" w:space="0" w:color="auto"/>
      </w:divBdr>
    </w:div>
    <w:div w:id="1392968968">
      <w:bodyDiv w:val="1"/>
      <w:marLeft w:val="0"/>
      <w:marRight w:val="0"/>
      <w:marTop w:val="0"/>
      <w:marBottom w:val="0"/>
      <w:divBdr>
        <w:top w:val="none" w:sz="0" w:space="0" w:color="auto"/>
        <w:left w:val="none" w:sz="0" w:space="0" w:color="auto"/>
        <w:bottom w:val="none" w:sz="0" w:space="0" w:color="auto"/>
        <w:right w:val="none" w:sz="0" w:space="0" w:color="auto"/>
      </w:divBdr>
    </w:div>
    <w:div w:id="1397703627">
      <w:bodyDiv w:val="1"/>
      <w:marLeft w:val="0"/>
      <w:marRight w:val="0"/>
      <w:marTop w:val="0"/>
      <w:marBottom w:val="0"/>
      <w:divBdr>
        <w:top w:val="none" w:sz="0" w:space="0" w:color="auto"/>
        <w:left w:val="none" w:sz="0" w:space="0" w:color="auto"/>
        <w:bottom w:val="none" w:sz="0" w:space="0" w:color="auto"/>
        <w:right w:val="none" w:sz="0" w:space="0" w:color="auto"/>
      </w:divBdr>
    </w:div>
    <w:div w:id="1404990067">
      <w:bodyDiv w:val="1"/>
      <w:marLeft w:val="0"/>
      <w:marRight w:val="0"/>
      <w:marTop w:val="0"/>
      <w:marBottom w:val="0"/>
      <w:divBdr>
        <w:top w:val="none" w:sz="0" w:space="0" w:color="auto"/>
        <w:left w:val="none" w:sz="0" w:space="0" w:color="auto"/>
        <w:bottom w:val="none" w:sz="0" w:space="0" w:color="auto"/>
        <w:right w:val="none" w:sz="0" w:space="0" w:color="auto"/>
      </w:divBdr>
    </w:div>
    <w:div w:id="1429694291">
      <w:bodyDiv w:val="1"/>
      <w:marLeft w:val="0"/>
      <w:marRight w:val="0"/>
      <w:marTop w:val="0"/>
      <w:marBottom w:val="0"/>
      <w:divBdr>
        <w:top w:val="none" w:sz="0" w:space="0" w:color="auto"/>
        <w:left w:val="none" w:sz="0" w:space="0" w:color="auto"/>
        <w:bottom w:val="none" w:sz="0" w:space="0" w:color="auto"/>
        <w:right w:val="none" w:sz="0" w:space="0" w:color="auto"/>
      </w:divBdr>
    </w:div>
    <w:div w:id="1430420429">
      <w:bodyDiv w:val="1"/>
      <w:marLeft w:val="0"/>
      <w:marRight w:val="0"/>
      <w:marTop w:val="0"/>
      <w:marBottom w:val="0"/>
      <w:divBdr>
        <w:top w:val="none" w:sz="0" w:space="0" w:color="auto"/>
        <w:left w:val="none" w:sz="0" w:space="0" w:color="auto"/>
        <w:bottom w:val="none" w:sz="0" w:space="0" w:color="auto"/>
        <w:right w:val="none" w:sz="0" w:space="0" w:color="auto"/>
      </w:divBdr>
    </w:div>
    <w:div w:id="1461341093">
      <w:bodyDiv w:val="1"/>
      <w:marLeft w:val="0"/>
      <w:marRight w:val="0"/>
      <w:marTop w:val="0"/>
      <w:marBottom w:val="0"/>
      <w:divBdr>
        <w:top w:val="none" w:sz="0" w:space="0" w:color="auto"/>
        <w:left w:val="none" w:sz="0" w:space="0" w:color="auto"/>
        <w:bottom w:val="none" w:sz="0" w:space="0" w:color="auto"/>
        <w:right w:val="none" w:sz="0" w:space="0" w:color="auto"/>
      </w:divBdr>
    </w:div>
    <w:div w:id="1468546754">
      <w:bodyDiv w:val="1"/>
      <w:marLeft w:val="0"/>
      <w:marRight w:val="0"/>
      <w:marTop w:val="0"/>
      <w:marBottom w:val="0"/>
      <w:divBdr>
        <w:top w:val="none" w:sz="0" w:space="0" w:color="auto"/>
        <w:left w:val="none" w:sz="0" w:space="0" w:color="auto"/>
        <w:bottom w:val="none" w:sz="0" w:space="0" w:color="auto"/>
        <w:right w:val="none" w:sz="0" w:space="0" w:color="auto"/>
      </w:divBdr>
    </w:div>
    <w:div w:id="1493332429">
      <w:bodyDiv w:val="1"/>
      <w:marLeft w:val="0"/>
      <w:marRight w:val="0"/>
      <w:marTop w:val="0"/>
      <w:marBottom w:val="0"/>
      <w:divBdr>
        <w:top w:val="none" w:sz="0" w:space="0" w:color="auto"/>
        <w:left w:val="none" w:sz="0" w:space="0" w:color="auto"/>
        <w:bottom w:val="none" w:sz="0" w:space="0" w:color="auto"/>
        <w:right w:val="none" w:sz="0" w:space="0" w:color="auto"/>
      </w:divBdr>
    </w:div>
    <w:div w:id="1507793962">
      <w:bodyDiv w:val="1"/>
      <w:marLeft w:val="0"/>
      <w:marRight w:val="0"/>
      <w:marTop w:val="0"/>
      <w:marBottom w:val="0"/>
      <w:divBdr>
        <w:top w:val="none" w:sz="0" w:space="0" w:color="auto"/>
        <w:left w:val="none" w:sz="0" w:space="0" w:color="auto"/>
        <w:bottom w:val="none" w:sz="0" w:space="0" w:color="auto"/>
        <w:right w:val="none" w:sz="0" w:space="0" w:color="auto"/>
      </w:divBdr>
    </w:div>
    <w:div w:id="1594124303">
      <w:bodyDiv w:val="1"/>
      <w:marLeft w:val="0"/>
      <w:marRight w:val="0"/>
      <w:marTop w:val="0"/>
      <w:marBottom w:val="0"/>
      <w:divBdr>
        <w:top w:val="none" w:sz="0" w:space="0" w:color="auto"/>
        <w:left w:val="none" w:sz="0" w:space="0" w:color="auto"/>
        <w:bottom w:val="none" w:sz="0" w:space="0" w:color="auto"/>
        <w:right w:val="none" w:sz="0" w:space="0" w:color="auto"/>
      </w:divBdr>
    </w:div>
    <w:div w:id="1611013285">
      <w:bodyDiv w:val="1"/>
      <w:marLeft w:val="0"/>
      <w:marRight w:val="0"/>
      <w:marTop w:val="0"/>
      <w:marBottom w:val="0"/>
      <w:divBdr>
        <w:top w:val="none" w:sz="0" w:space="0" w:color="auto"/>
        <w:left w:val="none" w:sz="0" w:space="0" w:color="auto"/>
        <w:bottom w:val="none" w:sz="0" w:space="0" w:color="auto"/>
        <w:right w:val="none" w:sz="0" w:space="0" w:color="auto"/>
      </w:divBdr>
    </w:div>
    <w:div w:id="1615209440">
      <w:bodyDiv w:val="1"/>
      <w:marLeft w:val="0"/>
      <w:marRight w:val="0"/>
      <w:marTop w:val="0"/>
      <w:marBottom w:val="0"/>
      <w:divBdr>
        <w:top w:val="none" w:sz="0" w:space="0" w:color="auto"/>
        <w:left w:val="none" w:sz="0" w:space="0" w:color="auto"/>
        <w:bottom w:val="none" w:sz="0" w:space="0" w:color="auto"/>
        <w:right w:val="none" w:sz="0" w:space="0" w:color="auto"/>
      </w:divBdr>
    </w:div>
    <w:div w:id="1639795843">
      <w:bodyDiv w:val="1"/>
      <w:marLeft w:val="0"/>
      <w:marRight w:val="0"/>
      <w:marTop w:val="0"/>
      <w:marBottom w:val="0"/>
      <w:divBdr>
        <w:top w:val="none" w:sz="0" w:space="0" w:color="auto"/>
        <w:left w:val="none" w:sz="0" w:space="0" w:color="auto"/>
        <w:bottom w:val="none" w:sz="0" w:space="0" w:color="auto"/>
        <w:right w:val="none" w:sz="0" w:space="0" w:color="auto"/>
      </w:divBdr>
    </w:div>
    <w:div w:id="1645811258">
      <w:bodyDiv w:val="1"/>
      <w:marLeft w:val="0"/>
      <w:marRight w:val="0"/>
      <w:marTop w:val="0"/>
      <w:marBottom w:val="0"/>
      <w:divBdr>
        <w:top w:val="none" w:sz="0" w:space="0" w:color="auto"/>
        <w:left w:val="none" w:sz="0" w:space="0" w:color="auto"/>
        <w:bottom w:val="none" w:sz="0" w:space="0" w:color="auto"/>
        <w:right w:val="none" w:sz="0" w:space="0" w:color="auto"/>
      </w:divBdr>
    </w:div>
    <w:div w:id="1651712236">
      <w:bodyDiv w:val="1"/>
      <w:marLeft w:val="0"/>
      <w:marRight w:val="0"/>
      <w:marTop w:val="0"/>
      <w:marBottom w:val="0"/>
      <w:divBdr>
        <w:top w:val="none" w:sz="0" w:space="0" w:color="auto"/>
        <w:left w:val="none" w:sz="0" w:space="0" w:color="auto"/>
        <w:bottom w:val="none" w:sz="0" w:space="0" w:color="auto"/>
        <w:right w:val="none" w:sz="0" w:space="0" w:color="auto"/>
      </w:divBdr>
    </w:div>
    <w:div w:id="1674604773">
      <w:bodyDiv w:val="1"/>
      <w:marLeft w:val="0"/>
      <w:marRight w:val="0"/>
      <w:marTop w:val="0"/>
      <w:marBottom w:val="0"/>
      <w:divBdr>
        <w:top w:val="none" w:sz="0" w:space="0" w:color="auto"/>
        <w:left w:val="none" w:sz="0" w:space="0" w:color="auto"/>
        <w:bottom w:val="none" w:sz="0" w:space="0" w:color="auto"/>
        <w:right w:val="none" w:sz="0" w:space="0" w:color="auto"/>
      </w:divBdr>
    </w:div>
    <w:div w:id="1694334174">
      <w:bodyDiv w:val="1"/>
      <w:marLeft w:val="0"/>
      <w:marRight w:val="0"/>
      <w:marTop w:val="0"/>
      <w:marBottom w:val="0"/>
      <w:divBdr>
        <w:top w:val="none" w:sz="0" w:space="0" w:color="auto"/>
        <w:left w:val="none" w:sz="0" w:space="0" w:color="auto"/>
        <w:bottom w:val="none" w:sz="0" w:space="0" w:color="auto"/>
        <w:right w:val="none" w:sz="0" w:space="0" w:color="auto"/>
      </w:divBdr>
    </w:div>
    <w:div w:id="1702977027">
      <w:bodyDiv w:val="1"/>
      <w:marLeft w:val="0"/>
      <w:marRight w:val="0"/>
      <w:marTop w:val="0"/>
      <w:marBottom w:val="0"/>
      <w:divBdr>
        <w:top w:val="none" w:sz="0" w:space="0" w:color="auto"/>
        <w:left w:val="none" w:sz="0" w:space="0" w:color="auto"/>
        <w:bottom w:val="none" w:sz="0" w:space="0" w:color="auto"/>
        <w:right w:val="none" w:sz="0" w:space="0" w:color="auto"/>
      </w:divBdr>
    </w:div>
    <w:div w:id="1714771540">
      <w:bodyDiv w:val="1"/>
      <w:marLeft w:val="0"/>
      <w:marRight w:val="0"/>
      <w:marTop w:val="0"/>
      <w:marBottom w:val="0"/>
      <w:divBdr>
        <w:top w:val="none" w:sz="0" w:space="0" w:color="auto"/>
        <w:left w:val="none" w:sz="0" w:space="0" w:color="auto"/>
        <w:bottom w:val="none" w:sz="0" w:space="0" w:color="auto"/>
        <w:right w:val="none" w:sz="0" w:space="0" w:color="auto"/>
      </w:divBdr>
    </w:div>
    <w:div w:id="1717970674">
      <w:bodyDiv w:val="1"/>
      <w:marLeft w:val="0"/>
      <w:marRight w:val="0"/>
      <w:marTop w:val="0"/>
      <w:marBottom w:val="0"/>
      <w:divBdr>
        <w:top w:val="none" w:sz="0" w:space="0" w:color="auto"/>
        <w:left w:val="none" w:sz="0" w:space="0" w:color="auto"/>
        <w:bottom w:val="none" w:sz="0" w:space="0" w:color="auto"/>
        <w:right w:val="none" w:sz="0" w:space="0" w:color="auto"/>
      </w:divBdr>
    </w:div>
    <w:div w:id="1718627999">
      <w:bodyDiv w:val="1"/>
      <w:marLeft w:val="0"/>
      <w:marRight w:val="0"/>
      <w:marTop w:val="0"/>
      <w:marBottom w:val="0"/>
      <w:divBdr>
        <w:top w:val="none" w:sz="0" w:space="0" w:color="auto"/>
        <w:left w:val="none" w:sz="0" w:space="0" w:color="auto"/>
        <w:bottom w:val="none" w:sz="0" w:space="0" w:color="auto"/>
        <w:right w:val="none" w:sz="0" w:space="0" w:color="auto"/>
      </w:divBdr>
    </w:div>
    <w:div w:id="1760364207">
      <w:bodyDiv w:val="1"/>
      <w:marLeft w:val="0"/>
      <w:marRight w:val="0"/>
      <w:marTop w:val="0"/>
      <w:marBottom w:val="0"/>
      <w:divBdr>
        <w:top w:val="none" w:sz="0" w:space="0" w:color="auto"/>
        <w:left w:val="none" w:sz="0" w:space="0" w:color="auto"/>
        <w:bottom w:val="none" w:sz="0" w:space="0" w:color="auto"/>
        <w:right w:val="none" w:sz="0" w:space="0" w:color="auto"/>
      </w:divBdr>
    </w:div>
    <w:div w:id="1788500207">
      <w:bodyDiv w:val="1"/>
      <w:marLeft w:val="0"/>
      <w:marRight w:val="0"/>
      <w:marTop w:val="0"/>
      <w:marBottom w:val="0"/>
      <w:divBdr>
        <w:top w:val="none" w:sz="0" w:space="0" w:color="auto"/>
        <w:left w:val="none" w:sz="0" w:space="0" w:color="auto"/>
        <w:bottom w:val="none" w:sz="0" w:space="0" w:color="auto"/>
        <w:right w:val="none" w:sz="0" w:space="0" w:color="auto"/>
      </w:divBdr>
    </w:div>
    <w:div w:id="1791583748">
      <w:bodyDiv w:val="1"/>
      <w:marLeft w:val="0"/>
      <w:marRight w:val="0"/>
      <w:marTop w:val="0"/>
      <w:marBottom w:val="0"/>
      <w:divBdr>
        <w:top w:val="none" w:sz="0" w:space="0" w:color="auto"/>
        <w:left w:val="none" w:sz="0" w:space="0" w:color="auto"/>
        <w:bottom w:val="none" w:sz="0" w:space="0" w:color="auto"/>
        <w:right w:val="none" w:sz="0" w:space="0" w:color="auto"/>
      </w:divBdr>
    </w:div>
    <w:div w:id="1820268103">
      <w:bodyDiv w:val="1"/>
      <w:marLeft w:val="0"/>
      <w:marRight w:val="0"/>
      <w:marTop w:val="0"/>
      <w:marBottom w:val="0"/>
      <w:divBdr>
        <w:top w:val="none" w:sz="0" w:space="0" w:color="auto"/>
        <w:left w:val="none" w:sz="0" w:space="0" w:color="auto"/>
        <w:bottom w:val="none" w:sz="0" w:space="0" w:color="auto"/>
        <w:right w:val="none" w:sz="0" w:space="0" w:color="auto"/>
      </w:divBdr>
    </w:div>
    <w:div w:id="1870605754">
      <w:bodyDiv w:val="1"/>
      <w:marLeft w:val="0"/>
      <w:marRight w:val="0"/>
      <w:marTop w:val="0"/>
      <w:marBottom w:val="0"/>
      <w:divBdr>
        <w:top w:val="none" w:sz="0" w:space="0" w:color="auto"/>
        <w:left w:val="none" w:sz="0" w:space="0" w:color="auto"/>
        <w:bottom w:val="none" w:sz="0" w:space="0" w:color="auto"/>
        <w:right w:val="none" w:sz="0" w:space="0" w:color="auto"/>
      </w:divBdr>
    </w:div>
    <w:div w:id="1871601511">
      <w:bodyDiv w:val="1"/>
      <w:marLeft w:val="0"/>
      <w:marRight w:val="0"/>
      <w:marTop w:val="0"/>
      <w:marBottom w:val="0"/>
      <w:divBdr>
        <w:top w:val="none" w:sz="0" w:space="0" w:color="auto"/>
        <w:left w:val="none" w:sz="0" w:space="0" w:color="auto"/>
        <w:bottom w:val="none" w:sz="0" w:space="0" w:color="auto"/>
        <w:right w:val="none" w:sz="0" w:space="0" w:color="auto"/>
      </w:divBdr>
    </w:div>
    <w:div w:id="1914509998">
      <w:bodyDiv w:val="1"/>
      <w:marLeft w:val="0"/>
      <w:marRight w:val="0"/>
      <w:marTop w:val="0"/>
      <w:marBottom w:val="0"/>
      <w:divBdr>
        <w:top w:val="none" w:sz="0" w:space="0" w:color="auto"/>
        <w:left w:val="none" w:sz="0" w:space="0" w:color="auto"/>
        <w:bottom w:val="none" w:sz="0" w:space="0" w:color="auto"/>
        <w:right w:val="none" w:sz="0" w:space="0" w:color="auto"/>
      </w:divBdr>
    </w:div>
    <w:div w:id="1919703644">
      <w:bodyDiv w:val="1"/>
      <w:marLeft w:val="0"/>
      <w:marRight w:val="0"/>
      <w:marTop w:val="0"/>
      <w:marBottom w:val="0"/>
      <w:divBdr>
        <w:top w:val="none" w:sz="0" w:space="0" w:color="auto"/>
        <w:left w:val="none" w:sz="0" w:space="0" w:color="auto"/>
        <w:bottom w:val="none" w:sz="0" w:space="0" w:color="auto"/>
        <w:right w:val="none" w:sz="0" w:space="0" w:color="auto"/>
      </w:divBdr>
    </w:div>
    <w:div w:id="1963149470">
      <w:bodyDiv w:val="1"/>
      <w:marLeft w:val="0"/>
      <w:marRight w:val="0"/>
      <w:marTop w:val="0"/>
      <w:marBottom w:val="0"/>
      <w:divBdr>
        <w:top w:val="none" w:sz="0" w:space="0" w:color="auto"/>
        <w:left w:val="none" w:sz="0" w:space="0" w:color="auto"/>
        <w:bottom w:val="none" w:sz="0" w:space="0" w:color="auto"/>
        <w:right w:val="none" w:sz="0" w:space="0" w:color="auto"/>
      </w:divBdr>
    </w:div>
    <w:div w:id="1981298860">
      <w:bodyDiv w:val="1"/>
      <w:marLeft w:val="0"/>
      <w:marRight w:val="0"/>
      <w:marTop w:val="0"/>
      <w:marBottom w:val="0"/>
      <w:divBdr>
        <w:top w:val="none" w:sz="0" w:space="0" w:color="auto"/>
        <w:left w:val="none" w:sz="0" w:space="0" w:color="auto"/>
        <w:bottom w:val="none" w:sz="0" w:space="0" w:color="auto"/>
        <w:right w:val="none" w:sz="0" w:space="0" w:color="auto"/>
      </w:divBdr>
    </w:div>
    <w:div w:id="2027242316">
      <w:bodyDiv w:val="1"/>
      <w:marLeft w:val="0"/>
      <w:marRight w:val="0"/>
      <w:marTop w:val="0"/>
      <w:marBottom w:val="0"/>
      <w:divBdr>
        <w:top w:val="none" w:sz="0" w:space="0" w:color="auto"/>
        <w:left w:val="none" w:sz="0" w:space="0" w:color="auto"/>
        <w:bottom w:val="none" w:sz="0" w:space="0" w:color="auto"/>
        <w:right w:val="none" w:sz="0" w:space="0" w:color="auto"/>
      </w:divBdr>
    </w:div>
    <w:div w:id="2029721901">
      <w:bodyDiv w:val="1"/>
      <w:marLeft w:val="0"/>
      <w:marRight w:val="0"/>
      <w:marTop w:val="0"/>
      <w:marBottom w:val="0"/>
      <w:divBdr>
        <w:top w:val="none" w:sz="0" w:space="0" w:color="auto"/>
        <w:left w:val="none" w:sz="0" w:space="0" w:color="auto"/>
        <w:bottom w:val="none" w:sz="0" w:space="0" w:color="auto"/>
        <w:right w:val="none" w:sz="0" w:space="0" w:color="auto"/>
      </w:divBdr>
    </w:div>
    <w:div w:id="2135370551">
      <w:bodyDiv w:val="1"/>
      <w:marLeft w:val="0"/>
      <w:marRight w:val="0"/>
      <w:marTop w:val="0"/>
      <w:marBottom w:val="0"/>
      <w:divBdr>
        <w:top w:val="none" w:sz="0" w:space="0" w:color="auto"/>
        <w:left w:val="none" w:sz="0" w:space="0" w:color="auto"/>
        <w:bottom w:val="none" w:sz="0" w:space="0" w:color="auto"/>
        <w:right w:val="none" w:sz="0" w:space="0" w:color="auto"/>
      </w:divBdr>
      <w:divsChild>
        <w:div w:id="4820416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ps.nhs.uk" TargetMode="External"/><Relationship Id="rId13" Type="http://schemas.openxmlformats.org/officeDocument/2006/relationships/footer" Target="footer1.xml"/><Relationship Id="rId18" Type="http://schemas.openxmlformats.org/officeDocument/2006/relationships/hyperlink" Target="https://www.medicines.org.uk/emc/product/15244/smpc"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www.medicines.org.uk/emc/product/15243/smpc" TargetMode="External"/><Relationship Id="rId2" Type="http://schemas.openxmlformats.org/officeDocument/2006/relationships/numbering" Target="numbering.xml"/><Relationship Id="rId16" Type="http://schemas.openxmlformats.org/officeDocument/2006/relationships/hyperlink" Target="https://www.medicines.org.uk/emc/product/15242/smpc"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hyperlink" Target="https://www.medicines.org.uk/emc/product/12745"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mailto:nwmedinfo@nhs.net?subject=New%20Medicines%20Newsletter" TargetMode="External"/><Relationship Id="rId14" Type="http://schemas.openxmlformats.org/officeDocument/2006/relationships/footer" Target="footer2.xml"/><Relationship Id="rId22" Type="http://schemas.openxmlformats.org/officeDocument/2006/relationships/header" Target="header6.xml"/></Relationships>
</file>

<file path=word/_rels/footer1.xml.rels><?xml version="1.0" encoding="UTF-8" standalone="yes"?>
<Relationships xmlns="http://schemas.openxmlformats.org/package/2006/relationships"><Relationship Id="rId1" Type="http://schemas.openxmlformats.org/officeDocument/2006/relationships/hyperlink" Target="http://www.ukmi.nhs.uk/ndo"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nwmedinfo@nhs.net?subject=New%20Medicines%20Newsletter"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nwmedinfo@nhs.net?subject=New%20Medicines%20Newsletter"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hyperlink" Target="https://www.sps.nhs.uk/articles/sps-horizon-scanning/" TargetMode="External"/><Relationship Id="rId2" Type="http://schemas.openxmlformats.org/officeDocument/2006/relationships/image" Target="media/image4.png"/><Relationship Id="rId1" Type="http://schemas.openxmlformats.org/officeDocument/2006/relationships/image" Target="media/image2.jpeg"/><Relationship Id="rId4" Type="http://schemas.openxmlformats.org/officeDocument/2006/relationships/hyperlink" Target="https://www.sps.nhs.uk/home/planning/annual-medicines-planning/" TargetMode="External"/></Relationships>
</file>

<file path=word/_rels/header5.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I:\PPU\MedicinesInfo\Publications%20NWMIC\New%20Medicines%20News%20(incl%20Clinical%20Pharmacist)\Admin\New%20Medicines%20News%20template%20202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F6E074-DAC3-464B-8E55-384774156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Medicines News template 2024</Template>
  <TotalTime>1245</TotalTime>
  <Pages>7</Pages>
  <Words>3731</Words>
  <Characters>24096</Characters>
  <Application>Microsoft Office Word</Application>
  <DocSecurity>0</DocSecurity>
  <Lines>200</Lines>
  <Paragraphs>55</Paragraphs>
  <ScaleCrop>false</ScaleCrop>
  <HeadingPairs>
    <vt:vector size="2" baseType="variant">
      <vt:variant>
        <vt:lpstr>Title</vt:lpstr>
      </vt:variant>
      <vt:variant>
        <vt:i4>1</vt:i4>
      </vt:variant>
    </vt:vector>
  </HeadingPairs>
  <TitlesOfParts>
    <vt:vector size="1" baseType="lpstr">
      <vt:lpstr>NDO home | Contact | Register for NDO access</vt:lpstr>
    </vt:vector>
  </TitlesOfParts>
  <Company>NMHIS</Company>
  <LinksUpToDate>false</LinksUpToDate>
  <CharactersWithSpaces>27772</CharactersWithSpaces>
  <SharedDoc>false</SharedDoc>
  <HLinks>
    <vt:vector size="498" baseType="variant">
      <vt:variant>
        <vt:i4>458841</vt:i4>
      </vt:variant>
      <vt:variant>
        <vt:i4>228</vt:i4>
      </vt:variant>
      <vt:variant>
        <vt:i4>0</vt:i4>
      </vt:variant>
      <vt:variant>
        <vt:i4>5</vt:i4>
      </vt:variant>
      <vt:variant>
        <vt:lpwstr>https://www.sps.nhs.uk/medicines/zuranolone/</vt:lpwstr>
      </vt:variant>
      <vt:variant>
        <vt:lpwstr/>
      </vt:variant>
      <vt:variant>
        <vt:i4>7602219</vt:i4>
      </vt:variant>
      <vt:variant>
        <vt:i4>225</vt:i4>
      </vt:variant>
      <vt:variant>
        <vt:i4>0</vt:i4>
      </vt:variant>
      <vt:variant>
        <vt:i4>5</vt:i4>
      </vt:variant>
      <vt:variant>
        <vt:lpwstr>https://www.sps.nhs.uk/medicines/zoliflodacin/</vt:lpwstr>
      </vt:variant>
      <vt:variant>
        <vt:lpwstr/>
      </vt:variant>
      <vt:variant>
        <vt:i4>8323111</vt:i4>
      </vt:variant>
      <vt:variant>
        <vt:i4>222</vt:i4>
      </vt:variant>
      <vt:variant>
        <vt:i4>0</vt:i4>
      </vt:variant>
      <vt:variant>
        <vt:i4>5</vt:i4>
      </vt:variant>
      <vt:variant>
        <vt:lpwstr>https://www.sps.nhs.uk/medicines/upadacitinib/</vt:lpwstr>
      </vt:variant>
      <vt:variant>
        <vt:lpwstr/>
      </vt:variant>
      <vt:variant>
        <vt:i4>5570648</vt:i4>
      </vt:variant>
      <vt:variant>
        <vt:i4>219</vt:i4>
      </vt:variant>
      <vt:variant>
        <vt:i4>0</vt:i4>
      </vt:variant>
      <vt:variant>
        <vt:i4>5</vt:i4>
      </vt:variant>
      <vt:variant>
        <vt:lpwstr>https://www.sps.nhs.uk/medicines/sep-363856/</vt:lpwstr>
      </vt:variant>
      <vt:variant>
        <vt:lpwstr/>
      </vt:variant>
      <vt:variant>
        <vt:i4>131160</vt:i4>
      </vt:variant>
      <vt:variant>
        <vt:i4>216</vt:i4>
      </vt:variant>
      <vt:variant>
        <vt:i4>0</vt:i4>
      </vt:variant>
      <vt:variant>
        <vt:i4>5</vt:i4>
      </vt:variant>
      <vt:variant>
        <vt:lpwstr>https://www.sps.nhs.uk/medicines/padesvonil/</vt:lpwstr>
      </vt:variant>
      <vt:variant>
        <vt:lpwstr/>
      </vt:variant>
      <vt:variant>
        <vt:i4>4456520</vt:i4>
      </vt:variant>
      <vt:variant>
        <vt:i4>213</vt:i4>
      </vt:variant>
      <vt:variant>
        <vt:i4>0</vt:i4>
      </vt:variant>
      <vt:variant>
        <vt:i4>5</vt:i4>
      </vt:variant>
      <vt:variant>
        <vt:lpwstr>https://www.sps.nhs.uk/medicines/opiranserin/</vt:lpwstr>
      </vt:variant>
      <vt:variant>
        <vt:lpwstr/>
      </vt:variant>
      <vt:variant>
        <vt:i4>2555944</vt:i4>
      </vt:variant>
      <vt:variant>
        <vt:i4>210</vt:i4>
      </vt:variant>
      <vt:variant>
        <vt:i4>0</vt:i4>
      </vt:variant>
      <vt:variant>
        <vt:i4>5</vt:i4>
      </vt:variant>
      <vt:variant>
        <vt:lpwstr>https://www.sps.nhs.uk/medicines/mitapivat/</vt:lpwstr>
      </vt:variant>
      <vt:variant>
        <vt:lpwstr/>
      </vt:variant>
      <vt:variant>
        <vt:i4>393288</vt:i4>
      </vt:variant>
      <vt:variant>
        <vt:i4>207</vt:i4>
      </vt:variant>
      <vt:variant>
        <vt:i4>0</vt:i4>
      </vt:variant>
      <vt:variant>
        <vt:i4>5</vt:i4>
      </vt:variant>
      <vt:variant>
        <vt:lpwstr>https://www.sps.nhs.uk/medicines/linzagolix/</vt:lpwstr>
      </vt:variant>
      <vt:variant>
        <vt:lpwstr/>
      </vt:variant>
      <vt:variant>
        <vt:i4>3604520</vt:i4>
      </vt:variant>
      <vt:variant>
        <vt:i4>204</vt:i4>
      </vt:variant>
      <vt:variant>
        <vt:i4>0</vt:i4>
      </vt:variant>
      <vt:variant>
        <vt:i4>5</vt:i4>
      </vt:variant>
      <vt:variant>
        <vt:lpwstr>https://www.sps.nhs.uk/medicines/leriglitazone/</vt:lpwstr>
      </vt:variant>
      <vt:variant>
        <vt:lpwstr/>
      </vt:variant>
      <vt:variant>
        <vt:i4>7929889</vt:i4>
      </vt:variant>
      <vt:variant>
        <vt:i4>201</vt:i4>
      </vt:variant>
      <vt:variant>
        <vt:i4>0</vt:i4>
      </vt:variant>
      <vt:variant>
        <vt:i4>5</vt:i4>
      </vt:variant>
      <vt:variant>
        <vt:lpwstr>https://www.sps.nhs.uk/medicines/lebrikizumab/</vt:lpwstr>
      </vt:variant>
      <vt:variant>
        <vt:lpwstr/>
      </vt:variant>
      <vt:variant>
        <vt:i4>524381</vt:i4>
      </vt:variant>
      <vt:variant>
        <vt:i4>198</vt:i4>
      </vt:variant>
      <vt:variant>
        <vt:i4>0</vt:i4>
      </vt:variant>
      <vt:variant>
        <vt:i4>5</vt:i4>
      </vt:variant>
      <vt:variant>
        <vt:lpwstr>https://www.sps.nhs.uk/medicines/glatiramer/</vt:lpwstr>
      </vt:variant>
      <vt:variant>
        <vt:lpwstr/>
      </vt:variant>
      <vt:variant>
        <vt:i4>5832790</vt:i4>
      </vt:variant>
      <vt:variant>
        <vt:i4>195</vt:i4>
      </vt:variant>
      <vt:variant>
        <vt:i4>0</vt:i4>
      </vt:variant>
      <vt:variant>
        <vt:i4>5</vt:i4>
      </vt:variant>
      <vt:variant>
        <vt:lpwstr>https://www.sps.nhs.uk/medicines/fcr-001/</vt:lpwstr>
      </vt:variant>
      <vt:variant>
        <vt:lpwstr/>
      </vt:variant>
      <vt:variant>
        <vt:i4>3080232</vt:i4>
      </vt:variant>
      <vt:variant>
        <vt:i4>192</vt:i4>
      </vt:variant>
      <vt:variant>
        <vt:i4>0</vt:i4>
      </vt:variant>
      <vt:variant>
        <vt:i4>5</vt:i4>
      </vt:variant>
      <vt:variant>
        <vt:lpwstr>https://www.sps.nhs.uk/medicines/empagliflozin/</vt:lpwstr>
      </vt:variant>
      <vt:variant>
        <vt:lpwstr/>
      </vt:variant>
      <vt:variant>
        <vt:i4>2752551</vt:i4>
      </vt:variant>
      <vt:variant>
        <vt:i4>189</vt:i4>
      </vt:variant>
      <vt:variant>
        <vt:i4>0</vt:i4>
      </vt:variant>
      <vt:variant>
        <vt:i4>5</vt:i4>
      </vt:variant>
      <vt:variant>
        <vt:lpwstr>https://www.sps.nhs.uk/medicines/diazoxide/</vt:lpwstr>
      </vt:variant>
      <vt:variant>
        <vt:lpwstr/>
      </vt:variant>
      <vt:variant>
        <vt:i4>6815782</vt:i4>
      </vt:variant>
      <vt:variant>
        <vt:i4>186</vt:i4>
      </vt:variant>
      <vt:variant>
        <vt:i4>0</vt:i4>
      </vt:variant>
      <vt:variant>
        <vt:i4>5</vt:i4>
      </vt:variant>
      <vt:variant>
        <vt:lpwstr>https://www.sps.nhs.uk/medicines/dasiglucagon/</vt:lpwstr>
      </vt:variant>
      <vt:variant>
        <vt:lpwstr/>
      </vt:variant>
      <vt:variant>
        <vt:i4>4194380</vt:i4>
      </vt:variant>
      <vt:variant>
        <vt:i4>183</vt:i4>
      </vt:variant>
      <vt:variant>
        <vt:i4>0</vt:i4>
      </vt:variant>
      <vt:variant>
        <vt:i4>5</vt:i4>
      </vt:variant>
      <vt:variant>
        <vt:lpwstr>https://www.sps.nhs.uk/medicines/cyclobenzaprine/</vt:lpwstr>
      </vt:variant>
      <vt:variant>
        <vt:lpwstr/>
      </vt:variant>
      <vt:variant>
        <vt:i4>1179733</vt:i4>
      </vt:variant>
      <vt:variant>
        <vt:i4>180</vt:i4>
      </vt:variant>
      <vt:variant>
        <vt:i4>0</vt:i4>
      </vt:variant>
      <vt:variant>
        <vt:i4>5</vt:i4>
      </vt:variant>
      <vt:variant>
        <vt:lpwstr>https://www.sps.nhs.uk/medicines/bumetanide/</vt:lpwstr>
      </vt:variant>
      <vt:variant>
        <vt:lpwstr/>
      </vt:variant>
      <vt:variant>
        <vt:i4>1835099</vt:i4>
      </vt:variant>
      <vt:variant>
        <vt:i4>177</vt:i4>
      </vt:variant>
      <vt:variant>
        <vt:i4>0</vt:i4>
      </vt:variant>
      <vt:variant>
        <vt:i4>5</vt:i4>
      </vt:variant>
      <vt:variant>
        <vt:lpwstr>https://www.sps.nhs.uk/medicines/budesonide/</vt:lpwstr>
      </vt:variant>
      <vt:variant>
        <vt:lpwstr/>
      </vt:variant>
      <vt:variant>
        <vt:i4>1638427</vt:i4>
      </vt:variant>
      <vt:variant>
        <vt:i4>174</vt:i4>
      </vt:variant>
      <vt:variant>
        <vt:i4>0</vt:i4>
      </vt:variant>
      <vt:variant>
        <vt:i4>5</vt:i4>
      </vt:variant>
      <vt:variant>
        <vt:lpwstr>https://www.sps.nhs.uk/medicines/bardoxolone-methyl/</vt:lpwstr>
      </vt:variant>
      <vt:variant>
        <vt:lpwstr/>
      </vt:variant>
      <vt:variant>
        <vt:i4>5767195</vt:i4>
      </vt:variant>
      <vt:variant>
        <vt:i4>171</vt:i4>
      </vt:variant>
      <vt:variant>
        <vt:i4>0</vt:i4>
      </vt:variant>
      <vt:variant>
        <vt:i4>5</vt:i4>
      </vt:variant>
      <vt:variant>
        <vt:lpwstr>https://www.sps.nhs.uk/medicines/autologous-bm-derived-stem-cell-therapy/</vt:lpwstr>
      </vt:variant>
      <vt:variant>
        <vt:lpwstr/>
      </vt:variant>
      <vt:variant>
        <vt:i4>4587591</vt:i4>
      </vt:variant>
      <vt:variant>
        <vt:i4>168</vt:i4>
      </vt:variant>
      <vt:variant>
        <vt:i4>0</vt:i4>
      </vt:variant>
      <vt:variant>
        <vt:i4>5</vt:i4>
      </vt:variant>
      <vt:variant>
        <vt:lpwstr>https://www.sps.nhs.uk/medicines/at-gtx-501/</vt:lpwstr>
      </vt:variant>
      <vt:variant>
        <vt:lpwstr/>
      </vt:variant>
      <vt:variant>
        <vt:i4>7864359</vt:i4>
      </vt:variant>
      <vt:variant>
        <vt:i4>165</vt:i4>
      </vt:variant>
      <vt:variant>
        <vt:i4>0</vt:i4>
      </vt:variant>
      <vt:variant>
        <vt:i4>5</vt:i4>
      </vt:variant>
      <vt:variant>
        <vt:lpwstr>https://www.sps.nhs.uk/medicines/telapristone/</vt:lpwstr>
      </vt:variant>
      <vt:variant>
        <vt:lpwstr/>
      </vt:variant>
      <vt:variant>
        <vt:i4>7864359</vt:i4>
      </vt:variant>
      <vt:variant>
        <vt:i4>162</vt:i4>
      </vt:variant>
      <vt:variant>
        <vt:i4>0</vt:i4>
      </vt:variant>
      <vt:variant>
        <vt:i4>5</vt:i4>
      </vt:variant>
      <vt:variant>
        <vt:lpwstr>https://www.sps.nhs.uk/medicines/telapristone/</vt:lpwstr>
      </vt:variant>
      <vt:variant>
        <vt:lpwstr/>
      </vt:variant>
      <vt:variant>
        <vt:i4>1769490</vt:i4>
      </vt:variant>
      <vt:variant>
        <vt:i4>159</vt:i4>
      </vt:variant>
      <vt:variant>
        <vt:i4>0</vt:i4>
      </vt:variant>
      <vt:variant>
        <vt:i4>5</vt:i4>
      </vt:variant>
      <vt:variant>
        <vt:lpwstr>https://www.sps.nhs.uk/medicines/t-cell-replacement-therapy/</vt:lpwstr>
      </vt:variant>
      <vt:variant>
        <vt:lpwstr/>
      </vt:variant>
      <vt:variant>
        <vt:i4>1245262</vt:i4>
      </vt:variant>
      <vt:variant>
        <vt:i4>156</vt:i4>
      </vt:variant>
      <vt:variant>
        <vt:i4>0</vt:i4>
      </vt:variant>
      <vt:variant>
        <vt:i4>5</vt:i4>
      </vt:variant>
      <vt:variant>
        <vt:lpwstr>https://www.sps.nhs.uk/medicines/salmeterol/</vt:lpwstr>
      </vt:variant>
      <vt:variant>
        <vt:lpwstr/>
      </vt:variant>
      <vt:variant>
        <vt:i4>1966174</vt:i4>
      </vt:variant>
      <vt:variant>
        <vt:i4>153</vt:i4>
      </vt:variant>
      <vt:variant>
        <vt:i4>0</vt:i4>
      </vt:variant>
      <vt:variant>
        <vt:i4>5</vt:i4>
      </vt:variant>
      <vt:variant>
        <vt:lpwstr>https://www.sps.nhs.uk/medicines/rapastinel/</vt:lpwstr>
      </vt:variant>
      <vt:variant>
        <vt:lpwstr/>
      </vt:variant>
      <vt:variant>
        <vt:i4>3276927</vt:i4>
      </vt:variant>
      <vt:variant>
        <vt:i4>150</vt:i4>
      </vt:variant>
      <vt:variant>
        <vt:i4>0</vt:i4>
      </vt:variant>
      <vt:variant>
        <vt:i4>5</vt:i4>
      </vt:variant>
      <vt:variant>
        <vt:lpwstr>https://www.sps.nhs.uk/medicines/pegylated-recombinant-human-hyaluronidase/</vt:lpwstr>
      </vt:variant>
      <vt:variant>
        <vt:lpwstr/>
      </vt:variant>
      <vt:variant>
        <vt:i4>4849741</vt:i4>
      </vt:variant>
      <vt:variant>
        <vt:i4>147</vt:i4>
      </vt:variant>
      <vt:variant>
        <vt:i4>0</vt:i4>
      </vt:variant>
      <vt:variant>
        <vt:i4>5</vt:i4>
      </vt:variant>
      <vt:variant>
        <vt:lpwstr>https://www.sps.nhs.uk/medicines/nilvadipine/</vt:lpwstr>
      </vt:variant>
      <vt:variant>
        <vt:lpwstr/>
      </vt:variant>
      <vt:variant>
        <vt:i4>7798828</vt:i4>
      </vt:variant>
      <vt:variant>
        <vt:i4>144</vt:i4>
      </vt:variant>
      <vt:variant>
        <vt:i4>0</vt:i4>
      </vt:variant>
      <vt:variant>
        <vt:i4>5</vt:i4>
      </vt:variant>
      <vt:variant>
        <vt:lpwstr>https://www.sps.nhs.uk/medicines/naloxone/</vt:lpwstr>
      </vt:variant>
      <vt:variant>
        <vt:lpwstr/>
      </vt:variant>
      <vt:variant>
        <vt:i4>1441887</vt:i4>
      </vt:variant>
      <vt:variant>
        <vt:i4>141</vt:i4>
      </vt:variant>
      <vt:variant>
        <vt:i4>0</vt:i4>
      </vt:variant>
      <vt:variant>
        <vt:i4>5</vt:i4>
      </vt:variant>
      <vt:variant>
        <vt:lpwstr>https://www.sps.nhs.uk/medicines/macitentan/</vt:lpwstr>
      </vt:variant>
      <vt:variant>
        <vt:lpwstr/>
      </vt:variant>
      <vt:variant>
        <vt:i4>6225993</vt:i4>
      </vt:variant>
      <vt:variant>
        <vt:i4>138</vt:i4>
      </vt:variant>
      <vt:variant>
        <vt:i4>0</vt:i4>
      </vt:variant>
      <vt:variant>
        <vt:i4>5</vt:i4>
      </vt:variant>
      <vt:variant>
        <vt:lpwstr>https://www.sps.nhs.uk/medicines/hydroxyprogesterone/</vt:lpwstr>
      </vt:variant>
      <vt:variant>
        <vt:lpwstr/>
      </vt:variant>
      <vt:variant>
        <vt:i4>2687026</vt:i4>
      </vt:variant>
      <vt:variant>
        <vt:i4>135</vt:i4>
      </vt:variant>
      <vt:variant>
        <vt:i4>0</vt:i4>
      </vt:variant>
      <vt:variant>
        <vt:i4>5</vt:i4>
      </vt:variant>
      <vt:variant>
        <vt:lpwstr>https://www.sps.nhs.uk/medicines/ciprofloxacin/</vt:lpwstr>
      </vt:variant>
      <vt:variant>
        <vt:lpwstr/>
      </vt:variant>
      <vt:variant>
        <vt:i4>196702</vt:i4>
      </vt:variant>
      <vt:variant>
        <vt:i4>132</vt:i4>
      </vt:variant>
      <vt:variant>
        <vt:i4>0</vt:i4>
      </vt:variant>
      <vt:variant>
        <vt:i4>5</vt:i4>
      </vt:variant>
      <vt:variant>
        <vt:lpwstr>https://www.sps.nhs.uk/medicines/calcitonin/</vt:lpwstr>
      </vt:variant>
      <vt:variant>
        <vt:lpwstr/>
      </vt:variant>
      <vt:variant>
        <vt:i4>7667749</vt:i4>
      </vt:variant>
      <vt:variant>
        <vt:i4>129</vt:i4>
      </vt:variant>
      <vt:variant>
        <vt:i4>0</vt:i4>
      </vt:variant>
      <vt:variant>
        <vt:i4>5</vt:i4>
      </vt:variant>
      <vt:variant>
        <vt:lpwstr>https://www.sps.nhs.uk/medicines/c1-esterase-inhibitor/</vt:lpwstr>
      </vt:variant>
      <vt:variant>
        <vt:lpwstr/>
      </vt:variant>
      <vt:variant>
        <vt:i4>2490478</vt:i4>
      </vt:variant>
      <vt:variant>
        <vt:i4>126</vt:i4>
      </vt:variant>
      <vt:variant>
        <vt:i4>0</vt:i4>
      </vt:variant>
      <vt:variant>
        <vt:i4>5</vt:i4>
      </vt:variant>
      <vt:variant>
        <vt:lpwstr>https://www.sps.nhs.uk/medicines/buprenorphine-samidorphan/</vt:lpwstr>
      </vt:variant>
      <vt:variant>
        <vt:lpwstr/>
      </vt:variant>
      <vt:variant>
        <vt:i4>2621493</vt:i4>
      </vt:variant>
      <vt:variant>
        <vt:i4>123</vt:i4>
      </vt:variant>
      <vt:variant>
        <vt:i4>0</vt:i4>
      </vt:variant>
      <vt:variant>
        <vt:i4>5</vt:i4>
      </vt:variant>
      <vt:variant>
        <vt:lpwstr>https://www.sps.nhs.uk/medicines/buprenorphine/</vt:lpwstr>
      </vt:variant>
      <vt:variant>
        <vt:lpwstr/>
      </vt:variant>
      <vt:variant>
        <vt:i4>3538984</vt:i4>
      </vt:variant>
      <vt:variant>
        <vt:i4>120</vt:i4>
      </vt:variant>
      <vt:variant>
        <vt:i4>0</vt:i4>
      </vt:variant>
      <vt:variant>
        <vt:i4>5</vt:i4>
      </vt:variant>
      <vt:variant>
        <vt:lpwstr>https://www.sps.nhs.uk/medicines/botulinum-a-toxin/</vt:lpwstr>
      </vt:variant>
      <vt:variant>
        <vt:lpwstr/>
      </vt:variant>
      <vt:variant>
        <vt:i4>458843</vt:i4>
      </vt:variant>
      <vt:variant>
        <vt:i4>117</vt:i4>
      </vt:variant>
      <vt:variant>
        <vt:i4>0</vt:i4>
      </vt:variant>
      <vt:variant>
        <vt:i4>5</vt:i4>
      </vt:variant>
      <vt:variant>
        <vt:lpwstr>https://www.sps.nhs.uk/medicines/biotin/</vt:lpwstr>
      </vt:variant>
      <vt:variant>
        <vt:lpwstr/>
      </vt:variant>
      <vt:variant>
        <vt:i4>3145761</vt:i4>
      </vt:variant>
      <vt:variant>
        <vt:i4>114</vt:i4>
      </vt:variant>
      <vt:variant>
        <vt:i4>0</vt:i4>
      </vt:variant>
      <vt:variant>
        <vt:i4>5</vt:i4>
      </vt:variant>
      <vt:variant>
        <vt:lpwstr>https://www.sps.nhs.uk/medicines/arbaclofen-placarbil/</vt:lpwstr>
      </vt:variant>
      <vt:variant>
        <vt:lpwstr/>
      </vt:variant>
      <vt:variant>
        <vt:i4>1572889</vt:i4>
      </vt:variant>
      <vt:variant>
        <vt:i4>111</vt:i4>
      </vt:variant>
      <vt:variant>
        <vt:i4>0</vt:i4>
      </vt:variant>
      <vt:variant>
        <vt:i4>5</vt:i4>
      </vt:variant>
      <vt:variant>
        <vt:lpwstr>https://www.sps.nhs.uk/medicines/valoctocogene-roxaparvovec/</vt:lpwstr>
      </vt:variant>
      <vt:variant>
        <vt:lpwstr/>
      </vt:variant>
      <vt:variant>
        <vt:i4>2031697</vt:i4>
      </vt:variant>
      <vt:variant>
        <vt:i4>108</vt:i4>
      </vt:variant>
      <vt:variant>
        <vt:i4>0</vt:i4>
      </vt:variant>
      <vt:variant>
        <vt:i4>5</vt:i4>
      </vt:variant>
      <vt:variant>
        <vt:lpwstr>https://www.sps.nhs.uk/medicines/meningococcal-groups-a-c-w135-y-vaccine/</vt:lpwstr>
      </vt:variant>
      <vt:variant>
        <vt:lpwstr/>
      </vt:variant>
      <vt:variant>
        <vt:i4>5374020</vt:i4>
      </vt:variant>
      <vt:variant>
        <vt:i4>105</vt:i4>
      </vt:variant>
      <vt:variant>
        <vt:i4>0</vt:i4>
      </vt:variant>
      <vt:variant>
        <vt:i4>5</vt:i4>
      </vt:variant>
      <vt:variant>
        <vt:lpwstr>https://www.sps.nhs.uk/medicines/encorafenib/</vt:lpwstr>
      </vt:variant>
      <vt:variant>
        <vt:lpwstr/>
      </vt:variant>
      <vt:variant>
        <vt:i4>7209001</vt:i4>
      </vt:variant>
      <vt:variant>
        <vt:i4>102</vt:i4>
      </vt:variant>
      <vt:variant>
        <vt:i4>0</vt:i4>
      </vt:variant>
      <vt:variant>
        <vt:i4>5</vt:i4>
      </vt:variant>
      <vt:variant>
        <vt:lpwstr>https://www.sps.nhs.uk/medicines/elexacaftor-ivacaftor-tezacaftor/</vt:lpwstr>
      </vt:variant>
      <vt:variant>
        <vt:lpwstr/>
      </vt:variant>
      <vt:variant>
        <vt:i4>4849729</vt:i4>
      </vt:variant>
      <vt:variant>
        <vt:i4>99</vt:i4>
      </vt:variant>
      <vt:variant>
        <vt:i4>0</vt:i4>
      </vt:variant>
      <vt:variant>
        <vt:i4>5</vt:i4>
      </vt:variant>
      <vt:variant>
        <vt:lpwstr>https://www.sps.nhs.uk/medicines/bulevirtide/</vt:lpwstr>
      </vt:variant>
      <vt:variant>
        <vt:lpwstr/>
      </vt:variant>
      <vt:variant>
        <vt:i4>5570637</vt:i4>
      </vt:variant>
      <vt:variant>
        <vt:i4>96</vt:i4>
      </vt:variant>
      <vt:variant>
        <vt:i4>0</vt:i4>
      </vt:variant>
      <vt:variant>
        <vt:i4>5</vt:i4>
      </vt:variant>
      <vt:variant>
        <vt:lpwstr>https://www.sps.nhs.uk/medicines/binimetinib/</vt:lpwstr>
      </vt:variant>
      <vt:variant>
        <vt:lpwstr/>
      </vt:variant>
      <vt:variant>
        <vt:i4>4128817</vt:i4>
      </vt:variant>
      <vt:variant>
        <vt:i4>93</vt:i4>
      </vt:variant>
      <vt:variant>
        <vt:i4>0</vt:i4>
      </vt:variant>
      <vt:variant>
        <vt:i4>5</vt:i4>
      </vt:variant>
      <vt:variant>
        <vt:lpwstr>https://www.sps.nhs.uk/medicines/ad26-ebov-vaccine/</vt:lpwstr>
      </vt:variant>
      <vt:variant>
        <vt:lpwstr/>
      </vt:variant>
      <vt:variant>
        <vt:i4>2555952</vt:i4>
      </vt:variant>
      <vt:variant>
        <vt:i4>90</vt:i4>
      </vt:variant>
      <vt:variant>
        <vt:i4>0</vt:i4>
      </vt:variant>
      <vt:variant>
        <vt:i4>5</vt:i4>
      </vt:variant>
      <vt:variant>
        <vt:lpwstr>https://www.sps.nhs.uk/medicines/acalabrutinib/</vt:lpwstr>
      </vt:variant>
      <vt:variant>
        <vt:lpwstr/>
      </vt:variant>
      <vt:variant>
        <vt:i4>2818164</vt:i4>
      </vt:variant>
      <vt:variant>
        <vt:i4>87</vt:i4>
      </vt:variant>
      <vt:variant>
        <vt:i4>0</vt:i4>
      </vt:variant>
      <vt:variant>
        <vt:i4>5</vt:i4>
      </vt:variant>
      <vt:variant>
        <vt:lpwstr>https://www.sps.nhs.uk/medicines/trastuzumab-emtansine/</vt:lpwstr>
      </vt:variant>
      <vt:variant>
        <vt:lpwstr/>
      </vt:variant>
      <vt:variant>
        <vt:i4>7471146</vt:i4>
      </vt:variant>
      <vt:variant>
        <vt:i4>84</vt:i4>
      </vt:variant>
      <vt:variant>
        <vt:i4>0</vt:i4>
      </vt:variant>
      <vt:variant>
        <vt:i4>5</vt:i4>
      </vt:variant>
      <vt:variant>
        <vt:lpwstr>https://www.sps.nhs.uk/medicines/solriamfetol/</vt:lpwstr>
      </vt:variant>
      <vt:variant>
        <vt:lpwstr/>
      </vt:variant>
      <vt:variant>
        <vt:i4>2621480</vt:i4>
      </vt:variant>
      <vt:variant>
        <vt:i4>81</vt:i4>
      </vt:variant>
      <vt:variant>
        <vt:i4>0</vt:i4>
      </vt:variant>
      <vt:variant>
        <vt:i4>5</vt:i4>
      </vt:variant>
      <vt:variant>
        <vt:lpwstr>https://www.sps.nhs.uk/medicines/siponimod/</vt:lpwstr>
      </vt:variant>
      <vt:variant>
        <vt:lpwstr/>
      </vt:variant>
      <vt:variant>
        <vt:i4>5308487</vt:i4>
      </vt:variant>
      <vt:variant>
        <vt:i4>78</vt:i4>
      </vt:variant>
      <vt:variant>
        <vt:i4>0</vt:i4>
      </vt:variant>
      <vt:variant>
        <vt:i4>5</vt:i4>
      </vt:variant>
      <vt:variant>
        <vt:lpwstr>https://www.sps.nhs.uk/medicines/polatuzumab/</vt:lpwstr>
      </vt:variant>
      <vt:variant>
        <vt:lpwstr/>
      </vt:variant>
      <vt:variant>
        <vt:i4>6946876</vt:i4>
      </vt:variant>
      <vt:variant>
        <vt:i4>75</vt:i4>
      </vt:variant>
      <vt:variant>
        <vt:i4>0</vt:i4>
      </vt:variant>
      <vt:variant>
        <vt:i4>5</vt:i4>
      </vt:variant>
      <vt:variant>
        <vt:lpwstr>https://www.sps.nhs.uk/medicines/osilodrostat/</vt:lpwstr>
      </vt:variant>
      <vt:variant>
        <vt:lpwstr/>
      </vt:variant>
      <vt:variant>
        <vt:i4>6291494</vt:i4>
      </vt:variant>
      <vt:variant>
        <vt:i4>72</vt:i4>
      </vt:variant>
      <vt:variant>
        <vt:i4>0</vt:i4>
      </vt:variant>
      <vt:variant>
        <vt:i4>5</vt:i4>
      </vt:variant>
      <vt:variant>
        <vt:lpwstr>https://www.sps.nhs.uk/medicines/lenalidomide/</vt:lpwstr>
      </vt:variant>
      <vt:variant>
        <vt:lpwstr/>
      </vt:variant>
      <vt:variant>
        <vt:i4>7733280</vt:i4>
      </vt:variant>
      <vt:variant>
        <vt:i4>69</vt:i4>
      </vt:variant>
      <vt:variant>
        <vt:i4>0</vt:i4>
      </vt:variant>
      <vt:variant>
        <vt:i4>5</vt:i4>
      </vt:variant>
      <vt:variant>
        <vt:lpwstr>https://www.sps.nhs.uk/medicines/fostamatinib-disodium/</vt:lpwstr>
      </vt:variant>
      <vt:variant>
        <vt:lpwstr/>
      </vt:variant>
      <vt:variant>
        <vt:i4>3342373</vt:i4>
      </vt:variant>
      <vt:variant>
        <vt:i4>66</vt:i4>
      </vt:variant>
      <vt:variant>
        <vt:i4>0</vt:i4>
      </vt:variant>
      <vt:variant>
        <vt:i4>5</vt:i4>
      </vt:variant>
      <vt:variant>
        <vt:lpwstr>https://www.sps.nhs.uk/medicines/trientine/</vt:lpwstr>
      </vt:variant>
      <vt:variant>
        <vt:lpwstr/>
      </vt:variant>
      <vt:variant>
        <vt:i4>1900625</vt:i4>
      </vt:variant>
      <vt:variant>
        <vt:i4>63</vt:i4>
      </vt:variant>
      <vt:variant>
        <vt:i4>0</vt:i4>
      </vt:variant>
      <vt:variant>
        <vt:i4>5</vt:i4>
      </vt:variant>
      <vt:variant>
        <vt:lpwstr>https://www.sps.nhs.uk/medicines/netarsudil-mesilate/</vt:lpwstr>
      </vt:variant>
      <vt:variant>
        <vt:lpwstr/>
      </vt:variant>
      <vt:variant>
        <vt:i4>7143468</vt:i4>
      </vt:variant>
      <vt:variant>
        <vt:i4>60</vt:i4>
      </vt:variant>
      <vt:variant>
        <vt:i4>0</vt:i4>
      </vt:variant>
      <vt:variant>
        <vt:i4>5</vt:i4>
      </vt:variant>
      <vt:variant>
        <vt:lpwstr>https://www.sps.nhs.uk/medicines/levodopa/</vt:lpwstr>
      </vt:variant>
      <vt:variant>
        <vt:lpwstr/>
      </vt:variant>
      <vt:variant>
        <vt:i4>852061</vt:i4>
      </vt:variant>
      <vt:variant>
        <vt:i4>57</vt:i4>
      </vt:variant>
      <vt:variant>
        <vt:i4>0</vt:i4>
      </vt:variant>
      <vt:variant>
        <vt:i4>5</vt:i4>
      </vt:variant>
      <vt:variant>
        <vt:lpwstr>https://www.sps.nhs.uk/medicines/infliximab/</vt:lpwstr>
      </vt:variant>
      <vt:variant>
        <vt:lpwstr/>
      </vt:variant>
      <vt:variant>
        <vt:i4>4063335</vt:i4>
      </vt:variant>
      <vt:variant>
        <vt:i4>54</vt:i4>
      </vt:variant>
      <vt:variant>
        <vt:i4>0</vt:i4>
      </vt:variant>
      <vt:variant>
        <vt:i4>5</vt:i4>
      </vt:variant>
      <vt:variant>
        <vt:lpwstr>https://www.sps.nhs.uk/medicines/ebola-vaccine/</vt:lpwstr>
      </vt:variant>
      <vt:variant>
        <vt:lpwstr/>
      </vt:variant>
      <vt:variant>
        <vt:i4>2621493</vt:i4>
      </vt:variant>
      <vt:variant>
        <vt:i4>51</vt:i4>
      </vt:variant>
      <vt:variant>
        <vt:i4>0</vt:i4>
      </vt:variant>
      <vt:variant>
        <vt:i4>5</vt:i4>
      </vt:variant>
      <vt:variant>
        <vt:lpwstr>https://www.sps.nhs.uk/medicines/buprenorphine/</vt:lpwstr>
      </vt:variant>
      <vt:variant>
        <vt:lpwstr/>
      </vt:variant>
      <vt:variant>
        <vt:i4>1179726</vt:i4>
      </vt:variant>
      <vt:variant>
        <vt:i4>48</vt:i4>
      </vt:variant>
      <vt:variant>
        <vt:i4>0</vt:i4>
      </vt:variant>
      <vt:variant>
        <vt:i4>5</vt:i4>
      </vt:variant>
      <vt:variant>
        <vt:lpwstr>https://www.sps.nhs.uk/medicines/arginine-lysine/</vt:lpwstr>
      </vt:variant>
      <vt:variant>
        <vt:lpwstr/>
      </vt:variant>
      <vt:variant>
        <vt:i4>7798824</vt:i4>
      </vt:variant>
      <vt:variant>
        <vt:i4>45</vt:i4>
      </vt:variant>
      <vt:variant>
        <vt:i4>0</vt:i4>
      </vt:variant>
      <vt:variant>
        <vt:i4>5</vt:i4>
      </vt:variant>
      <vt:variant>
        <vt:lpwstr>https://www.sps.nhs.uk/medicines/teriparatide/</vt:lpwstr>
      </vt:variant>
      <vt:variant>
        <vt:lpwstr/>
      </vt:variant>
      <vt:variant>
        <vt:i4>5767235</vt:i4>
      </vt:variant>
      <vt:variant>
        <vt:i4>42</vt:i4>
      </vt:variant>
      <vt:variant>
        <vt:i4>0</vt:i4>
      </vt:variant>
      <vt:variant>
        <vt:i4>5</vt:i4>
      </vt:variant>
      <vt:variant>
        <vt:lpwstr>https://www.sps.nhs.uk/medicines/paracetamol/</vt:lpwstr>
      </vt:variant>
      <vt:variant>
        <vt:lpwstr/>
      </vt:variant>
      <vt:variant>
        <vt:i4>2162736</vt:i4>
      </vt:variant>
      <vt:variant>
        <vt:i4>39</vt:i4>
      </vt:variant>
      <vt:variant>
        <vt:i4>0</vt:i4>
      </vt:variant>
      <vt:variant>
        <vt:i4>5</vt:i4>
      </vt:variant>
      <vt:variant>
        <vt:lpwstr>https://www.sps.nhs.uk/articles/ukmi-product-safety-assessments-2/</vt:lpwstr>
      </vt:variant>
      <vt:variant>
        <vt:lpwstr/>
      </vt:variant>
      <vt:variant>
        <vt:i4>5767196</vt:i4>
      </vt:variant>
      <vt:variant>
        <vt:i4>36</vt:i4>
      </vt:variant>
      <vt:variant>
        <vt:i4>0</vt:i4>
      </vt:variant>
      <vt:variant>
        <vt:i4>5</vt:i4>
      </vt:variant>
      <vt:variant>
        <vt:lpwstr>https://www.sps.nhs.uk/articles/prioritising-new-products-for-a-ukmi-product-safety-assessment-a-resource-for-ukmi-patient-safety-working-group/</vt:lpwstr>
      </vt:variant>
      <vt:variant>
        <vt:lpwstr/>
      </vt:variant>
      <vt:variant>
        <vt:i4>3211304</vt:i4>
      </vt:variant>
      <vt:variant>
        <vt:i4>33</vt:i4>
      </vt:variant>
      <vt:variant>
        <vt:i4>0</vt:i4>
      </vt:variant>
      <vt:variant>
        <vt:i4>5</vt:i4>
      </vt:variant>
      <vt:variant>
        <vt:lpwstr>https://www.sps.nhs.uk/medicines/zanamivir/</vt:lpwstr>
      </vt:variant>
      <vt:variant>
        <vt:lpwstr/>
      </vt:variant>
      <vt:variant>
        <vt:i4>5111887</vt:i4>
      </vt:variant>
      <vt:variant>
        <vt:i4>30</vt:i4>
      </vt:variant>
      <vt:variant>
        <vt:i4>0</vt:i4>
      </vt:variant>
      <vt:variant>
        <vt:i4>5</vt:i4>
      </vt:variant>
      <vt:variant>
        <vt:lpwstr>https://www.sps.nhs.uk/medicines/talazoparib/</vt:lpwstr>
      </vt:variant>
      <vt:variant>
        <vt:lpwstr/>
      </vt:variant>
      <vt:variant>
        <vt:i4>4653149</vt:i4>
      </vt:variant>
      <vt:variant>
        <vt:i4>27</vt:i4>
      </vt:variant>
      <vt:variant>
        <vt:i4>0</vt:i4>
      </vt:variant>
      <vt:variant>
        <vt:i4>5</vt:i4>
      </vt:variant>
      <vt:variant>
        <vt:lpwstr>https://www.sps.nhs.uk/medicines/ranibizumab/</vt:lpwstr>
      </vt:variant>
      <vt:variant>
        <vt:lpwstr/>
      </vt:variant>
      <vt:variant>
        <vt:i4>3801149</vt:i4>
      </vt:variant>
      <vt:variant>
        <vt:i4>24</vt:i4>
      </vt:variant>
      <vt:variant>
        <vt:i4>0</vt:i4>
      </vt:variant>
      <vt:variant>
        <vt:i4>5</vt:i4>
      </vt:variant>
      <vt:variant>
        <vt:lpwstr>https://www.sps.nhs.uk/medicines/pembrolizumab/</vt:lpwstr>
      </vt:variant>
      <vt:variant>
        <vt:lpwstr/>
      </vt:variant>
      <vt:variant>
        <vt:i4>7602210</vt:i4>
      </vt:variant>
      <vt:variant>
        <vt:i4>21</vt:i4>
      </vt:variant>
      <vt:variant>
        <vt:i4>0</vt:i4>
      </vt:variant>
      <vt:variant>
        <vt:i4>5</vt:i4>
      </vt:variant>
      <vt:variant>
        <vt:lpwstr>https://www.sps.nhs.uk/medicines/nicotine/</vt:lpwstr>
      </vt:variant>
      <vt:variant>
        <vt:lpwstr/>
      </vt:variant>
      <vt:variant>
        <vt:i4>4063329</vt:i4>
      </vt:variant>
      <vt:variant>
        <vt:i4>18</vt:i4>
      </vt:variant>
      <vt:variant>
        <vt:i4>0</vt:i4>
      </vt:variant>
      <vt:variant>
        <vt:i4>5</vt:i4>
      </vt:variant>
      <vt:variant>
        <vt:lpwstr>https://www.sps.nhs.uk/medicines/meropenem-vaborbactam/</vt:lpwstr>
      </vt:variant>
      <vt:variant>
        <vt:lpwstr/>
      </vt:variant>
      <vt:variant>
        <vt:i4>4980828</vt:i4>
      </vt:variant>
      <vt:variant>
        <vt:i4>15</vt:i4>
      </vt:variant>
      <vt:variant>
        <vt:i4>0</vt:i4>
      </vt:variant>
      <vt:variant>
        <vt:i4>5</vt:i4>
      </vt:variant>
      <vt:variant>
        <vt:lpwstr>https://www.sps.nhs.uk/medicines/liraglutide/</vt:lpwstr>
      </vt:variant>
      <vt:variant>
        <vt:lpwstr/>
      </vt:variant>
      <vt:variant>
        <vt:i4>6553663</vt:i4>
      </vt:variant>
      <vt:variant>
        <vt:i4>12</vt:i4>
      </vt:variant>
      <vt:variant>
        <vt:i4>0</vt:i4>
      </vt:variant>
      <vt:variant>
        <vt:i4>5</vt:i4>
      </vt:variant>
      <vt:variant>
        <vt:lpwstr>https://www.sps.nhs.uk/medicines/gilteritinib/</vt:lpwstr>
      </vt:variant>
      <vt:variant>
        <vt:lpwstr/>
      </vt:variant>
      <vt:variant>
        <vt:i4>4980809</vt:i4>
      </vt:variant>
      <vt:variant>
        <vt:i4>9</vt:i4>
      </vt:variant>
      <vt:variant>
        <vt:i4>0</vt:i4>
      </vt:variant>
      <vt:variant>
        <vt:i4>5</vt:i4>
      </vt:variant>
      <vt:variant>
        <vt:lpwstr>https://www.sps.nhs.uk/medicines/daratumumab/</vt:lpwstr>
      </vt:variant>
      <vt:variant>
        <vt:lpwstr/>
      </vt:variant>
      <vt:variant>
        <vt:i4>2883621</vt:i4>
      </vt:variant>
      <vt:variant>
        <vt:i4>6</vt:i4>
      </vt:variant>
      <vt:variant>
        <vt:i4>0</vt:i4>
      </vt:variant>
      <vt:variant>
        <vt:i4>5</vt:i4>
      </vt:variant>
      <vt:variant>
        <vt:lpwstr>https://www.sps.nhs.uk/medicines/beclometasone/</vt:lpwstr>
      </vt:variant>
      <vt:variant>
        <vt:lpwstr/>
      </vt:variant>
      <vt:variant>
        <vt:i4>589864</vt:i4>
      </vt:variant>
      <vt:variant>
        <vt:i4>3</vt:i4>
      </vt:variant>
      <vt:variant>
        <vt:i4>0</vt:i4>
      </vt:variant>
      <vt:variant>
        <vt:i4>5</vt:i4>
      </vt:variant>
      <vt:variant>
        <vt:lpwstr>mailto:nwmedinfo@nhs.net?subject=New%20Medicines%20Newsletter</vt:lpwstr>
      </vt:variant>
      <vt:variant>
        <vt:lpwstr/>
      </vt:variant>
      <vt:variant>
        <vt:i4>7077923</vt:i4>
      </vt:variant>
      <vt:variant>
        <vt:i4>0</vt:i4>
      </vt:variant>
      <vt:variant>
        <vt:i4>0</vt:i4>
      </vt:variant>
      <vt:variant>
        <vt:i4>5</vt:i4>
      </vt:variant>
      <vt:variant>
        <vt:lpwstr>http://www.sps.nhs.uk/</vt:lpwstr>
      </vt:variant>
      <vt:variant>
        <vt:lpwstr/>
      </vt:variant>
      <vt:variant>
        <vt:i4>589864</vt:i4>
      </vt:variant>
      <vt:variant>
        <vt:i4>18</vt:i4>
      </vt:variant>
      <vt:variant>
        <vt:i4>0</vt:i4>
      </vt:variant>
      <vt:variant>
        <vt:i4>5</vt:i4>
      </vt:variant>
      <vt:variant>
        <vt:lpwstr>mailto:nwmedinfo@nhs.net?subject=New%20Medicines%20Newsletter</vt:lpwstr>
      </vt:variant>
      <vt:variant>
        <vt:lpwstr/>
      </vt:variant>
      <vt:variant>
        <vt:i4>7929901</vt:i4>
      </vt:variant>
      <vt:variant>
        <vt:i4>15</vt:i4>
      </vt:variant>
      <vt:variant>
        <vt:i4>0</vt:i4>
      </vt:variant>
      <vt:variant>
        <vt:i4>5</vt:i4>
      </vt:variant>
      <vt:variant>
        <vt:lpwstr>https://www.sps.nhs.uk/wp-login.php?action=register</vt:lpwstr>
      </vt:variant>
      <vt:variant>
        <vt:lpwstr/>
      </vt:variant>
      <vt:variant>
        <vt:i4>7077923</vt:i4>
      </vt:variant>
      <vt:variant>
        <vt:i4>12</vt:i4>
      </vt:variant>
      <vt:variant>
        <vt:i4>0</vt:i4>
      </vt:variant>
      <vt:variant>
        <vt:i4>5</vt:i4>
      </vt:variant>
      <vt:variant>
        <vt:lpwstr>http://www.sps.nhs.uk/</vt:lpwstr>
      </vt:variant>
      <vt:variant>
        <vt:lpwstr/>
      </vt:variant>
      <vt:variant>
        <vt:i4>3211377</vt:i4>
      </vt:variant>
      <vt:variant>
        <vt:i4>9</vt:i4>
      </vt:variant>
      <vt:variant>
        <vt:i4>0</vt:i4>
      </vt:variant>
      <vt:variant>
        <vt:i4>5</vt:i4>
      </vt:variant>
      <vt:variant>
        <vt:lpwstr>http://www.ukmi.nhs.uk/ndo</vt:lpwstr>
      </vt:variant>
      <vt:variant>
        <vt:lpwstr/>
      </vt:variant>
      <vt:variant>
        <vt:i4>1638407</vt:i4>
      </vt:variant>
      <vt:variant>
        <vt:i4>6</vt:i4>
      </vt:variant>
      <vt:variant>
        <vt:i4>0</vt:i4>
      </vt:variant>
      <vt:variant>
        <vt:i4>5</vt:i4>
      </vt:variant>
      <vt:variant>
        <vt:lpwstr>https://www.sps.nhs.uk/prescribing-outlook-2019/</vt:lpwstr>
      </vt:variant>
      <vt:variant>
        <vt:lpwstr/>
      </vt:variant>
      <vt:variant>
        <vt:i4>7405691</vt:i4>
      </vt:variant>
      <vt:variant>
        <vt:i4>3</vt:i4>
      </vt:variant>
      <vt:variant>
        <vt:i4>0</vt:i4>
      </vt:variant>
      <vt:variant>
        <vt:i4>5</vt:i4>
      </vt:variant>
      <vt:variant>
        <vt:lpwstr>https://www.sps.nhs.uk/category/new-medicines/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NDO home | Contact | Register for NDO access</dc:title>
  <dc:creator>McEntee Joanne (RQ6) RLBUHT</dc:creator>
  <cp:lastModifiedBy>Joanne McEntee</cp:lastModifiedBy>
  <cp:revision>125</cp:revision>
  <cp:lastPrinted>2019-12-09T12:59:00Z</cp:lastPrinted>
  <dcterms:created xsi:type="dcterms:W3CDTF">2024-02-12T08:29:00Z</dcterms:created>
  <dcterms:modified xsi:type="dcterms:W3CDTF">2024-03-07T14:40:00Z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