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Ind w:w="-176" w:type="dxa"/>
        <w:tblLayout w:type="fixed"/>
        <w:tblLook w:val="01E0" w:firstRow="1" w:lastRow="1" w:firstColumn="1" w:lastColumn="1" w:noHBand="0" w:noVBand="0"/>
      </w:tblPr>
      <w:tblGrid>
        <w:gridCol w:w="10267"/>
      </w:tblGrid>
      <w:tr w:rsidR="00D2402E" w:rsidRPr="00862949" w14:paraId="6E87876E" w14:textId="77777777" w:rsidTr="009B0BCE">
        <w:trPr>
          <w:trHeight w:val="192"/>
        </w:trPr>
        <w:tc>
          <w:tcPr>
            <w:tcW w:w="5000" w:type="pct"/>
            <w:shd w:val="clear" w:color="auto" w:fill="auto"/>
            <w:tcMar>
              <w:top w:w="57" w:type="dxa"/>
              <w:bottom w:w="57" w:type="dxa"/>
            </w:tcMar>
          </w:tcPr>
          <w:p w14:paraId="7F8A0FA7" w14:textId="77777777" w:rsidR="00D2402E" w:rsidRPr="00E369CC" w:rsidRDefault="00860B89" w:rsidP="00F81A28">
            <w:pPr>
              <w:jc w:val="right"/>
              <w:rPr>
                <w:rFonts w:cs="Arial"/>
                <w:b/>
                <w:bCs/>
                <w:iCs/>
                <w:color w:val="0070C0"/>
                <w:sz w:val="15"/>
                <w:szCs w:val="15"/>
                <w:lang w:val="en-US"/>
              </w:rPr>
            </w:pPr>
            <w:r>
              <w:rPr>
                <w:rFonts w:cs="Arial"/>
                <w:b/>
                <w:bCs/>
                <w:iCs/>
                <w:color w:val="333399"/>
                <w:sz w:val="15"/>
                <w:szCs w:val="15"/>
                <w:lang w:val="en-US"/>
              </w:rPr>
              <w:t xml:space="preserve">  </w:t>
            </w:r>
            <w:r w:rsidR="00A3053B">
              <w:rPr>
                <w:rFonts w:cs="Arial"/>
                <w:b/>
                <w:bCs/>
                <w:iCs/>
                <w:color w:val="333399"/>
                <w:sz w:val="15"/>
                <w:szCs w:val="15"/>
                <w:lang w:val="en-US"/>
              </w:rPr>
              <w:t xml:space="preserve"> </w:t>
            </w:r>
            <w:r w:rsidR="00AB34E3" w:rsidRPr="00862949">
              <w:rPr>
                <w:rFonts w:cs="Arial"/>
                <w:b/>
                <w:bCs/>
                <w:iCs/>
                <w:color w:val="333399"/>
                <w:sz w:val="15"/>
                <w:szCs w:val="15"/>
                <w:lang w:val="en-US"/>
              </w:rPr>
              <w:t xml:space="preserve"> </w:t>
            </w:r>
            <w:r w:rsidR="009C539A" w:rsidRPr="00862949">
              <w:rPr>
                <w:rFonts w:cs="Arial"/>
                <w:b/>
                <w:bCs/>
                <w:iCs/>
                <w:color w:val="333399"/>
                <w:sz w:val="15"/>
                <w:szCs w:val="15"/>
                <w:lang w:val="en-US"/>
              </w:rPr>
              <w:t xml:space="preserve"> </w:t>
            </w:r>
            <w:hyperlink r:id="rId8" w:tgtFrame="_blank" w:history="1">
              <w:r w:rsidR="00F81A28" w:rsidRPr="009B0BCE">
                <w:rPr>
                  <w:rStyle w:val="Hyperlink"/>
                  <w:rFonts w:ascii="Arial" w:hAnsi="Arial" w:cs="Arial"/>
                  <w:b/>
                  <w:bCs/>
                  <w:iCs/>
                  <w:color w:val="0070C0"/>
                  <w:sz w:val="20"/>
                  <w:szCs w:val="15"/>
                  <w:lang w:val="en-US"/>
                </w:rPr>
                <w:t>SPS</w:t>
              </w:r>
              <w:r w:rsidR="00D2402E" w:rsidRPr="009B0BCE">
                <w:rPr>
                  <w:rStyle w:val="Hyperlink"/>
                  <w:rFonts w:ascii="Arial" w:hAnsi="Arial" w:cs="Arial"/>
                  <w:b/>
                  <w:bCs/>
                  <w:iCs/>
                  <w:color w:val="0070C0"/>
                  <w:sz w:val="20"/>
                  <w:szCs w:val="15"/>
                  <w:lang w:val="en-US"/>
                </w:rPr>
                <w:t xml:space="preserve"> home</w:t>
              </w:r>
            </w:hyperlink>
            <w:r w:rsidR="00D2402E" w:rsidRPr="009B0BCE">
              <w:rPr>
                <w:rFonts w:cs="Arial"/>
                <w:b/>
                <w:bCs/>
                <w:iCs/>
                <w:color w:val="0070C0"/>
                <w:sz w:val="20"/>
                <w:szCs w:val="15"/>
                <w:lang w:val="en-US"/>
              </w:rPr>
              <w:t xml:space="preserve"> | </w:t>
            </w:r>
            <w:hyperlink r:id="rId9" w:history="1">
              <w:r w:rsidR="00D2402E" w:rsidRPr="009B0BCE">
                <w:rPr>
                  <w:rStyle w:val="Hyperlink"/>
                  <w:rFonts w:ascii="Arial" w:hAnsi="Arial" w:cs="Arial"/>
                  <w:b/>
                  <w:bCs/>
                  <w:iCs/>
                  <w:color w:val="0070C0"/>
                  <w:sz w:val="20"/>
                  <w:szCs w:val="15"/>
                  <w:lang w:val="en-US"/>
                </w:rPr>
                <w:t>Contact</w:t>
              </w:r>
            </w:hyperlink>
          </w:p>
        </w:tc>
      </w:tr>
    </w:tbl>
    <w:p w14:paraId="60637A46" w14:textId="77777777" w:rsidR="00B85859" w:rsidRDefault="00B85859"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3438"/>
        <w:gridCol w:w="7113"/>
      </w:tblGrid>
      <w:tr w:rsidR="0020101A" w:rsidRPr="00862949" w14:paraId="11CD6988" w14:textId="77777777" w:rsidTr="002772ED">
        <w:tc>
          <w:tcPr>
            <w:tcW w:w="5000" w:type="pct"/>
            <w:gridSpan w:val="2"/>
            <w:shd w:val="clear" w:color="auto" w:fill="0070C0"/>
            <w:tcMar>
              <w:top w:w="85" w:type="dxa"/>
              <w:bottom w:w="85" w:type="dxa"/>
            </w:tcMar>
            <w:vAlign w:val="bottom"/>
          </w:tcPr>
          <w:p w14:paraId="6356BE3F"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56732AB9" w14:textId="77777777" w:rsidTr="002772ED">
        <w:tc>
          <w:tcPr>
            <w:tcW w:w="5000" w:type="pct"/>
            <w:gridSpan w:val="2"/>
            <w:shd w:val="clear" w:color="auto" w:fill="DAEEF3"/>
            <w:tcMar>
              <w:top w:w="0" w:type="dxa"/>
              <w:bottom w:w="0" w:type="dxa"/>
            </w:tcMar>
          </w:tcPr>
          <w:p w14:paraId="10563670" w14:textId="77777777" w:rsidR="0020101A" w:rsidRPr="00862949" w:rsidRDefault="0020101A" w:rsidP="00720F9E">
            <w:pPr>
              <w:rPr>
                <w:rFonts w:cs="Arial"/>
                <w:b/>
                <w:bCs/>
                <w:i/>
                <w:iCs/>
                <w:color w:val="000000"/>
                <w:sz w:val="8"/>
                <w:szCs w:val="8"/>
                <w:lang w:val="en-US"/>
              </w:rPr>
            </w:pPr>
          </w:p>
        </w:tc>
      </w:tr>
      <w:tr w:rsidR="0020101A" w:rsidRPr="00862949" w14:paraId="3AA483B0" w14:textId="77777777" w:rsidTr="002772ED">
        <w:tc>
          <w:tcPr>
            <w:tcW w:w="5000" w:type="pct"/>
            <w:gridSpan w:val="2"/>
            <w:shd w:val="clear" w:color="auto" w:fill="00B050"/>
            <w:tcMar>
              <w:top w:w="57" w:type="dxa"/>
              <w:bottom w:w="57" w:type="dxa"/>
            </w:tcMar>
          </w:tcPr>
          <w:p w14:paraId="1B3AD25A"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771F41" w:rsidRPr="00131D4C" w14:paraId="730E987B" w14:textId="77777777" w:rsidTr="003D2702">
        <w:tc>
          <w:tcPr>
            <w:tcW w:w="1629" w:type="pct"/>
            <w:shd w:val="clear" w:color="auto" w:fill="auto"/>
            <w:tcMar>
              <w:top w:w="57" w:type="dxa"/>
              <w:left w:w="170" w:type="dxa"/>
              <w:bottom w:w="57" w:type="dxa"/>
              <w:right w:w="170" w:type="dxa"/>
            </w:tcMar>
          </w:tcPr>
          <w:p w14:paraId="545CCB3B" w14:textId="3DF9FD4A" w:rsidR="00771F41" w:rsidRPr="00C24EC1" w:rsidRDefault="00771F41" w:rsidP="00771F41">
            <w:pPr>
              <w:rPr>
                <w:rFonts w:cs="Arial"/>
                <w:color w:val="000000" w:themeColor="text1"/>
                <w:szCs w:val="19"/>
              </w:rPr>
            </w:pPr>
            <w:r w:rsidRPr="00C24EC1">
              <w:rPr>
                <w:rFonts w:cs="Arial"/>
                <w:color w:val="000000" w:themeColor="text1"/>
                <w:szCs w:val="19"/>
              </w:rPr>
              <w:t>Aflibercept (</w:t>
            </w:r>
            <w:r w:rsidRPr="00C24EC1">
              <w:rPr>
                <w:rFonts w:cs="Arial"/>
                <w:i/>
                <w:iCs/>
                <w:color w:val="000000" w:themeColor="text1"/>
                <w:szCs w:val="19"/>
              </w:rPr>
              <w:t>Eylea 114.3 mg/ml</w:t>
            </w:r>
            <w:r w:rsidRPr="00C24EC1">
              <w:rPr>
                <w:rFonts w:cs="Arial"/>
                <w:color w:val="000000" w:themeColor="text1"/>
                <w:szCs w:val="19"/>
              </w:rPr>
              <w:t xml:space="preserve">) </w:t>
            </w:r>
            <w:r w:rsidRPr="00C24EC1">
              <w:rPr>
                <w:rFonts w:cs="Arial"/>
                <w:color w:val="000000" w:themeColor="text1"/>
                <w:sz w:val="16"/>
                <w:szCs w:val="16"/>
              </w:rPr>
              <w:t>30.1mg in 0.263m</w:t>
            </w:r>
            <w:r w:rsidR="00C24EC1">
              <w:rPr>
                <w:rFonts w:cs="Arial"/>
                <w:color w:val="000000" w:themeColor="text1"/>
                <w:sz w:val="16"/>
                <w:szCs w:val="16"/>
              </w:rPr>
              <w:t>L</w:t>
            </w:r>
            <w:r w:rsidRPr="00C24EC1">
              <w:rPr>
                <w:rFonts w:cs="Arial"/>
                <w:color w:val="000000" w:themeColor="text1"/>
                <w:sz w:val="16"/>
                <w:szCs w:val="16"/>
              </w:rPr>
              <w:t xml:space="preserve"> vial</w:t>
            </w:r>
          </w:p>
        </w:tc>
        <w:tc>
          <w:tcPr>
            <w:tcW w:w="3371" w:type="pct"/>
            <w:shd w:val="clear" w:color="auto" w:fill="auto"/>
            <w:tcMar>
              <w:top w:w="57" w:type="dxa"/>
              <w:left w:w="170" w:type="dxa"/>
              <w:bottom w:w="57" w:type="dxa"/>
              <w:right w:w="170" w:type="dxa"/>
            </w:tcMar>
          </w:tcPr>
          <w:p w14:paraId="7AE3ED39" w14:textId="497F7391" w:rsidR="00C24EC1" w:rsidRPr="00C24EC1" w:rsidRDefault="00C24EC1" w:rsidP="00C24EC1">
            <w:pPr>
              <w:tabs>
                <w:tab w:val="center" w:pos="3152"/>
              </w:tabs>
              <w:rPr>
                <w:rFonts w:cs="Arial"/>
                <w:color w:val="000000" w:themeColor="text1"/>
                <w:sz w:val="16"/>
                <w:szCs w:val="19"/>
                <w:lang w:val="en-US"/>
              </w:rPr>
            </w:pPr>
            <w:r w:rsidRPr="00C24EC1">
              <w:rPr>
                <w:rFonts w:cs="Arial"/>
                <w:color w:val="000000" w:themeColor="text1"/>
                <w:szCs w:val="19"/>
                <w:lang w:val="en-US"/>
              </w:rPr>
              <w:t>Use in adults for the treatment of neovascular (wet) age-related macular degeneration and visual impairment due to diabetic macular oedema</w:t>
            </w:r>
            <w:r w:rsidRPr="00C24EC1">
              <w:rPr>
                <w:rFonts w:cs="Arial"/>
                <w:color w:val="000000" w:themeColor="text1"/>
                <w:sz w:val="16"/>
                <w:szCs w:val="19"/>
                <w:lang w:val="en-US"/>
              </w:rPr>
              <w:t xml:space="preserve"> </w:t>
            </w:r>
          </w:p>
          <w:p w14:paraId="5FF5C836" w14:textId="57ABF507" w:rsidR="00771F41" w:rsidRPr="00C24EC1" w:rsidRDefault="00771F41" w:rsidP="00C24EC1">
            <w:pPr>
              <w:tabs>
                <w:tab w:val="center" w:pos="3152"/>
              </w:tabs>
              <w:rPr>
                <w:rFonts w:cs="Arial"/>
                <w:color w:val="000000" w:themeColor="text1"/>
                <w:szCs w:val="19"/>
                <w:lang w:val="en-US"/>
              </w:rPr>
            </w:pPr>
            <w:r w:rsidRPr="00C24EC1">
              <w:rPr>
                <w:rFonts w:cs="Arial"/>
                <w:color w:val="000000" w:themeColor="text1"/>
                <w:sz w:val="16"/>
                <w:szCs w:val="16"/>
                <w:lang w:val="en-US"/>
              </w:rPr>
              <w:t>[new high-dose extended-interval formulation]</w:t>
            </w:r>
          </w:p>
        </w:tc>
      </w:tr>
      <w:tr w:rsidR="00600679" w:rsidRPr="00131D4C" w14:paraId="49EB701F" w14:textId="77777777" w:rsidTr="003D2702">
        <w:tc>
          <w:tcPr>
            <w:tcW w:w="1629" w:type="pct"/>
            <w:shd w:val="clear" w:color="auto" w:fill="auto"/>
            <w:tcMar>
              <w:top w:w="57" w:type="dxa"/>
              <w:left w:w="170" w:type="dxa"/>
              <w:bottom w:w="57" w:type="dxa"/>
              <w:right w:w="170" w:type="dxa"/>
            </w:tcMar>
          </w:tcPr>
          <w:p w14:paraId="1EC82D23" w14:textId="77777777" w:rsidR="00600679" w:rsidRDefault="00600679" w:rsidP="00600679">
            <w:pPr>
              <w:rPr>
                <w:rFonts w:cs="Arial"/>
                <w:color w:val="000000" w:themeColor="text1"/>
                <w:szCs w:val="19"/>
              </w:rPr>
            </w:pPr>
            <w:r w:rsidRPr="00012B47">
              <w:rPr>
                <w:rFonts w:cs="Arial"/>
                <w:color w:val="000000" w:themeColor="text1"/>
                <w:szCs w:val="19"/>
              </w:rPr>
              <w:t xml:space="preserve">Bevacizumab biosimilar </w:t>
            </w:r>
            <w:r>
              <w:rPr>
                <w:rFonts w:cs="Arial"/>
                <w:color w:val="000000" w:themeColor="text1"/>
                <w:szCs w:val="19"/>
              </w:rPr>
              <w:t>(</w:t>
            </w:r>
            <w:r w:rsidRPr="00012B47">
              <w:rPr>
                <w:rFonts w:cs="Arial"/>
                <w:i/>
                <w:iCs/>
                <w:color w:val="000000" w:themeColor="text1"/>
                <w:szCs w:val="19"/>
              </w:rPr>
              <w:t>Versavo</w:t>
            </w:r>
            <w:r w:rsidRPr="00012B47">
              <w:rPr>
                <w:rFonts w:cs="Arial"/>
                <w:color w:val="000000" w:themeColor="text1"/>
                <w:szCs w:val="19"/>
              </w:rPr>
              <w:t>)</w:t>
            </w:r>
            <w:r>
              <w:rPr>
                <w:rFonts w:cs="Arial"/>
                <w:color w:val="000000" w:themeColor="text1"/>
                <w:szCs w:val="19"/>
              </w:rPr>
              <w:t xml:space="preserve"> </w:t>
            </w:r>
          </w:p>
          <w:p w14:paraId="11FC90DC" w14:textId="658447ED" w:rsidR="00600679" w:rsidRPr="00CB7CB1" w:rsidRDefault="00600679" w:rsidP="00600679">
            <w:pPr>
              <w:rPr>
                <w:rFonts w:cs="Arial"/>
                <w:szCs w:val="19"/>
              </w:rPr>
            </w:pPr>
            <w:r w:rsidRPr="00833786">
              <w:rPr>
                <w:rFonts w:cs="Arial"/>
                <w:color w:val="000000" w:themeColor="text1"/>
                <w:sz w:val="16"/>
                <w:szCs w:val="16"/>
              </w:rPr>
              <w:t>100mg in 4mL and 400mg in 16mL vials</w:t>
            </w:r>
          </w:p>
        </w:tc>
        <w:tc>
          <w:tcPr>
            <w:tcW w:w="3371" w:type="pct"/>
            <w:shd w:val="clear" w:color="auto" w:fill="auto"/>
            <w:tcMar>
              <w:top w:w="57" w:type="dxa"/>
              <w:left w:w="170" w:type="dxa"/>
              <w:bottom w:w="57" w:type="dxa"/>
              <w:right w:w="170" w:type="dxa"/>
            </w:tcMar>
          </w:tcPr>
          <w:p w14:paraId="214E0A3C" w14:textId="43F3669C" w:rsidR="00600679" w:rsidRDefault="00600679" w:rsidP="00600679">
            <w:pPr>
              <w:tabs>
                <w:tab w:val="center" w:pos="3152"/>
              </w:tabs>
              <w:rPr>
                <w:rFonts w:cs="Arial"/>
                <w:bCs/>
                <w:szCs w:val="19"/>
              </w:rPr>
            </w:pPr>
            <w:r w:rsidRPr="00012B47">
              <w:rPr>
                <w:rFonts w:cs="Arial"/>
                <w:color w:val="000000" w:themeColor="text1"/>
                <w:szCs w:val="19"/>
                <w:lang w:val="en-US"/>
              </w:rPr>
              <w:t>Treatment of adults with metastatic carcinoma of the colon or rectum, metastatic breast cancer, unresectable advanced, metastatic or recurrent non-small cell lung cancer, advanced and/or metastatic renal cell cancer, epithelial ovarian, fallopian tube, or primary peritoneal cancer, and persistent, recurrent, or metastatic carcinoma of the cervix</w:t>
            </w:r>
          </w:p>
        </w:tc>
      </w:tr>
      <w:tr w:rsidR="00B406D5" w:rsidRPr="00131D4C" w14:paraId="0BB932C3" w14:textId="77777777" w:rsidTr="003D2702">
        <w:tc>
          <w:tcPr>
            <w:tcW w:w="1629" w:type="pct"/>
            <w:shd w:val="clear" w:color="auto" w:fill="auto"/>
            <w:tcMar>
              <w:top w:w="57" w:type="dxa"/>
              <w:left w:w="170" w:type="dxa"/>
              <w:bottom w:w="57" w:type="dxa"/>
              <w:right w:w="170" w:type="dxa"/>
            </w:tcMar>
          </w:tcPr>
          <w:p w14:paraId="3624688C" w14:textId="77777777" w:rsidR="00B406D5" w:rsidRDefault="00B406D5" w:rsidP="00DD6F65">
            <w:pPr>
              <w:rPr>
                <w:rFonts w:cs="Arial"/>
                <w:szCs w:val="19"/>
              </w:rPr>
            </w:pPr>
            <w:r w:rsidRPr="00B406D5">
              <w:rPr>
                <w:rFonts w:cs="Arial"/>
                <w:szCs w:val="19"/>
              </w:rPr>
              <w:t>Diphtheria + tetanus + pertussis vaccine (</w:t>
            </w:r>
            <w:r w:rsidRPr="00B406D5">
              <w:rPr>
                <w:rFonts w:cs="Arial"/>
                <w:i/>
                <w:iCs/>
                <w:szCs w:val="19"/>
              </w:rPr>
              <w:t>Adacel</w:t>
            </w:r>
            <w:r w:rsidRPr="00B406D5">
              <w:rPr>
                <w:rFonts w:cs="Arial"/>
                <w:szCs w:val="19"/>
              </w:rPr>
              <w:t>)</w:t>
            </w:r>
            <w:r>
              <w:rPr>
                <w:rFonts w:cs="Arial"/>
                <w:szCs w:val="19"/>
              </w:rPr>
              <w:t xml:space="preserve"> </w:t>
            </w:r>
          </w:p>
          <w:p w14:paraId="072B29B9" w14:textId="112E3E9B" w:rsidR="00B406D5" w:rsidRPr="00B406D5" w:rsidRDefault="00B406D5" w:rsidP="00DD6F65">
            <w:pPr>
              <w:rPr>
                <w:rFonts w:cs="Arial"/>
                <w:i/>
                <w:iCs/>
                <w:szCs w:val="19"/>
              </w:rPr>
            </w:pPr>
            <w:r w:rsidRPr="00B406D5">
              <w:rPr>
                <w:rFonts w:cs="Arial"/>
                <w:sz w:val="16"/>
                <w:szCs w:val="16"/>
              </w:rPr>
              <w:t>Single-dose prefilled syringe</w:t>
            </w:r>
          </w:p>
        </w:tc>
        <w:tc>
          <w:tcPr>
            <w:tcW w:w="3371" w:type="pct"/>
            <w:shd w:val="clear" w:color="auto" w:fill="auto"/>
            <w:tcMar>
              <w:top w:w="57" w:type="dxa"/>
              <w:left w:w="170" w:type="dxa"/>
              <w:bottom w:w="57" w:type="dxa"/>
              <w:right w:w="170" w:type="dxa"/>
            </w:tcMar>
          </w:tcPr>
          <w:p w14:paraId="1DEC4253" w14:textId="18D12BB7" w:rsidR="00B406D5" w:rsidRPr="002542D2" w:rsidRDefault="00B406D5" w:rsidP="00DD6F65">
            <w:pPr>
              <w:tabs>
                <w:tab w:val="center" w:pos="3152"/>
              </w:tabs>
              <w:rPr>
                <w:rFonts w:cs="Arial"/>
                <w:color w:val="000000"/>
                <w:szCs w:val="19"/>
                <w:lang w:val="en-US"/>
              </w:rPr>
            </w:pPr>
            <w:r w:rsidRPr="00B406D5">
              <w:rPr>
                <w:rFonts w:cs="Arial"/>
                <w:color w:val="000000"/>
                <w:szCs w:val="19"/>
                <w:lang w:val="en-US"/>
              </w:rPr>
              <w:t xml:space="preserve">Active immunisation against tetanus, diphtheria and pertussis in persons </w:t>
            </w:r>
            <w:r>
              <w:rPr>
                <w:rFonts w:cs="Arial"/>
                <w:color w:val="000000"/>
                <w:szCs w:val="19"/>
                <w:lang w:val="en-US"/>
              </w:rPr>
              <w:t>aged ≥</w:t>
            </w:r>
            <w:r w:rsidRPr="00B406D5">
              <w:rPr>
                <w:rFonts w:cs="Arial"/>
                <w:color w:val="000000"/>
                <w:szCs w:val="19"/>
                <w:lang w:val="en-US"/>
              </w:rPr>
              <w:t>4 years as a booster following primary immunisation. Also for passive protection against pertussis in early infancy following maternal immunisation during pregnancy.</w:t>
            </w:r>
          </w:p>
        </w:tc>
      </w:tr>
      <w:tr w:rsidR="00DD6F65" w:rsidRPr="00131D4C" w14:paraId="014B2A09" w14:textId="77777777" w:rsidTr="003D2702">
        <w:tc>
          <w:tcPr>
            <w:tcW w:w="1629" w:type="pct"/>
            <w:shd w:val="clear" w:color="auto" w:fill="auto"/>
            <w:tcMar>
              <w:top w:w="57" w:type="dxa"/>
              <w:left w:w="170" w:type="dxa"/>
              <w:bottom w:w="57" w:type="dxa"/>
              <w:right w:w="170" w:type="dxa"/>
            </w:tcMar>
          </w:tcPr>
          <w:p w14:paraId="662882FE" w14:textId="77777777" w:rsidR="00DD6F65" w:rsidRDefault="00DD6F65" w:rsidP="00DD6F65">
            <w:pPr>
              <w:rPr>
                <w:rFonts w:cs="Arial"/>
                <w:szCs w:val="19"/>
              </w:rPr>
            </w:pPr>
            <w:r>
              <w:rPr>
                <w:rFonts w:cs="Arial"/>
                <w:szCs w:val="19"/>
              </w:rPr>
              <w:t>Efgartigimod alfa (</w:t>
            </w:r>
            <w:r>
              <w:rPr>
                <w:rFonts w:cs="Arial"/>
                <w:i/>
                <w:iCs/>
                <w:szCs w:val="19"/>
              </w:rPr>
              <w:t>Vyvgart</w:t>
            </w:r>
            <w:r>
              <w:rPr>
                <w:rFonts w:cs="Arial"/>
                <w:szCs w:val="19"/>
              </w:rPr>
              <w:t xml:space="preserve">) </w:t>
            </w:r>
          </w:p>
          <w:p w14:paraId="6839244F" w14:textId="3B3637AB" w:rsidR="00DD6F65" w:rsidRPr="009B4F9E" w:rsidRDefault="00DD6F65" w:rsidP="00DD6F65">
            <w:pPr>
              <w:rPr>
                <w:rFonts w:cs="Arial"/>
                <w:szCs w:val="19"/>
              </w:rPr>
            </w:pPr>
            <w:r w:rsidRPr="002542D2">
              <w:rPr>
                <w:rFonts w:cs="Arial"/>
                <w:sz w:val="16"/>
                <w:szCs w:val="16"/>
              </w:rPr>
              <w:t>1,000mg in 5.6mL vial</w:t>
            </w:r>
          </w:p>
        </w:tc>
        <w:tc>
          <w:tcPr>
            <w:tcW w:w="3371" w:type="pct"/>
            <w:shd w:val="clear" w:color="auto" w:fill="auto"/>
            <w:tcMar>
              <w:top w:w="57" w:type="dxa"/>
              <w:left w:w="170" w:type="dxa"/>
              <w:bottom w:w="57" w:type="dxa"/>
              <w:right w:w="170" w:type="dxa"/>
            </w:tcMar>
          </w:tcPr>
          <w:p w14:paraId="7332DCBD" w14:textId="2A027C74" w:rsidR="00DD6F65" w:rsidRPr="00A075A3" w:rsidRDefault="00DD6F65" w:rsidP="00DD6F65">
            <w:pPr>
              <w:tabs>
                <w:tab w:val="center" w:pos="3152"/>
              </w:tabs>
              <w:rPr>
                <w:rFonts w:cs="Arial"/>
                <w:szCs w:val="19"/>
                <w:lang w:val="en-US"/>
              </w:rPr>
            </w:pPr>
            <w:r w:rsidRPr="002542D2">
              <w:rPr>
                <w:rFonts w:cs="Arial"/>
                <w:color w:val="000000"/>
                <w:szCs w:val="19"/>
                <w:lang w:val="en-US"/>
              </w:rPr>
              <w:t xml:space="preserve">Use as an add-on to standard therapy for the treatment of generalised </w:t>
            </w:r>
            <w:r>
              <w:rPr>
                <w:rFonts w:cs="Arial"/>
                <w:color w:val="000000"/>
                <w:szCs w:val="19"/>
                <w:lang w:val="en-US"/>
              </w:rPr>
              <w:t>m</w:t>
            </w:r>
            <w:r w:rsidRPr="002542D2">
              <w:rPr>
                <w:rFonts w:cs="Arial"/>
                <w:color w:val="000000"/>
                <w:szCs w:val="19"/>
                <w:lang w:val="en-US"/>
              </w:rPr>
              <w:t xml:space="preserve">yasthenia </w:t>
            </w:r>
            <w:r>
              <w:rPr>
                <w:rFonts w:cs="Arial"/>
                <w:color w:val="000000"/>
                <w:szCs w:val="19"/>
                <w:lang w:val="en-US"/>
              </w:rPr>
              <w:t>g</w:t>
            </w:r>
            <w:r w:rsidRPr="002542D2">
              <w:rPr>
                <w:rFonts w:cs="Arial"/>
                <w:color w:val="000000"/>
                <w:szCs w:val="19"/>
                <w:lang w:val="en-US"/>
              </w:rPr>
              <w:t>ravis in adult</w:t>
            </w:r>
            <w:r>
              <w:rPr>
                <w:rFonts w:cs="Arial"/>
                <w:color w:val="000000"/>
                <w:szCs w:val="19"/>
                <w:lang w:val="en-US"/>
              </w:rPr>
              <w:t>s</w:t>
            </w:r>
            <w:r w:rsidRPr="002542D2">
              <w:rPr>
                <w:rFonts w:cs="Arial"/>
                <w:color w:val="000000"/>
                <w:szCs w:val="19"/>
                <w:lang w:val="en-US"/>
              </w:rPr>
              <w:t xml:space="preserve"> who are anti-acetylcholine receptor antibody positive</w:t>
            </w:r>
            <w:r>
              <w:rPr>
                <w:rFonts w:cs="Arial"/>
                <w:color w:val="000000"/>
                <w:szCs w:val="19"/>
                <w:lang w:val="en-US"/>
              </w:rPr>
              <w:t xml:space="preserve"> </w:t>
            </w:r>
            <w:r w:rsidRPr="002542D2">
              <w:rPr>
                <w:rFonts w:cs="Arial"/>
                <w:color w:val="000000"/>
                <w:sz w:val="16"/>
                <w:szCs w:val="16"/>
                <w:lang w:val="en-US"/>
              </w:rPr>
              <w:t>[new subcutaneous formulation]</w:t>
            </w:r>
          </w:p>
        </w:tc>
      </w:tr>
      <w:tr w:rsidR="00DD6F65" w:rsidRPr="00131D4C" w14:paraId="2B507AE7" w14:textId="77777777" w:rsidTr="003D2702">
        <w:tc>
          <w:tcPr>
            <w:tcW w:w="1629" w:type="pct"/>
            <w:shd w:val="clear" w:color="auto" w:fill="auto"/>
            <w:tcMar>
              <w:top w:w="57" w:type="dxa"/>
              <w:left w:w="170" w:type="dxa"/>
              <w:bottom w:w="57" w:type="dxa"/>
              <w:right w:w="170" w:type="dxa"/>
            </w:tcMar>
          </w:tcPr>
          <w:p w14:paraId="15073221" w14:textId="2A967593" w:rsidR="00DD6F65" w:rsidRDefault="00DD6F65" w:rsidP="00DD6F65">
            <w:pPr>
              <w:rPr>
                <w:rFonts w:cs="Arial"/>
                <w:szCs w:val="19"/>
              </w:rPr>
            </w:pPr>
            <w:r>
              <w:rPr>
                <w:rFonts w:cs="Arial"/>
                <w:szCs w:val="19"/>
              </w:rPr>
              <w:t>Foslevodopa + foscarbidopa (</w:t>
            </w:r>
            <w:r>
              <w:rPr>
                <w:rFonts w:cs="Arial"/>
                <w:i/>
                <w:iCs/>
                <w:szCs w:val="19"/>
              </w:rPr>
              <w:t>Produodopa</w:t>
            </w:r>
            <w:r>
              <w:rPr>
                <w:rFonts w:cs="Arial"/>
                <w:szCs w:val="19"/>
              </w:rPr>
              <w:t xml:space="preserve">) </w:t>
            </w:r>
          </w:p>
          <w:p w14:paraId="3B9859FC" w14:textId="501AD2C3" w:rsidR="00DD6F65" w:rsidRPr="00A075A3" w:rsidRDefault="00DD6F65" w:rsidP="00DD6F65">
            <w:pPr>
              <w:rPr>
                <w:rFonts w:cs="Arial"/>
                <w:szCs w:val="19"/>
              </w:rPr>
            </w:pPr>
            <w:r w:rsidRPr="00784B78">
              <w:rPr>
                <w:rFonts w:cs="Arial"/>
                <w:sz w:val="16"/>
                <w:szCs w:val="16"/>
              </w:rPr>
              <w:t>2,400mg/120mg in 10mL vial</w:t>
            </w:r>
          </w:p>
        </w:tc>
        <w:tc>
          <w:tcPr>
            <w:tcW w:w="3371" w:type="pct"/>
            <w:shd w:val="clear" w:color="auto" w:fill="auto"/>
            <w:tcMar>
              <w:top w:w="57" w:type="dxa"/>
              <w:left w:w="170" w:type="dxa"/>
              <w:bottom w:w="57" w:type="dxa"/>
              <w:right w:w="170" w:type="dxa"/>
            </w:tcMar>
          </w:tcPr>
          <w:p w14:paraId="5EC0F3A9" w14:textId="30145437" w:rsidR="00DD6F65" w:rsidRPr="009B0BCE" w:rsidRDefault="00DD6F65" w:rsidP="00DD6F65">
            <w:pPr>
              <w:tabs>
                <w:tab w:val="center" w:pos="3152"/>
              </w:tabs>
              <w:rPr>
                <w:rFonts w:cs="Arial"/>
                <w:color w:val="000000"/>
                <w:sz w:val="20"/>
                <w:szCs w:val="18"/>
                <w:lang w:val="en-US"/>
              </w:rPr>
            </w:pPr>
            <w:r w:rsidRPr="00784B78">
              <w:rPr>
                <w:rFonts w:cs="Arial"/>
                <w:color w:val="000000"/>
                <w:szCs w:val="19"/>
                <w:lang w:val="en-US"/>
              </w:rPr>
              <w:t>Treatment of advanced levodopa-responsive Parkinson’s disease with severe motor fluctuations and hyperkinesia or dyskinesia when available combinations of Parkinson medicinal products have not given satisfactory results</w:t>
            </w:r>
          </w:p>
        </w:tc>
      </w:tr>
      <w:tr w:rsidR="00DD6F65" w:rsidRPr="00131D4C" w14:paraId="4C8A42D1" w14:textId="77777777" w:rsidTr="003D2702">
        <w:tc>
          <w:tcPr>
            <w:tcW w:w="1629" w:type="pct"/>
            <w:shd w:val="clear" w:color="auto" w:fill="auto"/>
            <w:tcMar>
              <w:top w:w="57" w:type="dxa"/>
              <w:left w:w="170" w:type="dxa"/>
              <w:bottom w:w="57" w:type="dxa"/>
              <w:right w:w="170" w:type="dxa"/>
            </w:tcMar>
          </w:tcPr>
          <w:p w14:paraId="79FE898C" w14:textId="77777777" w:rsidR="00DD6F65" w:rsidRDefault="00DD6F65" w:rsidP="00DD6F65">
            <w:pPr>
              <w:rPr>
                <w:rFonts w:cs="Arial"/>
                <w:szCs w:val="19"/>
              </w:rPr>
            </w:pPr>
            <w:r w:rsidRPr="003B3A45">
              <w:rPr>
                <w:rFonts w:cs="Arial"/>
                <w:szCs w:val="19"/>
              </w:rPr>
              <w:t>Human normal immunoglobulin </w:t>
            </w:r>
          </w:p>
          <w:p w14:paraId="4987C7F5" w14:textId="7E3DB2F2" w:rsidR="00DD6F65" w:rsidRPr="00EA51C2" w:rsidRDefault="00DD6F65" w:rsidP="00DD6F65">
            <w:pPr>
              <w:rPr>
                <w:rFonts w:cs="Arial"/>
                <w:szCs w:val="19"/>
              </w:rPr>
            </w:pPr>
            <w:r>
              <w:rPr>
                <w:rFonts w:cs="Arial"/>
                <w:szCs w:val="19"/>
              </w:rPr>
              <w:t>(</w:t>
            </w:r>
            <w:r>
              <w:rPr>
                <w:rFonts w:cs="Arial"/>
                <w:i/>
                <w:iCs/>
                <w:szCs w:val="19"/>
              </w:rPr>
              <w:t>HyQvia</w:t>
            </w:r>
            <w:r>
              <w:rPr>
                <w:rFonts w:cs="Arial"/>
                <w:szCs w:val="19"/>
              </w:rPr>
              <w:t>)</w:t>
            </w:r>
            <w:r>
              <w:t xml:space="preserve"> </w:t>
            </w:r>
            <w:r w:rsidRPr="00F44F5C">
              <w:rPr>
                <w:sz w:val="16"/>
                <w:szCs w:val="20"/>
              </w:rPr>
              <w:t>200units in</w:t>
            </w:r>
            <w:r w:rsidRPr="00F44F5C">
              <w:rPr>
                <w:rFonts w:cs="Arial"/>
                <w:sz w:val="16"/>
                <w:szCs w:val="16"/>
              </w:rPr>
              <w:t xml:space="preserve"> 1.25mL, 400units in 2.5mL, 800units in 5mL, 1,600units in 10mL, and 2,400units in 15mL vials</w:t>
            </w:r>
          </w:p>
        </w:tc>
        <w:tc>
          <w:tcPr>
            <w:tcW w:w="3371" w:type="pct"/>
            <w:shd w:val="clear" w:color="auto" w:fill="auto"/>
            <w:tcMar>
              <w:top w:w="57" w:type="dxa"/>
              <w:left w:w="170" w:type="dxa"/>
              <w:bottom w:w="57" w:type="dxa"/>
              <w:right w:w="170" w:type="dxa"/>
            </w:tcMar>
          </w:tcPr>
          <w:p w14:paraId="790EEC40" w14:textId="595F81C8" w:rsidR="00DD6F65" w:rsidRPr="00B64A1C" w:rsidRDefault="00DD6F65" w:rsidP="00DD6F65">
            <w:pPr>
              <w:tabs>
                <w:tab w:val="center" w:pos="3152"/>
              </w:tabs>
              <w:rPr>
                <w:rFonts w:cs="Arial"/>
                <w:sz w:val="18"/>
                <w:szCs w:val="18"/>
              </w:rPr>
            </w:pPr>
            <w:r w:rsidRPr="003B3A45">
              <w:rPr>
                <w:rFonts w:cs="Arial"/>
                <w:szCs w:val="19"/>
                <w:lang w:val="en-US"/>
              </w:rPr>
              <w:t xml:space="preserve">Immunomodulatory therapy in adults, children and adolescents </w:t>
            </w:r>
            <w:r>
              <w:rPr>
                <w:rFonts w:cs="Arial"/>
                <w:szCs w:val="19"/>
                <w:lang w:val="en-US"/>
              </w:rPr>
              <w:t xml:space="preserve">aged </w:t>
            </w:r>
            <w:r w:rsidRPr="003B3A45">
              <w:rPr>
                <w:rFonts w:cs="Arial"/>
                <w:szCs w:val="19"/>
                <w:lang w:val="en-US"/>
              </w:rPr>
              <w:t xml:space="preserve">0 to 18 years in </w:t>
            </w:r>
            <w:r>
              <w:rPr>
                <w:rFonts w:cs="Arial"/>
                <w:szCs w:val="19"/>
                <w:lang w:val="en-US"/>
              </w:rPr>
              <w:t>c</w:t>
            </w:r>
            <w:r w:rsidRPr="003B3A45">
              <w:rPr>
                <w:rFonts w:cs="Arial"/>
                <w:szCs w:val="19"/>
                <w:lang w:val="en-US"/>
              </w:rPr>
              <w:t>hronic inflammatory demyelinating polyneuropathy as maintenance therapy after stabili</w:t>
            </w:r>
            <w:r>
              <w:rPr>
                <w:rFonts w:cs="Arial"/>
                <w:szCs w:val="19"/>
                <w:lang w:val="en-US"/>
              </w:rPr>
              <w:t>s</w:t>
            </w:r>
            <w:r w:rsidRPr="003B3A45">
              <w:rPr>
                <w:rFonts w:cs="Arial"/>
                <w:szCs w:val="19"/>
                <w:lang w:val="en-US"/>
              </w:rPr>
              <w:t xml:space="preserve">ation with </w:t>
            </w:r>
            <w:r>
              <w:rPr>
                <w:rFonts w:cs="Arial"/>
                <w:szCs w:val="19"/>
                <w:lang w:val="en-US"/>
              </w:rPr>
              <w:t xml:space="preserve">intravenous immunoglobulin </w:t>
            </w:r>
            <w:r w:rsidRPr="003B3A45">
              <w:rPr>
                <w:rFonts w:cs="Arial"/>
                <w:sz w:val="16"/>
                <w:szCs w:val="16"/>
                <w:lang w:val="en-US"/>
              </w:rPr>
              <w:t>[new indication]</w:t>
            </w:r>
          </w:p>
        </w:tc>
      </w:tr>
      <w:tr w:rsidR="00DD6F65" w:rsidRPr="00131D4C" w14:paraId="30C859BE" w14:textId="77777777" w:rsidTr="003D2702">
        <w:tc>
          <w:tcPr>
            <w:tcW w:w="1629" w:type="pct"/>
            <w:shd w:val="clear" w:color="auto" w:fill="auto"/>
            <w:tcMar>
              <w:top w:w="57" w:type="dxa"/>
              <w:left w:w="170" w:type="dxa"/>
              <w:bottom w:w="57" w:type="dxa"/>
              <w:right w:w="170" w:type="dxa"/>
            </w:tcMar>
          </w:tcPr>
          <w:p w14:paraId="74C48BCE" w14:textId="77777777" w:rsidR="00DD6F65" w:rsidRDefault="00DD6F65" w:rsidP="00DD6F65">
            <w:pPr>
              <w:jc w:val="both"/>
              <w:rPr>
                <w:rFonts w:cs="Arial"/>
                <w:szCs w:val="19"/>
              </w:rPr>
            </w:pPr>
            <w:r w:rsidRPr="00462613">
              <w:rPr>
                <w:rFonts w:cs="Arial"/>
                <w:szCs w:val="19"/>
              </w:rPr>
              <w:t>Levomepromazine</w:t>
            </w:r>
            <w:r>
              <w:rPr>
                <w:rFonts w:cs="Arial"/>
                <w:szCs w:val="19"/>
              </w:rPr>
              <w:t xml:space="preserve"> (</w:t>
            </w:r>
            <w:r w:rsidRPr="00462613">
              <w:rPr>
                <w:rFonts w:cs="Arial"/>
                <w:i/>
                <w:iCs/>
                <w:szCs w:val="19"/>
              </w:rPr>
              <w:t>Levorol</w:t>
            </w:r>
            <w:r>
              <w:rPr>
                <w:rFonts w:cs="Arial"/>
                <w:szCs w:val="19"/>
              </w:rPr>
              <w:t xml:space="preserve">) </w:t>
            </w:r>
          </w:p>
          <w:p w14:paraId="6F323798" w14:textId="4CE7D433" w:rsidR="00DD6F65" w:rsidRPr="00462613" w:rsidRDefault="00DD6F65" w:rsidP="00DD6F65">
            <w:pPr>
              <w:jc w:val="both"/>
              <w:rPr>
                <w:rFonts w:cs="Arial"/>
                <w:i/>
                <w:iCs/>
                <w:szCs w:val="19"/>
              </w:rPr>
            </w:pPr>
            <w:r w:rsidRPr="009866B0">
              <w:rPr>
                <w:rFonts w:cs="Arial"/>
                <w:sz w:val="16"/>
                <w:szCs w:val="16"/>
              </w:rPr>
              <w:t>5mg in 1mL oral solution</w:t>
            </w:r>
          </w:p>
        </w:tc>
        <w:tc>
          <w:tcPr>
            <w:tcW w:w="3371" w:type="pct"/>
            <w:shd w:val="clear" w:color="auto" w:fill="auto"/>
            <w:tcMar>
              <w:top w:w="57" w:type="dxa"/>
              <w:left w:w="170" w:type="dxa"/>
              <w:bottom w:w="57" w:type="dxa"/>
              <w:right w:w="170" w:type="dxa"/>
            </w:tcMar>
          </w:tcPr>
          <w:p w14:paraId="05FCCA83" w14:textId="012653E9" w:rsidR="00DD6F65" w:rsidRDefault="00DD6F65" w:rsidP="00DD6F65">
            <w:pPr>
              <w:tabs>
                <w:tab w:val="center" w:pos="3152"/>
              </w:tabs>
              <w:rPr>
                <w:rFonts w:cs="Arial"/>
                <w:szCs w:val="19"/>
              </w:rPr>
            </w:pPr>
            <w:r>
              <w:rPr>
                <w:rFonts w:cs="Arial"/>
                <w:szCs w:val="19"/>
              </w:rPr>
              <w:t>S</w:t>
            </w:r>
            <w:r w:rsidRPr="00462613">
              <w:rPr>
                <w:rFonts w:cs="Arial"/>
                <w:szCs w:val="19"/>
              </w:rPr>
              <w:t>econd</w:t>
            </w:r>
            <w:r>
              <w:rPr>
                <w:rFonts w:cs="Arial"/>
                <w:szCs w:val="19"/>
              </w:rPr>
              <w:t>-</w:t>
            </w:r>
            <w:r w:rsidRPr="00462613">
              <w:rPr>
                <w:rFonts w:cs="Arial"/>
                <w:szCs w:val="19"/>
              </w:rPr>
              <w:t xml:space="preserve"> or third</w:t>
            </w:r>
            <w:r>
              <w:rPr>
                <w:rFonts w:cs="Arial"/>
                <w:szCs w:val="19"/>
              </w:rPr>
              <w:t>-</w:t>
            </w:r>
            <w:r w:rsidRPr="00462613">
              <w:rPr>
                <w:rFonts w:cs="Arial"/>
                <w:szCs w:val="19"/>
              </w:rPr>
              <w:t>line treatment of adults with refractory nausea unassociated with chemotherapy, where other agents have failed to give adequate control</w:t>
            </w:r>
            <w:r>
              <w:rPr>
                <w:rFonts w:cs="Arial"/>
                <w:szCs w:val="19"/>
              </w:rPr>
              <w:t xml:space="preserve"> </w:t>
            </w:r>
          </w:p>
          <w:p w14:paraId="748BC318" w14:textId="7FB2B5FE" w:rsidR="00DD6F65" w:rsidRPr="001D7849" w:rsidRDefault="00DD6F65" w:rsidP="00DD6F65">
            <w:pPr>
              <w:tabs>
                <w:tab w:val="center" w:pos="3152"/>
              </w:tabs>
              <w:rPr>
                <w:rFonts w:cs="Arial"/>
                <w:szCs w:val="19"/>
              </w:rPr>
            </w:pPr>
            <w:r w:rsidRPr="00462613">
              <w:rPr>
                <w:rFonts w:cs="Arial"/>
                <w:sz w:val="16"/>
                <w:szCs w:val="16"/>
              </w:rPr>
              <w:t>[new indication]</w:t>
            </w:r>
          </w:p>
        </w:tc>
      </w:tr>
      <w:tr w:rsidR="00DD6F65" w:rsidRPr="00131D4C" w14:paraId="4F157915" w14:textId="77777777" w:rsidTr="003D2702">
        <w:tc>
          <w:tcPr>
            <w:tcW w:w="1629" w:type="pct"/>
            <w:shd w:val="clear" w:color="auto" w:fill="auto"/>
            <w:tcMar>
              <w:top w:w="57" w:type="dxa"/>
              <w:left w:w="170" w:type="dxa"/>
              <w:bottom w:w="57" w:type="dxa"/>
              <w:right w:w="170" w:type="dxa"/>
            </w:tcMar>
          </w:tcPr>
          <w:p w14:paraId="55DBA426" w14:textId="77777777" w:rsidR="00DD6F65" w:rsidRDefault="00DD6F65" w:rsidP="00DD6F65">
            <w:pPr>
              <w:rPr>
                <w:rFonts w:cs="Arial"/>
                <w:szCs w:val="19"/>
              </w:rPr>
            </w:pPr>
            <w:r>
              <w:rPr>
                <w:rFonts w:cs="Arial"/>
                <w:szCs w:val="19"/>
              </w:rPr>
              <w:t>Midazolam (</w:t>
            </w:r>
            <w:r w:rsidRPr="00A1184B">
              <w:rPr>
                <w:rFonts w:cs="Arial"/>
                <w:i/>
                <w:iCs/>
                <w:szCs w:val="19"/>
              </w:rPr>
              <w:t>Epistatus</w:t>
            </w:r>
            <w:r>
              <w:rPr>
                <w:rFonts w:cs="Arial"/>
                <w:szCs w:val="19"/>
              </w:rPr>
              <w:t xml:space="preserve">) </w:t>
            </w:r>
          </w:p>
          <w:p w14:paraId="1127A8C4" w14:textId="5531A903" w:rsidR="00DD6F65" w:rsidRPr="00A1184B" w:rsidRDefault="00DD6F65" w:rsidP="00DD6F65">
            <w:pPr>
              <w:rPr>
                <w:rFonts w:cs="Arial"/>
                <w:i/>
                <w:iCs/>
                <w:szCs w:val="19"/>
              </w:rPr>
            </w:pPr>
            <w:r w:rsidRPr="00A1184B">
              <w:rPr>
                <w:rFonts w:cs="Arial"/>
                <w:sz w:val="16"/>
                <w:szCs w:val="16"/>
              </w:rPr>
              <w:t>2.5mg in 0.25mL, 5mg in 0.5m</w:t>
            </w:r>
            <w:r>
              <w:rPr>
                <w:rFonts w:cs="Arial"/>
                <w:sz w:val="16"/>
                <w:szCs w:val="16"/>
              </w:rPr>
              <w:t>L</w:t>
            </w:r>
            <w:r w:rsidRPr="00A1184B">
              <w:rPr>
                <w:rFonts w:cs="Arial"/>
                <w:sz w:val="16"/>
                <w:szCs w:val="16"/>
              </w:rPr>
              <w:t>, 7.5mg in 0.75m</w:t>
            </w:r>
            <w:r>
              <w:rPr>
                <w:rFonts w:cs="Arial"/>
                <w:sz w:val="16"/>
                <w:szCs w:val="16"/>
              </w:rPr>
              <w:t>L</w:t>
            </w:r>
            <w:r w:rsidRPr="00A1184B">
              <w:rPr>
                <w:rFonts w:cs="Arial"/>
                <w:sz w:val="16"/>
                <w:szCs w:val="16"/>
              </w:rPr>
              <w:t xml:space="preserve"> and 10mg in 1m</w:t>
            </w:r>
            <w:r>
              <w:rPr>
                <w:rFonts w:cs="Arial"/>
                <w:sz w:val="16"/>
                <w:szCs w:val="16"/>
              </w:rPr>
              <w:t>L</w:t>
            </w:r>
            <w:r w:rsidRPr="00A1184B">
              <w:rPr>
                <w:rFonts w:cs="Arial"/>
                <w:sz w:val="16"/>
                <w:szCs w:val="16"/>
              </w:rPr>
              <w:t xml:space="preserve"> prefilled oral syringes</w:t>
            </w:r>
          </w:p>
        </w:tc>
        <w:tc>
          <w:tcPr>
            <w:tcW w:w="3371" w:type="pct"/>
            <w:shd w:val="clear" w:color="auto" w:fill="auto"/>
            <w:tcMar>
              <w:top w:w="57" w:type="dxa"/>
              <w:left w:w="170" w:type="dxa"/>
              <w:bottom w:w="57" w:type="dxa"/>
              <w:right w:w="170" w:type="dxa"/>
            </w:tcMar>
          </w:tcPr>
          <w:p w14:paraId="39821968" w14:textId="7E416BAF" w:rsidR="00DD6F65" w:rsidRPr="00A075A3" w:rsidRDefault="00DD6F65" w:rsidP="00DD6F65">
            <w:pPr>
              <w:tabs>
                <w:tab w:val="num" w:pos="720"/>
                <w:tab w:val="center" w:pos="3152"/>
              </w:tabs>
              <w:rPr>
                <w:rFonts w:cs="Arial"/>
                <w:szCs w:val="19"/>
                <w:lang w:val="en-US"/>
              </w:rPr>
            </w:pPr>
            <w:r w:rsidRPr="00A1184B">
              <w:rPr>
                <w:rFonts w:cs="Arial"/>
                <w:szCs w:val="19"/>
                <w:lang w:val="en-US"/>
              </w:rPr>
              <w:t xml:space="preserve">Treatment of prolonged, acute, convulsive seizures in adults, adolescents, children and infants aged </w:t>
            </w:r>
            <w:r>
              <w:rPr>
                <w:rFonts w:cs="Arial"/>
                <w:szCs w:val="19"/>
                <w:lang w:val="en-US"/>
              </w:rPr>
              <w:t>≥</w:t>
            </w:r>
            <w:r w:rsidRPr="00A1184B">
              <w:rPr>
                <w:rFonts w:cs="Arial"/>
                <w:szCs w:val="19"/>
                <w:lang w:val="en-US"/>
              </w:rPr>
              <w:t xml:space="preserve">3 months </w:t>
            </w:r>
            <w:r w:rsidRPr="00E90700">
              <w:rPr>
                <w:rFonts w:cs="Arial"/>
                <w:sz w:val="16"/>
                <w:szCs w:val="16"/>
                <w:lang w:val="en-US"/>
              </w:rPr>
              <w:t>[licence change to include use in adults]</w:t>
            </w:r>
          </w:p>
        </w:tc>
      </w:tr>
      <w:tr w:rsidR="00DD6F65" w14:paraId="5666DEC3" w14:textId="77777777" w:rsidTr="003D2702">
        <w:tc>
          <w:tcPr>
            <w:tcW w:w="1629" w:type="pct"/>
            <w:shd w:val="clear" w:color="auto" w:fill="auto"/>
            <w:tcMar>
              <w:top w:w="57" w:type="dxa"/>
              <w:left w:w="170" w:type="dxa"/>
              <w:bottom w:w="57" w:type="dxa"/>
              <w:right w:w="170" w:type="dxa"/>
            </w:tcMar>
          </w:tcPr>
          <w:p w14:paraId="6117F261" w14:textId="77777777" w:rsidR="00DD6F65" w:rsidRDefault="00DD6F65" w:rsidP="00DD6F65">
            <w:pPr>
              <w:rPr>
                <w:rFonts w:cs="Arial"/>
                <w:color w:val="000000" w:themeColor="text1"/>
                <w:szCs w:val="19"/>
              </w:rPr>
            </w:pPr>
            <w:r w:rsidRPr="008D123E">
              <w:rPr>
                <w:rFonts w:cs="Arial"/>
                <w:color w:val="000000" w:themeColor="text1"/>
                <w:szCs w:val="19"/>
              </w:rPr>
              <w:t>Morphine hydrochloride trihydrate </w:t>
            </w:r>
          </w:p>
          <w:p w14:paraId="1C411C69" w14:textId="6EBA58EA" w:rsidR="00DD6F65" w:rsidRPr="008D123E" w:rsidRDefault="00DD6F65" w:rsidP="00DD6F65">
            <w:pPr>
              <w:rPr>
                <w:rFonts w:cs="Arial"/>
                <w:color w:val="000000" w:themeColor="text1"/>
                <w:szCs w:val="19"/>
              </w:rPr>
            </w:pPr>
            <w:r>
              <w:rPr>
                <w:rFonts w:cs="Arial"/>
                <w:color w:val="000000" w:themeColor="text1"/>
                <w:szCs w:val="19"/>
              </w:rPr>
              <w:t>(</w:t>
            </w:r>
            <w:r>
              <w:rPr>
                <w:rFonts w:cs="Arial"/>
                <w:i/>
                <w:iCs/>
                <w:color w:val="000000" w:themeColor="text1"/>
                <w:szCs w:val="19"/>
              </w:rPr>
              <w:t>Sendolor</w:t>
            </w:r>
            <w:r>
              <w:rPr>
                <w:rFonts w:cs="Arial"/>
                <w:color w:val="000000" w:themeColor="text1"/>
                <w:szCs w:val="19"/>
              </w:rPr>
              <w:t xml:space="preserve">) </w:t>
            </w:r>
            <w:r w:rsidRPr="008D123E">
              <w:rPr>
                <w:rFonts w:cs="Arial"/>
                <w:color w:val="000000" w:themeColor="text1"/>
                <w:sz w:val="16"/>
                <w:szCs w:val="16"/>
              </w:rPr>
              <w:t>100mg in 100mL bag</w:t>
            </w:r>
          </w:p>
        </w:tc>
        <w:tc>
          <w:tcPr>
            <w:tcW w:w="3371" w:type="pct"/>
            <w:shd w:val="clear" w:color="auto" w:fill="auto"/>
            <w:tcMar>
              <w:top w:w="57" w:type="dxa"/>
              <w:left w:w="170" w:type="dxa"/>
              <w:bottom w:w="57" w:type="dxa"/>
              <w:right w:w="170" w:type="dxa"/>
            </w:tcMar>
          </w:tcPr>
          <w:p w14:paraId="0E566653" w14:textId="77777777" w:rsidR="00DD6F65" w:rsidRDefault="00DD6F65" w:rsidP="00DD6F65">
            <w:pPr>
              <w:tabs>
                <w:tab w:val="center" w:pos="3152"/>
              </w:tabs>
              <w:rPr>
                <w:rFonts w:cs="Arial"/>
                <w:color w:val="000000" w:themeColor="text1"/>
                <w:szCs w:val="19"/>
                <w:lang w:val="en-US"/>
              </w:rPr>
            </w:pPr>
            <w:r w:rsidRPr="008D123E">
              <w:rPr>
                <w:rFonts w:cs="Arial"/>
                <w:color w:val="000000" w:themeColor="text1"/>
                <w:szCs w:val="19"/>
                <w:lang w:val="en-US"/>
              </w:rPr>
              <w:t>Treatment of severe acute pain, cancer pain and breakthrough cancer pain</w:t>
            </w:r>
            <w:r>
              <w:rPr>
                <w:rFonts w:cs="Arial"/>
                <w:color w:val="000000" w:themeColor="text1"/>
                <w:szCs w:val="19"/>
                <w:lang w:val="en-US"/>
              </w:rPr>
              <w:t xml:space="preserve"> </w:t>
            </w:r>
          </w:p>
          <w:p w14:paraId="08EBBAB8" w14:textId="1D3827AA" w:rsidR="00DD6F65" w:rsidRPr="00791778" w:rsidRDefault="00DD6F65" w:rsidP="00DD6F65">
            <w:pPr>
              <w:tabs>
                <w:tab w:val="center" w:pos="3152"/>
              </w:tabs>
              <w:rPr>
                <w:rFonts w:cs="Arial"/>
                <w:color w:val="000000" w:themeColor="text1"/>
                <w:szCs w:val="19"/>
                <w:lang w:val="en-US"/>
              </w:rPr>
            </w:pPr>
            <w:r w:rsidRPr="008D123E">
              <w:rPr>
                <w:rFonts w:cs="Arial"/>
                <w:color w:val="000000" w:themeColor="text1"/>
                <w:sz w:val="16"/>
                <w:szCs w:val="16"/>
                <w:lang w:val="en-US"/>
              </w:rPr>
              <w:t>[new infusion bag formulation]</w:t>
            </w:r>
          </w:p>
        </w:tc>
      </w:tr>
      <w:tr w:rsidR="00DD6F65" w14:paraId="6CEDEA45" w14:textId="77777777" w:rsidTr="003D2702">
        <w:tc>
          <w:tcPr>
            <w:tcW w:w="1629" w:type="pct"/>
            <w:shd w:val="clear" w:color="auto" w:fill="auto"/>
            <w:tcMar>
              <w:top w:w="57" w:type="dxa"/>
              <w:left w:w="170" w:type="dxa"/>
              <w:bottom w:w="57" w:type="dxa"/>
              <w:right w:w="170" w:type="dxa"/>
            </w:tcMar>
          </w:tcPr>
          <w:p w14:paraId="388C4342" w14:textId="77777777" w:rsidR="00DD6F65" w:rsidRDefault="00DD6F65" w:rsidP="00DD6F65">
            <w:pPr>
              <w:rPr>
                <w:rFonts w:cs="Arial"/>
                <w:szCs w:val="19"/>
              </w:rPr>
            </w:pPr>
            <w:r>
              <w:rPr>
                <w:rFonts w:cs="Arial"/>
                <w:szCs w:val="19"/>
              </w:rPr>
              <w:t>Natalizuma</w:t>
            </w:r>
            <w:r w:rsidRPr="00096C40">
              <w:rPr>
                <w:rFonts w:cs="Arial"/>
                <w:szCs w:val="19"/>
              </w:rPr>
              <w:t>b biosimilar (</w:t>
            </w:r>
            <w:r>
              <w:rPr>
                <w:rFonts w:cs="Arial"/>
                <w:i/>
                <w:iCs/>
                <w:szCs w:val="19"/>
              </w:rPr>
              <w:t>Tyruko</w:t>
            </w:r>
            <w:r>
              <w:rPr>
                <w:rFonts w:cs="Arial"/>
                <w:szCs w:val="19"/>
              </w:rPr>
              <w:t>)</w:t>
            </w:r>
          </w:p>
          <w:p w14:paraId="309021C5" w14:textId="77FD1FC1" w:rsidR="00DD6F65" w:rsidRPr="00791778" w:rsidRDefault="00DD6F65" w:rsidP="00DD6F65">
            <w:pPr>
              <w:rPr>
                <w:rFonts w:cs="Arial"/>
                <w:color w:val="000000" w:themeColor="text1"/>
                <w:szCs w:val="19"/>
              </w:rPr>
            </w:pPr>
            <w:r w:rsidRPr="00096C40">
              <w:rPr>
                <w:rFonts w:cs="Arial"/>
                <w:sz w:val="16"/>
                <w:szCs w:val="16"/>
              </w:rPr>
              <w:t>300mg in 15mL vial</w:t>
            </w:r>
          </w:p>
        </w:tc>
        <w:tc>
          <w:tcPr>
            <w:tcW w:w="3371" w:type="pct"/>
            <w:shd w:val="clear" w:color="auto" w:fill="auto"/>
            <w:tcMar>
              <w:top w:w="57" w:type="dxa"/>
              <w:left w:w="170" w:type="dxa"/>
              <w:bottom w:w="57" w:type="dxa"/>
              <w:right w:w="170" w:type="dxa"/>
            </w:tcMar>
          </w:tcPr>
          <w:p w14:paraId="246C61BA" w14:textId="5926CC43" w:rsidR="00DD6F65" w:rsidRPr="00791778" w:rsidRDefault="00DD6F65" w:rsidP="00DD6F65">
            <w:pPr>
              <w:tabs>
                <w:tab w:val="center" w:pos="3152"/>
              </w:tabs>
              <w:rPr>
                <w:rFonts w:cs="Arial"/>
                <w:color w:val="000000" w:themeColor="text1"/>
                <w:szCs w:val="19"/>
                <w:lang w:val="en-US"/>
              </w:rPr>
            </w:pPr>
            <w:r>
              <w:rPr>
                <w:rFonts w:cs="Arial"/>
                <w:szCs w:val="19"/>
                <w:lang w:val="en-US"/>
              </w:rPr>
              <w:t xml:space="preserve">Use </w:t>
            </w:r>
            <w:r w:rsidRPr="00096C40">
              <w:rPr>
                <w:rFonts w:cs="Arial"/>
                <w:szCs w:val="19"/>
                <w:lang w:val="en-US"/>
              </w:rPr>
              <w:t>as single disease modifying therapy in adults with highly active</w:t>
            </w:r>
            <w:r>
              <w:rPr>
                <w:rFonts w:cs="Arial"/>
                <w:szCs w:val="19"/>
                <w:lang w:val="en-US"/>
              </w:rPr>
              <w:t xml:space="preserve"> </w:t>
            </w:r>
            <w:r w:rsidRPr="00096C40">
              <w:rPr>
                <w:rFonts w:cs="Arial"/>
                <w:szCs w:val="19"/>
                <w:lang w:val="en-US"/>
              </w:rPr>
              <w:t>relapsing remitting multiple sclerosis (RRMS) for the following patient groups:</w:t>
            </w:r>
            <w:r>
              <w:rPr>
                <w:rFonts w:cs="Arial"/>
                <w:szCs w:val="19"/>
                <w:lang w:val="en-US"/>
              </w:rPr>
              <w:t xml:space="preserve"> p</w:t>
            </w:r>
            <w:r w:rsidRPr="00096C40">
              <w:rPr>
                <w:rFonts w:cs="Arial"/>
                <w:szCs w:val="19"/>
                <w:lang w:val="en-US"/>
              </w:rPr>
              <w:t>atients with highly active disease despite a full and adequate course of</w:t>
            </w:r>
            <w:r>
              <w:rPr>
                <w:rFonts w:cs="Arial"/>
                <w:szCs w:val="19"/>
                <w:lang w:val="en-US"/>
              </w:rPr>
              <w:t xml:space="preserve"> </w:t>
            </w:r>
            <w:r w:rsidRPr="00096C40">
              <w:rPr>
                <w:rFonts w:cs="Arial"/>
                <w:szCs w:val="19"/>
                <w:lang w:val="en-US"/>
              </w:rPr>
              <w:t>treatment with at least one disease modifying therapy</w:t>
            </w:r>
            <w:r>
              <w:rPr>
                <w:rFonts w:cs="Arial"/>
                <w:szCs w:val="19"/>
                <w:lang w:val="en-US"/>
              </w:rPr>
              <w:t xml:space="preserve">, </w:t>
            </w:r>
            <w:r w:rsidRPr="00096C40">
              <w:rPr>
                <w:rFonts w:cs="Arial"/>
                <w:szCs w:val="19"/>
                <w:lang w:val="en-US"/>
              </w:rPr>
              <w:t>or</w:t>
            </w:r>
            <w:r>
              <w:rPr>
                <w:rFonts w:cs="Arial"/>
                <w:szCs w:val="19"/>
                <w:lang w:val="en-US"/>
              </w:rPr>
              <w:t xml:space="preserve"> p</w:t>
            </w:r>
            <w:r w:rsidRPr="00096C40">
              <w:rPr>
                <w:rFonts w:cs="Arial"/>
                <w:szCs w:val="19"/>
                <w:lang w:val="en-US"/>
              </w:rPr>
              <w:t xml:space="preserve">atients with rapidly evolving severe RRMS defined by </w:t>
            </w:r>
            <w:r>
              <w:rPr>
                <w:rFonts w:cs="Arial"/>
                <w:szCs w:val="19"/>
                <w:lang w:val="en-US"/>
              </w:rPr>
              <w:t>≥</w:t>
            </w:r>
            <w:r w:rsidRPr="00096C40">
              <w:rPr>
                <w:rFonts w:cs="Arial"/>
                <w:szCs w:val="19"/>
                <w:lang w:val="en-US"/>
              </w:rPr>
              <w:t>2 disabling</w:t>
            </w:r>
            <w:r>
              <w:rPr>
                <w:rFonts w:cs="Arial"/>
                <w:szCs w:val="19"/>
                <w:lang w:val="en-US"/>
              </w:rPr>
              <w:t xml:space="preserve"> </w:t>
            </w:r>
            <w:r w:rsidRPr="00096C40">
              <w:rPr>
                <w:rFonts w:cs="Arial"/>
                <w:szCs w:val="19"/>
                <w:lang w:val="en-US"/>
              </w:rPr>
              <w:t xml:space="preserve">relapses in one year, and with </w:t>
            </w:r>
            <w:r>
              <w:rPr>
                <w:rFonts w:cs="Arial"/>
                <w:szCs w:val="19"/>
                <w:lang w:val="en-US"/>
              </w:rPr>
              <w:t>≥</w:t>
            </w:r>
            <w:r w:rsidRPr="00096C40">
              <w:rPr>
                <w:rFonts w:cs="Arial"/>
                <w:szCs w:val="19"/>
                <w:lang w:val="en-US"/>
              </w:rPr>
              <w:t>1 Gadolinium enhancing lesions on brain</w:t>
            </w:r>
            <w:r>
              <w:rPr>
                <w:rFonts w:cs="Arial"/>
                <w:szCs w:val="19"/>
                <w:lang w:val="en-US"/>
              </w:rPr>
              <w:t xml:space="preserve"> </w:t>
            </w:r>
            <w:r w:rsidRPr="00096C40">
              <w:rPr>
                <w:rFonts w:cs="Arial"/>
                <w:szCs w:val="19"/>
                <w:lang w:val="en-US"/>
              </w:rPr>
              <w:t>Magnetic Resonance Imaging (MRI) or a significant increase in T2 lesion load as</w:t>
            </w:r>
            <w:r>
              <w:rPr>
                <w:rFonts w:cs="Arial"/>
                <w:szCs w:val="19"/>
                <w:lang w:val="en-US"/>
              </w:rPr>
              <w:t xml:space="preserve"> </w:t>
            </w:r>
            <w:r w:rsidRPr="00096C40">
              <w:rPr>
                <w:rFonts w:cs="Arial"/>
                <w:szCs w:val="19"/>
                <w:lang w:val="en-US"/>
              </w:rPr>
              <w:t>compared to a previous recent MRI</w:t>
            </w:r>
          </w:p>
        </w:tc>
      </w:tr>
      <w:tr w:rsidR="00DD6F65" w:rsidRPr="00862949" w14:paraId="5FCA80D4" w14:textId="77777777" w:rsidTr="002772ED">
        <w:tc>
          <w:tcPr>
            <w:tcW w:w="5000" w:type="pct"/>
            <w:gridSpan w:val="2"/>
            <w:shd w:val="clear" w:color="auto" w:fill="auto"/>
            <w:tcMar>
              <w:top w:w="0" w:type="dxa"/>
              <w:bottom w:w="0" w:type="dxa"/>
            </w:tcMar>
          </w:tcPr>
          <w:p w14:paraId="428ABEE7" w14:textId="77777777" w:rsidR="00DD6F65" w:rsidRPr="00862949" w:rsidRDefault="00DD6F65" w:rsidP="00DD6F65">
            <w:pPr>
              <w:rPr>
                <w:rFonts w:cs="Arial"/>
                <w:b/>
                <w:noProof/>
                <w:sz w:val="8"/>
                <w:szCs w:val="8"/>
              </w:rPr>
            </w:pPr>
          </w:p>
        </w:tc>
      </w:tr>
      <w:tr w:rsidR="00DD6F65" w:rsidRPr="00862949" w14:paraId="51AE79B6" w14:textId="77777777" w:rsidTr="002772ED">
        <w:tc>
          <w:tcPr>
            <w:tcW w:w="5000" w:type="pct"/>
            <w:gridSpan w:val="2"/>
            <w:shd w:val="clear" w:color="auto" w:fill="DAEEF3"/>
            <w:tcMar>
              <w:top w:w="0" w:type="dxa"/>
              <w:bottom w:w="0" w:type="dxa"/>
            </w:tcMar>
          </w:tcPr>
          <w:p w14:paraId="76BD27D8" w14:textId="77777777" w:rsidR="00DD6F65" w:rsidRPr="00862949" w:rsidRDefault="00DD6F65" w:rsidP="00DD6F65">
            <w:pPr>
              <w:rPr>
                <w:rFonts w:cs="Arial"/>
                <w:b/>
                <w:i/>
                <w:noProof/>
                <w:sz w:val="8"/>
                <w:szCs w:val="8"/>
              </w:rPr>
            </w:pPr>
          </w:p>
        </w:tc>
      </w:tr>
    </w:tbl>
    <w:p w14:paraId="2D8018DB" w14:textId="77777777" w:rsidR="00797F59" w:rsidRDefault="00797F59" w:rsidP="00727945">
      <w:pPr>
        <w:rPr>
          <w:rFonts w:ascii="Latha" w:hAnsi="Latha" w:cs="Latha"/>
          <w:sz w:val="8"/>
          <w:szCs w:val="8"/>
        </w:rPr>
      </w:pPr>
    </w:p>
    <w:p w14:paraId="279FD5A7" w14:textId="39D44089" w:rsidR="00DD6F65" w:rsidRDefault="00DD6F65">
      <w:pPr>
        <w:rPr>
          <w:rFonts w:ascii="Latha" w:hAnsi="Latha" w:cs="Latha"/>
          <w:sz w:val="8"/>
          <w:szCs w:val="8"/>
        </w:rPr>
      </w:pPr>
      <w:r>
        <w:rPr>
          <w:rFonts w:ascii="Latha" w:hAnsi="Latha" w:cs="Latha"/>
          <w:sz w:val="8"/>
          <w:szCs w:val="8"/>
        </w:rPr>
        <w:br w:type="page"/>
      </w:r>
    </w:p>
    <w:p w14:paraId="381FBCE8" w14:textId="77777777" w:rsidR="00DD6F65" w:rsidRPr="00727945" w:rsidRDefault="00DD6F65" w:rsidP="00727945">
      <w:pPr>
        <w:rPr>
          <w:rFonts w:ascii="Latha" w:hAnsi="Latha" w:cs="Latha"/>
          <w:sz w:val="8"/>
          <w:szCs w:val="8"/>
        </w:rPr>
        <w:sectPr w:rsidR="00DD6F65" w:rsidRPr="00727945" w:rsidSect="002772ED">
          <w:headerReference w:type="even" r:id="rId10"/>
          <w:headerReference w:type="default" r:id="rId11"/>
          <w:footerReference w:type="even" r:id="rId12"/>
          <w:footerReference w:type="default" r:id="rId13"/>
          <w:headerReference w:type="first" r:id="rId14"/>
          <w:pgSz w:w="11906" w:h="16838" w:code="9"/>
          <w:pgMar w:top="680" w:right="851" w:bottom="680" w:left="851" w:header="567" w:footer="227" w:gutter="0"/>
          <w:cols w:space="708"/>
          <w:docGrid w:linePitch="360"/>
        </w:sectPr>
      </w:pPr>
    </w:p>
    <w:p w14:paraId="349EDEF5" w14:textId="77777777" w:rsidR="006825BB" w:rsidRDefault="006825BB">
      <w:pPr>
        <w:rPr>
          <w:sz w:val="8"/>
          <w:szCs w:val="16"/>
        </w:rPr>
      </w:pPr>
    </w:p>
    <w:p w14:paraId="4DDC2C34" w14:textId="77777777" w:rsidR="00A81694" w:rsidRDefault="00A81694" w:rsidP="00EB3E6F">
      <w:pPr>
        <w:tabs>
          <w:tab w:val="left" w:pos="2087"/>
        </w:tabs>
      </w:pPr>
    </w:p>
    <w:tbl>
      <w:tblPr>
        <w:tblW w:w="5170" w:type="pct"/>
        <w:tblInd w:w="-176" w:type="dxa"/>
        <w:tblLayout w:type="fixed"/>
        <w:tblLook w:val="01E0" w:firstRow="1" w:lastRow="1" w:firstColumn="1" w:lastColumn="1" w:noHBand="0" w:noVBand="0"/>
      </w:tblPr>
      <w:tblGrid>
        <w:gridCol w:w="3438"/>
        <w:gridCol w:w="7113"/>
      </w:tblGrid>
      <w:tr w:rsidR="00DD6F65" w:rsidRPr="00862949" w14:paraId="5806107E" w14:textId="77777777" w:rsidTr="004F5FDB">
        <w:tc>
          <w:tcPr>
            <w:tcW w:w="5000" w:type="pct"/>
            <w:gridSpan w:val="2"/>
            <w:shd w:val="clear" w:color="auto" w:fill="0070C0"/>
            <w:tcMar>
              <w:top w:w="85" w:type="dxa"/>
              <w:bottom w:w="85" w:type="dxa"/>
            </w:tcMar>
            <w:vAlign w:val="bottom"/>
          </w:tcPr>
          <w:p w14:paraId="3E5B84E5" w14:textId="77777777" w:rsidR="00DD6F65" w:rsidRPr="00862949" w:rsidRDefault="00DD6F65" w:rsidP="004F5FDB">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DD6F65" w:rsidRPr="00862949" w14:paraId="3527935E" w14:textId="77777777" w:rsidTr="004F5FDB">
        <w:tc>
          <w:tcPr>
            <w:tcW w:w="5000" w:type="pct"/>
            <w:gridSpan w:val="2"/>
            <w:shd w:val="clear" w:color="auto" w:fill="DAEEF3"/>
            <w:tcMar>
              <w:top w:w="0" w:type="dxa"/>
              <w:bottom w:w="0" w:type="dxa"/>
            </w:tcMar>
          </w:tcPr>
          <w:p w14:paraId="7BB3A0AA" w14:textId="77777777" w:rsidR="00DD6F65" w:rsidRPr="00862949" w:rsidRDefault="00DD6F65" w:rsidP="004F5FDB">
            <w:pPr>
              <w:rPr>
                <w:rFonts w:cs="Arial"/>
                <w:b/>
                <w:bCs/>
                <w:i/>
                <w:iCs/>
                <w:color w:val="000000"/>
                <w:sz w:val="8"/>
                <w:szCs w:val="8"/>
                <w:lang w:val="en-US"/>
              </w:rPr>
            </w:pPr>
          </w:p>
        </w:tc>
      </w:tr>
      <w:tr w:rsidR="00DD6F65" w:rsidRPr="00862949" w14:paraId="12EF8685" w14:textId="77777777" w:rsidTr="004F5FDB">
        <w:tc>
          <w:tcPr>
            <w:tcW w:w="5000" w:type="pct"/>
            <w:gridSpan w:val="2"/>
            <w:shd w:val="clear" w:color="auto" w:fill="00B050"/>
            <w:tcMar>
              <w:top w:w="57" w:type="dxa"/>
              <w:bottom w:w="57" w:type="dxa"/>
            </w:tcMar>
          </w:tcPr>
          <w:p w14:paraId="4A4D4F7F" w14:textId="731529AD" w:rsidR="00DD6F65" w:rsidRPr="00433D3E" w:rsidRDefault="00DD6F65" w:rsidP="004F5FDB">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DD6F65">
              <w:rPr>
                <w:rFonts w:cs="Arial"/>
                <w:b/>
                <w:bCs/>
                <w:color w:val="FFFFFF"/>
                <w:sz w:val="16"/>
                <w:szCs w:val="14"/>
                <w:lang w:val="en-US"/>
              </w:rPr>
              <w:t>(continued)</w:t>
            </w:r>
          </w:p>
        </w:tc>
      </w:tr>
      <w:tr w:rsidR="00B406D5" w14:paraId="446FC9A7" w14:textId="77777777" w:rsidTr="004F5FDB">
        <w:tc>
          <w:tcPr>
            <w:tcW w:w="1629" w:type="pct"/>
            <w:shd w:val="clear" w:color="auto" w:fill="auto"/>
            <w:tcMar>
              <w:top w:w="57" w:type="dxa"/>
              <w:left w:w="170" w:type="dxa"/>
              <w:bottom w:w="57" w:type="dxa"/>
              <w:right w:w="170" w:type="dxa"/>
            </w:tcMar>
          </w:tcPr>
          <w:p w14:paraId="6E2780CD" w14:textId="77777777" w:rsidR="00926AA3" w:rsidRDefault="00B406D5" w:rsidP="00B406D5">
            <w:pPr>
              <w:rPr>
                <w:rFonts w:cs="Arial"/>
                <w:color w:val="000000" w:themeColor="text1"/>
                <w:szCs w:val="19"/>
              </w:rPr>
            </w:pPr>
            <w:r w:rsidRPr="00791778">
              <w:rPr>
                <w:rFonts w:cs="Arial"/>
                <w:color w:val="000000" w:themeColor="text1"/>
                <w:szCs w:val="19"/>
              </w:rPr>
              <w:t>Rezafungin (</w:t>
            </w:r>
            <w:r w:rsidRPr="00791778">
              <w:rPr>
                <w:rFonts w:cs="Arial"/>
                <w:i/>
                <w:iCs/>
                <w:color w:val="000000" w:themeColor="text1"/>
                <w:szCs w:val="19"/>
              </w:rPr>
              <w:t>Rezzayo</w:t>
            </w:r>
            <w:r w:rsidRPr="00791778">
              <w:rPr>
                <w:rFonts w:cs="Arial"/>
                <w:color w:val="000000" w:themeColor="text1"/>
                <w:szCs w:val="19"/>
              </w:rPr>
              <w:t xml:space="preserve">) </w:t>
            </w:r>
          </w:p>
          <w:p w14:paraId="541CB9B9" w14:textId="3E76C9C6" w:rsidR="00B406D5" w:rsidRDefault="00B406D5" w:rsidP="00B406D5">
            <w:pPr>
              <w:rPr>
                <w:rFonts w:cs="Arial"/>
                <w:szCs w:val="19"/>
              </w:rPr>
            </w:pPr>
            <w:r w:rsidRPr="00791778">
              <w:rPr>
                <w:rFonts w:cs="Arial"/>
                <w:color w:val="000000" w:themeColor="text1"/>
                <w:sz w:val="16"/>
                <w:szCs w:val="16"/>
              </w:rPr>
              <w:t>200mg vial</w:t>
            </w:r>
          </w:p>
        </w:tc>
        <w:tc>
          <w:tcPr>
            <w:tcW w:w="3371" w:type="pct"/>
            <w:shd w:val="clear" w:color="auto" w:fill="auto"/>
            <w:tcMar>
              <w:top w:w="57" w:type="dxa"/>
              <w:left w:w="170" w:type="dxa"/>
              <w:bottom w:w="57" w:type="dxa"/>
              <w:right w:w="170" w:type="dxa"/>
            </w:tcMar>
          </w:tcPr>
          <w:p w14:paraId="6D0DC5F2" w14:textId="07666F76" w:rsidR="00B406D5" w:rsidRDefault="00B406D5" w:rsidP="00B406D5">
            <w:pPr>
              <w:tabs>
                <w:tab w:val="center" w:pos="3152"/>
              </w:tabs>
              <w:rPr>
                <w:rFonts w:cs="Arial"/>
                <w:szCs w:val="19"/>
                <w:lang w:val="en-US"/>
              </w:rPr>
            </w:pPr>
            <w:r w:rsidRPr="00791778">
              <w:rPr>
                <w:rFonts w:cs="Arial"/>
                <w:color w:val="000000" w:themeColor="text1"/>
                <w:szCs w:val="19"/>
                <w:lang w:val="en-US"/>
              </w:rPr>
              <w:t>Treatment of adults with invasive candidiasis</w:t>
            </w:r>
          </w:p>
        </w:tc>
      </w:tr>
      <w:tr w:rsidR="00B406D5" w14:paraId="70E15763" w14:textId="77777777" w:rsidTr="004F5FDB">
        <w:tc>
          <w:tcPr>
            <w:tcW w:w="1629" w:type="pct"/>
            <w:shd w:val="clear" w:color="auto" w:fill="auto"/>
            <w:tcMar>
              <w:top w:w="57" w:type="dxa"/>
              <w:left w:w="170" w:type="dxa"/>
              <w:bottom w:w="57" w:type="dxa"/>
              <w:right w:w="170" w:type="dxa"/>
            </w:tcMar>
          </w:tcPr>
          <w:p w14:paraId="7FCEB08B" w14:textId="77777777" w:rsidR="00B406D5" w:rsidRDefault="00B406D5" w:rsidP="00B406D5">
            <w:pPr>
              <w:rPr>
                <w:rFonts w:cs="Arial"/>
                <w:szCs w:val="19"/>
              </w:rPr>
            </w:pPr>
            <w:r w:rsidRPr="00CC2FBD">
              <w:rPr>
                <w:rFonts w:cs="Arial"/>
                <w:szCs w:val="19"/>
              </w:rPr>
              <w:t>Sacubitril valsartan </w:t>
            </w:r>
            <w:r>
              <w:rPr>
                <w:rFonts w:cs="Arial"/>
                <w:szCs w:val="19"/>
              </w:rPr>
              <w:t>(</w:t>
            </w:r>
            <w:r>
              <w:rPr>
                <w:rFonts w:cs="Arial"/>
                <w:i/>
                <w:iCs/>
                <w:szCs w:val="19"/>
              </w:rPr>
              <w:t>Entresto</w:t>
            </w:r>
            <w:r>
              <w:rPr>
                <w:rFonts w:cs="Arial"/>
                <w:szCs w:val="19"/>
              </w:rPr>
              <w:t>)</w:t>
            </w:r>
            <w:r w:rsidRPr="006F0720">
              <w:rPr>
                <w:rFonts w:cs="Arial"/>
                <w:szCs w:val="19"/>
              </w:rPr>
              <w:t xml:space="preserve"> </w:t>
            </w:r>
          </w:p>
          <w:p w14:paraId="3BC1967F" w14:textId="3757CAEB" w:rsidR="00B406D5" w:rsidRDefault="00B406D5" w:rsidP="00B406D5">
            <w:pPr>
              <w:rPr>
                <w:rFonts w:cs="Arial"/>
                <w:szCs w:val="19"/>
              </w:rPr>
            </w:pPr>
            <w:r w:rsidRPr="006F0720">
              <w:rPr>
                <w:rFonts w:cs="Arial"/>
                <w:sz w:val="16"/>
                <w:szCs w:val="16"/>
              </w:rPr>
              <w:t>6mg/6mg and 15mg/16mg granules in capsule for opening</w:t>
            </w:r>
          </w:p>
        </w:tc>
        <w:tc>
          <w:tcPr>
            <w:tcW w:w="3371" w:type="pct"/>
            <w:shd w:val="clear" w:color="auto" w:fill="auto"/>
            <w:tcMar>
              <w:top w:w="57" w:type="dxa"/>
              <w:left w:w="170" w:type="dxa"/>
              <w:bottom w:w="57" w:type="dxa"/>
              <w:right w:w="170" w:type="dxa"/>
            </w:tcMar>
          </w:tcPr>
          <w:p w14:paraId="3E106E1E" w14:textId="77777777" w:rsidR="00B406D5" w:rsidRDefault="00B406D5" w:rsidP="00B406D5">
            <w:pPr>
              <w:tabs>
                <w:tab w:val="center" w:pos="3152"/>
              </w:tabs>
              <w:rPr>
                <w:rFonts w:cs="Arial"/>
                <w:color w:val="000000"/>
                <w:sz w:val="20"/>
                <w:szCs w:val="18"/>
                <w:lang w:val="en-US"/>
              </w:rPr>
            </w:pPr>
            <w:r w:rsidRPr="006F0720">
              <w:rPr>
                <w:rFonts w:cs="Arial"/>
                <w:color w:val="000000"/>
                <w:szCs w:val="19"/>
                <w:lang w:val="en-US"/>
              </w:rPr>
              <w:t>Use in children and adolescents aged ≥1 year for treatment of symptomatic chronic heart failure with left ventricular systolic dysfunction</w:t>
            </w:r>
            <w:r>
              <w:rPr>
                <w:rFonts w:cs="Arial"/>
                <w:color w:val="000000"/>
                <w:sz w:val="20"/>
                <w:szCs w:val="18"/>
                <w:lang w:val="en-US"/>
              </w:rPr>
              <w:t xml:space="preserve"> </w:t>
            </w:r>
          </w:p>
          <w:p w14:paraId="0CB75916" w14:textId="175D3916" w:rsidR="00B406D5" w:rsidRDefault="00B406D5" w:rsidP="00B406D5">
            <w:pPr>
              <w:tabs>
                <w:tab w:val="center" w:pos="3152"/>
              </w:tabs>
              <w:rPr>
                <w:rFonts w:cs="Arial"/>
                <w:szCs w:val="19"/>
                <w:lang w:val="en-US"/>
              </w:rPr>
            </w:pPr>
            <w:r w:rsidRPr="006F0720">
              <w:rPr>
                <w:rFonts w:cs="Arial"/>
                <w:color w:val="000000"/>
                <w:sz w:val="16"/>
                <w:szCs w:val="14"/>
                <w:lang w:val="en-US"/>
              </w:rPr>
              <w:t>[new granules in capsule formulation]</w:t>
            </w:r>
          </w:p>
        </w:tc>
      </w:tr>
      <w:tr w:rsidR="00B406D5" w14:paraId="4A0B7E08" w14:textId="77777777" w:rsidTr="004F5FDB">
        <w:tc>
          <w:tcPr>
            <w:tcW w:w="1629" w:type="pct"/>
            <w:shd w:val="clear" w:color="auto" w:fill="auto"/>
            <w:tcMar>
              <w:top w:w="57" w:type="dxa"/>
              <w:left w:w="170" w:type="dxa"/>
              <w:bottom w:w="57" w:type="dxa"/>
              <w:right w:w="170" w:type="dxa"/>
            </w:tcMar>
          </w:tcPr>
          <w:p w14:paraId="07DB26A9" w14:textId="77777777" w:rsidR="00B406D5" w:rsidRDefault="00B406D5" w:rsidP="00B406D5">
            <w:pPr>
              <w:rPr>
                <w:rFonts w:cs="Arial"/>
                <w:szCs w:val="19"/>
              </w:rPr>
            </w:pPr>
            <w:r>
              <w:rPr>
                <w:rFonts w:cs="Arial"/>
                <w:szCs w:val="19"/>
              </w:rPr>
              <w:t>Zilucoplan (</w:t>
            </w:r>
            <w:r w:rsidRPr="00031BF2">
              <w:rPr>
                <w:rFonts w:cs="Arial"/>
                <w:i/>
                <w:iCs/>
                <w:szCs w:val="19"/>
              </w:rPr>
              <w:t>Zilbrysq</w:t>
            </w:r>
            <w:r>
              <w:rPr>
                <w:rFonts w:cs="Arial"/>
                <w:szCs w:val="19"/>
              </w:rPr>
              <w:t>)</w:t>
            </w:r>
          </w:p>
          <w:p w14:paraId="7D66E760" w14:textId="77777777" w:rsidR="00B406D5" w:rsidRPr="00FF5ADC" w:rsidRDefault="00B406D5" w:rsidP="00B406D5">
            <w:pPr>
              <w:rPr>
                <w:rFonts w:cs="Arial"/>
                <w:szCs w:val="19"/>
              </w:rPr>
            </w:pPr>
            <w:r w:rsidRPr="00031BF2">
              <w:rPr>
                <w:rFonts w:cs="Arial"/>
                <w:sz w:val="16"/>
                <w:szCs w:val="16"/>
              </w:rPr>
              <w:t>16.6mg in 0.416mL, 23mg in 0.574mL and 32.4mg in 0.81mL prefilled syringes</w:t>
            </w:r>
          </w:p>
        </w:tc>
        <w:tc>
          <w:tcPr>
            <w:tcW w:w="3371" w:type="pct"/>
            <w:shd w:val="clear" w:color="auto" w:fill="auto"/>
            <w:tcMar>
              <w:top w:w="57" w:type="dxa"/>
              <w:left w:w="170" w:type="dxa"/>
              <w:bottom w:w="57" w:type="dxa"/>
              <w:right w:w="170" w:type="dxa"/>
            </w:tcMar>
          </w:tcPr>
          <w:p w14:paraId="6FC740BD" w14:textId="77777777" w:rsidR="00B406D5" w:rsidRDefault="00B406D5" w:rsidP="00B406D5">
            <w:pPr>
              <w:tabs>
                <w:tab w:val="center" w:pos="3152"/>
              </w:tabs>
              <w:rPr>
                <w:rFonts w:cs="Arial"/>
                <w:color w:val="000000"/>
                <w:sz w:val="18"/>
                <w:szCs w:val="18"/>
                <w:lang w:val="en-US"/>
              </w:rPr>
            </w:pPr>
            <w:r>
              <w:rPr>
                <w:rFonts w:cs="Arial"/>
                <w:szCs w:val="19"/>
                <w:lang w:val="en-US"/>
              </w:rPr>
              <w:t>U</w:t>
            </w:r>
            <w:r w:rsidRPr="00031BF2">
              <w:rPr>
                <w:rFonts w:cs="Arial"/>
                <w:szCs w:val="19"/>
                <w:lang w:val="en-US"/>
              </w:rPr>
              <w:t>se as an add-on to standard therapy for the treatment of generalised myasthenia gravis in adults who are anti-acetylcholine receptor antibody positive</w:t>
            </w:r>
          </w:p>
        </w:tc>
      </w:tr>
      <w:tr w:rsidR="00B406D5" w:rsidRPr="00862949" w14:paraId="27C6E7A9" w14:textId="77777777" w:rsidTr="004F5FDB">
        <w:tc>
          <w:tcPr>
            <w:tcW w:w="5000" w:type="pct"/>
            <w:gridSpan w:val="2"/>
            <w:shd w:val="clear" w:color="auto" w:fill="auto"/>
            <w:tcMar>
              <w:top w:w="0" w:type="dxa"/>
              <w:bottom w:w="0" w:type="dxa"/>
            </w:tcMar>
          </w:tcPr>
          <w:p w14:paraId="35EEDDFC" w14:textId="77777777" w:rsidR="00B406D5" w:rsidRPr="00862949" w:rsidRDefault="00B406D5" w:rsidP="00B406D5">
            <w:pPr>
              <w:rPr>
                <w:rFonts w:cs="Arial"/>
                <w:b/>
                <w:noProof/>
                <w:sz w:val="8"/>
                <w:szCs w:val="8"/>
              </w:rPr>
            </w:pPr>
          </w:p>
        </w:tc>
      </w:tr>
      <w:tr w:rsidR="00B406D5" w:rsidRPr="00862949" w14:paraId="0EA08FC0" w14:textId="77777777" w:rsidTr="004F5FDB">
        <w:tc>
          <w:tcPr>
            <w:tcW w:w="5000" w:type="pct"/>
            <w:gridSpan w:val="2"/>
            <w:shd w:val="clear" w:color="auto" w:fill="DAEEF3"/>
            <w:tcMar>
              <w:top w:w="0" w:type="dxa"/>
              <w:bottom w:w="0" w:type="dxa"/>
            </w:tcMar>
          </w:tcPr>
          <w:p w14:paraId="14B21371" w14:textId="77777777" w:rsidR="00B406D5" w:rsidRPr="00862949" w:rsidRDefault="00B406D5" w:rsidP="00B406D5">
            <w:pPr>
              <w:rPr>
                <w:rFonts w:cs="Arial"/>
                <w:b/>
                <w:i/>
                <w:noProof/>
                <w:sz w:val="8"/>
                <w:szCs w:val="8"/>
              </w:rPr>
            </w:pPr>
          </w:p>
        </w:tc>
      </w:tr>
    </w:tbl>
    <w:p w14:paraId="518881A0" w14:textId="77777777" w:rsidR="00DD6F65" w:rsidRDefault="00DD6F65" w:rsidP="00EB3E6F">
      <w:pPr>
        <w:tabs>
          <w:tab w:val="left" w:pos="2087"/>
        </w:tabs>
      </w:pPr>
    </w:p>
    <w:p w14:paraId="7912A523" w14:textId="77777777" w:rsidR="006D2C7D" w:rsidRDefault="006D2C7D" w:rsidP="00EB3E6F">
      <w:pPr>
        <w:tabs>
          <w:tab w:val="left" w:pos="2087"/>
        </w:tabs>
      </w:pPr>
    </w:p>
    <w:p w14:paraId="7C11E596" w14:textId="77777777" w:rsidR="00DD6F65" w:rsidRDefault="00DD6F65" w:rsidP="00EB3E6F">
      <w:pPr>
        <w:tabs>
          <w:tab w:val="left" w:pos="2087"/>
        </w:tabs>
      </w:pPr>
    </w:p>
    <w:tbl>
      <w:tblPr>
        <w:tblW w:w="5170" w:type="pct"/>
        <w:tblInd w:w="-176" w:type="dxa"/>
        <w:tblLayout w:type="fixed"/>
        <w:tblLook w:val="01E0" w:firstRow="1" w:lastRow="1" w:firstColumn="1" w:lastColumn="1" w:noHBand="0" w:noVBand="0"/>
      </w:tblPr>
      <w:tblGrid>
        <w:gridCol w:w="2431"/>
        <w:gridCol w:w="439"/>
        <w:gridCol w:w="7681"/>
      </w:tblGrid>
      <w:tr w:rsidR="005A7E09" w:rsidRPr="00862949" w14:paraId="045257FF" w14:textId="77777777" w:rsidTr="005A7E09">
        <w:tc>
          <w:tcPr>
            <w:tcW w:w="5000" w:type="pct"/>
            <w:gridSpan w:val="3"/>
            <w:shd w:val="clear" w:color="auto" w:fill="0070C0"/>
            <w:tcMar>
              <w:top w:w="85" w:type="dxa"/>
              <w:bottom w:w="85" w:type="dxa"/>
            </w:tcMar>
            <w:vAlign w:val="bottom"/>
          </w:tcPr>
          <w:p w14:paraId="1298A082"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5A7E09" w:rsidRPr="00862949" w14:paraId="24F686A5" w14:textId="77777777" w:rsidTr="005A7E09">
        <w:tc>
          <w:tcPr>
            <w:tcW w:w="5000" w:type="pct"/>
            <w:gridSpan w:val="3"/>
            <w:shd w:val="clear" w:color="auto" w:fill="DAEEF3"/>
            <w:tcMar>
              <w:top w:w="0" w:type="dxa"/>
              <w:bottom w:w="0" w:type="dxa"/>
            </w:tcMar>
          </w:tcPr>
          <w:p w14:paraId="66069106" w14:textId="77777777" w:rsidR="005A7E09" w:rsidRPr="00862949" w:rsidRDefault="005A7E09" w:rsidP="005A7E09">
            <w:pPr>
              <w:rPr>
                <w:rFonts w:cs="Arial"/>
                <w:b/>
                <w:bCs/>
                <w:i/>
                <w:iCs/>
                <w:color w:val="000000"/>
                <w:sz w:val="8"/>
                <w:szCs w:val="8"/>
                <w:lang w:val="en-US"/>
              </w:rPr>
            </w:pPr>
          </w:p>
        </w:tc>
      </w:tr>
      <w:tr w:rsidR="005A7E09" w:rsidRPr="00862949" w14:paraId="0B994D69" w14:textId="77777777" w:rsidTr="005A7E09">
        <w:tc>
          <w:tcPr>
            <w:tcW w:w="5000" w:type="pct"/>
            <w:gridSpan w:val="3"/>
            <w:shd w:val="clear" w:color="auto" w:fill="00B050"/>
            <w:tcMar>
              <w:top w:w="57" w:type="dxa"/>
              <w:bottom w:w="57" w:type="dxa"/>
            </w:tcMar>
          </w:tcPr>
          <w:p w14:paraId="20983E43" w14:textId="77777777" w:rsidR="005A7E09" w:rsidRPr="00433D3E" w:rsidRDefault="005A7E09" w:rsidP="00EB3E6F">
            <w:pPr>
              <w:rPr>
                <w:rFonts w:cs="Arial"/>
                <w:color w:val="FFFFFF"/>
                <w:sz w:val="20"/>
                <w:szCs w:val="20"/>
              </w:rPr>
            </w:pPr>
            <w:r w:rsidRPr="00433D3E">
              <w:rPr>
                <w:rFonts w:cs="Arial"/>
                <w:b/>
                <w:bCs/>
                <w:i/>
                <w:iCs/>
                <w:color w:val="FFFFFF"/>
                <w:sz w:val="22"/>
                <w:szCs w:val="20"/>
                <w:lang w:val="en-US"/>
              </w:rPr>
              <w:t xml:space="preserve">Approved in the </w:t>
            </w:r>
            <w:r w:rsidR="0048777D">
              <w:rPr>
                <w:rFonts w:cs="Arial"/>
                <w:b/>
                <w:bCs/>
                <w:i/>
                <w:iCs/>
                <w:color w:val="FFFFFF"/>
                <w:sz w:val="22"/>
                <w:szCs w:val="20"/>
                <w:lang w:val="en-US"/>
              </w:rPr>
              <w:t>UK</w:t>
            </w:r>
          </w:p>
        </w:tc>
      </w:tr>
      <w:tr w:rsidR="00247547" w14:paraId="2491F0A3" w14:textId="77777777" w:rsidTr="00013267">
        <w:tc>
          <w:tcPr>
            <w:tcW w:w="1360" w:type="pct"/>
            <w:gridSpan w:val="2"/>
            <w:shd w:val="clear" w:color="auto" w:fill="auto"/>
            <w:tcMar>
              <w:top w:w="57" w:type="dxa"/>
              <w:bottom w:w="57" w:type="dxa"/>
            </w:tcMar>
          </w:tcPr>
          <w:p w14:paraId="6091A31B" w14:textId="77777777" w:rsidR="006D2C7D" w:rsidRDefault="006D2C7D" w:rsidP="007D01FD">
            <w:pPr>
              <w:rPr>
                <w:rFonts w:cs="Arial"/>
                <w:szCs w:val="19"/>
              </w:rPr>
            </w:pPr>
            <w:r w:rsidRPr="006D2C7D">
              <w:rPr>
                <w:rFonts w:cs="Arial"/>
                <w:szCs w:val="19"/>
              </w:rPr>
              <w:t>Bismuth subcitrate potassium + metronidazole + tetracycline</w:t>
            </w:r>
            <w:r>
              <w:rPr>
                <w:rFonts w:cs="Arial"/>
                <w:szCs w:val="19"/>
              </w:rPr>
              <w:t xml:space="preserve"> (</w:t>
            </w:r>
            <w:r w:rsidRPr="006D2C7D">
              <w:rPr>
                <w:rFonts w:cs="Arial"/>
                <w:i/>
                <w:iCs/>
                <w:szCs w:val="19"/>
              </w:rPr>
              <w:t>Pylera</w:t>
            </w:r>
            <w:r>
              <w:rPr>
                <w:rFonts w:cs="Arial"/>
                <w:szCs w:val="19"/>
              </w:rPr>
              <w:t>)</w:t>
            </w:r>
            <w:r w:rsidRPr="006D2C7D">
              <w:rPr>
                <w:rFonts w:cs="Arial"/>
                <w:szCs w:val="19"/>
              </w:rPr>
              <w:t xml:space="preserve"> </w:t>
            </w:r>
          </w:p>
          <w:p w14:paraId="133B6A0C" w14:textId="03B8B8AE" w:rsidR="00247547" w:rsidRPr="00247547" w:rsidRDefault="006D2C7D" w:rsidP="007D01FD">
            <w:pPr>
              <w:rPr>
                <w:rFonts w:cs="Arial"/>
                <w:szCs w:val="19"/>
              </w:rPr>
            </w:pPr>
            <w:r w:rsidRPr="006D2C7D">
              <w:rPr>
                <w:rFonts w:cs="Arial"/>
                <w:sz w:val="16"/>
                <w:szCs w:val="16"/>
              </w:rPr>
              <w:t>140mg/125mg/125mg capsule</w:t>
            </w:r>
          </w:p>
        </w:tc>
        <w:tc>
          <w:tcPr>
            <w:tcW w:w="3640" w:type="pct"/>
            <w:shd w:val="clear" w:color="auto" w:fill="auto"/>
            <w:tcMar>
              <w:top w:w="57" w:type="dxa"/>
              <w:bottom w:w="57" w:type="dxa"/>
            </w:tcMar>
          </w:tcPr>
          <w:p w14:paraId="69600AF9" w14:textId="4AD429FE" w:rsidR="00247547" w:rsidRPr="002B10C1" w:rsidRDefault="006D2C7D" w:rsidP="00C24EC1">
            <w:pPr>
              <w:tabs>
                <w:tab w:val="center" w:pos="3152"/>
              </w:tabs>
              <w:rPr>
                <w:rFonts w:cs="Arial"/>
                <w:szCs w:val="19"/>
                <w:lang w:val="en-US"/>
              </w:rPr>
            </w:pPr>
            <w:r>
              <w:rPr>
                <w:rFonts w:cs="Arial"/>
                <w:szCs w:val="19"/>
                <w:lang w:val="en-US"/>
              </w:rPr>
              <w:t>Use i</w:t>
            </w:r>
            <w:r w:rsidRPr="006D2C7D">
              <w:rPr>
                <w:rFonts w:cs="Arial"/>
                <w:szCs w:val="19"/>
                <w:lang w:val="en-US"/>
              </w:rPr>
              <w:t>n combination with omeprazole for the eradication of</w:t>
            </w:r>
            <w:r w:rsidR="00C24EC1">
              <w:rPr>
                <w:rFonts w:cs="Arial"/>
                <w:szCs w:val="19"/>
                <w:lang w:val="en-US"/>
              </w:rPr>
              <w:t xml:space="preserve"> </w:t>
            </w:r>
            <w:r w:rsidRPr="00C24EC1">
              <w:rPr>
                <w:rFonts w:cs="Arial"/>
                <w:i/>
                <w:iCs/>
                <w:szCs w:val="19"/>
                <w:lang w:val="en-US"/>
              </w:rPr>
              <w:t>Helicobacter pylori</w:t>
            </w:r>
            <w:r w:rsidRPr="006D2C7D">
              <w:rPr>
                <w:rFonts w:cs="Arial"/>
                <w:szCs w:val="19"/>
                <w:lang w:val="en-US"/>
              </w:rPr>
              <w:t xml:space="preserve"> and prevention of relapse of peptic ulcers in patients with active</w:t>
            </w:r>
            <w:r w:rsidR="00C24EC1">
              <w:rPr>
                <w:rFonts w:cs="Arial"/>
                <w:szCs w:val="19"/>
                <w:lang w:val="en-US"/>
              </w:rPr>
              <w:t xml:space="preserve">, </w:t>
            </w:r>
            <w:r w:rsidRPr="006D2C7D">
              <w:rPr>
                <w:rFonts w:cs="Arial"/>
                <w:szCs w:val="19"/>
                <w:lang w:val="en-US"/>
              </w:rPr>
              <w:t>or a history of</w:t>
            </w:r>
            <w:r w:rsidR="00C24EC1">
              <w:rPr>
                <w:rFonts w:cs="Arial"/>
                <w:szCs w:val="19"/>
                <w:lang w:val="en-US"/>
              </w:rPr>
              <w:t>,</w:t>
            </w:r>
            <w:r w:rsidRPr="006D2C7D">
              <w:rPr>
                <w:rFonts w:cs="Arial"/>
                <w:szCs w:val="19"/>
                <w:lang w:val="en-US"/>
              </w:rPr>
              <w:t xml:space="preserve"> </w:t>
            </w:r>
            <w:r w:rsidRPr="00C24EC1">
              <w:rPr>
                <w:rFonts w:cs="Arial"/>
                <w:i/>
                <w:iCs/>
                <w:szCs w:val="19"/>
                <w:lang w:val="en-US"/>
              </w:rPr>
              <w:t>H. pylori</w:t>
            </w:r>
            <w:r w:rsidRPr="006D2C7D">
              <w:rPr>
                <w:rFonts w:cs="Arial"/>
                <w:szCs w:val="19"/>
                <w:lang w:val="en-US"/>
              </w:rPr>
              <w:t xml:space="preserve"> associated ulcers</w:t>
            </w:r>
            <w:r>
              <w:rPr>
                <w:rFonts w:cs="Arial"/>
                <w:szCs w:val="19"/>
                <w:lang w:val="en-US"/>
              </w:rPr>
              <w:t xml:space="preserve"> </w:t>
            </w:r>
            <w:r w:rsidRPr="006D2C7D">
              <w:rPr>
                <w:rFonts w:cs="Arial"/>
                <w:sz w:val="16"/>
                <w:szCs w:val="16"/>
                <w:lang w:val="en-US"/>
              </w:rPr>
              <w:t>[new formulation]</w:t>
            </w:r>
          </w:p>
        </w:tc>
      </w:tr>
      <w:tr w:rsidR="002B10C1" w14:paraId="02C6B2B6" w14:textId="77777777" w:rsidTr="00013267">
        <w:tc>
          <w:tcPr>
            <w:tcW w:w="1360" w:type="pct"/>
            <w:gridSpan w:val="2"/>
            <w:shd w:val="clear" w:color="auto" w:fill="auto"/>
            <w:tcMar>
              <w:top w:w="57" w:type="dxa"/>
              <w:bottom w:w="57" w:type="dxa"/>
            </w:tcMar>
          </w:tcPr>
          <w:p w14:paraId="0DC97290" w14:textId="77777777" w:rsidR="002B10C1" w:rsidRDefault="00807970" w:rsidP="007D01FD">
            <w:pPr>
              <w:rPr>
                <w:rFonts w:cs="Arial"/>
                <w:szCs w:val="19"/>
              </w:rPr>
            </w:pPr>
            <w:r>
              <w:rPr>
                <w:rFonts w:cs="Arial"/>
                <w:szCs w:val="19"/>
              </w:rPr>
              <w:t>Denosumab (</w:t>
            </w:r>
            <w:r>
              <w:rPr>
                <w:rFonts w:cs="Arial"/>
                <w:i/>
                <w:iCs/>
                <w:szCs w:val="19"/>
              </w:rPr>
              <w:t>Xgeva</w:t>
            </w:r>
            <w:r>
              <w:rPr>
                <w:rFonts w:cs="Arial"/>
                <w:szCs w:val="19"/>
              </w:rPr>
              <w:t>)</w:t>
            </w:r>
          </w:p>
          <w:p w14:paraId="043CAD85" w14:textId="77777777" w:rsidR="00807970" w:rsidRPr="00807970" w:rsidRDefault="00807970" w:rsidP="007D01FD">
            <w:pPr>
              <w:rPr>
                <w:rFonts w:cs="Arial"/>
                <w:szCs w:val="19"/>
              </w:rPr>
            </w:pPr>
            <w:r w:rsidRPr="00807970">
              <w:rPr>
                <w:rFonts w:cs="Arial"/>
                <w:sz w:val="16"/>
                <w:szCs w:val="16"/>
              </w:rPr>
              <w:t>120mg in 1.7mL prefilled syringe</w:t>
            </w:r>
          </w:p>
        </w:tc>
        <w:tc>
          <w:tcPr>
            <w:tcW w:w="3640" w:type="pct"/>
            <w:shd w:val="clear" w:color="auto" w:fill="auto"/>
            <w:tcMar>
              <w:top w:w="57" w:type="dxa"/>
              <w:bottom w:w="57" w:type="dxa"/>
            </w:tcMar>
          </w:tcPr>
          <w:p w14:paraId="26D98B6E" w14:textId="77777777" w:rsidR="002B10C1" w:rsidRPr="00807970" w:rsidRDefault="00807970" w:rsidP="007D01FD">
            <w:pPr>
              <w:tabs>
                <w:tab w:val="center" w:pos="3152"/>
              </w:tabs>
              <w:rPr>
                <w:rFonts w:cs="Arial"/>
                <w:szCs w:val="19"/>
                <w:lang w:val="en-US"/>
              </w:rPr>
            </w:pPr>
            <w:r w:rsidRPr="00807970">
              <w:rPr>
                <w:rFonts w:cs="Arial"/>
                <w:szCs w:val="19"/>
                <w:lang w:val="en-US"/>
              </w:rPr>
              <w:t>Prevention of skeletal related events (pathological fracture, radiation to bone, spinal cord compression or surgery to bone) in adults with advanced malignancies involving bone, and treatment of adults and skeletally mature adolescents with giant cell tumour of bone that is unresectable or where surgical resection is likely to result in severe morbidity</w:t>
            </w:r>
          </w:p>
        </w:tc>
      </w:tr>
      <w:tr w:rsidR="00801675" w14:paraId="57FA3477" w14:textId="77777777" w:rsidTr="00013267">
        <w:tc>
          <w:tcPr>
            <w:tcW w:w="1360" w:type="pct"/>
            <w:gridSpan w:val="2"/>
            <w:shd w:val="clear" w:color="auto" w:fill="auto"/>
            <w:tcMar>
              <w:top w:w="57" w:type="dxa"/>
              <w:bottom w:w="57" w:type="dxa"/>
            </w:tcMar>
          </w:tcPr>
          <w:p w14:paraId="1BC2A8FE" w14:textId="77777777" w:rsidR="00801675" w:rsidRPr="00C9108B" w:rsidRDefault="00801675" w:rsidP="00801675">
            <w:pPr>
              <w:rPr>
                <w:rFonts w:cs="Arial"/>
                <w:color w:val="000000" w:themeColor="text1"/>
                <w:szCs w:val="19"/>
              </w:rPr>
            </w:pPr>
            <w:r w:rsidRPr="00C9108B">
              <w:rPr>
                <w:rFonts w:cs="Arial"/>
                <w:color w:val="000000" w:themeColor="text1"/>
                <w:szCs w:val="19"/>
              </w:rPr>
              <w:t>Etrasimod (</w:t>
            </w:r>
            <w:r w:rsidRPr="00C9108B">
              <w:rPr>
                <w:rFonts w:cs="Arial"/>
                <w:i/>
                <w:iCs/>
                <w:color w:val="000000" w:themeColor="text1"/>
                <w:szCs w:val="19"/>
              </w:rPr>
              <w:t>Velsipity</w:t>
            </w:r>
            <w:r w:rsidRPr="00C9108B">
              <w:rPr>
                <w:rFonts w:cs="Arial"/>
                <w:color w:val="000000" w:themeColor="text1"/>
                <w:szCs w:val="19"/>
              </w:rPr>
              <w:t>)</w:t>
            </w:r>
          </w:p>
          <w:p w14:paraId="15D9C696" w14:textId="77777777" w:rsidR="00801675" w:rsidRPr="00C9108B" w:rsidRDefault="00801675" w:rsidP="00801675">
            <w:pPr>
              <w:rPr>
                <w:rFonts w:cs="Arial"/>
                <w:color w:val="000000" w:themeColor="text1"/>
                <w:szCs w:val="19"/>
              </w:rPr>
            </w:pPr>
            <w:r w:rsidRPr="00C9108B">
              <w:rPr>
                <w:rFonts w:cs="Arial"/>
                <w:color w:val="000000" w:themeColor="text1"/>
                <w:sz w:val="16"/>
                <w:szCs w:val="16"/>
              </w:rPr>
              <w:t>2mg tablet</w:t>
            </w:r>
          </w:p>
        </w:tc>
        <w:tc>
          <w:tcPr>
            <w:tcW w:w="3640" w:type="pct"/>
            <w:shd w:val="clear" w:color="auto" w:fill="auto"/>
            <w:tcMar>
              <w:top w:w="57" w:type="dxa"/>
              <w:bottom w:w="57" w:type="dxa"/>
            </w:tcMar>
          </w:tcPr>
          <w:p w14:paraId="5EA41659" w14:textId="25D69F75" w:rsidR="00801675" w:rsidRPr="00C9108B" w:rsidRDefault="00801675" w:rsidP="00801675">
            <w:pPr>
              <w:tabs>
                <w:tab w:val="center" w:pos="3152"/>
              </w:tabs>
              <w:rPr>
                <w:rFonts w:cs="Arial"/>
                <w:color w:val="000000" w:themeColor="text1"/>
                <w:szCs w:val="19"/>
                <w:lang w:val="en-US"/>
              </w:rPr>
            </w:pPr>
            <w:r w:rsidRPr="00C9108B">
              <w:rPr>
                <w:rFonts w:cs="Arial"/>
                <w:color w:val="000000" w:themeColor="text1"/>
                <w:szCs w:val="19"/>
                <w:lang w:val="en-US"/>
              </w:rPr>
              <w:t>Treatment of patients aged ≥16 years with moderately to severely active ulcerative colitis who have had an inadequate response, lost response, or were intolerant to either conventional therapy, or a biological agent</w:t>
            </w:r>
          </w:p>
        </w:tc>
      </w:tr>
      <w:tr w:rsidR="00801675" w14:paraId="446E5F9E" w14:textId="77777777" w:rsidTr="00013267">
        <w:tc>
          <w:tcPr>
            <w:tcW w:w="1360" w:type="pct"/>
            <w:gridSpan w:val="2"/>
            <w:shd w:val="clear" w:color="auto" w:fill="auto"/>
            <w:tcMar>
              <w:top w:w="57" w:type="dxa"/>
              <w:bottom w:w="57" w:type="dxa"/>
            </w:tcMar>
          </w:tcPr>
          <w:p w14:paraId="34BB94CB" w14:textId="77777777" w:rsidR="00801675" w:rsidRDefault="00801675" w:rsidP="00801675">
            <w:pPr>
              <w:rPr>
                <w:rFonts w:cs="Arial"/>
                <w:szCs w:val="19"/>
              </w:rPr>
            </w:pPr>
            <w:r w:rsidRPr="004E5B23">
              <w:rPr>
                <w:rFonts w:cs="Arial"/>
                <w:szCs w:val="19"/>
              </w:rPr>
              <w:t>Ganaxolone</w:t>
            </w:r>
            <w:r>
              <w:rPr>
                <w:rFonts w:cs="Arial"/>
                <w:szCs w:val="19"/>
              </w:rPr>
              <w:t xml:space="preserve"> (</w:t>
            </w:r>
            <w:r>
              <w:rPr>
                <w:rFonts w:cs="Arial"/>
                <w:i/>
                <w:iCs/>
                <w:szCs w:val="19"/>
              </w:rPr>
              <w:t>Ztalmy</w:t>
            </w:r>
            <w:r>
              <w:rPr>
                <w:rFonts w:cs="Arial"/>
                <w:szCs w:val="19"/>
              </w:rPr>
              <w:t>)</w:t>
            </w:r>
          </w:p>
          <w:p w14:paraId="1B48083D" w14:textId="77777777" w:rsidR="00801675" w:rsidRPr="004E5B23" w:rsidRDefault="00801675" w:rsidP="00801675">
            <w:pPr>
              <w:rPr>
                <w:rFonts w:cs="Arial"/>
                <w:szCs w:val="19"/>
              </w:rPr>
            </w:pPr>
            <w:r w:rsidRPr="0044527F">
              <w:rPr>
                <w:rFonts w:cs="Arial"/>
                <w:sz w:val="16"/>
                <w:szCs w:val="16"/>
              </w:rPr>
              <w:t>50mg in 1mL oral suspension</w:t>
            </w:r>
          </w:p>
        </w:tc>
        <w:tc>
          <w:tcPr>
            <w:tcW w:w="3640" w:type="pct"/>
            <w:shd w:val="clear" w:color="auto" w:fill="auto"/>
            <w:tcMar>
              <w:top w:w="57" w:type="dxa"/>
              <w:bottom w:w="57" w:type="dxa"/>
            </w:tcMar>
          </w:tcPr>
          <w:p w14:paraId="3570D37E" w14:textId="77777777" w:rsidR="00801675" w:rsidRDefault="00801675" w:rsidP="00801675">
            <w:pPr>
              <w:tabs>
                <w:tab w:val="center" w:pos="3152"/>
              </w:tabs>
              <w:rPr>
                <w:rFonts w:cs="Arial"/>
                <w:szCs w:val="19"/>
                <w:lang w:val="en-US"/>
              </w:rPr>
            </w:pPr>
            <w:r w:rsidRPr="004E5B23">
              <w:rPr>
                <w:rFonts w:cs="Arial"/>
                <w:szCs w:val="19"/>
                <w:lang w:val="en-US"/>
              </w:rPr>
              <w:t xml:space="preserve">Adjunctive treatment of epileptic seizures associated with cyclin-dependent kinase-like 5 deficiency disorder in patients </w:t>
            </w:r>
            <w:r>
              <w:rPr>
                <w:rFonts w:cs="Arial"/>
                <w:szCs w:val="19"/>
                <w:lang w:val="en-US"/>
              </w:rPr>
              <w:t xml:space="preserve">aged </w:t>
            </w:r>
            <w:r w:rsidRPr="004E5B23">
              <w:rPr>
                <w:rFonts w:cs="Arial"/>
                <w:szCs w:val="19"/>
                <w:lang w:val="en-US"/>
              </w:rPr>
              <w:t xml:space="preserve">2 to 17 years. </w:t>
            </w:r>
            <w:r w:rsidRPr="004E5B23">
              <w:rPr>
                <w:rFonts w:cs="Arial"/>
                <w:i/>
                <w:iCs/>
                <w:szCs w:val="19"/>
                <w:lang w:val="en-US"/>
              </w:rPr>
              <w:t>Ztalmy</w:t>
            </w:r>
            <w:r w:rsidRPr="004E5B23">
              <w:rPr>
                <w:rFonts w:cs="Arial"/>
                <w:szCs w:val="19"/>
                <w:lang w:val="en-US"/>
              </w:rPr>
              <w:t xml:space="preserve"> may be continued in patients </w:t>
            </w:r>
            <w:r>
              <w:rPr>
                <w:rFonts w:cs="Arial"/>
                <w:szCs w:val="19"/>
                <w:lang w:val="en-US"/>
              </w:rPr>
              <w:t>aged ≥</w:t>
            </w:r>
            <w:r w:rsidRPr="004E5B23">
              <w:rPr>
                <w:rFonts w:cs="Arial"/>
                <w:szCs w:val="19"/>
                <w:lang w:val="en-US"/>
              </w:rPr>
              <w:t>18 years</w:t>
            </w:r>
            <w:r>
              <w:rPr>
                <w:rFonts w:cs="Arial"/>
                <w:szCs w:val="19"/>
                <w:lang w:val="en-US"/>
              </w:rPr>
              <w:t>.</w:t>
            </w:r>
          </w:p>
        </w:tc>
      </w:tr>
      <w:tr w:rsidR="00801675" w14:paraId="391E551D" w14:textId="77777777" w:rsidTr="00013267">
        <w:tc>
          <w:tcPr>
            <w:tcW w:w="1360" w:type="pct"/>
            <w:gridSpan w:val="2"/>
            <w:shd w:val="clear" w:color="auto" w:fill="auto"/>
            <w:tcMar>
              <w:top w:w="57" w:type="dxa"/>
              <w:bottom w:w="57" w:type="dxa"/>
            </w:tcMar>
          </w:tcPr>
          <w:p w14:paraId="5956F7E1" w14:textId="77777777" w:rsidR="00801675" w:rsidRPr="00935364" w:rsidRDefault="00801675" w:rsidP="00801675">
            <w:pPr>
              <w:rPr>
                <w:color w:val="000000" w:themeColor="text1"/>
                <w:szCs w:val="19"/>
              </w:rPr>
            </w:pPr>
            <w:r w:rsidRPr="00935364">
              <w:rPr>
                <w:rFonts w:cs="Arial"/>
                <w:color w:val="000000" w:themeColor="text1"/>
                <w:szCs w:val="19"/>
              </w:rPr>
              <w:t>Quizartinib (</w:t>
            </w:r>
            <w:r w:rsidRPr="00935364">
              <w:rPr>
                <w:rFonts w:cs="Arial"/>
                <w:i/>
                <w:iCs/>
                <w:color w:val="000000" w:themeColor="text1"/>
                <w:szCs w:val="19"/>
              </w:rPr>
              <w:t>Vanflyta</w:t>
            </w:r>
            <w:r w:rsidRPr="00935364">
              <w:rPr>
                <w:rFonts w:cs="Arial"/>
                <w:color w:val="000000" w:themeColor="text1"/>
                <w:szCs w:val="19"/>
              </w:rPr>
              <w:t>)</w:t>
            </w:r>
            <w:r w:rsidRPr="00935364">
              <w:rPr>
                <w:color w:val="000000" w:themeColor="text1"/>
                <w:szCs w:val="19"/>
              </w:rPr>
              <w:t xml:space="preserve"> </w:t>
            </w:r>
          </w:p>
          <w:p w14:paraId="78705784" w14:textId="77777777" w:rsidR="00801675" w:rsidRPr="00935364" w:rsidRDefault="00801675" w:rsidP="00801675">
            <w:pPr>
              <w:rPr>
                <w:rFonts w:cs="Arial"/>
                <w:color w:val="000000" w:themeColor="text1"/>
                <w:szCs w:val="19"/>
              </w:rPr>
            </w:pPr>
            <w:r w:rsidRPr="00C9108B">
              <w:rPr>
                <w:rFonts w:cs="Arial"/>
                <w:color w:val="000000" w:themeColor="text1"/>
                <w:sz w:val="16"/>
                <w:szCs w:val="16"/>
              </w:rPr>
              <w:t>17.7mg and 26.5mg tablets</w:t>
            </w:r>
          </w:p>
        </w:tc>
        <w:tc>
          <w:tcPr>
            <w:tcW w:w="3640" w:type="pct"/>
            <w:shd w:val="clear" w:color="auto" w:fill="auto"/>
            <w:tcMar>
              <w:top w:w="57" w:type="dxa"/>
              <w:bottom w:w="57" w:type="dxa"/>
            </w:tcMar>
          </w:tcPr>
          <w:p w14:paraId="08DA488F" w14:textId="784D3F0B" w:rsidR="00801675" w:rsidRPr="00935364" w:rsidRDefault="00801675" w:rsidP="00801675">
            <w:pPr>
              <w:tabs>
                <w:tab w:val="center" w:pos="3152"/>
              </w:tabs>
              <w:rPr>
                <w:rFonts w:cs="Arial"/>
                <w:color w:val="000000" w:themeColor="text1"/>
                <w:szCs w:val="19"/>
                <w:lang w:val="en-US"/>
              </w:rPr>
            </w:pPr>
            <w:r w:rsidRPr="00935364">
              <w:rPr>
                <w:rFonts w:cs="Arial"/>
                <w:color w:val="000000" w:themeColor="text1"/>
                <w:szCs w:val="19"/>
                <w:lang w:val="en-US"/>
              </w:rPr>
              <w:t xml:space="preserve">Use in combination with standard cytarabine and anthracycline induction and standard cytarabine consolidation chemotherapy, followed by </w:t>
            </w:r>
            <w:r w:rsidRPr="00935364">
              <w:rPr>
                <w:rFonts w:cs="Arial"/>
                <w:i/>
                <w:iCs/>
                <w:color w:val="000000" w:themeColor="text1"/>
                <w:szCs w:val="19"/>
                <w:lang w:val="en-US"/>
              </w:rPr>
              <w:t>Vanflyta</w:t>
            </w:r>
            <w:r w:rsidRPr="00935364">
              <w:rPr>
                <w:rFonts w:cs="Arial"/>
                <w:color w:val="000000" w:themeColor="text1"/>
                <w:szCs w:val="19"/>
                <w:lang w:val="en-US"/>
              </w:rPr>
              <w:t xml:space="preserve"> single-agent maintenance therapy for adults with newly diagnosed acute myeloid leukaemia that is FLT3-ITD positive</w:t>
            </w:r>
          </w:p>
        </w:tc>
      </w:tr>
      <w:tr w:rsidR="00801675" w14:paraId="4079B25C" w14:textId="77777777" w:rsidTr="00013267">
        <w:tc>
          <w:tcPr>
            <w:tcW w:w="1360" w:type="pct"/>
            <w:gridSpan w:val="2"/>
            <w:shd w:val="clear" w:color="auto" w:fill="auto"/>
            <w:tcMar>
              <w:top w:w="57" w:type="dxa"/>
              <w:bottom w:w="57" w:type="dxa"/>
            </w:tcMar>
          </w:tcPr>
          <w:p w14:paraId="5BB41818" w14:textId="77777777" w:rsidR="00801675" w:rsidRDefault="00801675" w:rsidP="00801675">
            <w:pPr>
              <w:rPr>
                <w:rFonts w:cs="Arial"/>
                <w:szCs w:val="19"/>
              </w:rPr>
            </w:pPr>
            <w:r w:rsidRPr="000131A0">
              <w:rPr>
                <w:rFonts w:cs="Arial"/>
                <w:szCs w:val="19"/>
              </w:rPr>
              <w:t>Rozanolixizumab</w:t>
            </w:r>
            <w:r>
              <w:rPr>
                <w:rFonts w:cs="Arial"/>
                <w:szCs w:val="19"/>
              </w:rPr>
              <w:t xml:space="preserve"> (</w:t>
            </w:r>
            <w:r>
              <w:rPr>
                <w:rFonts w:cs="Arial"/>
                <w:i/>
                <w:iCs/>
                <w:szCs w:val="19"/>
              </w:rPr>
              <w:t>Rystiggo</w:t>
            </w:r>
            <w:r>
              <w:rPr>
                <w:rFonts w:cs="Arial"/>
                <w:szCs w:val="19"/>
              </w:rPr>
              <w:t xml:space="preserve">) </w:t>
            </w:r>
            <w:r w:rsidRPr="00F43B15">
              <w:rPr>
                <w:rFonts w:cs="Arial"/>
                <w:sz w:val="16"/>
                <w:szCs w:val="16"/>
              </w:rPr>
              <w:t>280mg in 2mL vial</w:t>
            </w:r>
          </w:p>
        </w:tc>
        <w:tc>
          <w:tcPr>
            <w:tcW w:w="3640" w:type="pct"/>
            <w:shd w:val="clear" w:color="auto" w:fill="auto"/>
            <w:tcMar>
              <w:top w:w="57" w:type="dxa"/>
              <w:bottom w:w="57" w:type="dxa"/>
            </w:tcMar>
          </w:tcPr>
          <w:p w14:paraId="270D3367" w14:textId="77777777" w:rsidR="00801675" w:rsidRPr="00D240D5" w:rsidRDefault="00801675" w:rsidP="00801675">
            <w:pPr>
              <w:tabs>
                <w:tab w:val="center" w:pos="3152"/>
              </w:tabs>
              <w:rPr>
                <w:rFonts w:cs="Arial"/>
                <w:szCs w:val="19"/>
                <w:lang w:val="en-US"/>
              </w:rPr>
            </w:pPr>
            <w:r>
              <w:rPr>
                <w:rFonts w:cs="Arial"/>
                <w:szCs w:val="19"/>
                <w:lang w:val="en-US"/>
              </w:rPr>
              <w:t xml:space="preserve">Use </w:t>
            </w:r>
            <w:r w:rsidRPr="000131A0">
              <w:rPr>
                <w:rFonts w:cs="Arial"/>
                <w:szCs w:val="19"/>
                <w:lang w:val="en-US"/>
              </w:rPr>
              <w:t>as an add-on to standard therapy for treatment of generalised myasthenia gravis in adults who are anti-acetylcholine receptor or anti-muscle-specific tyrosine kinase antibody positive</w:t>
            </w:r>
          </w:p>
        </w:tc>
      </w:tr>
      <w:tr w:rsidR="00801675" w14:paraId="4B22365A" w14:textId="77777777" w:rsidTr="00013267">
        <w:tc>
          <w:tcPr>
            <w:tcW w:w="1360" w:type="pct"/>
            <w:gridSpan w:val="2"/>
            <w:shd w:val="clear" w:color="auto" w:fill="auto"/>
            <w:tcMar>
              <w:top w:w="57" w:type="dxa"/>
              <w:bottom w:w="57" w:type="dxa"/>
            </w:tcMar>
          </w:tcPr>
          <w:p w14:paraId="17BC5941" w14:textId="77777777" w:rsidR="00801675" w:rsidRDefault="00801675" w:rsidP="00801675">
            <w:pPr>
              <w:rPr>
                <w:rFonts w:cs="Arial"/>
                <w:szCs w:val="19"/>
              </w:rPr>
            </w:pPr>
            <w:r>
              <w:rPr>
                <w:rFonts w:cs="Arial"/>
                <w:szCs w:val="19"/>
              </w:rPr>
              <w:t>Sodium fluoride (</w:t>
            </w:r>
            <w:r w:rsidRPr="00013267">
              <w:rPr>
                <w:rFonts w:cs="Arial"/>
                <w:i/>
                <w:iCs/>
                <w:szCs w:val="19"/>
              </w:rPr>
              <w:t>Duraphat Protify 5000ppm toothpaste</w:t>
            </w:r>
            <w:r>
              <w:rPr>
                <w:rFonts w:cs="Arial"/>
                <w:szCs w:val="19"/>
              </w:rPr>
              <w:t>)</w:t>
            </w:r>
          </w:p>
          <w:p w14:paraId="2FB8C052" w14:textId="77777777" w:rsidR="00801675" w:rsidRPr="002A6DA7" w:rsidRDefault="00801675" w:rsidP="00801675">
            <w:pPr>
              <w:rPr>
                <w:rFonts w:cs="Arial"/>
                <w:szCs w:val="19"/>
              </w:rPr>
            </w:pPr>
            <w:r w:rsidRPr="00013267">
              <w:rPr>
                <w:rFonts w:cs="Arial"/>
                <w:sz w:val="16"/>
                <w:szCs w:val="16"/>
              </w:rPr>
              <w:t>51g tube</w:t>
            </w:r>
          </w:p>
        </w:tc>
        <w:tc>
          <w:tcPr>
            <w:tcW w:w="3640" w:type="pct"/>
            <w:shd w:val="clear" w:color="auto" w:fill="auto"/>
            <w:tcMar>
              <w:top w:w="57" w:type="dxa"/>
              <w:bottom w:w="57" w:type="dxa"/>
            </w:tcMar>
          </w:tcPr>
          <w:p w14:paraId="5DB6DBFC" w14:textId="77777777" w:rsidR="00801675" w:rsidRPr="00A075A3" w:rsidRDefault="00801675" w:rsidP="00801675">
            <w:pPr>
              <w:tabs>
                <w:tab w:val="center" w:pos="3152"/>
              </w:tabs>
              <w:rPr>
                <w:rFonts w:cs="Arial"/>
                <w:szCs w:val="19"/>
                <w:lang w:val="en-US"/>
              </w:rPr>
            </w:pPr>
            <w:r w:rsidRPr="00013267">
              <w:rPr>
                <w:rFonts w:cs="Arial"/>
                <w:szCs w:val="19"/>
                <w:lang w:val="en-US"/>
              </w:rPr>
              <w:t>Prevention of dental caries in adolescents and adults, particularly amongst patients at risk from multiple caries (coronal and/or root caries)</w:t>
            </w:r>
            <w:r>
              <w:rPr>
                <w:rFonts w:cs="Arial"/>
                <w:szCs w:val="19"/>
                <w:lang w:val="en-US"/>
              </w:rPr>
              <w:t xml:space="preserve"> </w:t>
            </w:r>
            <w:r w:rsidRPr="00013267">
              <w:rPr>
                <w:rFonts w:cs="Arial"/>
                <w:sz w:val="16"/>
                <w:szCs w:val="16"/>
                <w:lang w:val="en-US"/>
              </w:rPr>
              <w:t>[new formulation containing cocamidopropyl betaine as a foaming agent rather than sodium laurilsulphate]</w:t>
            </w:r>
          </w:p>
        </w:tc>
      </w:tr>
      <w:tr w:rsidR="00801675" w:rsidRPr="00862949" w14:paraId="65E0810F" w14:textId="77777777" w:rsidTr="005A7E09">
        <w:tc>
          <w:tcPr>
            <w:tcW w:w="5000" w:type="pct"/>
            <w:gridSpan w:val="3"/>
            <w:shd w:val="clear" w:color="auto" w:fill="auto"/>
            <w:tcMar>
              <w:top w:w="0" w:type="dxa"/>
              <w:bottom w:w="0" w:type="dxa"/>
            </w:tcMar>
          </w:tcPr>
          <w:p w14:paraId="7A8BF26F" w14:textId="77777777" w:rsidR="00801675" w:rsidRPr="00862949" w:rsidRDefault="00801675" w:rsidP="00801675">
            <w:pPr>
              <w:jc w:val="center"/>
              <w:rPr>
                <w:rFonts w:cs="Arial"/>
                <w:noProof/>
                <w:sz w:val="8"/>
                <w:szCs w:val="8"/>
              </w:rPr>
            </w:pPr>
          </w:p>
        </w:tc>
      </w:tr>
      <w:tr w:rsidR="00070CBC" w:rsidRPr="000F19E1" w14:paraId="608F3764" w14:textId="77777777" w:rsidTr="00D6452A">
        <w:tc>
          <w:tcPr>
            <w:tcW w:w="1152" w:type="pct"/>
            <w:shd w:val="clear" w:color="auto" w:fill="DAEEF3"/>
            <w:tcMar>
              <w:top w:w="0" w:type="dxa"/>
              <w:bottom w:w="0" w:type="dxa"/>
            </w:tcMar>
          </w:tcPr>
          <w:p w14:paraId="3B538F9F" w14:textId="77777777" w:rsidR="00070CBC" w:rsidRPr="000F19E1" w:rsidRDefault="00070CBC" w:rsidP="00070CBC">
            <w:pPr>
              <w:rPr>
                <w:rFonts w:cs="Arial"/>
                <w:bCs/>
                <w:sz w:val="8"/>
                <w:szCs w:val="8"/>
              </w:rPr>
            </w:pPr>
          </w:p>
        </w:tc>
        <w:tc>
          <w:tcPr>
            <w:tcW w:w="3848" w:type="pct"/>
            <w:gridSpan w:val="2"/>
            <w:shd w:val="clear" w:color="auto" w:fill="DAEEF3"/>
            <w:tcMar>
              <w:top w:w="0" w:type="dxa"/>
              <w:bottom w:w="0" w:type="dxa"/>
            </w:tcMar>
          </w:tcPr>
          <w:p w14:paraId="0FB9A8D9" w14:textId="77777777" w:rsidR="00070CBC" w:rsidRPr="000F19E1" w:rsidRDefault="00070CBC" w:rsidP="00070CBC">
            <w:pPr>
              <w:tabs>
                <w:tab w:val="center" w:pos="3152"/>
              </w:tabs>
              <w:rPr>
                <w:rFonts w:cs="Arial"/>
                <w:sz w:val="8"/>
                <w:szCs w:val="8"/>
                <w:lang w:val="en-US"/>
              </w:rPr>
            </w:pPr>
          </w:p>
        </w:tc>
      </w:tr>
    </w:tbl>
    <w:p w14:paraId="714CD7C2" w14:textId="77777777" w:rsidR="0048777D" w:rsidRDefault="0048777D"/>
    <w:p w14:paraId="2BFE24EA" w14:textId="77777777" w:rsidR="0048777D" w:rsidRDefault="0048777D">
      <w:r>
        <w:br w:type="page"/>
      </w:r>
    </w:p>
    <w:p w14:paraId="4FDAED2A" w14:textId="77777777" w:rsidR="0048777D" w:rsidRDefault="0048777D"/>
    <w:tbl>
      <w:tblPr>
        <w:tblW w:w="5170" w:type="pct"/>
        <w:tblInd w:w="-176" w:type="dxa"/>
        <w:tblLayout w:type="fixed"/>
        <w:tblLook w:val="01E0" w:firstRow="1" w:lastRow="1" w:firstColumn="1" w:lastColumn="1" w:noHBand="0" w:noVBand="0"/>
      </w:tblPr>
      <w:tblGrid>
        <w:gridCol w:w="2431"/>
        <w:gridCol w:w="154"/>
        <w:gridCol w:w="7966"/>
      </w:tblGrid>
      <w:tr w:rsidR="0021490D" w:rsidRPr="00862949" w14:paraId="6EEA3C0E" w14:textId="77777777" w:rsidTr="00D6452A">
        <w:tc>
          <w:tcPr>
            <w:tcW w:w="5000" w:type="pct"/>
            <w:gridSpan w:val="3"/>
            <w:shd w:val="clear" w:color="auto" w:fill="0070C0"/>
            <w:tcMar>
              <w:top w:w="85" w:type="dxa"/>
              <w:bottom w:w="85" w:type="dxa"/>
            </w:tcMar>
            <w:vAlign w:val="bottom"/>
          </w:tcPr>
          <w:p w14:paraId="1CC93B07" w14:textId="77777777" w:rsidR="0021490D" w:rsidRPr="00862949" w:rsidRDefault="0021490D" w:rsidP="00D6452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307991FB" w14:textId="77777777" w:rsidTr="00155BD9">
        <w:tc>
          <w:tcPr>
            <w:tcW w:w="1152" w:type="pct"/>
            <w:shd w:val="clear" w:color="auto" w:fill="DAEEF3"/>
            <w:tcMar>
              <w:top w:w="0" w:type="dxa"/>
              <w:bottom w:w="0" w:type="dxa"/>
            </w:tcMar>
          </w:tcPr>
          <w:p w14:paraId="2B0ECDFD" w14:textId="77777777" w:rsidR="001C3A55" w:rsidRPr="000F19E1" w:rsidRDefault="001C3A55" w:rsidP="00510003">
            <w:pPr>
              <w:rPr>
                <w:rFonts w:cs="Arial"/>
                <w:bCs/>
                <w:sz w:val="8"/>
                <w:szCs w:val="8"/>
              </w:rPr>
            </w:pPr>
          </w:p>
        </w:tc>
        <w:tc>
          <w:tcPr>
            <w:tcW w:w="3848" w:type="pct"/>
            <w:gridSpan w:val="2"/>
            <w:shd w:val="clear" w:color="auto" w:fill="DAEEF3"/>
            <w:tcMar>
              <w:top w:w="0" w:type="dxa"/>
              <w:bottom w:w="0" w:type="dxa"/>
            </w:tcMar>
          </w:tcPr>
          <w:p w14:paraId="720121C6" w14:textId="77777777" w:rsidR="001C3A55" w:rsidRPr="000F19E1" w:rsidRDefault="001C3A55" w:rsidP="00510003">
            <w:pPr>
              <w:tabs>
                <w:tab w:val="center" w:pos="3152"/>
              </w:tabs>
              <w:rPr>
                <w:rFonts w:cs="Arial"/>
                <w:sz w:val="8"/>
                <w:szCs w:val="8"/>
                <w:lang w:val="en-US"/>
              </w:rPr>
            </w:pPr>
          </w:p>
        </w:tc>
      </w:tr>
      <w:tr w:rsidR="001C3A55" w:rsidRPr="00433D3E" w14:paraId="769E6218" w14:textId="77777777" w:rsidTr="00155BD9">
        <w:tc>
          <w:tcPr>
            <w:tcW w:w="5000" w:type="pct"/>
            <w:gridSpan w:val="3"/>
            <w:shd w:val="clear" w:color="auto" w:fill="00B050"/>
            <w:tcMar>
              <w:top w:w="57" w:type="dxa"/>
              <w:bottom w:w="57" w:type="dxa"/>
            </w:tcMar>
          </w:tcPr>
          <w:p w14:paraId="42E21723" w14:textId="492D07B4"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p>
        </w:tc>
      </w:tr>
      <w:tr w:rsidR="006557ED" w:rsidRPr="00A075A3" w14:paraId="6DC8A76B" w14:textId="77777777" w:rsidTr="009F3CA6">
        <w:tc>
          <w:tcPr>
            <w:tcW w:w="1225" w:type="pct"/>
            <w:gridSpan w:val="2"/>
            <w:shd w:val="clear" w:color="auto" w:fill="auto"/>
            <w:tcMar>
              <w:top w:w="57" w:type="dxa"/>
              <w:bottom w:w="57" w:type="dxa"/>
            </w:tcMar>
          </w:tcPr>
          <w:p w14:paraId="6D0FAE7F" w14:textId="77777777" w:rsidR="006557ED" w:rsidRDefault="006557ED" w:rsidP="006557ED">
            <w:pPr>
              <w:rPr>
                <w:rFonts w:cs="Arial"/>
                <w:szCs w:val="19"/>
              </w:rPr>
            </w:pPr>
            <w:r>
              <w:rPr>
                <w:rFonts w:cs="Arial"/>
                <w:szCs w:val="19"/>
              </w:rPr>
              <w:t>Aztreona</w:t>
            </w:r>
            <w:r w:rsidRPr="001414BF">
              <w:rPr>
                <w:rFonts w:cs="Arial"/>
                <w:szCs w:val="19"/>
              </w:rPr>
              <w:t>m + avibactam </w:t>
            </w:r>
          </w:p>
          <w:p w14:paraId="3782F8D5" w14:textId="0DA62AC9" w:rsidR="006557ED" w:rsidRPr="00070CBC" w:rsidRDefault="006557ED" w:rsidP="006557ED">
            <w:pPr>
              <w:rPr>
                <w:rFonts w:cs="Arial"/>
                <w:szCs w:val="19"/>
              </w:rPr>
            </w:pPr>
            <w:r>
              <w:rPr>
                <w:rFonts w:cs="Arial"/>
                <w:szCs w:val="19"/>
              </w:rPr>
              <w:t>(</w:t>
            </w:r>
            <w:r w:rsidRPr="001414BF">
              <w:rPr>
                <w:rFonts w:cs="Arial"/>
                <w:i/>
                <w:iCs/>
                <w:szCs w:val="19"/>
              </w:rPr>
              <w:t>Emblaveo</w:t>
            </w:r>
            <w:r>
              <w:rPr>
                <w:rFonts w:cs="Arial"/>
                <w:szCs w:val="19"/>
              </w:rPr>
              <w:t>)</w:t>
            </w:r>
          </w:p>
        </w:tc>
        <w:tc>
          <w:tcPr>
            <w:tcW w:w="3775" w:type="pct"/>
            <w:shd w:val="clear" w:color="auto" w:fill="auto"/>
            <w:tcMar>
              <w:top w:w="57" w:type="dxa"/>
              <w:bottom w:w="57" w:type="dxa"/>
            </w:tcMar>
          </w:tcPr>
          <w:p w14:paraId="3690D859" w14:textId="3AC4232F" w:rsidR="006557ED" w:rsidRDefault="006557ED" w:rsidP="006557ED">
            <w:pPr>
              <w:tabs>
                <w:tab w:val="center" w:pos="3152"/>
              </w:tabs>
              <w:rPr>
                <w:rFonts w:cs="Arial"/>
                <w:szCs w:val="19"/>
                <w:lang w:val="en-US"/>
              </w:rPr>
            </w:pPr>
            <w:r w:rsidRPr="001414BF">
              <w:rPr>
                <w:rFonts w:cs="Arial"/>
                <w:szCs w:val="19"/>
                <w:lang w:val="en-US"/>
              </w:rPr>
              <w:t xml:space="preserve">Treatment of the following infections in adults: Complicated intra-abdominal infection; hospital-acquired pneumonia, including ventilator-associated pneumonia; complicated urinary tract infection, including pyelonephritis. </w:t>
            </w:r>
            <w:r>
              <w:rPr>
                <w:rFonts w:cs="Arial"/>
                <w:szCs w:val="19"/>
                <w:lang w:val="en-US"/>
              </w:rPr>
              <w:t>Also</w:t>
            </w:r>
            <w:r w:rsidRPr="001414BF">
              <w:rPr>
                <w:rFonts w:cs="Arial"/>
                <w:szCs w:val="19"/>
                <w:lang w:val="en-US"/>
              </w:rPr>
              <w:t xml:space="preserve"> treatment of infections due to aerobic Gram-negative organisms in adults with limited treatment options</w:t>
            </w:r>
            <w:r>
              <w:rPr>
                <w:rFonts w:cs="Arial"/>
                <w:szCs w:val="19"/>
                <w:lang w:val="en-US"/>
              </w:rPr>
              <w:t xml:space="preserve">. </w:t>
            </w:r>
            <w:r w:rsidRPr="002A7902">
              <w:rPr>
                <w:rFonts w:cs="Arial"/>
                <w:sz w:val="16"/>
                <w:szCs w:val="16"/>
                <w:lang w:val="en-US"/>
              </w:rPr>
              <w:t>[</w:t>
            </w:r>
            <w:r>
              <w:rPr>
                <w:rFonts w:cs="Arial"/>
                <w:sz w:val="16"/>
                <w:szCs w:val="16"/>
                <w:lang w:val="en-US"/>
              </w:rPr>
              <w:t>EU]</w:t>
            </w:r>
          </w:p>
        </w:tc>
      </w:tr>
      <w:tr w:rsidR="006557ED" w:rsidRPr="00A075A3" w14:paraId="7C24EF38" w14:textId="77777777" w:rsidTr="009F3CA6">
        <w:tc>
          <w:tcPr>
            <w:tcW w:w="1225" w:type="pct"/>
            <w:gridSpan w:val="2"/>
            <w:shd w:val="clear" w:color="auto" w:fill="auto"/>
            <w:tcMar>
              <w:top w:w="57" w:type="dxa"/>
              <w:bottom w:w="57" w:type="dxa"/>
            </w:tcMar>
          </w:tcPr>
          <w:p w14:paraId="1C318ADE" w14:textId="26DFB24D" w:rsidR="006557ED" w:rsidRPr="00F35395" w:rsidRDefault="006557ED" w:rsidP="006557ED">
            <w:pPr>
              <w:rPr>
                <w:rFonts w:cs="Arial"/>
                <w:szCs w:val="19"/>
              </w:rPr>
            </w:pPr>
            <w:r w:rsidRPr="00070CBC">
              <w:rPr>
                <w:rFonts w:cs="Arial"/>
                <w:szCs w:val="19"/>
              </w:rPr>
              <w:t>Bempedoic</w:t>
            </w:r>
            <w:r>
              <w:rPr>
                <w:rFonts w:cs="Arial"/>
                <w:szCs w:val="19"/>
              </w:rPr>
              <w:t xml:space="preserve"> </w:t>
            </w:r>
            <w:r w:rsidRPr="00070CBC">
              <w:rPr>
                <w:rFonts w:cs="Arial"/>
                <w:szCs w:val="19"/>
              </w:rPr>
              <w:t>acid</w:t>
            </w:r>
            <w:r>
              <w:rPr>
                <w:rFonts w:cs="Arial"/>
                <w:szCs w:val="19"/>
              </w:rPr>
              <w:t xml:space="preserve"> (</w:t>
            </w:r>
            <w:r w:rsidRPr="00070CBC">
              <w:rPr>
                <w:rFonts w:cs="Arial"/>
                <w:i/>
                <w:iCs/>
                <w:szCs w:val="19"/>
              </w:rPr>
              <w:t>Nilemdo</w:t>
            </w:r>
            <w:r>
              <w:rPr>
                <w:rFonts w:cs="Arial"/>
                <w:szCs w:val="19"/>
              </w:rPr>
              <w:t>)</w:t>
            </w:r>
          </w:p>
        </w:tc>
        <w:tc>
          <w:tcPr>
            <w:tcW w:w="3775" w:type="pct"/>
            <w:shd w:val="clear" w:color="auto" w:fill="auto"/>
            <w:tcMar>
              <w:top w:w="57" w:type="dxa"/>
              <w:bottom w:w="57" w:type="dxa"/>
            </w:tcMar>
          </w:tcPr>
          <w:p w14:paraId="33A92CB5" w14:textId="6EC7F6A8" w:rsidR="006557ED" w:rsidRDefault="006557ED" w:rsidP="006557ED">
            <w:pPr>
              <w:tabs>
                <w:tab w:val="center" w:pos="3152"/>
              </w:tabs>
              <w:rPr>
                <w:rFonts w:cs="Arial"/>
                <w:szCs w:val="19"/>
                <w:lang w:val="en-US"/>
              </w:rPr>
            </w:pPr>
            <w:r>
              <w:rPr>
                <w:rFonts w:cs="Arial"/>
                <w:szCs w:val="19"/>
                <w:lang w:val="en-US"/>
              </w:rPr>
              <w:t xml:space="preserve">Use </w:t>
            </w:r>
            <w:r w:rsidRPr="00070CBC">
              <w:rPr>
                <w:rFonts w:cs="Arial"/>
                <w:szCs w:val="19"/>
                <w:lang w:val="en-US"/>
              </w:rPr>
              <w:t xml:space="preserve">in adults with established or at high risk for atherosclerotic cardiovascular </w:t>
            </w:r>
            <w:r>
              <w:rPr>
                <w:rFonts w:cs="Arial"/>
                <w:szCs w:val="19"/>
                <w:lang w:val="en-US"/>
              </w:rPr>
              <w:t xml:space="preserve">(CV) </w:t>
            </w:r>
            <w:r w:rsidRPr="00070CBC">
              <w:rPr>
                <w:rFonts w:cs="Arial"/>
                <w:szCs w:val="19"/>
                <w:lang w:val="en-US"/>
              </w:rPr>
              <w:t xml:space="preserve">disease to reduce </w:t>
            </w:r>
            <w:r>
              <w:rPr>
                <w:rFonts w:cs="Arial"/>
                <w:szCs w:val="19"/>
                <w:lang w:val="en-US"/>
              </w:rPr>
              <w:t>CV</w:t>
            </w:r>
            <w:r w:rsidRPr="00070CBC">
              <w:rPr>
                <w:rFonts w:cs="Arial"/>
                <w:szCs w:val="19"/>
                <w:lang w:val="en-US"/>
              </w:rPr>
              <w:t xml:space="preserve"> risk by lowering LDL-C levels, as an adjunct to correction of other risk factors</w:t>
            </w:r>
            <w:r>
              <w:rPr>
                <w:rFonts w:cs="Arial"/>
                <w:szCs w:val="19"/>
                <w:lang w:val="en-US"/>
              </w:rPr>
              <w:t>:</w:t>
            </w:r>
            <w:r w:rsidRPr="00070CBC">
              <w:rPr>
                <w:rFonts w:cs="Arial"/>
                <w:szCs w:val="19"/>
                <w:lang w:val="en-US"/>
              </w:rPr>
              <w:t xml:space="preserve"> in patients on a maximum tolerated dose of a statin with or without ezetimibe or, alone or in combination with ezetimibe in patients who are statin-intolerant, or for whom a statin is contraindicated</w:t>
            </w:r>
            <w:r>
              <w:rPr>
                <w:rFonts w:cs="Arial"/>
                <w:szCs w:val="19"/>
                <w:lang w:val="en-US"/>
              </w:rPr>
              <w:t xml:space="preserve"> </w:t>
            </w:r>
            <w:r w:rsidRPr="0057378C">
              <w:rPr>
                <w:rFonts w:cs="Arial"/>
                <w:sz w:val="16"/>
                <w:szCs w:val="16"/>
                <w:lang w:val="en-US"/>
              </w:rPr>
              <w:t>[EU] [new indication]</w:t>
            </w:r>
          </w:p>
        </w:tc>
      </w:tr>
      <w:tr w:rsidR="006557ED" w:rsidRPr="00A075A3" w14:paraId="6FE6896B" w14:textId="77777777" w:rsidTr="009F3CA6">
        <w:tc>
          <w:tcPr>
            <w:tcW w:w="1225" w:type="pct"/>
            <w:gridSpan w:val="2"/>
            <w:shd w:val="clear" w:color="auto" w:fill="auto"/>
            <w:tcMar>
              <w:top w:w="57" w:type="dxa"/>
              <w:bottom w:w="57" w:type="dxa"/>
            </w:tcMar>
          </w:tcPr>
          <w:p w14:paraId="4AA55100" w14:textId="79BD244F" w:rsidR="006557ED" w:rsidRPr="00797952" w:rsidRDefault="006557ED" w:rsidP="006557ED">
            <w:pPr>
              <w:rPr>
                <w:rFonts w:cs="Arial"/>
                <w:szCs w:val="19"/>
              </w:rPr>
            </w:pPr>
            <w:r w:rsidRPr="00F35395">
              <w:rPr>
                <w:rFonts w:cs="Arial"/>
                <w:szCs w:val="19"/>
              </w:rPr>
              <w:t>Bempedoic acid + ezetimibe </w:t>
            </w:r>
            <w:r>
              <w:rPr>
                <w:rFonts w:cs="Arial"/>
                <w:szCs w:val="19"/>
              </w:rPr>
              <w:t>(</w:t>
            </w:r>
            <w:r>
              <w:rPr>
                <w:rFonts w:cs="Arial"/>
                <w:i/>
                <w:iCs/>
                <w:szCs w:val="19"/>
              </w:rPr>
              <w:t>Nustendi</w:t>
            </w:r>
            <w:r>
              <w:rPr>
                <w:rFonts w:cs="Arial"/>
                <w:szCs w:val="19"/>
              </w:rPr>
              <w:t>)</w:t>
            </w:r>
          </w:p>
        </w:tc>
        <w:tc>
          <w:tcPr>
            <w:tcW w:w="3775" w:type="pct"/>
            <w:shd w:val="clear" w:color="auto" w:fill="auto"/>
            <w:tcMar>
              <w:top w:w="57" w:type="dxa"/>
              <w:bottom w:w="57" w:type="dxa"/>
            </w:tcMar>
          </w:tcPr>
          <w:p w14:paraId="43214F28" w14:textId="3F76FD73" w:rsidR="006557ED" w:rsidRDefault="006557ED" w:rsidP="006557ED">
            <w:pPr>
              <w:tabs>
                <w:tab w:val="center" w:pos="3152"/>
              </w:tabs>
              <w:rPr>
                <w:rFonts w:cs="Arial"/>
                <w:szCs w:val="19"/>
                <w:lang w:val="en-US"/>
              </w:rPr>
            </w:pPr>
            <w:r>
              <w:rPr>
                <w:rFonts w:cs="Arial"/>
                <w:szCs w:val="19"/>
                <w:lang w:val="en-US"/>
              </w:rPr>
              <w:t xml:space="preserve">Use </w:t>
            </w:r>
            <w:r w:rsidRPr="00F35395">
              <w:rPr>
                <w:rFonts w:cs="Arial"/>
                <w:szCs w:val="19"/>
                <w:lang w:val="en-US"/>
              </w:rPr>
              <w:t xml:space="preserve">in adults with established or at high risk for atherosclerotic cardiovascular </w:t>
            </w:r>
            <w:r>
              <w:rPr>
                <w:rFonts w:cs="Arial"/>
                <w:szCs w:val="19"/>
                <w:lang w:val="en-US"/>
              </w:rPr>
              <w:t xml:space="preserve">(CV) </w:t>
            </w:r>
            <w:r w:rsidRPr="00F35395">
              <w:rPr>
                <w:rFonts w:cs="Arial"/>
                <w:szCs w:val="19"/>
                <w:lang w:val="en-US"/>
              </w:rPr>
              <w:t xml:space="preserve">disease to reduce </w:t>
            </w:r>
            <w:r>
              <w:rPr>
                <w:rFonts w:cs="Arial"/>
                <w:szCs w:val="19"/>
                <w:lang w:val="en-US"/>
              </w:rPr>
              <w:t>CV</w:t>
            </w:r>
            <w:r w:rsidRPr="00F35395">
              <w:rPr>
                <w:rFonts w:cs="Arial"/>
                <w:szCs w:val="19"/>
                <w:lang w:val="en-US"/>
              </w:rPr>
              <w:t xml:space="preserve"> risk by lowering LDL-C levels, as an adjunct to correction of other risk factors</w:t>
            </w:r>
            <w:r>
              <w:rPr>
                <w:rFonts w:cs="Arial"/>
                <w:szCs w:val="19"/>
                <w:lang w:val="en-US"/>
              </w:rPr>
              <w:t>:</w:t>
            </w:r>
            <w:r w:rsidRPr="00F35395">
              <w:rPr>
                <w:rFonts w:cs="Arial"/>
                <w:szCs w:val="19"/>
                <w:lang w:val="en-US"/>
              </w:rPr>
              <w:t xml:space="preserve"> in patients on a maximum tolerated dose of a statin and not adequately controlled with additional ezetimibe treatment or</w:t>
            </w:r>
            <w:r>
              <w:rPr>
                <w:rFonts w:cs="Arial"/>
                <w:szCs w:val="19"/>
                <w:lang w:val="en-US"/>
              </w:rPr>
              <w:t>,</w:t>
            </w:r>
            <w:r w:rsidRPr="00F35395">
              <w:rPr>
                <w:rFonts w:cs="Arial"/>
                <w:szCs w:val="19"/>
                <w:lang w:val="en-US"/>
              </w:rPr>
              <w:t xml:space="preserve"> in patients who are either statin-intolerant, or for whom a statin is contraindicated, and not adequately controlled with ezetimibe treatment or, in patients already being treated with the combination of bempedoic acid and ezetimibe as separate tablets</w:t>
            </w:r>
            <w:r>
              <w:rPr>
                <w:rFonts w:cs="Arial"/>
                <w:szCs w:val="19"/>
                <w:lang w:val="en-US"/>
              </w:rPr>
              <w:t xml:space="preserve"> </w:t>
            </w:r>
            <w:r w:rsidRPr="0057378C">
              <w:rPr>
                <w:rFonts w:cs="Arial"/>
                <w:sz w:val="16"/>
                <w:szCs w:val="16"/>
                <w:lang w:val="en-US"/>
              </w:rPr>
              <w:t>[EU] [new indication]</w:t>
            </w:r>
          </w:p>
        </w:tc>
      </w:tr>
      <w:tr w:rsidR="006557ED" w:rsidRPr="00A075A3" w14:paraId="4E4AA062" w14:textId="77777777" w:rsidTr="009F3CA6">
        <w:tc>
          <w:tcPr>
            <w:tcW w:w="1225" w:type="pct"/>
            <w:gridSpan w:val="2"/>
            <w:shd w:val="clear" w:color="auto" w:fill="auto"/>
            <w:tcMar>
              <w:top w:w="57" w:type="dxa"/>
              <w:bottom w:w="57" w:type="dxa"/>
            </w:tcMar>
          </w:tcPr>
          <w:p w14:paraId="43A8A042" w14:textId="3CE14645" w:rsidR="006557ED" w:rsidRPr="0057378C" w:rsidRDefault="006557ED" w:rsidP="006557ED">
            <w:pPr>
              <w:rPr>
                <w:rFonts w:cs="Arial"/>
                <w:szCs w:val="19"/>
              </w:rPr>
            </w:pPr>
            <w:r w:rsidRPr="00797952">
              <w:rPr>
                <w:rFonts w:cs="Arial"/>
                <w:szCs w:val="19"/>
              </w:rPr>
              <w:t>Bevacizumab</w:t>
            </w:r>
            <w:r>
              <w:rPr>
                <w:rFonts w:cs="Arial"/>
                <w:szCs w:val="19"/>
              </w:rPr>
              <w:t xml:space="preserve"> (</w:t>
            </w:r>
            <w:r>
              <w:rPr>
                <w:rFonts w:cs="Arial"/>
                <w:i/>
                <w:iCs/>
                <w:szCs w:val="19"/>
              </w:rPr>
              <w:t>Lytenava</w:t>
            </w:r>
            <w:r>
              <w:rPr>
                <w:rFonts w:cs="Arial"/>
                <w:szCs w:val="19"/>
              </w:rPr>
              <w:t>)</w:t>
            </w:r>
            <w:r w:rsidRPr="00797952">
              <w:rPr>
                <w:rFonts w:cs="Arial"/>
                <w:szCs w:val="19"/>
              </w:rPr>
              <w:t> </w:t>
            </w:r>
          </w:p>
        </w:tc>
        <w:tc>
          <w:tcPr>
            <w:tcW w:w="3775" w:type="pct"/>
            <w:shd w:val="clear" w:color="auto" w:fill="auto"/>
            <w:tcMar>
              <w:top w:w="57" w:type="dxa"/>
              <w:bottom w:w="57" w:type="dxa"/>
            </w:tcMar>
          </w:tcPr>
          <w:p w14:paraId="100CC1DB" w14:textId="77777777" w:rsidR="006557ED" w:rsidRDefault="006557ED" w:rsidP="006557ED">
            <w:pPr>
              <w:tabs>
                <w:tab w:val="center" w:pos="3152"/>
              </w:tabs>
              <w:rPr>
                <w:rFonts w:cs="Arial"/>
                <w:sz w:val="16"/>
                <w:szCs w:val="16"/>
                <w:lang w:val="en-US"/>
              </w:rPr>
            </w:pPr>
            <w:r>
              <w:rPr>
                <w:rFonts w:cs="Arial"/>
                <w:szCs w:val="19"/>
                <w:lang w:val="en-US"/>
              </w:rPr>
              <w:t xml:space="preserve">Use </w:t>
            </w:r>
            <w:r w:rsidRPr="00797952">
              <w:rPr>
                <w:rFonts w:cs="Arial"/>
                <w:szCs w:val="19"/>
                <w:lang w:val="en-US"/>
              </w:rPr>
              <w:t>in adults for treatment of neovascular (wet) age-related macular degeneration</w:t>
            </w:r>
            <w:r>
              <w:rPr>
                <w:rFonts w:cs="Arial"/>
                <w:szCs w:val="19"/>
                <w:lang w:val="en-US"/>
              </w:rPr>
              <w:t xml:space="preserve"> </w:t>
            </w:r>
            <w:r w:rsidRPr="002A7902">
              <w:rPr>
                <w:rFonts w:cs="Arial"/>
                <w:sz w:val="16"/>
                <w:szCs w:val="16"/>
                <w:lang w:val="en-US"/>
              </w:rPr>
              <w:t>[</w:t>
            </w:r>
            <w:r>
              <w:rPr>
                <w:rFonts w:cs="Arial"/>
                <w:sz w:val="16"/>
                <w:szCs w:val="16"/>
                <w:lang w:val="en-US"/>
              </w:rPr>
              <w:t xml:space="preserve">EU] </w:t>
            </w:r>
          </w:p>
          <w:p w14:paraId="3718D25A" w14:textId="1396822D" w:rsidR="006557ED" w:rsidRPr="0057378C" w:rsidRDefault="006557ED" w:rsidP="006557ED">
            <w:pPr>
              <w:tabs>
                <w:tab w:val="center" w:pos="3152"/>
              </w:tabs>
              <w:rPr>
                <w:rFonts w:cs="Arial"/>
                <w:szCs w:val="19"/>
                <w:lang w:val="en-US"/>
              </w:rPr>
            </w:pPr>
            <w:r>
              <w:rPr>
                <w:rFonts w:cs="Arial"/>
                <w:sz w:val="16"/>
                <w:szCs w:val="16"/>
                <w:lang w:val="en-US"/>
              </w:rPr>
              <w:t>[new ophthalmic formulation]</w:t>
            </w:r>
          </w:p>
        </w:tc>
      </w:tr>
      <w:tr w:rsidR="006557ED" w:rsidRPr="00A075A3" w14:paraId="5ADC8839" w14:textId="77777777" w:rsidTr="009F3CA6">
        <w:tc>
          <w:tcPr>
            <w:tcW w:w="1225" w:type="pct"/>
            <w:gridSpan w:val="2"/>
            <w:shd w:val="clear" w:color="auto" w:fill="auto"/>
            <w:tcMar>
              <w:top w:w="57" w:type="dxa"/>
              <w:bottom w:w="57" w:type="dxa"/>
            </w:tcMar>
          </w:tcPr>
          <w:p w14:paraId="03311EDA" w14:textId="26BBD555" w:rsidR="006557ED" w:rsidRPr="003368D5" w:rsidRDefault="006557ED" w:rsidP="006557ED">
            <w:pPr>
              <w:rPr>
                <w:rFonts w:cs="Arial"/>
                <w:szCs w:val="19"/>
              </w:rPr>
            </w:pPr>
            <w:r w:rsidRPr="0057378C">
              <w:rPr>
                <w:rFonts w:cs="Arial"/>
                <w:szCs w:val="19"/>
              </w:rPr>
              <w:t>Bimekizumab</w:t>
            </w:r>
            <w:r>
              <w:rPr>
                <w:rFonts w:cs="Arial"/>
                <w:szCs w:val="19"/>
              </w:rPr>
              <w:t xml:space="preserve"> (</w:t>
            </w:r>
            <w:r w:rsidRPr="0057378C">
              <w:rPr>
                <w:rFonts w:cs="Arial"/>
                <w:i/>
                <w:iCs/>
                <w:szCs w:val="19"/>
              </w:rPr>
              <w:t>Bimzelx</w:t>
            </w:r>
            <w:r>
              <w:rPr>
                <w:rFonts w:cs="Arial"/>
                <w:szCs w:val="19"/>
              </w:rPr>
              <w:t>)</w:t>
            </w:r>
          </w:p>
        </w:tc>
        <w:tc>
          <w:tcPr>
            <w:tcW w:w="3775" w:type="pct"/>
            <w:shd w:val="clear" w:color="auto" w:fill="auto"/>
            <w:tcMar>
              <w:top w:w="57" w:type="dxa"/>
              <w:bottom w:w="57" w:type="dxa"/>
            </w:tcMar>
          </w:tcPr>
          <w:p w14:paraId="0E79346A" w14:textId="0EF3EF1B" w:rsidR="006557ED" w:rsidRPr="003368D5" w:rsidRDefault="006557ED" w:rsidP="006557ED">
            <w:pPr>
              <w:tabs>
                <w:tab w:val="center" w:pos="3152"/>
              </w:tabs>
              <w:rPr>
                <w:rFonts w:cs="Arial"/>
                <w:szCs w:val="19"/>
                <w:lang w:val="en-US"/>
              </w:rPr>
            </w:pPr>
            <w:r w:rsidRPr="0057378C">
              <w:rPr>
                <w:rFonts w:cs="Arial"/>
                <w:szCs w:val="19"/>
                <w:lang w:val="en-US"/>
              </w:rPr>
              <w:t>Treatment of active moderate to severe hidradenitis suppurativa (acne inversa) in adults with an inadequate response to conventional systemic HS</w:t>
            </w:r>
            <w:r>
              <w:rPr>
                <w:rFonts w:cs="Arial"/>
                <w:szCs w:val="19"/>
                <w:lang w:val="en-US"/>
              </w:rPr>
              <w:t xml:space="preserve"> therapy </w:t>
            </w:r>
            <w:r w:rsidRPr="0057378C">
              <w:rPr>
                <w:rFonts w:cs="Arial"/>
                <w:sz w:val="16"/>
                <w:szCs w:val="16"/>
                <w:lang w:val="en-US"/>
              </w:rPr>
              <w:t>[EU] [new indication]</w:t>
            </w:r>
          </w:p>
        </w:tc>
      </w:tr>
      <w:tr w:rsidR="006557ED" w:rsidRPr="00A075A3" w14:paraId="71631B5D" w14:textId="77777777" w:rsidTr="009F3CA6">
        <w:tc>
          <w:tcPr>
            <w:tcW w:w="1225" w:type="pct"/>
            <w:gridSpan w:val="2"/>
            <w:shd w:val="clear" w:color="auto" w:fill="auto"/>
            <w:tcMar>
              <w:top w:w="57" w:type="dxa"/>
              <w:bottom w:w="57" w:type="dxa"/>
            </w:tcMar>
          </w:tcPr>
          <w:p w14:paraId="7E254518" w14:textId="3F288E63" w:rsidR="006557ED" w:rsidRPr="003368D5" w:rsidRDefault="006557ED" w:rsidP="006557ED">
            <w:pPr>
              <w:rPr>
                <w:rFonts w:cs="Arial"/>
                <w:szCs w:val="19"/>
              </w:rPr>
            </w:pPr>
            <w:r>
              <w:rPr>
                <w:rFonts w:cs="Arial"/>
                <w:szCs w:val="19"/>
              </w:rPr>
              <w:t>Dantrolene (</w:t>
            </w:r>
            <w:r>
              <w:rPr>
                <w:rFonts w:cs="Arial"/>
                <w:i/>
                <w:iCs/>
                <w:szCs w:val="19"/>
              </w:rPr>
              <w:t>Agilus</w:t>
            </w:r>
            <w:r>
              <w:rPr>
                <w:rFonts w:cs="Arial"/>
                <w:szCs w:val="19"/>
              </w:rPr>
              <w:t>)</w:t>
            </w:r>
          </w:p>
        </w:tc>
        <w:tc>
          <w:tcPr>
            <w:tcW w:w="3775" w:type="pct"/>
            <w:shd w:val="clear" w:color="auto" w:fill="auto"/>
            <w:tcMar>
              <w:top w:w="57" w:type="dxa"/>
              <w:bottom w:w="57" w:type="dxa"/>
            </w:tcMar>
          </w:tcPr>
          <w:p w14:paraId="76D8AC9E" w14:textId="45383E70" w:rsidR="006557ED" w:rsidRPr="003368D5" w:rsidRDefault="006557ED" w:rsidP="006557ED">
            <w:pPr>
              <w:tabs>
                <w:tab w:val="center" w:pos="3152"/>
              </w:tabs>
              <w:rPr>
                <w:rFonts w:cs="Arial"/>
                <w:szCs w:val="19"/>
                <w:lang w:val="en-US"/>
              </w:rPr>
            </w:pPr>
            <w:r>
              <w:rPr>
                <w:rFonts w:cs="Arial"/>
                <w:szCs w:val="19"/>
                <w:lang w:val="en-US"/>
              </w:rPr>
              <w:t>Use i</w:t>
            </w:r>
            <w:r w:rsidRPr="005C77FD">
              <w:rPr>
                <w:rFonts w:cs="Arial"/>
                <w:szCs w:val="19"/>
                <w:lang w:val="en-US"/>
              </w:rPr>
              <w:t>n combination with adequate support measures for the treatment of malignant hyperthermia in adults and children of all ages</w:t>
            </w:r>
            <w:r>
              <w:rPr>
                <w:rFonts w:cs="Arial"/>
                <w:szCs w:val="19"/>
                <w:lang w:val="en-US"/>
              </w:rPr>
              <w:t xml:space="preserve"> </w:t>
            </w:r>
            <w:r w:rsidRPr="002A7902">
              <w:rPr>
                <w:rFonts w:cs="Arial"/>
                <w:sz w:val="16"/>
                <w:szCs w:val="16"/>
                <w:lang w:val="en-US"/>
              </w:rPr>
              <w:t>[</w:t>
            </w:r>
            <w:r>
              <w:rPr>
                <w:rFonts w:cs="Arial"/>
                <w:sz w:val="16"/>
                <w:szCs w:val="16"/>
                <w:lang w:val="en-US"/>
              </w:rPr>
              <w:t>EU] [new formulation]</w:t>
            </w:r>
          </w:p>
        </w:tc>
      </w:tr>
      <w:tr w:rsidR="006557ED" w:rsidRPr="00A075A3" w14:paraId="3774650A" w14:textId="77777777" w:rsidTr="009F3CA6">
        <w:tc>
          <w:tcPr>
            <w:tcW w:w="1225" w:type="pct"/>
            <w:gridSpan w:val="2"/>
            <w:shd w:val="clear" w:color="auto" w:fill="auto"/>
            <w:tcMar>
              <w:top w:w="57" w:type="dxa"/>
              <w:bottom w:w="57" w:type="dxa"/>
            </w:tcMar>
          </w:tcPr>
          <w:p w14:paraId="1409A72A" w14:textId="3852F619" w:rsidR="006557ED" w:rsidRPr="003368D5" w:rsidRDefault="006557ED" w:rsidP="006557ED">
            <w:pPr>
              <w:rPr>
                <w:rFonts w:cs="Arial"/>
                <w:szCs w:val="19"/>
              </w:rPr>
            </w:pPr>
            <w:r w:rsidRPr="003368D5">
              <w:rPr>
                <w:rFonts w:cs="Arial"/>
                <w:szCs w:val="19"/>
              </w:rPr>
              <w:t>Denosumab biosimilar (</w:t>
            </w:r>
            <w:r w:rsidRPr="003368D5">
              <w:rPr>
                <w:rFonts w:cs="Arial"/>
                <w:i/>
                <w:iCs/>
                <w:szCs w:val="19"/>
              </w:rPr>
              <w:t>Jubbonti</w:t>
            </w:r>
            <w:r w:rsidRPr="003368D5">
              <w:rPr>
                <w:rFonts w:cs="Arial"/>
                <w:szCs w:val="19"/>
              </w:rPr>
              <w:t>) </w:t>
            </w:r>
          </w:p>
        </w:tc>
        <w:tc>
          <w:tcPr>
            <w:tcW w:w="3775" w:type="pct"/>
            <w:shd w:val="clear" w:color="auto" w:fill="auto"/>
            <w:tcMar>
              <w:top w:w="57" w:type="dxa"/>
              <w:bottom w:w="57" w:type="dxa"/>
            </w:tcMar>
          </w:tcPr>
          <w:p w14:paraId="515EA889" w14:textId="61B7DBF2" w:rsidR="006557ED" w:rsidRPr="005C2B03" w:rsidRDefault="006557ED" w:rsidP="006557ED">
            <w:pPr>
              <w:tabs>
                <w:tab w:val="center" w:pos="3152"/>
              </w:tabs>
              <w:rPr>
                <w:rFonts w:cs="Arial"/>
                <w:szCs w:val="19"/>
                <w:lang w:val="en-US"/>
              </w:rPr>
            </w:pPr>
            <w:r w:rsidRPr="003368D5">
              <w:rPr>
                <w:rFonts w:cs="Arial"/>
                <w:szCs w:val="19"/>
                <w:lang w:val="en-US"/>
              </w:rPr>
              <w:t>Treatment of osteoporosis in postmenopausal women and in men at increased risk of fractures. In postmenopausal women denosumab significantly reduces the risk of vertebral, non-vertebral and hip fractures. Treatment of bone loss associated with hormone ablation in men with prostate cancer at increased risk of fractures. In men with prostate cancer receiving hormone ablation, denosumab significantly reduces the risk of vertebral fractures. Treatment of bone loss associated with long-term systemic glucocorticoid therapy in adult patients at increased risk of fracture</w:t>
            </w:r>
            <w:r>
              <w:rPr>
                <w:rFonts w:cs="Arial"/>
                <w:szCs w:val="19"/>
                <w:lang w:val="en-US"/>
              </w:rPr>
              <w:t xml:space="preserve">. </w:t>
            </w:r>
            <w:r w:rsidRPr="002A7902">
              <w:rPr>
                <w:rFonts w:cs="Arial"/>
                <w:sz w:val="16"/>
                <w:szCs w:val="16"/>
                <w:lang w:val="en-US"/>
              </w:rPr>
              <w:t>[</w:t>
            </w:r>
            <w:r>
              <w:rPr>
                <w:rFonts w:cs="Arial"/>
                <w:sz w:val="16"/>
                <w:szCs w:val="16"/>
                <w:lang w:val="en-US"/>
              </w:rPr>
              <w:t>EU]</w:t>
            </w:r>
          </w:p>
        </w:tc>
      </w:tr>
      <w:tr w:rsidR="006557ED" w:rsidRPr="00A075A3" w14:paraId="5D82E7CA" w14:textId="77777777" w:rsidTr="009F3CA6">
        <w:tc>
          <w:tcPr>
            <w:tcW w:w="1225" w:type="pct"/>
            <w:gridSpan w:val="2"/>
            <w:shd w:val="clear" w:color="auto" w:fill="auto"/>
            <w:tcMar>
              <w:top w:w="57" w:type="dxa"/>
              <w:bottom w:w="57" w:type="dxa"/>
            </w:tcMar>
          </w:tcPr>
          <w:p w14:paraId="6818936E" w14:textId="2E0405C0" w:rsidR="006557ED" w:rsidRPr="002D2256" w:rsidRDefault="006557ED" w:rsidP="006557ED">
            <w:pPr>
              <w:rPr>
                <w:rFonts w:cs="Arial"/>
                <w:szCs w:val="19"/>
              </w:rPr>
            </w:pPr>
            <w:r w:rsidRPr="003368D5">
              <w:rPr>
                <w:rFonts w:cs="Arial"/>
                <w:szCs w:val="19"/>
              </w:rPr>
              <w:t>Denosumab biosimilar</w:t>
            </w:r>
            <w:r>
              <w:rPr>
                <w:rFonts w:cs="Arial"/>
                <w:szCs w:val="19"/>
              </w:rPr>
              <w:t xml:space="preserve"> (</w:t>
            </w:r>
            <w:r>
              <w:rPr>
                <w:rFonts w:cs="Arial"/>
                <w:i/>
                <w:iCs/>
                <w:szCs w:val="19"/>
              </w:rPr>
              <w:t>Wyost</w:t>
            </w:r>
            <w:r>
              <w:rPr>
                <w:rFonts w:cs="Arial"/>
                <w:szCs w:val="19"/>
              </w:rPr>
              <w:t>)</w:t>
            </w:r>
          </w:p>
        </w:tc>
        <w:tc>
          <w:tcPr>
            <w:tcW w:w="3775" w:type="pct"/>
            <w:shd w:val="clear" w:color="auto" w:fill="auto"/>
            <w:tcMar>
              <w:top w:w="57" w:type="dxa"/>
              <w:bottom w:w="57" w:type="dxa"/>
            </w:tcMar>
          </w:tcPr>
          <w:p w14:paraId="11DCC51F" w14:textId="3A0AF096" w:rsidR="006557ED" w:rsidRPr="002A7902" w:rsidRDefault="006557ED" w:rsidP="006557ED">
            <w:pPr>
              <w:tabs>
                <w:tab w:val="center" w:pos="3152"/>
              </w:tabs>
              <w:rPr>
                <w:rFonts w:cs="Arial"/>
                <w:szCs w:val="19"/>
                <w:lang w:val="en-US"/>
              </w:rPr>
            </w:pPr>
            <w:r w:rsidRPr="005C2B03">
              <w:rPr>
                <w:rFonts w:cs="Arial"/>
                <w:szCs w:val="19"/>
                <w:lang w:val="en-US"/>
              </w:rPr>
              <w:t xml:space="preserve">Prevention of skeletal related events (pathological fracture, radiation to bone, spinal cord compression or surgery to bone) in adults with advanced malignancies involving bone. </w:t>
            </w:r>
            <w:r>
              <w:rPr>
                <w:rFonts w:cs="Arial"/>
                <w:szCs w:val="19"/>
                <w:lang w:val="en-US"/>
              </w:rPr>
              <w:t>Also t</w:t>
            </w:r>
            <w:r w:rsidRPr="005C2B03">
              <w:rPr>
                <w:rFonts w:cs="Arial"/>
                <w:szCs w:val="19"/>
                <w:lang w:val="en-US"/>
              </w:rPr>
              <w:t>reatment of adults and skeletally mature adolescents with giant cell tumour of bone that is unresectable or where surgical resection is likely to result in severe morbidity</w:t>
            </w:r>
            <w:r>
              <w:rPr>
                <w:rFonts w:cs="Arial"/>
                <w:szCs w:val="19"/>
                <w:lang w:val="en-US"/>
              </w:rPr>
              <w:t xml:space="preserve">. </w:t>
            </w:r>
            <w:r w:rsidRPr="002A7902">
              <w:rPr>
                <w:rFonts w:cs="Arial"/>
                <w:sz w:val="16"/>
                <w:szCs w:val="16"/>
                <w:lang w:val="en-US"/>
              </w:rPr>
              <w:t>[</w:t>
            </w:r>
            <w:r>
              <w:rPr>
                <w:rFonts w:cs="Arial"/>
                <w:sz w:val="16"/>
                <w:szCs w:val="16"/>
                <w:lang w:val="en-US"/>
              </w:rPr>
              <w:t>EU]</w:t>
            </w:r>
          </w:p>
        </w:tc>
      </w:tr>
      <w:tr w:rsidR="006557ED" w:rsidRPr="00A075A3" w14:paraId="60B40996" w14:textId="77777777" w:rsidTr="009F3CA6">
        <w:tc>
          <w:tcPr>
            <w:tcW w:w="1225" w:type="pct"/>
            <w:gridSpan w:val="2"/>
            <w:shd w:val="clear" w:color="auto" w:fill="auto"/>
            <w:tcMar>
              <w:top w:w="57" w:type="dxa"/>
              <w:bottom w:w="57" w:type="dxa"/>
            </w:tcMar>
          </w:tcPr>
          <w:p w14:paraId="1A94D833" w14:textId="28A7A228" w:rsidR="006557ED" w:rsidRPr="002D2256" w:rsidRDefault="006557ED" w:rsidP="006557ED">
            <w:pPr>
              <w:rPr>
                <w:rFonts w:cs="Arial"/>
                <w:szCs w:val="19"/>
              </w:rPr>
            </w:pPr>
            <w:r>
              <w:rPr>
                <w:rFonts w:cs="Arial"/>
                <w:szCs w:val="19"/>
              </w:rPr>
              <w:t>Dopamine (</w:t>
            </w:r>
            <w:r w:rsidRPr="00CC6E00">
              <w:rPr>
                <w:rFonts w:cs="Arial"/>
                <w:i/>
                <w:iCs/>
                <w:szCs w:val="19"/>
              </w:rPr>
              <w:t>Neoatricon</w:t>
            </w:r>
            <w:r>
              <w:rPr>
                <w:rFonts w:cs="Arial"/>
                <w:szCs w:val="19"/>
              </w:rPr>
              <w:t>)</w:t>
            </w:r>
          </w:p>
        </w:tc>
        <w:tc>
          <w:tcPr>
            <w:tcW w:w="3775" w:type="pct"/>
            <w:shd w:val="clear" w:color="auto" w:fill="auto"/>
            <w:tcMar>
              <w:top w:w="57" w:type="dxa"/>
              <w:bottom w:w="57" w:type="dxa"/>
            </w:tcMar>
          </w:tcPr>
          <w:p w14:paraId="5B36CF1A" w14:textId="34ABCA5E" w:rsidR="006557ED" w:rsidRPr="002A7902" w:rsidRDefault="006557ED" w:rsidP="006557ED">
            <w:pPr>
              <w:tabs>
                <w:tab w:val="center" w:pos="3152"/>
              </w:tabs>
              <w:rPr>
                <w:rFonts w:cs="Arial"/>
                <w:szCs w:val="19"/>
                <w:lang w:val="en-US"/>
              </w:rPr>
            </w:pPr>
            <w:r>
              <w:rPr>
                <w:rFonts w:cs="Arial"/>
                <w:szCs w:val="19"/>
                <w:lang w:val="en-US"/>
              </w:rPr>
              <w:t>T</w:t>
            </w:r>
            <w:r w:rsidRPr="00CC6E00">
              <w:rPr>
                <w:rFonts w:cs="Arial"/>
                <w:szCs w:val="19"/>
                <w:lang w:val="en-US"/>
              </w:rPr>
              <w:t xml:space="preserve">reatment of hypotension in haemodynamically unstable neonates, infants and children </w:t>
            </w:r>
            <w:r>
              <w:rPr>
                <w:rFonts w:cs="Arial"/>
                <w:szCs w:val="19"/>
                <w:lang w:val="en-US"/>
              </w:rPr>
              <w:t xml:space="preserve">aged </w:t>
            </w:r>
            <w:r w:rsidRPr="00CC6E00">
              <w:rPr>
                <w:rFonts w:cs="Arial"/>
                <w:szCs w:val="19"/>
                <w:lang w:val="en-US"/>
              </w:rPr>
              <w:t>&lt;18 years</w:t>
            </w:r>
            <w:r>
              <w:rPr>
                <w:rFonts w:cs="Arial"/>
                <w:szCs w:val="19"/>
                <w:lang w:val="en-US"/>
              </w:rPr>
              <w:t xml:space="preserve"> </w:t>
            </w:r>
            <w:r w:rsidRPr="002A7902">
              <w:rPr>
                <w:rFonts w:cs="Arial"/>
                <w:sz w:val="16"/>
                <w:szCs w:val="16"/>
                <w:lang w:val="en-US"/>
              </w:rPr>
              <w:t>[</w:t>
            </w:r>
            <w:r>
              <w:rPr>
                <w:rFonts w:cs="Arial"/>
                <w:sz w:val="16"/>
                <w:szCs w:val="16"/>
                <w:lang w:val="en-US"/>
              </w:rPr>
              <w:t>EU] [new lower strength formulations]</w:t>
            </w:r>
          </w:p>
        </w:tc>
      </w:tr>
      <w:tr w:rsidR="006557ED" w:rsidRPr="00A075A3" w14:paraId="57244E00" w14:textId="77777777" w:rsidTr="009F3CA6">
        <w:tc>
          <w:tcPr>
            <w:tcW w:w="1225" w:type="pct"/>
            <w:gridSpan w:val="2"/>
            <w:shd w:val="clear" w:color="auto" w:fill="auto"/>
            <w:tcMar>
              <w:top w:w="57" w:type="dxa"/>
              <w:bottom w:w="57" w:type="dxa"/>
            </w:tcMar>
          </w:tcPr>
          <w:p w14:paraId="35261E64" w14:textId="0B30D665" w:rsidR="006557ED" w:rsidRPr="00813950" w:rsidRDefault="006557ED" w:rsidP="006557ED">
            <w:pPr>
              <w:rPr>
                <w:rFonts w:cs="Arial"/>
                <w:szCs w:val="19"/>
              </w:rPr>
            </w:pPr>
            <w:r w:rsidRPr="002D2256">
              <w:rPr>
                <w:rFonts w:cs="Arial"/>
                <w:szCs w:val="19"/>
              </w:rPr>
              <w:t>Eculizumab biosimilar (</w:t>
            </w:r>
            <w:r w:rsidRPr="002D2256">
              <w:rPr>
                <w:rFonts w:cs="Arial"/>
                <w:i/>
                <w:iCs/>
                <w:szCs w:val="19"/>
              </w:rPr>
              <w:t>Epysqli</w:t>
            </w:r>
            <w:r w:rsidRPr="002D2256">
              <w:rPr>
                <w:rFonts w:cs="Arial"/>
                <w:szCs w:val="19"/>
              </w:rPr>
              <w:t>) </w:t>
            </w:r>
          </w:p>
        </w:tc>
        <w:tc>
          <w:tcPr>
            <w:tcW w:w="3775" w:type="pct"/>
            <w:shd w:val="clear" w:color="auto" w:fill="auto"/>
            <w:tcMar>
              <w:top w:w="57" w:type="dxa"/>
              <w:bottom w:w="57" w:type="dxa"/>
            </w:tcMar>
          </w:tcPr>
          <w:p w14:paraId="1268BCEB" w14:textId="70F3C3E1" w:rsidR="006557ED" w:rsidRPr="00A075A3" w:rsidRDefault="006557ED" w:rsidP="006557ED">
            <w:pPr>
              <w:tabs>
                <w:tab w:val="center" w:pos="3152"/>
              </w:tabs>
              <w:rPr>
                <w:rFonts w:cs="Arial"/>
                <w:szCs w:val="19"/>
                <w:lang w:val="en-US"/>
              </w:rPr>
            </w:pPr>
            <w:r w:rsidRPr="002A7902">
              <w:rPr>
                <w:rFonts w:cs="Arial"/>
                <w:szCs w:val="19"/>
                <w:lang w:val="en-US"/>
              </w:rPr>
              <w:t>Use in adults and children for the treatment of atypical haemolytic uraemic syndrome</w:t>
            </w:r>
            <w:r>
              <w:rPr>
                <w:rFonts w:cs="Arial"/>
                <w:szCs w:val="19"/>
                <w:lang w:val="en-US"/>
              </w:rPr>
              <w:t xml:space="preserve"> </w:t>
            </w:r>
            <w:r w:rsidRPr="002A7902">
              <w:rPr>
                <w:rFonts w:cs="Arial"/>
                <w:sz w:val="16"/>
                <w:szCs w:val="16"/>
                <w:lang w:val="en-US"/>
              </w:rPr>
              <w:t>[</w:t>
            </w:r>
            <w:r>
              <w:rPr>
                <w:rFonts w:cs="Arial"/>
                <w:sz w:val="16"/>
                <w:szCs w:val="16"/>
                <w:lang w:val="en-US"/>
              </w:rPr>
              <w:t>EU] [</w:t>
            </w:r>
            <w:r w:rsidRPr="002A7902">
              <w:rPr>
                <w:rFonts w:cs="Arial"/>
                <w:sz w:val="16"/>
                <w:szCs w:val="16"/>
                <w:lang w:val="en-US"/>
              </w:rPr>
              <w:t>new indication</w:t>
            </w:r>
            <w:r w:rsidR="0009708E">
              <w:rPr>
                <w:rFonts w:cs="Arial"/>
                <w:sz w:val="16"/>
                <w:szCs w:val="16"/>
                <w:lang w:val="en-US"/>
              </w:rPr>
              <w:t xml:space="preserve"> – wording still to be confirmed, not yet on EMA website</w:t>
            </w:r>
            <w:r w:rsidRPr="002A7902">
              <w:rPr>
                <w:rFonts w:cs="Arial"/>
                <w:sz w:val="16"/>
                <w:szCs w:val="16"/>
                <w:lang w:val="en-US"/>
              </w:rPr>
              <w:t>]</w:t>
            </w:r>
          </w:p>
        </w:tc>
      </w:tr>
      <w:tr w:rsidR="006557ED" w:rsidRPr="00A075A3" w14:paraId="524DC558" w14:textId="77777777" w:rsidTr="009F3CA6">
        <w:tc>
          <w:tcPr>
            <w:tcW w:w="1225" w:type="pct"/>
            <w:gridSpan w:val="2"/>
            <w:shd w:val="clear" w:color="auto" w:fill="auto"/>
            <w:tcMar>
              <w:top w:w="57" w:type="dxa"/>
              <w:bottom w:w="57" w:type="dxa"/>
            </w:tcMar>
          </w:tcPr>
          <w:p w14:paraId="5A6C65CD" w14:textId="10D89E9A" w:rsidR="006557ED" w:rsidRPr="00534B98" w:rsidRDefault="006557ED" w:rsidP="006557ED">
            <w:pPr>
              <w:rPr>
                <w:rFonts w:cs="Arial"/>
                <w:szCs w:val="19"/>
              </w:rPr>
            </w:pPr>
            <w:r w:rsidRPr="00534B98">
              <w:rPr>
                <w:rFonts w:cs="Arial"/>
                <w:szCs w:val="19"/>
              </w:rPr>
              <w:t>Enzalutamide</w:t>
            </w:r>
            <w:r>
              <w:rPr>
                <w:rFonts w:cs="Arial"/>
                <w:szCs w:val="19"/>
              </w:rPr>
              <w:t xml:space="preserve"> (</w:t>
            </w:r>
            <w:r>
              <w:rPr>
                <w:rFonts w:cs="Arial"/>
                <w:i/>
                <w:iCs/>
                <w:szCs w:val="19"/>
              </w:rPr>
              <w:t>Xtandi</w:t>
            </w:r>
            <w:r>
              <w:rPr>
                <w:rFonts w:cs="Arial"/>
                <w:szCs w:val="19"/>
              </w:rPr>
              <w:t>)</w:t>
            </w:r>
          </w:p>
        </w:tc>
        <w:tc>
          <w:tcPr>
            <w:tcW w:w="3775" w:type="pct"/>
            <w:shd w:val="clear" w:color="auto" w:fill="auto"/>
            <w:tcMar>
              <w:top w:w="57" w:type="dxa"/>
              <w:bottom w:w="57" w:type="dxa"/>
            </w:tcMar>
          </w:tcPr>
          <w:p w14:paraId="0B8A438A" w14:textId="3479010B" w:rsidR="006557ED" w:rsidRPr="00A12CE3" w:rsidRDefault="006557ED" w:rsidP="006557ED">
            <w:pPr>
              <w:tabs>
                <w:tab w:val="center" w:pos="3152"/>
              </w:tabs>
              <w:rPr>
                <w:rFonts w:cs="Arial"/>
                <w:szCs w:val="19"/>
                <w:lang w:val="en-US"/>
              </w:rPr>
            </w:pPr>
            <w:r w:rsidRPr="00534B98">
              <w:rPr>
                <w:rFonts w:cs="Arial"/>
                <w:szCs w:val="19"/>
                <w:lang w:val="en-US"/>
              </w:rPr>
              <w:t>Use as monotherapy or in combination with androgen deprivation therapy for the treatment of adult men with high risk biochemical recurrent non-metastatic hormone sensitive prostate cancer who are unsuitable for salvage radiotherapy</w:t>
            </w:r>
            <w:r>
              <w:rPr>
                <w:rFonts w:cs="Arial"/>
                <w:szCs w:val="19"/>
                <w:lang w:val="en-US"/>
              </w:rPr>
              <w:t xml:space="preserve"> </w:t>
            </w:r>
            <w:r w:rsidRPr="0057378C">
              <w:rPr>
                <w:rFonts w:cs="Arial"/>
                <w:sz w:val="16"/>
                <w:szCs w:val="16"/>
                <w:lang w:val="en-US"/>
              </w:rPr>
              <w:t>[EU] [new indication]</w:t>
            </w:r>
          </w:p>
        </w:tc>
      </w:tr>
      <w:tr w:rsidR="006557ED" w:rsidRPr="00A075A3" w14:paraId="30B3A47F" w14:textId="77777777" w:rsidTr="009F3CA6">
        <w:tc>
          <w:tcPr>
            <w:tcW w:w="1225" w:type="pct"/>
            <w:gridSpan w:val="2"/>
            <w:shd w:val="clear" w:color="auto" w:fill="auto"/>
            <w:tcMar>
              <w:top w:w="57" w:type="dxa"/>
              <w:bottom w:w="57" w:type="dxa"/>
            </w:tcMar>
          </w:tcPr>
          <w:p w14:paraId="26D12C8B" w14:textId="2136E2B4" w:rsidR="006557ED" w:rsidRPr="00AF0080" w:rsidRDefault="006557ED" w:rsidP="006557ED">
            <w:pPr>
              <w:rPr>
                <w:rFonts w:cs="Arial"/>
                <w:szCs w:val="19"/>
              </w:rPr>
            </w:pPr>
            <w:r w:rsidRPr="00A12CE3">
              <w:rPr>
                <w:rFonts w:cs="Arial"/>
                <w:szCs w:val="19"/>
              </w:rPr>
              <w:t>Insulin icodec (</w:t>
            </w:r>
            <w:r w:rsidRPr="00A12CE3">
              <w:rPr>
                <w:rFonts w:cs="Arial"/>
                <w:i/>
                <w:iCs/>
                <w:szCs w:val="19"/>
              </w:rPr>
              <w:t>Awiqli</w:t>
            </w:r>
            <w:r w:rsidRPr="00A12CE3">
              <w:rPr>
                <w:rFonts w:cs="Arial"/>
                <w:szCs w:val="19"/>
              </w:rPr>
              <w:t>)</w:t>
            </w:r>
          </w:p>
        </w:tc>
        <w:tc>
          <w:tcPr>
            <w:tcW w:w="3775" w:type="pct"/>
            <w:shd w:val="clear" w:color="auto" w:fill="auto"/>
            <w:tcMar>
              <w:top w:w="57" w:type="dxa"/>
              <w:bottom w:w="57" w:type="dxa"/>
            </w:tcMar>
          </w:tcPr>
          <w:p w14:paraId="41A6A278" w14:textId="427AB1FA" w:rsidR="006557ED" w:rsidRPr="00A075A3" w:rsidRDefault="006557ED" w:rsidP="006557ED">
            <w:pPr>
              <w:tabs>
                <w:tab w:val="center" w:pos="3152"/>
              </w:tabs>
              <w:rPr>
                <w:rFonts w:cs="Arial"/>
                <w:szCs w:val="19"/>
                <w:lang w:val="en-US"/>
              </w:rPr>
            </w:pPr>
            <w:r w:rsidRPr="00A12CE3">
              <w:rPr>
                <w:rFonts w:cs="Arial"/>
                <w:szCs w:val="19"/>
                <w:lang w:val="en-US"/>
              </w:rPr>
              <w:t>Treatment of diabetes mellitus in adults</w:t>
            </w:r>
            <w:r>
              <w:rPr>
                <w:rFonts w:cs="Arial"/>
                <w:szCs w:val="19"/>
                <w:lang w:val="en-US"/>
              </w:rPr>
              <w:t xml:space="preserve"> </w:t>
            </w:r>
            <w:r w:rsidRPr="002B328C">
              <w:rPr>
                <w:rFonts w:cs="Arial"/>
                <w:sz w:val="16"/>
                <w:szCs w:val="16"/>
                <w:lang w:val="en-US"/>
              </w:rPr>
              <w:t>[EU]</w:t>
            </w:r>
          </w:p>
        </w:tc>
      </w:tr>
      <w:tr w:rsidR="006557ED" w:rsidRPr="00A075A3" w14:paraId="15B5A33E" w14:textId="77777777" w:rsidTr="009F3CA6">
        <w:tc>
          <w:tcPr>
            <w:tcW w:w="1225" w:type="pct"/>
            <w:gridSpan w:val="2"/>
            <w:shd w:val="clear" w:color="auto" w:fill="auto"/>
            <w:tcMar>
              <w:top w:w="57" w:type="dxa"/>
              <w:bottom w:w="57" w:type="dxa"/>
            </w:tcMar>
          </w:tcPr>
          <w:p w14:paraId="76BA59E0" w14:textId="6B8401B3" w:rsidR="006557ED" w:rsidRPr="008F4372" w:rsidRDefault="006557ED" w:rsidP="006557ED">
            <w:pPr>
              <w:rPr>
                <w:rFonts w:cs="Arial"/>
                <w:szCs w:val="19"/>
              </w:rPr>
            </w:pPr>
            <w:r w:rsidRPr="008F4372">
              <w:rPr>
                <w:rFonts w:cs="Arial"/>
                <w:szCs w:val="19"/>
              </w:rPr>
              <w:t>Iptacopan</w:t>
            </w:r>
            <w:r>
              <w:rPr>
                <w:rFonts w:cs="Arial"/>
                <w:szCs w:val="19"/>
              </w:rPr>
              <w:t xml:space="preserve"> (</w:t>
            </w:r>
            <w:r>
              <w:rPr>
                <w:rFonts w:cs="Arial"/>
                <w:i/>
                <w:iCs/>
                <w:szCs w:val="19"/>
              </w:rPr>
              <w:t>Fabhalta</w:t>
            </w:r>
            <w:r>
              <w:rPr>
                <w:rFonts w:cs="Arial"/>
                <w:szCs w:val="19"/>
              </w:rPr>
              <w:t>)</w:t>
            </w:r>
          </w:p>
        </w:tc>
        <w:tc>
          <w:tcPr>
            <w:tcW w:w="3775" w:type="pct"/>
            <w:shd w:val="clear" w:color="auto" w:fill="auto"/>
            <w:tcMar>
              <w:top w:w="57" w:type="dxa"/>
              <w:bottom w:w="57" w:type="dxa"/>
            </w:tcMar>
          </w:tcPr>
          <w:p w14:paraId="6616D9FD" w14:textId="269F2E5F" w:rsidR="006557ED" w:rsidRDefault="006557ED" w:rsidP="006557ED">
            <w:pPr>
              <w:tabs>
                <w:tab w:val="center" w:pos="3152"/>
              </w:tabs>
              <w:rPr>
                <w:rFonts w:cs="Arial"/>
                <w:szCs w:val="19"/>
                <w:lang w:val="en-US"/>
              </w:rPr>
            </w:pPr>
            <w:r>
              <w:rPr>
                <w:rFonts w:cs="Arial"/>
                <w:szCs w:val="19"/>
                <w:lang w:val="en-US"/>
              </w:rPr>
              <w:t>Use as m</w:t>
            </w:r>
            <w:r w:rsidRPr="008F4372">
              <w:rPr>
                <w:rFonts w:cs="Arial"/>
                <w:szCs w:val="19"/>
                <w:lang w:val="en-US"/>
              </w:rPr>
              <w:t>onotherapy in the treatment of adults with paroxysmal nocturnal haemoglobinuria who have haemolytic anaemia</w:t>
            </w:r>
            <w:r>
              <w:rPr>
                <w:rFonts w:cs="Arial"/>
                <w:szCs w:val="19"/>
                <w:lang w:val="en-US"/>
              </w:rPr>
              <w:t xml:space="preserve"> </w:t>
            </w:r>
            <w:r w:rsidRPr="002B328C">
              <w:rPr>
                <w:rFonts w:cs="Arial"/>
                <w:sz w:val="16"/>
                <w:szCs w:val="16"/>
                <w:lang w:val="en-US"/>
              </w:rPr>
              <w:t>[EU]</w:t>
            </w:r>
          </w:p>
        </w:tc>
      </w:tr>
      <w:tr w:rsidR="006557ED" w14:paraId="5D13C665" w14:textId="77777777" w:rsidTr="009F3CA6">
        <w:tc>
          <w:tcPr>
            <w:tcW w:w="1225" w:type="pct"/>
            <w:gridSpan w:val="2"/>
            <w:shd w:val="clear" w:color="auto" w:fill="auto"/>
            <w:tcMar>
              <w:top w:w="57" w:type="dxa"/>
              <w:bottom w:w="57" w:type="dxa"/>
            </w:tcMar>
          </w:tcPr>
          <w:p w14:paraId="5C04CFCB" w14:textId="77777777" w:rsidR="006557ED" w:rsidRDefault="006557ED" w:rsidP="006557ED">
            <w:pPr>
              <w:rPr>
                <w:rFonts w:cs="Arial"/>
                <w:szCs w:val="19"/>
              </w:rPr>
            </w:pPr>
            <w:r w:rsidRPr="003C07FF">
              <w:rPr>
                <w:rFonts w:cs="Arial"/>
                <w:szCs w:val="19"/>
              </w:rPr>
              <w:t>Irinotecan sucrosofate </w:t>
            </w:r>
          </w:p>
          <w:p w14:paraId="4DBF6AB5" w14:textId="394EA8B9" w:rsidR="006557ED" w:rsidRPr="00E52E04" w:rsidRDefault="006557ED" w:rsidP="006557ED">
            <w:pPr>
              <w:rPr>
                <w:rFonts w:cs="Arial"/>
                <w:szCs w:val="19"/>
              </w:rPr>
            </w:pPr>
            <w:r>
              <w:rPr>
                <w:rFonts w:cs="Arial"/>
                <w:szCs w:val="19"/>
              </w:rPr>
              <w:t>(</w:t>
            </w:r>
            <w:r w:rsidRPr="003C07FF">
              <w:rPr>
                <w:rFonts w:cs="Arial"/>
                <w:i/>
                <w:iCs/>
                <w:szCs w:val="19"/>
              </w:rPr>
              <w:t>Onivyde</w:t>
            </w:r>
            <w:r>
              <w:rPr>
                <w:rFonts w:cs="Arial"/>
                <w:i/>
                <w:iCs/>
                <w:szCs w:val="19"/>
              </w:rPr>
              <w:t xml:space="preserve"> </w:t>
            </w:r>
            <w:r w:rsidRPr="00734EBF">
              <w:rPr>
                <w:rFonts w:cs="Arial"/>
                <w:i/>
                <w:iCs/>
                <w:szCs w:val="19"/>
              </w:rPr>
              <w:t>pegylated liposomal</w:t>
            </w:r>
            <w:r>
              <w:rPr>
                <w:rFonts w:cs="Arial"/>
                <w:szCs w:val="19"/>
              </w:rPr>
              <w:t>)</w:t>
            </w:r>
          </w:p>
        </w:tc>
        <w:tc>
          <w:tcPr>
            <w:tcW w:w="3775" w:type="pct"/>
            <w:shd w:val="clear" w:color="auto" w:fill="auto"/>
            <w:tcMar>
              <w:top w:w="57" w:type="dxa"/>
              <w:bottom w:w="57" w:type="dxa"/>
            </w:tcMar>
          </w:tcPr>
          <w:p w14:paraId="436D8F00" w14:textId="3AA34965" w:rsidR="006557ED" w:rsidRPr="00E52E04" w:rsidRDefault="006557ED" w:rsidP="006557ED">
            <w:pPr>
              <w:tabs>
                <w:tab w:val="center" w:pos="3152"/>
              </w:tabs>
              <w:rPr>
                <w:rFonts w:cs="Arial"/>
                <w:szCs w:val="19"/>
                <w:lang w:val="en-US"/>
              </w:rPr>
            </w:pPr>
            <w:r>
              <w:rPr>
                <w:rFonts w:cs="Arial"/>
                <w:szCs w:val="19"/>
                <w:lang w:val="en-US"/>
              </w:rPr>
              <w:t xml:space="preserve">Use </w:t>
            </w:r>
            <w:r w:rsidRPr="003C07FF">
              <w:rPr>
                <w:rFonts w:cs="Arial"/>
                <w:szCs w:val="19"/>
                <w:lang w:val="en-US"/>
              </w:rPr>
              <w:t>in combination with oxaliplatin, 5</w:t>
            </w:r>
            <w:r w:rsidRPr="003C07FF">
              <w:rPr>
                <w:rFonts w:ascii="Cambria Math" w:hAnsi="Cambria Math" w:cs="Cambria Math"/>
                <w:szCs w:val="19"/>
                <w:lang w:val="en-US"/>
              </w:rPr>
              <w:t>‑</w:t>
            </w:r>
            <w:r w:rsidRPr="003C07FF">
              <w:rPr>
                <w:rFonts w:cs="Arial"/>
                <w:szCs w:val="19"/>
                <w:lang w:val="en-US"/>
              </w:rPr>
              <w:t>fluorouracil and leucovorin for the first-line treatment of adults with metastatic adenocarcinoma of the pancreas</w:t>
            </w:r>
            <w:r>
              <w:rPr>
                <w:rFonts w:cs="Arial"/>
                <w:szCs w:val="19"/>
                <w:lang w:val="en-US"/>
              </w:rPr>
              <w:t xml:space="preserve"> </w:t>
            </w:r>
            <w:r w:rsidRPr="0057378C">
              <w:rPr>
                <w:rFonts w:cs="Arial"/>
                <w:sz w:val="16"/>
                <w:szCs w:val="16"/>
                <w:lang w:val="en-US"/>
              </w:rPr>
              <w:t>[EU] [new indication]</w:t>
            </w:r>
          </w:p>
        </w:tc>
      </w:tr>
      <w:tr w:rsidR="006557ED" w:rsidRPr="000F19E1" w14:paraId="6C600B26" w14:textId="77777777" w:rsidTr="009F3CA6">
        <w:tc>
          <w:tcPr>
            <w:tcW w:w="1225" w:type="pct"/>
            <w:gridSpan w:val="2"/>
            <w:shd w:val="clear" w:color="auto" w:fill="auto"/>
            <w:tcMar>
              <w:top w:w="0" w:type="dxa"/>
              <w:bottom w:w="0" w:type="dxa"/>
            </w:tcMar>
          </w:tcPr>
          <w:p w14:paraId="5B9CDB6D" w14:textId="77777777" w:rsidR="006557ED" w:rsidRPr="000F19E1" w:rsidRDefault="006557ED" w:rsidP="006557ED">
            <w:pPr>
              <w:rPr>
                <w:rFonts w:cs="Arial"/>
                <w:bCs/>
                <w:sz w:val="8"/>
                <w:szCs w:val="8"/>
              </w:rPr>
            </w:pPr>
          </w:p>
        </w:tc>
        <w:tc>
          <w:tcPr>
            <w:tcW w:w="3775" w:type="pct"/>
            <w:shd w:val="clear" w:color="auto" w:fill="auto"/>
            <w:tcMar>
              <w:top w:w="0" w:type="dxa"/>
              <w:bottom w:w="0" w:type="dxa"/>
            </w:tcMar>
          </w:tcPr>
          <w:p w14:paraId="2B9ACABA" w14:textId="77777777" w:rsidR="006557ED" w:rsidRPr="000F19E1" w:rsidRDefault="006557ED" w:rsidP="006557ED">
            <w:pPr>
              <w:tabs>
                <w:tab w:val="center" w:pos="3152"/>
              </w:tabs>
              <w:rPr>
                <w:rFonts w:cs="Arial"/>
                <w:sz w:val="8"/>
                <w:szCs w:val="8"/>
                <w:lang w:val="en-US"/>
              </w:rPr>
            </w:pPr>
          </w:p>
        </w:tc>
      </w:tr>
      <w:tr w:rsidR="006557ED" w:rsidRPr="000F19E1" w14:paraId="4155B086" w14:textId="77777777" w:rsidTr="009F3CA6">
        <w:tc>
          <w:tcPr>
            <w:tcW w:w="1225" w:type="pct"/>
            <w:gridSpan w:val="2"/>
            <w:shd w:val="clear" w:color="auto" w:fill="DAEEF3"/>
            <w:tcMar>
              <w:top w:w="0" w:type="dxa"/>
              <w:bottom w:w="0" w:type="dxa"/>
            </w:tcMar>
          </w:tcPr>
          <w:p w14:paraId="3B9898E1" w14:textId="77777777" w:rsidR="006557ED" w:rsidRPr="000F19E1" w:rsidRDefault="006557ED" w:rsidP="006557ED">
            <w:pPr>
              <w:rPr>
                <w:rFonts w:cs="Arial"/>
                <w:bCs/>
                <w:sz w:val="8"/>
                <w:szCs w:val="8"/>
              </w:rPr>
            </w:pPr>
          </w:p>
        </w:tc>
        <w:tc>
          <w:tcPr>
            <w:tcW w:w="3775" w:type="pct"/>
            <w:shd w:val="clear" w:color="auto" w:fill="DAEEF3"/>
            <w:tcMar>
              <w:top w:w="0" w:type="dxa"/>
              <w:bottom w:w="0" w:type="dxa"/>
            </w:tcMar>
          </w:tcPr>
          <w:p w14:paraId="682DD51D" w14:textId="77777777" w:rsidR="006557ED" w:rsidRPr="000F19E1" w:rsidRDefault="006557ED" w:rsidP="006557ED">
            <w:pPr>
              <w:tabs>
                <w:tab w:val="center" w:pos="3152"/>
              </w:tabs>
              <w:rPr>
                <w:rFonts w:cs="Arial"/>
                <w:sz w:val="8"/>
                <w:szCs w:val="8"/>
                <w:lang w:val="en-US"/>
              </w:rPr>
            </w:pPr>
          </w:p>
        </w:tc>
      </w:tr>
    </w:tbl>
    <w:p w14:paraId="0F61C93E" w14:textId="77777777" w:rsidR="001A42CE" w:rsidRDefault="001A42CE">
      <w:pPr>
        <w:rPr>
          <w:sz w:val="18"/>
        </w:rPr>
      </w:pPr>
    </w:p>
    <w:p w14:paraId="35720AB8" w14:textId="0B85F525" w:rsidR="006312BD" w:rsidRDefault="006312BD">
      <w:pPr>
        <w:rPr>
          <w:sz w:val="18"/>
        </w:rPr>
      </w:pPr>
      <w:r>
        <w:rPr>
          <w:sz w:val="18"/>
        </w:rPr>
        <w:br w:type="page"/>
      </w:r>
    </w:p>
    <w:p w14:paraId="0C99CE1B" w14:textId="77777777" w:rsidR="00D87CEC" w:rsidRDefault="00D87CEC">
      <w:pPr>
        <w:rPr>
          <w:sz w:val="18"/>
        </w:rPr>
      </w:pPr>
    </w:p>
    <w:tbl>
      <w:tblPr>
        <w:tblW w:w="5170" w:type="pct"/>
        <w:tblInd w:w="-176" w:type="dxa"/>
        <w:tblLayout w:type="fixed"/>
        <w:tblLook w:val="01E0" w:firstRow="1" w:lastRow="1" w:firstColumn="1" w:lastColumn="1" w:noHBand="0" w:noVBand="0"/>
      </w:tblPr>
      <w:tblGrid>
        <w:gridCol w:w="2431"/>
        <w:gridCol w:w="154"/>
        <w:gridCol w:w="7966"/>
      </w:tblGrid>
      <w:tr w:rsidR="006312BD" w:rsidRPr="00862949" w14:paraId="0170B7C8" w14:textId="77777777" w:rsidTr="004F5FDB">
        <w:tc>
          <w:tcPr>
            <w:tcW w:w="5000" w:type="pct"/>
            <w:gridSpan w:val="3"/>
            <w:shd w:val="clear" w:color="auto" w:fill="0070C0"/>
            <w:tcMar>
              <w:top w:w="85" w:type="dxa"/>
              <w:bottom w:w="85" w:type="dxa"/>
            </w:tcMar>
            <w:vAlign w:val="bottom"/>
          </w:tcPr>
          <w:p w14:paraId="7D99697C" w14:textId="77777777" w:rsidR="006312BD" w:rsidRPr="00862949" w:rsidRDefault="006312BD" w:rsidP="004F5FDB">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6312BD" w:rsidRPr="000F19E1" w14:paraId="61596767" w14:textId="77777777" w:rsidTr="004F5FDB">
        <w:tc>
          <w:tcPr>
            <w:tcW w:w="1152" w:type="pct"/>
            <w:shd w:val="clear" w:color="auto" w:fill="DAEEF3"/>
            <w:tcMar>
              <w:top w:w="0" w:type="dxa"/>
              <w:bottom w:w="0" w:type="dxa"/>
            </w:tcMar>
          </w:tcPr>
          <w:p w14:paraId="5C471F57" w14:textId="77777777" w:rsidR="006312BD" w:rsidRPr="000F19E1" w:rsidRDefault="006312BD" w:rsidP="004F5FDB">
            <w:pPr>
              <w:rPr>
                <w:rFonts w:cs="Arial"/>
                <w:bCs/>
                <w:sz w:val="8"/>
                <w:szCs w:val="8"/>
              </w:rPr>
            </w:pPr>
          </w:p>
        </w:tc>
        <w:tc>
          <w:tcPr>
            <w:tcW w:w="3848" w:type="pct"/>
            <w:gridSpan w:val="2"/>
            <w:shd w:val="clear" w:color="auto" w:fill="DAEEF3"/>
            <w:tcMar>
              <w:top w:w="0" w:type="dxa"/>
              <w:bottom w:w="0" w:type="dxa"/>
            </w:tcMar>
          </w:tcPr>
          <w:p w14:paraId="2F8A227A" w14:textId="77777777" w:rsidR="006312BD" w:rsidRPr="000F19E1" w:rsidRDefault="006312BD" w:rsidP="004F5FDB">
            <w:pPr>
              <w:tabs>
                <w:tab w:val="center" w:pos="3152"/>
              </w:tabs>
              <w:rPr>
                <w:rFonts w:cs="Arial"/>
                <w:sz w:val="8"/>
                <w:szCs w:val="8"/>
                <w:lang w:val="en-US"/>
              </w:rPr>
            </w:pPr>
          </w:p>
        </w:tc>
      </w:tr>
      <w:tr w:rsidR="006312BD" w:rsidRPr="00433D3E" w14:paraId="7327BA59" w14:textId="77777777" w:rsidTr="004F5FDB">
        <w:tc>
          <w:tcPr>
            <w:tcW w:w="5000" w:type="pct"/>
            <w:gridSpan w:val="3"/>
            <w:shd w:val="clear" w:color="auto" w:fill="00B050"/>
            <w:tcMar>
              <w:top w:w="57" w:type="dxa"/>
              <w:bottom w:w="57" w:type="dxa"/>
            </w:tcMar>
          </w:tcPr>
          <w:p w14:paraId="3DE0C664" w14:textId="77777777" w:rsidR="006312BD" w:rsidRPr="0021490D" w:rsidRDefault="006312BD" w:rsidP="004F5FDB">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r>
              <w:rPr>
                <w:rFonts w:cs="Arial"/>
                <w:b/>
                <w:bCs/>
                <w:i/>
                <w:iCs/>
                <w:color w:val="FFFFFF"/>
                <w:sz w:val="22"/>
                <w:szCs w:val="20"/>
                <w:lang w:val="en-US"/>
              </w:rPr>
              <w:t xml:space="preserve"> </w:t>
            </w:r>
            <w:r w:rsidRPr="0021490D">
              <w:rPr>
                <w:rFonts w:cs="Arial"/>
                <w:b/>
                <w:bCs/>
                <w:color w:val="FFFFFF"/>
                <w:sz w:val="16"/>
                <w:szCs w:val="14"/>
                <w:lang w:val="en-US"/>
              </w:rPr>
              <w:t>(continued)</w:t>
            </w:r>
          </w:p>
        </w:tc>
      </w:tr>
      <w:tr w:rsidR="006D2C7D" w:rsidRPr="00A075A3" w14:paraId="79F721FD" w14:textId="77777777" w:rsidTr="004F5FDB">
        <w:tc>
          <w:tcPr>
            <w:tcW w:w="1225" w:type="pct"/>
            <w:gridSpan w:val="2"/>
            <w:shd w:val="clear" w:color="auto" w:fill="auto"/>
            <w:tcMar>
              <w:top w:w="57" w:type="dxa"/>
              <w:bottom w:w="57" w:type="dxa"/>
            </w:tcMar>
          </w:tcPr>
          <w:p w14:paraId="4AF56F0C" w14:textId="394A93E3" w:rsidR="006D2C7D" w:rsidRDefault="006D2C7D" w:rsidP="006D2C7D">
            <w:pPr>
              <w:rPr>
                <w:rFonts w:cs="Arial"/>
                <w:szCs w:val="19"/>
              </w:rPr>
            </w:pPr>
            <w:r w:rsidRPr="00E52E04">
              <w:rPr>
                <w:rFonts w:cs="Arial"/>
                <w:szCs w:val="19"/>
              </w:rPr>
              <w:t>Omalizumab biosimilar (</w:t>
            </w:r>
            <w:r w:rsidRPr="00E52E04">
              <w:rPr>
                <w:rFonts w:cs="Arial"/>
                <w:i/>
                <w:iCs/>
                <w:szCs w:val="19"/>
              </w:rPr>
              <w:t>Omlyclo</w:t>
            </w:r>
            <w:r w:rsidRPr="00E52E04">
              <w:rPr>
                <w:rFonts w:cs="Arial"/>
                <w:szCs w:val="19"/>
              </w:rPr>
              <w:t>) </w:t>
            </w:r>
          </w:p>
        </w:tc>
        <w:tc>
          <w:tcPr>
            <w:tcW w:w="3775" w:type="pct"/>
            <w:shd w:val="clear" w:color="auto" w:fill="auto"/>
            <w:tcMar>
              <w:top w:w="57" w:type="dxa"/>
              <w:bottom w:w="57" w:type="dxa"/>
            </w:tcMar>
          </w:tcPr>
          <w:p w14:paraId="44B1F454" w14:textId="7D184646" w:rsidR="006D2C7D" w:rsidRPr="0013248A" w:rsidRDefault="006D2C7D" w:rsidP="006D2C7D">
            <w:pPr>
              <w:tabs>
                <w:tab w:val="num" w:pos="720"/>
                <w:tab w:val="center" w:pos="3152"/>
              </w:tabs>
              <w:rPr>
                <w:rFonts w:cs="Arial"/>
                <w:szCs w:val="19"/>
                <w:lang w:val="en-US"/>
              </w:rPr>
            </w:pPr>
            <w:r w:rsidRPr="00E52E04">
              <w:rPr>
                <w:rFonts w:cs="Arial"/>
                <w:szCs w:val="19"/>
                <w:lang w:val="en-US"/>
              </w:rPr>
              <w:t>In adults and adolescents (</w:t>
            </w:r>
            <w:r>
              <w:rPr>
                <w:rFonts w:cs="Arial"/>
                <w:szCs w:val="19"/>
                <w:lang w:val="en-US"/>
              </w:rPr>
              <w:t>aged ≥</w:t>
            </w:r>
            <w:r w:rsidRPr="00E52E04">
              <w:rPr>
                <w:rFonts w:cs="Arial"/>
                <w:szCs w:val="19"/>
                <w:lang w:val="en-US"/>
              </w:rPr>
              <w:t xml:space="preserve">12 years), </w:t>
            </w:r>
            <w:r>
              <w:rPr>
                <w:rFonts w:cs="Arial"/>
                <w:szCs w:val="19"/>
                <w:lang w:val="en-US"/>
              </w:rPr>
              <w:t>use</w:t>
            </w:r>
            <w:r w:rsidRPr="00E52E04">
              <w:rPr>
                <w:rFonts w:cs="Arial"/>
                <w:szCs w:val="19"/>
                <w:lang w:val="en-US"/>
              </w:rPr>
              <w:t xml:space="preserve"> as add-on therapy to improve asthma control in patients with severe persistent allergic asthma who have a positive skin test or in vitro reactivity to a perennial aeroallergen and who have reduced lung function (FEV</w:t>
            </w:r>
            <w:r w:rsidRPr="00EF1048">
              <w:rPr>
                <w:rFonts w:cs="Arial"/>
                <w:szCs w:val="19"/>
                <w:vertAlign w:val="subscript"/>
                <w:lang w:val="en-US"/>
              </w:rPr>
              <w:t>1</w:t>
            </w:r>
            <w:r w:rsidRPr="00E52E04">
              <w:rPr>
                <w:rFonts w:cs="Arial"/>
                <w:szCs w:val="19"/>
                <w:lang w:val="en-US"/>
              </w:rPr>
              <w:t xml:space="preserve"> &lt;80%) as well as frequent daytime symptoms or night-time awakenings and who have had multiple documented severe asthma exacerbations despite daily high-dose inhaled corticosteroids, plus a long-acting inhaled beta2-agonist. In children (</w:t>
            </w:r>
            <w:r>
              <w:rPr>
                <w:rFonts w:cs="Arial"/>
                <w:szCs w:val="19"/>
                <w:lang w:val="en-US"/>
              </w:rPr>
              <w:t xml:space="preserve">aged </w:t>
            </w:r>
            <w:r w:rsidRPr="00E52E04">
              <w:rPr>
                <w:rFonts w:cs="Arial"/>
                <w:szCs w:val="19"/>
                <w:lang w:val="en-US"/>
              </w:rPr>
              <w:t>6 to &lt;12 year</w:t>
            </w:r>
            <w:r>
              <w:rPr>
                <w:rFonts w:cs="Arial"/>
                <w:szCs w:val="19"/>
                <w:lang w:val="en-US"/>
              </w:rPr>
              <w:t>s</w:t>
            </w:r>
            <w:r w:rsidRPr="00E52E04">
              <w:rPr>
                <w:rFonts w:cs="Arial"/>
                <w:szCs w:val="19"/>
                <w:lang w:val="en-US"/>
              </w:rPr>
              <w:t>)</w:t>
            </w:r>
            <w:r>
              <w:rPr>
                <w:rFonts w:cs="Arial"/>
                <w:szCs w:val="19"/>
                <w:lang w:val="en-US"/>
              </w:rPr>
              <w:t>, use</w:t>
            </w:r>
            <w:r w:rsidRPr="00E52E04">
              <w:rPr>
                <w:rFonts w:cs="Arial"/>
                <w:szCs w:val="19"/>
                <w:lang w:val="en-US"/>
              </w:rPr>
              <w:t xml:space="preserve"> as add-on therapy to improve asthma control in patients with severe persistent allergic asthma who have a positive skin test or in vitro reactivity to a perennial aeroallergen and frequent daytime symptoms or night-time awakenings and who have had multiple documented severe asthma exacerbations despite daily high-dose inhaled corticosteroids, plus a long-acting inhaled beta2-agonist</w:t>
            </w:r>
            <w:r>
              <w:rPr>
                <w:rFonts w:cs="Arial"/>
                <w:szCs w:val="19"/>
                <w:lang w:val="en-US"/>
              </w:rPr>
              <w:t xml:space="preserve">. Use </w:t>
            </w:r>
            <w:r w:rsidRPr="00E52E04">
              <w:rPr>
                <w:rFonts w:cs="Arial"/>
                <w:szCs w:val="19"/>
                <w:lang w:val="en-US"/>
              </w:rPr>
              <w:t xml:space="preserve">as an add-on therapy with intranasal corticosteroids (INC) for the treatment of adults with severe </w:t>
            </w:r>
            <w:r>
              <w:rPr>
                <w:rFonts w:cs="Arial"/>
                <w:szCs w:val="19"/>
                <w:lang w:val="en-US"/>
              </w:rPr>
              <w:t>c</w:t>
            </w:r>
            <w:r w:rsidRPr="00EF1048">
              <w:rPr>
                <w:rFonts w:cs="Arial"/>
                <w:szCs w:val="19"/>
                <w:lang w:val="en-US"/>
              </w:rPr>
              <w:t>hronic rhinosinusitis with nasal polyps</w:t>
            </w:r>
            <w:r>
              <w:rPr>
                <w:rFonts w:cs="Arial"/>
                <w:szCs w:val="19"/>
                <w:lang w:val="en-US"/>
              </w:rPr>
              <w:t xml:space="preserve"> </w:t>
            </w:r>
            <w:r w:rsidRPr="00E52E04">
              <w:rPr>
                <w:rFonts w:cs="Arial"/>
                <w:szCs w:val="19"/>
                <w:lang w:val="en-US"/>
              </w:rPr>
              <w:t>for whom therapy with INC does not provide adequate disease control</w:t>
            </w:r>
            <w:r>
              <w:rPr>
                <w:rFonts w:cs="Arial"/>
                <w:szCs w:val="19"/>
                <w:lang w:val="en-US"/>
              </w:rPr>
              <w:t xml:space="preserve">. Use </w:t>
            </w:r>
            <w:r w:rsidRPr="00E52E04">
              <w:rPr>
                <w:rFonts w:cs="Arial"/>
                <w:szCs w:val="19"/>
                <w:lang w:val="en-US"/>
              </w:rPr>
              <w:t>as add-on therapy for the treatment of chronic spontaneous urticaria in adult and adolescent</w:t>
            </w:r>
            <w:r>
              <w:rPr>
                <w:rFonts w:cs="Arial"/>
                <w:szCs w:val="19"/>
                <w:lang w:val="en-US"/>
              </w:rPr>
              <w:t>s</w:t>
            </w:r>
            <w:r w:rsidRPr="00E52E04">
              <w:rPr>
                <w:rFonts w:cs="Arial"/>
                <w:szCs w:val="19"/>
                <w:lang w:val="en-US"/>
              </w:rPr>
              <w:t xml:space="preserve"> (</w:t>
            </w:r>
            <w:r>
              <w:rPr>
                <w:rFonts w:cs="Arial"/>
                <w:szCs w:val="19"/>
                <w:lang w:val="en-US"/>
              </w:rPr>
              <w:t>aged ≥</w:t>
            </w:r>
            <w:r w:rsidRPr="00E52E04">
              <w:rPr>
                <w:rFonts w:cs="Arial"/>
                <w:szCs w:val="19"/>
                <w:lang w:val="en-US"/>
              </w:rPr>
              <w:t>12 years) with inadequate response to H1 antihistamine treatment.</w:t>
            </w:r>
            <w:r>
              <w:rPr>
                <w:rFonts w:cs="Arial"/>
                <w:szCs w:val="19"/>
                <w:lang w:val="en-US"/>
              </w:rPr>
              <w:t xml:space="preserve"> </w:t>
            </w:r>
            <w:r w:rsidRPr="002B328C">
              <w:rPr>
                <w:rFonts w:cs="Arial"/>
                <w:sz w:val="16"/>
                <w:szCs w:val="16"/>
                <w:lang w:val="en-US"/>
              </w:rPr>
              <w:t>[EU]</w:t>
            </w:r>
          </w:p>
        </w:tc>
      </w:tr>
      <w:tr w:rsidR="006D2C7D" w:rsidRPr="00A075A3" w14:paraId="4F9DDDA8" w14:textId="77777777" w:rsidTr="004F5FDB">
        <w:tc>
          <w:tcPr>
            <w:tcW w:w="1225" w:type="pct"/>
            <w:gridSpan w:val="2"/>
            <w:shd w:val="clear" w:color="auto" w:fill="auto"/>
            <w:tcMar>
              <w:top w:w="57" w:type="dxa"/>
              <w:bottom w:w="57" w:type="dxa"/>
            </w:tcMar>
          </w:tcPr>
          <w:p w14:paraId="0B6EF124" w14:textId="2E20C610" w:rsidR="006D2C7D" w:rsidRDefault="006D2C7D" w:rsidP="006D2C7D">
            <w:pPr>
              <w:rPr>
                <w:rFonts w:cs="Arial"/>
                <w:szCs w:val="19"/>
              </w:rPr>
            </w:pPr>
            <w:r>
              <w:rPr>
                <w:rFonts w:cs="Arial"/>
                <w:szCs w:val="19"/>
              </w:rPr>
              <w:t>Oritavancin (</w:t>
            </w:r>
            <w:r>
              <w:rPr>
                <w:rFonts w:cs="Arial"/>
                <w:i/>
                <w:iCs/>
                <w:szCs w:val="19"/>
              </w:rPr>
              <w:t>Tenkasi</w:t>
            </w:r>
            <w:r>
              <w:rPr>
                <w:rFonts w:cs="Arial"/>
                <w:szCs w:val="19"/>
              </w:rPr>
              <w:t>)</w:t>
            </w:r>
          </w:p>
        </w:tc>
        <w:tc>
          <w:tcPr>
            <w:tcW w:w="3775" w:type="pct"/>
            <w:shd w:val="clear" w:color="auto" w:fill="auto"/>
            <w:tcMar>
              <w:top w:w="57" w:type="dxa"/>
              <w:bottom w:w="57" w:type="dxa"/>
            </w:tcMar>
          </w:tcPr>
          <w:p w14:paraId="3A5B2110" w14:textId="77777777" w:rsidR="006D2C7D" w:rsidRDefault="006D2C7D" w:rsidP="006D2C7D">
            <w:pPr>
              <w:tabs>
                <w:tab w:val="num" w:pos="720"/>
                <w:tab w:val="center" w:pos="3152"/>
              </w:tabs>
              <w:rPr>
                <w:rFonts w:cs="Arial"/>
                <w:sz w:val="16"/>
                <w:szCs w:val="16"/>
                <w:lang w:val="en-US"/>
              </w:rPr>
            </w:pPr>
            <w:r w:rsidRPr="0013248A">
              <w:rPr>
                <w:rFonts w:cs="Arial"/>
                <w:szCs w:val="19"/>
                <w:lang w:val="en-US"/>
              </w:rPr>
              <w:t>Treatment of acute bacterial skin and skin structure infections in adults</w:t>
            </w:r>
            <w:r>
              <w:rPr>
                <w:rFonts w:cs="Arial"/>
                <w:szCs w:val="19"/>
                <w:lang w:val="en-US"/>
              </w:rPr>
              <w:t xml:space="preserve"> </w:t>
            </w:r>
            <w:r w:rsidRPr="002B328C">
              <w:rPr>
                <w:rFonts w:cs="Arial"/>
                <w:sz w:val="16"/>
                <w:szCs w:val="16"/>
                <w:lang w:val="en-US"/>
              </w:rPr>
              <w:t xml:space="preserve">[EU] </w:t>
            </w:r>
          </w:p>
          <w:p w14:paraId="3A259A51" w14:textId="55104711" w:rsidR="006D2C7D" w:rsidRPr="002B328C" w:rsidRDefault="006D2C7D" w:rsidP="006D2C7D">
            <w:pPr>
              <w:tabs>
                <w:tab w:val="num" w:pos="720"/>
                <w:tab w:val="center" w:pos="3152"/>
              </w:tabs>
              <w:rPr>
                <w:rFonts w:cs="Arial"/>
                <w:szCs w:val="19"/>
                <w:lang w:val="en-US"/>
              </w:rPr>
            </w:pPr>
            <w:r w:rsidRPr="002B328C">
              <w:rPr>
                <w:rFonts w:cs="Arial"/>
                <w:sz w:val="16"/>
                <w:szCs w:val="16"/>
                <w:lang w:val="en-US"/>
              </w:rPr>
              <w:t xml:space="preserve">[new </w:t>
            </w:r>
            <w:r>
              <w:rPr>
                <w:rFonts w:cs="Arial"/>
                <w:sz w:val="16"/>
                <w:szCs w:val="16"/>
                <w:lang w:val="en-US"/>
              </w:rPr>
              <w:t>1,200mg vial</w:t>
            </w:r>
            <w:r w:rsidRPr="002B328C">
              <w:rPr>
                <w:rFonts w:cs="Arial"/>
                <w:sz w:val="16"/>
                <w:szCs w:val="16"/>
                <w:lang w:val="en-US"/>
              </w:rPr>
              <w:t xml:space="preserve"> formulation]</w:t>
            </w:r>
          </w:p>
        </w:tc>
      </w:tr>
      <w:tr w:rsidR="006D2C7D" w:rsidRPr="00A075A3" w14:paraId="09AEFAB8" w14:textId="77777777" w:rsidTr="004F5FDB">
        <w:tc>
          <w:tcPr>
            <w:tcW w:w="1225" w:type="pct"/>
            <w:gridSpan w:val="2"/>
            <w:shd w:val="clear" w:color="auto" w:fill="auto"/>
            <w:tcMar>
              <w:top w:w="57" w:type="dxa"/>
              <w:bottom w:w="57" w:type="dxa"/>
            </w:tcMar>
          </w:tcPr>
          <w:p w14:paraId="00C006DA" w14:textId="77777777" w:rsidR="006D2C7D" w:rsidRPr="002B328C" w:rsidRDefault="006D2C7D" w:rsidP="006D2C7D">
            <w:pPr>
              <w:rPr>
                <w:rFonts w:cs="Arial"/>
                <w:i/>
                <w:iCs/>
                <w:szCs w:val="19"/>
              </w:rPr>
            </w:pPr>
            <w:r>
              <w:rPr>
                <w:rFonts w:cs="Arial"/>
                <w:szCs w:val="19"/>
              </w:rPr>
              <w:t>Risankizumab (</w:t>
            </w:r>
            <w:r w:rsidRPr="002B328C">
              <w:rPr>
                <w:rFonts w:cs="Arial"/>
                <w:i/>
                <w:iCs/>
                <w:szCs w:val="19"/>
              </w:rPr>
              <w:t>Skyrizi</w:t>
            </w:r>
            <w:r>
              <w:rPr>
                <w:rFonts w:cs="Arial"/>
                <w:szCs w:val="19"/>
              </w:rPr>
              <w:t>)</w:t>
            </w:r>
          </w:p>
        </w:tc>
        <w:tc>
          <w:tcPr>
            <w:tcW w:w="3775" w:type="pct"/>
            <w:shd w:val="clear" w:color="auto" w:fill="auto"/>
            <w:tcMar>
              <w:top w:w="57" w:type="dxa"/>
              <w:bottom w:w="57" w:type="dxa"/>
            </w:tcMar>
          </w:tcPr>
          <w:p w14:paraId="61D37EA9" w14:textId="77777777" w:rsidR="006D2C7D" w:rsidRDefault="006D2C7D" w:rsidP="006D2C7D">
            <w:pPr>
              <w:tabs>
                <w:tab w:val="num" w:pos="720"/>
                <w:tab w:val="center" w:pos="3152"/>
              </w:tabs>
              <w:rPr>
                <w:rFonts w:cs="Arial"/>
                <w:szCs w:val="19"/>
                <w:lang w:val="en-US"/>
              </w:rPr>
            </w:pPr>
            <w:r w:rsidRPr="002B328C">
              <w:rPr>
                <w:rFonts w:cs="Arial"/>
                <w:szCs w:val="19"/>
                <w:lang w:val="en-US"/>
              </w:rPr>
              <w:t>Treatment of adults with moderately to severely active Crohn's</w:t>
            </w:r>
            <w:r>
              <w:rPr>
                <w:rFonts w:cs="Arial"/>
                <w:szCs w:val="19"/>
                <w:lang w:val="en-US"/>
              </w:rPr>
              <w:t xml:space="preserve"> </w:t>
            </w:r>
            <w:r w:rsidRPr="002B328C">
              <w:rPr>
                <w:rFonts w:cs="Arial"/>
                <w:szCs w:val="19"/>
                <w:lang w:val="en-US"/>
              </w:rPr>
              <w:t>disease who have had an inadequate response to, lost response to, or were intolerant to conventional</w:t>
            </w:r>
            <w:r>
              <w:rPr>
                <w:rFonts w:cs="Arial"/>
                <w:szCs w:val="19"/>
                <w:lang w:val="en-US"/>
              </w:rPr>
              <w:t xml:space="preserve"> </w:t>
            </w:r>
            <w:r w:rsidRPr="002B328C">
              <w:rPr>
                <w:rFonts w:cs="Arial"/>
                <w:szCs w:val="19"/>
                <w:lang w:val="en-US"/>
              </w:rPr>
              <w:t>therapy or a biologic therapy</w:t>
            </w:r>
            <w:r>
              <w:rPr>
                <w:rFonts w:cs="Arial"/>
                <w:szCs w:val="19"/>
                <w:lang w:val="en-US"/>
              </w:rPr>
              <w:t xml:space="preserve"> </w:t>
            </w:r>
            <w:r w:rsidRPr="002B328C">
              <w:rPr>
                <w:rFonts w:cs="Arial"/>
                <w:sz w:val="16"/>
                <w:szCs w:val="16"/>
                <w:lang w:val="en-US"/>
              </w:rPr>
              <w:t>[EU] [new 90mg prefilled syringe formulation]</w:t>
            </w:r>
          </w:p>
        </w:tc>
      </w:tr>
      <w:tr w:rsidR="006D2C7D" w:rsidRPr="00A075A3" w14:paraId="2897F89C" w14:textId="77777777" w:rsidTr="004F5FDB">
        <w:tc>
          <w:tcPr>
            <w:tcW w:w="1225" w:type="pct"/>
            <w:gridSpan w:val="2"/>
            <w:shd w:val="clear" w:color="auto" w:fill="auto"/>
            <w:tcMar>
              <w:top w:w="57" w:type="dxa"/>
              <w:bottom w:w="57" w:type="dxa"/>
            </w:tcMar>
          </w:tcPr>
          <w:p w14:paraId="18D50B0F" w14:textId="77777777" w:rsidR="006D2C7D" w:rsidRPr="008D622F" w:rsidRDefault="006D2C7D" w:rsidP="006D2C7D">
            <w:pPr>
              <w:rPr>
                <w:rFonts w:cs="Arial"/>
                <w:szCs w:val="19"/>
              </w:rPr>
            </w:pPr>
            <w:r w:rsidRPr="008D622F">
              <w:rPr>
                <w:rFonts w:cs="Arial"/>
                <w:szCs w:val="19"/>
              </w:rPr>
              <w:t>Selpercatinib</w:t>
            </w:r>
            <w:r>
              <w:rPr>
                <w:rFonts w:cs="Arial"/>
                <w:szCs w:val="19"/>
              </w:rPr>
              <w:t xml:space="preserve"> (</w:t>
            </w:r>
            <w:r>
              <w:rPr>
                <w:rFonts w:cs="Arial"/>
                <w:i/>
                <w:iCs/>
                <w:szCs w:val="19"/>
              </w:rPr>
              <w:t>Retsevmo</w:t>
            </w:r>
            <w:r>
              <w:rPr>
                <w:rFonts w:cs="Arial"/>
                <w:szCs w:val="19"/>
              </w:rPr>
              <w:t>)</w:t>
            </w:r>
          </w:p>
        </w:tc>
        <w:tc>
          <w:tcPr>
            <w:tcW w:w="3775" w:type="pct"/>
            <w:shd w:val="clear" w:color="auto" w:fill="auto"/>
            <w:tcMar>
              <w:top w:w="57" w:type="dxa"/>
              <w:bottom w:w="57" w:type="dxa"/>
            </w:tcMar>
          </w:tcPr>
          <w:p w14:paraId="40160A5A" w14:textId="2674769E" w:rsidR="006D2C7D" w:rsidRDefault="006D2C7D" w:rsidP="006D2C7D">
            <w:pPr>
              <w:tabs>
                <w:tab w:val="num" w:pos="720"/>
                <w:tab w:val="center" w:pos="3152"/>
              </w:tabs>
              <w:rPr>
                <w:rFonts w:cs="Arial"/>
                <w:szCs w:val="19"/>
                <w:lang w:val="en-US"/>
              </w:rPr>
            </w:pPr>
            <w:r>
              <w:rPr>
                <w:rFonts w:cs="Arial"/>
                <w:szCs w:val="19"/>
                <w:lang w:val="en-US"/>
              </w:rPr>
              <w:t xml:space="preserve">Use as </w:t>
            </w:r>
            <w:r w:rsidRPr="008D622F">
              <w:rPr>
                <w:rFonts w:cs="Arial"/>
                <w:szCs w:val="19"/>
                <w:lang w:val="en-US"/>
              </w:rPr>
              <w:t>monotherapy for the treatment of adults with advanced RET fusion</w:t>
            </w:r>
            <w:r w:rsidR="00734EBF">
              <w:rPr>
                <w:rFonts w:cs="Arial"/>
                <w:szCs w:val="19"/>
                <w:lang w:val="en-US"/>
              </w:rPr>
              <w:t>-</w:t>
            </w:r>
            <w:r w:rsidRPr="008D622F">
              <w:rPr>
                <w:rFonts w:cs="Arial"/>
                <w:szCs w:val="19"/>
                <w:lang w:val="en-US"/>
              </w:rPr>
              <w:t>positive solid tumours, when treatment options not targeting RET provide limited clinical benefit, or have been exhausted</w:t>
            </w:r>
            <w:r>
              <w:rPr>
                <w:rFonts w:cs="Arial"/>
                <w:szCs w:val="19"/>
                <w:lang w:val="en-US"/>
              </w:rPr>
              <w:t xml:space="preserve"> </w:t>
            </w:r>
            <w:r w:rsidRPr="0057378C">
              <w:rPr>
                <w:rFonts w:cs="Arial"/>
                <w:sz w:val="16"/>
                <w:szCs w:val="16"/>
                <w:lang w:val="en-US"/>
              </w:rPr>
              <w:t>[EU] [new indication]</w:t>
            </w:r>
          </w:p>
        </w:tc>
      </w:tr>
      <w:tr w:rsidR="006D2C7D" w:rsidRPr="000F19E1" w14:paraId="23876E7B" w14:textId="77777777" w:rsidTr="004F5FDB">
        <w:tc>
          <w:tcPr>
            <w:tcW w:w="1225" w:type="pct"/>
            <w:gridSpan w:val="2"/>
            <w:shd w:val="clear" w:color="auto" w:fill="auto"/>
            <w:tcMar>
              <w:top w:w="0" w:type="dxa"/>
              <w:bottom w:w="0" w:type="dxa"/>
            </w:tcMar>
          </w:tcPr>
          <w:p w14:paraId="6929514F" w14:textId="77777777" w:rsidR="006D2C7D" w:rsidRPr="000F19E1" w:rsidRDefault="006D2C7D" w:rsidP="006D2C7D">
            <w:pPr>
              <w:rPr>
                <w:rFonts w:cs="Arial"/>
                <w:bCs/>
                <w:sz w:val="8"/>
                <w:szCs w:val="8"/>
              </w:rPr>
            </w:pPr>
          </w:p>
        </w:tc>
        <w:tc>
          <w:tcPr>
            <w:tcW w:w="3775" w:type="pct"/>
            <w:shd w:val="clear" w:color="auto" w:fill="auto"/>
            <w:tcMar>
              <w:top w:w="0" w:type="dxa"/>
              <w:bottom w:w="0" w:type="dxa"/>
            </w:tcMar>
          </w:tcPr>
          <w:p w14:paraId="71213F54" w14:textId="77777777" w:rsidR="006D2C7D" w:rsidRPr="000F19E1" w:rsidRDefault="006D2C7D" w:rsidP="006D2C7D">
            <w:pPr>
              <w:tabs>
                <w:tab w:val="center" w:pos="3152"/>
              </w:tabs>
              <w:rPr>
                <w:rFonts w:cs="Arial"/>
                <w:sz w:val="8"/>
                <w:szCs w:val="8"/>
                <w:lang w:val="en-US"/>
              </w:rPr>
            </w:pPr>
          </w:p>
        </w:tc>
      </w:tr>
      <w:tr w:rsidR="006D2C7D" w:rsidRPr="000F19E1" w14:paraId="5121C7AB" w14:textId="77777777" w:rsidTr="004F5FDB">
        <w:tc>
          <w:tcPr>
            <w:tcW w:w="1152" w:type="pct"/>
            <w:shd w:val="clear" w:color="auto" w:fill="DAEEF3"/>
            <w:tcMar>
              <w:top w:w="0" w:type="dxa"/>
              <w:bottom w:w="0" w:type="dxa"/>
            </w:tcMar>
          </w:tcPr>
          <w:p w14:paraId="1DA62CFE" w14:textId="77777777" w:rsidR="006D2C7D" w:rsidRPr="000F19E1" w:rsidRDefault="006D2C7D" w:rsidP="006D2C7D">
            <w:pPr>
              <w:rPr>
                <w:rFonts w:cs="Arial"/>
                <w:bCs/>
                <w:sz w:val="8"/>
                <w:szCs w:val="8"/>
              </w:rPr>
            </w:pPr>
          </w:p>
        </w:tc>
        <w:tc>
          <w:tcPr>
            <w:tcW w:w="3848" w:type="pct"/>
            <w:gridSpan w:val="2"/>
            <w:shd w:val="clear" w:color="auto" w:fill="DAEEF3"/>
            <w:tcMar>
              <w:top w:w="0" w:type="dxa"/>
              <w:bottom w:w="0" w:type="dxa"/>
            </w:tcMar>
          </w:tcPr>
          <w:p w14:paraId="0B18CA9E" w14:textId="77777777" w:rsidR="006D2C7D" w:rsidRPr="000F19E1" w:rsidRDefault="006D2C7D" w:rsidP="006D2C7D">
            <w:pPr>
              <w:tabs>
                <w:tab w:val="center" w:pos="3152"/>
              </w:tabs>
              <w:rPr>
                <w:rFonts w:cs="Arial"/>
                <w:sz w:val="8"/>
                <w:szCs w:val="8"/>
                <w:lang w:val="en-US"/>
              </w:rPr>
            </w:pPr>
          </w:p>
        </w:tc>
      </w:tr>
      <w:tr w:rsidR="006D2C7D" w:rsidRPr="00433D3E" w14:paraId="4CF067C0" w14:textId="77777777" w:rsidTr="004F5FDB">
        <w:tc>
          <w:tcPr>
            <w:tcW w:w="5000" w:type="pct"/>
            <w:gridSpan w:val="3"/>
            <w:shd w:val="clear" w:color="auto" w:fill="00B050"/>
            <w:tcMar>
              <w:top w:w="57" w:type="dxa"/>
              <w:bottom w:w="57" w:type="dxa"/>
            </w:tcMar>
          </w:tcPr>
          <w:p w14:paraId="17F5D4C6" w14:textId="77777777" w:rsidR="006D2C7D" w:rsidRPr="00433D3E" w:rsidRDefault="006D2C7D" w:rsidP="006D2C7D">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6D2C7D" w:rsidRPr="00A075A3" w14:paraId="328A9865" w14:textId="77777777" w:rsidTr="004F5FDB">
        <w:tc>
          <w:tcPr>
            <w:tcW w:w="1225" w:type="pct"/>
            <w:gridSpan w:val="2"/>
            <w:shd w:val="clear" w:color="auto" w:fill="auto"/>
            <w:tcMar>
              <w:top w:w="57" w:type="dxa"/>
              <w:bottom w:w="57" w:type="dxa"/>
            </w:tcMar>
          </w:tcPr>
          <w:p w14:paraId="3DC916F4" w14:textId="77777777" w:rsidR="006D2C7D" w:rsidRPr="00265441" w:rsidRDefault="006D2C7D" w:rsidP="006D2C7D">
            <w:pPr>
              <w:rPr>
                <w:rFonts w:cs="Arial"/>
                <w:szCs w:val="19"/>
              </w:rPr>
            </w:pPr>
            <w:r w:rsidRPr="00265441">
              <w:rPr>
                <w:rFonts w:cs="Arial"/>
                <w:szCs w:val="19"/>
              </w:rPr>
              <w:t>Amivantamab</w:t>
            </w:r>
            <w:r>
              <w:rPr>
                <w:rFonts w:cs="Arial"/>
                <w:szCs w:val="19"/>
              </w:rPr>
              <w:t xml:space="preserve"> (</w:t>
            </w:r>
            <w:r>
              <w:rPr>
                <w:rFonts w:cs="Arial"/>
                <w:i/>
                <w:iCs/>
                <w:szCs w:val="19"/>
              </w:rPr>
              <w:t>Rybrevant</w:t>
            </w:r>
            <w:r>
              <w:rPr>
                <w:rFonts w:cs="Arial"/>
                <w:szCs w:val="19"/>
              </w:rPr>
              <w:t>)</w:t>
            </w:r>
          </w:p>
        </w:tc>
        <w:tc>
          <w:tcPr>
            <w:tcW w:w="3775" w:type="pct"/>
            <w:shd w:val="clear" w:color="auto" w:fill="auto"/>
            <w:tcMar>
              <w:top w:w="57" w:type="dxa"/>
              <w:bottom w:w="57" w:type="dxa"/>
            </w:tcMar>
          </w:tcPr>
          <w:p w14:paraId="66825F30" w14:textId="77777777" w:rsidR="006D2C7D" w:rsidRDefault="006D2C7D" w:rsidP="006D2C7D">
            <w:pPr>
              <w:tabs>
                <w:tab w:val="center" w:pos="3152"/>
              </w:tabs>
              <w:rPr>
                <w:rFonts w:cs="Arial"/>
                <w:szCs w:val="19"/>
                <w:lang w:val="en-US"/>
              </w:rPr>
            </w:pPr>
            <w:r>
              <w:rPr>
                <w:rFonts w:cs="Arial"/>
                <w:szCs w:val="19"/>
                <w:lang w:val="en-US"/>
              </w:rPr>
              <w:t>Advanced n</w:t>
            </w:r>
            <w:r w:rsidRPr="00265441">
              <w:rPr>
                <w:rFonts w:cs="Arial"/>
                <w:szCs w:val="19"/>
                <w:lang w:val="en-US"/>
              </w:rPr>
              <w:t xml:space="preserve">on-small cell lung cancer with EGFR Exon 20 insertions </w:t>
            </w:r>
            <w:r>
              <w:rPr>
                <w:rFonts w:cs="Arial"/>
                <w:szCs w:val="19"/>
                <w:lang w:val="en-US"/>
              </w:rPr>
              <w:t>–</w:t>
            </w:r>
            <w:r w:rsidRPr="00265441">
              <w:rPr>
                <w:rFonts w:cs="Arial"/>
                <w:szCs w:val="19"/>
                <w:lang w:val="en-US"/>
              </w:rPr>
              <w:t xml:space="preserve"> first-line with carboplatin</w:t>
            </w:r>
            <w:r>
              <w:rPr>
                <w:rFonts w:cs="Arial"/>
                <w:szCs w:val="19"/>
                <w:lang w:val="en-US"/>
              </w:rPr>
              <w:t xml:space="preserve"> and </w:t>
            </w:r>
            <w:r w:rsidRPr="00265441">
              <w:rPr>
                <w:rFonts w:cs="Arial"/>
                <w:szCs w:val="19"/>
                <w:lang w:val="en-US"/>
              </w:rPr>
              <w:t>pemetrexed chemotherapy</w:t>
            </w:r>
            <w:r>
              <w:rPr>
                <w:rFonts w:cs="Arial"/>
                <w:szCs w:val="19"/>
                <w:lang w:val="en-US"/>
              </w:rPr>
              <w:t xml:space="preserve"> </w:t>
            </w:r>
            <w:r w:rsidRPr="008E66F4">
              <w:rPr>
                <w:rFonts w:cs="Arial"/>
                <w:sz w:val="16"/>
                <w:szCs w:val="16"/>
                <w:lang w:val="en-US"/>
              </w:rPr>
              <w:t>[</w:t>
            </w:r>
            <w:r>
              <w:rPr>
                <w:rFonts w:cs="Arial"/>
                <w:sz w:val="16"/>
                <w:szCs w:val="16"/>
                <w:lang w:val="en-US"/>
              </w:rPr>
              <w:t>UK</w:t>
            </w:r>
            <w:r w:rsidRPr="008E66F4">
              <w:rPr>
                <w:rFonts w:cs="Arial"/>
                <w:sz w:val="16"/>
                <w:szCs w:val="16"/>
                <w:lang w:val="en-US"/>
              </w:rPr>
              <w:t>]</w:t>
            </w:r>
            <w:r>
              <w:rPr>
                <w:rFonts w:cs="Arial"/>
                <w:sz w:val="16"/>
                <w:szCs w:val="16"/>
                <w:lang w:val="en-US"/>
              </w:rPr>
              <w:t xml:space="preserve"> [new indication]</w:t>
            </w:r>
          </w:p>
        </w:tc>
      </w:tr>
      <w:tr w:rsidR="006D2C7D" w:rsidRPr="00A075A3" w14:paraId="67CCC65C" w14:textId="77777777" w:rsidTr="004F5FDB">
        <w:tc>
          <w:tcPr>
            <w:tcW w:w="1225" w:type="pct"/>
            <w:gridSpan w:val="2"/>
            <w:shd w:val="clear" w:color="auto" w:fill="auto"/>
            <w:tcMar>
              <w:top w:w="57" w:type="dxa"/>
              <w:bottom w:w="57" w:type="dxa"/>
            </w:tcMar>
          </w:tcPr>
          <w:p w14:paraId="0A051A02" w14:textId="77777777" w:rsidR="006D2C7D" w:rsidRPr="004628C0" w:rsidRDefault="006D2C7D" w:rsidP="006D2C7D">
            <w:pPr>
              <w:rPr>
                <w:rFonts w:cs="Arial"/>
                <w:szCs w:val="19"/>
              </w:rPr>
            </w:pPr>
            <w:r w:rsidRPr="004628C0">
              <w:rPr>
                <w:rFonts w:cs="Arial"/>
                <w:szCs w:val="19"/>
              </w:rPr>
              <w:t>Blinatumomab</w:t>
            </w:r>
            <w:r>
              <w:rPr>
                <w:rFonts w:cs="Arial"/>
                <w:szCs w:val="19"/>
              </w:rPr>
              <w:t xml:space="preserve"> (</w:t>
            </w:r>
            <w:r>
              <w:rPr>
                <w:rFonts w:cs="Arial"/>
                <w:i/>
                <w:iCs/>
                <w:szCs w:val="19"/>
              </w:rPr>
              <w:t>Blincyto</w:t>
            </w:r>
            <w:r>
              <w:rPr>
                <w:rFonts w:cs="Arial"/>
                <w:szCs w:val="19"/>
              </w:rPr>
              <w:t>)</w:t>
            </w:r>
          </w:p>
        </w:tc>
        <w:tc>
          <w:tcPr>
            <w:tcW w:w="3775" w:type="pct"/>
            <w:shd w:val="clear" w:color="auto" w:fill="auto"/>
            <w:tcMar>
              <w:top w:w="57" w:type="dxa"/>
              <w:bottom w:w="57" w:type="dxa"/>
            </w:tcMar>
          </w:tcPr>
          <w:p w14:paraId="00C384DD" w14:textId="77777777" w:rsidR="006D2C7D" w:rsidRPr="002D0644" w:rsidRDefault="006D2C7D" w:rsidP="006D2C7D">
            <w:pPr>
              <w:tabs>
                <w:tab w:val="center" w:pos="3152"/>
              </w:tabs>
              <w:rPr>
                <w:rFonts w:cs="Arial"/>
                <w:szCs w:val="19"/>
                <w:lang w:val="en-US"/>
              </w:rPr>
            </w:pPr>
            <w:r w:rsidRPr="004628C0">
              <w:rPr>
                <w:rFonts w:cs="Arial"/>
                <w:szCs w:val="19"/>
                <w:lang w:val="en-US"/>
              </w:rPr>
              <w:t xml:space="preserve">Treatment as part of consolidation therapy </w:t>
            </w:r>
            <w:r>
              <w:rPr>
                <w:rFonts w:cs="Arial"/>
                <w:szCs w:val="19"/>
                <w:lang w:val="en-US"/>
              </w:rPr>
              <w:t xml:space="preserve">of </w:t>
            </w:r>
            <w:r w:rsidRPr="004628C0">
              <w:rPr>
                <w:rFonts w:cs="Arial"/>
                <w:szCs w:val="19"/>
                <w:lang w:val="en-US"/>
              </w:rPr>
              <w:t xml:space="preserve">patients with Philadelphia chromosome negative CD19 positive B-cell precursor </w:t>
            </w:r>
            <w:r>
              <w:rPr>
                <w:rFonts w:cs="Arial"/>
                <w:szCs w:val="19"/>
                <w:lang w:val="en-US"/>
              </w:rPr>
              <w:t xml:space="preserve">acute lymphoblastic leukaemia </w:t>
            </w:r>
            <w:r w:rsidRPr="004628C0">
              <w:rPr>
                <w:rFonts w:cs="Arial"/>
                <w:sz w:val="16"/>
                <w:szCs w:val="16"/>
                <w:lang w:val="en-US"/>
              </w:rPr>
              <w:t>[EU] [new indication]</w:t>
            </w:r>
          </w:p>
        </w:tc>
      </w:tr>
      <w:tr w:rsidR="006D2C7D" w:rsidRPr="00A075A3" w14:paraId="410F3C1F" w14:textId="77777777" w:rsidTr="004F5FDB">
        <w:tc>
          <w:tcPr>
            <w:tcW w:w="1225" w:type="pct"/>
            <w:gridSpan w:val="2"/>
            <w:shd w:val="clear" w:color="auto" w:fill="auto"/>
            <w:tcMar>
              <w:top w:w="57" w:type="dxa"/>
              <w:bottom w:w="57" w:type="dxa"/>
            </w:tcMar>
          </w:tcPr>
          <w:p w14:paraId="35E29A7B" w14:textId="77777777" w:rsidR="006D2C7D" w:rsidRDefault="006D2C7D" w:rsidP="006D2C7D">
            <w:pPr>
              <w:rPr>
                <w:rFonts w:cs="Arial"/>
                <w:szCs w:val="19"/>
              </w:rPr>
            </w:pPr>
            <w:r w:rsidRPr="00781702">
              <w:rPr>
                <w:rFonts w:cs="Arial"/>
                <w:szCs w:val="19"/>
              </w:rPr>
              <w:t>Casirivimab + imdevimab </w:t>
            </w:r>
          </w:p>
          <w:p w14:paraId="514D2491" w14:textId="77777777" w:rsidR="006D2C7D" w:rsidRPr="00781702" w:rsidRDefault="006D2C7D" w:rsidP="006D2C7D">
            <w:pPr>
              <w:rPr>
                <w:rFonts w:cs="Arial"/>
                <w:szCs w:val="19"/>
              </w:rPr>
            </w:pPr>
            <w:r>
              <w:rPr>
                <w:rFonts w:cs="Arial"/>
                <w:szCs w:val="19"/>
              </w:rPr>
              <w:t>(</w:t>
            </w:r>
            <w:r>
              <w:rPr>
                <w:rFonts w:cs="Arial"/>
                <w:i/>
                <w:iCs/>
                <w:szCs w:val="19"/>
              </w:rPr>
              <w:t>Ronapreve</w:t>
            </w:r>
            <w:r>
              <w:rPr>
                <w:rFonts w:cs="Arial"/>
                <w:szCs w:val="19"/>
              </w:rPr>
              <w:t>)</w:t>
            </w:r>
          </w:p>
        </w:tc>
        <w:tc>
          <w:tcPr>
            <w:tcW w:w="3775" w:type="pct"/>
            <w:shd w:val="clear" w:color="auto" w:fill="auto"/>
            <w:tcMar>
              <w:top w:w="57" w:type="dxa"/>
              <w:bottom w:w="57" w:type="dxa"/>
            </w:tcMar>
          </w:tcPr>
          <w:p w14:paraId="1780BE3F" w14:textId="77777777" w:rsidR="006D2C7D" w:rsidRPr="002D0644" w:rsidRDefault="006D2C7D" w:rsidP="006D2C7D">
            <w:pPr>
              <w:tabs>
                <w:tab w:val="center" w:pos="3152"/>
              </w:tabs>
              <w:rPr>
                <w:rFonts w:cs="Arial"/>
                <w:szCs w:val="19"/>
                <w:lang w:val="en-US"/>
              </w:rPr>
            </w:pPr>
            <w:r w:rsidRPr="00781702">
              <w:rPr>
                <w:rFonts w:cs="Arial"/>
                <w:szCs w:val="19"/>
                <w:lang w:val="en-US"/>
              </w:rPr>
              <w:t xml:space="preserve">Treatment of paediatric patients </w:t>
            </w:r>
            <w:r>
              <w:rPr>
                <w:rFonts w:cs="Arial"/>
                <w:szCs w:val="19"/>
                <w:lang w:val="en-US"/>
              </w:rPr>
              <w:t>aged</w:t>
            </w:r>
            <w:r w:rsidRPr="00781702">
              <w:rPr>
                <w:rFonts w:cs="Arial"/>
                <w:szCs w:val="19"/>
                <w:lang w:val="en-US"/>
              </w:rPr>
              <w:t xml:space="preserve"> 2 to </w:t>
            </w:r>
            <w:r>
              <w:rPr>
                <w:rFonts w:cs="Arial"/>
                <w:szCs w:val="19"/>
                <w:lang w:val="en-US"/>
              </w:rPr>
              <w:t>11 years</w:t>
            </w:r>
            <w:r w:rsidRPr="00781702">
              <w:rPr>
                <w:rFonts w:cs="Arial"/>
                <w:szCs w:val="19"/>
                <w:lang w:val="en-US"/>
              </w:rPr>
              <w:t xml:space="preserve">, weighing </w:t>
            </w:r>
            <w:r>
              <w:rPr>
                <w:rFonts w:cs="Arial"/>
                <w:szCs w:val="19"/>
                <w:lang w:val="en-US"/>
              </w:rPr>
              <w:t>≥</w:t>
            </w:r>
            <w:r w:rsidRPr="00781702">
              <w:rPr>
                <w:rFonts w:cs="Arial"/>
                <w:szCs w:val="19"/>
                <w:lang w:val="en-US"/>
              </w:rPr>
              <w:t>10kg, who do not require supplemental oxygen and who are at increased risk of progression to severe COVID-19</w:t>
            </w:r>
            <w:r>
              <w:rPr>
                <w:rFonts w:cs="Arial"/>
                <w:szCs w:val="19"/>
                <w:lang w:val="en-US"/>
              </w:rPr>
              <w:t xml:space="preserve"> </w:t>
            </w:r>
            <w:r w:rsidRPr="00781702">
              <w:rPr>
                <w:rFonts w:cs="Arial"/>
                <w:sz w:val="16"/>
                <w:szCs w:val="16"/>
                <w:lang w:val="en-US"/>
              </w:rPr>
              <w:t>[EU] [new indication]</w:t>
            </w:r>
          </w:p>
        </w:tc>
      </w:tr>
      <w:tr w:rsidR="006D2C7D" w:rsidRPr="00A075A3" w14:paraId="48DEF779" w14:textId="77777777" w:rsidTr="004F5FDB">
        <w:tc>
          <w:tcPr>
            <w:tcW w:w="1225" w:type="pct"/>
            <w:gridSpan w:val="2"/>
            <w:shd w:val="clear" w:color="auto" w:fill="auto"/>
            <w:tcMar>
              <w:top w:w="57" w:type="dxa"/>
              <w:bottom w:w="57" w:type="dxa"/>
            </w:tcMar>
          </w:tcPr>
          <w:p w14:paraId="008244D0" w14:textId="77777777" w:rsidR="006D2C7D" w:rsidRPr="002D0644" w:rsidRDefault="006D2C7D" w:rsidP="006D2C7D">
            <w:pPr>
              <w:rPr>
                <w:rFonts w:cs="Arial"/>
                <w:szCs w:val="19"/>
              </w:rPr>
            </w:pPr>
            <w:r w:rsidRPr="002D0644">
              <w:rPr>
                <w:rFonts w:cs="Arial"/>
                <w:szCs w:val="19"/>
              </w:rPr>
              <w:t>Cedazuridine + decitabine </w:t>
            </w:r>
            <w:r>
              <w:rPr>
                <w:rFonts w:cs="Arial"/>
                <w:szCs w:val="19"/>
              </w:rPr>
              <w:t>(</w:t>
            </w:r>
            <w:r>
              <w:rPr>
                <w:rFonts w:cs="Arial"/>
                <w:i/>
                <w:iCs/>
                <w:szCs w:val="19"/>
              </w:rPr>
              <w:t>Inaqovi</w:t>
            </w:r>
            <w:r>
              <w:rPr>
                <w:rFonts w:cs="Arial"/>
                <w:szCs w:val="19"/>
              </w:rPr>
              <w:t>)</w:t>
            </w:r>
          </w:p>
        </w:tc>
        <w:tc>
          <w:tcPr>
            <w:tcW w:w="3775" w:type="pct"/>
            <w:shd w:val="clear" w:color="auto" w:fill="auto"/>
            <w:tcMar>
              <w:top w:w="57" w:type="dxa"/>
              <w:bottom w:w="57" w:type="dxa"/>
            </w:tcMar>
          </w:tcPr>
          <w:p w14:paraId="209680FC" w14:textId="77777777" w:rsidR="006D2C7D" w:rsidRPr="00BD190C" w:rsidRDefault="006D2C7D" w:rsidP="006D2C7D">
            <w:pPr>
              <w:tabs>
                <w:tab w:val="center" w:pos="3152"/>
              </w:tabs>
              <w:rPr>
                <w:rFonts w:cs="Arial"/>
                <w:szCs w:val="19"/>
                <w:lang w:val="en-US"/>
              </w:rPr>
            </w:pPr>
            <w:r w:rsidRPr="002D0644">
              <w:rPr>
                <w:rFonts w:cs="Arial"/>
                <w:szCs w:val="19"/>
                <w:lang w:val="en-US"/>
              </w:rPr>
              <w:t>Treatment of adults with myelodysplastic syndromes and treatment of adults with chronic myelomonocytic leukaemia</w:t>
            </w:r>
            <w:r>
              <w:rPr>
                <w:rFonts w:cs="Arial"/>
                <w:szCs w:val="19"/>
                <w:lang w:val="en-US"/>
              </w:rPr>
              <w:t xml:space="preserve"> </w:t>
            </w:r>
            <w:r w:rsidRPr="00590A88">
              <w:rPr>
                <w:rFonts w:cs="Arial"/>
                <w:sz w:val="16"/>
                <w:szCs w:val="16"/>
                <w:lang w:val="en-US"/>
              </w:rPr>
              <w:t>[EU]</w:t>
            </w:r>
            <w:r>
              <w:rPr>
                <w:rFonts w:cs="Arial"/>
                <w:sz w:val="16"/>
                <w:szCs w:val="16"/>
                <w:lang w:val="en-US"/>
              </w:rPr>
              <w:t xml:space="preserve"> [new indication]</w:t>
            </w:r>
          </w:p>
        </w:tc>
      </w:tr>
      <w:tr w:rsidR="006D2C7D" w:rsidRPr="00A075A3" w14:paraId="0877AE38" w14:textId="77777777" w:rsidTr="004F5FDB">
        <w:tc>
          <w:tcPr>
            <w:tcW w:w="1225" w:type="pct"/>
            <w:gridSpan w:val="2"/>
            <w:shd w:val="clear" w:color="auto" w:fill="auto"/>
            <w:tcMar>
              <w:top w:w="57" w:type="dxa"/>
              <w:bottom w:w="57" w:type="dxa"/>
            </w:tcMar>
          </w:tcPr>
          <w:p w14:paraId="2CC8BD94" w14:textId="77777777" w:rsidR="006D2C7D" w:rsidRPr="00C15D99" w:rsidRDefault="006D2C7D" w:rsidP="006D2C7D">
            <w:pPr>
              <w:rPr>
                <w:rFonts w:cs="Arial"/>
                <w:szCs w:val="19"/>
              </w:rPr>
            </w:pPr>
            <w:r w:rsidRPr="00FC27F7">
              <w:rPr>
                <w:rFonts w:cs="Arial"/>
                <w:szCs w:val="19"/>
              </w:rPr>
              <w:t>Ceftazidime + avibactam </w:t>
            </w:r>
            <w:r>
              <w:rPr>
                <w:rFonts w:cs="Arial"/>
                <w:szCs w:val="19"/>
              </w:rPr>
              <w:t>(</w:t>
            </w:r>
            <w:r w:rsidRPr="00FC27F7">
              <w:rPr>
                <w:rFonts w:cs="Arial"/>
                <w:i/>
                <w:iCs/>
                <w:szCs w:val="19"/>
              </w:rPr>
              <w:t>Zavicefta</w:t>
            </w:r>
            <w:r>
              <w:rPr>
                <w:rFonts w:cs="Arial"/>
                <w:szCs w:val="19"/>
              </w:rPr>
              <w:t>)</w:t>
            </w:r>
          </w:p>
        </w:tc>
        <w:tc>
          <w:tcPr>
            <w:tcW w:w="3775" w:type="pct"/>
            <w:shd w:val="clear" w:color="auto" w:fill="auto"/>
            <w:tcMar>
              <w:top w:w="57" w:type="dxa"/>
              <w:bottom w:w="57" w:type="dxa"/>
            </w:tcMar>
          </w:tcPr>
          <w:p w14:paraId="2C1DA60B" w14:textId="77777777" w:rsidR="006D2C7D" w:rsidRPr="00BD190C" w:rsidRDefault="006D2C7D" w:rsidP="006D2C7D">
            <w:pPr>
              <w:tabs>
                <w:tab w:val="center" w:pos="3152"/>
              </w:tabs>
              <w:rPr>
                <w:rFonts w:cs="Arial"/>
                <w:szCs w:val="19"/>
                <w:lang w:val="en-US"/>
              </w:rPr>
            </w:pPr>
            <w:r w:rsidRPr="004E5E22">
              <w:rPr>
                <w:rFonts w:cs="Arial"/>
                <w:szCs w:val="19"/>
                <w:lang w:val="en-US"/>
              </w:rPr>
              <w:t xml:space="preserve">Treatment of </w:t>
            </w:r>
            <w:r>
              <w:rPr>
                <w:rFonts w:cs="Arial"/>
                <w:szCs w:val="19"/>
                <w:lang w:val="en-US"/>
              </w:rPr>
              <w:t xml:space="preserve">adults and </w:t>
            </w:r>
            <w:r w:rsidRPr="004E5E22">
              <w:rPr>
                <w:rFonts w:cs="Arial"/>
                <w:szCs w:val="19"/>
                <w:lang w:val="en-US"/>
              </w:rPr>
              <w:t>paediatric patients from birth in the following infections: complicated intraabdominal infection, complicated urinary tract infection, including pyelonephritis, hospital-acquired pneumonia, including ventilator associated pneumonia</w:t>
            </w:r>
            <w:r>
              <w:rPr>
                <w:rFonts w:cs="Arial"/>
                <w:szCs w:val="19"/>
                <w:lang w:val="en-US"/>
              </w:rPr>
              <w:t xml:space="preserve">, </w:t>
            </w:r>
            <w:r w:rsidRPr="004E5E22">
              <w:rPr>
                <w:rFonts w:cs="Arial"/>
                <w:szCs w:val="19"/>
                <w:lang w:val="en-US"/>
              </w:rPr>
              <w:t>and in the treatment of infections due to aerobic Gram-negative organisms in patients with limited treatment options</w:t>
            </w:r>
            <w:r>
              <w:rPr>
                <w:rFonts w:cs="Arial"/>
                <w:szCs w:val="19"/>
                <w:lang w:val="en-US"/>
              </w:rPr>
              <w:t xml:space="preserve"> </w:t>
            </w:r>
            <w:r w:rsidRPr="004E5E22">
              <w:rPr>
                <w:rFonts w:cs="Arial"/>
                <w:sz w:val="16"/>
                <w:szCs w:val="16"/>
                <w:lang w:val="en-US"/>
              </w:rPr>
              <w:t xml:space="preserve">[EU] [licence change from use only in </w:t>
            </w:r>
            <w:r>
              <w:rPr>
                <w:rFonts w:cs="Arial"/>
                <w:sz w:val="16"/>
                <w:szCs w:val="16"/>
                <w:lang w:val="en-US"/>
              </w:rPr>
              <w:t>adults and paediatric patients</w:t>
            </w:r>
            <w:r w:rsidRPr="004E5E22">
              <w:rPr>
                <w:rFonts w:cs="Arial"/>
                <w:sz w:val="16"/>
                <w:szCs w:val="16"/>
                <w:lang w:val="en-US"/>
              </w:rPr>
              <w:t xml:space="preserve"> aged ≥3 months]</w:t>
            </w:r>
          </w:p>
        </w:tc>
      </w:tr>
      <w:tr w:rsidR="006D2C7D" w:rsidRPr="00A075A3" w14:paraId="58E93B49" w14:textId="77777777" w:rsidTr="004F5FDB">
        <w:tc>
          <w:tcPr>
            <w:tcW w:w="1225" w:type="pct"/>
            <w:gridSpan w:val="2"/>
            <w:shd w:val="clear" w:color="auto" w:fill="auto"/>
            <w:tcMar>
              <w:top w:w="57" w:type="dxa"/>
              <w:bottom w:w="57" w:type="dxa"/>
            </w:tcMar>
          </w:tcPr>
          <w:p w14:paraId="726352FD" w14:textId="77777777" w:rsidR="006D2C7D" w:rsidRPr="0086672E" w:rsidRDefault="006D2C7D" w:rsidP="006D2C7D">
            <w:pPr>
              <w:rPr>
                <w:rFonts w:cs="Arial"/>
                <w:szCs w:val="19"/>
              </w:rPr>
            </w:pPr>
            <w:r w:rsidRPr="0086672E">
              <w:rPr>
                <w:rFonts w:cs="Arial"/>
                <w:szCs w:val="19"/>
              </w:rPr>
              <w:t>Daratumumab</w:t>
            </w:r>
            <w:r>
              <w:rPr>
                <w:rFonts w:cs="Arial"/>
                <w:szCs w:val="19"/>
              </w:rPr>
              <w:t xml:space="preserve"> (</w:t>
            </w:r>
            <w:r>
              <w:rPr>
                <w:rFonts w:cs="Arial"/>
                <w:i/>
                <w:iCs/>
                <w:szCs w:val="19"/>
              </w:rPr>
              <w:t>Darzalex</w:t>
            </w:r>
            <w:r>
              <w:rPr>
                <w:rFonts w:cs="Arial"/>
                <w:szCs w:val="19"/>
              </w:rPr>
              <w:t>)</w:t>
            </w:r>
          </w:p>
        </w:tc>
        <w:tc>
          <w:tcPr>
            <w:tcW w:w="3775" w:type="pct"/>
            <w:shd w:val="clear" w:color="auto" w:fill="auto"/>
            <w:tcMar>
              <w:top w:w="57" w:type="dxa"/>
              <w:bottom w:w="57" w:type="dxa"/>
            </w:tcMar>
          </w:tcPr>
          <w:p w14:paraId="67739A09" w14:textId="77777777" w:rsidR="006D2C7D" w:rsidRPr="00BD190C" w:rsidRDefault="006D2C7D" w:rsidP="006D2C7D">
            <w:pPr>
              <w:tabs>
                <w:tab w:val="center" w:pos="3152"/>
              </w:tabs>
              <w:rPr>
                <w:rFonts w:cs="Arial"/>
                <w:szCs w:val="19"/>
                <w:lang w:val="en-US"/>
              </w:rPr>
            </w:pPr>
            <w:r>
              <w:rPr>
                <w:rFonts w:cs="Arial"/>
                <w:szCs w:val="19"/>
                <w:lang w:val="en-US"/>
              </w:rPr>
              <w:t xml:space="preserve">Use </w:t>
            </w:r>
            <w:r w:rsidRPr="0086672E">
              <w:rPr>
                <w:rFonts w:cs="Arial"/>
                <w:szCs w:val="19"/>
                <w:lang w:val="en-US"/>
              </w:rPr>
              <w:t>in combination with bortezomib, lenalidomide and dexamethasone</w:t>
            </w:r>
            <w:r>
              <w:rPr>
                <w:rFonts w:cs="Arial"/>
                <w:szCs w:val="19"/>
                <w:lang w:val="en-US"/>
              </w:rPr>
              <w:t xml:space="preserve"> </w:t>
            </w:r>
            <w:r w:rsidRPr="0086672E">
              <w:rPr>
                <w:rFonts w:cs="Arial"/>
                <w:szCs w:val="19"/>
                <w:lang w:val="en-US"/>
              </w:rPr>
              <w:t>for the treatment of adults with newly diagnosed multiple myeloma who are eligible for autologous stem cell transplant</w:t>
            </w:r>
            <w:r>
              <w:rPr>
                <w:rFonts w:cs="Arial"/>
                <w:szCs w:val="19"/>
                <w:lang w:val="en-US"/>
              </w:rPr>
              <w:t xml:space="preserve"> </w:t>
            </w:r>
            <w:r w:rsidRPr="0086672E">
              <w:rPr>
                <w:rFonts w:cs="Arial"/>
                <w:sz w:val="16"/>
                <w:szCs w:val="16"/>
                <w:lang w:val="en-US"/>
              </w:rPr>
              <w:t>[EU] [new indication</w:t>
            </w:r>
            <w:r>
              <w:rPr>
                <w:rFonts w:cs="Arial"/>
                <w:sz w:val="16"/>
                <w:szCs w:val="16"/>
                <w:lang w:val="en-US"/>
              </w:rPr>
              <w:t xml:space="preserve"> for subcutaneous formulation</w:t>
            </w:r>
            <w:r w:rsidRPr="0086672E">
              <w:rPr>
                <w:rFonts w:cs="Arial"/>
                <w:sz w:val="16"/>
                <w:szCs w:val="16"/>
                <w:lang w:val="en-US"/>
              </w:rPr>
              <w:t>]</w:t>
            </w:r>
          </w:p>
        </w:tc>
      </w:tr>
      <w:tr w:rsidR="006D2C7D" w:rsidRPr="00A075A3" w14:paraId="6E09912A" w14:textId="77777777" w:rsidTr="004F5FDB">
        <w:tc>
          <w:tcPr>
            <w:tcW w:w="1225" w:type="pct"/>
            <w:gridSpan w:val="2"/>
            <w:shd w:val="clear" w:color="auto" w:fill="auto"/>
            <w:tcMar>
              <w:top w:w="57" w:type="dxa"/>
              <w:bottom w:w="57" w:type="dxa"/>
            </w:tcMar>
          </w:tcPr>
          <w:p w14:paraId="06944E91" w14:textId="77777777" w:rsidR="006D2C7D" w:rsidRPr="00C466BC" w:rsidRDefault="006D2C7D" w:rsidP="006D2C7D">
            <w:pPr>
              <w:rPr>
                <w:rFonts w:cs="Arial"/>
                <w:szCs w:val="19"/>
              </w:rPr>
            </w:pPr>
            <w:r w:rsidRPr="00C15D99">
              <w:rPr>
                <w:rFonts w:cs="Arial"/>
                <w:szCs w:val="19"/>
              </w:rPr>
              <w:t>Datopotamab deruxtecan</w:t>
            </w:r>
          </w:p>
        </w:tc>
        <w:tc>
          <w:tcPr>
            <w:tcW w:w="3775" w:type="pct"/>
            <w:shd w:val="clear" w:color="auto" w:fill="auto"/>
            <w:tcMar>
              <w:top w:w="57" w:type="dxa"/>
              <w:bottom w:w="57" w:type="dxa"/>
            </w:tcMar>
          </w:tcPr>
          <w:p w14:paraId="0296CB80" w14:textId="77777777" w:rsidR="006D2C7D" w:rsidRPr="00A075A3" w:rsidRDefault="006D2C7D" w:rsidP="006D2C7D">
            <w:pPr>
              <w:tabs>
                <w:tab w:val="center" w:pos="3152"/>
              </w:tabs>
              <w:rPr>
                <w:rFonts w:cs="Arial"/>
                <w:szCs w:val="19"/>
                <w:lang w:val="en-US"/>
              </w:rPr>
            </w:pPr>
            <w:r w:rsidRPr="00BD190C">
              <w:rPr>
                <w:rFonts w:cs="Arial"/>
                <w:szCs w:val="19"/>
                <w:lang w:val="en-US"/>
              </w:rPr>
              <w:t>Treatment of adults with locally advanced or metastatic non</w:t>
            </w:r>
            <w:r>
              <w:rPr>
                <w:rFonts w:cs="Arial"/>
                <w:szCs w:val="19"/>
                <w:lang w:val="en-US"/>
              </w:rPr>
              <w:t>-</w:t>
            </w:r>
            <w:r w:rsidRPr="00BD190C">
              <w:rPr>
                <w:rFonts w:cs="Arial"/>
                <w:szCs w:val="19"/>
                <w:lang w:val="en-US"/>
              </w:rPr>
              <w:t xml:space="preserve">squamous </w:t>
            </w:r>
            <w:r>
              <w:rPr>
                <w:rFonts w:cs="Arial"/>
                <w:szCs w:val="19"/>
                <w:lang w:val="en-US"/>
              </w:rPr>
              <w:t>non-small cell lung cancer</w:t>
            </w:r>
            <w:r w:rsidRPr="00BD190C">
              <w:rPr>
                <w:rFonts w:cs="Arial"/>
                <w:szCs w:val="19"/>
                <w:lang w:val="en-US"/>
              </w:rPr>
              <w:t xml:space="preserve"> who require systemic therapy following prior treatment</w:t>
            </w:r>
            <w:r>
              <w:rPr>
                <w:rFonts w:cs="Arial"/>
                <w:szCs w:val="19"/>
                <w:lang w:val="en-US"/>
              </w:rPr>
              <w:t xml:space="preserve"> </w:t>
            </w:r>
            <w:r w:rsidRPr="00BD190C">
              <w:rPr>
                <w:rFonts w:cs="Arial"/>
                <w:sz w:val="16"/>
                <w:szCs w:val="16"/>
                <w:lang w:val="en-US"/>
              </w:rPr>
              <w:t>[EU]</w:t>
            </w:r>
          </w:p>
        </w:tc>
      </w:tr>
      <w:tr w:rsidR="006D2C7D" w:rsidRPr="00A075A3" w14:paraId="33BB0E00" w14:textId="77777777" w:rsidTr="004F5FDB">
        <w:tc>
          <w:tcPr>
            <w:tcW w:w="1225" w:type="pct"/>
            <w:gridSpan w:val="2"/>
            <w:shd w:val="clear" w:color="auto" w:fill="auto"/>
            <w:tcMar>
              <w:top w:w="57" w:type="dxa"/>
              <w:bottom w:w="57" w:type="dxa"/>
            </w:tcMar>
          </w:tcPr>
          <w:p w14:paraId="0012E3C9" w14:textId="77777777" w:rsidR="006D2C7D" w:rsidRPr="00896AE9" w:rsidRDefault="006D2C7D" w:rsidP="006D2C7D">
            <w:pPr>
              <w:rPr>
                <w:rFonts w:cs="Arial"/>
                <w:szCs w:val="19"/>
              </w:rPr>
            </w:pPr>
            <w:r w:rsidRPr="00C15D99">
              <w:rPr>
                <w:rFonts w:cs="Arial"/>
                <w:szCs w:val="19"/>
              </w:rPr>
              <w:t>Datopotamab deruxtecan</w:t>
            </w:r>
          </w:p>
        </w:tc>
        <w:tc>
          <w:tcPr>
            <w:tcW w:w="3775" w:type="pct"/>
            <w:shd w:val="clear" w:color="auto" w:fill="auto"/>
            <w:tcMar>
              <w:top w:w="57" w:type="dxa"/>
              <w:bottom w:w="57" w:type="dxa"/>
            </w:tcMar>
          </w:tcPr>
          <w:p w14:paraId="6FB9533C" w14:textId="77777777" w:rsidR="006D2C7D" w:rsidRPr="00A075A3" w:rsidRDefault="006D2C7D" w:rsidP="006D2C7D">
            <w:pPr>
              <w:tabs>
                <w:tab w:val="center" w:pos="3152"/>
              </w:tabs>
              <w:rPr>
                <w:rFonts w:cs="Arial"/>
                <w:szCs w:val="19"/>
                <w:lang w:val="en-US"/>
              </w:rPr>
            </w:pPr>
            <w:r w:rsidRPr="00C15D99">
              <w:rPr>
                <w:rFonts w:cs="Arial"/>
                <w:szCs w:val="19"/>
                <w:lang w:val="en-US"/>
              </w:rPr>
              <w:t>Treatment of adults with unresectable or metastatic hormone receptor-positive, HER2-negative (IHC 0, IHC 1+ or IHC 2+/ISH-) breast cancer who have progressed on and are not suitable for endocrine therapy and received at least one additional systemic therapy</w:t>
            </w:r>
            <w:r>
              <w:rPr>
                <w:rFonts w:cs="Arial"/>
                <w:szCs w:val="19"/>
                <w:lang w:val="en-US"/>
              </w:rPr>
              <w:t xml:space="preserve"> </w:t>
            </w:r>
            <w:r w:rsidRPr="00590A88">
              <w:rPr>
                <w:rFonts w:cs="Arial"/>
                <w:sz w:val="16"/>
                <w:szCs w:val="16"/>
                <w:lang w:val="en-US"/>
              </w:rPr>
              <w:t>[EU]</w:t>
            </w:r>
            <w:r>
              <w:rPr>
                <w:rFonts w:cs="Arial"/>
                <w:sz w:val="16"/>
                <w:szCs w:val="16"/>
                <w:lang w:val="en-US"/>
              </w:rPr>
              <w:t xml:space="preserve"> [new indication]</w:t>
            </w:r>
          </w:p>
        </w:tc>
      </w:tr>
      <w:tr w:rsidR="006D2C7D" w:rsidRPr="000F19E1" w14:paraId="728F7A56" w14:textId="77777777" w:rsidTr="004F5FDB">
        <w:tc>
          <w:tcPr>
            <w:tcW w:w="1225" w:type="pct"/>
            <w:gridSpan w:val="2"/>
            <w:shd w:val="clear" w:color="auto" w:fill="auto"/>
            <w:tcMar>
              <w:top w:w="0" w:type="dxa"/>
              <w:bottom w:w="0" w:type="dxa"/>
            </w:tcMar>
          </w:tcPr>
          <w:p w14:paraId="5BA11303" w14:textId="77777777" w:rsidR="006D2C7D" w:rsidRPr="000F19E1" w:rsidRDefault="006D2C7D" w:rsidP="006D2C7D">
            <w:pPr>
              <w:rPr>
                <w:rFonts w:cs="Arial"/>
                <w:bCs/>
                <w:sz w:val="8"/>
                <w:szCs w:val="8"/>
              </w:rPr>
            </w:pPr>
          </w:p>
        </w:tc>
        <w:tc>
          <w:tcPr>
            <w:tcW w:w="3775" w:type="pct"/>
            <w:shd w:val="clear" w:color="auto" w:fill="auto"/>
            <w:tcMar>
              <w:top w:w="0" w:type="dxa"/>
              <w:bottom w:w="0" w:type="dxa"/>
            </w:tcMar>
          </w:tcPr>
          <w:p w14:paraId="4D633906" w14:textId="77777777" w:rsidR="006D2C7D" w:rsidRPr="000F19E1" w:rsidRDefault="006D2C7D" w:rsidP="006D2C7D">
            <w:pPr>
              <w:tabs>
                <w:tab w:val="center" w:pos="3152"/>
              </w:tabs>
              <w:rPr>
                <w:rFonts w:cs="Arial"/>
                <w:sz w:val="8"/>
                <w:szCs w:val="8"/>
                <w:lang w:val="en-US"/>
              </w:rPr>
            </w:pPr>
          </w:p>
        </w:tc>
      </w:tr>
      <w:tr w:rsidR="006D2C7D" w:rsidRPr="000F19E1" w14:paraId="3FB28AF7" w14:textId="77777777" w:rsidTr="004F5FDB">
        <w:tc>
          <w:tcPr>
            <w:tcW w:w="1152" w:type="pct"/>
            <w:shd w:val="clear" w:color="auto" w:fill="DAEEF3"/>
            <w:tcMar>
              <w:top w:w="0" w:type="dxa"/>
              <w:bottom w:w="0" w:type="dxa"/>
            </w:tcMar>
          </w:tcPr>
          <w:p w14:paraId="0555294F" w14:textId="77777777" w:rsidR="006D2C7D" w:rsidRPr="000F19E1" w:rsidRDefault="006D2C7D" w:rsidP="006D2C7D">
            <w:pPr>
              <w:rPr>
                <w:rFonts w:cs="Arial"/>
                <w:bCs/>
                <w:sz w:val="8"/>
                <w:szCs w:val="8"/>
              </w:rPr>
            </w:pPr>
          </w:p>
        </w:tc>
        <w:tc>
          <w:tcPr>
            <w:tcW w:w="3848" w:type="pct"/>
            <w:gridSpan w:val="2"/>
            <w:shd w:val="clear" w:color="auto" w:fill="DAEEF3"/>
            <w:tcMar>
              <w:top w:w="0" w:type="dxa"/>
              <w:bottom w:w="0" w:type="dxa"/>
            </w:tcMar>
          </w:tcPr>
          <w:p w14:paraId="2F1E7D1D" w14:textId="77777777" w:rsidR="006D2C7D" w:rsidRPr="000F19E1" w:rsidRDefault="006D2C7D" w:rsidP="006D2C7D">
            <w:pPr>
              <w:tabs>
                <w:tab w:val="center" w:pos="3152"/>
              </w:tabs>
              <w:rPr>
                <w:rFonts w:cs="Arial"/>
                <w:sz w:val="8"/>
                <w:szCs w:val="8"/>
                <w:lang w:val="en-US"/>
              </w:rPr>
            </w:pPr>
          </w:p>
        </w:tc>
      </w:tr>
    </w:tbl>
    <w:p w14:paraId="2FB08562" w14:textId="77777777" w:rsidR="002545EA" w:rsidRDefault="002545EA">
      <w:r>
        <w:br w:type="page"/>
      </w:r>
    </w:p>
    <w:p w14:paraId="7311FB59" w14:textId="77777777" w:rsidR="00A75BCB" w:rsidRDefault="00A75BCB"/>
    <w:tbl>
      <w:tblPr>
        <w:tblW w:w="5170" w:type="pct"/>
        <w:tblInd w:w="-176" w:type="dxa"/>
        <w:tblLayout w:type="fixed"/>
        <w:tblLook w:val="01E0" w:firstRow="1" w:lastRow="1" w:firstColumn="1" w:lastColumn="1" w:noHBand="0" w:noVBand="0"/>
      </w:tblPr>
      <w:tblGrid>
        <w:gridCol w:w="2430"/>
        <w:gridCol w:w="298"/>
        <w:gridCol w:w="7823"/>
      </w:tblGrid>
      <w:tr w:rsidR="00734EBF" w:rsidRPr="00862949" w14:paraId="7F49FEB9" w14:textId="77777777" w:rsidTr="004F5FDB">
        <w:tc>
          <w:tcPr>
            <w:tcW w:w="5000" w:type="pct"/>
            <w:gridSpan w:val="3"/>
            <w:shd w:val="clear" w:color="auto" w:fill="0070C0"/>
            <w:tcMar>
              <w:top w:w="85" w:type="dxa"/>
              <w:bottom w:w="85" w:type="dxa"/>
            </w:tcMar>
            <w:vAlign w:val="bottom"/>
          </w:tcPr>
          <w:p w14:paraId="4C9806CF" w14:textId="77777777" w:rsidR="00734EBF" w:rsidRPr="00862949" w:rsidRDefault="00734EBF" w:rsidP="004F5FDB">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734EBF" w:rsidRPr="000F19E1" w14:paraId="6E2055EF" w14:textId="77777777" w:rsidTr="004F5FDB">
        <w:tc>
          <w:tcPr>
            <w:tcW w:w="1152" w:type="pct"/>
            <w:shd w:val="clear" w:color="auto" w:fill="DAEEF3"/>
            <w:tcMar>
              <w:top w:w="0" w:type="dxa"/>
              <w:bottom w:w="0" w:type="dxa"/>
            </w:tcMar>
          </w:tcPr>
          <w:p w14:paraId="54BE0301" w14:textId="77777777" w:rsidR="00734EBF" w:rsidRPr="000F19E1" w:rsidRDefault="00734EBF" w:rsidP="004F5FDB">
            <w:pPr>
              <w:rPr>
                <w:rFonts w:cs="Arial"/>
                <w:bCs/>
                <w:sz w:val="8"/>
                <w:szCs w:val="8"/>
              </w:rPr>
            </w:pPr>
          </w:p>
        </w:tc>
        <w:tc>
          <w:tcPr>
            <w:tcW w:w="3848" w:type="pct"/>
            <w:gridSpan w:val="2"/>
            <w:shd w:val="clear" w:color="auto" w:fill="DAEEF3"/>
            <w:tcMar>
              <w:top w:w="0" w:type="dxa"/>
              <w:bottom w:w="0" w:type="dxa"/>
            </w:tcMar>
          </w:tcPr>
          <w:p w14:paraId="18862AB0" w14:textId="77777777" w:rsidR="00734EBF" w:rsidRPr="000F19E1" w:rsidRDefault="00734EBF" w:rsidP="004F5FDB">
            <w:pPr>
              <w:tabs>
                <w:tab w:val="center" w:pos="3152"/>
              </w:tabs>
              <w:rPr>
                <w:rFonts w:cs="Arial"/>
                <w:sz w:val="8"/>
                <w:szCs w:val="8"/>
                <w:lang w:val="en-US"/>
              </w:rPr>
            </w:pPr>
          </w:p>
        </w:tc>
      </w:tr>
      <w:tr w:rsidR="00734EBF" w:rsidRPr="00433D3E" w14:paraId="03734B52" w14:textId="77777777" w:rsidTr="004F5FDB">
        <w:tc>
          <w:tcPr>
            <w:tcW w:w="5000" w:type="pct"/>
            <w:gridSpan w:val="3"/>
            <w:shd w:val="clear" w:color="auto" w:fill="00B050"/>
            <w:tcMar>
              <w:top w:w="57" w:type="dxa"/>
              <w:bottom w:w="57" w:type="dxa"/>
            </w:tcMar>
          </w:tcPr>
          <w:p w14:paraId="6637BDA5" w14:textId="4B63228C" w:rsidR="00734EBF" w:rsidRPr="00433D3E" w:rsidRDefault="00734EBF" w:rsidP="004F5FDB">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r w:rsidR="002545EA">
              <w:rPr>
                <w:rFonts w:cs="Arial"/>
                <w:b/>
                <w:bCs/>
                <w:i/>
                <w:iCs/>
                <w:color w:val="FFFFFF"/>
                <w:sz w:val="22"/>
                <w:szCs w:val="20"/>
                <w:lang w:val="en-US"/>
              </w:rPr>
              <w:t xml:space="preserve"> </w:t>
            </w:r>
            <w:r w:rsidR="002545EA" w:rsidRPr="002545EA">
              <w:rPr>
                <w:rFonts w:cs="Arial"/>
                <w:b/>
                <w:bCs/>
                <w:color w:val="FFFFFF"/>
                <w:sz w:val="16"/>
                <w:szCs w:val="14"/>
                <w:lang w:val="en-US"/>
              </w:rPr>
              <w:t>(continued)</w:t>
            </w:r>
          </w:p>
        </w:tc>
      </w:tr>
      <w:tr w:rsidR="00F07474" w:rsidRPr="00A075A3" w14:paraId="79C9163D" w14:textId="77777777" w:rsidTr="002545EA">
        <w:tc>
          <w:tcPr>
            <w:tcW w:w="1293" w:type="pct"/>
            <w:gridSpan w:val="2"/>
            <w:shd w:val="clear" w:color="auto" w:fill="auto"/>
            <w:tcMar>
              <w:top w:w="57" w:type="dxa"/>
              <w:bottom w:w="57" w:type="dxa"/>
            </w:tcMar>
          </w:tcPr>
          <w:p w14:paraId="3809DC36" w14:textId="6549FDF8" w:rsidR="00F07474" w:rsidRPr="00F07474" w:rsidRDefault="00F07474" w:rsidP="004F5FDB">
            <w:pPr>
              <w:rPr>
                <w:rFonts w:cs="Arial"/>
                <w:szCs w:val="19"/>
              </w:rPr>
            </w:pPr>
            <w:r>
              <w:rPr>
                <w:rFonts w:cs="Arial"/>
                <w:szCs w:val="19"/>
              </w:rPr>
              <w:t>Dupilumab (</w:t>
            </w:r>
            <w:r>
              <w:rPr>
                <w:rFonts w:cs="Arial"/>
                <w:i/>
                <w:iCs/>
                <w:szCs w:val="19"/>
              </w:rPr>
              <w:t>Dupixent</w:t>
            </w:r>
            <w:r>
              <w:rPr>
                <w:rFonts w:cs="Arial"/>
                <w:szCs w:val="19"/>
              </w:rPr>
              <w:t>)</w:t>
            </w:r>
          </w:p>
        </w:tc>
        <w:tc>
          <w:tcPr>
            <w:tcW w:w="3707" w:type="pct"/>
            <w:shd w:val="clear" w:color="auto" w:fill="auto"/>
            <w:tcMar>
              <w:top w:w="57" w:type="dxa"/>
              <w:bottom w:w="57" w:type="dxa"/>
            </w:tcMar>
          </w:tcPr>
          <w:p w14:paraId="6D51E4F2" w14:textId="624FB593" w:rsidR="00F07474" w:rsidRPr="002A7902" w:rsidRDefault="00F07474" w:rsidP="004F5FDB">
            <w:pPr>
              <w:tabs>
                <w:tab w:val="center" w:pos="3152"/>
              </w:tabs>
              <w:rPr>
                <w:rFonts w:cs="Arial"/>
                <w:szCs w:val="19"/>
                <w:lang w:val="en-US"/>
              </w:rPr>
            </w:pPr>
            <w:r w:rsidRPr="00F07474">
              <w:rPr>
                <w:rFonts w:cs="Arial"/>
                <w:szCs w:val="19"/>
                <w:lang w:val="en-US"/>
              </w:rPr>
              <w:t xml:space="preserve">Treatment of moderate to severe chronic spontaneous urticaria in adults and adolescents </w:t>
            </w:r>
            <w:r>
              <w:rPr>
                <w:rFonts w:cs="Arial"/>
                <w:szCs w:val="19"/>
                <w:lang w:val="en-US"/>
              </w:rPr>
              <w:t>aged ≥</w:t>
            </w:r>
            <w:r w:rsidRPr="00F07474">
              <w:rPr>
                <w:rFonts w:cs="Arial"/>
                <w:szCs w:val="19"/>
                <w:lang w:val="en-US"/>
              </w:rPr>
              <w:t>12 years, who are symptomatic despite treatment with H1 antihistamines and who are intolerant to or inadequately controlled by anti-IgE therapy</w:t>
            </w:r>
            <w:r>
              <w:rPr>
                <w:rFonts w:cs="Arial"/>
                <w:szCs w:val="19"/>
                <w:lang w:val="en-US"/>
              </w:rPr>
              <w:t xml:space="preserve"> </w:t>
            </w:r>
            <w:r w:rsidRPr="00697BDA">
              <w:rPr>
                <w:rFonts w:cs="Arial"/>
                <w:sz w:val="16"/>
                <w:szCs w:val="16"/>
                <w:lang w:val="en-US"/>
              </w:rPr>
              <w:t>[</w:t>
            </w:r>
            <w:r>
              <w:rPr>
                <w:rFonts w:cs="Arial"/>
                <w:sz w:val="16"/>
                <w:szCs w:val="16"/>
                <w:lang w:val="en-US"/>
              </w:rPr>
              <w:t>EU] [</w:t>
            </w:r>
            <w:r w:rsidRPr="002A7902">
              <w:rPr>
                <w:rFonts w:cs="Arial"/>
                <w:sz w:val="16"/>
                <w:szCs w:val="16"/>
                <w:lang w:val="en-US"/>
              </w:rPr>
              <w:t>new indication]</w:t>
            </w:r>
          </w:p>
        </w:tc>
      </w:tr>
      <w:tr w:rsidR="00734EBF" w:rsidRPr="00A075A3" w14:paraId="3390645F" w14:textId="77777777" w:rsidTr="002545EA">
        <w:tc>
          <w:tcPr>
            <w:tcW w:w="1293" w:type="pct"/>
            <w:gridSpan w:val="2"/>
            <w:shd w:val="clear" w:color="auto" w:fill="auto"/>
            <w:tcMar>
              <w:top w:w="57" w:type="dxa"/>
              <w:bottom w:w="57" w:type="dxa"/>
            </w:tcMar>
          </w:tcPr>
          <w:p w14:paraId="3AD73642" w14:textId="77777777" w:rsidR="00734EBF" w:rsidRPr="00896AE9" w:rsidRDefault="00734EBF" w:rsidP="004F5FDB">
            <w:pPr>
              <w:rPr>
                <w:rFonts w:cs="Arial"/>
                <w:szCs w:val="19"/>
              </w:rPr>
            </w:pPr>
            <w:r w:rsidRPr="002D2256">
              <w:rPr>
                <w:rFonts w:cs="Arial"/>
                <w:szCs w:val="19"/>
              </w:rPr>
              <w:t>Eculizumab biosimilar (</w:t>
            </w:r>
            <w:r w:rsidRPr="002D2256">
              <w:rPr>
                <w:rFonts w:cs="Arial"/>
                <w:i/>
                <w:iCs/>
                <w:szCs w:val="19"/>
              </w:rPr>
              <w:t>Epysqli</w:t>
            </w:r>
            <w:r w:rsidRPr="002D2256">
              <w:rPr>
                <w:rFonts w:cs="Arial"/>
                <w:szCs w:val="19"/>
              </w:rPr>
              <w:t>) </w:t>
            </w:r>
          </w:p>
        </w:tc>
        <w:tc>
          <w:tcPr>
            <w:tcW w:w="3707" w:type="pct"/>
            <w:shd w:val="clear" w:color="auto" w:fill="auto"/>
            <w:tcMar>
              <w:top w:w="57" w:type="dxa"/>
              <w:bottom w:w="57" w:type="dxa"/>
            </w:tcMar>
          </w:tcPr>
          <w:p w14:paraId="6D49640E" w14:textId="77777777" w:rsidR="00734EBF" w:rsidRPr="00A075A3" w:rsidRDefault="00734EBF" w:rsidP="004F5FDB">
            <w:pPr>
              <w:tabs>
                <w:tab w:val="center" w:pos="3152"/>
              </w:tabs>
              <w:rPr>
                <w:rFonts w:cs="Arial"/>
                <w:szCs w:val="19"/>
                <w:lang w:val="en-US"/>
              </w:rPr>
            </w:pPr>
            <w:r w:rsidRPr="002A7902">
              <w:rPr>
                <w:rFonts w:cs="Arial"/>
                <w:szCs w:val="19"/>
                <w:lang w:val="en-US"/>
              </w:rPr>
              <w:t>Use in adults and children for the treatment of atypical haemolytic uraemic syndrome</w:t>
            </w:r>
            <w:r>
              <w:rPr>
                <w:rFonts w:cs="Arial"/>
                <w:szCs w:val="19"/>
                <w:lang w:val="en-US"/>
              </w:rPr>
              <w:t xml:space="preserve"> </w:t>
            </w:r>
            <w:r w:rsidRPr="00697BDA">
              <w:rPr>
                <w:rFonts w:cs="Arial"/>
                <w:sz w:val="16"/>
                <w:szCs w:val="16"/>
                <w:lang w:val="en-US"/>
              </w:rPr>
              <w:t>[UK] [</w:t>
            </w:r>
            <w:r w:rsidRPr="002A7902">
              <w:rPr>
                <w:rFonts w:cs="Arial"/>
                <w:sz w:val="16"/>
                <w:szCs w:val="16"/>
                <w:lang w:val="en-US"/>
              </w:rPr>
              <w:t>new indication]</w:t>
            </w:r>
          </w:p>
        </w:tc>
      </w:tr>
      <w:tr w:rsidR="00734EBF" w:rsidRPr="00A075A3" w14:paraId="7EB23133" w14:textId="77777777" w:rsidTr="002545EA">
        <w:tc>
          <w:tcPr>
            <w:tcW w:w="1293" w:type="pct"/>
            <w:gridSpan w:val="2"/>
            <w:shd w:val="clear" w:color="auto" w:fill="auto"/>
            <w:tcMar>
              <w:top w:w="57" w:type="dxa"/>
              <w:bottom w:w="57" w:type="dxa"/>
            </w:tcMar>
          </w:tcPr>
          <w:p w14:paraId="456770F2" w14:textId="77777777" w:rsidR="00734EBF" w:rsidRPr="000010F8" w:rsidRDefault="00734EBF" w:rsidP="004F5FDB">
            <w:pPr>
              <w:rPr>
                <w:rFonts w:cs="Arial"/>
                <w:szCs w:val="19"/>
              </w:rPr>
            </w:pPr>
            <w:r w:rsidRPr="000010F8">
              <w:rPr>
                <w:rFonts w:cs="Arial"/>
                <w:szCs w:val="19"/>
              </w:rPr>
              <w:t>Enalapril</w:t>
            </w:r>
            <w:r>
              <w:rPr>
                <w:rFonts w:cs="Arial"/>
                <w:szCs w:val="19"/>
              </w:rPr>
              <w:t xml:space="preserve"> (</w:t>
            </w:r>
            <w:r>
              <w:rPr>
                <w:rFonts w:cs="Arial"/>
                <w:i/>
                <w:iCs/>
                <w:szCs w:val="19"/>
              </w:rPr>
              <w:t>Aqumeldi</w:t>
            </w:r>
            <w:r>
              <w:rPr>
                <w:rFonts w:cs="Arial"/>
                <w:szCs w:val="19"/>
              </w:rPr>
              <w:t>)</w:t>
            </w:r>
          </w:p>
        </w:tc>
        <w:tc>
          <w:tcPr>
            <w:tcW w:w="3707" w:type="pct"/>
            <w:shd w:val="clear" w:color="auto" w:fill="auto"/>
            <w:tcMar>
              <w:top w:w="57" w:type="dxa"/>
              <w:bottom w:w="57" w:type="dxa"/>
            </w:tcMar>
          </w:tcPr>
          <w:p w14:paraId="2C64C4FD" w14:textId="77777777" w:rsidR="00734EBF" w:rsidRDefault="00734EBF" w:rsidP="004F5FDB">
            <w:pPr>
              <w:tabs>
                <w:tab w:val="center" w:pos="3152"/>
              </w:tabs>
              <w:rPr>
                <w:rFonts w:cs="Arial"/>
                <w:sz w:val="16"/>
                <w:szCs w:val="16"/>
                <w:lang w:val="en-US"/>
              </w:rPr>
            </w:pPr>
            <w:r w:rsidRPr="00C704AB">
              <w:rPr>
                <w:rFonts w:cs="Arial"/>
                <w:szCs w:val="19"/>
                <w:lang w:val="en-US"/>
              </w:rPr>
              <w:t xml:space="preserve">Treatment of heart failure in children from birth to </w:t>
            </w:r>
            <w:r>
              <w:rPr>
                <w:rFonts w:cs="Arial"/>
                <w:szCs w:val="19"/>
                <w:lang w:val="en-US"/>
              </w:rPr>
              <w:t>&lt;</w:t>
            </w:r>
            <w:r w:rsidRPr="00C704AB">
              <w:rPr>
                <w:rFonts w:cs="Arial"/>
                <w:szCs w:val="19"/>
                <w:lang w:val="en-US"/>
              </w:rPr>
              <w:t>18 years</w:t>
            </w:r>
            <w:r>
              <w:rPr>
                <w:rFonts w:cs="Arial"/>
                <w:szCs w:val="19"/>
                <w:lang w:val="en-US"/>
              </w:rPr>
              <w:t xml:space="preserve"> </w:t>
            </w:r>
            <w:r w:rsidRPr="00C704AB">
              <w:rPr>
                <w:rFonts w:cs="Arial"/>
                <w:sz w:val="16"/>
                <w:szCs w:val="16"/>
                <w:lang w:val="en-US"/>
              </w:rPr>
              <w:t xml:space="preserve">[EU] </w:t>
            </w:r>
          </w:p>
          <w:p w14:paraId="30E5E5EB" w14:textId="77777777" w:rsidR="00734EBF" w:rsidRPr="00590A88" w:rsidRDefault="00734EBF" w:rsidP="004F5FDB">
            <w:pPr>
              <w:tabs>
                <w:tab w:val="center" w:pos="3152"/>
              </w:tabs>
              <w:rPr>
                <w:rFonts w:cs="Arial"/>
                <w:szCs w:val="19"/>
                <w:lang w:val="en-US"/>
              </w:rPr>
            </w:pPr>
            <w:r w:rsidRPr="00C704AB">
              <w:rPr>
                <w:rFonts w:cs="Arial"/>
                <w:sz w:val="16"/>
                <w:szCs w:val="16"/>
                <w:lang w:val="en-US"/>
              </w:rPr>
              <w:t>[new 1mg orodispersible tablet formulation]</w:t>
            </w:r>
          </w:p>
        </w:tc>
      </w:tr>
      <w:tr w:rsidR="00734EBF" w:rsidRPr="00A075A3" w14:paraId="47E787EA" w14:textId="77777777" w:rsidTr="002545EA">
        <w:tc>
          <w:tcPr>
            <w:tcW w:w="1293" w:type="pct"/>
            <w:gridSpan w:val="2"/>
            <w:shd w:val="clear" w:color="auto" w:fill="auto"/>
            <w:tcMar>
              <w:top w:w="57" w:type="dxa"/>
              <w:bottom w:w="57" w:type="dxa"/>
            </w:tcMar>
          </w:tcPr>
          <w:p w14:paraId="151660A6" w14:textId="77777777" w:rsidR="00734EBF" w:rsidRPr="00590A88" w:rsidRDefault="00734EBF" w:rsidP="004F5FDB">
            <w:pPr>
              <w:rPr>
                <w:rFonts w:cs="Arial"/>
                <w:szCs w:val="19"/>
              </w:rPr>
            </w:pPr>
            <w:r w:rsidRPr="00791D14">
              <w:rPr>
                <w:rFonts w:cs="Arial"/>
                <w:szCs w:val="19"/>
              </w:rPr>
              <w:t>HIPRA SARS-CoV-2 vaccine XBB.1.16 </w:t>
            </w:r>
          </w:p>
        </w:tc>
        <w:tc>
          <w:tcPr>
            <w:tcW w:w="3707" w:type="pct"/>
            <w:shd w:val="clear" w:color="auto" w:fill="auto"/>
            <w:tcMar>
              <w:top w:w="57" w:type="dxa"/>
              <w:bottom w:w="57" w:type="dxa"/>
            </w:tcMar>
          </w:tcPr>
          <w:p w14:paraId="1686822B" w14:textId="77777777" w:rsidR="00734EBF" w:rsidRDefault="00734EBF" w:rsidP="004F5FDB">
            <w:pPr>
              <w:tabs>
                <w:tab w:val="center" w:pos="3152"/>
              </w:tabs>
              <w:rPr>
                <w:rFonts w:cs="Arial"/>
                <w:sz w:val="16"/>
                <w:szCs w:val="16"/>
                <w:lang w:val="en-US"/>
              </w:rPr>
            </w:pPr>
            <w:r w:rsidRPr="00791D14">
              <w:rPr>
                <w:rFonts w:cs="Arial"/>
                <w:szCs w:val="19"/>
                <w:lang w:val="en-US"/>
              </w:rPr>
              <w:t xml:space="preserve">Coronavirus disease 2019 (COVID-19) </w:t>
            </w:r>
            <w:r>
              <w:rPr>
                <w:rFonts w:cs="Arial"/>
                <w:szCs w:val="19"/>
                <w:lang w:val="en-US"/>
              </w:rPr>
              <w:t>pr</w:t>
            </w:r>
            <w:r w:rsidRPr="00791D14">
              <w:rPr>
                <w:rFonts w:cs="Arial"/>
                <w:szCs w:val="19"/>
                <w:lang w:val="en-US"/>
              </w:rPr>
              <w:t xml:space="preserve">evention in adults </w:t>
            </w:r>
            <w:r w:rsidRPr="00791D14">
              <w:rPr>
                <w:rFonts w:cs="Arial"/>
                <w:sz w:val="16"/>
                <w:szCs w:val="16"/>
                <w:lang w:val="en-US"/>
              </w:rPr>
              <w:t xml:space="preserve">[EU] </w:t>
            </w:r>
          </w:p>
          <w:p w14:paraId="413C787F" w14:textId="77777777" w:rsidR="00734EBF" w:rsidRPr="00590A88" w:rsidRDefault="00734EBF" w:rsidP="004F5FDB">
            <w:pPr>
              <w:tabs>
                <w:tab w:val="center" w:pos="3152"/>
              </w:tabs>
              <w:rPr>
                <w:rFonts w:cs="Arial"/>
                <w:szCs w:val="19"/>
                <w:lang w:val="en-US"/>
              </w:rPr>
            </w:pPr>
            <w:r w:rsidRPr="00791D14">
              <w:rPr>
                <w:rFonts w:cs="Arial"/>
                <w:sz w:val="16"/>
                <w:szCs w:val="16"/>
                <w:lang w:val="en-US"/>
              </w:rPr>
              <w:t>[new Accord Healthcare booster formulation]</w:t>
            </w:r>
          </w:p>
        </w:tc>
      </w:tr>
      <w:tr w:rsidR="00734EBF" w:rsidRPr="00A075A3" w14:paraId="3B7E3333" w14:textId="77777777" w:rsidTr="002545EA">
        <w:tc>
          <w:tcPr>
            <w:tcW w:w="1293" w:type="pct"/>
            <w:gridSpan w:val="2"/>
            <w:shd w:val="clear" w:color="auto" w:fill="auto"/>
            <w:tcMar>
              <w:top w:w="57" w:type="dxa"/>
              <w:bottom w:w="57" w:type="dxa"/>
            </w:tcMar>
          </w:tcPr>
          <w:p w14:paraId="1855E571" w14:textId="77777777" w:rsidR="00734EBF" w:rsidRPr="00590A88" w:rsidRDefault="00734EBF" w:rsidP="004F5FDB">
            <w:pPr>
              <w:rPr>
                <w:rFonts w:cs="Arial"/>
                <w:i/>
                <w:iCs/>
                <w:szCs w:val="19"/>
              </w:rPr>
            </w:pPr>
            <w:r w:rsidRPr="00590A88">
              <w:rPr>
                <w:rFonts w:cs="Arial"/>
                <w:szCs w:val="19"/>
              </w:rPr>
              <w:t>Nirogacestat</w:t>
            </w:r>
            <w:r>
              <w:rPr>
                <w:rFonts w:cs="Arial"/>
                <w:szCs w:val="19"/>
              </w:rPr>
              <w:t xml:space="preserve"> (</w:t>
            </w:r>
            <w:r w:rsidRPr="00590A88">
              <w:rPr>
                <w:rFonts w:cs="Arial"/>
                <w:i/>
                <w:iCs/>
                <w:szCs w:val="19"/>
              </w:rPr>
              <w:t>Ogsiveo</w:t>
            </w:r>
            <w:r>
              <w:rPr>
                <w:rFonts w:cs="Arial"/>
                <w:szCs w:val="19"/>
              </w:rPr>
              <w:t>)</w:t>
            </w:r>
          </w:p>
        </w:tc>
        <w:tc>
          <w:tcPr>
            <w:tcW w:w="3707" w:type="pct"/>
            <w:shd w:val="clear" w:color="auto" w:fill="auto"/>
            <w:tcMar>
              <w:top w:w="57" w:type="dxa"/>
              <w:bottom w:w="57" w:type="dxa"/>
            </w:tcMar>
          </w:tcPr>
          <w:p w14:paraId="324FD3D4" w14:textId="77777777" w:rsidR="00734EBF" w:rsidRPr="00460B68" w:rsidRDefault="00734EBF" w:rsidP="004F5FDB">
            <w:pPr>
              <w:tabs>
                <w:tab w:val="center" w:pos="3152"/>
              </w:tabs>
              <w:rPr>
                <w:rFonts w:cs="Arial"/>
                <w:szCs w:val="19"/>
                <w:lang w:val="en-US"/>
              </w:rPr>
            </w:pPr>
            <w:r w:rsidRPr="00590A88">
              <w:rPr>
                <w:rFonts w:cs="Arial"/>
                <w:szCs w:val="19"/>
                <w:lang w:val="en-US"/>
              </w:rPr>
              <w:t>Treatment of adults with desmoid tumours</w:t>
            </w:r>
            <w:r>
              <w:rPr>
                <w:rFonts w:cs="Arial"/>
                <w:szCs w:val="19"/>
                <w:lang w:val="en-US"/>
              </w:rPr>
              <w:t xml:space="preserve"> </w:t>
            </w:r>
            <w:r w:rsidRPr="00590A88">
              <w:rPr>
                <w:rFonts w:cs="Arial"/>
                <w:sz w:val="16"/>
                <w:szCs w:val="16"/>
                <w:lang w:val="en-US"/>
              </w:rPr>
              <w:t>[EU]</w:t>
            </w:r>
          </w:p>
        </w:tc>
      </w:tr>
      <w:tr w:rsidR="00734EBF" w:rsidRPr="00A075A3" w14:paraId="487EAE63" w14:textId="77777777" w:rsidTr="002545EA">
        <w:tc>
          <w:tcPr>
            <w:tcW w:w="1293" w:type="pct"/>
            <w:gridSpan w:val="2"/>
            <w:shd w:val="clear" w:color="auto" w:fill="auto"/>
            <w:tcMar>
              <w:top w:w="57" w:type="dxa"/>
              <w:bottom w:w="57" w:type="dxa"/>
            </w:tcMar>
          </w:tcPr>
          <w:p w14:paraId="737EF46E" w14:textId="26AD7F5B" w:rsidR="00734EBF" w:rsidRPr="0009708E" w:rsidRDefault="00734EBF" w:rsidP="004F5FDB">
            <w:pPr>
              <w:rPr>
                <w:rFonts w:cs="Arial"/>
                <w:szCs w:val="19"/>
              </w:rPr>
            </w:pPr>
            <w:r w:rsidRPr="00D5491C">
              <w:rPr>
                <w:rFonts w:cs="Arial"/>
                <w:szCs w:val="19"/>
              </w:rPr>
              <w:t>Resmetirom</w:t>
            </w:r>
            <w:r>
              <w:rPr>
                <w:rFonts w:cs="Arial"/>
                <w:szCs w:val="19"/>
              </w:rPr>
              <w:t xml:space="preserve"> </w:t>
            </w:r>
            <w:r w:rsidR="0009708E">
              <w:rPr>
                <w:rFonts w:cs="Arial"/>
                <w:szCs w:val="19"/>
              </w:rPr>
              <w:t>(</w:t>
            </w:r>
            <w:r w:rsidR="0009708E">
              <w:rPr>
                <w:rFonts w:cs="Arial"/>
                <w:i/>
                <w:iCs/>
                <w:szCs w:val="19"/>
              </w:rPr>
              <w:t>Rezdiffra</w:t>
            </w:r>
            <w:r w:rsidR="0009708E">
              <w:rPr>
                <w:rFonts w:cs="Arial"/>
                <w:szCs w:val="19"/>
              </w:rPr>
              <w:t>)</w:t>
            </w:r>
          </w:p>
        </w:tc>
        <w:tc>
          <w:tcPr>
            <w:tcW w:w="3707" w:type="pct"/>
            <w:shd w:val="clear" w:color="auto" w:fill="auto"/>
            <w:tcMar>
              <w:top w:w="57" w:type="dxa"/>
              <w:bottom w:w="57" w:type="dxa"/>
            </w:tcMar>
          </w:tcPr>
          <w:p w14:paraId="6874160C" w14:textId="77777777" w:rsidR="00734EBF" w:rsidRPr="00460B68" w:rsidRDefault="00734EBF" w:rsidP="004F5FDB">
            <w:pPr>
              <w:tabs>
                <w:tab w:val="center" w:pos="3152"/>
              </w:tabs>
              <w:rPr>
                <w:rFonts w:cs="Arial"/>
                <w:szCs w:val="19"/>
                <w:lang w:val="en-US"/>
              </w:rPr>
            </w:pPr>
            <w:r w:rsidRPr="00D5491C">
              <w:rPr>
                <w:rFonts w:cs="Arial"/>
                <w:szCs w:val="19"/>
                <w:lang w:val="en-US"/>
              </w:rPr>
              <w:t xml:space="preserve">Treatment for </w:t>
            </w:r>
            <w:r>
              <w:rPr>
                <w:rFonts w:cs="Arial"/>
                <w:szCs w:val="19"/>
                <w:lang w:val="en-US"/>
              </w:rPr>
              <w:t>adults</w:t>
            </w:r>
            <w:r w:rsidRPr="00D5491C">
              <w:rPr>
                <w:rFonts w:cs="Arial"/>
                <w:szCs w:val="19"/>
                <w:lang w:val="en-US"/>
              </w:rPr>
              <w:t xml:space="preserve"> with </w:t>
            </w:r>
            <w:r>
              <w:rPr>
                <w:rFonts w:cs="Arial"/>
                <w:szCs w:val="19"/>
                <w:lang w:val="en-US"/>
              </w:rPr>
              <w:t>m</w:t>
            </w:r>
            <w:r w:rsidRPr="00D5491C">
              <w:rPr>
                <w:rFonts w:cs="Arial"/>
                <w:szCs w:val="19"/>
                <w:lang w:val="en-US"/>
              </w:rPr>
              <w:t>etabolic dysfunction-associated steatohepatitis</w:t>
            </w:r>
            <w:r>
              <w:rPr>
                <w:rFonts w:cs="Arial"/>
                <w:szCs w:val="19"/>
                <w:lang w:val="en-US"/>
              </w:rPr>
              <w:t xml:space="preserve"> </w:t>
            </w:r>
            <w:r w:rsidRPr="00D5491C">
              <w:rPr>
                <w:rFonts w:cs="Arial"/>
                <w:szCs w:val="19"/>
                <w:lang w:val="en-US"/>
              </w:rPr>
              <w:t>with liver fibrosis</w:t>
            </w:r>
            <w:r>
              <w:rPr>
                <w:rFonts w:cs="Arial"/>
                <w:szCs w:val="19"/>
                <w:lang w:val="en-US"/>
              </w:rPr>
              <w:t xml:space="preserve"> </w:t>
            </w:r>
            <w:r w:rsidRPr="00D5491C">
              <w:rPr>
                <w:rFonts w:cs="Arial"/>
                <w:sz w:val="16"/>
                <w:szCs w:val="16"/>
                <w:lang w:val="en-US"/>
              </w:rPr>
              <w:t>[EU]</w:t>
            </w:r>
          </w:p>
        </w:tc>
      </w:tr>
      <w:tr w:rsidR="00734EBF" w:rsidRPr="00A075A3" w14:paraId="2B81E42D" w14:textId="77777777" w:rsidTr="002545EA">
        <w:tc>
          <w:tcPr>
            <w:tcW w:w="1293" w:type="pct"/>
            <w:gridSpan w:val="2"/>
            <w:shd w:val="clear" w:color="auto" w:fill="auto"/>
            <w:tcMar>
              <w:top w:w="57" w:type="dxa"/>
              <w:bottom w:w="57" w:type="dxa"/>
            </w:tcMar>
          </w:tcPr>
          <w:p w14:paraId="3EF4F89C" w14:textId="77777777" w:rsidR="00734EBF" w:rsidRPr="00C86B19" w:rsidRDefault="00734EBF" w:rsidP="004F5FDB">
            <w:pPr>
              <w:rPr>
                <w:rFonts w:cs="Arial"/>
                <w:szCs w:val="19"/>
              </w:rPr>
            </w:pPr>
            <w:r w:rsidRPr="007D243F">
              <w:rPr>
                <w:rFonts w:cs="Arial"/>
                <w:szCs w:val="19"/>
              </w:rPr>
              <w:t>Seladelpar</w:t>
            </w:r>
            <w:r>
              <w:rPr>
                <w:rFonts w:cs="Arial"/>
                <w:szCs w:val="19"/>
              </w:rPr>
              <w:t xml:space="preserve"> </w:t>
            </w:r>
          </w:p>
        </w:tc>
        <w:tc>
          <w:tcPr>
            <w:tcW w:w="3707" w:type="pct"/>
            <w:shd w:val="clear" w:color="auto" w:fill="auto"/>
            <w:tcMar>
              <w:top w:w="57" w:type="dxa"/>
              <w:bottom w:w="57" w:type="dxa"/>
            </w:tcMar>
          </w:tcPr>
          <w:p w14:paraId="56F2610C" w14:textId="77777777" w:rsidR="00734EBF" w:rsidRDefault="00734EBF" w:rsidP="004F5FDB">
            <w:pPr>
              <w:tabs>
                <w:tab w:val="center" w:pos="3152"/>
              </w:tabs>
              <w:rPr>
                <w:rFonts w:cs="Arial"/>
                <w:szCs w:val="19"/>
                <w:lang w:val="en-US"/>
              </w:rPr>
            </w:pPr>
            <w:r w:rsidRPr="007D243F">
              <w:rPr>
                <w:rFonts w:cs="Arial"/>
                <w:szCs w:val="19"/>
                <w:lang w:val="en-US"/>
              </w:rPr>
              <w:t>Treatment of primary biliary cholangitis including pruritus in adults without cirrhosis or with compensated cirrhosis (Child-Pugh A) in combination with ursodeoxycholic acid (UDCA) who have an inadequate response to UDCA alone, or as monotherapy in those unable to tolerate UDCA</w:t>
            </w:r>
            <w:r>
              <w:rPr>
                <w:rFonts w:cs="Arial"/>
                <w:szCs w:val="19"/>
                <w:lang w:val="en-US"/>
              </w:rPr>
              <w:t xml:space="preserve"> </w:t>
            </w:r>
            <w:r w:rsidRPr="007D243F">
              <w:rPr>
                <w:rFonts w:cs="Arial"/>
                <w:sz w:val="16"/>
                <w:szCs w:val="16"/>
                <w:lang w:val="en-US"/>
              </w:rPr>
              <w:t>[EU]</w:t>
            </w:r>
          </w:p>
        </w:tc>
      </w:tr>
      <w:tr w:rsidR="00734EBF" w:rsidRPr="00A075A3" w14:paraId="7B1F963B" w14:textId="77777777" w:rsidTr="002545EA">
        <w:tc>
          <w:tcPr>
            <w:tcW w:w="1293" w:type="pct"/>
            <w:gridSpan w:val="2"/>
            <w:shd w:val="clear" w:color="auto" w:fill="auto"/>
            <w:tcMar>
              <w:top w:w="57" w:type="dxa"/>
              <w:bottom w:w="57" w:type="dxa"/>
            </w:tcMar>
          </w:tcPr>
          <w:p w14:paraId="311B4B85" w14:textId="77777777" w:rsidR="00734EBF" w:rsidRPr="00C86B19" w:rsidRDefault="00734EBF" w:rsidP="004F5FDB">
            <w:pPr>
              <w:rPr>
                <w:rFonts w:cs="Arial"/>
                <w:szCs w:val="19"/>
              </w:rPr>
            </w:pPr>
            <w:r w:rsidRPr="00C86B19">
              <w:rPr>
                <w:rFonts w:cs="Arial"/>
                <w:szCs w:val="19"/>
              </w:rPr>
              <w:t xml:space="preserve">Standardised allergen extract from house dust mites </w:t>
            </w:r>
            <w:r w:rsidRPr="00C86B19">
              <w:rPr>
                <w:rFonts w:cs="Arial"/>
                <w:i/>
                <w:iCs/>
                <w:szCs w:val="19"/>
              </w:rPr>
              <w:t>D. pteronyssinus</w:t>
            </w:r>
            <w:r w:rsidRPr="00C86B19">
              <w:rPr>
                <w:rFonts w:cs="Arial"/>
                <w:szCs w:val="19"/>
              </w:rPr>
              <w:t xml:space="preserve"> and </w:t>
            </w:r>
            <w:r w:rsidRPr="00C86B19">
              <w:rPr>
                <w:rFonts w:cs="Arial"/>
                <w:i/>
                <w:iCs/>
                <w:szCs w:val="19"/>
              </w:rPr>
              <w:t>D. farinae</w:t>
            </w:r>
            <w:r w:rsidRPr="00C86B19">
              <w:rPr>
                <w:rFonts w:cs="Arial"/>
                <w:szCs w:val="19"/>
              </w:rPr>
              <w:t xml:space="preserve"> </w:t>
            </w:r>
            <w:r>
              <w:rPr>
                <w:rFonts w:cs="Arial"/>
                <w:szCs w:val="19"/>
              </w:rPr>
              <w:t>(</w:t>
            </w:r>
            <w:r>
              <w:rPr>
                <w:rFonts w:cs="Arial"/>
                <w:i/>
                <w:iCs/>
                <w:szCs w:val="19"/>
              </w:rPr>
              <w:t>Acarizax</w:t>
            </w:r>
            <w:r>
              <w:rPr>
                <w:rFonts w:cs="Arial"/>
                <w:szCs w:val="19"/>
              </w:rPr>
              <w:t>)</w:t>
            </w:r>
          </w:p>
        </w:tc>
        <w:tc>
          <w:tcPr>
            <w:tcW w:w="3707" w:type="pct"/>
            <w:shd w:val="clear" w:color="auto" w:fill="auto"/>
            <w:tcMar>
              <w:top w:w="57" w:type="dxa"/>
              <w:bottom w:w="57" w:type="dxa"/>
            </w:tcMar>
          </w:tcPr>
          <w:p w14:paraId="7F2CF77E" w14:textId="77777777" w:rsidR="00734EBF" w:rsidRPr="00272180" w:rsidRDefault="00734EBF" w:rsidP="004F5FDB">
            <w:pPr>
              <w:tabs>
                <w:tab w:val="center" w:pos="3152"/>
              </w:tabs>
              <w:rPr>
                <w:rFonts w:cs="Arial"/>
                <w:szCs w:val="19"/>
                <w:lang w:val="en-US"/>
              </w:rPr>
            </w:pPr>
            <w:r>
              <w:rPr>
                <w:rFonts w:cs="Arial"/>
                <w:szCs w:val="19"/>
                <w:lang w:val="en-US"/>
              </w:rPr>
              <w:t xml:space="preserve">Use </w:t>
            </w:r>
            <w:r w:rsidRPr="00C86B19">
              <w:rPr>
                <w:rFonts w:cs="Arial"/>
                <w:szCs w:val="19"/>
                <w:lang w:val="en-US"/>
              </w:rPr>
              <w:t xml:space="preserve">in </w:t>
            </w:r>
            <w:r>
              <w:rPr>
                <w:rFonts w:cs="Arial"/>
                <w:szCs w:val="19"/>
                <w:lang w:val="en-US"/>
              </w:rPr>
              <w:t>children aged 5 to 11 years</w:t>
            </w:r>
            <w:r w:rsidRPr="00C86B19">
              <w:rPr>
                <w:rFonts w:cs="Arial"/>
                <w:szCs w:val="19"/>
                <w:lang w:val="en-US"/>
              </w:rPr>
              <w:t xml:space="preserve"> diagnosed by clinical history and a positive test of house dust mite sensitisation (skin prick test and/or specific IgE) with persistent moderate to severe house dust mite allergic rhinitis despite use of symptom-relieving medication</w:t>
            </w:r>
            <w:r>
              <w:rPr>
                <w:rFonts w:cs="Arial"/>
                <w:szCs w:val="19"/>
                <w:lang w:val="en-US"/>
              </w:rPr>
              <w:t xml:space="preserve"> </w:t>
            </w:r>
            <w:r w:rsidRPr="00C86B19">
              <w:rPr>
                <w:rFonts w:cs="Arial"/>
                <w:sz w:val="16"/>
                <w:szCs w:val="16"/>
                <w:lang w:val="en-US"/>
              </w:rPr>
              <w:t>[EU] [licence change from use only in adolescents aged 12 to 17 years]</w:t>
            </w:r>
          </w:p>
        </w:tc>
      </w:tr>
      <w:tr w:rsidR="00734EBF" w:rsidRPr="00A075A3" w14:paraId="4FF1B3FF" w14:textId="77777777" w:rsidTr="002545EA">
        <w:tc>
          <w:tcPr>
            <w:tcW w:w="1293" w:type="pct"/>
            <w:gridSpan w:val="2"/>
            <w:shd w:val="clear" w:color="auto" w:fill="auto"/>
            <w:tcMar>
              <w:top w:w="57" w:type="dxa"/>
              <w:bottom w:w="57" w:type="dxa"/>
            </w:tcMar>
          </w:tcPr>
          <w:p w14:paraId="05D34036" w14:textId="77777777" w:rsidR="00734EBF" w:rsidRPr="00FC27F7" w:rsidRDefault="00734EBF" w:rsidP="004F5FDB">
            <w:pPr>
              <w:rPr>
                <w:rFonts w:cs="Arial"/>
                <w:szCs w:val="19"/>
              </w:rPr>
            </w:pPr>
            <w:r w:rsidRPr="00FC27F7">
              <w:rPr>
                <w:rFonts w:cs="Arial"/>
                <w:szCs w:val="19"/>
              </w:rPr>
              <w:t>Tislelizumab</w:t>
            </w:r>
            <w:r>
              <w:rPr>
                <w:rFonts w:cs="Arial"/>
                <w:szCs w:val="19"/>
              </w:rPr>
              <w:t xml:space="preserve"> (</w:t>
            </w:r>
            <w:r>
              <w:rPr>
                <w:rFonts w:cs="Arial"/>
                <w:i/>
                <w:iCs/>
                <w:szCs w:val="19"/>
              </w:rPr>
              <w:t>Tevimbra</w:t>
            </w:r>
            <w:r>
              <w:rPr>
                <w:rFonts w:cs="Arial"/>
                <w:szCs w:val="19"/>
              </w:rPr>
              <w:t>)</w:t>
            </w:r>
          </w:p>
        </w:tc>
        <w:tc>
          <w:tcPr>
            <w:tcW w:w="3707" w:type="pct"/>
            <w:shd w:val="clear" w:color="auto" w:fill="auto"/>
            <w:tcMar>
              <w:top w:w="57" w:type="dxa"/>
              <w:bottom w:w="57" w:type="dxa"/>
            </w:tcMar>
          </w:tcPr>
          <w:p w14:paraId="145304F4" w14:textId="77777777" w:rsidR="00734EBF" w:rsidRPr="003F02CB" w:rsidRDefault="00734EBF" w:rsidP="004F5FDB">
            <w:pPr>
              <w:tabs>
                <w:tab w:val="center" w:pos="3152"/>
              </w:tabs>
              <w:rPr>
                <w:rFonts w:cs="Arial"/>
                <w:szCs w:val="19"/>
                <w:lang w:val="en-US"/>
              </w:rPr>
            </w:pPr>
            <w:r w:rsidRPr="00033AD4">
              <w:rPr>
                <w:rFonts w:cs="Arial"/>
                <w:szCs w:val="19"/>
                <w:lang w:val="en-US"/>
              </w:rPr>
              <w:t>Use in combination with platinum and fluoropyrimidine-based chemotherapy for the first-line treatment of adults with human epidermal growth factor receptor-2 negative locally advanced unresectable or metastatic gastric or gastroesophageal junction adenocarcinoma</w:t>
            </w:r>
            <w:r>
              <w:rPr>
                <w:rFonts w:cs="Arial"/>
                <w:szCs w:val="19"/>
                <w:lang w:val="en-US"/>
              </w:rPr>
              <w:t xml:space="preserve"> </w:t>
            </w:r>
            <w:r w:rsidRPr="00590A88">
              <w:rPr>
                <w:rFonts w:cs="Arial"/>
                <w:sz w:val="16"/>
                <w:szCs w:val="16"/>
                <w:lang w:val="en-US"/>
              </w:rPr>
              <w:t>[EU]</w:t>
            </w:r>
            <w:r>
              <w:rPr>
                <w:rFonts w:cs="Arial"/>
                <w:sz w:val="16"/>
                <w:szCs w:val="16"/>
                <w:lang w:val="en-US"/>
              </w:rPr>
              <w:t xml:space="preserve"> [new indication]</w:t>
            </w:r>
          </w:p>
        </w:tc>
      </w:tr>
      <w:tr w:rsidR="00734EBF" w:rsidRPr="00A075A3" w14:paraId="31120909" w14:textId="77777777" w:rsidTr="002545EA">
        <w:tc>
          <w:tcPr>
            <w:tcW w:w="1293" w:type="pct"/>
            <w:gridSpan w:val="2"/>
            <w:shd w:val="clear" w:color="auto" w:fill="auto"/>
            <w:tcMar>
              <w:top w:w="57" w:type="dxa"/>
              <w:bottom w:w="57" w:type="dxa"/>
            </w:tcMar>
          </w:tcPr>
          <w:p w14:paraId="06930FB0" w14:textId="77777777" w:rsidR="00734EBF" w:rsidRPr="00FC27F7" w:rsidRDefault="00734EBF" w:rsidP="004F5FDB">
            <w:pPr>
              <w:rPr>
                <w:rFonts w:cs="Arial"/>
                <w:szCs w:val="19"/>
              </w:rPr>
            </w:pPr>
            <w:r w:rsidRPr="00FC27F7">
              <w:rPr>
                <w:rFonts w:cs="Arial"/>
                <w:szCs w:val="19"/>
              </w:rPr>
              <w:t>Tislelizumab</w:t>
            </w:r>
            <w:r>
              <w:rPr>
                <w:rFonts w:cs="Arial"/>
                <w:szCs w:val="19"/>
              </w:rPr>
              <w:t xml:space="preserve"> (</w:t>
            </w:r>
            <w:r>
              <w:rPr>
                <w:rFonts w:cs="Arial"/>
                <w:i/>
                <w:iCs/>
                <w:szCs w:val="19"/>
              </w:rPr>
              <w:t>Tevimbra</w:t>
            </w:r>
            <w:r>
              <w:rPr>
                <w:rFonts w:cs="Arial"/>
                <w:szCs w:val="19"/>
              </w:rPr>
              <w:t>)</w:t>
            </w:r>
          </w:p>
        </w:tc>
        <w:tc>
          <w:tcPr>
            <w:tcW w:w="3707" w:type="pct"/>
            <w:shd w:val="clear" w:color="auto" w:fill="auto"/>
            <w:tcMar>
              <w:top w:w="57" w:type="dxa"/>
              <w:bottom w:w="57" w:type="dxa"/>
            </w:tcMar>
          </w:tcPr>
          <w:p w14:paraId="52CD8271" w14:textId="77777777" w:rsidR="00734EBF" w:rsidRPr="00FC27F7" w:rsidRDefault="00734EBF" w:rsidP="004F5FDB">
            <w:pPr>
              <w:tabs>
                <w:tab w:val="center" w:pos="3152"/>
              </w:tabs>
              <w:rPr>
                <w:rFonts w:cs="Arial"/>
                <w:szCs w:val="19"/>
                <w:lang w:val="en-US"/>
              </w:rPr>
            </w:pPr>
            <w:r w:rsidRPr="00FC27F7">
              <w:rPr>
                <w:rFonts w:cs="Arial"/>
                <w:szCs w:val="19"/>
                <w:lang w:val="en-US"/>
              </w:rPr>
              <w:t>Use in combination with platinum-based chemotherapy for the first-line treatment of adults with unresectable, locally advanced or metastatic oesophageal squamous cell carcinoma</w:t>
            </w:r>
            <w:r>
              <w:rPr>
                <w:rFonts w:cs="Arial"/>
                <w:szCs w:val="19"/>
                <w:lang w:val="en-US"/>
              </w:rPr>
              <w:t xml:space="preserve"> </w:t>
            </w:r>
            <w:r w:rsidRPr="00590A88">
              <w:rPr>
                <w:rFonts w:cs="Arial"/>
                <w:sz w:val="16"/>
                <w:szCs w:val="16"/>
                <w:lang w:val="en-US"/>
              </w:rPr>
              <w:t>[EU]</w:t>
            </w:r>
            <w:r>
              <w:rPr>
                <w:rFonts w:cs="Arial"/>
                <w:sz w:val="16"/>
                <w:szCs w:val="16"/>
                <w:lang w:val="en-US"/>
              </w:rPr>
              <w:t xml:space="preserve"> [new indication]</w:t>
            </w:r>
          </w:p>
        </w:tc>
      </w:tr>
      <w:tr w:rsidR="00734EBF" w:rsidRPr="00A075A3" w14:paraId="7E271AAD" w14:textId="77777777" w:rsidTr="002545EA">
        <w:tc>
          <w:tcPr>
            <w:tcW w:w="1293" w:type="pct"/>
            <w:gridSpan w:val="2"/>
            <w:shd w:val="clear" w:color="auto" w:fill="auto"/>
            <w:tcMar>
              <w:top w:w="57" w:type="dxa"/>
              <w:bottom w:w="57" w:type="dxa"/>
            </w:tcMar>
          </w:tcPr>
          <w:p w14:paraId="1BF16BE6" w14:textId="77777777" w:rsidR="00734EBF" w:rsidRPr="00C86B19" w:rsidRDefault="00734EBF" w:rsidP="004F5FDB">
            <w:pPr>
              <w:rPr>
                <w:rFonts w:cs="Arial"/>
                <w:szCs w:val="19"/>
              </w:rPr>
            </w:pPr>
            <w:r w:rsidRPr="002F7DE8">
              <w:rPr>
                <w:rFonts w:cs="Arial"/>
                <w:szCs w:val="19"/>
              </w:rPr>
              <w:t>Ustekinumab biosimilar (</w:t>
            </w:r>
            <w:r>
              <w:rPr>
                <w:rFonts w:cs="Arial"/>
                <w:i/>
                <w:iCs/>
                <w:szCs w:val="19"/>
              </w:rPr>
              <w:t>Uzpruvo</w:t>
            </w:r>
            <w:r w:rsidRPr="002F7DE8">
              <w:rPr>
                <w:rFonts w:cs="Arial"/>
                <w:szCs w:val="19"/>
              </w:rPr>
              <w:t>) </w:t>
            </w:r>
          </w:p>
        </w:tc>
        <w:tc>
          <w:tcPr>
            <w:tcW w:w="3707" w:type="pct"/>
            <w:shd w:val="clear" w:color="auto" w:fill="auto"/>
            <w:tcMar>
              <w:top w:w="57" w:type="dxa"/>
              <w:bottom w:w="57" w:type="dxa"/>
            </w:tcMar>
          </w:tcPr>
          <w:p w14:paraId="17C510ED" w14:textId="77777777" w:rsidR="00734EBF" w:rsidRPr="00272180" w:rsidRDefault="00734EBF" w:rsidP="004F5FDB">
            <w:pPr>
              <w:tabs>
                <w:tab w:val="center" w:pos="3152"/>
              </w:tabs>
              <w:rPr>
                <w:rFonts w:cs="Arial"/>
                <w:szCs w:val="19"/>
                <w:lang w:val="en-US"/>
              </w:rPr>
            </w:pPr>
            <w:r>
              <w:rPr>
                <w:rFonts w:cs="Arial"/>
                <w:szCs w:val="19"/>
                <w:lang w:val="en-US"/>
              </w:rPr>
              <w:t>M</w:t>
            </w:r>
            <w:r w:rsidRPr="002F7DE8">
              <w:rPr>
                <w:rFonts w:cs="Arial"/>
                <w:szCs w:val="19"/>
                <w:lang w:val="en-US"/>
              </w:rPr>
              <w:t xml:space="preserve">oderate to severe chronic plaque </w:t>
            </w:r>
            <w:r>
              <w:rPr>
                <w:rFonts w:cs="Arial"/>
                <w:szCs w:val="19"/>
                <w:lang w:val="en-US"/>
              </w:rPr>
              <w:t xml:space="preserve">psoriasis </w:t>
            </w:r>
            <w:r w:rsidRPr="002F7DE8">
              <w:rPr>
                <w:rFonts w:cs="Arial"/>
                <w:szCs w:val="19"/>
                <w:lang w:val="en-US"/>
              </w:rPr>
              <w:t xml:space="preserve">in adults and other </w:t>
            </w:r>
            <w:r w:rsidRPr="002F7DE8">
              <w:rPr>
                <w:rFonts w:cs="Arial"/>
                <w:i/>
                <w:iCs/>
                <w:szCs w:val="19"/>
                <w:lang w:val="en-US"/>
              </w:rPr>
              <w:t>Stelara</w:t>
            </w:r>
            <w:r w:rsidRPr="002F7DE8">
              <w:rPr>
                <w:rFonts w:cs="Arial"/>
                <w:szCs w:val="19"/>
                <w:lang w:val="en-US"/>
              </w:rPr>
              <w:t xml:space="preserve"> indications (except </w:t>
            </w:r>
            <w:r>
              <w:rPr>
                <w:rFonts w:cs="Arial"/>
                <w:szCs w:val="19"/>
                <w:lang w:val="en-US"/>
              </w:rPr>
              <w:t>ulcerative colitis</w:t>
            </w:r>
            <w:r w:rsidRPr="002F7DE8">
              <w:rPr>
                <w:rFonts w:cs="Arial"/>
                <w:szCs w:val="19"/>
                <w:lang w:val="en-US"/>
              </w:rPr>
              <w:t xml:space="preserve">) </w:t>
            </w:r>
            <w:r w:rsidRPr="002F7DE8">
              <w:rPr>
                <w:rFonts w:cs="Arial"/>
                <w:sz w:val="16"/>
                <w:szCs w:val="16"/>
                <w:lang w:val="en-US"/>
              </w:rPr>
              <w:t>[EU] [new intravenous formulation]</w:t>
            </w:r>
          </w:p>
        </w:tc>
      </w:tr>
      <w:tr w:rsidR="00734EBF" w:rsidRPr="000F19E1" w14:paraId="360AFD0C" w14:textId="77777777" w:rsidTr="002545EA">
        <w:tc>
          <w:tcPr>
            <w:tcW w:w="1293" w:type="pct"/>
            <w:gridSpan w:val="2"/>
            <w:shd w:val="clear" w:color="auto" w:fill="auto"/>
            <w:tcMar>
              <w:top w:w="0" w:type="dxa"/>
              <w:bottom w:w="0" w:type="dxa"/>
            </w:tcMar>
          </w:tcPr>
          <w:p w14:paraId="3D376319" w14:textId="77777777" w:rsidR="00734EBF" w:rsidRPr="000F19E1" w:rsidRDefault="00734EBF" w:rsidP="004F5FDB">
            <w:pPr>
              <w:rPr>
                <w:rFonts w:cs="Arial"/>
                <w:bCs/>
                <w:sz w:val="8"/>
                <w:szCs w:val="8"/>
              </w:rPr>
            </w:pPr>
          </w:p>
        </w:tc>
        <w:tc>
          <w:tcPr>
            <w:tcW w:w="3707" w:type="pct"/>
            <w:shd w:val="clear" w:color="auto" w:fill="auto"/>
            <w:tcMar>
              <w:top w:w="0" w:type="dxa"/>
              <w:bottom w:w="0" w:type="dxa"/>
            </w:tcMar>
          </w:tcPr>
          <w:p w14:paraId="10E1807D" w14:textId="77777777" w:rsidR="00734EBF" w:rsidRPr="000F19E1" w:rsidRDefault="00734EBF" w:rsidP="004F5FDB">
            <w:pPr>
              <w:tabs>
                <w:tab w:val="center" w:pos="3152"/>
              </w:tabs>
              <w:rPr>
                <w:rFonts w:cs="Arial"/>
                <w:sz w:val="8"/>
                <w:szCs w:val="8"/>
                <w:lang w:val="en-US"/>
              </w:rPr>
            </w:pPr>
          </w:p>
        </w:tc>
      </w:tr>
      <w:tr w:rsidR="00734EBF" w:rsidRPr="000F19E1" w14:paraId="6775745B" w14:textId="77777777" w:rsidTr="004F5FDB">
        <w:tc>
          <w:tcPr>
            <w:tcW w:w="1152" w:type="pct"/>
            <w:shd w:val="clear" w:color="auto" w:fill="DAEEF3"/>
            <w:tcMar>
              <w:top w:w="0" w:type="dxa"/>
              <w:bottom w:w="0" w:type="dxa"/>
            </w:tcMar>
          </w:tcPr>
          <w:p w14:paraId="5E9A93B1" w14:textId="77777777" w:rsidR="00734EBF" w:rsidRPr="000F19E1" w:rsidRDefault="00734EBF" w:rsidP="004F5FDB">
            <w:pPr>
              <w:rPr>
                <w:rFonts w:cs="Arial"/>
                <w:bCs/>
                <w:sz w:val="8"/>
                <w:szCs w:val="8"/>
              </w:rPr>
            </w:pPr>
          </w:p>
        </w:tc>
        <w:tc>
          <w:tcPr>
            <w:tcW w:w="3848" w:type="pct"/>
            <w:gridSpan w:val="2"/>
            <w:shd w:val="clear" w:color="auto" w:fill="DAEEF3"/>
            <w:tcMar>
              <w:top w:w="0" w:type="dxa"/>
              <w:bottom w:w="0" w:type="dxa"/>
            </w:tcMar>
          </w:tcPr>
          <w:p w14:paraId="6B20E170" w14:textId="77777777" w:rsidR="00734EBF" w:rsidRPr="000F19E1" w:rsidRDefault="00734EBF" w:rsidP="004F5FDB">
            <w:pPr>
              <w:tabs>
                <w:tab w:val="center" w:pos="3152"/>
              </w:tabs>
              <w:rPr>
                <w:rFonts w:cs="Arial"/>
                <w:sz w:val="8"/>
                <w:szCs w:val="8"/>
                <w:lang w:val="en-US"/>
              </w:rPr>
            </w:pPr>
          </w:p>
        </w:tc>
      </w:tr>
      <w:tr w:rsidR="00734EBF" w:rsidRPr="00126CCD" w14:paraId="61B61658" w14:textId="77777777" w:rsidTr="004F5FDB">
        <w:tc>
          <w:tcPr>
            <w:tcW w:w="5000" w:type="pct"/>
            <w:gridSpan w:val="3"/>
            <w:shd w:val="clear" w:color="auto" w:fill="00B050"/>
            <w:tcMar>
              <w:top w:w="57" w:type="dxa"/>
              <w:bottom w:w="57" w:type="dxa"/>
            </w:tcMar>
          </w:tcPr>
          <w:p w14:paraId="1FFDABD7" w14:textId="77777777" w:rsidR="00734EBF" w:rsidRPr="004642B4" w:rsidRDefault="00734EBF" w:rsidP="004F5FDB">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734EBF" w14:paraId="319C0859" w14:textId="77777777" w:rsidTr="002545EA">
        <w:tc>
          <w:tcPr>
            <w:tcW w:w="1293" w:type="pct"/>
            <w:gridSpan w:val="2"/>
            <w:shd w:val="clear" w:color="auto" w:fill="auto"/>
            <w:tcMar>
              <w:top w:w="57" w:type="dxa"/>
              <w:bottom w:w="57" w:type="dxa"/>
            </w:tcMar>
          </w:tcPr>
          <w:p w14:paraId="21841380" w14:textId="77777777" w:rsidR="00734EBF" w:rsidRPr="00146A13" w:rsidRDefault="00734EBF" w:rsidP="004F5FDB">
            <w:pPr>
              <w:rPr>
                <w:rFonts w:cs="Arial"/>
                <w:szCs w:val="19"/>
              </w:rPr>
            </w:pPr>
            <w:r w:rsidRPr="00146A13">
              <w:rPr>
                <w:rFonts w:cs="Arial"/>
                <w:szCs w:val="19"/>
              </w:rPr>
              <w:t>Abatacept</w:t>
            </w:r>
            <w:r>
              <w:rPr>
                <w:rFonts w:cs="Arial"/>
                <w:szCs w:val="19"/>
              </w:rPr>
              <w:t xml:space="preserve"> (</w:t>
            </w:r>
            <w:r>
              <w:rPr>
                <w:rFonts w:cs="Arial"/>
                <w:i/>
                <w:iCs/>
                <w:szCs w:val="19"/>
              </w:rPr>
              <w:t>Orencia</w:t>
            </w:r>
            <w:r>
              <w:rPr>
                <w:rFonts w:cs="Arial"/>
                <w:szCs w:val="19"/>
              </w:rPr>
              <w:t>)</w:t>
            </w:r>
          </w:p>
        </w:tc>
        <w:tc>
          <w:tcPr>
            <w:tcW w:w="3707" w:type="pct"/>
            <w:shd w:val="clear" w:color="auto" w:fill="auto"/>
            <w:tcMar>
              <w:top w:w="57" w:type="dxa"/>
              <w:bottom w:w="57" w:type="dxa"/>
            </w:tcMar>
          </w:tcPr>
          <w:p w14:paraId="62ECCDB2" w14:textId="77777777" w:rsidR="00734EBF" w:rsidRDefault="00734EBF" w:rsidP="004F5FDB">
            <w:pPr>
              <w:tabs>
                <w:tab w:val="center" w:pos="3152"/>
              </w:tabs>
              <w:rPr>
                <w:rFonts w:cs="Arial"/>
                <w:szCs w:val="19"/>
                <w:lang w:val="en-US"/>
              </w:rPr>
            </w:pPr>
            <w:r w:rsidRPr="00146A13">
              <w:rPr>
                <w:rFonts w:cs="Arial"/>
                <w:szCs w:val="19"/>
                <w:lang w:val="en-US"/>
              </w:rPr>
              <w:t>Prevention of acute graft-versus-host disease</w:t>
            </w:r>
            <w:r>
              <w:rPr>
                <w:rFonts w:cs="Arial"/>
                <w:szCs w:val="19"/>
                <w:lang w:val="en-US"/>
              </w:rPr>
              <w:t xml:space="preserve"> in adults and children aged ≥2 years – EU filing withdrawn</w:t>
            </w:r>
          </w:p>
        </w:tc>
      </w:tr>
      <w:tr w:rsidR="00734EBF" w14:paraId="5655F90C" w14:textId="77777777" w:rsidTr="002545EA">
        <w:tc>
          <w:tcPr>
            <w:tcW w:w="1293" w:type="pct"/>
            <w:gridSpan w:val="2"/>
            <w:shd w:val="clear" w:color="auto" w:fill="auto"/>
            <w:tcMar>
              <w:top w:w="57" w:type="dxa"/>
              <w:bottom w:w="57" w:type="dxa"/>
            </w:tcMar>
          </w:tcPr>
          <w:p w14:paraId="49F8FA46" w14:textId="77777777" w:rsidR="00734EBF" w:rsidRPr="006D3E4F" w:rsidRDefault="00734EBF" w:rsidP="004F5FDB">
            <w:pPr>
              <w:rPr>
                <w:rFonts w:cs="Arial"/>
                <w:szCs w:val="19"/>
              </w:rPr>
            </w:pPr>
            <w:r w:rsidRPr="006D3E4F">
              <w:rPr>
                <w:rFonts w:cs="Arial"/>
                <w:szCs w:val="19"/>
              </w:rPr>
              <w:t>Atezolizumab</w:t>
            </w:r>
            <w:r>
              <w:rPr>
                <w:rFonts w:cs="Arial"/>
                <w:szCs w:val="19"/>
              </w:rPr>
              <w:t xml:space="preserve"> (</w:t>
            </w:r>
            <w:r>
              <w:rPr>
                <w:rFonts w:cs="Arial"/>
                <w:i/>
                <w:iCs/>
                <w:szCs w:val="19"/>
              </w:rPr>
              <w:t>Tecentriq</w:t>
            </w:r>
            <w:r>
              <w:rPr>
                <w:rFonts w:cs="Arial"/>
                <w:szCs w:val="19"/>
              </w:rPr>
              <w:t>)</w:t>
            </w:r>
          </w:p>
        </w:tc>
        <w:tc>
          <w:tcPr>
            <w:tcW w:w="3707" w:type="pct"/>
            <w:shd w:val="clear" w:color="auto" w:fill="auto"/>
            <w:tcMar>
              <w:top w:w="57" w:type="dxa"/>
              <w:bottom w:w="57" w:type="dxa"/>
            </w:tcMar>
          </w:tcPr>
          <w:p w14:paraId="6FA63541" w14:textId="77777777" w:rsidR="00734EBF" w:rsidRPr="00C05FAF" w:rsidRDefault="00734EBF" w:rsidP="004F5FDB">
            <w:pPr>
              <w:tabs>
                <w:tab w:val="center" w:pos="3152"/>
              </w:tabs>
              <w:rPr>
                <w:rFonts w:cs="Arial"/>
                <w:szCs w:val="19"/>
                <w:lang w:val="en-US"/>
              </w:rPr>
            </w:pPr>
            <w:r>
              <w:rPr>
                <w:rFonts w:cs="Arial"/>
                <w:szCs w:val="19"/>
                <w:lang w:val="en-US"/>
              </w:rPr>
              <w:t>Adjuvant treatment of s</w:t>
            </w:r>
            <w:r w:rsidRPr="006D3E4F">
              <w:rPr>
                <w:rFonts w:cs="Arial"/>
                <w:szCs w:val="19"/>
                <w:lang w:val="en-US"/>
              </w:rPr>
              <w:t xml:space="preserve">quamous cell carcinoma </w:t>
            </w:r>
            <w:r>
              <w:rPr>
                <w:rFonts w:cs="Arial"/>
                <w:szCs w:val="19"/>
                <w:lang w:val="en-US"/>
              </w:rPr>
              <w:t>of head and neck i</w:t>
            </w:r>
            <w:r w:rsidRPr="006D3E4F">
              <w:rPr>
                <w:rFonts w:cs="Arial"/>
                <w:szCs w:val="19"/>
                <w:lang w:val="en-US"/>
              </w:rPr>
              <w:t xml:space="preserve">n adults </w:t>
            </w:r>
            <w:r>
              <w:rPr>
                <w:rFonts w:cs="Arial"/>
                <w:szCs w:val="19"/>
                <w:lang w:val="en-US"/>
              </w:rPr>
              <w:t>–</w:t>
            </w:r>
            <w:r w:rsidRPr="006D3E4F">
              <w:rPr>
                <w:rFonts w:cs="Arial"/>
                <w:szCs w:val="19"/>
                <w:lang w:val="en-US"/>
              </w:rPr>
              <w:t xml:space="preserve"> </w:t>
            </w:r>
            <w:r>
              <w:rPr>
                <w:rFonts w:cs="Arial"/>
                <w:szCs w:val="19"/>
                <w:lang w:val="en-US"/>
              </w:rPr>
              <w:t>development discontinued (lack of efficacy)</w:t>
            </w:r>
          </w:p>
        </w:tc>
      </w:tr>
      <w:tr w:rsidR="00734EBF" w14:paraId="65CA31D9" w14:textId="77777777" w:rsidTr="002545EA">
        <w:tc>
          <w:tcPr>
            <w:tcW w:w="1293" w:type="pct"/>
            <w:gridSpan w:val="2"/>
            <w:shd w:val="clear" w:color="auto" w:fill="auto"/>
            <w:tcMar>
              <w:top w:w="57" w:type="dxa"/>
              <w:bottom w:w="57" w:type="dxa"/>
            </w:tcMar>
          </w:tcPr>
          <w:p w14:paraId="3B4013B5" w14:textId="77777777" w:rsidR="00734EBF" w:rsidRPr="00C05FAF" w:rsidRDefault="00734EBF" w:rsidP="004F5FDB">
            <w:pPr>
              <w:rPr>
                <w:rFonts w:cs="Arial"/>
                <w:szCs w:val="19"/>
              </w:rPr>
            </w:pPr>
            <w:r w:rsidRPr="006D3E4F">
              <w:rPr>
                <w:rFonts w:cs="Arial"/>
                <w:szCs w:val="19"/>
              </w:rPr>
              <w:t>Brentuximab vedotin (</w:t>
            </w:r>
            <w:r w:rsidRPr="006D3E4F">
              <w:rPr>
                <w:rFonts w:cs="Arial"/>
                <w:i/>
                <w:iCs/>
                <w:szCs w:val="19"/>
              </w:rPr>
              <w:t>Adcetris</w:t>
            </w:r>
            <w:r w:rsidRPr="006D3E4F">
              <w:rPr>
                <w:rFonts w:cs="Arial"/>
                <w:szCs w:val="19"/>
              </w:rPr>
              <w:t>)</w:t>
            </w:r>
          </w:p>
        </w:tc>
        <w:tc>
          <w:tcPr>
            <w:tcW w:w="3707" w:type="pct"/>
            <w:shd w:val="clear" w:color="auto" w:fill="auto"/>
            <w:tcMar>
              <w:top w:w="57" w:type="dxa"/>
              <w:bottom w:w="57" w:type="dxa"/>
            </w:tcMar>
          </w:tcPr>
          <w:p w14:paraId="2440D222" w14:textId="77777777" w:rsidR="00734EBF" w:rsidRDefault="00734EBF" w:rsidP="004F5FDB">
            <w:pPr>
              <w:tabs>
                <w:tab w:val="center" w:pos="3152"/>
              </w:tabs>
              <w:rPr>
                <w:rFonts w:cs="Arial"/>
                <w:szCs w:val="19"/>
                <w:lang w:val="en-US"/>
              </w:rPr>
            </w:pPr>
            <w:r>
              <w:rPr>
                <w:rFonts w:cs="Arial"/>
                <w:szCs w:val="19"/>
                <w:lang w:val="en-US"/>
              </w:rPr>
              <w:t xml:space="preserve">Use </w:t>
            </w:r>
            <w:r w:rsidRPr="006D3E4F">
              <w:rPr>
                <w:rFonts w:cs="Arial"/>
                <w:szCs w:val="19"/>
                <w:lang w:val="en-US"/>
              </w:rPr>
              <w:t>in adults with previously untreated CD30-positive peripheral T-cell lymphoma not otherwise specified</w:t>
            </w:r>
            <w:r>
              <w:rPr>
                <w:rFonts w:cs="Arial"/>
                <w:szCs w:val="19"/>
                <w:lang w:val="en-US"/>
              </w:rPr>
              <w:t xml:space="preserve"> – EU filing withdrawn</w:t>
            </w:r>
          </w:p>
        </w:tc>
      </w:tr>
      <w:tr w:rsidR="00734EBF" w14:paraId="73667493" w14:textId="77777777" w:rsidTr="002545EA">
        <w:tc>
          <w:tcPr>
            <w:tcW w:w="1293" w:type="pct"/>
            <w:gridSpan w:val="2"/>
            <w:shd w:val="clear" w:color="auto" w:fill="auto"/>
            <w:tcMar>
              <w:top w:w="57" w:type="dxa"/>
              <w:bottom w:w="57" w:type="dxa"/>
            </w:tcMar>
          </w:tcPr>
          <w:p w14:paraId="18E74753" w14:textId="77777777" w:rsidR="00734EBF" w:rsidRPr="00B66E55" w:rsidRDefault="00734EBF" w:rsidP="004F5FDB">
            <w:pPr>
              <w:rPr>
                <w:rFonts w:cs="Arial"/>
                <w:szCs w:val="19"/>
              </w:rPr>
            </w:pPr>
            <w:r w:rsidRPr="00B66E55">
              <w:rPr>
                <w:rFonts w:cs="Arial"/>
                <w:szCs w:val="19"/>
              </w:rPr>
              <w:t>Invimestrocel</w:t>
            </w:r>
            <w:r>
              <w:rPr>
                <w:rFonts w:cs="Arial"/>
                <w:szCs w:val="19"/>
              </w:rPr>
              <w:t xml:space="preserve"> (</w:t>
            </w:r>
            <w:r>
              <w:rPr>
                <w:rFonts w:cs="Arial"/>
                <w:i/>
                <w:iCs/>
                <w:szCs w:val="19"/>
              </w:rPr>
              <w:t>Multistem</w:t>
            </w:r>
            <w:r>
              <w:rPr>
                <w:rFonts w:cs="Arial"/>
                <w:szCs w:val="19"/>
              </w:rPr>
              <w:t>)</w:t>
            </w:r>
          </w:p>
        </w:tc>
        <w:tc>
          <w:tcPr>
            <w:tcW w:w="3707" w:type="pct"/>
            <w:shd w:val="clear" w:color="auto" w:fill="auto"/>
            <w:tcMar>
              <w:top w:w="57" w:type="dxa"/>
              <w:bottom w:w="57" w:type="dxa"/>
            </w:tcMar>
          </w:tcPr>
          <w:p w14:paraId="7BA7E76F" w14:textId="77777777" w:rsidR="00734EBF" w:rsidRPr="00C05FAF" w:rsidRDefault="00734EBF" w:rsidP="004F5FDB">
            <w:pPr>
              <w:tabs>
                <w:tab w:val="center" w:pos="3152"/>
              </w:tabs>
              <w:rPr>
                <w:rFonts w:cs="Arial"/>
                <w:szCs w:val="19"/>
                <w:lang w:val="en-US"/>
              </w:rPr>
            </w:pPr>
            <w:r>
              <w:rPr>
                <w:rFonts w:cs="Arial"/>
                <w:szCs w:val="19"/>
                <w:lang w:val="en-US"/>
              </w:rPr>
              <w:t>Ischaemic stroke in adults – development discontinued outside Japan (company failed)</w:t>
            </w:r>
          </w:p>
        </w:tc>
      </w:tr>
      <w:tr w:rsidR="00734EBF" w14:paraId="424FD75E" w14:textId="77777777" w:rsidTr="002545EA">
        <w:tc>
          <w:tcPr>
            <w:tcW w:w="1293" w:type="pct"/>
            <w:gridSpan w:val="2"/>
            <w:shd w:val="clear" w:color="auto" w:fill="auto"/>
            <w:tcMar>
              <w:top w:w="57" w:type="dxa"/>
              <w:bottom w:w="57" w:type="dxa"/>
            </w:tcMar>
          </w:tcPr>
          <w:p w14:paraId="3C9310EE" w14:textId="77777777" w:rsidR="00734EBF" w:rsidRPr="006D3E4F" w:rsidRDefault="00734EBF" w:rsidP="004F5FDB">
            <w:pPr>
              <w:rPr>
                <w:rFonts w:cs="Arial"/>
                <w:szCs w:val="19"/>
              </w:rPr>
            </w:pPr>
            <w:r w:rsidRPr="006D3E4F">
              <w:rPr>
                <w:rFonts w:cs="Arial"/>
                <w:szCs w:val="19"/>
              </w:rPr>
              <w:t>Opicapone</w:t>
            </w:r>
            <w:r>
              <w:rPr>
                <w:rFonts w:cs="Arial"/>
                <w:szCs w:val="19"/>
              </w:rPr>
              <w:t xml:space="preserve"> (</w:t>
            </w:r>
            <w:r>
              <w:rPr>
                <w:rFonts w:cs="Arial"/>
                <w:i/>
                <w:iCs/>
                <w:szCs w:val="19"/>
              </w:rPr>
              <w:t>Ongentys</w:t>
            </w:r>
            <w:r>
              <w:rPr>
                <w:rFonts w:cs="Arial"/>
                <w:szCs w:val="19"/>
              </w:rPr>
              <w:t>)</w:t>
            </w:r>
          </w:p>
        </w:tc>
        <w:tc>
          <w:tcPr>
            <w:tcW w:w="3707" w:type="pct"/>
            <w:shd w:val="clear" w:color="auto" w:fill="auto"/>
            <w:tcMar>
              <w:top w:w="57" w:type="dxa"/>
              <w:bottom w:w="57" w:type="dxa"/>
            </w:tcMar>
          </w:tcPr>
          <w:p w14:paraId="70FD5918" w14:textId="77777777" w:rsidR="00734EBF" w:rsidRDefault="00734EBF" w:rsidP="004F5FDB">
            <w:pPr>
              <w:tabs>
                <w:tab w:val="center" w:pos="3152"/>
              </w:tabs>
              <w:rPr>
                <w:rFonts w:cs="Arial"/>
                <w:szCs w:val="19"/>
                <w:lang w:val="en-US"/>
              </w:rPr>
            </w:pPr>
            <w:r w:rsidRPr="006D3E4F">
              <w:rPr>
                <w:rFonts w:cs="Arial"/>
                <w:szCs w:val="19"/>
                <w:lang w:val="en-US"/>
              </w:rPr>
              <w:t>Treatment of signs and symptoms of Parkinson’s disease</w:t>
            </w:r>
            <w:r>
              <w:rPr>
                <w:rFonts w:cs="Arial"/>
                <w:szCs w:val="19"/>
                <w:lang w:val="en-US"/>
              </w:rPr>
              <w:t xml:space="preserve"> – EU filing withdrawn</w:t>
            </w:r>
          </w:p>
        </w:tc>
      </w:tr>
      <w:tr w:rsidR="00734EBF" w14:paraId="7B4AE6B4" w14:textId="77777777" w:rsidTr="002545EA">
        <w:tc>
          <w:tcPr>
            <w:tcW w:w="1293" w:type="pct"/>
            <w:gridSpan w:val="2"/>
            <w:shd w:val="clear" w:color="auto" w:fill="auto"/>
            <w:tcMar>
              <w:top w:w="57" w:type="dxa"/>
              <w:bottom w:w="57" w:type="dxa"/>
            </w:tcMar>
          </w:tcPr>
          <w:p w14:paraId="0C060F7D" w14:textId="77777777" w:rsidR="00734EBF" w:rsidRPr="00A514DD" w:rsidRDefault="00734EBF" w:rsidP="004F5FDB">
            <w:pPr>
              <w:rPr>
                <w:rFonts w:cs="Arial"/>
                <w:szCs w:val="19"/>
              </w:rPr>
            </w:pPr>
            <w:r>
              <w:rPr>
                <w:rFonts w:cs="Arial"/>
                <w:szCs w:val="19"/>
              </w:rPr>
              <w:t>Pimavanserin (</w:t>
            </w:r>
            <w:r>
              <w:rPr>
                <w:rFonts w:cs="Arial"/>
                <w:i/>
                <w:iCs/>
                <w:szCs w:val="19"/>
              </w:rPr>
              <w:t>Nuplazid</w:t>
            </w:r>
            <w:r>
              <w:rPr>
                <w:rFonts w:cs="Arial"/>
                <w:szCs w:val="19"/>
              </w:rPr>
              <w:t>)</w:t>
            </w:r>
          </w:p>
        </w:tc>
        <w:tc>
          <w:tcPr>
            <w:tcW w:w="3707" w:type="pct"/>
            <w:shd w:val="clear" w:color="auto" w:fill="auto"/>
            <w:tcMar>
              <w:top w:w="57" w:type="dxa"/>
              <w:bottom w:w="57" w:type="dxa"/>
            </w:tcMar>
          </w:tcPr>
          <w:p w14:paraId="5F8CD5D2" w14:textId="77777777" w:rsidR="00734EBF" w:rsidRDefault="00734EBF" w:rsidP="004F5FDB">
            <w:pPr>
              <w:tabs>
                <w:tab w:val="center" w:pos="3152"/>
              </w:tabs>
              <w:rPr>
                <w:rFonts w:cs="Arial"/>
                <w:szCs w:val="19"/>
                <w:lang w:val="en-US"/>
              </w:rPr>
            </w:pPr>
            <w:r w:rsidRPr="00A514DD">
              <w:rPr>
                <w:rFonts w:cs="Arial"/>
                <w:szCs w:val="19"/>
                <w:lang w:val="en-US"/>
              </w:rPr>
              <w:t>Schizophrenia</w:t>
            </w:r>
            <w:r>
              <w:rPr>
                <w:rFonts w:cs="Arial"/>
                <w:szCs w:val="19"/>
                <w:lang w:val="en-US"/>
              </w:rPr>
              <w:t xml:space="preserve">, </w:t>
            </w:r>
            <w:r w:rsidRPr="00A514DD">
              <w:rPr>
                <w:rFonts w:cs="Arial"/>
                <w:szCs w:val="19"/>
                <w:lang w:val="en-US"/>
              </w:rPr>
              <w:t>predominant negative symptoms, in adults</w:t>
            </w:r>
            <w:r>
              <w:rPr>
                <w:rFonts w:cs="Arial"/>
                <w:szCs w:val="19"/>
                <w:lang w:val="en-US"/>
              </w:rPr>
              <w:t xml:space="preserve"> – development discontinued </w:t>
            </w:r>
          </w:p>
          <w:p w14:paraId="38F3C7F5" w14:textId="77777777" w:rsidR="00734EBF" w:rsidRDefault="00734EBF" w:rsidP="004F5FDB">
            <w:pPr>
              <w:tabs>
                <w:tab w:val="center" w:pos="3152"/>
              </w:tabs>
              <w:rPr>
                <w:rFonts w:cs="Arial"/>
                <w:szCs w:val="19"/>
                <w:lang w:val="en-US"/>
              </w:rPr>
            </w:pPr>
            <w:r>
              <w:rPr>
                <w:rFonts w:cs="Arial"/>
                <w:szCs w:val="19"/>
                <w:lang w:val="en-US"/>
              </w:rPr>
              <w:t>(lack of efficacy)</w:t>
            </w:r>
          </w:p>
        </w:tc>
      </w:tr>
      <w:tr w:rsidR="00734EBF" w14:paraId="021E1108" w14:textId="77777777" w:rsidTr="002545EA">
        <w:tc>
          <w:tcPr>
            <w:tcW w:w="1293" w:type="pct"/>
            <w:gridSpan w:val="2"/>
            <w:shd w:val="clear" w:color="auto" w:fill="auto"/>
            <w:tcMar>
              <w:top w:w="57" w:type="dxa"/>
              <w:bottom w:w="57" w:type="dxa"/>
            </w:tcMar>
          </w:tcPr>
          <w:p w14:paraId="4F797CC5" w14:textId="77777777" w:rsidR="00734EBF" w:rsidRPr="00A63D29" w:rsidRDefault="00734EBF" w:rsidP="004F5FDB">
            <w:pPr>
              <w:rPr>
                <w:rFonts w:cs="Arial"/>
                <w:szCs w:val="19"/>
              </w:rPr>
            </w:pPr>
            <w:r w:rsidRPr="000C7C18">
              <w:rPr>
                <w:rFonts w:cs="Arial"/>
                <w:szCs w:val="19"/>
              </w:rPr>
              <w:t>Vemircopan</w:t>
            </w:r>
            <w:r>
              <w:rPr>
                <w:rFonts w:cs="Arial"/>
                <w:szCs w:val="19"/>
              </w:rPr>
              <w:t xml:space="preserve"> </w:t>
            </w:r>
          </w:p>
        </w:tc>
        <w:tc>
          <w:tcPr>
            <w:tcW w:w="3707" w:type="pct"/>
            <w:shd w:val="clear" w:color="auto" w:fill="auto"/>
            <w:tcMar>
              <w:top w:w="57" w:type="dxa"/>
              <w:bottom w:w="57" w:type="dxa"/>
            </w:tcMar>
          </w:tcPr>
          <w:p w14:paraId="02B48051" w14:textId="77777777" w:rsidR="00734EBF" w:rsidRDefault="00734EBF" w:rsidP="004F5FDB">
            <w:pPr>
              <w:tabs>
                <w:tab w:val="center" w:pos="3152"/>
              </w:tabs>
              <w:rPr>
                <w:rFonts w:cs="Arial"/>
                <w:szCs w:val="19"/>
                <w:lang w:val="en-US"/>
              </w:rPr>
            </w:pPr>
            <w:r w:rsidRPr="000C7C18">
              <w:rPr>
                <w:rFonts w:cs="Arial"/>
                <w:szCs w:val="19"/>
                <w:lang w:val="en-US"/>
              </w:rPr>
              <w:t>Paroxysmal nocturnal haemoglobinuria</w:t>
            </w:r>
            <w:r>
              <w:rPr>
                <w:rFonts w:cs="Arial"/>
                <w:szCs w:val="19"/>
                <w:lang w:val="en-US"/>
              </w:rPr>
              <w:t xml:space="preserve"> in adults – development discontinued </w:t>
            </w:r>
          </w:p>
          <w:p w14:paraId="61AB425F" w14:textId="77777777" w:rsidR="00734EBF" w:rsidRDefault="00734EBF" w:rsidP="004F5FDB">
            <w:pPr>
              <w:tabs>
                <w:tab w:val="center" w:pos="3152"/>
              </w:tabs>
              <w:rPr>
                <w:rFonts w:cs="Arial"/>
                <w:szCs w:val="19"/>
                <w:lang w:val="en-US"/>
              </w:rPr>
            </w:pPr>
            <w:r>
              <w:rPr>
                <w:rFonts w:cs="Arial"/>
                <w:szCs w:val="19"/>
                <w:lang w:val="en-US"/>
              </w:rPr>
              <w:t>(company decision)</w:t>
            </w:r>
          </w:p>
        </w:tc>
      </w:tr>
      <w:tr w:rsidR="00734EBF" w:rsidRPr="000F19E1" w14:paraId="6BD7C29E" w14:textId="77777777" w:rsidTr="002545EA">
        <w:tc>
          <w:tcPr>
            <w:tcW w:w="1293" w:type="pct"/>
            <w:gridSpan w:val="2"/>
            <w:shd w:val="clear" w:color="auto" w:fill="auto"/>
            <w:tcMar>
              <w:top w:w="0" w:type="dxa"/>
              <w:bottom w:w="0" w:type="dxa"/>
            </w:tcMar>
          </w:tcPr>
          <w:p w14:paraId="56801435" w14:textId="77777777" w:rsidR="00734EBF" w:rsidRPr="000F19E1" w:rsidRDefault="00734EBF" w:rsidP="004F5FDB">
            <w:pPr>
              <w:rPr>
                <w:rFonts w:cs="Arial"/>
                <w:bCs/>
                <w:sz w:val="8"/>
                <w:szCs w:val="8"/>
              </w:rPr>
            </w:pPr>
          </w:p>
        </w:tc>
        <w:tc>
          <w:tcPr>
            <w:tcW w:w="3707" w:type="pct"/>
            <w:shd w:val="clear" w:color="auto" w:fill="auto"/>
            <w:tcMar>
              <w:top w:w="0" w:type="dxa"/>
              <w:bottom w:w="0" w:type="dxa"/>
            </w:tcMar>
          </w:tcPr>
          <w:p w14:paraId="0A9406DB" w14:textId="77777777" w:rsidR="00734EBF" w:rsidRPr="000F19E1" w:rsidRDefault="00734EBF" w:rsidP="004F5FDB">
            <w:pPr>
              <w:tabs>
                <w:tab w:val="center" w:pos="3152"/>
              </w:tabs>
              <w:rPr>
                <w:rFonts w:cs="Arial"/>
                <w:sz w:val="8"/>
                <w:szCs w:val="8"/>
                <w:lang w:val="en-US"/>
              </w:rPr>
            </w:pPr>
          </w:p>
        </w:tc>
      </w:tr>
      <w:tr w:rsidR="00734EBF" w:rsidRPr="000F19E1" w14:paraId="1FB4ACB2" w14:textId="77777777" w:rsidTr="002545EA">
        <w:tc>
          <w:tcPr>
            <w:tcW w:w="1293" w:type="pct"/>
            <w:gridSpan w:val="2"/>
            <w:shd w:val="clear" w:color="auto" w:fill="DAEEF3"/>
            <w:tcMar>
              <w:top w:w="0" w:type="dxa"/>
              <w:bottom w:w="0" w:type="dxa"/>
            </w:tcMar>
          </w:tcPr>
          <w:p w14:paraId="4F52170A" w14:textId="77777777" w:rsidR="00734EBF" w:rsidRPr="000F19E1" w:rsidRDefault="00734EBF" w:rsidP="004F5FDB">
            <w:pPr>
              <w:rPr>
                <w:rFonts w:cs="Arial"/>
                <w:bCs/>
                <w:sz w:val="8"/>
                <w:szCs w:val="8"/>
              </w:rPr>
            </w:pPr>
          </w:p>
        </w:tc>
        <w:tc>
          <w:tcPr>
            <w:tcW w:w="3707" w:type="pct"/>
            <w:shd w:val="clear" w:color="auto" w:fill="DAEEF3"/>
            <w:tcMar>
              <w:top w:w="0" w:type="dxa"/>
              <w:bottom w:w="0" w:type="dxa"/>
            </w:tcMar>
          </w:tcPr>
          <w:p w14:paraId="1B4ACD5A" w14:textId="77777777" w:rsidR="00734EBF" w:rsidRPr="000F19E1" w:rsidRDefault="00734EBF" w:rsidP="004F5FDB">
            <w:pPr>
              <w:tabs>
                <w:tab w:val="center" w:pos="3152"/>
              </w:tabs>
              <w:rPr>
                <w:rFonts w:cs="Arial"/>
                <w:sz w:val="8"/>
                <w:szCs w:val="8"/>
                <w:lang w:val="en-US"/>
              </w:rPr>
            </w:pPr>
          </w:p>
        </w:tc>
      </w:tr>
    </w:tbl>
    <w:p w14:paraId="13E4829D" w14:textId="77777777" w:rsidR="00A75BCB" w:rsidRDefault="00A75BCB"/>
    <w:p w14:paraId="40738F7C" w14:textId="77777777" w:rsidR="006825BB" w:rsidRPr="008949EF" w:rsidRDefault="006825BB" w:rsidP="003D16EF">
      <w:pPr>
        <w:rPr>
          <w:sz w:val="8"/>
          <w:szCs w:val="8"/>
        </w:rPr>
      </w:pPr>
    </w:p>
    <w:sectPr w:rsidR="006825BB" w:rsidRPr="008949EF" w:rsidSect="00F566AB">
      <w:headerReference w:type="even" r:id="rId15"/>
      <w:headerReference w:type="default" r:id="rId16"/>
      <w:footerReference w:type="default" r:id="rId17"/>
      <w:headerReference w:type="first" r:id="rId18"/>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1C9B" w14:textId="77777777" w:rsidR="00FD7909" w:rsidRDefault="00FD7909">
      <w:r>
        <w:separator/>
      </w:r>
    </w:p>
  </w:endnote>
  <w:endnote w:type="continuationSeparator" w:id="0">
    <w:p w14:paraId="0EE85579" w14:textId="77777777" w:rsidR="00FD7909" w:rsidRDefault="00FD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2EC3074A" w14:textId="77777777">
      <w:tc>
        <w:tcPr>
          <w:tcW w:w="10980" w:type="dxa"/>
          <w:shd w:val="clear" w:color="auto" w:fill="3366FF"/>
          <w:tcMar>
            <w:top w:w="28" w:type="dxa"/>
            <w:left w:w="57" w:type="dxa"/>
            <w:bottom w:w="28" w:type="dxa"/>
            <w:right w:w="57" w:type="dxa"/>
          </w:tcMar>
        </w:tcPr>
        <w:p w14:paraId="49DC9814"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6CBABA65" w14:textId="77777777">
      <w:tc>
        <w:tcPr>
          <w:tcW w:w="10980" w:type="dxa"/>
          <w:shd w:val="clear" w:color="auto" w:fill="auto"/>
          <w:tcMar>
            <w:left w:w="28" w:type="dxa"/>
            <w:right w:w="28" w:type="dxa"/>
          </w:tcMar>
        </w:tcPr>
        <w:p w14:paraId="0AFB7B6D"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528D9E90"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1474B98B" w14:textId="77777777" w:rsidTr="001734BF">
      <w:trPr>
        <w:trHeight w:val="262"/>
      </w:trPr>
      <w:tc>
        <w:tcPr>
          <w:tcW w:w="10774" w:type="dxa"/>
          <w:shd w:val="clear" w:color="auto" w:fill="0070C0"/>
          <w:tcMar>
            <w:top w:w="28" w:type="dxa"/>
            <w:left w:w="57" w:type="dxa"/>
            <w:bottom w:w="28" w:type="dxa"/>
            <w:right w:w="57" w:type="dxa"/>
          </w:tcMar>
        </w:tcPr>
        <w:p w14:paraId="578B4220"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57DB577C" w14:textId="77777777" w:rsidTr="001734BF">
      <w:trPr>
        <w:trHeight w:val="331"/>
      </w:trPr>
      <w:tc>
        <w:tcPr>
          <w:tcW w:w="10774" w:type="dxa"/>
          <w:shd w:val="clear" w:color="auto" w:fill="DAEEF3"/>
          <w:tcMar>
            <w:left w:w="28" w:type="dxa"/>
            <w:right w:w="28" w:type="dxa"/>
          </w:tcMar>
        </w:tcPr>
        <w:p w14:paraId="5CFEBCE5"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33A18E42"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14B82443"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3D28E37B" w14:textId="77777777" w:rsidTr="001734BF">
      <w:trPr>
        <w:trHeight w:val="262"/>
      </w:trPr>
      <w:tc>
        <w:tcPr>
          <w:tcW w:w="10774" w:type="dxa"/>
          <w:shd w:val="clear" w:color="auto" w:fill="0070C0"/>
          <w:tcMar>
            <w:top w:w="28" w:type="dxa"/>
            <w:left w:w="57" w:type="dxa"/>
            <w:bottom w:w="28" w:type="dxa"/>
            <w:right w:w="57" w:type="dxa"/>
          </w:tcMar>
        </w:tcPr>
        <w:p w14:paraId="732DBFED"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14F0EDC4" w14:textId="77777777" w:rsidTr="001734BF">
      <w:trPr>
        <w:trHeight w:val="331"/>
      </w:trPr>
      <w:tc>
        <w:tcPr>
          <w:tcW w:w="10774" w:type="dxa"/>
          <w:shd w:val="clear" w:color="auto" w:fill="DAEEF3"/>
          <w:tcMar>
            <w:left w:w="28" w:type="dxa"/>
            <w:right w:w="28" w:type="dxa"/>
          </w:tcMar>
        </w:tcPr>
        <w:p w14:paraId="64ABAD3D"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2921E8E9"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79DE37BD"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68B5" w14:textId="77777777" w:rsidR="00FD7909" w:rsidRDefault="00FD7909">
      <w:r>
        <w:separator/>
      </w:r>
    </w:p>
  </w:footnote>
  <w:footnote w:type="continuationSeparator" w:id="0">
    <w:p w14:paraId="1ABEA328" w14:textId="77777777" w:rsidR="00FD7909" w:rsidRDefault="00FD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BCA" w14:textId="3CBEB12D"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5E165C79" wp14:editId="1AE67835">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69E5276" wp14:editId="52CE3E1A">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313EFD" wp14:editId="754A5E0D">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A480" w14:textId="7A9FD958"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41071960" wp14:editId="48654D11">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C253"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50312B56" wp14:editId="09585FAE">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29A2FE91" w14:textId="77777777" w:rsidTr="002772ED">
      <w:tc>
        <w:tcPr>
          <w:tcW w:w="10774" w:type="dxa"/>
          <w:tcBorders>
            <w:top w:val="nil"/>
            <w:left w:val="nil"/>
            <w:bottom w:val="nil"/>
            <w:right w:val="nil"/>
          </w:tcBorders>
          <w:shd w:val="clear" w:color="auto" w:fill="DAEEF3"/>
        </w:tcPr>
        <w:p w14:paraId="1274E5DD" w14:textId="77777777" w:rsidR="000D44DB" w:rsidRPr="00CD021E" w:rsidRDefault="008004F3"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March</w:t>
          </w:r>
          <w:r w:rsidR="00A75BCB">
            <w:rPr>
              <w:rFonts w:cs="Arial"/>
              <w:b/>
              <w:bCs/>
              <w:color w:val="0070C0"/>
              <w:sz w:val="36"/>
              <w:szCs w:val="36"/>
              <w14:shadow w14:blurRad="50800" w14:dist="38100" w14:dir="2700000" w14:sx="100000" w14:sy="100000" w14:kx="0" w14:ky="0" w14:algn="tl">
                <w14:srgbClr w14:val="000000">
                  <w14:alpha w14:val="60000"/>
                </w14:srgbClr>
              </w14:shadow>
            </w:rPr>
            <w:t xml:space="preserve"> 202</w:t>
          </w:r>
          <w:r w:rsidR="001D7529">
            <w:rPr>
              <w:rFonts w:cs="Arial"/>
              <w:b/>
              <w:bCs/>
              <w:color w:val="0070C0"/>
              <w:sz w:val="36"/>
              <w:szCs w:val="36"/>
              <w14:shadow w14:blurRad="50800" w14:dist="38100" w14:dir="2700000" w14:sx="100000" w14:sy="100000" w14:kx="0" w14:ky="0" w14:algn="tl">
                <w14:srgbClr w14:val="000000">
                  <w14:alpha w14:val="60000"/>
                </w14:srgbClr>
              </w14:shadow>
            </w:rPr>
            <w:t>4</w:t>
          </w:r>
        </w:p>
      </w:tc>
    </w:tr>
    <w:tr w:rsidR="000D44DB" w:rsidRPr="00CD021E" w14:paraId="1EF1851B" w14:textId="77777777" w:rsidTr="002772ED">
      <w:tc>
        <w:tcPr>
          <w:tcW w:w="10774" w:type="dxa"/>
          <w:tcBorders>
            <w:top w:val="nil"/>
            <w:left w:val="nil"/>
            <w:bottom w:val="nil"/>
            <w:right w:val="nil"/>
          </w:tcBorders>
          <w:shd w:val="clear" w:color="auto" w:fill="0070C0"/>
        </w:tcPr>
        <w:p w14:paraId="6D0CCBC0"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4339C81B" w14:textId="77777777" w:rsidTr="002772ED">
      <w:tc>
        <w:tcPr>
          <w:tcW w:w="10774" w:type="dxa"/>
          <w:tcBorders>
            <w:top w:val="nil"/>
            <w:left w:val="nil"/>
            <w:bottom w:val="nil"/>
            <w:right w:val="nil"/>
          </w:tcBorders>
          <w:shd w:val="clear" w:color="auto" w:fill="DAEEF3"/>
        </w:tcPr>
        <w:p w14:paraId="328C1621"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1ABE7EAA"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09E" w14:textId="2FA73590"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B7C8" w14:textId="08EE94D7"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F5FD" w14:textId="43D0B580" w:rsidR="000D44DB" w:rsidRPr="00CD021E" w:rsidRDefault="00A75BCB" w:rsidP="006E3EC5">
    <w:pPr>
      <w:pStyle w:val="Header"/>
      <w:tabs>
        <w:tab w:val="clear" w:pos="8306"/>
        <w:tab w:val="left" w:pos="7830"/>
      </w:tabs>
      <w:spacing w:before="120"/>
      <w:rPr>
        <w:rFonts w:cs="Arial"/>
        <w:b/>
        <w:bCs/>
        <w:i/>
        <w:color w:val="31849B"/>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0C7579BF" wp14:editId="11CC508F">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07121DB7" wp14:editId="5D0AA270">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6F6" w14:textId="6162088B"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04711">
    <w:abstractNumId w:val="1"/>
  </w:num>
  <w:num w:numId="2" w16cid:durableId="4269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09"/>
    <w:rsid w:val="0000035C"/>
    <w:rsid w:val="000005B6"/>
    <w:rsid w:val="000005EF"/>
    <w:rsid w:val="00000A0A"/>
    <w:rsid w:val="00000BE4"/>
    <w:rsid w:val="00000F87"/>
    <w:rsid w:val="000010F8"/>
    <w:rsid w:val="0000199C"/>
    <w:rsid w:val="00001F19"/>
    <w:rsid w:val="0000290B"/>
    <w:rsid w:val="00002A08"/>
    <w:rsid w:val="00003329"/>
    <w:rsid w:val="00003421"/>
    <w:rsid w:val="000034B3"/>
    <w:rsid w:val="00003C95"/>
    <w:rsid w:val="00003D95"/>
    <w:rsid w:val="000042E9"/>
    <w:rsid w:val="00005014"/>
    <w:rsid w:val="00005119"/>
    <w:rsid w:val="00005271"/>
    <w:rsid w:val="000052F0"/>
    <w:rsid w:val="00005673"/>
    <w:rsid w:val="00005703"/>
    <w:rsid w:val="000057D2"/>
    <w:rsid w:val="00005CE9"/>
    <w:rsid w:val="00006527"/>
    <w:rsid w:val="000065F4"/>
    <w:rsid w:val="000072EC"/>
    <w:rsid w:val="0000751E"/>
    <w:rsid w:val="000075ED"/>
    <w:rsid w:val="0000769C"/>
    <w:rsid w:val="000102A1"/>
    <w:rsid w:val="000102E8"/>
    <w:rsid w:val="00010447"/>
    <w:rsid w:val="0001067C"/>
    <w:rsid w:val="00010B1D"/>
    <w:rsid w:val="00011176"/>
    <w:rsid w:val="000111C5"/>
    <w:rsid w:val="000114B1"/>
    <w:rsid w:val="00011D4B"/>
    <w:rsid w:val="00011E5B"/>
    <w:rsid w:val="00012B74"/>
    <w:rsid w:val="00012BA7"/>
    <w:rsid w:val="00012DCA"/>
    <w:rsid w:val="00012E19"/>
    <w:rsid w:val="00012E28"/>
    <w:rsid w:val="00013267"/>
    <w:rsid w:val="000132A0"/>
    <w:rsid w:val="00013575"/>
    <w:rsid w:val="000135BF"/>
    <w:rsid w:val="00013853"/>
    <w:rsid w:val="00013B16"/>
    <w:rsid w:val="00013CD9"/>
    <w:rsid w:val="00013E21"/>
    <w:rsid w:val="00014028"/>
    <w:rsid w:val="00014115"/>
    <w:rsid w:val="00014240"/>
    <w:rsid w:val="0001441B"/>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D00"/>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E46"/>
    <w:rsid w:val="000320DC"/>
    <w:rsid w:val="000322AB"/>
    <w:rsid w:val="000327BA"/>
    <w:rsid w:val="00032BD9"/>
    <w:rsid w:val="0003313C"/>
    <w:rsid w:val="00033349"/>
    <w:rsid w:val="0003344C"/>
    <w:rsid w:val="00033AD4"/>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B83"/>
    <w:rsid w:val="00040CA3"/>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6696"/>
    <w:rsid w:val="000566A1"/>
    <w:rsid w:val="00056809"/>
    <w:rsid w:val="00056DB0"/>
    <w:rsid w:val="000570FC"/>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0CBC"/>
    <w:rsid w:val="00071178"/>
    <w:rsid w:val="0007155B"/>
    <w:rsid w:val="000719B7"/>
    <w:rsid w:val="00071A86"/>
    <w:rsid w:val="00071BD9"/>
    <w:rsid w:val="00071DB1"/>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CFF"/>
    <w:rsid w:val="0008258A"/>
    <w:rsid w:val="00082DF6"/>
    <w:rsid w:val="00082E64"/>
    <w:rsid w:val="0008303B"/>
    <w:rsid w:val="00083231"/>
    <w:rsid w:val="000834AE"/>
    <w:rsid w:val="00083FAC"/>
    <w:rsid w:val="0008405B"/>
    <w:rsid w:val="00084760"/>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AEC"/>
    <w:rsid w:val="000933A6"/>
    <w:rsid w:val="00093CB7"/>
    <w:rsid w:val="0009414D"/>
    <w:rsid w:val="00094388"/>
    <w:rsid w:val="00094B31"/>
    <w:rsid w:val="00094FC6"/>
    <w:rsid w:val="0009514E"/>
    <w:rsid w:val="0009515F"/>
    <w:rsid w:val="000951E1"/>
    <w:rsid w:val="000954DD"/>
    <w:rsid w:val="000955AC"/>
    <w:rsid w:val="000957EA"/>
    <w:rsid w:val="00095818"/>
    <w:rsid w:val="00095974"/>
    <w:rsid w:val="00095B4D"/>
    <w:rsid w:val="00095EE7"/>
    <w:rsid w:val="000966BB"/>
    <w:rsid w:val="00096800"/>
    <w:rsid w:val="00096BBF"/>
    <w:rsid w:val="00096C4B"/>
    <w:rsid w:val="0009708E"/>
    <w:rsid w:val="0009792A"/>
    <w:rsid w:val="00097B79"/>
    <w:rsid w:val="00097E17"/>
    <w:rsid w:val="000A0040"/>
    <w:rsid w:val="000A02AD"/>
    <w:rsid w:val="000A0B38"/>
    <w:rsid w:val="000A1199"/>
    <w:rsid w:val="000A22E9"/>
    <w:rsid w:val="000A241E"/>
    <w:rsid w:val="000A2810"/>
    <w:rsid w:val="000A289B"/>
    <w:rsid w:val="000A2C52"/>
    <w:rsid w:val="000A2E37"/>
    <w:rsid w:val="000A36D0"/>
    <w:rsid w:val="000A3B1E"/>
    <w:rsid w:val="000A41D4"/>
    <w:rsid w:val="000A421F"/>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8C2"/>
    <w:rsid w:val="000B1AAB"/>
    <w:rsid w:val="000B1C18"/>
    <w:rsid w:val="000B1C59"/>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F2C"/>
    <w:rsid w:val="000B6184"/>
    <w:rsid w:val="000B6843"/>
    <w:rsid w:val="000B6EB2"/>
    <w:rsid w:val="000B706F"/>
    <w:rsid w:val="000B77F8"/>
    <w:rsid w:val="000B78CC"/>
    <w:rsid w:val="000B7AE2"/>
    <w:rsid w:val="000C0203"/>
    <w:rsid w:val="000C041C"/>
    <w:rsid w:val="000C091B"/>
    <w:rsid w:val="000C0F48"/>
    <w:rsid w:val="000C0F5C"/>
    <w:rsid w:val="000C1356"/>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F42"/>
    <w:rsid w:val="000C60E6"/>
    <w:rsid w:val="000C6548"/>
    <w:rsid w:val="000C6591"/>
    <w:rsid w:val="000C6D2E"/>
    <w:rsid w:val="000C709F"/>
    <w:rsid w:val="000C72CA"/>
    <w:rsid w:val="000C7872"/>
    <w:rsid w:val="000C7AFF"/>
    <w:rsid w:val="000C7BA9"/>
    <w:rsid w:val="000C7C18"/>
    <w:rsid w:val="000C7C7C"/>
    <w:rsid w:val="000C7CAA"/>
    <w:rsid w:val="000D0476"/>
    <w:rsid w:val="000D04C1"/>
    <w:rsid w:val="000D0624"/>
    <w:rsid w:val="000D0DF7"/>
    <w:rsid w:val="000D0E50"/>
    <w:rsid w:val="000D1171"/>
    <w:rsid w:val="000D13A6"/>
    <w:rsid w:val="000D2113"/>
    <w:rsid w:val="000D2266"/>
    <w:rsid w:val="000D273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7E24"/>
    <w:rsid w:val="000D7EAD"/>
    <w:rsid w:val="000E06CA"/>
    <w:rsid w:val="000E07FC"/>
    <w:rsid w:val="000E0B79"/>
    <w:rsid w:val="000E0C92"/>
    <w:rsid w:val="000E0D69"/>
    <w:rsid w:val="000E0ECF"/>
    <w:rsid w:val="000E0F57"/>
    <w:rsid w:val="000E12A8"/>
    <w:rsid w:val="000E184E"/>
    <w:rsid w:val="000E1A44"/>
    <w:rsid w:val="000E1DE0"/>
    <w:rsid w:val="000E21D3"/>
    <w:rsid w:val="000E247B"/>
    <w:rsid w:val="000E247C"/>
    <w:rsid w:val="000E27E9"/>
    <w:rsid w:val="000E2A6C"/>
    <w:rsid w:val="000E2DC9"/>
    <w:rsid w:val="000E2E4B"/>
    <w:rsid w:val="000E2FF1"/>
    <w:rsid w:val="000E3DFD"/>
    <w:rsid w:val="000E4477"/>
    <w:rsid w:val="000E45E9"/>
    <w:rsid w:val="000E4A24"/>
    <w:rsid w:val="000E5217"/>
    <w:rsid w:val="000E5C17"/>
    <w:rsid w:val="000E6471"/>
    <w:rsid w:val="000E69A5"/>
    <w:rsid w:val="000E721B"/>
    <w:rsid w:val="000E74D2"/>
    <w:rsid w:val="000E789D"/>
    <w:rsid w:val="000F0055"/>
    <w:rsid w:val="000F0481"/>
    <w:rsid w:val="000F04BF"/>
    <w:rsid w:val="000F0699"/>
    <w:rsid w:val="000F078E"/>
    <w:rsid w:val="000F0BA2"/>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C32"/>
    <w:rsid w:val="000F4C9B"/>
    <w:rsid w:val="000F52A7"/>
    <w:rsid w:val="000F58A1"/>
    <w:rsid w:val="000F5AA4"/>
    <w:rsid w:val="000F5AC6"/>
    <w:rsid w:val="000F5C5A"/>
    <w:rsid w:val="000F5D25"/>
    <w:rsid w:val="000F613C"/>
    <w:rsid w:val="000F6985"/>
    <w:rsid w:val="000F715A"/>
    <w:rsid w:val="000F72CB"/>
    <w:rsid w:val="000F7AE5"/>
    <w:rsid w:val="000F7B5F"/>
    <w:rsid w:val="001007E8"/>
    <w:rsid w:val="0010093F"/>
    <w:rsid w:val="00100AA8"/>
    <w:rsid w:val="00100B3E"/>
    <w:rsid w:val="0010109D"/>
    <w:rsid w:val="00101327"/>
    <w:rsid w:val="001017B0"/>
    <w:rsid w:val="0010229B"/>
    <w:rsid w:val="00102869"/>
    <w:rsid w:val="00102BB5"/>
    <w:rsid w:val="001036A5"/>
    <w:rsid w:val="001044CC"/>
    <w:rsid w:val="00104591"/>
    <w:rsid w:val="00104765"/>
    <w:rsid w:val="00104B62"/>
    <w:rsid w:val="00104CAF"/>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9FA"/>
    <w:rsid w:val="00114A1E"/>
    <w:rsid w:val="00114AB9"/>
    <w:rsid w:val="00114DA9"/>
    <w:rsid w:val="00114EBA"/>
    <w:rsid w:val="00114F6B"/>
    <w:rsid w:val="0011546D"/>
    <w:rsid w:val="001155CF"/>
    <w:rsid w:val="00115872"/>
    <w:rsid w:val="00116043"/>
    <w:rsid w:val="001160C4"/>
    <w:rsid w:val="00116463"/>
    <w:rsid w:val="00116637"/>
    <w:rsid w:val="001168CC"/>
    <w:rsid w:val="001169DD"/>
    <w:rsid w:val="0011771E"/>
    <w:rsid w:val="001200DD"/>
    <w:rsid w:val="0012045D"/>
    <w:rsid w:val="001209AC"/>
    <w:rsid w:val="00120B32"/>
    <w:rsid w:val="0012143F"/>
    <w:rsid w:val="00122124"/>
    <w:rsid w:val="001221E3"/>
    <w:rsid w:val="0012226D"/>
    <w:rsid w:val="0012281C"/>
    <w:rsid w:val="00122966"/>
    <w:rsid w:val="00122EC3"/>
    <w:rsid w:val="00123512"/>
    <w:rsid w:val="00123811"/>
    <w:rsid w:val="00123C6D"/>
    <w:rsid w:val="00123FBB"/>
    <w:rsid w:val="001241B1"/>
    <w:rsid w:val="00124603"/>
    <w:rsid w:val="0012477A"/>
    <w:rsid w:val="00124CBF"/>
    <w:rsid w:val="00124FE3"/>
    <w:rsid w:val="0012683D"/>
    <w:rsid w:val="00126CCD"/>
    <w:rsid w:val="00126E8C"/>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48A"/>
    <w:rsid w:val="001325E6"/>
    <w:rsid w:val="0013261A"/>
    <w:rsid w:val="00132D15"/>
    <w:rsid w:val="001338F8"/>
    <w:rsid w:val="00134027"/>
    <w:rsid w:val="0013460E"/>
    <w:rsid w:val="00134DB3"/>
    <w:rsid w:val="00134DB5"/>
    <w:rsid w:val="00135434"/>
    <w:rsid w:val="00135B8B"/>
    <w:rsid w:val="00135D8F"/>
    <w:rsid w:val="001360D1"/>
    <w:rsid w:val="00136298"/>
    <w:rsid w:val="00136887"/>
    <w:rsid w:val="00136EE3"/>
    <w:rsid w:val="00136FC4"/>
    <w:rsid w:val="001370F3"/>
    <w:rsid w:val="001373C5"/>
    <w:rsid w:val="001375C8"/>
    <w:rsid w:val="00137605"/>
    <w:rsid w:val="00137C23"/>
    <w:rsid w:val="00137EA2"/>
    <w:rsid w:val="00140395"/>
    <w:rsid w:val="00140724"/>
    <w:rsid w:val="0014076F"/>
    <w:rsid w:val="00140EF1"/>
    <w:rsid w:val="0014109C"/>
    <w:rsid w:val="001410D6"/>
    <w:rsid w:val="001414BF"/>
    <w:rsid w:val="00141635"/>
    <w:rsid w:val="00141796"/>
    <w:rsid w:val="001429B9"/>
    <w:rsid w:val="00142EAA"/>
    <w:rsid w:val="00144258"/>
    <w:rsid w:val="00144425"/>
    <w:rsid w:val="0014519F"/>
    <w:rsid w:val="00145426"/>
    <w:rsid w:val="001455B3"/>
    <w:rsid w:val="00145984"/>
    <w:rsid w:val="001459AF"/>
    <w:rsid w:val="00145A91"/>
    <w:rsid w:val="00145B63"/>
    <w:rsid w:val="00145CFD"/>
    <w:rsid w:val="00145DFA"/>
    <w:rsid w:val="00146059"/>
    <w:rsid w:val="001460E1"/>
    <w:rsid w:val="00146A13"/>
    <w:rsid w:val="00146C32"/>
    <w:rsid w:val="00147177"/>
    <w:rsid w:val="001473E8"/>
    <w:rsid w:val="001474FC"/>
    <w:rsid w:val="00147874"/>
    <w:rsid w:val="00147DEE"/>
    <w:rsid w:val="00147E5F"/>
    <w:rsid w:val="00150038"/>
    <w:rsid w:val="00150095"/>
    <w:rsid w:val="00150374"/>
    <w:rsid w:val="00150648"/>
    <w:rsid w:val="001507BD"/>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B8C"/>
    <w:rsid w:val="00157C96"/>
    <w:rsid w:val="00160A03"/>
    <w:rsid w:val="00160C3F"/>
    <w:rsid w:val="00160C4D"/>
    <w:rsid w:val="00160CE3"/>
    <w:rsid w:val="00161702"/>
    <w:rsid w:val="00161AC5"/>
    <w:rsid w:val="00162022"/>
    <w:rsid w:val="0016202E"/>
    <w:rsid w:val="001620E8"/>
    <w:rsid w:val="00162453"/>
    <w:rsid w:val="00162626"/>
    <w:rsid w:val="00162C56"/>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4C4"/>
    <w:rsid w:val="00171709"/>
    <w:rsid w:val="00171736"/>
    <w:rsid w:val="001719DC"/>
    <w:rsid w:val="00171B78"/>
    <w:rsid w:val="00171F52"/>
    <w:rsid w:val="0017278A"/>
    <w:rsid w:val="001731F8"/>
    <w:rsid w:val="00173504"/>
    <w:rsid w:val="001736EE"/>
    <w:rsid w:val="001738EB"/>
    <w:rsid w:val="00173AE7"/>
    <w:rsid w:val="00173BE6"/>
    <w:rsid w:val="00173F9E"/>
    <w:rsid w:val="00174031"/>
    <w:rsid w:val="00174144"/>
    <w:rsid w:val="001745D3"/>
    <w:rsid w:val="00174929"/>
    <w:rsid w:val="0017531D"/>
    <w:rsid w:val="00175832"/>
    <w:rsid w:val="00175908"/>
    <w:rsid w:val="00175B07"/>
    <w:rsid w:val="001760AF"/>
    <w:rsid w:val="0017623C"/>
    <w:rsid w:val="00176569"/>
    <w:rsid w:val="001765B1"/>
    <w:rsid w:val="001766A3"/>
    <w:rsid w:val="00176A18"/>
    <w:rsid w:val="00176C78"/>
    <w:rsid w:val="00176D60"/>
    <w:rsid w:val="00176FAB"/>
    <w:rsid w:val="00177544"/>
    <w:rsid w:val="0017769E"/>
    <w:rsid w:val="0017782F"/>
    <w:rsid w:val="00177EF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90171"/>
    <w:rsid w:val="001905A1"/>
    <w:rsid w:val="00190606"/>
    <w:rsid w:val="00190876"/>
    <w:rsid w:val="00190C73"/>
    <w:rsid w:val="00190CC6"/>
    <w:rsid w:val="00190DD4"/>
    <w:rsid w:val="00191B7B"/>
    <w:rsid w:val="00191C5D"/>
    <w:rsid w:val="00192083"/>
    <w:rsid w:val="00192383"/>
    <w:rsid w:val="00192F26"/>
    <w:rsid w:val="00193B7B"/>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9B4"/>
    <w:rsid w:val="001A1B68"/>
    <w:rsid w:val="001A1BB2"/>
    <w:rsid w:val="001A27B9"/>
    <w:rsid w:val="001A2A37"/>
    <w:rsid w:val="001A2B11"/>
    <w:rsid w:val="001A2F36"/>
    <w:rsid w:val="001A2FF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F06"/>
    <w:rsid w:val="001A719C"/>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4F1"/>
    <w:rsid w:val="001B7AC1"/>
    <w:rsid w:val="001B7C4F"/>
    <w:rsid w:val="001B7CFF"/>
    <w:rsid w:val="001C0985"/>
    <w:rsid w:val="001C0BB4"/>
    <w:rsid w:val="001C0CFC"/>
    <w:rsid w:val="001C0F6D"/>
    <w:rsid w:val="001C12DF"/>
    <w:rsid w:val="001C162D"/>
    <w:rsid w:val="001C19C1"/>
    <w:rsid w:val="001C21C3"/>
    <w:rsid w:val="001C2379"/>
    <w:rsid w:val="001C24D1"/>
    <w:rsid w:val="001C26D4"/>
    <w:rsid w:val="001C29D1"/>
    <w:rsid w:val="001C304B"/>
    <w:rsid w:val="001C3113"/>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F0D"/>
    <w:rsid w:val="001D00BE"/>
    <w:rsid w:val="001D059B"/>
    <w:rsid w:val="001D0BAA"/>
    <w:rsid w:val="001D194C"/>
    <w:rsid w:val="001D1980"/>
    <w:rsid w:val="001D19F8"/>
    <w:rsid w:val="001D1AC6"/>
    <w:rsid w:val="001D1BE1"/>
    <w:rsid w:val="001D1C22"/>
    <w:rsid w:val="001D1CB8"/>
    <w:rsid w:val="001D1EE8"/>
    <w:rsid w:val="001D25F7"/>
    <w:rsid w:val="001D2869"/>
    <w:rsid w:val="001D3504"/>
    <w:rsid w:val="001D3E33"/>
    <w:rsid w:val="001D44A9"/>
    <w:rsid w:val="001D477C"/>
    <w:rsid w:val="001D48C2"/>
    <w:rsid w:val="001D4F72"/>
    <w:rsid w:val="001D5156"/>
    <w:rsid w:val="001D51EE"/>
    <w:rsid w:val="001D553A"/>
    <w:rsid w:val="001D56D8"/>
    <w:rsid w:val="001D5D63"/>
    <w:rsid w:val="001D5E32"/>
    <w:rsid w:val="001D662A"/>
    <w:rsid w:val="001D6674"/>
    <w:rsid w:val="001D68A9"/>
    <w:rsid w:val="001D69F6"/>
    <w:rsid w:val="001D6ED1"/>
    <w:rsid w:val="001D73E9"/>
    <w:rsid w:val="001D7529"/>
    <w:rsid w:val="001D7622"/>
    <w:rsid w:val="001D7849"/>
    <w:rsid w:val="001E0988"/>
    <w:rsid w:val="001E0B4B"/>
    <w:rsid w:val="001E1104"/>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BC4"/>
    <w:rsid w:val="001F4FE5"/>
    <w:rsid w:val="001F51FB"/>
    <w:rsid w:val="001F526D"/>
    <w:rsid w:val="001F6640"/>
    <w:rsid w:val="001F668A"/>
    <w:rsid w:val="001F692A"/>
    <w:rsid w:val="001F6A76"/>
    <w:rsid w:val="001F6B79"/>
    <w:rsid w:val="001F70B0"/>
    <w:rsid w:val="001F7219"/>
    <w:rsid w:val="001F7299"/>
    <w:rsid w:val="001F739B"/>
    <w:rsid w:val="001F74EC"/>
    <w:rsid w:val="001F7675"/>
    <w:rsid w:val="001F78C4"/>
    <w:rsid w:val="001F7A57"/>
    <w:rsid w:val="001F7BE1"/>
    <w:rsid w:val="001F7FE3"/>
    <w:rsid w:val="0020001D"/>
    <w:rsid w:val="00200066"/>
    <w:rsid w:val="0020021E"/>
    <w:rsid w:val="00200846"/>
    <w:rsid w:val="002008F6"/>
    <w:rsid w:val="00200ACA"/>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10012"/>
    <w:rsid w:val="002103DD"/>
    <w:rsid w:val="00210665"/>
    <w:rsid w:val="00210E29"/>
    <w:rsid w:val="002116E1"/>
    <w:rsid w:val="00211AEA"/>
    <w:rsid w:val="00211DBE"/>
    <w:rsid w:val="00211E03"/>
    <w:rsid w:val="00211E9E"/>
    <w:rsid w:val="002122ED"/>
    <w:rsid w:val="002129BF"/>
    <w:rsid w:val="00212C2D"/>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3048"/>
    <w:rsid w:val="002230B3"/>
    <w:rsid w:val="00223499"/>
    <w:rsid w:val="00223525"/>
    <w:rsid w:val="00223BD2"/>
    <w:rsid w:val="002243B2"/>
    <w:rsid w:val="00224558"/>
    <w:rsid w:val="002250B5"/>
    <w:rsid w:val="00225968"/>
    <w:rsid w:val="00226AC8"/>
    <w:rsid w:val="00226B8B"/>
    <w:rsid w:val="00227007"/>
    <w:rsid w:val="00227831"/>
    <w:rsid w:val="00227D77"/>
    <w:rsid w:val="00227D9A"/>
    <w:rsid w:val="00227EE4"/>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37F"/>
    <w:rsid w:val="002543B7"/>
    <w:rsid w:val="002543E4"/>
    <w:rsid w:val="002545EA"/>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E67"/>
    <w:rsid w:val="00260F20"/>
    <w:rsid w:val="00261176"/>
    <w:rsid w:val="00261393"/>
    <w:rsid w:val="002613DB"/>
    <w:rsid w:val="002618A3"/>
    <w:rsid w:val="00262123"/>
    <w:rsid w:val="00262646"/>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64E"/>
    <w:rsid w:val="00273CD5"/>
    <w:rsid w:val="00274631"/>
    <w:rsid w:val="00274945"/>
    <w:rsid w:val="00274BBF"/>
    <w:rsid w:val="0027520A"/>
    <w:rsid w:val="00275496"/>
    <w:rsid w:val="0027561D"/>
    <w:rsid w:val="0027585D"/>
    <w:rsid w:val="00275DE2"/>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911"/>
    <w:rsid w:val="00283CB0"/>
    <w:rsid w:val="00283F18"/>
    <w:rsid w:val="00283F7A"/>
    <w:rsid w:val="00283F89"/>
    <w:rsid w:val="00284054"/>
    <w:rsid w:val="00284309"/>
    <w:rsid w:val="0028484C"/>
    <w:rsid w:val="00284A2D"/>
    <w:rsid w:val="00284AC3"/>
    <w:rsid w:val="00284BAB"/>
    <w:rsid w:val="00284BEB"/>
    <w:rsid w:val="00285217"/>
    <w:rsid w:val="00285391"/>
    <w:rsid w:val="00285468"/>
    <w:rsid w:val="00285C95"/>
    <w:rsid w:val="00285DB7"/>
    <w:rsid w:val="0028600C"/>
    <w:rsid w:val="00286614"/>
    <w:rsid w:val="0028663B"/>
    <w:rsid w:val="002872FD"/>
    <w:rsid w:val="002873A1"/>
    <w:rsid w:val="00287719"/>
    <w:rsid w:val="00287779"/>
    <w:rsid w:val="002879F7"/>
    <w:rsid w:val="00287E8A"/>
    <w:rsid w:val="00290279"/>
    <w:rsid w:val="00290C6C"/>
    <w:rsid w:val="002910D9"/>
    <w:rsid w:val="00291C64"/>
    <w:rsid w:val="00291ECE"/>
    <w:rsid w:val="00292281"/>
    <w:rsid w:val="002922FD"/>
    <w:rsid w:val="002928CE"/>
    <w:rsid w:val="00292D97"/>
    <w:rsid w:val="00293126"/>
    <w:rsid w:val="002931D4"/>
    <w:rsid w:val="00293C95"/>
    <w:rsid w:val="00293CD8"/>
    <w:rsid w:val="002941AC"/>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6DB7"/>
    <w:rsid w:val="002A72AF"/>
    <w:rsid w:val="002A72DE"/>
    <w:rsid w:val="002A75FA"/>
    <w:rsid w:val="002A7722"/>
    <w:rsid w:val="002A7C62"/>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28C"/>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E68"/>
    <w:rsid w:val="002B7FAB"/>
    <w:rsid w:val="002C002D"/>
    <w:rsid w:val="002C029E"/>
    <w:rsid w:val="002C02C7"/>
    <w:rsid w:val="002C0380"/>
    <w:rsid w:val="002C077D"/>
    <w:rsid w:val="002C0931"/>
    <w:rsid w:val="002C10CE"/>
    <w:rsid w:val="002C1246"/>
    <w:rsid w:val="002C1393"/>
    <w:rsid w:val="002C179E"/>
    <w:rsid w:val="002C1B55"/>
    <w:rsid w:val="002C1C98"/>
    <w:rsid w:val="002C1ED9"/>
    <w:rsid w:val="002C2AC0"/>
    <w:rsid w:val="002C362D"/>
    <w:rsid w:val="002C3BCC"/>
    <w:rsid w:val="002C420F"/>
    <w:rsid w:val="002C426A"/>
    <w:rsid w:val="002C47BE"/>
    <w:rsid w:val="002C48CD"/>
    <w:rsid w:val="002C4ACD"/>
    <w:rsid w:val="002C51FF"/>
    <w:rsid w:val="002C5267"/>
    <w:rsid w:val="002C5815"/>
    <w:rsid w:val="002C5863"/>
    <w:rsid w:val="002C5BCB"/>
    <w:rsid w:val="002C5C27"/>
    <w:rsid w:val="002C5EC5"/>
    <w:rsid w:val="002C6327"/>
    <w:rsid w:val="002C656E"/>
    <w:rsid w:val="002C686F"/>
    <w:rsid w:val="002C6B91"/>
    <w:rsid w:val="002C6BA2"/>
    <w:rsid w:val="002C6CA2"/>
    <w:rsid w:val="002C6F2A"/>
    <w:rsid w:val="002C70B9"/>
    <w:rsid w:val="002C716C"/>
    <w:rsid w:val="002C78F7"/>
    <w:rsid w:val="002C7C1C"/>
    <w:rsid w:val="002D02AE"/>
    <w:rsid w:val="002D0644"/>
    <w:rsid w:val="002D06D3"/>
    <w:rsid w:val="002D074A"/>
    <w:rsid w:val="002D0A34"/>
    <w:rsid w:val="002D13A2"/>
    <w:rsid w:val="002D1513"/>
    <w:rsid w:val="002D1592"/>
    <w:rsid w:val="002D1932"/>
    <w:rsid w:val="002D194C"/>
    <w:rsid w:val="002D1A4A"/>
    <w:rsid w:val="002D202D"/>
    <w:rsid w:val="002D219F"/>
    <w:rsid w:val="002D2256"/>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79F"/>
    <w:rsid w:val="002D77A7"/>
    <w:rsid w:val="002D7C5E"/>
    <w:rsid w:val="002E070D"/>
    <w:rsid w:val="002E073E"/>
    <w:rsid w:val="002E0DCF"/>
    <w:rsid w:val="002E1352"/>
    <w:rsid w:val="002E1417"/>
    <w:rsid w:val="002E1873"/>
    <w:rsid w:val="002E2774"/>
    <w:rsid w:val="002E27E7"/>
    <w:rsid w:val="002E29CE"/>
    <w:rsid w:val="002E2B15"/>
    <w:rsid w:val="002E30EE"/>
    <w:rsid w:val="002E3651"/>
    <w:rsid w:val="002E367B"/>
    <w:rsid w:val="002E43EB"/>
    <w:rsid w:val="002E44A8"/>
    <w:rsid w:val="002E4627"/>
    <w:rsid w:val="002E4B6E"/>
    <w:rsid w:val="002E4E4E"/>
    <w:rsid w:val="002E5146"/>
    <w:rsid w:val="002E5748"/>
    <w:rsid w:val="002E57CF"/>
    <w:rsid w:val="002E595A"/>
    <w:rsid w:val="002E5991"/>
    <w:rsid w:val="002E5CE7"/>
    <w:rsid w:val="002E64B4"/>
    <w:rsid w:val="002E64FC"/>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ABE"/>
    <w:rsid w:val="002F4AE9"/>
    <w:rsid w:val="002F51E1"/>
    <w:rsid w:val="002F561B"/>
    <w:rsid w:val="002F5B3D"/>
    <w:rsid w:val="002F697E"/>
    <w:rsid w:val="002F6A2E"/>
    <w:rsid w:val="002F6B4E"/>
    <w:rsid w:val="002F73AB"/>
    <w:rsid w:val="002F73AD"/>
    <w:rsid w:val="002F7DE8"/>
    <w:rsid w:val="00300059"/>
    <w:rsid w:val="00300393"/>
    <w:rsid w:val="00300520"/>
    <w:rsid w:val="00300AE4"/>
    <w:rsid w:val="00300C62"/>
    <w:rsid w:val="00301756"/>
    <w:rsid w:val="0030185F"/>
    <w:rsid w:val="00302229"/>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C4E"/>
    <w:rsid w:val="00325D50"/>
    <w:rsid w:val="00325E0B"/>
    <w:rsid w:val="00325E3B"/>
    <w:rsid w:val="00326A49"/>
    <w:rsid w:val="00326D45"/>
    <w:rsid w:val="0032718E"/>
    <w:rsid w:val="003271F0"/>
    <w:rsid w:val="00327D5E"/>
    <w:rsid w:val="003304C7"/>
    <w:rsid w:val="00330516"/>
    <w:rsid w:val="00330519"/>
    <w:rsid w:val="003309C5"/>
    <w:rsid w:val="00330CB0"/>
    <w:rsid w:val="003316AF"/>
    <w:rsid w:val="003317E9"/>
    <w:rsid w:val="00331E19"/>
    <w:rsid w:val="00332332"/>
    <w:rsid w:val="0033241E"/>
    <w:rsid w:val="003324DE"/>
    <w:rsid w:val="003326CC"/>
    <w:rsid w:val="003327C5"/>
    <w:rsid w:val="003328E3"/>
    <w:rsid w:val="00332D03"/>
    <w:rsid w:val="0033305D"/>
    <w:rsid w:val="003339B9"/>
    <w:rsid w:val="00333F11"/>
    <w:rsid w:val="0033402E"/>
    <w:rsid w:val="0033461F"/>
    <w:rsid w:val="003349B3"/>
    <w:rsid w:val="00334CFD"/>
    <w:rsid w:val="00334E1E"/>
    <w:rsid w:val="00335004"/>
    <w:rsid w:val="0033521F"/>
    <w:rsid w:val="00335FB8"/>
    <w:rsid w:val="00336166"/>
    <w:rsid w:val="003361B1"/>
    <w:rsid w:val="003368D5"/>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955"/>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1C65"/>
    <w:rsid w:val="00352144"/>
    <w:rsid w:val="003523AB"/>
    <w:rsid w:val="00352581"/>
    <w:rsid w:val="00352EA7"/>
    <w:rsid w:val="00353DAF"/>
    <w:rsid w:val="0035474A"/>
    <w:rsid w:val="00354CC4"/>
    <w:rsid w:val="00354D0C"/>
    <w:rsid w:val="00354DAE"/>
    <w:rsid w:val="00355241"/>
    <w:rsid w:val="0035528E"/>
    <w:rsid w:val="0035578E"/>
    <w:rsid w:val="00355825"/>
    <w:rsid w:val="00355A16"/>
    <w:rsid w:val="00355B51"/>
    <w:rsid w:val="0035662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9D5"/>
    <w:rsid w:val="00370AA8"/>
    <w:rsid w:val="00370AE9"/>
    <w:rsid w:val="00370C38"/>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5F4"/>
    <w:rsid w:val="00374661"/>
    <w:rsid w:val="00374992"/>
    <w:rsid w:val="00374E6B"/>
    <w:rsid w:val="00375D55"/>
    <w:rsid w:val="00375FF5"/>
    <w:rsid w:val="0037627E"/>
    <w:rsid w:val="003762D9"/>
    <w:rsid w:val="003765F0"/>
    <w:rsid w:val="00376A21"/>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7F4"/>
    <w:rsid w:val="00385BC6"/>
    <w:rsid w:val="00385EF9"/>
    <w:rsid w:val="00386415"/>
    <w:rsid w:val="003865C8"/>
    <w:rsid w:val="00386C60"/>
    <w:rsid w:val="00386D01"/>
    <w:rsid w:val="00387529"/>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A073D"/>
    <w:rsid w:val="003A0CDC"/>
    <w:rsid w:val="003A0D57"/>
    <w:rsid w:val="003A0E08"/>
    <w:rsid w:val="003A1183"/>
    <w:rsid w:val="003A120F"/>
    <w:rsid w:val="003A1A56"/>
    <w:rsid w:val="003A25AD"/>
    <w:rsid w:val="003A26E3"/>
    <w:rsid w:val="003A2CE5"/>
    <w:rsid w:val="003A2F62"/>
    <w:rsid w:val="003A2F6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59"/>
    <w:rsid w:val="003A7B3A"/>
    <w:rsid w:val="003A7D64"/>
    <w:rsid w:val="003B0061"/>
    <w:rsid w:val="003B014D"/>
    <w:rsid w:val="003B0537"/>
    <w:rsid w:val="003B0D57"/>
    <w:rsid w:val="003B0E1F"/>
    <w:rsid w:val="003B169B"/>
    <w:rsid w:val="003B1A50"/>
    <w:rsid w:val="003B23DC"/>
    <w:rsid w:val="003B2A0B"/>
    <w:rsid w:val="003B2C6B"/>
    <w:rsid w:val="003B2E04"/>
    <w:rsid w:val="003B2FCA"/>
    <w:rsid w:val="003B36CB"/>
    <w:rsid w:val="003B37EE"/>
    <w:rsid w:val="003B3A4F"/>
    <w:rsid w:val="003B3C7C"/>
    <w:rsid w:val="003B3DE4"/>
    <w:rsid w:val="003B3F00"/>
    <w:rsid w:val="003B442D"/>
    <w:rsid w:val="003B4BAE"/>
    <w:rsid w:val="003B4DE1"/>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7FF"/>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4AD"/>
    <w:rsid w:val="003C4624"/>
    <w:rsid w:val="003C49A2"/>
    <w:rsid w:val="003C4C7E"/>
    <w:rsid w:val="003C4FFE"/>
    <w:rsid w:val="003C5049"/>
    <w:rsid w:val="003C558A"/>
    <w:rsid w:val="003C55C6"/>
    <w:rsid w:val="003C55E3"/>
    <w:rsid w:val="003C5C3F"/>
    <w:rsid w:val="003C5E38"/>
    <w:rsid w:val="003C6397"/>
    <w:rsid w:val="003C6399"/>
    <w:rsid w:val="003C63C2"/>
    <w:rsid w:val="003C652A"/>
    <w:rsid w:val="003C665E"/>
    <w:rsid w:val="003C69FB"/>
    <w:rsid w:val="003C71DE"/>
    <w:rsid w:val="003C7209"/>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702"/>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60C"/>
    <w:rsid w:val="003D5961"/>
    <w:rsid w:val="003D5A56"/>
    <w:rsid w:val="003D5CE8"/>
    <w:rsid w:val="003D5E09"/>
    <w:rsid w:val="003D64A6"/>
    <w:rsid w:val="003D6C63"/>
    <w:rsid w:val="003D6D36"/>
    <w:rsid w:val="003D6ED6"/>
    <w:rsid w:val="003D751B"/>
    <w:rsid w:val="003D76E5"/>
    <w:rsid w:val="003D781E"/>
    <w:rsid w:val="003D7A02"/>
    <w:rsid w:val="003D7C32"/>
    <w:rsid w:val="003D7C90"/>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A89"/>
    <w:rsid w:val="00403293"/>
    <w:rsid w:val="0040338B"/>
    <w:rsid w:val="004035DD"/>
    <w:rsid w:val="004038B3"/>
    <w:rsid w:val="0040398A"/>
    <w:rsid w:val="00403CA0"/>
    <w:rsid w:val="00403E2F"/>
    <w:rsid w:val="00404BDC"/>
    <w:rsid w:val="00404D7B"/>
    <w:rsid w:val="00404E4D"/>
    <w:rsid w:val="00405871"/>
    <w:rsid w:val="00405CD9"/>
    <w:rsid w:val="0040653F"/>
    <w:rsid w:val="00406651"/>
    <w:rsid w:val="00406703"/>
    <w:rsid w:val="00406B25"/>
    <w:rsid w:val="00406BCD"/>
    <w:rsid w:val="0040736D"/>
    <w:rsid w:val="00407382"/>
    <w:rsid w:val="0040745B"/>
    <w:rsid w:val="0040758D"/>
    <w:rsid w:val="00407E97"/>
    <w:rsid w:val="00410065"/>
    <w:rsid w:val="00411FC4"/>
    <w:rsid w:val="0041234E"/>
    <w:rsid w:val="00412430"/>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90C"/>
    <w:rsid w:val="004219A7"/>
    <w:rsid w:val="00422049"/>
    <w:rsid w:val="00422232"/>
    <w:rsid w:val="0042226E"/>
    <w:rsid w:val="004222F3"/>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D7C"/>
    <w:rsid w:val="00430378"/>
    <w:rsid w:val="00430858"/>
    <w:rsid w:val="00430BD9"/>
    <w:rsid w:val="0043106B"/>
    <w:rsid w:val="0043119A"/>
    <w:rsid w:val="004312B6"/>
    <w:rsid w:val="0043178A"/>
    <w:rsid w:val="004317C7"/>
    <w:rsid w:val="00431A22"/>
    <w:rsid w:val="0043230A"/>
    <w:rsid w:val="0043233C"/>
    <w:rsid w:val="00432422"/>
    <w:rsid w:val="004324FB"/>
    <w:rsid w:val="00432B97"/>
    <w:rsid w:val="004336E6"/>
    <w:rsid w:val="004337C6"/>
    <w:rsid w:val="0043393D"/>
    <w:rsid w:val="00433D25"/>
    <w:rsid w:val="00433D3E"/>
    <w:rsid w:val="00433F16"/>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E05"/>
    <w:rsid w:val="0044023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A3B"/>
    <w:rsid w:val="00444C15"/>
    <w:rsid w:val="00444DE6"/>
    <w:rsid w:val="00444FE2"/>
    <w:rsid w:val="0044527F"/>
    <w:rsid w:val="00445828"/>
    <w:rsid w:val="00445954"/>
    <w:rsid w:val="00445DC2"/>
    <w:rsid w:val="00445F43"/>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FF5"/>
    <w:rsid w:val="004551A9"/>
    <w:rsid w:val="0045595B"/>
    <w:rsid w:val="004559AE"/>
    <w:rsid w:val="00455D79"/>
    <w:rsid w:val="00455F0E"/>
    <w:rsid w:val="0045645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613"/>
    <w:rsid w:val="0046286D"/>
    <w:rsid w:val="004628C0"/>
    <w:rsid w:val="004629AB"/>
    <w:rsid w:val="00463171"/>
    <w:rsid w:val="004633E0"/>
    <w:rsid w:val="0046387D"/>
    <w:rsid w:val="004638DB"/>
    <w:rsid w:val="004642B4"/>
    <w:rsid w:val="0046486E"/>
    <w:rsid w:val="00464A42"/>
    <w:rsid w:val="00464CAE"/>
    <w:rsid w:val="00464E42"/>
    <w:rsid w:val="0046502C"/>
    <w:rsid w:val="004650E4"/>
    <w:rsid w:val="004655C6"/>
    <w:rsid w:val="00465634"/>
    <w:rsid w:val="004656BF"/>
    <w:rsid w:val="00465D17"/>
    <w:rsid w:val="004664DB"/>
    <w:rsid w:val="0046658D"/>
    <w:rsid w:val="00466FB5"/>
    <w:rsid w:val="004703E1"/>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E5F"/>
    <w:rsid w:val="00481E92"/>
    <w:rsid w:val="004826AF"/>
    <w:rsid w:val="0048272F"/>
    <w:rsid w:val="00482D54"/>
    <w:rsid w:val="00483271"/>
    <w:rsid w:val="004835C2"/>
    <w:rsid w:val="00483859"/>
    <w:rsid w:val="00483B46"/>
    <w:rsid w:val="00483D3B"/>
    <w:rsid w:val="004845F1"/>
    <w:rsid w:val="004850B3"/>
    <w:rsid w:val="004857E7"/>
    <w:rsid w:val="00486130"/>
    <w:rsid w:val="004865A8"/>
    <w:rsid w:val="00486ADC"/>
    <w:rsid w:val="00486B96"/>
    <w:rsid w:val="00486C58"/>
    <w:rsid w:val="0048777D"/>
    <w:rsid w:val="004879AF"/>
    <w:rsid w:val="00487D18"/>
    <w:rsid w:val="00490038"/>
    <w:rsid w:val="00490059"/>
    <w:rsid w:val="00490162"/>
    <w:rsid w:val="004904F7"/>
    <w:rsid w:val="00490A5D"/>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448"/>
    <w:rsid w:val="004975AA"/>
    <w:rsid w:val="00497935"/>
    <w:rsid w:val="004A034A"/>
    <w:rsid w:val="004A0476"/>
    <w:rsid w:val="004A07D7"/>
    <w:rsid w:val="004A0A69"/>
    <w:rsid w:val="004A0F9E"/>
    <w:rsid w:val="004A10D4"/>
    <w:rsid w:val="004A1130"/>
    <w:rsid w:val="004A1219"/>
    <w:rsid w:val="004A1A77"/>
    <w:rsid w:val="004A1DAA"/>
    <w:rsid w:val="004A23D2"/>
    <w:rsid w:val="004A25A0"/>
    <w:rsid w:val="004A285D"/>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7293"/>
    <w:rsid w:val="004B7DD1"/>
    <w:rsid w:val="004C0096"/>
    <w:rsid w:val="004C00A3"/>
    <w:rsid w:val="004C00F4"/>
    <w:rsid w:val="004C037B"/>
    <w:rsid w:val="004C082A"/>
    <w:rsid w:val="004C0830"/>
    <w:rsid w:val="004C085B"/>
    <w:rsid w:val="004C0BDA"/>
    <w:rsid w:val="004C1472"/>
    <w:rsid w:val="004C165E"/>
    <w:rsid w:val="004C1BF9"/>
    <w:rsid w:val="004C1C3E"/>
    <w:rsid w:val="004C23BD"/>
    <w:rsid w:val="004C2498"/>
    <w:rsid w:val="004C331E"/>
    <w:rsid w:val="004C333F"/>
    <w:rsid w:val="004C33BC"/>
    <w:rsid w:val="004C3D19"/>
    <w:rsid w:val="004C3FC0"/>
    <w:rsid w:val="004C42C9"/>
    <w:rsid w:val="004C4D54"/>
    <w:rsid w:val="004C5B42"/>
    <w:rsid w:val="004C5ECB"/>
    <w:rsid w:val="004C6672"/>
    <w:rsid w:val="004C68B6"/>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4B7"/>
    <w:rsid w:val="004D60DF"/>
    <w:rsid w:val="004D6786"/>
    <w:rsid w:val="004D69E1"/>
    <w:rsid w:val="004D7869"/>
    <w:rsid w:val="004D7EE4"/>
    <w:rsid w:val="004E0137"/>
    <w:rsid w:val="004E11CF"/>
    <w:rsid w:val="004E121B"/>
    <w:rsid w:val="004E18E7"/>
    <w:rsid w:val="004E1E29"/>
    <w:rsid w:val="004E1ECE"/>
    <w:rsid w:val="004E1EF5"/>
    <w:rsid w:val="004E23F7"/>
    <w:rsid w:val="004E24D1"/>
    <w:rsid w:val="004E2A73"/>
    <w:rsid w:val="004E2B5D"/>
    <w:rsid w:val="004E3268"/>
    <w:rsid w:val="004E33F8"/>
    <w:rsid w:val="004E368A"/>
    <w:rsid w:val="004E3801"/>
    <w:rsid w:val="004E39C9"/>
    <w:rsid w:val="004E417F"/>
    <w:rsid w:val="004E41A1"/>
    <w:rsid w:val="004E4391"/>
    <w:rsid w:val="004E46F5"/>
    <w:rsid w:val="004E4CA8"/>
    <w:rsid w:val="004E4D78"/>
    <w:rsid w:val="004E4E20"/>
    <w:rsid w:val="004E500B"/>
    <w:rsid w:val="004E5153"/>
    <w:rsid w:val="004E5C65"/>
    <w:rsid w:val="004E5E22"/>
    <w:rsid w:val="004E687B"/>
    <w:rsid w:val="004E70F3"/>
    <w:rsid w:val="004E713A"/>
    <w:rsid w:val="004E7649"/>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12E6"/>
    <w:rsid w:val="00501B88"/>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844"/>
    <w:rsid w:val="00512B6C"/>
    <w:rsid w:val="00512C52"/>
    <w:rsid w:val="00512FFF"/>
    <w:rsid w:val="00513075"/>
    <w:rsid w:val="0051350B"/>
    <w:rsid w:val="00513592"/>
    <w:rsid w:val="00513851"/>
    <w:rsid w:val="00513D9B"/>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6648"/>
    <w:rsid w:val="005266F3"/>
    <w:rsid w:val="0052770D"/>
    <w:rsid w:val="00527EBA"/>
    <w:rsid w:val="00527FDA"/>
    <w:rsid w:val="00530135"/>
    <w:rsid w:val="005302FC"/>
    <w:rsid w:val="00530B8F"/>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380"/>
    <w:rsid w:val="005337F7"/>
    <w:rsid w:val="00533A0B"/>
    <w:rsid w:val="00533C23"/>
    <w:rsid w:val="00533C90"/>
    <w:rsid w:val="00534950"/>
    <w:rsid w:val="005349B2"/>
    <w:rsid w:val="00534A0C"/>
    <w:rsid w:val="00534B75"/>
    <w:rsid w:val="00534B98"/>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F4"/>
    <w:rsid w:val="00545FB6"/>
    <w:rsid w:val="005463A2"/>
    <w:rsid w:val="0054677C"/>
    <w:rsid w:val="005469A6"/>
    <w:rsid w:val="00546B77"/>
    <w:rsid w:val="00547AA9"/>
    <w:rsid w:val="00550112"/>
    <w:rsid w:val="0055100A"/>
    <w:rsid w:val="005516B3"/>
    <w:rsid w:val="00551800"/>
    <w:rsid w:val="00551AE2"/>
    <w:rsid w:val="00551B81"/>
    <w:rsid w:val="00551C21"/>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94"/>
    <w:rsid w:val="00562BE1"/>
    <w:rsid w:val="00563106"/>
    <w:rsid w:val="00563255"/>
    <w:rsid w:val="00563563"/>
    <w:rsid w:val="005635AA"/>
    <w:rsid w:val="00563762"/>
    <w:rsid w:val="00563C9E"/>
    <w:rsid w:val="005640B5"/>
    <w:rsid w:val="005644F1"/>
    <w:rsid w:val="0056462D"/>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5DB"/>
    <w:rsid w:val="00566A09"/>
    <w:rsid w:val="00566A47"/>
    <w:rsid w:val="00566ACF"/>
    <w:rsid w:val="00566AE8"/>
    <w:rsid w:val="00566DA7"/>
    <w:rsid w:val="0057069F"/>
    <w:rsid w:val="00570776"/>
    <w:rsid w:val="00570FAD"/>
    <w:rsid w:val="00570FE4"/>
    <w:rsid w:val="00571B29"/>
    <w:rsid w:val="00571E28"/>
    <w:rsid w:val="0057277D"/>
    <w:rsid w:val="00572ACB"/>
    <w:rsid w:val="00572CEF"/>
    <w:rsid w:val="00572E2C"/>
    <w:rsid w:val="00573117"/>
    <w:rsid w:val="0057350C"/>
    <w:rsid w:val="0057378C"/>
    <w:rsid w:val="00573BD3"/>
    <w:rsid w:val="00573D00"/>
    <w:rsid w:val="00573E67"/>
    <w:rsid w:val="00573F30"/>
    <w:rsid w:val="00574AA0"/>
    <w:rsid w:val="00574FCC"/>
    <w:rsid w:val="00575587"/>
    <w:rsid w:val="00575AAB"/>
    <w:rsid w:val="005769B5"/>
    <w:rsid w:val="00576CC9"/>
    <w:rsid w:val="00577116"/>
    <w:rsid w:val="00577515"/>
    <w:rsid w:val="005775E2"/>
    <w:rsid w:val="00577816"/>
    <w:rsid w:val="00577A1C"/>
    <w:rsid w:val="00577B64"/>
    <w:rsid w:val="005800B7"/>
    <w:rsid w:val="005802D0"/>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D83"/>
    <w:rsid w:val="005852EB"/>
    <w:rsid w:val="00585768"/>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A88"/>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F44"/>
    <w:rsid w:val="005B08FF"/>
    <w:rsid w:val="005B0F65"/>
    <w:rsid w:val="005B1334"/>
    <w:rsid w:val="005B19CD"/>
    <w:rsid w:val="005B2C14"/>
    <w:rsid w:val="005B2C54"/>
    <w:rsid w:val="005B3A27"/>
    <w:rsid w:val="005B3B48"/>
    <w:rsid w:val="005B4580"/>
    <w:rsid w:val="005B489D"/>
    <w:rsid w:val="005B4A6E"/>
    <w:rsid w:val="005B4C2D"/>
    <w:rsid w:val="005B5739"/>
    <w:rsid w:val="005B5791"/>
    <w:rsid w:val="005B6005"/>
    <w:rsid w:val="005B6213"/>
    <w:rsid w:val="005B62F3"/>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F5"/>
    <w:rsid w:val="005C2B03"/>
    <w:rsid w:val="005C2E8B"/>
    <w:rsid w:val="005C3959"/>
    <w:rsid w:val="005C3ADC"/>
    <w:rsid w:val="005C4A8B"/>
    <w:rsid w:val="005C4D91"/>
    <w:rsid w:val="005C6369"/>
    <w:rsid w:val="005C7170"/>
    <w:rsid w:val="005C743D"/>
    <w:rsid w:val="005C77FD"/>
    <w:rsid w:val="005D05B7"/>
    <w:rsid w:val="005D17FB"/>
    <w:rsid w:val="005D1956"/>
    <w:rsid w:val="005D1973"/>
    <w:rsid w:val="005D1E51"/>
    <w:rsid w:val="005D24BC"/>
    <w:rsid w:val="005D26BD"/>
    <w:rsid w:val="005D28C6"/>
    <w:rsid w:val="005D2D22"/>
    <w:rsid w:val="005D34C9"/>
    <w:rsid w:val="005D34D5"/>
    <w:rsid w:val="005D37C7"/>
    <w:rsid w:val="005D41AA"/>
    <w:rsid w:val="005D4771"/>
    <w:rsid w:val="005D47AD"/>
    <w:rsid w:val="005D47E4"/>
    <w:rsid w:val="005D485D"/>
    <w:rsid w:val="005D4955"/>
    <w:rsid w:val="005D4DAC"/>
    <w:rsid w:val="005D51CD"/>
    <w:rsid w:val="005D5337"/>
    <w:rsid w:val="005D53B1"/>
    <w:rsid w:val="005D53BB"/>
    <w:rsid w:val="005D562A"/>
    <w:rsid w:val="005D5685"/>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CA4"/>
    <w:rsid w:val="005E10A1"/>
    <w:rsid w:val="005E1164"/>
    <w:rsid w:val="005E11A1"/>
    <w:rsid w:val="005E12A3"/>
    <w:rsid w:val="005E1625"/>
    <w:rsid w:val="005E18E3"/>
    <w:rsid w:val="005E20EE"/>
    <w:rsid w:val="005E29DC"/>
    <w:rsid w:val="005E2C13"/>
    <w:rsid w:val="005E2DA3"/>
    <w:rsid w:val="005E3316"/>
    <w:rsid w:val="005E33FF"/>
    <w:rsid w:val="005E3455"/>
    <w:rsid w:val="005E365F"/>
    <w:rsid w:val="005E3A8B"/>
    <w:rsid w:val="005E3D47"/>
    <w:rsid w:val="005E3D69"/>
    <w:rsid w:val="005E413B"/>
    <w:rsid w:val="005E4150"/>
    <w:rsid w:val="005E4453"/>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784"/>
    <w:rsid w:val="005F17B1"/>
    <w:rsid w:val="005F2955"/>
    <w:rsid w:val="005F3115"/>
    <w:rsid w:val="005F31C7"/>
    <w:rsid w:val="005F3411"/>
    <w:rsid w:val="005F3517"/>
    <w:rsid w:val="005F3752"/>
    <w:rsid w:val="005F380F"/>
    <w:rsid w:val="005F40C3"/>
    <w:rsid w:val="005F4128"/>
    <w:rsid w:val="005F42F9"/>
    <w:rsid w:val="005F4347"/>
    <w:rsid w:val="005F435C"/>
    <w:rsid w:val="005F49A9"/>
    <w:rsid w:val="005F4ABE"/>
    <w:rsid w:val="005F4C78"/>
    <w:rsid w:val="005F4F1D"/>
    <w:rsid w:val="005F5735"/>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679"/>
    <w:rsid w:val="00600996"/>
    <w:rsid w:val="0060184C"/>
    <w:rsid w:val="00601E0D"/>
    <w:rsid w:val="006020F1"/>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886"/>
    <w:rsid w:val="00606B99"/>
    <w:rsid w:val="00606CB7"/>
    <w:rsid w:val="00607705"/>
    <w:rsid w:val="00607B52"/>
    <w:rsid w:val="00607F14"/>
    <w:rsid w:val="006109BB"/>
    <w:rsid w:val="0061106D"/>
    <w:rsid w:val="0061109B"/>
    <w:rsid w:val="0061134E"/>
    <w:rsid w:val="006113BD"/>
    <w:rsid w:val="006113CC"/>
    <w:rsid w:val="006117B4"/>
    <w:rsid w:val="00611953"/>
    <w:rsid w:val="00611C90"/>
    <w:rsid w:val="00611F6C"/>
    <w:rsid w:val="00612578"/>
    <w:rsid w:val="0061258B"/>
    <w:rsid w:val="006127BF"/>
    <w:rsid w:val="006128F8"/>
    <w:rsid w:val="00612A80"/>
    <w:rsid w:val="00612F0B"/>
    <w:rsid w:val="006130A6"/>
    <w:rsid w:val="0061356B"/>
    <w:rsid w:val="006137F8"/>
    <w:rsid w:val="006137FE"/>
    <w:rsid w:val="0061394D"/>
    <w:rsid w:val="00613C48"/>
    <w:rsid w:val="00613E3B"/>
    <w:rsid w:val="00613F1E"/>
    <w:rsid w:val="00614695"/>
    <w:rsid w:val="00614A56"/>
    <w:rsid w:val="00614CC2"/>
    <w:rsid w:val="00615085"/>
    <w:rsid w:val="0061540E"/>
    <w:rsid w:val="00615C24"/>
    <w:rsid w:val="00615D1F"/>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31ED"/>
    <w:rsid w:val="0062388A"/>
    <w:rsid w:val="006238CC"/>
    <w:rsid w:val="006243E7"/>
    <w:rsid w:val="006245CA"/>
    <w:rsid w:val="00624EEE"/>
    <w:rsid w:val="00624F7C"/>
    <w:rsid w:val="00625077"/>
    <w:rsid w:val="006253CE"/>
    <w:rsid w:val="00625DC4"/>
    <w:rsid w:val="00626112"/>
    <w:rsid w:val="006262C6"/>
    <w:rsid w:val="0062643E"/>
    <w:rsid w:val="00626D56"/>
    <w:rsid w:val="00627100"/>
    <w:rsid w:val="00627384"/>
    <w:rsid w:val="006276AF"/>
    <w:rsid w:val="00627745"/>
    <w:rsid w:val="0062791F"/>
    <w:rsid w:val="00627B83"/>
    <w:rsid w:val="00627E57"/>
    <w:rsid w:val="006312BD"/>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B6"/>
    <w:rsid w:val="0064301A"/>
    <w:rsid w:val="006435FD"/>
    <w:rsid w:val="00643AA2"/>
    <w:rsid w:val="00643BDB"/>
    <w:rsid w:val="00643DE7"/>
    <w:rsid w:val="00644900"/>
    <w:rsid w:val="006449E0"/>
    <w:rsid w:val="00644D13"/>
    <w:rsid w:val="00644DFE"/>
    <w:rsid w:val="00644ED1"/>
    <w:rsid w:val="00645360"/>
    <w:rsid w:val="006455AE"/>
    <w:rsid w:val="006457D8"/>
    <w:rsid w:val="00645B7E"/>
    <w:rsid w:val="00645D75"/>
    <w:rsid w:val="00645DBA"/>
    <w:rsid w:val="006461EB"/>
    <w:rsid w:val="006467A3"/>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D0"/>
    <w:rsid w:val="006540FC"/>
    <w:rsid w:val="006544F2"/>
    <w:rsid w:val="00654D04"/>
    <w:rsid w:val="00655518"/>
    <w:rsid w:val="006557ED"/>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6EC"/>
    <w:rsid w:val="00672825"/>
    <w:rsid w:val="0067295B"/>
    <w:rsid w:val="00672A42"/>
    <w:rsid w:val="00672B92"/>
    <w:rsid w:val="00672DD7"/>
    <w:rsid w:val="00673092"/>
    <w:rsid w:val="0067398F"/>
    <w:rsid w:val="00673C4F"/>
    <w:rsid w:val="0067423D"/>
    <w:rsid w:val="00674B54"/>
    <w:rsid w:val="006751ED"/>
    <w:rsid w:val="006751F0"/>
    <w:rsid w:val="00675A29"/>
    <w:rsid w:val="00675E7A"/>
    <w:rsid w:val="00675EF9"/>
    <w:rsid w:val="00676167"/>
    <w:rsid w:val="006762C1"/>
    <w:rsid w:val="006768A0"/>
    <w:rsid w:val="00676D1E"/>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D8B"/>
    <w:rsid w:val="0069207C"/>
    <w:rsid w:val="00692305"/>
    <w:rsid w:val="006928BA"/>
    <w:rsid w:val="006929A8"/>
    <w:rsid w:val="00692C58"/>
    <w:rsid w:val="0069313E"/>
    <w:rsid w:val="00693C16"/>
    <w:rsid w:val="006941C5"/>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BDA"/>
    <w:rsid w:val="00697D72"/>
    <w:rsid w:val="00697DDD"/>
    <w:rsid w:val="00697F54"/>
    <w:rsid w:val="006A06A3"/>
    <w:rsid w:val="006A0A11"/>
    <w:rsid w:val="006A0C5B"/>
    <w:rsid w:val="006A0EEF"/>
    <w:rsid w:val="006A11A6"/>
    <w:rsid w:val="006A11E4"/>
    <w:rsid w:val="006A121F"/>
    <w:rsid w:val="006A1BC4"/>
    <w:rsid w:val="006A21E5"/>
    <w:rsid w:val="006A21F4"/>
    <w:rsid w:val="006A22C1"/>
    <w:rsid w:val="006A28B6"/>
    <w:rsid w:val="006A2D65"/>
    <w:rsid w:val="006A300A"/>
    <w:rsid w:val="006A359D"/>
    <w:rsid w:val="006A36AE"/>
    <w:rsid w:val="006A38CF"/>
    <w:rsid w:val="006A3B7B"/>
    <w:rsid w:val="006A3DD4"/>
    <w:rsid w:val="006A4A8C"/>
    <w:rsid w:val="006A4F9B"/>
    <w:rsid w:val="006A5031"/>
    <w:rsid w:val="006A5658"/>
    <w:rsid w:val="006A579F"/>
    <w:rsid w:val="006A57FB"/>
    <w:rsid w:val="006A61AA"/>
    <w:rsid w:val="006A6377"/>
    <w:rsid w:val="006A6C5B"/>
    <w:rsid w:val="006A7950"/>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9E3"/>
    <w:rsid w:val="006B5D8F"/>
    <w:rsid w:val="006B61D0"/>
    <w:rsid w:val="006B62D9"/>
    <w:rsid w:val="006B6E64"/>
    <w:rsid w:val="006B7096"/>
    <w:rsid w:val="006B767C"/>
    <w:rsid w:val="006B79CB"/>
    <w:rsid w:val="006B7F05"/>
    <w:rsid w:val="006C04E7"/>
    <w:rsid w:val="006C069F"/>
    <w:rsid w:val="006C0907"/>
    <w:rsid w:val="006C10E5"/>
    <w:rsid w:val="006C1FD2"/>
    <w:rsid w:val="006C20D0"/>
    <w:rsid w:val="006C28F0"/>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2C7D"/>
    <w:rsid w:val="006D3175"/>
    <w:rsid w:val="006D3280"/>
    <w:rsid w:val="006D3472"/>
    <w:rsid w:val="006D3550"/>
    <w:rsid w:val="006D35A6"/>
    <w:rsid w:val="006D36F5"/>
    <w:rsid w:val="006D374C"/>
    <w:rsid w:val="006D3AC0"/>
    <w:rsid w:val="006D3D8F"/>
    <w:rsid w:val="006D3E4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253"/>
    <w:rsid w:val="006E1338"/>
    <w:rsid w:val="006E1592"/>
    <w:rsid w:val="006E15C8"/>
    <w:rsid w:val="006E1614"/>
    <w:rsid w:val="006E1622"/>
    <w:rsid w:val="006E1BEA"/>
    <w:rsid w:val="006E1E35"/>
    <w:rsid w:val="006E2007"/>
    <w:rsid w:val="006E245B"/>
    <w:rsid w:val="006E249C"/>
    <w:rsid w:val="006E2680"/>
    <w:rsid w:val="006E2822"/>
    <w:rsid w:val="006E2A83"/>
    <w:rsid w:val="006E2E7D"/>
    <w:rsid w:val="006E3CAC"/>
    <w:rsid w:val="006E3EC5"/>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889"/>
    <w:rsid w:val="006F0DD8"/>
    <w:rsid w:val="006F10BB"/>
    <w:rsid w:val="006F127E"/>
    <w:rsid w:val="006F15F0"/>
    <w:rsid w:val="006F179F"/>
    <w:rsid w:val="006F1A7B"/>
    <w:rsid w:val="006F2133"/>
    <w:rsid w:val="006F22B9"/>
    <w:rsid w:val="006F2609"/>
    <w:rsid w:val="006F2B36"/>
    <w:rsid w:val="006F3123"/>
    <w:rsid w:val="006F32E8"/>
    <w:rsid w:val="006F32FB"/>
    <w:rsid w:val="006F446C"/>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C61"/>
    <w:rsid w:val="00702087"/>
    <w:rsid w:val="007024B9"/>
    <w:rsid w:val="007028BD"/>
    <w:rsid w:val="00702929"/>
    <w:rsid w:val="00702C18"/>
    <w:rsid w:val="00702DC4"/>
    <w:rsid w:val="0070330F"/>
    <w:rsid w:val="00703351"/>
    <w:rsid w:val="00703D71"/>
    <w:rsid w:val="00703DCE"/>
    <w:rsid w:val="00704754"/>
    <w:rsid w:val="00704AA2"/>
    <w:rsid w:val="00704C4A"/>
    <w:rsid w:val="00704EFC"/>
    <w:rsid w:val="0070507B"/>
    <w:rsid w:val="0070543F"/>
    <w:rsid w:val="0070555E"/>
    <w:rsid w:val="00705E66"/>
    <w:rsid w:val="00706047"/>
    <w:rsid w:val="0070633E"/>
    <w:rsid w:val="007073F3"/>
    <w:rsid w:val="00707ABF"/>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309D"/>
    <w:rsid w:val="0071314E"/>
    <w:rsid w:val="0071326B"/>
    <w:rsid w:val="00713717"/>
    <w:rsid w:val="00713CEF"/>
    <w:rsid w:val="00714233"/>
    <w:rsid w:val="007143A4"/>
    <w:rsid w:val="007147E9"/>
    <w:rsid w:val="007149EF"/>
    <w:rsid w:val="00715192"/>
    <w:rsid w:val="007152F9"/>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D6A"/>
    <w:rsid w:val="007300AE"/>
    <w:rsid w:val="007307F0"/>
    <w:rsid w:val="007308A7"/>
    <w:rsid w:val="00730A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4EBF"/>
    <w:rsid w:val="007352A1"/>
    <w:rsid w:val="007355BF"/>
    <w:rsid w:val="0073564E"/>
    <w:rsid w:val="00735AD3"/>
    <w:rsid w:val="00735D01"/>
    <w:rsid w:val="00736681"/>
    <w:rsid w:val="0073687D"/>
    <w:rsid w:val="00736F50"/>
    <w:rsid w:val="00737B4A"/>
    <w:rsid w:val="00737DEF"/>
    <w:rsid w:val="00740010"/>
    <w:rsid w:val="00740792"/>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481"/>
    <w:rsid w:val="00755516"/>
    <w:rsid w:val="00755553"/>
    <w:rsid w:val="00755678"/>
    <w:rsid w:val="00755DFE"/>
    <w:rsid w:val="0075625C"/>
    <w:rsid w:val="007575DC"/>
    <w:rsid w:val="007575E8"/>
    <w:rsid w:val="007602A0"/>
    <w:rsid w:val="007604E1"/>
    <w:rsid w:val="00760725"/>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E87"/>
    <w:rsid w:val="007660E3"/>
    <w:rsid w:val="00766384"/>
    <w:rsid w:val="007664FC"/>
    <w:rsid w:val="00766931"/>
    <w:rsid w:val="007669E5"/>
    <w:rsid w:val="00766EC6"/>
    <w:rsid w:val="00767779"/>
    <w:rsid w:val="007678A0"/>
    <w:rsid w:val="00767A1F"/>
    <w:rsid w:val="00767AE4"/>
    <w:rsid w:val="00767BBB"/>
    <w:rsid w:val="00770172"/>
    <w:rsid w:val="00770D87"/>
    <w:rsid w:val="0077105B"/>
    <w:rsid w:val="00771C67"/>
    <w:rsid w:val="00771F41"/>
    <w:rsid w:val="00771FEF"/>
    <w:rsid w:val="0077261B"/>
    <w:rsid w:val="00772C12"/>
    <w:rsid w:val="0077321D"/>
    <w:rsid w:val="007735F8"/>
    <w:rsid w:val="00773854"/>
    <w:rsid w:val="00773DB6"/>
    <w:rsid w:val="007740A5"/>
    <w:rsid w:val="007740F7"/>
    <w:rsid w:val="0077410C"/>
    <w:rsid w:val="0077443C"/>
    <w:rsid w:val="00774746"/>
    <w:rsid w:val="00774C25"/>
    <w:rsid w:val="00774FDB"/>
    <w:rsid w:val="0077559D"/>
    <w:rsid w:val="00775AA8"/>
    <w:rsid w:val="00775B75"/>
    <w:rsid w:val="00775E64"/>
    <w:rsid w:val="00776D2B"/>
    <w:rsid w:val="00776E2C"/>
    <w:rsid w:val="007772EF"/>
    <w:rsid w:val="00777432"/>
    <w:rsid w:val="00777986"/>
    <w:rsid w:val="00777BFE"/>
    <w:rsid w:val="00780897"/>
    <w:rsid w:val="007815ED"/>
    <w:rsid w:val="00781702"/>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649D"/>
    <w:rsid w:val="007864C1"/>
    <w:rsid w:val="007865A6"/>
    <w:rsid w:val="00786A09"/>
    <w:rsid w:val="00786EAA"/>
    <w:rsid w:val="007871CA"/>
    <w:rsid w:val="007874F6"/>
    <w:rsid w:val="00787A69"/>
    <w:rsid w:val="00787EEF"/>
    <w:rsid w:val="0079034C"/>
    <w:rsid w:val="0079040F"/>
    <w:rsid w:val="0079062A"/>
    <w:rsid w:val="00790899"/>
    <w:rsid w:val="00791007"/>
    <w:rsid w:val="007912F9"/>
    <w:rsid w:val="00791D14"/>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952"/>
    <w:rsid w:val="00797AB1"/>
    <w:rsid w:val="00797BC8"/>
    <w:rsid w:val="00797F59"/>
    <w:rsid w:val="007A0036"/>
    <w:rsid w:val="007A0284"/>
    <w:rsid w:val="007A02BC"/>
    <w:rsid w:val="007A05D5"/>
    <w:rsid w:val="007A069F"/>
    <w:rsid w:val="007A08D1"/>
    <w:rsid w:val="007A0C74"/>
    <w:rsid w:val="007A0E8E"/>
    <w:rsid w:val="007A128E"/>
    <w:rsid w:val="007A14A3"/>
    <w:rsid w:val="007A1DCB"/>
    <w:rsid w:val="007A20B9"/>
    <w:rsid w:val="007A235A"/>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B1C"/>
    <w:rsid w:val="007A5D40"/>
    <w:rsid w:val="007A62BB"/>
    <w:rsid w:val="007A63C1"/>
    <w:rsid w:val="007A6501"/>
    <w:rsid w:val="007A65BD"/>
    <w:rsid w:val="007A67B3"/>
    <w:rsid w:val="007A6FCF"/>
    <w:rsid w:val="007A736E"/>
    <w:rsid w:val="007A77E8"/>
    <w:rsid w:val="007A7857"/>
    <w:rsid w:val="007B01E9"/>
    <w:rsid w:val="007B0265"/>
    <w:rsid w:val="007B0DAA"/>
    <w:rsid w:val="007B0EF2"/>
    <w:rsid w:val="007B10A8"/>
    <w:rsid w:val="007B1429"/>
    <w:rsid w:val="007B1811"/>
    <w:rsid w:val="007B21C2"/>
    <w:rsid w:val="007B225A"/>
    <w:rsid w:val="007B2492"/>
    <w:rsid w:val="007B2504"/>
    <w:rsid w:val="007B2F5E"/>
    <w:rsid w:val="007B32BA"/>
    <w:rsid w:val="007B3B23"/>
    <w:rsid w:val="007B4164"/>
    <w:rsid w:val="007B42CE"/>
    <w:rsid w:val="007B556F"/>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536"/>
    <w:rsid w:val="007C2C3F"/>
    <w:rsid w:val="007C2CAF"/>
    <w:rsid w:val="007C35C9"/>
    <w:rsid w:val="007C3A5D"/>
    <w:rsid w:val="007C3CF5"/>
    <w:rsid w:val="007C4012"/>
    <w:rsid w:val="007C4633"/>
    <w:rsid w:val="007C4CA0"/>
    <w:rsid w:val="007C4DF0"/>
    <w:rsid w:val="007C5F2F"/>
    <w:rsid w:val="007C5F78"/>
    <w:rsid w:val="007C6163"/>
    <w:rsid w:val="007C6177"/>
    <w:rsid w:val="007C65F9"/>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3F"/>
    <w:rsid w:val="007D24BA"/>
    <w:rsid w:val="007D2579"/>
    <w:rsid w:val="007D2656"/>
    <w:rsid w:val="007D2940"/>
    <w:rsid w:val="007D2D22"/>
    <w:rsid w:val="007D3125"/>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13A"/>
    <w:rsid w:val="007E6291"/>
    <w:rsid w:val="007E7408"/>
    <w:rsid w:val="007E7AE8"/>
    <w:rsid w:val="007E7C36"/>
    <w:rsid w:val="007F05D4"/>
    <w:rsid w:val="007F0E97"/>
    <w:rsid w:val="007F109F"/>
    <w:rsid w:val="007F1200"/>
    <w:rsid w:val="007F167E"/>
    <w:rsid w:val="007F16D4"/>
    <w:rsid w:val="007F1A02"/>
    <w:rsid w:val="007F2273"/>
    <w:rsid w:val="007F2285"/>
    <w:rsid w:val="007F261E"/>
    <w:rsid w:val="007F262C"/>
    <w:rsid w:val="007F2B77"/>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4F3"/>
    <w:rsid w:val="00800A3E"/>
    <w:rsid w:val="00800C44"/>
    <w:rsid w:val="00800CDA"/>
    <w:rsid w:val="00800D86"/>
    <w:rsid w:val="00800EA0"/>
    <w:rsid w:val="0080117E"/>
    <w:rsid w:val="008013C4"/>
    <w:rsid w:val="008014E9"/>
    <w:rsid w:val="0080160E"/>
    <w:rsid w:val="00801675"/>
    <w:rsid w:val="00801802"/>
    <w:rsid w:val="00801C6C"/>
    <w:rsid w:val="00801D40"/>
    <w:rsid w:val="00801E11"/>
    <w:rsid w:val="00801EAB"/>
    <w:rsid w:val="00802064"/>
    <w:rsid w:val="008024AA"/>
    <w:rsid w:val="00802FC4"/>
    <w:rsid w:val="00803ADC"/>
    <w:rsid w:val="00803E8D"/>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970"/>
    <w:rsid w:val="00807C7C"/>
    <w:rsid w:val="00810386"/>
    <w:rsid w:val="008115DE"/>
    <w:rsid w:val="008118BE"/>
    <w:rsid w:val="00811CCA"/>
    <w:rsid w:val="00811EE5"/>
    <w:rsid w:val="00811EF9"/>
    <w:rsid w:val="008120EE"/>
    <w:rsid w:val="00812296"/>
    <w:rsid w:val="0081272F"/>
    <w:rsid w:val="00812A22"/>
    <w:rsid w:val="00813256"/>
    <w:rsid w:val="00813950"/>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923"/>
    <w:rsid w:val="00831A40"/>
    <w:rsid w:val="00831B61"/>
    <w:rsid w:val="00831CE6"/>
    <w:rsid w:val="00831F58"/>
    <w:rsid w:val="00832044"/>
    <w:rsid w:val="008325B8"/>
    <w:rsid w:val="008326F6"/>
    <w:rsid w:val="0083296B"/>
    <w:rsid w:val="008329A9"/>
    <w:rsid w:val="00833A9F"/>
    <w:rsid w:val="00833D24"/>
    <w:rsid w:val="00833E52"/>
    <w:rsid w:val="00833ED5"/>
    <w:rsid w:val="00834730"/>
    <w:rsid w:val="0083475D"/>
    <w:rsid w:val="008348F3"/>
    <w:rsid w:val="00834C6B"/>
    <w:rsid w:val="008351BD"/>
    <w:rsid w:val="00835CA0"/>
    <w:rsid w:val="00835D55"/>
    <w:rsid w:val="00835DE8"/>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E48"/>
    <w:rsid w:val="00850CA7"/>
    <w:rsid w:val="00850EF5"/>
    <w:rsid w:val="008517B6"/>
    <w:rsid w:val="00851F99"/>
    <w:rsid w:val="00852428"/>
    <w:rsid w:val="00852858"/>
    <w:rsid w:val="00852B24"/>
    <w:rsid w:val="00852CAE"/>
    <w:rsid w:val="00852D6D"/>
    <w:rsid w:val="00852EDF"/>
    <w:rsid w:val="00853444"/>
    <w:rsid w:val="008534E6"/>
    <w:rsid w:val="008536B8"/>
    <w:rsid w:val="008537D9"/>
    <w:rsid w:val="0085389A"/>
    <w:rsid w:val="00854075"/>
    <w:rsid w:val="008549A6"/>
    <w:rsid w:val="008549DE"/>
    <w:rsid w:val="00855A18"/>
    <w:rsid w:val="00855DD9"/>
    <w:rsid w:val="008565A6"/>
    <w:rsid w:val="00856A2D"/>
    <w:rsid w:val="00856AF6"/>
    <w:rsid w:val="00856DC4"/>
    <w:rsid w:val="0085707D"/>
    <w:rsid w:val="008572A0"/>
    <w:rsid w:val="0085730B"/>
    <w:rsid w:val="00857596"/>
    <w:rsid w:val="00857A80"/>
    <w:rsid w:val="00857A96"/>
    <w:rsid w:val="00857B28"/>
    <w:rsid w:val="00860317"/>
    <w:rsid w:val="008603FA"/>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72E"/>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8039B"/>
    <w:rsid w:val="008803E8"/>
    <w:rsid w:val="00880B6F"/>
    <w:rsid w:val="0088142E"/>
    <w:rsid w:val="00881AFF"/>
    <w:rsid w:val="00881B49"/>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E51"/>
    <w:rsid w:val="00885CAE"/>
    <w:rsid w:val="00885E17"/>
    <w:rsid w:val="00885FC2"/>
    <w:rsid w:val="008860CC"/>
    <w:rsid w:val="00886CB7"/>
    <w:rsid w:val="008870B3"/>
    <w:rsid w:val="0088780F"/>
    <w:rsid w:val="00887A91"/>
    <w:rsid w:val="00887CEB"/>
    <w:rsid w:val="0089017C"/>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4F0A"/>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697"/>
    <w:rsid w:val="008A7745"/>
    <w:rsid w:val="008A7B18"/>
    <w:rsid w:val="008A7E9E"/>
    <w:rsid w:val="008A7EB5"/>
    <w:rsid w:val="008B0487"/>
    <w:rsid w:val="008B0646"/>
    <w:rsid w:val="008B0CB1"/>
    <w:rsid w:val="008B0EC4"/>
    <w:rsid w:val="008B18D4"/>
    <w:rsid w:val="008B1940"/>
    <w:rsid w:val="008B1E65"/>
    <w:rsid w:val="008B1FEE"/>
    <w:rsid w:val="008B23DC"/>
    <w:rsid w:val="008B2817"/>
    <w:rsid w:val="008B2867"/>
    <w:rsid w:val="008B2B54"/>
    <w:rsid w:val="008B2CA0"/>
    <w:rsid w:val="008B2CB4"/>
    <w:rsid w:val="008B2DC6"/>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444"/>
    <w:rsid w:val="008C0588"/>
    <w:rsid w:val="008C0F1A"/>
    <w:rsid w:val="008C102A"/>
    <w:rsid w:val="008C103B"/>
    <w:rsid w:val="008C137C"/>
    <w:rsid w:val="008C157A"/>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B5B"/>
    <w:rsid w:val="008C4E2E"/>
    <w:rsid w:val="008C5555"/>
    <w:rsid w:val="008C5B89"/>
    <w:rsid w:val="008C5E3C"/>
    <w:rsid w:val="008C6B23"/>
    <w:rsid w:val="008C6CE9"/>
    <w:rsid w:val="008C7013"/>
    <w:rsid w:val="008C7394"/>
    <w:rsid w:val="008C73EC"/>
    <w:rsid w:val="008C75A7"/>
    <w:rsid w:val="008C792A"/>
    <w:rsid w:val="008C7B89"/>
    <w:rsid w:val="008C7F97"/>
    <w:rsid w:val="008D01B9"/>
    <w:rsid w:val="008D03FB"/>
    <w:rsid w:val="008D0D3F"/>
    <w:rsid w:val="008D0E74"/>
    <w:rsid w:val="008D123E"/>
    <w:rsid w:val="008D146A"/>
    <w:rsid w:val="008D1809"/>
    <w:rsid w:val="008D18B0"/>
    <w:rsid w:val="008D1D76"/>
    <w:rsid w:val="008D2747"/>
    <w:rsid w:val="008D390E"/>
    <w:rsid w:val="008D3EF1"/>
    <w:rsid w:val="008D3F17"/>
    <w:rsid w:val="008D426D"/>
    <w:rsid w:val="008D4460"/>
    <w:rsid w:val="008D49CA"/>
    <w:rsid w:val="008D4D53"/>
    <w:rsid w:val="008D530E"/>
    <w:rsid w:val="008D5EF0"/>
    <w:rsid w:val="008D60EF"/>
    <w:rsid w:val="008D622F"/>
    <w:rsid w:val="008D62ED"/>
    <w:rsid w:val="008D63BE"/>
    <w:rsid w:val="008D66EC"/>
    <w:rsid w:val="008D6A94"/>
    <w:rsid w:val="008D6B34"/>
    <w:rsid w:val="008D6DCA"/>
    <w:rsid w:val="008D6DE3"/>
    <w:rsid w:val="008D6F39"/>
    <w:rsid w:val="008D7230"/>
    <w:rsid w:val="008D78DE"/>
    <w:rsid w:val="008E015C"/>
    <w:rsid w:val="008E01E0"/>
    <w:rsid w:val="008E02E1"/>
    <w:rsid w:val="008E0610"/>
    <w:rsid w:val="008E0717"/>
    <w:rsid w:val="008E0B8B"/>
    <w:rsid w:val="008E0C83"/>
    <w:rsid w:val="008E0CC2"/>
    <w:rsid w:val="008E0EB6"/>
    <w:rsid w:val="008E10FC"/>
    <w:rsid w:val="008E1D6F"/>
    <w:rsid w:val="008E220F"/>
    <w:rsid w:val="008E267F"/>
    <w:rsid w:val="008E27DE"/>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649"/>
    <w:rsid w:val="008E77F2"/>
    <w:rsid w:val="008E7D20"/>
    <w:rsid w:val="008F0E28"/>
    <w:rsid w:val="008F0F3C"/>
    <w:rsid w:val="008F10F8"/>
    <w:rsid w:val="008F1231"/>
    <w:rsid w:val="008F1300"/>
    <w:rsid w:val="008F1563"/>
    <w:rsid w:val="008F18CA"/>
    <w:rsid w:val="008F1AB0"/>
    <w:rsid w:val="008F1EA4"/>
    <w:rsid w:val="008F2666"/>
    <w:rsid w:val="008F286E"/>
    <w:rsid w:val="008F2B09"/>
    <w:rsid w:val="008F35B5"/>
    <w:rsid w:val="008F3778"/>
    <w:rsid w:val="008F3817"/>
    <w:rsid w:val="008F4146"/>
    <w:rsid w:val="008F4372"/>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2A99"/>
    <w:rsid w:val="00903515"/>
    <w:rsid w:val="009035B4"/>
    <w:rsid w:val="00903BCA"/>
    <w:rsid w:val="00904598"/>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664"/>
    <w:rsid w:val="009267EF"/>
    <w:rsid w:val="009268FC"/>
    <w:rsid w:val="00926A7D"/>
    <w:rsid w:val="00926AA3"/>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349"/>
    <w:rsid w:val="00935364"/>
    <w:rsid w:val="009353FA"/>
    <w:rsid w:val="009354D9"/>
    <w:rsid w:val="00935FEA"/>
    <w:rsid w:val="009365A5"/>
    <w:rsid w:val="00936F59"/>
    <w:rsid w:val="009370CE"/>
    <w:rsid w:val="00937272"/>
    <w:rsid w:val="00937317"/>
    <w:rsid w:val="009377C0"/>
    <w:rsid w:val="00937A99"/>
    <w:rsid w:val="009400BF"/>
    <w:rsid w:val="009409B6"/>
    <w:rsid w:val="00940B15"/>
    <w:rsid w:val="00940ED8"/>
    <w:rsid w:val="00941464"/>
    <w:rsid w:val="009414D7"/>
    <w:rsid w:val="009419CD"/>
    <w:rsid w:val="00941CB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418D"/>
    <w:rsid w:val="009543FF"/>
    <w:rsid w:val="00954A20"/>
    <w:rsid w:val="009551A2"/>
    <w:rsid w:val="009554F2"/>
    <w:rsid w:val="0095563D"/>
    <w:rsid w:val="0095568E"/>
    <w:rsid w:val="00955C65"/>
    <w:rsid w:val="00955E81"/>
    <w:rsid w:val="009564D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3CED"/>
    <w:rsid w:val="00964337"/>
    <w:rsid w:val="00964389"/>
    <w:rsid w:val="00964467"/>
    <w:rsid w:val="009650EF"/>
    <w:rsid w:val="00965331"/>
    <w:rsid w:val="00966052"/>
    <w:rsid w:val="009661D0"/>
    <w:rsid w:val="00966C36"/>
    <w:rsid w:val="00967139"/>
    <w:rsid w:val="0096727A"/>
    <w:rsid w:val="00967773"/>
    <w:rsid w:val="0096781B"/>
    <w:rsid w:val="00967D09"/>
    <w:rsid w:val="00970377"/>
    <w:rsid w:val="00970392"/>
    <w:rsid w:val="00970FC6"/>
    <w:rsid w:val="0097157E"/>
    <w:rsid w:val="00971A21"/>
    <w:rsid w:val="00972054"/>
    <w:rsid w:val="00972C44"/>
    <w:rsid w:val="009733AE"/>
    <w:rsid w:val="00973545"/>
    <w:rsid w:val="00973CBA"/>
    <w:rsid w:val="00973F8E"/>
    <w:rsid w:val="0097465C"/>
    <w:rsid w:val="009746F4"/>
    <w:rsid w:val="00975A9A"/>
    <w:rsid w:val="0097673A"/>
    <w:rsid w:val="00976F7F"/>
    <w:rsid w:val="009770CC"/>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C15"/>
    <w:rsid w:val="00985F89"/>
    <w:rsid w:val="00986457"/>
    <w:rsid w:val="00986530"/>
    <w:rsid w:val="00986A78"/>
    <w:rsid w:val="00987332"/>
    <w:rsid w:val="0098777E"/>
    <w:rsid w:val="00987B7F"/>
    <w:rsid w:val="00987C13"/>
    <w:rsid w:val="0099008A"/>
    <w:rsid w:val="00990411"/>
    <w:rsid w:val="00990413"/>
    <w:rsid w:val="009906A4"/>
    <w:rsid w:val="00990EE0"/>
    <w:rsid w:val="00990FC4"/>
    <w:rsid w:val="009911FD"/>
    <w:rsid w:val="0099178E"/>
    <w:rsid w:val="00991CCA"/>
    <w:rsid w:val="00992C96"/>
    <w:rsid w:val="00993226"/>
    <w:rsid w:val="0099322F"/>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A09B7"/>
    <w:rsid w:val="009A0ECF"/>
    <w:rsid w:val="009A1119"/>
    <w:rsid w:val="009A1369"/>
    <w:rsid w:val="009A1547"/>
    <w:rsid w:val="009A177E"/>
    <w:rsid w:val="009A1A84"/>
    <w:rsid w:val="009A28BA"/>
    <w:rsid w:val="009A2FDC"/>
    <w:rsid w:val="009A35B0"/>
    <w:rsid w:val="009A35CA"/>
    <w:rsid w:val="009A4096"/>
    <w:rsid w:val="009A4B8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B9C"/>
    <w:rsid w:val="009B0BCE"/>
    <w:rsid w:val="009B0BD8"/>
    <w:rsid w:val="009B0BF5"/>
    <w:rsid w:val="009B1134"/>
    <w:rsid w:val="009B1990"/>
    <w:rsid w:val="009B377B"/>
    <w:rsid w:val="009B3A98"/>
    <w:rsid w:val="009B3D5F"/>
    <w:rsid w:val="009B446F"/>
    <w:rsid w:val="009B4F17"/>
    <w:rsid w:val="009B4F9E"/>
    <w:rsid w:val="009B4FE5"/>
    <w:rsid w:val="009B5A07"/>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6CE"/>
    <w:rsid w:val="009C1390"/>
    <w:rsid w:val="009C15E8"/>
    <w:rsid w:val="009C16CD"/>
    <w:rsid w:val="009C17E5"/>
    <w:rsid w:val="009C1A1A"/>
    <w:rsid w:val="009C22D6"/>
    <w:rsid w:val="009C2581"/>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FB"/>
    <w:rsid w:val="009C7783"/>
    <w:rsid w:val="009C7897"/>
    <w:rsid w:val="009C7BC8"/>
    <w:rsid w:val="009D032A"/>
    <w:rsid w:val="009D04C7"/>
    <w:rsid w:val="009D05F9"/>
    <w:rsid w:val="009D08B1"/>
    <w:rsid w:val="009D0ADE"/>
    <w:rsid w:val="009D0B13"/>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CA6"/>
    <w:rsid w:val="009F3D2F"/>
    <w:rsid w:val="009F3FBC"/>
    <w:rsid w:val="009F446F"/>
    <w:rsid w:val="009F4515"/>
    <w:rsid w:val="009F4BB8"/>
    <w:rsid w:val="009F5231"/>
    <w:rsid w:val="009F587F"/>
    <w:rsid w:val="009F59B1"/>
    <w:rsid w:val="009F5CDC"/>
    <w:rsid w:val="009F5D43"/>
    <w:rsid w:val="009F6020"/>
    <w:rsid w:val="009F6877"/>
    <w:rsid w:val="009F6893"/>
    <w:rsid w:val="009F6DAD"/>
    <w:rsid w:val="009F6FCB"/>
    <w:rsid w:val="009F70F9"/>
    <w:rsid w:val="009F7710"/>
    <w:rsid w:val="009F7CAC"/>
    <w:rsid w:val="00A002FD"/>
    <w:rsid w:val="00A0046D"/>
    <w:rsid w:val="00A01161"/>
    <w:rsid w:val="00A012BB"/>
    <w:rsid w:val="00A014C3"/>
    <w:rsid w:val="00A0171C"/>
    <w:rsid w:val="00A01A51"/>
    <w:rsid w:val="00A01A6F"/>
    <w:rsid w:val="00A0260A"/>
    <w:rsid w:val="00A0268A"/>
    <w:rsid w:val="00A02AE2"/>
    <w:rsid w:val="00A032D3"/>
    <w:rsid w:val="00A038CC"/>
    <w:rsid w:val="00A044A1"/>
    <w:rsid w:val="00A05136"/>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84B"/>
    <w:rsid w:val="00A11911"/>
    <w:rsid w:val="00A11A8E"/>
    <w:rsid w:val="00A11DBB"/>
    <w:rsid w:val="00A12169"/>
    <w:rsid w:val="00A122B0"/>
    <w:rsid w:val="00A122BF"/>
    <w:rsid w:val="00A12CE3"/>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9EF"/>
    <w:rsid w:val="00A37007"/>
    <w:rsid w:val="00A37866"/>
    <w:rsid w:val="00A37999"/>
    <w:rsid w:val="00A379C7"/>
    <w:rsid w:val="00A37C7C"/>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5B"/>
    <w:rsid w:val="00A4537B"/>
    <w:rsid w:val="00A453B0"/>
    <w:rsid w:val="00A454FC"/>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10DE"/>
    <w:rsid w:val="00A514DD"/>
    <w:rsid w:val="00A51B2A"/>
    <w:rsid w:val="00A51B53"/>
    <w:rsid w:val="00A521C1"/>
    <w:rsid w:val="00A522B0"/>
    <w:rsid w:val="00A5235B"/>
    <w:rsid w:val="00A52966"/>
    <w:rsid w:val="00A52B98"/>
    <w:rsid w:val="00A5372B"/>
    <w:rsid w:val="00A545BF"/>
    <w:rsid w:val="00A54B50"/>
    <w:rsid w:val="00A54D6B"/>
    <w:rsid w:val="00A550B8"/>
    <w:rsid w:val="00A55A10"/>
    <w:rsid w:val="00A55DC8"/>
    <w:rsid w:val="00A55ED3"/>
    <w:rsid w:val="00A5632B"/>
    <w:rsid w:val="00A563D3"/>
    <w:rsid w:val="00A56579"/>
    <w:rsid w:val="00A56726"/>
    <w:rsid w:val="00A56765"/>
    <w:rsid w:val="00A56AC5"/>
    <w:rsid w:val="00A574F0"/>
    <w:rsid w:val="00A57755"/>
    <w:rsid w:val="00A57B63"/>
    <w:rsid w:val="00A57BA9"/>
    <w:rsid w:val="00A60132"/>
    <w:rsid w:val="00A60939"/>
    <w:rsid w:val="00A60A0F"/>
    <w:rsid w:val="00A60A69"/>
    <w:rsid w:val="00A617E7"/>
    <w:rsid w:val="00A619F3"/>
    <w:rsid w:val="00A61DC9"/>
    <w:rsid w:val="00A61F1E"/>
    <w:rsid w:val="00A61F43"/>
    <w:rsid w:val="00A62ED1"/>
    <w:rsid w:val="00A633E0"/>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603"/>
    <w:rsid w:val="00A66D4C"/>
    <w:rsid w:val="00A67379"/>
    <w:rsid w:val="00A67676"/>
    <w:rsid w:val="00A67BCA"/>
    <w:rsid w:val="00A67CCE"/>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2B1"/>
    <w:rsid w:val="00A74CDF"/>
    <w:rsid w:val="00A75408"/>
    <w:rsid w:val="00A75598"/>
    <w:rsid w:val="00A756D0"/>
    <w:rsid w:val="00A75BCB"/>
    <w:rsid w:val="00A75CC3"/>
    <w:rsid w:val="00A75F1D"/>
    <w:rsid w:val="00A75F8C"/>
    <w:rsid w:val="00A761CF"/>
    <w:rsid w:val="00A7631D"/>
    <w:rsid w:val="00A7667E"/>
    <w:rsid w:val="00A76D19"/>
    <w:rsid w:val="00A775E6"/>
    <w:rsid w:val="00A7768F"/>
    <w:rsid w:val="00A7771D"/>
    <w:rsid w:val="00A80BF6"/>
    <w:rsid w:val="00A80E98"/>
    <w:rsid w:val="00A81694"/>
    <w:rsid w:val="00A817CD"/>
    <w:rsid w:val="00A818A0"/>
    <w:rsid w:val="00A81935"/>
    <w:rsid w:val="00A82113"/>
    <w:rsid w:val="00A825A5"/>
    <w:rsid w:val="00A82899"/>
    <w:rsid w:val="00A82D87"/>
    <w:rsid w:val="00A83251"/>
    <w:rsid w:val="00A83ACB"/>
    <w:rsid w:val="00A844C2"/>
    <w:rsid w:val="00A84BBC"/>
    <w:rsid w:val="00A85698"/>
    <w:rsid w:val="00A859E4"/>
    <w:rsid w:val="00A85BDC"/>
    <w:rsid w:val="00A85C83"/>
    <w:rsid w:val="00A85CBA"/>
    <w:rsid w:val="00A861BB"/>
    <w:rsid w:val="00A8620B"/>
    <w:rsid w:val="00A866EE"/>
    <w:rsid w:val="00A8686B"/>
    <w:rsid w:val="00A875BA"/>
    <w:rsid w:val="00A875BE"/>
    <w:rsid w:val="00A87D9B"/>
    <w:rsid w:val="00A87DB4"/>
    <w:rsid w:val="00A901A1"/>
    <w:rsid w:val="00A9043C"/>
    <w:rsid w:val="00A90BEF"/>
    <w:rsid w:val="00A90D4F"/>
    <w:rsid w:val="00A90DF4"/>
    <w:rsid w:val="00A9166F"/>
    <w:rsid w:val="00A91DEE"/>
    <w:rsid w:val="00A92531"/>
    <w:rsid w:val="00A92A1A"/>
    <w:rsid w:val="00A937D2"/>
    <w:rsid w:val="00A94191"/>
    <w:rsid w:val="00A9428C"/>
    <w:rsid w:val="00A94A38"/>
    <w:rsid w:val="00A94E56"/>
    <w:rsid w:val="00A956DD"/>
    <w:rsid w:val="00A95A68"/>
    <w:rsid w:val="00A95ACC"/>
    <w:rsid w:val="00A95F24"/>
    <w:rsid w:val="00A96451"/>
    <w:rsid w:val="00A96524"/>
    <w:rsid w:val="00A9665E"/>
    <w:rsid w:val="00A96673"/>
    <w:rsid w:val="00A96DEB"/>
    <w:rsid w:val="00A96E97"/>
    <w:rsid w:val="00A96F5F"/>
    <w:rsid w:val="00A97168"/>
    <w:rsid w:val="00A9755C"/>
    <w:rsid w:val="00A978CC"/>
    <w:rsid w:val="00A97A15"/>
    <w:rsid w:val="00A97A3F"/>
    <w:rsid w:val="00A97BF0"/>
    <w:rsid w:val="00AA00E4"/>
    <w:rsid w:val="00AA0275"/>
    <w:rsid w:val="00AA04F7"/>
    <w:rsid w:val="00AA06BA"/>
    <w:rsid w:val="00AA0CBC"/>
    <w:rsid w:val="00AA0E60"/>
    <w:rsid w:val="00AA0EF1"/>
    <w:rsid w:val="00AA15D3"/>
    <w:rsid w:val="00AA1639"/>
    <w:rsid w:val="00AA165D"/>
    <w:rsid w:val="00AA1F49"/>
    <w:rsid w:val="00AA21D3"/>
    <w:rsid w:val="00AA2482"/>
    <w:rsid w:val="00AA25C1"/>
    <w:rsid w:val="00AA2EEE"/>
    <w:rsid w:val="00AA31A5"/>
    <w:rsid w:val="00AA3BB3"/>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709"/>
    <w:rsid w:val="00AB57DC"/>
    <w:rsid w:val="00AB592A"/>
    <w:rsid w:val="00AB5C1D"/>
    <w:rsid w:val="00AB5C38"/>
    <w:rsid w:val="00AB751C"/>
    <w:rsid w:val="00AB7625"/>
    <w:rsid w:val="00AB7910"/>
    <w:rsid w:val="00AB7C8E"/>
    <w:rsid w:val="00AC0214"/>
    <w:rsid w:val="00AC0251"/>
    <w:rsid w:val="00AC0646"/>
    <w:rsid w:val="00AC06D6"/>
    <w:rsid w:val="00AC0996"/>
    <w:rsid w:val="00AC0BA3"/>
    <w:rsid w:val="00AC0E98"/>
    <w:rsid w:val="00AC1341"/>
    <w:rsid w:val="00AC146B"/>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5737"/>
    <w:rsid w:val="00AC61B7"/>
    <w:rsid w:val="00AC6345"/>
    <w:rsid w:val="00AC656B"/>
    <w:rsid w:val="00AC67DD"/>
    <w:rsid w:val="00AC7039"/>
    <w:rsid w:val="00AC7174"/>
    <w:rsid w:val="00AC7595"/>
    <w:rsid w:val="00AC7801"/>
    <w:rsid w:val="00AC79F8"/>
    <w:rsid w:val="00AC7F37"/>
    <w:rsid w:val="00AD004B"/>
    <w:rsid w:val="00AD049F"/>
    <w:rsid w:val="00AD0C1E"/>
    <w:rsid w:val="00AD0E10"/>
    <w:rsid w:val="00AD12B8"/>
    <w:rsid w:val="00AD2D23"/>
    <w:rsid w:val="00AD2DBB"/>
    <w:rsid w:val="00AD2EFE"/>
    <w:rsid w:val="00AD317F"/>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2B8"/>
    <w:rsid w:val="00AE4B0F"/>
    <w:rsid w:val="00AE4F52"/>
    <w:rsid w:val="00AE5F79"/>
    <w:rsid w:val="00AE6AA2"/>
    <w:rsid w:val="00AE6CA7"/>
    <w:rsid w:val="00AE7293"/>
    <w:rsid w:val="00AE761B"/>
    <w:rsid w:val="00AF0080"/>
    <w:rsid w:val="00AF020A"/>
    <w:rsid w:val="00AF0365"/>
    <w:rsid w:val="00AF0760"/>
    <w:rsid w:val="00AF0B54"/>
    <w:rsid w:val="00AF0D06"/>
    <w:rsid w:val="00AF0F01"/>
    <w:rsid w:val="00AF1227"/>
    <w:rsid w:val="00AF1AF2"/>
    <w:rsid w:val="00AF1E4E"/>
    <w:rsid w:val="00AF22DA"/>
    <w:rsid w:val="00AF306E"/>
    <w:rsid w:val="00AF3538"/>
    <w:rsid w:val="00AF387E"/>
    <w:rsid w:val="00AF39AD"/>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1065"/>
    <w:rsid w:val="00B01112"/>
    <w:rsid w:val="00B024DF"/>
    <w:rsid w:val="00B0257E"/>
    <w:rsid w:val="00B02B74"/>
    <w:rsid w:val="00B035BC"/>
    <w:rsid w:val="00B03661"/>
    <w:rsid w:val="00B03856"/>
    <w:rsid w:val="00B042C2"/>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408"/>
    <w:rsid w:val="00B106E2"/>
    <w:rsid w:val="00B1097C"/>
    <w:rsid w:val="00B10DBF"/>
    <w:rsid w:val="00B10E4A"/>
    <w:rsid w:val="00B10FAB"/>
    <w:rsid w:val="00B110B4"/>
    <w:rsid w:val="00B114BF"/>
    <w:rsid w:val="00B116EF"/>
    <w:rsid w:val="00B11861"/>
    <w:rsid w:val="00B126D6"/>
    <w:rsid w:val="00B128F9"/>
    <w:rsid w:val="00B129C4"/>
    <w:rsid w:val="00B12C50"/>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73D9"/>
    <w:rsid w:val="00B1741E"/>
    <w:rsid w:val="00B17F04"/>
    <w:rsid w:val="00B2013D"/>
    <w:rsid w:val="00B20236"/>
    <w:rsid w:val="00B202A7"/>
    <w:rsid w:val="00B20535"/>
    <w:rsid w:val="00B21592"/>
    <w:rsid w:val="00B21CDE"/>
    <w:rsid w:val="00B22497"/>
    <w:rsid w:val="00B22786"/>
    <w:rsid w:val="00B228A5"/>
    <w:rsid w:val="00B238C1"/>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82D"/>
    <w:rsid w:val="00B35926"/>
    <w:rsid w:val="00B359DB"/>
    <w:rsid w:val="00B35ABB"/>
    <w:rsid w:val="00B35BA6"/>
    <w:rsid w:val="00B361E0"/>
    <w:rsid w:val="00B3675A"/>
    <w:rsid w:val="00B36927"/>
    <w:rsid w:val="00B373FA"/>
    <w:rsid w:val="00B37963"/>
    <w:rsid w:val="00B37C4D"/>
    <w:rsid w:val="00B37D48"/>
    <w:rsid w:val="00B37E43"/>
    <w:rsid w:val="00B406D5"/>
    <w:rsid w:val="00B40734"/>
    <w:rsid w:val="00B40D66"/>
    <w:rsid w:val="00B410BA"/>
    <w:rsid w:val="00B41511"/>
    <w:rsid w:val="00B41998"/>
    <w:rsid w:val="00B41F4B"/>
    <w:rsid w:val="00B42035"/>
    <w:rsid w:val="00B4240B"/>
    <w:rsid w:val="00B42525"/>
    <w:rsid w:val="00B42526"/>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506"/>
    <w:rsid w:val="00B5350C"/>
    <w:rsid w:val="00B536C4"/>
    <w:rsid w:val="00B53715"/>
    <w:rsid w:val="00B53D25"/>
    <w:rsid w:val="00B53DA1"/>
    <w:rsid w:val="00B53F14"/>
    <w:rsid w:val="00B551C4"/>
    <w:rsid w:val="00B553E8"/>
    <w:rsid w:val="00B554A0"/>
    <w:rsid w:val="00B55A94"/>
    <w:rsid w:val="00B55CD5"/>
    <w:rsid w:val="00B561B3"/>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65EE"/>
    <w:rsid w:val="00B666AB"/>
    <w:rsid w:val="00B66B42"/>
    <w:rsid w:val="00B66E55"/>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4A2"/>
    <w:rsid w:val="00B7598D"/>
    <w:rsid w:val="00B75DB6"/>
    <w:rsid w:val="00B75E41"/>
    <w:rsid w:val="00B7631F"/>
    <w:rsid w:val="00B766D8"/>
    <w:rsid w:val="00B76A9D"/>
    <w:rsid w:val="00B77544"/>
    <w:rsid w:val="00B7772A"/>
    <w:rsid w:val="00B77C61"/>
    <w:rsid w:val="00B77DC4"/>
    <w:rsid w:val="00B77F5B"/>
    <w:rsid w:val="00B801B0"/>
    <w:rsid w:val="00B807D8"/>
    <w:rsid w:val="00B8092F"/>
    <w:rsid w:val="00B80F88"/>
    <w:rsid w:val="00B81261"/>
    <w:rsid w:val="00B81987"/>
    <w:rsid w:val="00B81BE4"/>
    <w:rsid w:val="00B81E3B"/>
    <w:rsid w:val="00B8223E"/>
    <w:rsid w:val="00B8235A"/>
    <w:rsid w:val="00B826F5"/>
    <w:rsid w:val="00B8291A"/>
    <w:rsid w:val="00B82DCD"/>
    <w:rsid w:val="00B83136"/>
    <w:rsid w:val="00B8325C"/>
    <w:rsid w:val="00B83CA3"/>
    <w:rsid w:val="00B83F54"/>
    <w:rsid w:val="00B840C8"/>
    <w:rsid w:val="00B8442C"/>
    <w:rsid w:val="00B855D9"/>
    <w:rsid w:val="00B856BA"/>
    <w:rsid w:val="00B85859"/>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894"/>
    <w:rsid w:val="00B91C4A"/>
    <w:rsid w:val="00B91F3B"/>
    <w:rsid w:val="00B9237D"/>
    <w:rsid w:val="00B92E95"/>
    <w:rsid w:val="00B937B5"/>
    <w:rsid w:val="00B938A0"/>
    <w:rsid w:val="00B938BA"/>
    <w:rsid w:val="00B94311"/>
    <w:rsid w:val="00B944CC"/>
    <w:rsid w:val="00B94553"/>
    <w:rsid w:val="00B94B2D"/>
    <w:rsid w:val="00B94D07"/>
    <w:rsid w:val="00B94DDD"/>
    <w:rsid w:val="00B94F7C"/>
    <w:rsid w:val="00B95063"/>
    <w:rsid w:val="00B955DE"/>
    <w:rsid w:val="00B957B1"/>
    <w:rsid w:val="00B95942"/>
    <w:rsid w:val="00B95C5E"/>
    <w:rsid w:val="00B96463"/>
    <w:rsid w:val="00B96A98"/>
    <w:rsid w:val="00B96E45"/>
    <w:rsid w:val="00B96F11"/>
    <w:rsid w:val="00BA09EA"/>
    <w:rsid w:val="00BA0A64"/>
    <w:rsid w:val="00BA0AA5"/>
    <w:rsid w:val="00BA0AE1"/>
    <w:rsid w:val="00BA0DBB"/>
    <w:rsid w:val="00BA1359"/>
    <w:rsid w:val="00BA1B39"/>
    <w:rsid w:val="00BA1DD6"/>
    <w:rsid w:val="00BA2416"/>
    <w:rsid w:val="00BA30C4"/>
    <w:rsid w:val="00BA326A"/>
    <w:rsid w:val="00BA32CB"/>
    <w:rsid w:val="00BA3D4F"/>
    <w:rsid w:val="00BA3E27"/>
    <w:rsid w:val="00BA3FD8"/>
    <w:rsid w:val="00BA41DC"/>
    <w:rsid w:val="00BA4402"/>
    <w:rsid w:val="00BA44A8"/>
    <w:rsid w:val="00BA4DB5"/>
    <w:rsid w:val="00BA56C3"/>
    <w:rsid w:val="00BA65A9"/>
    <w:rsid w:val="00BA6967"/>
    <w:rsid w:val="00BA6983"/>
    <w:rsid w:val="00BA6B44"/>
    <w:rsid w:val="00BA7251"/>
    <w:rsid w:val="00BA7320"/>
    <w:rsid w:val="00BA7712"/>
    <w:rsid w:val="00BA7C0C"/>
    <w:rsid w:val="00BB0503"/>
    <w:rsid w:val="00BB0D6D"/>
    <w:rsid w:val="00BB1143"/>
    <w:rsid w:val="00BB115A"/>
    <w:rsid w:val="00BB1A5C"/>
    <w:rsid w:val="00BB1CCC"/>
    <w:rsid w:val="00BB21AA"/>
    <w:rsid w:val="00BB24DB"/>
    <w:rsid w:val="00BB24FE"/>
    <w:rsid w:val="00BB2777"/>
    <w:rsid w:val="00BB2A1B"/>
    <w:rsid w:val="00BB2D69"/>
    <w:rsid w:val="00BB3F8B"/>
    <w:rsid w:val="00BB429F"/>
    <w:rsid w:val="00BB45B7"/>
    <w:rsid w:val="00BB51AE"/>
    <w:rsid w:val="00BB5BE7"/>
    <w:rsid w:val="00BB6025"/>
    <w:rsid w:val="00BB624A"/>
    <w:rsid w:val="00BB63B6"/>
    <w:rsid w:val="00BB64E2"/>
    <w:rsid w:val="00BB653D"/>
    <w:rsid w:val="00BB6A29"/>
    <w:rsid w:val="00BB6E1A"/>
    <w:rsid w:val="00BB731C"/>
    <w:rsid w:val="00BC0016"/>
    <w:rsid w:val="00BC0399"/>
    <w:rsid w:val="00BC0D47"/>
    <w:rsid w:val="00BC1223"/>
    <w:rsid w:val="00BC1278"/>
    <w:rsid w:val="00BC153B"/>
    <w:rsid w:val="00BC1791"/>
    <w:rsid w:val="00BC1DCC"/>
    <w:rsid w:val="00BC2582"/>
    <w:rsid w:val="00BC28E9"/>
    <w:rsid w:val="00BC2C71"/>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D0A4C"/>
    <w:rsid w:val="00BD0D7D"/>
    <w:rsid w:val="00BD0D96"/>
    <w:rsid w:val="00BD12C4"/>
    <w:rsid w:val="00BD190C"/>
    <w:rsid w:val="00BD1929"/>
    <w:rsid w:val="00BD2465"/>
    <w:rsid w:val="00BD27E4"/>
    <w:rsid w:val="00BD2DF0"/>
    <w:rsid w:val="00BD31F3"/>
    <w:rsid w:val="00BD3ABB"/>
    <w:rsid w:val="00BD3EAE"/>
    <w:rsid w:val="00BD44C2"/>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6B6"/>
    <w:rsid w:val="00BE06E8"/>
    <w:rsid w:val="00BE0BE3"/>
    <w:rsid w:val="00BE12F5"/>
    <w:rsid w:val="00BE14F6"/>
    <w:rsid w:val="00BE15A9"/>
    <w:rsid w:val="00BE1669"/>
    <w:rsid w:val="00BE18D4"/>
    <w:rsid w:val="00BE1BA1"/>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910"/>
    <w:rsid w:val="00BF4E4A"/>
    <w:rsid w:val="00BF5399"/>
    <w:rsid w:val="00BF57D7"/>
    <w:rsid w:val="00BF5E79"/>
    <w:rsid w:val="00BF648C"/>
    <w:rsid w:val="00BF7B16"/>
    <w:rsid w:val="00BF7BBC"/>
    <w:rsid w:val="00BF7C02"/>
    <w:rsid w:val="00BF7C26"/>
    <w:rsid w:val="00C00877"/>
    <w:rsid w:val="00C00BF6"/>
    <w:rsid w:val="00C011A5"/>
    <w:rsid w:val="00C011B1"/>
    <w:rsid w:val="00C011E4"/>
    <w:rsid w:val="00C011EC"/>
    <w:rsid w:val="00C01C82"/>
    <w:rsid w:val="00C01CC5"/>
    <w:rsid w:val="00C01CF9"/>
    <w:rsid w:val="00C01DEF"/>
    <w:rsid w:val="00C01E8D"/>
    <w:rsid w:val="00C020AC"/>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627"/>
    <w:rsid w:val="00C15696"/>
    <w:rsid w:val="00C1588C"/>
    <w:rsid w:val="00C15932"/>
    <w:rsid w:val="00C15A5A"/>
    <w:rsid w:val="00C15D99"/>
    <w:rsid w:val="00C15F19"/>
    <w:rsid w:val="00C1624A"/>
    <w:rsid w:val="00C16A8B"/>
    <w:rsid w:val="00C17519"/>
    <w:rsid w:val="00C1790D"/>
    <w:rsid w:val="00C17919"/>
    <w:rsid w:val="00C17C6C"/>
    <w:rsid w:val="00C17F4D"/>
    <w:rsid w:val="00C20121"/>
    <w:rsid w:val="00C202FA"/>
    <w:rsid w:val="00C208FE"/>
    <w:rsid w:val="00C20BFC"/>
    <w:rsid w:val="00C20FA0"/>
    <w:rsid w:val="00C2260B"/>
    <w:rsid w:val="00C22F97"/>
    <w:rsid w:val="00C22FA7"/>
    <w:rsid w:val="00C23113"/>
    <w:rsid w:val="00C23158"/>
    <w:rsid w:val="00C23666"/>
    <w:rsid w:val="00C24067"/>
    <w:rsid w:val="00C2406D"/>
    <w:rsid w:val="00C241B3"/>
    <w:rsid w:val="00C24E68"/>
    <w:rsid w:val="00C24EC1"/>
    <w:rsid w:val="00C255D8"/>
    <w:rsid w:val="00C256D8"/>
    <w:rsid w:val="00C2572B"/>
    <w:rsid w:val="00C259B2"/>
    <w:rsid w:val="00C25AC1"/>
    <w:rsid w:val="00C2616C"/>
    <w:rsid w:val="00C2656D"/>
    <w:rsid w:val="00C26E51"/>
    <w:rsid w:val="00C272A8"/>
    <w:rsid w:val="00C273F9"/>
    <w:rsid w:val="00C27DB6"/>
    <w:rsid w:val="00C30029"/>
    <w:rsid w:val="00C3042A"/>
    <w:rsid w:val="00C3065B"/>
    <w:rsid w:val="00C30662"/>
    <w:rsid w:val="00C306EF"/>
    <w:rsid w:val="00C30DA4"/>
    <w:rsid w:val="00C3123C"/>
    <w:rsid w:val="00C314C5"/>
    <w:rsid w:val="00C315D6"/>
    <w:rsid w:val="00C316B1"/>
    <w:rsid w:val="00C31F2E"/>
    <w:rsid w:val="00C31FCB"/>
    <w:rsid w:val="00C3217F"/>
    <w:rsid w:val="00C3234E"/>
    <w:rsid w:val="00C32473"/>
    <w:rsid w:val="00C32771"/>
    <w:rsid w:val="00C32981"/>
    <w:rsid w:val="00C32D0D"/>
    <w:rsid w:val="00C32E2F"/>
    <w:rsid w:val="00C32E35"/>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F16"/>
    <w:rsid w:val="00C36277"/>
    <w:rsid w:val="00C36907"/>
    <w:rsid w:val="00C37450"/>
    <w:rsid w:val="00C374B9"/>
    <w:rsid w:val="00C37827"/>
    <w:rsid w:val="00C37894"/>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C3"/>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DE2"/>
    <w:rsid w:val="00C66E87"/>
    <w:rsid w:val="00C6730B"/>
    <w:rsid w:val="00C67DE5"/>
    <w:rsid w:val="00C704AB"/>
    <w:rsid w:val="00C70743"/>
    <w:rsid w:val="00C70884"/>
    <w:rsid w:val="00C708E3"/>
    <w:rsid w:val="00C709B9"/>
    <w:rsid w:val="00C70DF7"/>
    <w:rsid w:val="00C70EF3"/>
    <w:rsid w:val="00C711AB"/>
    <w:rsid w:val="00C71469"/>
    <w:rsid w:val="00C717E7"/>
    <w:rsid w:val="00C71CA4"/>
    <w:rsid w:val="00C725D8"/>
    <w:rsid w:val="00C72A4D"/>
    <w:rsid w:val="00C7306C"/>
    <w:rsid w:val="00C733ED"/>
    <w:rsid w:val="00C7351A"/>
    <w:rsid w:val="00C735CC"/>
    <w:rsid w:val="00C7390B"/>
    <w:rsid w:val="00C739A6"/>
    <w:rsid w:val="00C739FC"/>
    <w:rsid w:val="00C739FF"/>
    <w:rsid w:val="00C73AF8"/>
    <w:rsid w:val="00C74343"/>
    <w:rsid w:val="00C74A34"/>
    <w:rsid w:val="00C7537A"/>
    <w:rsid w:val="00C75665"/>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5D"/>
    <w:rsid w:val="00C817C3"/>
    <w:rsid w:val="00C81848"/>
    <w:rsid w:val="00C81E75"/>
    <w:rsid w:val="00C81EB1"/>
    <w:rsid w:val="00C82012"/>
    <w:rsid w:val="00C82387"/>
    <w:rsid w:val="00C82548"/>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19"/>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08B"/>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137"/>
    <w:rsid w:val="00C972E0"/>
    <w:rsid w:val="00C972FE"/>
    <w:rsid w:val="00C976C5"/>
    <w:rsid w:val="00C97A1B"/>
    <w:rsid w:val="00CA02CE"/>
    <w:rsid w:val="00CA02CF"/>
    <w:rsid w:val="00CA03EC"/>
    <w:rsid w:val="00CA0984"/>
    <w:rsid w:val="00CA0AC9"/>
    <w:rsid w:val="00CA128F"/>
    <w:rsid w:val="00CA1C89"/>
    <w:rsid w:val="00CA1E33"/>
    <w:rsid w:val="00CA1ED3"/>
    <w:rsid w:val="00CA2AFD"/>
    <w:rsid w:val="00CA2C66"/>
    <w:rsid w:val="00CA2E00"/>
    <w:rsid w:val="00CA3558"/>
    <w:rsid w:val="00CA3950"/>
    <w:rsid w:val="00CA3A6C"/>
    <w:rsid w:val="00CA3B6B"/>
    <w:rsid w:val="00CA3CB8"/>
    <w:rsid w:val="00CA42E1"/>
    <w:rsid w:val="00CA4BB7"/>
    <w:rsid w:val="00CA4D0F"/>
    <w:rsid w:val="00CA5EBA"/>
    <w:rsid w:val="00CA5F70"/>
    <w:rsid w:val="00CA6488"/>
    <w:rsid w:val="00CA64CB"/>
    <w:rsid w:val="00CA6799"/>
    <w:rsid w:val="00CA69C5"/>
    <w:rsid w:val="00CA6A66"/>
    <w:rsid w:val="00CA6B8F"/>
    <w:rsid w:val="00CA6BD2"/>
    <w:rsid w:val="00CA6C49"/>
    <w:rsid w:val="00CA6CC0"/>
    <w:rsid w:val="00CA7CB0"/>
    <w:rsid w:val="00CA7E94"/>
    <w:rsid w:val="00CA7EAF"/>
    <w:rsid w:val="00CB01D3"/>
    <w:rsid w:val="00CB0465"/>
    <w:rsid w:val="00CB04F1"/>
    <w:rsid w:val="00CB0918"/>
    <w:rsid w:val="00CB0E4C"/>
    <w:rsid w:val="00CB1154"/>
    <w:rsid w:val="00CB18E2"/>
    <w:rsid w:val="00CB2789"/>
    <w:rsid w:val="00CB2827"/>
    <w:rsid w:val="00CB2A8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112F"/>
    <w:rsid w:val="00CC1466"/>
    <w:rsid w:val="00CC15E9"/>
    <w:rsid w:val="00CC19B8"/>
    <w:rsid w:val="00CC1B9B"/>
    <w:rsid w:val="00CC22BF"/>
    <w:rsid w:val="00CC27B0"/>
    <w:rsid w:val="00CC2BB1"/>
    <w:rsid w:val="00CC2DE3"/>
    <w:rsid w:val="00CC34BB"/>
    <w:rsid w:val="00CC3E5D"/>
    <w:rsid w:val="00CC4261"/>
    <w:rsid w:val="00CC44A5"/>
    <w:rsid w:val="00CC50DB"/>
    <w:rsid w:val="00CC53D9"/>
    <w:rsid w:val="00CC6E00"/>
    <w:rsid w:val="00CC74F6"/>
    <w:rsid w:val="00CD003F"/>
    <w:rsid w:val="00CD021E"/>
    <w:rsid w:val="00CD03EC"/>
    <w:rsid w:val="00CD072C"/>
    <w:rsid w:val="00CD087F"/>
    <w:rsid w:val="00CD0892"/>
    <w:rsid w:val="00CD0DE6"/>
    <w:rsid w:val="00CD1C33"/>
    <w:rsid w:val="00CD27BA"/>
    <w:rsid w:val="00CD2944"/>
    <w:rsid w:val="00CD2B5B"/>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6BE"/>
    <w:rsid w:val="00CE1774"/>
    <w:rsid w:val="00CE1957"/>
    <w:rsid w:val="00CE1977"/>
    <w:rsid w:val="00CE202D"/>
    <w:rsid w:val="00CE230F"/>
    <w:rsid w:val="00CE2C1E"/>
    <w:rsid w:val="00CE3531"/>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112"/>
    <w:rsid w:val="00CF02FE"/>
    <w:rsid w:val="00CF0788"/>
    <w:rsid w:val="00CF0A9D"/>
    <w:rsid w:val="00CF0D15"/>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1DE"/>
    <w:rsid w:val="00CF56B7"/>
    <w:rsid w:val="00CF56D5"/>
    <w:rsid w:val="00CF581C"/>
    <w:rsid w:val="00CF5F3A"/>
    <w:rsid w:val="00CF6318"/>
    <w:rsid w:val="00CF6E1B"/>
    <w:rsid w:val="00CF6FF1"/>
    <w:rsid w:val="00CF702F"/>
    <w:rsid w:val="00CF7075"/>
    <w:rsid w:val="00CF724E"/>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6B1"/>
    <w:rsid w:val="00D078CA"/>
    <w:rsid w:val="00D07B7A"/>
    <w:rsid w:val="00D07DF8"/>
    <w:rsid w:val="00D07EE1"/>
    <w:rsid w:val="00D10645"/>
    <w:rsid w:val="00D10E41"/>
    <w:rsid w:val="00D111FB"/>
    <w:rsid w:val="00D11B16"/>
    <w:rsid w:val="00D12872"/>
    <w:rsid w:val="00D12FF9"/>
    <w:rsid w:val="00D132B2"/>
    <w:rsid w:val="00D136E5"/>
    <w:rsid w:val="00D13A0B"/>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3D0"/>
    <w:rsid w:val="00D20966"/>
    <w:rsid w:val="00D20CDE"/>
    <w:rsid w:val="00D20DB8"/>
    <w:rsid w:val="00D21302"/>
    <w:rsid w:val="00D2167E"/>
    <w:rsid w:val="00D21C13"/>
    <w:rsid w:val="00D229CF"/>
    <w:rsid w:val="00D22BE6"/>
    <w:rsid w:val="00D22D56"/>
    <w:rsid w:val="00D23356"/>
    <w:rsid w:val="00D234C6"/>
    <w:rsid w:val="00D236FD"/>
    <w:rsid w:val="00D23AF3"/>
    <w:rsid w:val="00D23C83"/>
    <w:rsid w:val="00D23E16"/>
    <w:rsid w:val="00D23E40"/>
    <w:rsid w:val="00D2402E"/>
    <w:rsid w:val="00D242D2"/>
    <w:rsid w:val="00D24C6C"/>
    <w:rsid w:val="00D24D8E"/>
    <w:rsid w:val="00D24FD9"/>
    <w:rsid w:val="00D25395"/>
    <w:rsid w:val="00D25B96"/>
    <w:rsid w:val="00D260F4"/>
    <w:rsid w:val="00D27694"/>
    <w:rsid w:val="00D27F3B"/>
    <w:rsid w:val="00D30031"/>
    <w:rsid w:val="00D30799"/>
    <w:rsid w:val="00D3124C"/>
    <w:rsid w:val="00D31967"/>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F0"/>
    <w:rsid w:val="00D35CBE"/>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EE2"/>
    <w:rsid w:val="00D50110"/>
    <w:rsid w:val="00D5046F"/>
    <w:rsid w:val="00D5078E"/>
    <w:rsid w:val="00D50CCB"/>
    <w:rsid w:val="00D511E6"/>
    <w:rsid w:val="00D513BC"/>
    <w:rsid w:val="00D5160C"/>
    <w:rsid w:val="00D516B9"/>
    <w:rsid w:val="00D521C5"/>
    <w:rsid w:val="00D522A3"/>
    <w:rsid w:val="00D5264F"/>
    <w:rsid w:val="00D526CA"/>
    <w:rsid w:val="00D528B8"/>
    <w:rsid w:val="00D52BCB"/>
    <w:rsid w:val="00D535C5"/>
    <w:rsid w:val="00D535F7"/>
    <w:rsid w:val="00D536C0"/>
    <w:rsid w:val="00D5400D"/>
    <w:rsid w:val="00D5491C"/>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DA1"/>
    <w:rsid w:val="00D610C1"/>
    <w:rsid w:val="00D6149D"/>
    <w:rsid w:val="00D61D28"/>
    <w:rsid w:val="00D620C4"/>
    <w:rsid w:val="00D622BD"/>
    <w:rsid w:val="00D625E7"/>
    <w:rsid w:val="00D627F7"/>
    <w:rsid w:val="00D62B05"/>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89"/>
    <w:rsid w:val="00D701B9"/>
    <w:rsid w:val="00D70333"/>
    <w:rsid w:val="00D70460"/>
    <w:rsid w:val="00D7104B"/>
    <w:rsid w:val="00D71280"/>
    <w:rsid w:val="00D71617"/>
    <w:rsid w:val="00D71EB0"/>
    <w:rsid w:val="00D722CF"/>
    <w:rsid w:val="00D72B52"/>
    <w:rsid w:val="00D72F11"/>
    <w:rsid w:val="00D7318B"/>
    <w:rsid w:val="00D73210"/>
    <w:rsid w:val="00D732C3"/>
    <w:rsid w:val="00D737DE"/>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DD3"/>
    <w:rsid w:val="00D80E33"/>
    <w:rsid w:val="00D81386"/>
    <w:rsid w:val="00D81EC5"/>
    <w:rsid w:val="00D81F1F"/>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CEC"/>
    <w:rsid w:val="00D87E58"/>
    <w:rsid w:val="00D9006C"/>
    <w:rsid w:val="00D9024E"/>
    <w:rsid w:val="00D903F4"/>
    <w:rsid w:val="00D90D80"/>
    <w:rsid w:val="00D910D6"/>
    <w:rsid w:val="00D91386"/>
    <w:rsid w:val="00D922E7"/>
    <w:rsid w:val="00D9255F"/>
    <w:rsid w:val="00D92609"/>
    <w:rsid w:val="00D9266C"/>
    <w:rsid w:val="00D92E4A"/>
    <w:rsid w:val="00D9302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1851"/>
    <w:rsid w:val="00DB1C06"/>
    <w:rsid w:val="00DB1CD2"/>
    <w:rsid w:val="00DB1D28"/>
    <w:rsid w:val="00DB1FD6"/>
    <w:rsid w:val="00DB2990"/>
    <w:rsid w:val="00DB311E"/>
    <w:rsid w:val="00DB33FD"/>
    <w:rsid w:val="00DB3427"/>
    <w:rsid w:val="00DB36C3"/>
    <w:rsid w:val="00DB3C34"/>
    <w:rsid w:val="00DB3D43"/>
    <w:rsid w:val="00DB3FA3"/>
    <w:rsid w:val="00DB41C2"/>
    <w:rsid w:val="00DB45C2"/>
    <w:rsid w:val="00DB4676"/>
    <w:rsid w:val="00DB4E53"/>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913"/>
    <w:rsid w:val="00DC0B96"/>
    <w:rsid w:val="00DC1044"/>
    <w:rsid w:val="00DC146A"/>
    <w:rsid w:val="00DC14BE"/>
    <w:rsid w:val="00DC15D0"/>
    <w:rsid w:val="00DC180D"/>
    <w:rsid w:val="00DC180F"/>
    <w:rsid w:val="00DC1B38"/>
    <w:rsid w:val="00DC1B5C"/>
    <w:rsid w:val="00DC1C83"/>
    <w:rsid w:val="00DC1EDE"/>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499D"/>
    <w:rsid w:val="00DC4A9E"/>
    <w:rsid w:val="00DC50B5"/>
    <w:rsid w:val="00DC5135"/>
    <w:rsid w:val="00DC5951"/>
    <w:rsid w:val="00DC5953"/>
    <w:rsid w:val="00DC59C8"/>
    <w:rsid w:val="00DC5DC5"/>
    <w:rsid w:val="00DC5EEA"/>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4F3"/>
    <w:rsid w:val="00DD6C04"/>
    <w:rsid w:val="00DD6F65"/>
    <w:rsid w:val="00DD6F77"/>
    <w:rsid w:val="00DD70E9"/>
    <w:rsid w:val="00DD7545"/>
    <w:rsid w:val="00DD75BC"/>
    <w:rsid w:val="00DD770D"/>
    <w:rsid w:val="00DD7936"/>
    <w:rsid w:val="00DD7E11"/>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493E"/>
    <w:rsid w:val="00DF49B5"/>
    <w:rsid w:val="00DF49FA"/>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BC4"/>
    <w:rsid w:val="00E02DC9"/>
    <w:rsid w:val="00E02F19"/>
    <w:rsid w:val="00E032C0"/>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E1D"/>
    <w:rsid w:val="00E16FE5"/>
    <w:rsid w:val="00E17D2A"/>
    <w:rsid w:val="00E203B7"/>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707B"/>
    <w:rsid w:val="00E2749F"/>
    <w:rsid w:val="00E27601"/>
    <w:rsid w:val="00E27645"/>
    <w:rsid w:val="00E30031"/>
    <w:rsid w:val="00E304F8"/>
    <w:rsid w:val="00E30702"/>
    <w:rsid w:val="00E3078D"/>
    <w:rsid w:val="00E3173F"/>
    <w:rsid w:val="00E31C45"/>
    <w:rsid w:val="00E31ED9"/>
    <w:rsid w:val="00E322C8"/>
    <w:rsid w:val="00E325E4"/>
    <w:rsid w:val="00E32727"/>
    <w:rsid w:val="00E32E4C"/>
    <w:rsid w:val="00E3307E"/>
    <w:rsid w:val="00E335D0"/>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11E8"/>
    <w:rsid w:val="00E4138F"/>
    <w:rsid w:val="00E41893"/>
    <w:rsid w:val="00E418A4"/>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51D7"/>
    <w:rsid w:val="00E452AC"/>
    <w:rsid w:val="00E4544B"/>
    <w:rsid w:val="00E457EB"/>
    <w:rsid w:val="00E4597D"/>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9B5"/>
    <w:rsid w:val="00E52E04"/>
    <w:rsid w:val="00E52FC8"/>
    <w:rsid w:val="00E5378B"/>
    <w:rsid w:val="00E53CD7"/>
    <w:rsid w:val="00E541AD"/>
    <w:rsid w:val="00E54354"/>
    <w:rsid w:val="00E54BED"/>
    <w:rsid w:val="00E5522B"/>
    <w:rsid w:val="00E556F9"/>
    <w:rsid w:val="00E55844"/>
    <w:rsid w:val="00E55FD5"/>
    <w:rsid w:val="00E56330"/>
    <w:rsid w:val="00E563B1"/>
    <w:rsid w:val="00E56DC3"/>
    <w:rsid w:val="00E56EA4"/>
    <w:rsid w:val="00E570B0"/>
    <w:rsid w:val="00E571B1"/>
    <w:rsid w:val="00E5770B"/>
    <w:rsid w:val="00E57D2F"/>
    <w:rsid w:val="00E6023E"/>
    <w:rsid w:val="00E602E5"/>
    <w:rsid w:val="00E6036E"/>
    <w:rsid w:val="00E603AF"/>
    <w:rsid w:val="00E60991"/>
    <w:rsid w:val="00E60C38"/>
    <w:rsid w:val="00E60C4A"/>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5438"/>
    <w:rsid w:val="00E65979"/>
    <w:rsid w:val="00E65A02"/>
    <w:rsid w:val="00E65B71"/>
    <w:rsid w:val="00E66176"/>
    <w:rsid w:val="00E66452"/>
    <w:rsid w:val="00E66ADA"/>
    <w:rsid w:val="00E674C1"/>
    <w:rsid w:val="00E6750B"/>
    <w:rsid w:val="00E679EF"/>
    <w:rsid w:val="00E7030D"/>
    <w:rsid w:val="00E70748"/>
    <w:rsid w:val="00E707FE"/>
    <w:rsid w:val="00E70E2D"/>
    <w:rsid w:val="00E70FF1"/>
    <w:rsid w:val="00E7125D"/>
    <w:rsid w:val="00E71723"/>
    <w:rsid w:val="00E71926"/>
    <w:rsid w:val="00E71AAB"/>
    <w:rsid w:val="00E71BB4"/>
    <w:rsid w:val="00E7221E"/>
    <w:rsid w:val="00E722BC"/>
    <w:rsid w:val="00E722C6"/>
    <w:rsid w:val="00E72A2C"/>
    <w:rsid w:val="00E72B09"/>
    <w:rsid w:val="00E72BC5"/>
    <w:rsid w:val="00E72DB8"/>
    <w:rsid w:val="00E7309D"/>
    <w:rsid w:val="00E734CB"/>
    <w:rsid w:val="00E735F2"/>
    <w:rsid w:val="00E73615"/>
    <w:rsid w:val="00E73841"/>
    <w:rsid w:val="00E73976"/>
    <w:rsid w:val="00E742CD"/>
    <w:rsid w:val="00E74FB6"/>
    <w:rsid w:val="00E75356"/>
    <w:rsid w:val="00E7537E"/>
    <w:rsid w:val="00E754BB"/>
    <w:rsid w:val="00E75896"/>
    <w:rsid w:val="00E75DAE"/>
    <w:rsid w:val="00E75F59"/>
    <w:rsid w:val="00E760DB"/>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700"/>
    <w:rsid w:val="00E908CF"/>
    <w:rsid w:val="00E90A69"/>
    <w:rsid w:val="00E91231"/>
    <w:rsid w:val="00E9138E"/>
    <w:rsid w:val="00E9159C"/>
    <w:rsid w:val="00E91649"/>
    <w:rsid w:val="00E91C5B"/>
    <w:rsid w:val="00E92ADF"/>
    <w:rsid w:val="00E933AC"/>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CC4"/>
    <w:rsid w:val="00EA13BF"/>
    <w:rsid w:val="00EA13FD"/>
    <w:rsid w:val="00EA1656"/>
    <w:rsid w:val="00EA1BBB"/>
    <w:rsid w:val="00EA2380"/>
    <w:rsid w:val="00EA2C30"/>
    <w:rsid w:val="00EA2CB7"/>
    <w:rsid w:val="00EA2DD9"/>
    <w:rsid w:val="00EA3435"/>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E3"/>
    <w:rsid w:val="00EB15BE"/>
    <w:rsid w:val="00EB15E4"/>
    <w:rsid w:val="00EB1947"/>
    <w:rsid w:val="00EB1964"/>
    <w:rsid w:val="00EB1DD4"/>
    <w:rsid w:val="00EB2719"/>
    <w:rsid w:val="00EB2801"/>
    <w:rsid w:val="00EB312F"/>
    <w:rsid w:val="00EB33B1"/>
    <w:rsid w:val="00EB35D8"/>
    <w:rsid w:val="00EB367F"/>
    <w:rsid w:val="00EB3716"/>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666"/>
    <w:rsid w:val="00EC0B95"/>
    <w:rsid w:val="00EC0CF2"/>
    <w:rsid w:val="00EC12D6"/>
    <w:rsid w:val="00EC20C9"/>
    <w:rsid w:val="00EC2166"/>
    <w:rsid w:val="00EC272E"/>
    <w:rsid w:val="00EC273E"/>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245"/>
    <w:rsid w:val="00ED726E"/>
    <w:rsid w:val="00ED77DC"/>
    <w:rsid w:val="00ED7BB2"/>
    <w:rsid w:val="00ED7E8C"/>
    <w:rsid w:val="00EE0871"/>
    <w:rsid w:val="00EE0D6E"/>
    <w:rsid w:val="00EE0E5A"/>
    <w:rsid w:val="00EE1058"/>
    <w:rsid w:val="00EE1251"/>
    <w:rsid w:val="00EE130E"/>
    <w:rsid w:val="00EE148B"/>
    <w:rsid w:val="00EE16D8"/>
    <w:rsid w:val="00EE17BB"/>
    <w:rsid w:val="00EE19E7"/>
    <w:rsid w:val="00EE1B54"/>
    <w:rsid w:val="00EE1E16"/>
    <w:rsid w:val="00EE2153"/>
    <w:rsid w:val="00EE23B4"/>
    <w:rsid w:val="00EE2930"/>
    <w:rsid w:val="00EE3150"/>
    <w:rsid w:val="00EE3248"/>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048"/>
    <w:rsid w:val="00EF1AEC"/>
    <w:rsid w:val="00EF1B43"/>
    <w:rsid w:val="00EF1BB0"/>
    <w:rsid w:val="00EF1C74"/>
    <w:rsid w:val="00EF29F1"/>
    <w:rsid w:val="00EF2A1B"/>
    <w:rsid w:val="00EF2B0C"/>
    <w:rsid w:val="00EF2D67"/>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95C"/>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B3F"/>
    <w:rsid w:val="00F06C4F"/>
    <w:rsid w:val="00F0719A"/>
    <w:rsid w:val="00F072AE"/>
    <w:rsid w:val="00F0730A"/>
    <w:rsid w:val="00F073EA"/>
    <w:rsid w:val="00F07474"/>
    <w:rsid w:val="00F07896"/>
    <w:rsid w:val="00F07AC6"/>
    <w:rsid w:val="00F07BA8"/>
    <w:rsid w:val="00F101AC"/>
    <w:rsid w:val="00F1081A"/>
    <w:rsid w:val="00F10C55"/>
    <w:rsid w:val="00F110FA"/>
    <w:rsid w:val="00F11303"/>
    <w:rsid w:val="00F115EC"/>
    <w:rsid w:val="00F12691"/>
    <w:rsid w:val="00F13248"/>
    <w:rsid w:val="00F132A4"/>
    <w:rsid w:val="00F1347B"/>
    <w:rsid w:val="00F13564"/>
    <w:rsid w:val="00F136DD"/>
    <w:rsid w:val="00F13A19"/>
    <w:rsid w:val="00F13BB3"/>
    <w:rsid w:val="00F13D7E"/>
    <w:rsid w:val="00F14047"/>
    <w:rsid w:val="00F1490E"/>
    <w:rsid w:val="00F14AC9"/>
    <w:rsid w:val="00F152D6"/>
    <w:rsid w:val="00F1588B"/>
    <w:rsid w:val="00F159B9"/>
    <w:rsid w:val="00F15C7B"/>
    <w:rsid w:val="00F15EA4"/>
    <w:rsid w:val="00F1620C"/>
    <w:rsid w:val="00F17111"/>
    <w:rsid w:val="00F1754F"/>
    <w:rsid w:val="00F1755C"/>
    <w:rsid w:val="00F175FD"/>
    <w:rsid w:val="00F17781"/>
    <w:rsid w:val="00F178BE"/>
    <w:rsid w:val="00F17E1D"/>
    <w:rsid w:val="00F17FF9"/>
    <w:rsid w:val="00F20462"/>
    <w:rsid w:val="00F2065D"/>
    <w:rsid w:val="00F21B8C"/>
    <w:rsid w:val="00F21C72"/>
    <w:rsid w:val="00F21D0B"/>
    <w:rsid w:val="00F2210D"/>
    <w:rsid w:val="00F2216F"/>
    <w:rsid w:val="00F22578"/>
    <w:rsid w:val="00F23134"/>
    <w:rsid w:val="00F238D2"/>
    <w:rsid w:val="00F23AAB"/>
    <w:rsid w:val="00F2405E"/>
    <w:rsid w:val="00F2411C"/>
    <w:rsid w:val="00F24281"/>
    <w:rsid w:val="00F2450A"/>
    <w:rsid w:val="00F2465C"/>
    <w:rsid w:val="00F249D2"/>
    <w:rsid w:val="00F24C32"/>
    <w:rsid w:val="00F25109"/>
    <w:rsid w:val="00F25560"/>
    <w:rsid w:val="00F2581F"/>
    <w:rsid w:val="00F263D9"/>
    <w:rsid w:val="00F26475"/>
    <w:rsid w:val="00F26721"/>
    <w:rsid w:val="00F26865"/>
    <w:rsid w:val="00F26967"/>
    <w:rsid w:val="00F26D11"/>
    <w:rsid w:val="00F27156"/>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395"/>
    <w:rsid w:val="00F35BFD"/>
    <w:rsid w:val="00F35EBE"/>
    <w:rsid w:val="00F364A6"/>
    <w:rsid w:val="00F36EE2"/>
    <w:rsid w:val="00F3726A"/>
    <w:rsid w:val="00F37993"/>
    <w:rsid w:val="00F37DFB"/>
    <w:rsid w:val="00F404A2"/>
    <w:rsid w:val="00F40F05"/>
    <w:rsid w:val="00F41BA7"/>
    <w:rsid w:val="00F42613"/>
    <w:rsid w:val="00F427EB"/>
    <w:rsid w:val="00F42A7B"/>
    <w:rsid w:val="00F42B39"/>
    <w:rsid w:val="00F42C9B"/>
    <w:rsid w:val="00F43160"/>
    <w:rsid w:val="00F4323A"/>
    <w:rsid w:val="00F43817"/>
    <w:rsid w:val="00F43A48"/>
    <w:rsid w:val="00F43A75"/>
    <w:rsid w:val="00F43B15"/>
    <w:rsid w:val="00F43C2F"/>
    <w:rsid w:val="00F443C7"/>
    <w:rsid w:val="00F4444E"/>
    <w:rsid w:val="00F44657"/>
    <w:rsid w:val="00F44B7B"/>
    <w:rsid w:val="00F44F5C"/>
    <w:rsid w:val="00F455F3"/>
    <w:rsid w:val="00F45CE7"/>
    <w:rsid w:val="00F45E2C"/>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E04"/>
    <w:rsid w:val="00F61870"/>
    <w:rsid w:val="00F61893"/>
    <w:rsid w:val="00F61E8B"/>
    <w:rsid w:val="00F6288D"/>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189"/>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5B2"/>
    <w:rsid w:val="00F85925"/>
    <w:rsid w:val="00F85B3C"/>
    <w:rsid w:val="00F85F3E"/>
    <w:rsid w:val="00F865DF"/>
    <w:rsid w:val="00F86F69"/>
    <w:rsid w:val="00F871F7"/>
    <w:rsid w:val="00F8758B"/>
    <w:rsid w:val="00F87700"/>
    <w:rsid w:val="00F87947"/>
    <w:rsid w:val="00F87F06"/>
    <w:rsid w:val="00F900C1"/>
    <w:rsid w:val="00F9096C"/>
    <w:rsid w:val="00F90AC7"/>
    <w:rsid w:val="00F90CEE"/>
    <w:rsid w:val="00F9153D"/>
    <w:rsid w:val="00F91ADB"/>
    <w:rsid w:val="00F92078"/>
    <w:rsid w:val="00F9219F"/>
    <w:rsid w:val="00F924AD"/>
    <w:rsid w:val="00F92F39"/>
    <w:rsid w:val="00F93032"/>
    <w:rsid w:val="00F930BC"/>
    <w:rsid w:val="00F934ED"/>
    <w:rsid w:val="00F93A88"/>
    <w:rsid w:val="00F93D58"/>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980"/>
    <w:rsid w:val="00FA1D87"/>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CC5"/>
    <w:rsid w:val="00FA7D6D"/>
    <w:rsid w:val="00FA7E55"/>
    <w:rsid w:val="00FA7F80"/>
    <w:rsid w:val="00FB01A0"/>
    <w:rsid w:val="00FB08FC"/>
    <w:rsid w:val="00FB0D95"/>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27F7"/>
    <w:rsid w:val="00FC37C5"/>
    <w:rsid w:val="00FC3893"/>
    <w:rsid w:val="00FC3BC2"/>
    <w:rsid w:val="00FC3D1F"/>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09"/>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EC2"/>
    <w:rsid w:val="00FE3F6B"/>
    <w:rsid w:val="00FE4003"/>
    <w:rsid w:val="00FE4E99"/>
    <w:rsid w:val="00FE519B"/>
    <w:rsid w:val="00FE53A1"/>
    <w:rsid w:val="00FE5673"/>
    <w:rsid w:val="00FE5866"/>
    <w:rsid w:val="00FE60CA"/>
    <w:rsid w:val="00FE60D6"/>
    <w:rsid w:val="00FE692B"/>
    <w:rsid w:val="00FE6AC5"/>
    <w:rsid w:val="00FE6D55"/>
    <w:rsid w:val="00FE6E8C"/>
    <w:rsid w:val="00FE6EA1"/>
    <w:rsid w:val="00FE6F14"/>
    <w:rsid w:val="00FE7437"/>
    <w:rsid w:val="00FE799B"/>
    <w:rsid w:val="00FE7EBD"/>
    <w:rsid w:val="00FF09D0"/>
    <w:rsid w:val="00FF0A58"/>
    <w:rsid w:val="00FF0A75"/>
    <w:rsid w:val="00FF0FB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C6B"/>
    <w:rsid w:val="00FF5CAC"/>
    <w:rsid w:val="00FF5EEB"/>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1A61AEE6"/>
  <w15:docId w15:val="{AA06385F-0906-4176-9354-4482F771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New%20Medicines%20New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2024</Template>
  <TotalTime>248</TotalTime>
  <Pages>5</Pages>
  <Words>2410</Words>
  <Characters>15419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17794</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10</cp:revision>
  <cp:lastPrinted>2019-12-09T12:59:00Z</cp:lastPrinted>
  <dcterms:created xsi:type="dcterms:W3CDTF">2024-04-08T07:48:00Z</dcterms:created>
  <dcterms:modified xsi:type="dcterms:W3CDTF">2024-04-08T16:17:00Z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