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77777777">
      <w:pPr>
        <w:pStyle w:val="PGDlogo"/>
        <w:rPr>
          <w:highlight w:val="cyan"/>
        </w:rPr>
      </w:pPr>
      <w:bookmarkStart w:name="_Toc258333614" w:id="0"/>
      <w:bookmarkStart w:name="_Toc263684039" w:id="1"/>
      <w:bookmarkStart w:name="_Toc264471101" w:id="2"/>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1">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75265507">
      <w:pPr>
        <w:pStyle w:val="PGDTitle2"/>
      </w:pPr>
      <w:r w:rsidRPr="00DF77C7">
        <w:t xml:space="preserve">for the </w:t>
      </w:r>
      <w:r w:rsidRPr="00DF77C7" w:rsidR="00973131">
        <w:t>administration</w:t>
      </w:r>
      <w:r w:rsidRPr="00DF77C7">
        <w:t xml:space="preserve"> of</w:t>
      </w:r>
      <w:r w:rsidRPr="00DF77C7" w:rsidR="00DA12F7">
        <w:t xml:space="preserve"> </w:t>
      </w:r>
      <w:r w:rsidR="00E84F11">
        <w:t xml:space="preserve">intravenous </w:t>
      </w:r>
      <w:r w:rsidR="00DF59C5">
        <w:t xml:space="preserve">hyoscine butylbromide </w:t>
      </w:r>
      <w:r w:rsidRPr="00E84F11" w:rsidR="00E84F11">
        <w:t xml:space="preserve">(e.g. </w:t>
      </w:r>
      <w:r w:rsidR="00DF59C5">
        <w:t>Buscopan</w:t>
      </w:r>
      <w:r w:rsidRPr="00E84F11" w:rsidR="00F6120B">
        <w:t>®</w:t>
      </w:r>
      <w:r w:rsidR="00F6120B">
        <w:t>)</w:t>
      </w:r>
      <w:r w:rsidRPr="00E84F11" w:rsidR="00F6120B">
        <w:t xml:space="preserve"> for</w:t>
      </w:r>
      <w:r w:rsidRPr="00E15FB4" w:rsidR="00E15FB4">
        <w:t xml:space="preserve"> imaging investigations </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554521DD">
      <w:pPr>
        <w:rPr>
          <w:rStyle w:val="PGDVersionNumber"/>
        </w:rPr>
      </w:pPr>
      <w:r w:rsidRPr="007F687D">
        <w:rPr>
          <w:rStyle w:val="PGDVersionNumber"/>
        </w:rPr>
        <w:t xml:space="preserve">Version Number </w:t>
      </w:r>
      <w:r w:rsidR="00DF59C5">
        <w:rPr>
          <w:rStyle w:val="PGDVersionNumber"/>
        </w:rPr>
        <w:t>1.0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DF59C5" w14:paraId="564FB0F8" w14:textId="404F37BD">
            <w:pPr>
              <w:pStyle w:val="Tabletext"/>
              <w:rPr>
                <w:color w:val="FF0000"/>
                <w:lang w:val="en-GB"/>
              </w:rPr>
            </w:pPr>
            <w:r>
              <w:rPr>
                <w:rFonts w:cs="Arial"/>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DF59C5" w14:paraId="1C02A90B" w14:textId="571BC8F6">
            <w:pPr>
              <w:pStyle w:val="Tabletext"/>
              <w:rPr>
                <w:lang w:val="en-GB"/>
              </w:rPr>
            </w:pPr>
            <w:r>
              <w:t>April</w:t>
            </w:r>
            <w:r w:rsidRPr="00F82AC9" w:rsidR="00E15FB4">
              <w:t xml:space="preserve">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DF59C5" w14:paraId="56A527C3" w14:textId="148431EB">
            <w:pPr>
              <w:pStyle w:val="Tabletext"/>
              <w:rPr>
                <w:lang w:val="en-GB"/>
              </w:rPr>
            </w:pPr>
            <w:r>
              <w:t>October 2027</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DF59C5" w14:paraId="58AA136C" w14:textId="71D4348D">
            <w:pPr>
              <w:pStyle w:val="Tabletext"/>
              <w:rPr>
                <w:lang w:val="en-GB"/>
              </w:rPr>
            </w:pPr>
            <w:r>
              <w:t>April</w:t>
            </w:r>
            <w:r w:rsidRPr="00F82AC9" w:rsidR="00E15FB4">
              <w:t xml:space="preserve"> 202</w:t>
            </w:r>
            <w:r>
              <w:t>8</w:t>
            </w:r>
          </w:p>
        </w:tc>
      </w:tr>
    </w:tbl>
    <w:p w:rsidRPr="00DF77C7" w:rsidR="00050C45" w:rsidP="00F57606" w:rsidRDefault="00050C45" w14:paraId="22A68ADB" w14:textId="77777777">
      <w:pPr>
        <w:pStyle w:val="Tabletext"/>
      </w:pPr>
    </w:p>
    <w:p w:rsidRPr="009A5221" w:rsidR="009531BB" w:rsidP="009531BB" w:rsidRDefault="009531BB" w14:paraId="2B9FC443" w14:textId="77777777">
      <w:pPr>
        <w:pStyle w:val="PGDNormal"/>
      </w:pPr>
      <w:r w:rsidRPr="009A5221">
        <w:t xml:space="preserve">This template was written, peer reviewed and ratified by the </w:t>
      </w:r>
      <w:r>
        <w:t>Radiology</w:t>
      </w:r>
      <w:r w:rsidRPr="009A5221">
        <w:t xml:space="preserve"> PGD Working Group which is supported by the </w:t>
      </w:r>
      <w:r>
        <w:t xml:space="preserve">NHS </w:t>
      </w:r>
      <w:r w:rsidRPr="009A5221">
        <w:t>Specialist Pharmacy Service (SPS), the Royal College of Radiologists (RCR), the Society and College of Radiographers (S</w:t>
      </w:r>
      <w:r>
        <w:t>o</w:t>
      </w:r>
      <w:r w:rsidRPr="009A5221">
        <w:t xml:space="preserve">R) and </w:t>
      </w:r>
      <w:r w:rsidRPr="000D1068">
        <w:rPr>
          <w:bdr w:val="none" w:color="auto" w:sz="0" w:space="0" w:frame="1"/>
        </w:rPr>
        <w:t xml:space="preserve">British Society of GI and Abdominal Radiologists (BSGAR).  </w:t>
      </w:r>
      <w:r w:rsidRPr="009A5221">
        <w:t xml:space="preserve">It has been endorsed by The Faculty of Clinical Radiology of The Royal College of Radiologists, the Society of Radiographers </w:t>
      </w:r>
      <w:r w:rsidRPr="009531BB">
        <w:t>and NHSE National Speciality Adviser for Imaging Dr Richard Goodwin.</w:t>
      </w:r>
    </w:p>
    <w:p w:rsidRPr="00F6120B" w:rsidR="00050C45" w:rsidP="00AD67D4" w:rsidRDefault="00050C45" w14:paraId="58CD625E" w14:textId="4681443F">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DF59C5" w:rsidTr="00DF59C5"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0D33821E" w14:textId="2A223B62">
            <w:pPr>
              <w:pStyle w:val="Tabletext"/>
              <w:rPr>
                <w:rFonts w:eastAsia="Calibri"/>
                <w:sz w:val="20"/>
                <w:lang w:val="en-GB"/>
              </w:rPr>
            </w:pPr>
            <w:r w:rsidRPr="00DF59C5">
              <w:rPr>
                <w:sz w:val="20"/>
              </w:rPr>
              <w:t>Ann Heathcote</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0C137020" w14:textId="71A7ABC0">
            <w:pPr>
              <w:pStyle w:val="Tabletext"/>
              <w:rPr>
                <w:rFonts w:eastAsia="Calibri"/>
                <w:sz w:val="20"/>
                <w:lang w:val="en-GB"/>
              </w:rPr>
            </w:pPr>
            <w:r w:rsidRPr="00B5034C">
              <w:rPr>
                <w:rFonts w:cs="Arial"/>
                <w:sz w:val="20"/>
              </w:rPr>
              <w:t>SoR CTAG member; Diagnostic Imaging Specialist Advisor Alliance Medical</w:t>
            </w:r>
          </w:p>
        </w:tc>
      </w:tr>
      <w:tr w:rsidRPr="00DF77C7" w:rsidR="00DF59C5" w:rsidTr="00DF59C5"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543479AC" w14:textId="7E4CEDA6">
            <w:pPr>
              <w:pStyle w:val="Tabletext"/>
              <w:rPr>
                <w:rFonts w:eastAsia="Calibri"/>
                <w:sz w:val="20"/>
                <w:lang w:val="en-GB"/>
              </w:rPr>
            </w:pPr>
            <w:r w:rsidRPr="00DF59C5">
              <w:rPr>
                <w:rFonts w:cs="Arial"/>
                <w:sz w:val="20"/>
              </w:rPr>
              <w:t>Anthony Richards</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7C2C9AF1" w14:textId="176A1C0F">
            <w:pPr>
              <w:pStyle w:val="Tabletext"/>
              <w:rPr>
                <w:rFonts w:eastAsia="Calibri"/>
                <w:sz w:val="20"/>
                <w:lang w:val="en-GB"/>
              </w:rPr>
            </w:pPr>
            <w:r w:rsidRPr="00B5034C">
              <w:rPr>
                <w:rFonts w:cs="Arial"/>
                <w:kern w:val="2"/>
                <w:sz w:val="20"/>
              </w:rPr>
              <w:t>SoR DIAG member; GI Clinical Specialist Radiographer Tunbridge Wells Hospital</w:t>
            </w:r>
          </w:p>
        </w:tc>
      </w:tr>
      <w:tr w:rsidRPr="00DF77C7" w:rsidR="00DF59C5"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067C5D4E" w14:textId="6845EB58">
            <w:pPr>
              <w:pStyle w:val="Tabletext"/>
              <w:rPr>
                <w:rFonts w:eastAsia="Calibri"/>
                <w:sz w:val="20"/>
                <w:lang w:val="en-GB"/>
              </w:rPr>
            </w:pPr>
            <w:r w:rsidRPr="00DF59C5">
              <w:rPr>
                <w:rFonts w:cs="Arial"/>
                <w:sz w:val="20"/>
              </w:rPr>
              <w:t>Barbara Parkinson</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53553074" w14:textId="4ABC1CE9">
            <w:pPr>
              <w:pStyle w:val="Tabletext"/>
              <w:rPr>
                <w:rFonts w:eastAsia="Calibri"/>
                <w:sz w:val="20"/>
                <w:lang w:val="en-GB"/>
              </w:rPr>
            </w:pPr>
            <w:r w:rsidRPr="00B5034C">
              <w:rPr>
                <w:rFonts w:cs="Arial"/>
                <w:kern w:val="2"/>
                <w:sz w:val="20"/>
              </w:rPr>
              <w:t>Advanced Specialist Pharmacy Technician. Governance, Medicines Use and Safety, NHS Specialist Pharmacy Service</w:t>
            </w:r>
          </w:p>
        </w:tc>
      </w:tr>
      <w:tr w:rsidRPr="00DF77C7" w:rsidR="00DF59C5" w:rsidTr="00DF59C5"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7F6ABB2F" w14:textId="5D627A7D">
            <w:pPr>
              <w:pStyle w:val="Tabletext"/>
              <w:rPr>
                <w:sz w:val="20"/>
                <w:lang w:val="en-GB"/>
              </w:rPr>
            </w:pPr>
            <w:r w:rsidRPr="00DF59C5">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3C9BFAE0" w14:textId="7437ECC7">
            <w:pPr>
              <w:pStyle w:val="Tabletext"/>
              <w:rPr>
                <w:sz w:val="20"/>
                <w:lang w:val="en-GB"/>
              </w:rPr>
            </w:pPr>
            <w:r w:rsidRPr="00B5034C">
              <w:rPr>
                <w:rFonts w:cs="Arial"/>
                <w:sz w:val="20"/>
              </w:rPr>
              <w:t>Associate Chief Pharmacist Medicines Governance and Safety, South Tyneside and Sunderland NHS Foundation Trust</w:t>
            </w:r>
          </w:p>
        </w:tc>
      </w:tr>
      <w:tr w:rsidRPr="00DF77C7" w:rsidR="00DF59C5" w:rsidTr="00DF59C5"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05EE8281" w14:textId="2602005A">
            <w:pPr>
              <w:pStyle w:val="Tabletext"/>
              <w:rPr>
                <w:sz w:val="20"/>
                <w:lang w:val="en-GB"/>
              </w:rPr>
            </w:pPr>
            <w:r w:rsidRPr="00DF59C5">
              <w:rPr>
                <w:rFonts w:cs="Arial"/>
                <w:sz w:val="20"/>
              </w:rPr>
              <w:t>Craig Roe</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2A113ED2" w14:textId="7B633523">
            <w:pPr>
              <w:pStyle w:val="Tabletext"/>
              <w:rPr>
                <w:sz w:val="20"/>
                <w:lang w:val="en-GB"/>
              </w:rPr>
            </w:pPr>
            <w:r w:rsidRPr="00B5034C">
              <w:rPr>
                <w:rFonts w:cs="Arial"/>
                <w:sz w:val="20"/>
              </w:rPr>
              <w:t>CTAG member; CT Extended Imaging Practitioner radiographer CTC Lead Radiographer Leeds Teaching Hospitals</w:t>
            </w:r>
          </w:p>
        </w:tc>
      </w:tr>
      <w:tr w:rsidRPr="00DF77C7" w:rsidR="00DF59C5" w:rsidTr="00DF59C5"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4B09C5EB" w14:textId="35D44899">
            <w:pPr>
              <w:pStyle w:val="Tabletext"/>
              <w:rPr>
                <w:sz w:val="20"/>
                <w:lang w:val="en-GB"/>
              </w:rPr>
            </w:pPr>
            <w:r w:rsidRPr="00DF59C5">
              <w:rPr>
                <w:rFonts w:cs="Arial"/>
                <w:sz w:val="20"/>
              </w:rPr>
              <w:t>Dr Ben Rea</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50FAAE1F" w14:textId="27FA847D">
            <w:pPr>
              <w:pStyle w:val="Tabletext"/>
              <w:rPr>
                <w:sz w:val="20"/>
                <w:lang w:val="en-GB"/>
              </w:rPr>
            </w:pPr>
            <w:r w:rsidRPr="00B5034C">
              <w:rPr>
                <w:rFonts w:cs="Arial"/>
                <w:sz w:val="20"/>
              </w:rPr>
              <w:t>Consultant Radiologist, Sheffield Teaching Hospitals NHS Foundation Trust; Bowel Cancer Screening Programme (BCSP) Radiology network; executive member of BSGAR</w:t>
            </w:r>
          </w:p>
        </w:tc>
      </w:tr>
      <w:tr w:rsidRPr="00DF77C7" w:rsidR="00DF59C5" w:rsidTr="00DF59C5"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00B466E6" w14:textId="2BF1EF7F">
            <w:pPr>
              <w:pStyle w:val="Tabletext"/>
              <w:rPr>
                <w:sz w:val="20"/>
                <w:lang w:val="en-GB"/>
              </w:rPr>
            </w:pPr>
            <w:r w:rsidRPr="00DF59C5">
              <w:rPr>
                <w:rFonts w:cs="Arial"/>
                <w:sz w:val="20"/>
              </w:rPr>
              <w:t>Dr Damian Tolan</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52BB571F" w14:textId="661EA3E1">
            <w:pPr>
              <w:pStyle w:val="Tabletext"/>
              <w:rPr>
                <w:sz w:val="20"/>
                <w:lang w:val="en-GB"/>
              </w:rPr>
            </w:pPr>
            <w:r w:rsidRPr="00B5034C">
              <w:rPr>
                <w:rFonts w:cs="Arial"/>
                <w:sz w:val="20"/>
              </w:rPr>
              <w:t>Consultant Gastrointestinal Radiologist Leeds Teaching Hospitals</w:t>
            </w:r>
          </w:p>
        </w:tc>
      </w:tr>
      <w:tr w:rsidRPr="00DF77C7" w:rsidR="00DF59C5" w:rsidTr="00DF59C5"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784A3A8D" w14:textId="7B7DB3C6">
            <w:pPr>
              <w:pStyle w:val="Tabletext"/>
              <w:rPr>
                <w:sz w:val="20"/>
                <w:lang w:val="en-GB"/>
              </w:rPr>
            </w:pPr>
            <w:r w:rsidRPr="00DF59C5">
              <w:rPr>
                <w:rFonts w:cs="Arial"/>
                <w:sz w:val="20"/>
              </w:rPr>
              <w:t>Dr Darren Hudson</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0B5D7B8A" w14:textId="4081EE1E">
            <w:pPr>
              <w:pStyle w:val="Tabletext"/>
              <w:rPr>
                <w:sz w:val="20"/>
                <w:lang w:val="en-GB"/>
              </w:rPr>
            </w:pPr>
            <w:r w:rsidRPr="00F04ADB">
              <w:rPr>
                <w:rFonts w:cs="Arial"/>
                <w:sz w:val="20"/>
              </w:rPr>
              <w:t>MRI Clinical Lead/Medical Devices Safety Officer InHealth; SoR MR Advisory Group member</w:t>
            </w:r>
          </w:p>
        </w:tc>
      </w:tr>
      <w:tr w:rsidRPr="00DF77C7" w:rsidR="00DF59C5" w:rsidTr="00DF59C5"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494AA640" w14:textId="2066AE90">
            <w:pPr>
              <w:pStyle w:val="Tabletext"/>
              <w:rPr>
                <w:rFonts w:eastAsia="Calibri"/>
                <w:sz w:val="20"/>
                <w:szCs w:val="22"/>
                <w:lang w:val="en-GB"/>
              </w:rPr>
            </w:pPr>
            <w:r w:rsidRPr="00DF59C5">
              <w:rPr>
                <w:rFonts w:cs="Arial"/>
                <w:sz w:val="20"/>
              </w:rPr>
              <w:t>Federica Palma</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4FD8CBD4" w14:textId="5398C6A5">
            <w:pPr>
              <w:pStyle w:val="Tabletext"/>
              <w:rPr>
                <w:rFonts w:eastAsia="Calibri"/>
                <w:sz w:val="20"/>
                <w:lang w:val="en-GB"/>
              </w:rPr>
            </w:pPr>
            <w:r w:rsidRPr="00B5034C">
              <w:rPr>
                <w:rFonts w:cs="Arial"/>
                <w:kern w:val="2"/>
                <w:sz w:val="20"/>
              </w:rPr>
              <w:t>SoR CTAG member</w:t>
            </w:r>
          </w:p>
        </w:tc>
      </w:tr>
      <w:tr w:rsidRPr="00DF77C7" w:rsidR="00DF59C5" w:rsidTr="00DF59C5"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7F553184" w14:textId="1E439911">
            <w:pPr>
              <w:pStyle w:val="Tabletext"/>
              <w:rPr>
                <w:rFonts w:eastAsia="Calibri"/>
                <w:sz w:val="20"/>
                <w:lang w:val="en-GB"/>
              </w:rPr>
            </w:pPr>
            <w:r w:rsidRPr="00DF59C5">
              <w:rPr>
                <w:rFonts w:cs="Arial"/>
                <w:sz w:val="20"/>
              </w:rPr>
              <w:t>James Brymer</w:t>
            </w:r>
          </w:p>
        </w:tc>
        <w:tc>
          <w:tcPr>
            <w:tcW w:w="6912" w:type="dxa"/>
            <w:tcBorders>
              <w:top w:val="single" w:color="auto" w:sz="4" w:space="0"/>
              <w:left w:val="single" w:color="auto" w:sz="4" w:space="0"/>
              <w:bottom w:val="single" w:color="auto" w:sz="4" w:space="0"/>
              <w:right w:val="single" w:color="auto" w:sz="4" w:space="0"/>
            </w:tcBorders>
          </w:tcPr>
          <w:p w:rsidRPr="00DF77C7" w:rsidR="00DF59C5" w:rsidP="00DF59C5" w:rsidRDefault="00DF59C5" w14:paraId="02599635" w14:textId="2709884D">
            <w:pPr>
              <w:pStyle w:val="Tabletext"/>
              <w:rPr>
                <w:rFonts w:eastAsia="Calibri"/>
                <w:lang w:val="en-GB"/>
              </w:rPr>
            </w:pPr>
            <w:r w:rsidRPr="00B5034C">
              <w:rPr>
                <w:rFonts w:cs="Arial"/>
                <w:kern w:val="2"/>
                <w:sz w:val="20"/>
              </w:rPr>
              <w:t xml:space="preserve">SoR CT SIG member; Radiology Operational Lead </w:t>
            </w:r>
            <w:proofErr w:type="gramStart"/>
            <w:r w:rsidRPr="00B5034C">
              <w:rPr>
                <w:rFonts w:cs="Arial"/>
                <w:kern w:val="2"/>
                <w:sz w:val="20"/>
              </w:rPr>
              <w:t>The</w:t>
            </w:r>
            <w:proofErr w:type="gramEnd"/>
            <w:r w:rsidRPr="00B5034C">
              <w:rPr>
                <w:rFonts w:cs="Arial"/>
                <w:kern w:val="2"/>
                <w:sz w:val="20"/>
              </w:rPr>
              <w:t xml:space="preserve"> Royal Marsden</w:t>
            </w:r>
          </w:p>
        </w:tc>
      </w:tr>
      <w:tr w:rsidRPr="00094B2C" w:rsidR="00094B2C" w:rsidTr="00DF59C5" w14:paraId="34B78991"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094B2C" w:rsidR="00094B2C" w:rsidP="00094B2C" w:rsidRDefault="00094B2C" w14:paraId="7E85BE54" w14:textId="77777777">
            <w:pPr>
              <w:pStyle w:val="Tabletext"/>
              <w:rPr>
                <w:rFonts w:eastAsia="Calibri"/>
                <w:kern w:val="2"/>
                <w:sz w:val="20"/>
              </w:rPr>
            </w:pPr>
            <w:r w:rsidRPr="00094B2C">
              <w:rPr>
                <w:rFonts w:eastAsia="Calibri"/>
                <w:kern w:val="2"/>
                <w:sz w:val="20"/>
              </w:rPr>
              <w:lastRenderedPageBreak/>
              <w:t>Jo Jenkins (working group lead)</w:t>
            </w:r>
          </w:p>
          <w:p w:rsidRPr="00094B2C" w:rsidR="00094B2C" w:rsidP="00094B2C" w:rsidRDefault="00094B2C" w14:paraId="7A3F63BB" w14:textId="77777777">
            <w:pPr>
              <w:pStyle w:val="Tabletext"/>
              <w:rPr>
                <w:kern w:val="2"/>
                <w:sz w:val="20"/>
              </w:rPr>
            </w:pPr>
          </w:p>
        </w:tc>
        <w:tc>
          <w:tcPr>
            <w:tcW w:w="6912" w:type="dxa"/>
            <w:tcBorders>
              <w:top w:val="single" w:color="auto" w:sz="4" w:space="0"/>
              <w:left w:val="single" w:color="auto" w:sz="4" w:space="0"/>
              <w:bottom w:val="single" w:color="auto" w:sz="4" w:space="0"/>
              <w:right w:val="single" w:color="auto" w:sz="4" w:space="0"/>
            </w:tcBorders>
          </w:tcPr>
          <w:p w:rsidRPr="00094B2C" w:rsidR="00094B2C" w:rsidP="00094B2C" w:rsidRDefault="00094B2C" w14:paraId="6CE1FD19" w14:textId="338E4872">
            <w:pPr>
              <w:pStyle w:val="Tabletext"/>
              <w:rPr>
                <w:kern w:val="2"/>
                <w:sz w:val="20"/>
              </w:rPr>
            </w:pPr>
            <w:r w:rsidRPr="00094B2C">
              <w:rPr>
                <w:kern w:val="2"/>
                <w:sz w:val="20"/>
              </w:rPr>
              <w:t>Associate Director, Governance, Medicines Use and Safety, NHS Specialist Pharmacy Service</w:t>
            </w:r>
          </w:p>
        </w:tc>
      </w:tr>
      <w:tr w:rsidRPr="00DF77C7" w:rsidR="00DF59C5" w:rsidTr="00DF59C5"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7304BC04" w14:textId="18AFDF15">
            <w:pPr>
              <w:pStyle w:val="Tabletext"/>
              <w:rPr>
                <w:rFonts w:eastAsia="Calibri"/>
                <w:sz w:val="20"/>
                <w:lang w:val="en-GB"/>
              </w:rPr>
            </w:pPr>
            <w:r w:rsidRPr="00DF59C5">
              <w:rPr>
                <w:sz w:val="20"/>
              </w:rPr>
              <w:t>Jo Wilkinson</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17ADE788" w14:textId="7045DA3B">
            <w:pPr>
              <w:pStyle w:val="Tabletext"/>
              <w:rPr>
                <w:rFonts w:eastAsia="Calibri"/>
                <w:color w:val="000000"/>
                <w:lang w:val="en-GB"/>
              </w:rPr>
            </w:pPr>
            <w:r w:rsidRPr="00B5034C">
              <w:rPr>
                <w:rFonts w:cs="Arial"/>
                <w:kern w:val="2"/>
                <w:sz w:val="20"/>
              </w:rPr>
              <w:t>Specialist Pharmacist – Theatres and Critical Care Hinchingbrooke Hospital North West Anglia NHS Foundation Trust</w:t>
            </w:r>
          </w:p>
        </w:tc>
      </w:tr>
      <w:tr w:rsidRPr="00DF77C7" w:rsidR="00DF59C5" w:rsidTr="00DF59C5"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23E9CCF4" w14:textId="2E0DE7B8">
            <w:pPr>
              <w:pStyle w:val="Tabletext"/>
              <w:rPr>
                <w:rFonts w:eastAsia="Calibri"/>
                <w:sz w:val="20"/>
                <w:lang w:val="en-GB"/>
              </w:rPr>
            </w:pPr>
            <w:r w:rsidRPr="00DF59C5">
              <w:rPr>
                <w:sz w:val="20"/>
              </w:rPr>
              <w:t xml:space="preserve">Rachel Baldwin </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502D7A32" w14:textId="42D20657">
            <w:pPr>
              <w:pStyle w:val="Tabletext"/>
              <w:rPr>
                <w:rFonts w:eastAsia="Calibri"/>
                <w:color w:val="000000"/>
                <w:lang w:val="en-GB"/>
              </w:rPr>
            </w:pPr>
            <w:r w:rsidRPr="00B5034C">
              <w:rPr>
                <w:rFonts w:cs="Arial"/>
                <w:kern w:val="2"/>
                <w:sz w:val="20"/>
              </w:rPr>
              <w:t>GI radiographer London North West University Healthcare NHS Trust; BCSP radiology network</w:t>
            </w:r>
            <w:r>
              <w:rPr>
                <w:rFonts w:cs="Arial"/>
                <w:kern w:val="2"/>
                <w:sz w:val="20"/>
              </w:rPr>
              <w:t xml:space="preserve"> member</w:t>
            </w:r>
          </w:p>
        </w:tc>
      </w:tr>
      <w:tr w:rsidRPr="00DF77C7" w:rsidR="00DF59C5" w:rsidTr="00DF59C5" w14:paraId="3652FCC6" w14:textId="77777777">
        <w:trPr>
          <w:trHeight w:val="625"/>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1CA8641B" w14:textId="667F556F">
            <w:pPr>
              <w:pStyle w:val="Tabletext"/>
              <w:rPr>
                <w:rFonts w:eastAsia="Calibri"/>
                <w:sz w:val="20"/>
                <w:lang w:val="en-GB"/>
              </w:rPr>
            </w:pPr>
            <w:proofErr w:type="spellStart"/>
            <w:r w:rsidRPr="00DF59C5">
              <w:rPr>
                <w:sz w:val="20"/>
              </w:rPr>
              <w:t>Saraaz</w:t>
            </w:r>
            <w:proofErr w:type="spellEnd"/>
            <w:r w:rsidRPr="00DF59C5">
              <w:rPr>
                <w:sz w:val="20"/>
              </w:rPr>
              <w:t xml:space="preserve"> Khalil</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290D7DC5" w14:textId="0E4A09A8">
            <w:pPr>
              <w:pStyle w:val="Tabletext"/>
              <w:rPr>
                <w:rFonts w:eastAsia="Calibri"/>
                <w:color w:val="000000"/>
                <w:lang w:val="en-GB"/>
              </w:rPr>
            </w:pPr>
            <w:r w:rsidRPr="00B5034C">
              <w:rPr>
                <w:rFonts w:cs="Arial"/>
                <w:kern w:val="2"/>
                <w:sz w:val="20"/>
              </w:rPr>
              <w:t>SoR DIAG member; Diagnostic Radiographer Bradford Teaching Hospitals</w:t>
            </w:r>
          </w:p>
        </w:tc>
      </w:tr>
      <w:tr w:rsidRPr="00DF77C7" w:rsidR="00DF59C5" w:rsidTr="00DF59C5"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28B813CB" w14:textId="3DFD6A20">
            <w:pPr>
              <w:pStyle w:val="Tabletext"/>
              <w:rPr>
                <w:rFonts w:eastAsia="Calibri"/>
                <w:sz w:val="20"/>
                <w:lang w:val="en-GB"/>
              </w:rPr>
            </w:pPr>
            <w:r w:rsidRPr="00DF59C5">
              <w:rPr>
                <w:sz w:val="20"/>
              </w:rPr>
              <w:t>Sue Johnson</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6FE11C98" w14:textId="49612189">
            <w:pPr>
              <w:pStyle w:val="Tabletext"/>
              <w:rPr>
                <w:rFonts w:eastAsia="Calibri"/>
                <w:color w:val="000000"/>
                <w:lang w:val="en-GB"/>
              </w:rPr>
            </w:pPr>
            <w:r w:rsidRPr="00B5034C">
              <w:rPr>
                <w:rFonts w:cs="Arial"/>
                <w:kern w:val="2"/>
                <w:sz w:val="20"/>
              </w:rPr>
              <w:t>Professional Officer Clinical Imaging, The Society and College of Radiographers</w:t>
            </w:r>
          </w:p>
        </w:tc>
      </w:tr>
      <w:tr w:rsidRPr="00DF77C7" w:rsidR="00DF59C5" w:rsidTr="00DF59C5" w14:paraId="414A0873"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DF59C5" w:rsidR="00DF59C5" w:rsidP="00DF59C5" w:rsidRDefault="00DF59C5" w14:paraId="69B681AE" w14:textId="3DDD2F8F">
            <w:pPr>
              <w:pStyle w:val="Tabletext"/>
              <w:rPr>
                <w:rFonts w:eastAsia="Calibri"/>
                <w:sz w:val="20"/>
                <w:lang w:val="en-GB"/>
              </w:rPr>
            </w:pPr>
            <w:r w:rsidRPr="00DF59C5">
              <w:rPr>
                <w:sz w:val="20"/>
              </w:rPr>
              <w:t>Tamsin Arnold</w:t>
            </w:r>
          </w:p>
        </w:tc>
        <w:tc>
          <w:tcPr>
            <w:tcW w:w="6912" w:type="dxa"/>
            <w:tcBorders>
              <w:top w:val="single" w:color="auto" w:sz="4" w:space="0"/>
              <w:left w:val="single" w:color="auto" w:sz="4" w:space="0"/>
              <w:bottom w:val="single" w:color="auto" w:sz="4" w:space="0"/>
              <w:right w:val="single" w:color="auto" w:sz="4" w:space="0"/>
            </w:tcBorders>
          </w:tcPr>
          <w:p w:rsidRPr="002416AD" w:rsidR="00DF59C5" w:rsidP="00DF59C5" w:rsidRDefault="00DF59C5" w14:paraId="1999EDF1" w14:textId="4574DF2A">
            <w:pPr>
              <w:pStyle w:val="Tabletext"/>
              <w:rPr>
                <w:rFonts w:eastAsia="Calibri"/>
                <w:color w:val="000000"/>
                <w:lang w:val="en-GB"/>
              </w:rPr>
            </w:pPr>
            <w:r w:rsidRPr="00B5034C">
              <w:rPr>
                <w:rFonts w:cs="Arial"/>
                <w:kern w:val="2"/>
                <w:sz w:val="20"/>
              </w:rPr>
              <w:t xml:space="preserve">SoR CTAG </w:t>
            </w:r>
            <w:r w:rsidRPr="00B5034C" w:rsidR="00094B2C">
              <w:rPr>
                <w:rFonts w:cs="Arial"/>
                <w:kern w:val="2"/>
                <w:sz w:val="20"/>
              </w:rPr>
              <w:t>member; Accredited</w:t>
            </w:r>
            <w:r w:rsidRPr="00B5034C">
              <w:rPr>
                <w:rFonts w:cs="Arial"/>
                <w:kern w:val="2"/>
                <w:sz w:val="20"/>
              </w:rPr>
              <w:t xml:space="preserve"> Advanced Practitioner Radiographer CT Dementia Reporting and Radiology Governance University Hospitals Sussex</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F6120B" w:rsidR="00D0044C">
                <w:rPr>
                  <w:rStyle w:val="Hyperlink"/>
                </w:rPr>
                <w:t>authorising body</w:t>
              </w:r>
              <w:r w:rsidRPr="00F6120B" w:rsidR="009E38CA">
                <w:rPr>
                  <w:rStyle w:val="Hyperlink"/>
                </w:rPr>
                <w:t xml:space="preserve"> 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A61B14" w:rsidRDefault="003D483F" w14:paraId="111D2851" w14:textId="2CFA8517">
            <w:pPr>
              <w:pStyle w:val="Tabletext"/>
              <w:rPr>
                <w:lang w:val="en-GB"/>
              </w:rPr>
            </w:pPr>
            <w:r w:rsidRPr="00DF77C7">
              <w:rPr>
                <w:lang w:val="en-GB"/>
              </w:rPr>
              <w:t>Radiographers registered with the Health and Care Professions Council (HCPC).</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407B95" w:rsidR="00A61B14" w:rsidP="00A61B14" w:rsidRDefault="00A61B14" w14:paraId="3A249524" w14:textId="77777777">
            <w:pPr>
              <w:pStyle w:val="Tabletext"/>
              <w:rPr>
                <w:color w:val="FF0000"/>
              </w:rPr>
            </w:pPr>
            <w:r>
              <w:t xml:space="preserve">Successful completion of Society and College of Radiographers approved course in administration of intravascular injections including competency assessment or locally authorised training course and competency programme.  </w:t>
            </w:r>
          </w:p>
          <w:p w:rsidR="00A61B14" w:rsidP="00A61B14" w:rsidRDefault="00A61B14" w14:paraId="287A58BA" w14:textId="77777777">
            <w:pPr>
              <w:pStyle w:val="Tabletext"/>
              <w:rPr>
                <w:highlight w:val="cyan"/>
              </w:rPr>
            </w:pPr>
          </w:p>
          <w:p w:rsidR="00A61B14" w:rsidP="00A61B14" w:rsidRDefault="00A61B14" w14:paraId="78AA9875" w14:textId="2978E4E7">
            <w:pPr>
              <w:pStyle w:val="Tabletext"/>
              <w:rPr>
                <w:highlight w:val="cyan"/>
              </w:rPr>
            </w:pPr>
            <w:r w:rsidRPr="00A61B14">
              <w:t>[</w:t>
            </w:r>
            <w:r>
              <w:rPr>
                <w:highlight w:val="cyan"/>
              </w:rPr>
              <w:t xml:space="preserve"> </w:t>
            </w:r>
            <w:r w:rsidRPr="00F40B1F">
              <w:rPr>
                <w:highlight w:val="cyan"/>
              </w:rPr>
              <w:t xml:space="preserve">Successful completion appropriate IV </w:t>
            </w:r>
            <w:r>
              <w:rPr>
                <w:highlight w:val="cyan"/>
              </w:rPr>
              <w:t xml:space="preserve">and </w:t>
            </w:r>
            <w:r w:rsidRPr="00F40B1F">
              <w:rPr>
                <w:highlight w:val="cyan"/>
              </w:rPr>
              <w:t>administration training with relevant updates as required</w:t>
            </w:r>
            <w:r>
              <w:rPr>
                <w:highlight w:val="cyan"/>
              </w:rPr>
              <w:t xml:space="preserve"> - </w:t>
            </w:r>
            <w:r w:rsidRPr="00F40B1F">
              <w:rPr>
                <w:highlight w:val="cyan"/>
              </w:rPr>
              <w:t xml:space="preserve">review to reflect local organisation policy and </w:t>
            </w:r>
            <w:proofErr w:type="gramStart"/>
            <w:r w:rsidRPr="00F40B1F">
              <w:rPr>
                <w:highlight w:val="cyan"/>
              </w:rPr>
              <w:t>training</w:t>
            </w:r>
            <w:r>
              <w:rPr>
                <w:highlight w:val="cyan"/>
              </w:rPr>
              <w:t xml:space="preserve"> </w:t>
            </w:r>
            <w:r w:rsidRPr="00A61B14">
              <w:t>]</w:t>
            </w:r>
            <w:proofErr w:type="gramEnd"/>
          </w:p>
          <w:p w:rsidR="00A61B14" w:rsidP="00A61B14" w:rsidRDefault="00A61B14" w14:paraId="43A7A5E2" w14:textId="77777777">
            <w:pPr>
              <w:pStyle w:val="Tabletext"/>
              <w:rPr>
                <w:highlight w:val="cyan"/>
              </w:rPr>
            </w:pPr>
          </w:p>
          <w:p w:rsidRPr="00DF77C7" w:rsidR="00B81529" w:rsidP="00A61B14" w:rsidRDefault="00A61B14" w14:paraId="4B43E5B0" w14:textId="7176F96E">
            <w:pPr>
              <w:pStyle w:val="Tabletext"/>
              <w:rPr>
                <w:lang w:val="en-GB"/>
              </w:rPr>
            </w:pPr>
            <w:r>
              <w:t>[</w:t>
            </w:r>
            <w:r w:rsidRPr="00A61B14">
              <w:t xml:space="preserve"> </w:t>
            </w:r>
            <w:r w:rsidRPr="003D5921">
              <w:rPr>
                <w:highlight w:val="cyan"/>
              </w:rPr>
              <w:t>Anaphylaxis and resuscitation training</w:t>
            </w:r>
            <w:r>
              <w:rPr>
                <w:highlight w:val="cyan"/>
              </w:rPr>
              <w:t xml:space="preserve"> </w:t>
            </w:r>
            <w:r w:rsidRPr="00CC157D">
              <w:rPr>
                <w:highlight w:val="cyan"/>
              </w:rPr>
              <w:t xml:space="preserve">and hospital life support </w:t>
            </w:r>
            <w:r w:rsidRPr="003D5921">
              <w:rPr>
                <w:highlight w:val="cyan"/>
              </w:rPr>
              <w:t xml:space="preserve">– review to reflect local organisation policy and </w:t>
            </w:r>
            <w:proofErr w:type="gramStart"/>
            <w:r w:rsidRPr="003D5921">
              <w:rPr>
                <w:highlight w:val="cyan"/>
              </w:rPr>
              <w:t>training</w:t>
            </w:r>
            <w:r>
              <w:t xml:space="preserve"> ]</w:t>
            </w:r>
            <w:proofErr w:type="gramEnd"/>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F6120B" w:rsidR="00B81529" w:rsidP="008762B8" w:rsidRDefault="00C373F2" w14:paraId="0D564727" w14:textId="7F6B616D">
            <w:pPr>
              <w:pStyle w:val="Tabletext"/>
              <w:rPr>
                <w:rStyle w:val="Hyperlink"/>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08A82BFE">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 xml:space="preserve">PGD </w:t>
            </w:r>
            <w:r w:rsidR="00A61B14">
              <w:rPr>
                <w:highlight w:val="cyan"/>
                <w:lang w:val="en-GB"/>
              </w:rPr>
              <w:t xml:space="preserve">intravenous administration </w:t>
            </w:r>
            <w:r w:rsidR="008B2A57">
              <w:rPr>
                <w:highlight w:val="cyan"/>
                <w:lang w:val="en-GB"/>
              </w:rPr>
              <w:t>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00D36D23" w14:paraId="06FC28D1" w14:textId="77777777">
        <w:tc>
          <w:tcPr>
            <w:tcW w:w="2689" w:type="dxa"/>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Pr>
          <w:p w:rsidR="00D36D23" w:rsidP="0032348B" w:rsidRDefault="00A61B14" w14:paraId="622A2C8E" w14:textId="34181815">
            <w:pPr>
              <w:pStyle w:val="Tabletext"/>
            </w:pPr>
            <w:r>
              <w:rPr>
                <w:szCs w:val="22"/>
              </w:rPr>
              <w:t>Diagnostic i</w:t>
            </w:r>
            <w:r w:rsidRPr="0019584B">
              <w:rPr>
                <w:szCs w:val="22"/>
              </w:rPr>
              <w:t xml:space="preserve">maging procedures within </w:t>
            </w:r>
            <w:r>
              <w:rPr>
                <w:szCs w:val="22"/>
              </w:rPr>
              <w:t>imaging services where a</w:t>
            </w:r>
            <w:r w:rsidRPr="00F40B1F">
              <w:rPr>
                <w:szCs w:val="22"/>
              </w:rPr>
              <w:t xml:space="preserve"> </w:t>
            </w:r>
            <w:r w:rsidRPr="006A2F0A">
              <w:rPr>
                <w:szCs w:val="22"/>
              </w:rPr>
              <w:t xml:space="preserve">prophylactic anti-peristaltic agent </w:t>
            </w:r>
            <w:r>
              <w:rPr>
                <w:szCs w:val="22"/>
              </w:rPr>
              <w:t xml:space="preserve">to improve imaging quality, or aid the comfort of individual, is </w:t>
            </w:r>
            <w:proofErr w:type="gramStart"/>
            <w:r>
              <w:rPr>
                <w:szCs w:val="22"/>
              </w:rPr>
              <w:t>indicated  [</w:t>
            </w:r>
            <w:proofErr w:type="gramEnd"/>
            <w:r>
              <w:rPr>
                <w:szCs w:val="22"/>
              </w:rPr>
              <w:t xml:space="preserve"> </w:t>
            </w:r>
            <w:r w:rsidRPr="002B6AC8">
              <w:rPr>
                <w:szCs w:val="22"/>
                <w:highlight w:val="cyan"/>
              </w:rPr>
              <w:t xml:space="preserve">e.g. CT and MRI </w:t>
            </w:r>
            <w:proofErr w:type="spellStart"/>
            <w:r w:rsidRPr="002B6AC8">
              <w:rPr>
                <w:szCs w:val="22"/>
                <w:highlight w:val="cyan"/>
              </w:rPr>
              <w:t>enterography</w:t>
            </w:r>
            <w:proofErr w:type="spellEnd"/>
            <w:r w:rsidRPr="002B6AC8">
              <w:rPr>
                <w:szCs w:val="22"/>
                <w:highlight w:val="cyan"/>
              </w:rPr>
              <w:t>, MR pelvis and CT staging GI examinations and CT colonography</w:t>
            </w:r>
            <w:r>
              <w:rPr>
                <w:szCs w:val="22"/>
              </w:rPr>
              <w:t xml:space="preserve"> </w:t>
            </w:r>
            <w:r w:rsidRPr="00792BF7">
              <w:rPr>
                <w:szCs w:val="22"/>
                <w:highlight w:val="cyan"/>
              </w:rPr>
              <w:t xml:space="preserve">following an approved </w:t>
            </w:r>
            <w:r>
              <w:rPr>
                <w:szCs w:val="22"/>
                <w:highlight w:val="cyan"/>
              </w:rPr>
              <w:t>protocol (link to organisation protocol/s as relevant)</w:t>
            </w:r>
            <w:r w:rsidRPr="0019584B">
              <w:rPr>
                <w:szCs w:val="22"/>
              </w:rPr>
              <w:t>.</w:t>
            </w:r>
            <w:r>
              <w:rPr>
                <w:szCs w:val="22"/>
              </w:rPr>
              <w:t>]</w:t>
            </w:r>
          </w:p>
        </w:tc>
      </w:tr>
      <w:tr w:rsidR="00AE4F4B" w:rsidTr="00D36D23" w14:paraId="423D958D" w14:textId="77777777">
        <w:tc>
          <w:tcPr>
            <w:tcW w:w="2689" w:type="dxa"/>
          </w:tcPr>
          <w:p w:rsidRPr="005A6168" w:rsidR="00AE4F4B" w:rsidP="00E4552C" w:rsidRDefault="003E69CD" w14:paraId="12B69C9D" w14:textId="0A77D3DB">
            <w:pPr>
              <w:jc w:val="right"/>
              <w:rPr>
                <w:rStyle w:val="TableHeaderColumn"/>
              </w:rPr>
            </w:pPr>
            <w:r>
              <w:rPr>
                <w:rStyle w:val="TableHeaderColumn"/>
              </w:rPr>
              <w:t>Criteria for i</w:t>
            </w:r>
            <w:r w:rsidRPr="005A6168" w:rsidR="00CA3998">
              <w:rPr>
                <w:rStyle w:val="TableHeaderColumn"/>
              </w:rPr>
              <w:t xml:space="preserve">nclusion </w:t>
            </w:r>
          </w:p>
        </w:tc>
        <w:tc>
          <w:tcPr>
            <w:tcW w:w="5806" w:type="dxa"/>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Pr="00700A9C" w:rsidR="00AE4F4B">
              <w:rPr>
                <w:highlight w:val="cyan"/>
              </w:rPr>
              <w:t>act in the best interests of the individual at all times</w:t>
            </w:r>
            <w:proofErr w:type="gramEnd"/>
            <w:r w:rsidRPr="00700A9C" w:rsidR="00AE4F4B">
              <w:rPr>
                <w:highlight w:val="cyan"/>
              </w:rPr>
              <w:t xml:space="preserve">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34F0F6E9">
            <w:pPr>
              <w:pStyle w:val="Bulletindent1"/>
            </w:pPr>
            <w:r w:rsidRPr="003C2F45">
              <w:t xml:space="preserve">Individual aged </w:t>
            </w:r>
            <w:r w:rsidR="00A61B14">
              <w:t>1</w:t>
            </w:r>
            <w:r w:rsidRPr="00A61B14" w:rsidR="00A61B14">
              <w:t>8</w:t>
            </w:r>
            <w:r w:rsidRPr="00A61B14">
              <w:t xml:space="preserve"> years</w:t>
            </w:r>
            <w:r w:rsidRPr="003C2F45">
              <w:t xml:space="preserve"> or over who has been referred for an imaging procedure requiring </w:t>
            </w:r>
            <w:r w:rsidR="00A61B14">
              <w:rPr>
                <w:bCs/>
              </w:rPr>
              <w:t>hyoscine butylbromide</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41381186">
            <w:pPr>
              <w:pStyle w:val="Bulletindent1"/>
            </w:pPr>
            <w:r w:rsidRPr="003C2F45">
              <w:t xml:space="preserve">The </w:t>
            </w:r>
            <w:r w:rsidR="00C373F2">
              <w:t>practitioner</w:t>
            </w:r>
            <w:r w:rsidRPr="003C2F45" w:rsidR="00C373F2">
              <w:t xml:space="preserve"> </w:t>
            </w:r>
            <w:r w:rsidRPr="003C2F45">
              <w:t>acting under this PGD must have evidence of a valid referral which has been justified and authorised</w:t>
            </w:r>
            <w:r w:rsidR="00A61B14">
              <w:t>.</w:t>
            </w:r>
          </w:p>
          <w:p w:rsidR="00AE4F4B" w:rsidP="00A61B14" w:rsidRDefault="00504FB7" w14:paraId="02A2FFD7" w14:textId="747C30F1">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00A61B14">
              <w:t xml:space="preserve"> at the time of the procedure.</w:t>
            </w:r>
            <w:r w:rsidRPr="00D843E4" w:rsidR="00AE4F4B">
              <w:t xml:space="preserve">  </w:t>
            </w:r>
          </w:p>
        </w:tc>
      </w:tr>
      <w:tr w:rsidR="00AE4F4B" w:rsidTr="00D36D23" w14:paraId="6FC007A9" w14:textId="77777777">
        <w:tc>
          <w:tcPr>
            <w:tcW w:w="2689" w:type="dxa"/>
          </w:tcPr>
          <w:p w:rsidRPr="005A6168" w:rsidR="00AE4F4B" w:rsidP="005A6168" w:rsidRDefault="003E69CD" w14:paraId="4F9F0FC6" w14:textId="72CE5320">
            <w:pPr>
              <w:rPr>
                <w:rStyle w:val="TableHeaderColumn"/>
              </w:rPr>
            </w:pPr>
            <w:r>
              <w:rPr>
                <w:rStyle w:val="TableHeaderColumn"/>
              </w:rPr>
              <w:t>Criteria for exclusion</w:t>
            </w:r>
          </w:p>
        </w:tc>
        <w:tc>
          <w:tcPr>
            <w:tcW w:w="5806" w:type="dxa"/>
          </w:tcPr>
          <w:p w:rsidR="00945C75" w:rsidP="0007109F"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07109F" w:rsidRDefault="00B154E7" w14:paraId="46C3F6F5" w14:textId="48033704">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w:t>
            </w:r>
            <w:r w:rsidR="009531BB">
              <w:rPr>
                <w:highlight w:val="cyan"/>
              </w:rPr>
              <w:t xml:space="preserve"> medicine</w:t>
            </w:r>
            <w:r w:rsidRPr="00AC0BE9" w:rsidR="00945C75">
              <w:rPr>
                <w:highlight w:val="cyan"/>
              </w:rPr>
              <w:t xml:space="preserve"> under this PGD.</w:t>
            </w:r>
            <w:r w:rsidRPr="00AC0BE9">
              <w:rPr>
                <w:highlight w:val="cyan"/>
              </w:rPr>
              <w:t>]</w:t>
            </w:r>
          </w:p>
          <w:p w:rsidRPr="00A61B14" w:rsidR="00945C75" w:rsidP="0007109F" w:rsidRDefault="00945C75" w14:paraId="20B1E77E" w14:textId="4C32E2A0">
            <w:pPr>
              <w:pStyle w:val="Bulletindent1"/>
            </w:pPr>
            <w:r w:rsidRPr="00A61B14">
              <w:lastRenderedPageBreak/>
              <w:t xml:space="preserve">Individual </w:t>
            </w:r>
            <w:r w:rsidR="00A61B14">
              <w:t xml:space="preserve">aged </w:t>
            </w:r>
            <w:r w:rsidRPr="00A61B14" w:rsidR="005E6E51">
              <w:t xml:space="preserve">under </w:t>
            </w:r>
            <w:r w:rsidR="00A61B14">
              <w:t>18</w:t>
            </w:r>
            <w:r w:rsidRPr="00A61B14" w:rsidR="005E6E51">
              <w:t xml:space="preserve"> years of age</w:t>
            </w:r>
            <w:r w:rsidR="00A61B14">
              <w:t>.</w:t>
            </w:r>
          </w:p>
          <w:p w:rsidRPr="00763BD7" w:rsidR="00763BD7" w:rsidP="0007109F" w:rsidRDefault="00945C75" w14:paraId="7CB354D7" w14:textId="3AAAB119">
            <w:pPr>
              <w:pStyle w:val="Bulletindent1"/>
            </w:pPr>
            <w:r>
              <w:t xml:space="preserve">Previous adverse reaction (allergic, hypersensitivity or other) after administration of </w:t>
            </w:r>
            <w:r w:rsidRPr="00F40B1F" w:rsidR="00A61B14">
              <w:rPr>
                <w:rFonts w:cs="Arial"/>
                <w:szCs w:val="22"/>
              </w:rPr>
              <w:t>hyoscine butylbromide</w:t>
            </w:r>
            <w:r w:rsidRPr="00132DA8" w:rsidR="00A61B14">
              <w:rPr>
                <w:rFonts w:cs="Arial"/>
                <w:szCs w:val="22"/>
              </w:rPr>
              <w:t xml:space="preserve"> or to any </w:t>
            </w:r>
            <w:r w:rsidR="00A61B14">
              <w:rPr>
                <w:rFonts w:cs="Arial"/>
                <w:szCs w:val="22"/>
              </w:rPr>
              <w:t>excipient</w:t>
            </w:r>
            <w:r w:rsidRPr="00132DA8" w:rsidR="00A61B14">
              <w:rPr>
                <w:rFonts w:cs="Arial"/>
                <w:szCs w:val="22"/>
              </w:rPr>
              <w:t xml:space="preserve"> </w:t>
            </w:r>
            <w:r w:rsidR="00A61B14">
              <w:rPr>
                <w:rFonts w:cs="Arial"/>
                <w:szCs w:val="22"/>
              </w:rPr>
              <w:t xml:space="preserve">listed within the </w:t>
            </w:r>
            <w:hyperlink w:history="1" r:id="rId16">
              <w:r w:rsidRPr="00F6120B" w:rsidR="0007109F">
                <w:rPr>
                  <w:rStyle w:val="Hyperlink"/>
                </w:rPr>
                <w:t>Summary of Product Characteristics (SmPC) on the EMC website</w:t>
              </w:r>
            </w:hyperlink>
            <w:r w:rsidRPr="00F6120B" w:rsidR="00A61B14">
              <w:rPr>
                <w:rStyle w:val="Hyperlink"/>
              </w:rPr>
              <w:t>.</w:t>
            </w:r>
          </w:p>
          <w:p w:rsidRPr="0057699A" w:rsidR="0007109F" w:rsidP="0007109F" w:rsidRDefault="0007109F" w14:paraId="25392A5F" w14:textId="77777777">
            <w:pPr>
              <w:pStyle w:val="Bulletindent1"/>
              <w:rPr>
                <w:lang w:val="en-US"/>
              </w:rPr>
            </w:pPr>
            <w:r w:rsidRPr="0057699A">
              <w:rPr>
                <w:lang w:val="en-US"/>
              </w:rPr>
              <w:t>Myasthenia gravis</w:t>
            </w:r>
          </w:p>
          <w:p w:rsidRPr="0057699A" w:rsidR="0007109F" w:rsidP="0007109F" w:rsidRDefault="0007109F" w14:paraId="1D1B3596" w14:textId="77777777">
            <w:pPr>
              <w:pStyle w:val="Bulletindent1"/>
              <w:rPr>
                <w:lang w:val="en-US"/>
              </w:rPr>
            </w:pPr>
            <w:r w:rsidRPr="0057699A">
              <w:rPr>
                <w:lang w:val="en-US"/>
              </w:rPr>
              <w:t>Known untreated angle-closure glaucoma (may also be reported as closed-angle glaucoma or narrow-angle glaucoma)</w:t>
            </w:r>
          </w:p>
          <w:p w:rsidRPr="0057699A" w:rsidR="0007109F" w:rsidP="0007109F" w:rsidRDefault="0007109F" w14:paraId="37E38260" w14:textId="77777777">
            <w:pPr>
              <w:pStyle w:val="Bulletindent1"/>
              <w:rPr>
                <w:lang w:val="en-US"/>
              </w:rPr>
            </w:pPr>
            <w:r w:rsidRPr="0057699A">
              <w:rPr>
                <w:lang w:val="en-US"/>
              </w:rPr>
              <w:t>Tachyarrhythmia</w:t>
            </w:r>
          </w:p>
          <w:p w:rsidRPr="00895680" w:rsidR="0007109F" w:rsidP="0007109F" w:rsidRDefault="0007109F" w14:paraId="2E0D7046" w14:textId="77777777">
            <w:pPr>
              <w:pStyle w:val="Bulletindent1"/>
              <w:rPr>
                <w:lang w:val="en-US"/>
              </w:rPr>
            </w:pPr>
            <w:r w:rsidRPr="00895680">
              <w:rPr>
                <w:lang w:val="en-US"/>
              </w:rPr>
              <w:t>Uncontrolled heart failure, unstable angina, recent myocardial infarction and cardiac tachyarrhythmia</w:t>
            </w:r>
          </w:p>
          <w:p w:rsidRPr="00895680" w:rsidR="0007109F" w:rsidP="0007109F" w:rsidRDefault="0007109F" w14:paraId="5498E746" w14:textId="77777777">
            <w:pPr>
              <w:pStyle w:val="Bulletindent1"/>
              <w:rPr>
                <w:lang w:val="en-US"/>
              </w:rPr>
            </w:pPr>
            <w:r w:rsidRPr="00895680">
              <w:rPr>
                <w:lang w:val="en-US"/>
              </w:rPr>
              <w:t>Acute untreated/unmanaged urinary retention</w:t>
            </w:r>
          </w:p>
          <w:p w:rsidRPr="00895680" w:rsidR="0007109F" w:rsidP="0007109F" w:rsidRDefault="0007109F" w14:paraId="08ED4AF7" w14:textId="77777777">
            <w:pPr>
              <w:pStyle w:val="Bulletindent1"/>
              <w:rPr>
                <w:lang w:val="en-US"/>
              </w:rPr>
            </w:pPr>
            <w:r w:rsidRPr="00895680">
              <w:rPr>
                <w:lang w:val="en-US"/>
              </w:rPr>
              <w:t>Signs and/or symptoms of toxic megacolon (secondary to ulcerative colitis)</w:t>
            </w:r>
          </w:p>
          <w:p w:rsidRPr="00F40B1F" w:rsidR="0007109F" w:rsidP="0007109F" w:rsidRDefault="0007109F" w14:paraId="126193BD" w14:textId="77777777">
            <w:pPr>
              <w:pStyle w:val="Bulletindent1"/>
              <w:rPr>
                <w:lang w:val="en-US"/>
              </w:rPr>
            </w:pPr>
            <w:r w:rsidRPr="00F40B1F">
              <w:rPr>
                <w:lang w:val="en-US"/>
              </w:rPr>
              <w:t>Pyloric stenosis</w:t>
            </w:r>
          </w:p>
          <w:p w:rsidR="0007109F" w:rsidP="0007109F" w:rsidRDefault="0007109F" w14:paraId="446D815E" w14:textId="77777777">
            <w:pPr>
              <w:pStyle w:val="Bulletindent1"/>
              <w:rPr>
                <w:lang w:val="en-US"/>
              </w:rPr>
            </w:pPr>
            <w:r w:rsidRPr="00F40B1F">
              <w:rPr>
                <w:lang w:val="en-US"/>
              </w:rPr>
              <w:t xml:space="preserve">Paralytic </w:t>
            </w:r>
            <w:r>
              <w:rPr>
                <w:lang w:val="en-US"/>
              </w:rPr>
              <w:t xml:space="preserve">or obstructive </w:t>
            </w:r>
            <w:r w:rsidRPr="00F40B1F">
              <w:rPr>
                <w:lang w:val="en-US"/>
              </w:rPr>
              <w:t>ileus</w:t>
            </w:r>
          </w:p>
          <w:p w:rsidRPr="00F40B1F" w:rsidR="0007109F" w:rsidP="0007109F" w:rsidRDefault="0007109F" w14:paraId="3808C678" w14:textId="77777777">
            <w:pPr>
              <w:pStyle w:val="Bulletindent1"/>
              <w:rPr>
                <w:lang w:val="en-US"/>
              </w:rPr>
            </w:pPr>
            <w:r>
              <w:rPr>
                <w:lang w:val="en-US"/>
              </w:rPr>
              <w:t>Known p</w:t>
            </w:r>
            <w:r w:rsidRPr="00F40B1F">
              <w:rPr>
                <w:lang w:val="en-US"/>
              </w:rPr>
              <w:t>regnancy</w:t>
            </w:r>
          </w:p>
          <w:p w:rsidRPr="00F40B1F" w:rsidR="0007109F" w:rsidP="0007109F" w:rsidRDefault="0007109F" w14:paraId="43B2C2D5" w14:textId="77777777">
            <w:pPr>
              <w:pStyle w:val="Bulletindent1"/>
              <w:rPr>
                <w:lang w:val="en-US"/>
              </w:rPr>
            </w:pPr>
            <w:r>
              <w:rPr>
                <w:lang w:val="en-US"/>
              </w:rPr>
              <w:t>Acute c</w:t>
            </w:r>
            <w:r w:rsidRPr="00F40B1F">
              <w:rPr>
                <w:lang w:val="en-US"/>
              </w:rPr>
              <w:t>onfusion</w:t>
            </w:r>
          </w:p>
          <w:p w:rsidR="00CB4A2B" w:rsidP="0007109F" w:rsidRDefault="0007109F" w14:paraId="242D0FB3" w14:textId="021F9F35">
            <w:pPr>
              <w:pStyle w:val="Bulletindent1"/>
            </w:pPr>
            <w:r>
              <w:rPr>
                <w:lang w:val="en-US"/>
              </w:rPr>
              <w:t xml:space="preserve">Individuals </w:t>
            </w:r>
            <w:r w:rsidRPr="00F40B1F">
              <w:rPr>
                <w:lang w:val="en-US"/>
              </w:rPr>
              <w:t>with infections around the injection site for IV</w:t>
            </w:r>
            <w:r>
              <w:rPr>
                <w:lang w:val="en-US"/>
              </w:rPr>
              <w:t xml:space="preserve"> </w:t>
            </w:r>
            <w:r w:rsidRPr="00F40B1F">
              <w:rPr>
                <w:lang w:val="en-US"/>
              </w:rPr>
              <w:t xml:space="preserve">cannulation and a Visual Infusion Phlebitis (VIP) score of </w:t>
            </w:r>
            <w:r>
              <w:rPr>
                <w:lang w:val="en-US"/>
              </w:rPr>
              <w:t>[</w:t>
            </w:r>
            <w:r w:rsidRPr="00F40B1F">
              <w:rPr>
                <w:highlight w:val="cyan"/>
              </w:rPr>
              <w:t>1 (amend to reflect local scoring guidance)</w:t>
            </w:r>
            <w:r>
              <w:t>]</w:t>
            </w:r>
          </w:p>
        </w:tc>
      </w:tr>
      <w:tr w:rsidR="00AE4F4B" w:rsidTr="00D36D23" w14:paraId="2086F951" w14:textId="77777777">
        <w:tc>
          <w:tcPr>
            <w:tcW w:w="2689" w:type="dxa"/>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rsidR="0007109F" w:rsidP="0007109F" w:rsidRDefault="00CB4A2B" w14:paraId="4CCB9087" w14:textId="67331755">
            <w:pPr>
              <w:pStyle w:val="Bulletindent1"/>
            </w:pPr>
            <w:r w:rsidRPr="00CB4A2B">
              <w:t xml:space="preserve"> </w:t>
            </w:r>
            <w:r w:rsidR="0007109F">
              <w:t>After parenteral administration of hyoscine butylbromide, cases of anaphylaxis including episodes of shock have been observed. Individuals receiving hyoscine butylbromide should be kept under observation for at least</w:t>
            </w:r>
            <w:r w:rsidR="004A295D">
              <w:t xml:space="preserve"> [</w:t>
            </w:r>
            <w:r w:rsidR="0007109F">
              <w:t xml:space="preserve"> </w:t>
            </w:r>
            <w:r w:rsidRPr="004A295D" w:rsidR="0007109F">
              <w:rPr>
                <w:highlight w:val="cyan"/>
              </w:rPr>
              <w:t>15 minutes (amend as required to align with local policy)</w:t>
            </w:r>
            <w:r w:rsidR="004A295D">
              <w:t>.]</w:t>
            </w:r>
          </w:p>
          <w:p w:rsidR="0007109F" w:rsidP="0007109F" w:rsidRDefault="0007109F" w14:paraId="38745AEB" w14:textId="77777777">
            <w:pPr>
              <w:pStyle w:val="Bulletindent1"/>
            </w:pPr>
            <w:r>
              <w:t>In case severe, unexplained abdominal pain persists or worsens, or occurs together with symptoms like fever, nausea, vomiting, changes in bowel movements, abdominal tenderness, decreased blood pressure, fainting, or blood in stool.  Refer immediately to a suitable clinician for appropriate diagnostic measures/investigation into the aetiology of the symptoms.</w:t>
            </w:r>
          </w:p>
          <w:p w:rsidR="0007109F" w:rsidP="0007109F" w:rsidRDefault="0007109F" w14:paraId="62D0B4F9" w14:textId="77777777">
            <w:pPr>
              <w:pStyle w:val="Bulletindent1"/>
            </w:pPr>
            <w:r>
              <w:t xml:space="preserve">Elevation of intraocular pressure may occur in individuals with undiagnosed, and therefore untreated, narrow angle glaucoma. Individuals must be advised to seek urgent medical advice if they develop a painful red eye with loss of vision in the 24 hours following injection informing the </w:t>
            </w:r>
            <w:r>
              <w:lastRenderedPageBreak/>
              <w:t>clinician that they have recently been given hyoscine butylbromide</w:t>
            </w:r>
          </w:p>
          <w:p w:rsidR="0007109F" w:rsidP="0007109F" w:rsidRDefault="0007109F" w14:paraId="7BBB98DC" w14:textId="77777777">
            <w:pPr>
              <w:pStyle w:val="Bulletindent1"/>
            </w:pPr>
            <w:r>
              <w:t xml:space="preserve">Due to the possibility that anticholinergics may reduce sweating, hyoscine butylbromide should be administered with caution to individuals with known pyrexia.  Advise relevant individuals to seek urgent medical advice if their condition worsens/temperature rises.  </w:t>
            </w:r>
          </w:p>
          <w:p w:rsidR="0007109F" w:rsidP="0007109F" w:rsidRDefault="0007109F" w14:paraId="66E4190B" w14:textId="77777777">
            <w:pPr>
              <w:pStyle w:val="Bulletindent1"/>
            </w:pPr>
            <w:r>
              <w:t>The anticholinergic effect (e.g. dry mouth, flushing, constipation, urinary retention) of certain medicines may be intensified by hyoscine butylbromide. Advise relevant individuals that this may occur and to seek medical advice if concerned.  Relevant medicines include:</w:t>
            </w:r>
          </w:p>
          <w:p w:rsidR="0007109F" w:rsidP="004A295D" w:rsidRDefault="0007109F" w14:paraId="57A1B534" w14:textId="77777777">
            <w:pPr>
              <w:pStyle w:val="Bulletindent1"/>
              <w:numPr>
                <w:ilvl w:val="1"/>
                <w:numId w:val="21"/>
              </w:numPr>
            </w:pPr>
            <w:r>
              <w:t xml:space="preserve">tri- and tetracyclic antidepressants (e.g. amitriptyline) </w:t>
            </w:r>
          </w:p>
          <w:p w:rsidR="0007109F" w:rsidP="004A295D" w:rsidRDefault="0007109F" w14:paraId="71B16F8B" w14:textId="77777777">
            <w:pPr>
              <w:pStyle w:val="Bulletindent1"/>
              <w:numPr>
                <w:ilvl w:val="1"/>
                <w:numId w:val="21"/>
              </w:numPr>
            </w:pPr>
            <w:r>
              <w:t>antihistamines (e.g. chlorphenamine, loratadine, cetirizine)</w:t>
            </w:r>
          </w:p>
          <w:p w:rsidR="0007109F" w:rsidP="004A295D" w:rsidRDefault="0007109F" w14:paraId="3F1117AA" w14:textId="77777777">
            <w:pPr>
              <w:pStyle w:val="Bulletindent1"/>
              <w:numPr>
                <w:ilvl w:val="1"/>
                <w:numId w:val="21"/>
              </w:numPr>
            </w:pPr>
            <w:r>
              <w:t>antipsychotics (e.g. phenothiazines (e.g. chlorpromazine, prochlorperazine), butyrophenones (e.g. haloperidol))</w:t>
            </w:r>
          </w:p>
          <w:p w:rsidR="0007109F" w:rsidP="004A295D" w:rsidRDefault="0007109F" w14:paraId="0DC5AB74" w14:textId="77777777">
            <w:pPr>
              <w:pStyle w:val="Bulletindent1"/>
              <w:numPr>
                <w:ilvl w:val="1"/>
                <w:numId w:val="21"/>
              </w:numPr>
            </w:pPr>
            <w:r>
              <w:t>quinidine</w:t>
            </w:r>
          </w:p>
          <w:p w:rsidR="0007109F" w:rsidP="004A295D" w:rsidRDefault="0007109F" w14:paraId="734F3AAF" w14:textId="77777777">
            <w:pPr>
              <w:pStyle w:val="Bulletindent1"/>
              <w:numPr>
                <w:ilvl w:val="1"/>
                <w:numId w:val="21"/>
              </w:numPr>
            </w:pPr>
            <w:r>
              <w:t>disopyramide</w:t>
            </w:r>
          </w:p>
          <w:p w:rsidR="0007109F" w:rsidP="004A295D" w:rsidRDefault="0007109F" w14:paraId="418B3898" w14:textId="77777777">
            <w:pPr>
              <w:pStyle w:val="Bulletindent1"/>
              <w:numPr>
                <w:ilvl w:val="1"/>
                <w:numId w:val="21"/>
              </w:numPr>
            </w:pPr>
            <w:r>
              <w:t>amantadine</w:t>
            </w:r>
          </w:p>
          <w:p w:rsidR="0007109F" w:rsidP="004A295D" w:rsidRDefault="0007109F" w14:paraId="15070426" w14:textId="77777777">
            <w:pPr>
              <w:pStyle w:val="Bulletindent1"/>
              <w:numPr>
                <w:ilvl w:val="1"/>
                <w:numId w:val="21"/>
              </w:numPr>
            </w:pPr>
            <w:r>
              <w:t xml:space="preserve">other anti-cholinergic e.g. tiotropium, ipratropium </w:t>
            </w:r>
          </w:p>
          <w:p w:rsidR="0007109F" w:rsidP="0007109F" w:rsidRDefault="0007109F" w14:paraId="4936F2FB" w14:textId="77777777">
            <w:pPr>
              <w:pStyle w:val="Bulletindent1"/>
            </w:pPr>
            <w:r>
              <w:t xml:space="preserve">The tachycardia effects of beta-adrenergic agents, such as salbutamol, may be enhanced by hyoscine butylbromide resulting in an increase in heart rate.  Advise relevant individuals that this may occur and to seek medical advice if concerned.  </w:t>
            </w:r>
          </w:p>
          <w:p w:rsidR="0007109F" w:rsidP="0007109F" w:rsidRDefault="0007109F" w14:paraId="5C146478" w14:textId="77777777">
            <w:pPr>
              <w:pStyle w:val="Bulletindent1"/>
            </w:pPr>
            <w:r>
              <w:t>If the individual reports any persistent symptoms of increased heart rate (palpitations, dizziness, shortness of breath) post hyoscine administration refer to a radiologist as urgently as possible, or to medical on call team if radiologist cannot be contacted immediately.</w:t>
            </w:r>
          </w:p>
          <w:p w:rsidR="0007109F" w:rsidP="0007109F" w:rsidRDefault="0007109F" w14:paraId="155F2EE8" w14:textId="77777777">
            <w:pPr>
              <w:pStyle w:val="Bulletindent1"/>
            </w:pPr>
            <w:r>
              <w:t xml:space="preserve">Concomitant treatment with dopamine antagonists such as metoclopramide may result in diminution of the effects of both medicines on the gastrointestinal tract. Advise individual of possible adverse effects and advise to seek medical advice if concerned.  </w:t>
            </w:r>
          </w:p>
          <w:p w:rsidR="00CB4A2B" w:rsidP="004A295D" w:rsidRDefault="0007109F" w14:paraId="64FEDD91" w14:textId="0073CAC7">
            <w:pPr>
              <w:pStyle w:val="Bulletindent1"/>
            </w:pPr>
            <w:r>
              <w:t xml:space="preserve">Mechanical stenosis of the gastrointestinal tract – discuss with refer or radiologist to determine suitable course of action and only proceed to administer under this PGD where radiographer is </w:t>
            </w:r>
            <w:r>
              <w:lastRenderedPageBreak/>
              <w:t xml:space="preserve">assured administration under the PGD is appropriate.  </w:t>
            </w:r>
          </w:p>
        </w:tc>
      </w:tr>
      <w:tr w:rsidR="00AE4F4B" w:rsidTr="00D36D23" w14:paraId="6142EA67" w14:textId="77777777">
        <w:tc>
          <w:tcPr>
            <w:tcW w:w="2689" w:type="dxa"/>
          </w:tcPr>
          <w:p w:rsidRPr="005A6168" w:rsidR="00AE4F4B" w:rsidP="005A6168" w:rsidRDefault="003E69CD" w14:paraId="751752A4" w14:textId="3BF2F402">
            <w:pPr>
              <w:rPr>
                <w:rStyle w:val="TableHeaderColumn"/>
              </w:rPr>
            </w:pPr>
            <w:r>
              <w:rPr>
                <w:rStyle w:val="TableHeaderColumn"/>
              </w:rPr>
              <w:lastRenderedPageBreak/>
              <w:t>Actions to be taken if the individual is excluded or declines treatment</w:t>
            </w:r>
          </w:p>
        </w:tc>
        <w:tc>
          <w:tcPr>
            <w:tcW w:w="5806" w:type="dxa"/>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lastRenderedPageBreak/>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4A8ADB3" w14:paraId="2B351AEC" w14:textId="77777777">
        <w:tc>
          <w:tcPr>
            <w:tcW w:w="3397" w:type="dxa"/>
            <w:tcMar/>
          </w:tcPr>
          <w:p w:rsidRPr="005A6168" w:rsidR="00165DD9" w:rsidP="005A6168" w:rsidRDefault="00165DD9" w14:paraId="6EB1838B" w14:textId="461B0EDD">
            <w:pPr>
              <w:rPr>
                <w:rStyle w:val="TableHeaderColumn"/>
              </w:rPr>
            </w:pPr>
            <w:r w:rsidRPr="005A6168">
              <w:rPr>
                <w:rStyle w:val="TableHeaderColumn"/>
              </w:rPr>
              <w:t xml:space="preserve">Name, form and strength of </w:t>
            </w:r>
            <w:r w:rsidR="004A295D">
              <w:rPr>
                <w:rStyle w:val="TableHeaderColumn"/>
              </w:rPr>
              <w:t>medicine</w:t>
            </w:r>
          </w:p>
        </w:tc>
        <w:tc>
          <w:tcPr>
            <w:tcW w:w="5529" w:type="dxa"/>
            <w:tcMar/>
          </w:tcPr>
          <w:p w:rsidRPr="004A295D" w:rsidR="004A295D" w:rsidP="004A295D" w:rsidRDefault="004A295D" w14:paraId="22F2C8B9" w14:textId="2F3BC5DF">
            <w:pPr>
              <w:pStyle w:val="Tabletext"/>
            </w:pPr>
            <w:r w:rsidRPr="004A295D">
              <w:t xml:space="preserve">Hyoscine butylbromide injection </w:t>
            </w:r>
          </w:p>
          <w:p w:rsidR="004A295D" w:rsidP="004A295D" w:rsidRDefault="004A295D" w14:paraId="570B229E" w14:textId="77777777">
            <w:pPr>
              <w:pStyle w:val="Tabletext"/>
            </w:pPr>
            <w:r w:rsidRPr="004A295D">
              <w:t>Each 1ml ampoule contains 20mg hyoscine butylbromide</w:t>
            </w:r>
          </w:p>
          <w:p w:rsidR="004A295D" w:rsidP="004A295D" w:rsidRDefault="004A295D" w14:paraId="5B890F6C" w14:textId="77777777">
            <w:pPr>
              <w:pStyle w:val="Tabletext"/>
            </w:pPr>
          </w:p>
          <w:p w:rsidRPr="00E00ACB" w:rsidR="004A295D" w:rsidP="004A295D" w:rsidRDefault="004A295D" w14:paraId="29158234" w14:textId="460D54BF">
            <w:pPr>
              <w:keepNext/>
              <w:spacing w:after="60"/>
              <w:rPr>
                <w:rFonts w:ascii="Arial" w:hAnsi="Arial" w:cs="Arial"/>
                <w:sz w:val="22"/>
                <w:highlight w:val="cyan"/>
              </w:rPr>
            </w:pPr>
            <w:r w:rsidRPr="004A295D">
              <w:rPr>
                <w:rFonts w:ascii="Arial" w:hAnsi="Arial" w:cs="Arial"/>
                <w:sz w:val="22"/>
              </w:rPr>
              <w:t xml:space="preserve">[ </w:t>
            </w:r>
            <w:r w:rsidRPr="00E00ACB">
              <w:rPr>
                <w:rFonts w:ascii="Arial" w:hAnsi="Arial" w:cs="Arial"/>
                <w:sz w:val="22"/>
                <w:highlight w:val="cyan"/>
              </w:rPr>
              <w:t>If locally included in relevant protocols to aide slow IV injection:</w:t>
            </w:r>
          </w:p>
          <w:p w:rsidRPr="00E00ACB" w:rsidR="004A295D" w:rsidP="004A295D" w:rsidRDefault="004A295D" w14:paraId="3930D956" w14:textId="77777777">
            <w:pPr>
              <w:pStyle w:val="Bulletindent1"/>
              <w:rPr>
                <w:highlight w:val="cyan"/>
                <w:lang w:val="en-US"/>
              </w:rPr>
            </w:pPr>
            <w:r w:rsidRPr="00E00ACB">
              <w:rPr>
                <w:highlight w:val="cyan"/>
                <w:lang w:val="en-US"/>
              </w:rPr>
              <w:t>Sodium chloride 0.9% for injection</w:t>
            </w:r>
            <w:r>
              <w:rPr>
                <w:highlight w:val="cyan"/>
                <w:lang w:val="en-US"/>
              </w:rPr>
              <w:t xml:space="preserve"> OR </w:t>
            </w:r>
          </w:p>
          <w:p w:rsidRPr="004A295D" w:rsidR="004A295D" w:rsidP="004A295D" w:rsidRDefault="004A295D" w14:paraId="164525C8" w14:textId="22896369">
            <w:pPr>
              <w:pStyle w:val="Bulletindent1"/>
            </w:pPr>
            <w:r w:rsidRPr="00E00ACB">
              <w:rPr>
                <w:highlight w:val="cyan"/>
              </w:rPr>
              <w:t>Glucose 5</w:t>
            </w:r>
            <w:proofErr w:type="gramStart"/>
            <w:r w:rsidRPr="00E00ACB">
              <w:rPr>
                <w:highlight w:val="cyan"/>
              </w:rPr>
              <w:t>%</w:t>
            </w:r>
            <w:r>
              <w:t xml:space="preserve"> ]</w:t>
            </w:r>
            <w:proofErr w:type="gramEnd"/>
          </w:p>
          <w:p w:rsidRPr="004A295D" w:rsidR="00165DD9" w:rsidP="004A295D" w:rsidRDefault="00165DD9" w14:paraId="2B104BB5" w14:textId="613BF731">
            <w:pPr>
              <w:pStyle w:val="Tabletext"/>
            </w:pPr>
          </w:p>
        </w:tc>
      </w:tr>
      <w:tr w:rsidR="00165DD9" w:rsidTr="04A8ADB3"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04A8ADB3" w14:paraId="44E2B1CC" w14:textId="77777777">
        <w:tc>
          <w:tcPr>
            <w:tcW w:w="3397" w:type="dxa"/>
            <w:tcMar/>
          </w:tcPr>
          <w:p w:rsidR="00165DD9" w:rsidP="005A6168" w:rsidRDefault="00165DD9" w14:paraId="3AD19FA9" w14:textId="77777777">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p w:rsidR="004A295D" w:rsidP="005A6168" w:rsidRDefault="004A295D" w14:paraId="6E4276D8" w14:textId="77777777">
            <w:pPr>
              <w:rPr>
                <w:rStyle w:val="TableHeaderColumn"/>
              </w:rPr>
            </w:pPr>
          </w:p>
          <w:p w:rsidRPr="004A295D" w:rsidR="004A295D" w:rsidP="005A6168" w:rsidRDefault="004A295D" w14:paraId="2EBF84AC" w14:textId="28C6B9F2">
            <w:pPr>
              <w:rPr>
                <w:rStyle w:val="TableHeaderColumn"/>
              </w:rPr>
            </w:pPr>
            <w:r w:rsidRPr="004A295D">
              <w:rPr>
                <w:rFonts w:ascii="Arial" w:hAnsi="Arial"/>
                <w:sz w:val="22"/>
                <w:highlight w:val="yellow"/>
                <w:lang w:val="en-US"/>
              </w:rPr>
              <w:t>[[ (note IM administration is not included within this PGD template – it may be locally added in line with local supporting protocol/SOP/monograph)</w:t>
            </w:r>
            <w:r w:rsidRPr="004A295D">
              <w:rPr>
                <w:rFonts w:ascii="Arial" w:hAnsi="Arial"/>
                <w:sz w:val="22"/>
                <w:lang w:val="en-US"/>
              </w:rPr>
              <w:t xml:space="preserve"> ]]</w:t>
            </w:r>
          </w:p>
        </w:tc>
        <w:tc>
          <w:tcPr>
            <w:tcW w:w="5529" w:type="dxa"/>
            <w:tcMar/>
          </w:tcPr>
          <w:p w:rsidR="00165DD9" w:rsidP="009B62D2" w:rsidRDefault="00165DD9" w14:paraId="55104DCB" w14:textId="1E49203B">
            <w:pPr>
              <w:pStyle w:val="Tabletext"/>
            </w:pPr>
            <w:r w:rsidRPr="003B61FD">
              <w:t xml:space="preserve">Intravenous injection </w:t>
            </w:r>
            <w:r w:rsidR="004A295D">
              <w:t xml:space="preserve">as detailed in the </w:t>
            </w:r>
            <w:r w:rsidRPr="003B61FD" w:rsidR="004A295D">
              <w:t>[</w:t>
            </w:r>
            <w:r w:rsidRPr="003B61FD">
              <w:rPr>
                <w:highlight w:val="cyan"/>
              </w:rPr>
              <w:t>relevant approved protocol (link to organisation protocol/s as relevant)</w:t>
            </w:r>
            <w:r w:rsidR="00B154E7">
              <w:t>]</w:t>
            </w:r>
          </w:p>
          <w:p w:rsidR="004A295D" w:rsidP="009B62D2" w:rsidRDefault="004A295D" w14:paraId="36925E46" w14:textId="77777777">
            <w:pPr>
              <w:pStyle w:val="Tabletext"/>
            </w:pPr>
          </w:p>
          <w:p w:rsidRPr="001412B8" w:rsidR="004A295D" w:rsidP="004A295D" w:rsidRDefault="004A295D" w14:paraId="23DE5523" w14:textId="137202E5">
            <w:pPr>
              <w:pStyle w:val="Tabletext"/>
            </w:pPr>
            <w:bookmarkStart w:name="_Hlk190264285" w:id="4"/>
            <w:r w:rsidRPr="004A295D">
              <w:rPr>
                <w:b/>
                <w:bCs/>
              </w:rPr>
              <w:t>Intravenous injection</w:t>
            </w:r>
            <w:r w:rsidRPr="00E00ACB">
              <w:t xml:space="preserve"> via </w:t>
            </w:r>
            <w:r>
              <w:t xml:space="preserve">intravenous line/canula, </w:t>
            </w:r>
            <w:r w:rsidRPr="00E00ACB">
              <w:t>administered slowly over at least 3 minutes</w:t>
            </w:r>
            <w:r w:rsidRPr="00C63F39">
              <w:t xml:space="preserve"> </w:t>
            </w:r>
            <w:proofErr w:type="gramStart"/>
            <w:r>
              <w:t>[</w:t>
            </w:r>
            <w:r w:rsidRPr="00C63F39">
              <w:rPr>
                <w:highlight w:val="cyan"/>
              </w:rPr>
              <w:t>(</w:t>
            </w:r>
            <w:r>
              <w:rPr>
                <w:highlight w:val="cyan"/>
              </w:rPr>
              <w:t xml:space="preserve"> As</w:t>
            </w:r>
            <w:proofErr w:type="gramEnd"/>
            <w:r>
              <w:rPr>
                <w:highlight w:val="cyan"/>
              </w:rPr>
              <w:t xml:space="preserve"> per the </w:t>
            </w:r>
            <w:hyperlink w:history="1" r:id="rId17">
              <w:r w:rsidRPr="00F6120B">
                <w:rPr>
                  <w:rStyle w:val="Hyperlink"/>
                  <w:highlight w:val="cyan"/>
                </w:rPr>
                <w:t>Medusa monograph</w:t>
              </w:r>
            </w:hyperlink>
            <w:r w:rsidRPr="00C63F39">
              <w:rPr>
                <w:highlight w:val="cyan"/>
              </w:rPr>
              <w:t xml:space="preserve"> – amend and reference if local monograph is used).</w:t>
            </w:r>
            <w:r w:rsidRPr="00C63F39">
              <w:t xml:space="preserve"> </w:t>
            </w:r>
            <w:r>
              <w:t>]</w:t>
            </w:r>
          </w:p>
          <w:bookmarkEnd w:id="4"/>
          <w:p w:rsidRPr="00E00ACB" w:rsidR="004A295D" w:rsidP="004A295D" w:rsidRDefault="004A295D" w14:paraId="2374E0FB" w14:textId="214E63DA">
            <w:pPr>
              <w:pStyle w:val="Tabletext"/>
            </w:pPr>
            <w:r w:rsidRPr="004A295D">
              <w:t>[</w:t>
            </w:r>
            <w:r>
              <w:rPr>
                <w:highlight w:val="cyan"/>
              </w:rPr>
              <w:t xml:space="preserve"> </w:t>
            </w:r>
            <w:r w:rsidRPr="00E00ACB">
              <w:rPr>
                <w:highlight w:val="cyan"/>
              </w:rPr>
              <w:t xml:space="preserve">If locally included in relevant protocols to aide slow IV injection hyoscine butylbromide may be diluted with either sodium chloride 0.9% for injection or glucose 5% prior to administration </w:t>
            </w:r>
            <w:r>
              <w:rPr>
                <w:highlight w:val="cyan"/>
              </w:rPr>
              <w:t>– refer to</w:t>
            </w:r>
            <w:r w:rsidRPr="00E00ACB">
              <w:rPr>
                <w:highlight w:val="cyan"/>
              </w:rPr>
              <w:t xml:space="preserve"> local protocol</w:t>
            </w:r>
            <w:proofErr w:type="gramStart"/>
            <w:r w:rsidRPr="00E00ACB">
              <w:rPr>
                <w:highlight w:val="cyan"/>
              </w:rPr>
              <w:t>.</w:t>
            </w:r>
            <w:r>
              <w:t xml:space="preserve"> ]</w:t>
            </w:r>
            <w:proofErr w:type="gramEnd"/>
          </w:p>
          <w:p w:rsidR="004A295D" w:rsidP="004A295D" w:rsidRDefault="004A295D" w14:paraId="55E7B8AD" w14:textId="77777777">
            <w:pPr>
              <w:pStyle w:val="Tabletext"/>
            </w:pPr>
            <w:r w:rsidRPr="00E00ACB">
              <w:t>Do not give this medicine by IV injection via a</w:t>
            </w:r>
            <w:r>
              <w:t>n intravenous</w:t>
            </w:r>
            <w:r w:rsidRPr="00E00ACB">
              <w:t xml:space="preserve"> line </w:t>
            </w:r>
            <w:r>
              <w:t xml:space="preserve">which is </w:t>
            </w:r>
            <w:r w:rsidRPr="00E00ACB">
              <w:t>being used for an infusion containing a</w:t>
            </w:r>
            <w:r>
              <w:t>ny other</w:t>
            </w:r>
            <w:r w:rsidRPr="00E00ACB">
              <w:t xml:space="preserve"> medicine </w:t>
            </w:r>
            <w:r>
              <w:t>w</w:t>
            </w:r>
            <w:r w:rsidRPr="00E00ACB">
              <w:t xml:space="preserve">ithout first stopping the running infusion. </w:t>
            </w:r>
          </w:p>
          <w:p w:rsidR="004A295D" w:rsidP="004A295D" w:rsidRDefault="004A295D" w14:paraId="04517ADA" w14:textId="3416944E">
            <w:pPr>
              <w:pStyle w:val="Tabletext"/>
            </w:pPr>
            <w:r w:rsidRPr="00E00ACB">
              <w:rPr>
                <w:szCs w:val="22"/>
              </w:rPr>
              <w:t>Flush the</w:t>
            </w:r>
            <w:r>
              <w:rPr>
                <w:szCs w:val="22"/>
              </w:rPr>
              <w:t xml:space="preserve"> intravenous</w:t>
            </w:r>
            <w:r w:rsidRPr="00E00ACB">
              <w:rPr>
                <w:szCs w:val="22"/>
              </w:rPr>
              <w:t xml:space="preserve"> line</w:t>
            </w:r>
            <w:r>
              <w:rPr>
                <w:szCs w:val="22"/>
              </w:rPr>
              <w:t>/cannula</w:t>
            </w:r>
            <w:r w:rsidRPr="00E00ACB">
              <w:rPr>
                <w:szCs w:val="22"/>
              </w:rPr>
              <w:t xml:space="preserve"> both before and after </w:t>
            </w:r>
            <w:r>
              <w:rPr>
                <w:szCs w:val="22"/>
              </w:rPr>
              <w:t>administering</w:t>
            </w:r>
            <w:r w:rsidRPr="00E00ACB">
              <w:rPr>
                <w:szCs w:val="22"/>
              </w:rPr>
              <w:t xml:space="preserve"> the </w:t>
            </w:r>
            <w:r>
              <w:rPr>
                <w:szCs w:val="22"/>
              </w:rPr>
              <w:t xml:space="preserve">injection of hyoscine butylbromide </w:t>
            </w:r>
            <w:r w:rsidR="009C2699">
              <w:rPr>
                <w:szCs w:val="22"/>
              </w:rPr>
              <w:t xml:space="preserve">[ </w:t>
            </w:r>
            <w:r w:rsidRPr="00E00ACB">
              <w:rPr>
                <w:szCs w:val="22"/>
                <w:highlight w:val="cyan"/>
              </w:rPr>
              <w:t>(refer to local policy for flush administration).</w:t>
            </w:r>
            <w:r w:rsidR="009C2699">
              <w:rPr>
                <w:szCs w:val="22"/>
              </w:rPr>
              <w:t>]</w:t>
            </w:r>
          </w:p>
        </w:tc>
      </w:tr>
      <w:tr w:rsidR="003E69CD" w:rsidTr="04A8ADB3"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04A8ADB3"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lastRenderedPageBreak/>
              <w:t>Dose and frequency</w:t>
            </w:r>
            <w:r w:rsidR="005F17C5">
              <w:rPr>
                <w:rStyle w:val="TableHeaderColumn"/>
              </w:rPr>
              <w:t xml:space="preserve"> of administration</w:t>
            </w:r>
          </w:p>
        </w:tc>
        <w:tc>
          <w:tcPr>
            <w:tcW w:w="5529" w:type="dxa"/>
            <w:tcMar/>
          </w:tcPr>
          <w:p w:rsidR="00165DD9" w:rsidP="009C2699" w:rsidRDefault="009C2699" w14:paraId="6AB47447" w14:textId="7EE973A0">
            <w:pPr>
              <w:pStyle w:val="Tabletext"/>
            </w:pPr>
            <w:r w:rsidRPr="00895680">
              <w:rPr>
                <w:szCs w:val="22"/>
              </w:rPr>
              <w:t>Single initial dose 20mg to be administered in line with local supporting protoco</w:t>
            </w:r>
            <w:r w:rsidRPr="009C2699">
              <w:rPr>
                <w:szCs w:val="22"/>
              </w:rPr>
              <w:t>l;</w:t>
            </w:r>
            <w:r>
              <w:rPr>
                <w:szCs w:val="22"/>
              </w:rPr>
              <w:t xml:space="preserve"> [</w:t>
            </w:r>
            <w:r w:rsidRPr="009C2699">
              <w:rPr>
                <w:szCs w:val="22"/>
              </w:rPr>
              <w:t xml:space="preserve"> </w:t>
            </w:r>
            <w:r w:rsidRPr="00895680">
              <w:rPr>
                <w:szCs w:val="22"/>
                <w:highlight w:val="cyan"/>
              </w:rPr>
              <w:t>a further 20mg may be given if required, in line with local protocol.</w:t>
            </w:r>
            <w:r w:rsidRPr="00895680">
              <w:rPr>
                <w:szCs w:val="22"/>
              </w:rPr>
              <w:t xml:space="preserve"> </w:t>
            </w:r>
            <w:r>
              <w:rPr>
                <w:szCs w:val="22"/>
              </w:rPr>
              <w:t>]</w:t>
            </w:r>
          </w:p>
        </w:tc>
      </w:tr>
      <w:tr w:rsidR="00165DD9" w:rsidTr="04A8ADB3"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9C2699" w14:paraId="1BDDBFD7" w14:textId="2B3DD369">
            <w:pPr>
              <w:pStyle w:val="Tabletext"/>
            </w:pPr>
            <w:r w:rsidRPr="00895680">
              <w:rPr>
                <w:szCs w:val="22"/>
              </w:rPr>
              <w:t xml:space="preserve">Maximum of </w:t>
            </w:r>
            <w:r>
              <w:rPr>
                <w:szCs w:val="22"/>
              </w:rPr>
              <w:t xml:space="preserve">[ </w:t>
            </w:r>
            <w:proofErr w:type="gramStart"/>
            <w:r w:rsidRPr="00895680">
              <w:rPr>
                <w:szCs w:val="22"/>
                <w:highlight w:val="cyan"/>
              </w:rPr>
              <w:t>two</w:t>
            </w:r>
            <w:r>
              <w:rPr>
                <w:szCs w:val="22"/>
              </w:rPr>
              <w:t xml:space="preserve"> ]</w:t>
            </w:r>
            <w:proofErr w:type="gramEnd"/>
            <w:r w:rsidRPr="00895680">
              <w:rPr>
                <w:szCs w:val="22"/>
              </w:rPr>
              <w:t xml:space="preserve"> 20mg doses per procedure indicated by </w:t>
            </w:r>
            <w:r>
              <w:rPr>
                <w:szCs w:val="22"/>
              </w:rPr>
              <w:t xml:space="preserve"> [</w:t>
            </w:r>
            <w:r w:rsidRPr="00895680">
              <w:rPr>
                <w:szCs w:val="22"/>
                <w:highlight w:val="cyan"/>
              </w:rPr>
              <w:t>approved protocol (link to organisation protocol/s as relevant)</w:t>
            </w:r>
            <w:r w:rsidRPr="00895680">
              <w:rPr>
                <w:szCs w:val="22"/>
              </w:rPr>
              <w:t>.</w:t>
            </w:r>
            <w:r>
              <w:rPr>
                <w:szCs w:val="22"/>
              </w:rPr>
              <w:t>]</w:t>
            </w:r>
          </w:p>
        </w:tc>
      </w:tr>
      <w:tr w:rsidR="006A7AF1" w:rsidTr="04A8ADB3"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895680" w:rsidR="009C2699" w:rsidP="009C2699" w:rsidRDefault="009C2699" w14:paraId="0BA9963A" w14:textId="77777777">
            <w:pPr>
              <w:keepNext/>
              <w:spacing w:after="60"/>
              <w:rPr>
                <w:rFonts w:ascii="Arial" w:hAnsi="Arial"/>
                <w:sz w:val="22"/>
                <w:szCs w:val="22"/>
                <w:lang w:val="en-US"/>
              </w:rPr>
            </w:pPr>
            <w:r w:rsidRPr="00895680">
              <w:rPr>
                <w:rFonts w:ascii="Arial" w:hAnsi="Arial"/>
                <w:sz w:val="22"/>
                <w:szCs w:val="22"/>
                <w:lang w:val="en-US"/>
              </w:rPr>
              <w:t>Single episode of care permitted under this PGD.</w:t>
            </w:r>
          </w:p>
          <w:p w:rsidR="006A7AF1" w:rsidP="00CB4A2B" w:rsidRDefault="006A7AF1" w14:paraId="34A3B3B7" w14:textId="349012FE">
            <w:pPr>
              <w:pStyle w:val="Tabletext"/>
            </w:pPr>
          </w:p>
        </w:tc>
      </w:tr>
      <w:tr w:rsidR="005F17C5" w:rsidTr="04A8ADB3"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6245F7" w:rsidP="000F2735"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0F2735" w:rsidRDefault="009C2699" w14:paraId="63B16DBA" w14:textId="2126F472">
            <w:pPr>
              <w:pStyle w:val="Bulletindent1"/>
              <w:rPr>
                <w:rFonts w:cs="Arial"/>
              </w:rPr>
            </w:pPr>
            <w:r w:rsidRPr="00A03536">
              <w:rPr>
                <w:lang w:val="en-US"/>
              </w:rPr>
              <w:t>Store below 30</w:t>
            </w:r>
            <w:r>
              <w:rPr>
                <w:rFonts w:cs="Arial"/>
                <w:lang w:val="en-US"/>
              </w:rPr>
              <w:t>º</w:t>
            </w:r>
            <w:r w:rsidRPr="00A03536">
              <w:rPr>
                <w:lang w:val="en-US"/>
              </w:rPr>
              <w:t>C in original packaging.</w:t>
            </w:r>
          </w:p>
        </w:tc>
      </w:tr>
      <w:tr w:rsidR="00700627" w:rsidTr="04A8ADB3"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52B1B923">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8">
              <w:r w:rsidRPr="00F6120B" w:rsidR="009C2699">
                <w:rPr>
                  <w:rStyle w:val="Hyperlink"/>
                </w:rPr>
                <w:t>hyoscine butylbromide Summary of Product Characteristics (SmPC) on the EMC website</w:t>
              </w:r>
            </w:hyperlink>
            <w:r>
              <w:rPr>
                <w:rFonts w:cs="Arial"/>
                <w:color w:val="000000"/>
                <w:lang w:val="en-GB"/>
              </w:rPr>
              <w:t xml:space="preserve"> </w:t>
            </w:r>
          </w:p>
          <w:p w:rsidR="00EF69F8" w:rsidP="009B62D2" w:rsidRDefault="00EF69F8" w14:paraId="754E7B93" w14:textId="77777777">
            <w:pPr>
              <w:pStyle w:val="Tabletext"/>
            </w:pPr>
          </w:p>
          <w:p w:rsidR="009C2699" w:rsidP="009C2699" w:rsidRDefault="009C2699" w14:paraId="40E7BC7D" w14:textId="77777777">
            <w:pPr>
              <w:rPr>
                <w:rFonts w:ascii="Arial" w:hAnsi="Arial"/>
                <w:bCs/>
                <w:sz w:val="22"/>
                <w:szCs w:val="22"/>
                <w:lang w:val="en-US"/>
              </w:rPr>
            </w:pPr>
            <w:r w:rsidRPr="003B3056">
              <w:rPr>
                <w:rFonts w:ascii="Arial" w:hAnsi="Arial"/>
                <w:bCs/>
                <w:sz w:val="22"/>
                <w:szCs w:val="22"/>
                <w:lang w:val="en-US"/>
              </w:rPr>
              <w:t xml:space="preserve">No interactions </w:t>
            </w:r>
            <w:r>
              <w:rPr>
                <w:rFonts w:ascii="Arial" w:hAnsi="Arial"/>
                <w:bCs/>
                <w:sz w:val="22"/>
                <w:szCs w:val="22"/>
                <w:lang w:val="en-US"/>
              </w:rPr>
              <w:t xml:space="preserve">identified </w:t>
            </w:r>
            <w:r w:rsidRPr="003B3056">
              <w:rPr>
                <w:rFonts w:ascii="Arial" w:hAnsi="Arial"/>
                <w:bCs/>
                <w:sz w:val="22"/>
                <w:szCs w:val="22"/>
                <w:lang w:val="en-US"/>
              </w:rPr>
              <w:t>which prevent the administration of a single dose of hyoscine butylbromide under this PGD.</w:t>
            </w:r>
          </w:p>
          <w:p w:rsidRPr="003B3056" w:rsidR="009C2699" w:rsidP="009C2699" w:rsidRDefault="009C2699" w14:paraId="1536D9FC" w14:textId="77777777">
            <w:pPr>
              <w:rPr>
                <w:rFonts w:ascii="Arial" w:hAnsi="Arial"/>
                <w:bCs/>
                <w:sz w:val="22"/>
                <w:szCs w:val="22"/>
                <w:lang w:val="en-US"/>
              </w:rPr>
            </w:pPr>
          </w:p>
          <w:p w:rsidR="00700627" w:rsidP="009C2699" w:rsidRDefault="009C2699" w14:paraId="06B6C616" w14:textId="74555277">
            <w:pPr>
              <w:pStyle w:val="Tabletext"/>
            </w:pPr>
            <w:r w:rsidRPr="003B3056">
              <w:rPr>
                <w:bCs/>
                <w:szCs w:val="22"/>
              </w:rPr>
              <w:t>However, be aware of potentiation of effect or adverse effects of interaction medicines and action to be take</w:t>
            </w:r>
            <w:r>
              <w:rPr>
                <w:bCs/>
                <w:szCs w:val="22"/>
              </w:rPr>
              <w:t>n</w:t>
            </w:r>
            <w:r w:rsidRPr="003B3056">
              <w:rPr>
                <w:bCs/>
                <w:szCs w:val="22"/>
              </w:rPr>
              <w:t xml:space="preserve"> if an individual is affected</w:t>
            </w:r>
            <w:r>
              <w:rPr>
                <w:bCs/>
                <w:szCs w:val="22"/>
              </w:rPr>
              <w:t xml:space="preserve"> – see </w:t>
            </w:r>
            <w:r w:rsidRPr="009C2699">
              <w:rPr>
                <w:b/>
                <w:szCs w:val="22"/>
              </w:rPr>
              <w:t>Adverse effects</w:t>
            </w:r>
            <w:r>
              <w:rPr>
                <w:bCs/>
                <w:szCs w:val="22"/>
              </w:rPr>
              <w:t xml:space="preserve"> section below and</w:t>
            </w:r>
            <w:r w:rsidRPr="00503E5C">
              <w:rPr>
                <w:b/>
                <w:szCs w:val="22"/>
              </w:rPr>
              <w:t xml:space="preserve"> Cautions</w:t>
            </w:r>
            <w:r>
              <w:rPr>
                <w:bCs/>
                <w:szCs w:val="22"/>
              </w:rPr>
              <w:t xml:space="preserve"> section above.</w:t>
            </w:r>
          </w:p>
        </w:tc>
      </w:tr>
      <w:tr w:rsidR="00700627" w:rsidTr="04A8ADB3"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5BB3D5FE">
            <w:pPr>
              <w:pStyle w:val="Tabletext"/>
              <w:rPr>
                <w:szCs w:val="22"/>
              </w:rPr>
            </w:pPr>
            <w:r>
              <w:rPr>
                <w:szCs w:val="22"/>
              </w:rPr>
              <w:t xml:space="preserve">Refer </w:t>
            </w:r>
            <w:r w:rsidR="00802041">
              <w:rPr>
                <w:szCs w:val="22"/>
              </w:rPr>
              <w:t>to</w:t>
            </w:r>
            <w:r w:rsidR="009C2699">
              <w:rPr>
                <w:szCs w:val="22"/>
              </w:rPr>
              <w:t xml:space="preserve"> the</w:t>
            </w:r>
            <w:r w:rsidR="00802041">
              <w:rPr>
                <w:szCs w:val="22"/>
              </w:rPr>
              <w:t xml:space="preserve"> </w:t>
            </w:r>
            <w:hyperlink w:history="1" r:id="rId19">
              <w:r w:rsidRPr="00F6120B" w:rsidR="009C2699">
                <w:rPr>
                  <w:rStyle w:val="Hyperlink"/>
                </w:rPr>
                <w:t>hyoscine butylbromide Summary of Product Characteristics (SmPC) on the EMC website</w:t>
              </w:r>
            </w:hyperlink>
            <w:r w:rsidRPr="005A6885" w:rsidR="005A6885">
              <w:rPr>
                <w:szCs w:val="22"/>
                <w:lang w:val="en-GB"/>
              </w:rPr>
              <w:t xml:space="preserve"> </w:t>
            </w:r>
            <w:r>
              <w:rPr>
                <w:szCs w:val="22"/>
              </w:rPr>
              <w:t>for full details of known adverse effects.</w:t>
            </w:r>
          </w:p>
          <w:p w:rsidRPr="00DB50D3" w:rsidR="009C2699" w:rsidP="009C2699" w:rsidRDefault="009C2699" w14:paraId="009AB609" w14:textId="77777777">
            <w:pPr>
              <w:pStyle w:val="Bulletindent1"/>
              <w:rPr>
                <w:lang w:val="en-US"/>
              </w:rPr>
            </w:pPr>
            <w:r w:rsidRPr="00DB50D3">
              <w:rPr>
                <w:lang w:val="en-US"/>
              </w:rPr>
              <w:t>In rare cases a marked drop in blood pressure and even shock may be produced by hyoscine butylbromide.</w:t>
            </w:r>
          </w:p>
          <w:p w:rsidRPr="00DB50D3" w:rsidR="009C2699" w:rsidP="009C2699" w:rsidRDefault="009C2699" w14:paraId="4A4629C5" w14:textId="77777777">
            <w:pPr>
              <w:pStyle w:val="Bulletindent1"/>
              <w:rPr>
                <w:lang w:val="en-US"/>
              </w:rPr>
            </w:pPr>
            <w:r w:rsidRPr="00DB50D3">
              <w:rPr>
                <w:lang w:val="en-US"/>
              </w:rPr>
              <w:t>Anticholinergic effects can occur e.g. dry mouth, visual problems (blurred vision), dizziness and tachycardia.</w:t>
            </w:r>
          </w:p>
          <w:p w:rsidRPr="00DB50D3" w:rsidR="009C2699" w:rsidP="009C2699" w:rsidRDefault="009C2699" w14:paraId="00BD54BF" w14:textId="77777777">
            <w:pPr>
              <w:pStyle w:val="Bulletindent1"/>
              <w:rPr>
                <w:lang w:val="en-US"/>
              </w:rPr>
            </w:pPr>
            <w:r w:rsidRPr="00DB50D3">
              <w:rPr>
                <w:lang w:val="en-US"/>
              </w:rPr>
              <w:t>Abnormal sweating, constipation and potentially urinary retention may occur but are generally mild and self-limiting.</w:t>
            </w:r>
          </w:p>
          <w:p w:rsidRPr="00DB50D3" w:rsidR="009C2699" w:rsidP="009C2699" w:rsidRDefault="009C2699" w14:paraId="7A68CAB9" w14:textId="77777777">
            <w:pPr>
              <w:pStyle w:val="Bulletindent1"/>
              <w:rPr>
                <w:lang w:val="en-US"/>
              </w:rPr>
            </w:pPr>
            <w:r w:rsidRPr="00DB50D3">
              <w:rPr>
                <w:lang w:val="en-US"/>
              </w:rPr>
              <w:t>Elevation of intraocular pressure may be produced by the administration of anticholinergic agents such as hyoscine butylbromide in individuals with undiagnosed and therefore untreated narrow angle glaucoma. Individuals should seek urgent ophthalmological advice in case they should develop a painful, red eye with loss of vision after the injection of hyoscine butylbromide.</w:t>
            </w:r>
          </w:p>
          <w:p w:rsidR="00700627" w:rsidP="009C2699" w:rsidRDefault="009C2699" w14:paraId="59A213F4" w14:textId="5F410D28">
            <w:pPr>
              <w:pStyle w:val="Bulletindent1"/>
            </w:pPr>
            <w:r w:rsidRPr="00DB50D3">
              <w:rPr>
                <w:lang w:val="en-US"/>
              </w:rPr>
              <w:lastRenderedPageBreak/>
              <w:t xml:space="preserve">After parenteral administration of hyoscine butylbromide, cases of anaphylaxis including episodes of shock have been observed. Observe individuals as per </w:t>
            </w:r>
            <w:r w:rsidRPr="00DB50D3">
              <w:rPr>
                <w:b/>
                <w:bCs/>
                <w:lang w:val="en-US"/>
              </w:rPr>
              <w:t xml:space="preserve">Additional resources required/Additional advice </w:t>
            </w:r>
            <w:r w:rsidRPr="00DB50D3">
              <w:rPr>
                <w:lang w:val="en-US"/>
              </w:rPr>
              <w:t>section and refer to</w:t>
            </w:r>
            <w:r w:rsidRPr="00DB50D3">
              <w:rPr>
                <w:b/>
                <w:bCs/>
                <w:lang w:val="en-US"/>
              </w:rPr>
              <w:t xml:space="preserve"> </w:t>
            </w:r>
            <w:r w:rsidRPr="00D2643E">
              <w:rPr>
                <w:b/>
                <w:bCs/>
              </w:rPr>
              <w:t>Management of and reporting procedures for adverse reactions</w:t>
            </w:r>
            <w:r w:rsidRPr="00DB50D3">
              <w:rPr>
                <w:lang w:val="en-US"/>
              </w:rPr>
              <w:t xml:space="preserve"> section for further advice in management</w:t>
            </w:r>
          </w:p>
        </w:tc>
      </w:tr>
      <w:tr w:rsidR="00700627" w:rsidTr="04A8ADB3"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lastRenderedPageBreak/>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00D2643E" w:rsidP="00D2643E" w:rsidRDefault="005C68D1" w14:paraId="7C10F96B" w14:textId="77777777">
            <w:pPr>
              <w:pStyle w:val="Bulletindent1"/>
              <w:rPr>
                <w:lang w:val="en-US"/>
              </w:rPr>
            </w:pPr>
            <w:r w:rsidRPr="005C68D1">
              <w:t xml:space="preserve">Anaphylaxis kit and </w:t>
            </w:r>
            <w:r w:rsidR="00D2643E">
              <w:rPr>
                <w:lang w:val="en-US"/>
              </w:rPr>
              <w:t>and location appropriate resuscitation trolley or kit should be immediately available.</w:t>
            </w:r>
          </w:p>
          <w:p w:rsidRPr="00AC0BE9" w:rsidR="00C5216A" w:rsidP="00160B58" w:rsidRDefault="00B154E7" w14:paraId="373AAE38" w14:textId="5C1A37A2">
            <w:pPr>
              <w:pStyle w:val="Bulletindent1"/>
            </w:pPr>
            <w:r w:rsidRPr="00AC0BE9">
              <w:t>[</w:t>
            </w:r>
            <w:r w:rsidRPr="00AC0BE9" w:rsidR="00C5216A">
              <w:rPr>
                <w:highlight w:val="cyan"/>
              </w:rPr>
              <w:t xml:space="preserve">There should be a system in place to call an appropriately trained clinician/s who can deal immediately with a severe </w:t>
            </w:r>
            <w:r w:rsidR="00D2643E">
              <w:rPr>
                <w:highlight w:val="cyan"/>
              </w:rPr>
              <w:t>adverse</w:t>
            </w:r>
            <w:r w:rsidRPr="00AC0BE9" w:rsidR="00C5216A">
              <w:rPr>
                <w:highlight w:val="cyan"/>
              </w:rPr>
              <w:t xml:space="preserve"> reaction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3BC00006">
            <w:pPr>
              <w:pStyle w:val="Bulletindent1"/>
            </w:pPr>
            <w:r w:rsidRPr="005C68D1">
              <w:t xml:space="preserve">Extravasation may be associated with </w:t>
            </w:r>
            <w:r w:rsidR="00D2643E">
              <w:rPr>
                <w:szCs w:val="22"/>
              </w:rPr>
              <w:t xml:space="preserve">hyoscine butylbromide, particularly if administered quickly or into fragile or damaged veins. Although most injuries caused by extravasation are minor, severe injuries may include skin ulceration, soft tissue necrosis and compartment syndrome. </w:t>
            </w:r>
            <w:r w:rsidRPr="005C68D1">
              <w:t>Should there be any concerns about extravasation</w:t>
            </w:r>
            <w:r>
              <w:t xml:space="preserve"> [</w:t>
            </w:r>
            <w:r w:rsidRPr="005C68D1">
              <w:rPr>
                <w:highlight w:val="cyan"/>
              </w:rPr>
              <w:t>follow organisation policy (include link and any further detail required)</w:t>
            </w:r>
            <w:r>
              <w:t>.]</w:t>
            </w:r>
          </w:p>
          <w:p w:rsidRPr="00D2643E" w:rsidR="00D2643E" w:rsidP="00160B58" w:rsidRDefault="00C5216A" w14:paraId="48A7B0A8" w14:textId="77777777">
            <w:pPr>
              <w:pStyle w:val="Bulletindent1"/>
            </w:pPr>
            <w:r w:rsidRPr="00504FB7">
              <w:t xml:space="preserve">Record all ADRs in the individual’s radiology record including </w:t>
            </w:r>
            <w:r w:rsidR="00D2643E">
              <w:t xml:space="preserve">name </w:t>
            </w:r>
            <w:r w:rsidRPr="00895680" w:rsidR="00D2643E">
              <w:rPr>
                <w:szCs w:val="22"/>
                <w:lang w:val="en-US"/>
              </w:rPr>
              <w:t>of medicine and dose administered</w:t>
            </w:r>
            <w:r w:rsidRPr="00895680" w:rsidR="00D2643E">
              <w:t xml:space="preserve"> </w:t>
            </w:r>
            <w:r w:rsidRPr="00895680" w:rsidR="00D2643E">
              <w:rPr>
                <w:szCs w:val="22"/>
                <w:lang w:val="en-US"/>
              </w:rPr>
              <w:t>and record batch number and expiry as required by local policy.</w:t>
            </w:r>
            <w:r w:rsidR="00D2643E">
              <w:rPr>
                <w:szCs w:val="22"/>
                <w:lang w:val="en-US"/>
              </w:rPr>
              <w:t xml:space="preserve"> </w:t>
            </w:r>
          </w:p>
          <w:p w:rsidRPr="005A6885" w:rsidR="00C5216A" w:rsidP="00160B58" w:rsidRDefault="00B154E7" w14:paraId="411463D3" w14:textId="6430F658">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20">
              <w:r w:rsidRPr="00F6120B"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04A8ADB3"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Mar/>
          </w:tcPr>
          <w:p w:rsidRPr="009A5221" w:rsidR="00D2643E" w:rsidP="00D2643E" w:rsidRDefault="00D2643E" w14:paraId="1DD813BE" w14:textId="1405037A">
            <w:pPr>
              <w:pStyle w:val="Bulletindent1"/>
              <w:rPr>
                <w:lang w:val="en-US"/>
              </w:rPr>
            </w:pPr>
            <w:r w:rsidRPr="009A5221">
              <w:rPr>
                <w:lang w:val="en-US"/>
              </w:rPr>
              <w:t xml:space="preserve">All individuals must be continuously observed for the first </w:t>
            </w:r>
            <w:r>
              <w:rPr>
                <w:lang w:val="en-US"/>
              </w:rPr>
              <w:t>[</w:t>
            </w:r>
            <w:r w:rsidRPr="00570874">
              <w:rPr>
                <w:rFonts w:cs="Arial"/>
                <w:szCs w:val="22"/>
                <w:highlight w:val="cyan"/>
                <w:lang w:val="en-US"/>
              </w:rPr>
              <w:t>15 minutes (amend as required to align with local policy).</w:t>
            </w:r>
            <w:r>
              <w:rPr>
                <w:rFonts w:cs="Arial"/>
                <w:szCs w:val="22"/>
                <w:lang w:val="en-US"/>
              </w:rPr>
              <w:t>]</w:t>
            </w:r>
          </w:p>
          <w:p w:rsidR="00700627" w:rsidP="00D2643E" w:rsidRDefault="00D2643E" w14:paraId="097A0BF7" w14:textId="284F5C80">
            <w:pPr>
              <w:pStyle w:val="Bulletindent1"/>
            </w:pPr>
            <w:r w:rsidRPr="009A5221">
              <w:rPr>
                <w:lang w:val="en-US"/>
              </w:rPr>
              <w:lastRenderedPageBreak/>
              <w:t>All outpatients must remain within the radiology/imaging unit for a minimum of</w:t>
            </w:r>
            <w:r>
              <w:rPr>
                <w:lang w:val="en-US"/>
              </w:rPr>
              <w:t xml:space="preserve"> [</w:t>
            </w:r>
            <w:r w:rsidRPr="00570874">
              <w:rPr>
                <w:rFonts w:cs="Arial"/>
                <w:szCs w:val="22"/>
                <w:highlight w:val="cyan"/>
                <w:lang w:val="en-US"/>
              </w:rPr>
              <w:t>15 minutes</w:t>
            </w:r>
            <w:r>
              <w:rPr>
                <w:rFonts w:cs="Arial"/>
                <w:szCs w:val="22"/>
                <w:highlight w:val="cyan"/>
                <w:lang w:val="en-US"/>
              </w:rPr>
              <w:t xml:space="preserve"> post injection</w:t>
            </w:r>
            <w:r w:rsidRPr="00570874">
              <w:rPr>
                <w:rFonts w:cs="Arial"/>
                <w:szCs w:val="22"/>
                <w:highlight w:val="cyan"/>
                <w:lang w:val="en-US"/>
              </w:rPr>
              <w:t xml:space="preserve"> (amend as required to align with local policy).</w:t>
            </w:r>
            <w:r>
              <w:rPr>
                <w:rFonts w:cs="Arial"/>
                <w:szCs w:val="22"/>
                <w:lang w:val="en-US"/>
              </w:rPr>
              <w:t>]</w:t>
            </w:r>
          </w:p>
        </w:tc>
      </w:tr>
      <w:tr w:rsidR="00700627" w:rsidTr="04A8ADB3"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lastRenderedPageBreak/>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F6120B" w:rsidRDefault="00002ACC" w14:paraId="779838F1" w14:textId="2A8A3CE4">
            <w:pPr>
              <w:pStyle w:val="Bulletindent1"/>
            </w:pPr>
            <w:r w:rsidRPr="00D843E4">
              <w:t>Where practical a copy of the</w:t>
            </w:r>
            <w:hyperlink w:history="1" r:id="rId21">
              <w:r w:rsidR="006F0F64">
                <w:rPr>
                  <w:rStyle w:val="Hyperlink"/>
                </w:rPr>
                <w:t xml:space="preserve"> </w:t>
              </w:r>
              <w:hyperlink w:history="1" r:id="rId22">
                <w:r w:rsidRPr="00F6120B" w:rsidR="00D2643E">
                  <w:rPr>
                    <w:rStyle w:val="Hyperlink"/>
                  </w:rPr>
                  <w:t>hyoscine butylbromide information leaflet which is available on the EMC website</w:t>
                </w:r>
              </w:hyperlink>
            </w:hyperlink>
            <w:r w:rsidR="00671697">
              <w:t xml:space="preserve"> s</w:t>
            </w:r>
            <w:r w:rsidRPr="00D843E4">
              <w:t xml:space="preserve">hould be offered at the time of consenting to </w:t>
            </w:r>
            <w:r w:rsidR="00D2643E">
              <w:t>treatment</w:t>
            </w:r>
            <w:r w:rsidRPr="00D843E4">
              <w:t xml:space="preserve"> to ensure informed consent can be given.  If not practical at the time of </w:t>
            </w:r>
            <w:r w:rsidRPr="00D843E4" w:rsidR="00504FB7">
              <w:t>consent,</w:t>
            </w:r>
            <w:r w:rsidRPr="00D843E4">
              <w:t xml:space="preserve"> then a copy should be offered if possible.  </w:t>
            </w:r>
            <w:r w:rsidRPr="00895680" w:rsidR="00D2643E">
              <w:rPr>
                <w:lang w:val="en-US"/>
              </w:rPr>
              <w:t xml:space="preserve">This may be provided in advance of the procedure where administration is planned.  </w:t>
            </w:r>
          </w:p>
          <w:p w:rsidRPr="00AC0BE9" w:rsidR="00002ACC" w:rsidP="00F6120B"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F6120B" w:rsidRDefault="005C68D1" w14:paraId="419062C5" w14:textId="77777777">
            <w:pPr>
              <w:pStyle w:val="Bulletindent1"/>
            </w:pPr>
            <w:r>
              <w:t xml:space="preserve">If relevant individual should be advised on management of injection site/s and any infection control or self-management required.  </w:t>
            </w:r>
          </w:p>
          <w:p w:rsidRPr="00895680" w:rsidR="00F6120B" w:rsidP="00F6120B" w:rsidRDefault="00F6120B" w14:paraId="1D55040B" w14:textId="77777777">
            <w:pPr>
              <w:pStyle w:val="Bulletindent1"/>
              <w:rPr>
                <w:lang w:val="en-US"/>
              </w:rPr>
            </w:pPr>
            <w:r w:rsidRPr="00895680">
              <w:rPr>
                <w:lang w:val="en-US"/>
              </w:rPr>
              <w:t>Elevation of intraocular pressure may occur in individuals with undiagnosed, and therefore untreated, narrow angle glaucoma. Individuals must be advised to seek urgent medical advice if they develop a painful red eye with loss of vision in the 24 hours following injection informing the clinician that they have recently been given hyoscine butylbromide.</w:t>
            </w:r>
          </w:p>
          <w:p w:rsidRPr="00895680" w:rsidR="00F6120B" w:rsidP="04A8ADB3" w:rsidRDefault="00F6120B" w14:paraId="6188DE67" w14:textId="5AAF4936" w14:noSpellErr="1">
            <w:pPr>
              <w:pStyle w:val="Bulletindent1"/>
              <w:rPr>
                <w:lang w:val="en-GB"/>
              </w:rPr>
            </w:pPr>
            <w:r w:rsidRPr="04A8ADB3" w:rsidR="00F6120B">
              <w:rPr>
                <w:lang w:val="en-GB"/>
              </w:rPr>
              <w:t>Advise individual not to</w:t>
            </w:r>
            <w:r w:rsidRPr="04A8ADB3" w:rsidR="00F6120B">
              <w:rPr>
                <w:lang w:val="en-GB"/>
              </w:rPr>
              <w:t xml:space="preserve"> drive or </w:t>
            </w:r>
            <w:r w:rsidRPr="04A8ADB3" w:rsidR="00F6120B">
              <w:rPr>
                <w:lang w:val="en-GB"/>
              </w:rPr>
              <w:t>operate</w:t>
            </w:r>
            <w:r w:rsidRPr="04A8ADB3" w:rsidR="00F6120B">
              <w:rPr>
                <w:lang w:val="en-GB"/>
              </w:rPr>
              <w:t xml:space="preserve"> machinery if affected by temporary blurred vision </w:t>
            </w:r>
            <w:r w:rsidRPr="04A8ADB3" w:rsidR="00F6120B">
              <w:rPr>
                <w:lang w:val="en-GB"/>
              </w:rPr>
              <w:t>[</w:t>
            </w:r>
            <w:r w:rsidRPr="04A8ADB3" w:rsidR="00F6120B">
              <w:rPr>
                <w:highlight w:val="cyan"/>
                <w:lang w:val="en-GB"/>
              </w:rPr>
              <w:t>– provide local information leaflet if available</w:t>
            </w:r>
            <w:r w:rsidRPr="04A8ADB3" w:rsidR="00F6120B">
              <w:rPr>
                <w:highlight w:val="cyan"/>
                <w:lang w:val="en-GB"/>
              </w:rPr>
              <w:t>.</w:t>
            </w:r>
            <w:r w:rsidRPr="04A8ADB3" w:rsidR="00F6120B">
              <w:rPr>
                <w:lang w:val="en-GB"/>
              </w:rPr>
              <w:t xml:space="preserve"> ]</w:t>
            </w:r>
          </w:p>
          <w:p w:rsidRPr="00F6120B" w:rsidR="00F6120B" w:rsidP="00F6120B" w:rsidRDefault="00F6120B" w14:paraId="6C727955" w14:textId="42CAF7EE">
            <w:pPr>
              <w:pStyle w:val="Bulletindent1"/>
            </w:pPr>
            <w:r w:rsidRPr="00895680">
              <w:rPr>
                <w:lang w:val="en-US"/>
              </w:rPr>
              <w:t>Due to the possibility that anticholinergics may reduce sweating, hyoscine butylbromide should be administered with caution to individuals with known pyrexia.  Advise relevant individuals to seek urgent</w:t>
            </w:r>
            <w:r>
              <w:rPr>
                <w:lang w:val="en-US"/>
              </w:rPr>
              <w:t xml:space="preserve"> medical advice if their condition worsens/temperature rises</w:t>
            </w:r>
          </w:p>
          <w:p w:rsidRPr="008E2CF8" w:rsidR="00F6120B" w:rsidP="00F6120B" w:rsidRDefault="00F6120B" w14:paraId="10440897" w14:textId="77777777">
            <w:pPr>
              <w:pStyle w:val="Bulletindent1"/>
              <w:rPr>
                <w:lang w:val="en-US"/>
              </w:rPr>
            </w:pPr>
            <w:r w:rsidRPr="006A2F0A">
              <w:rPr>
                <w:lang w:val="en-US"/>
              </w:rPr>
              <w:t xml:space="preserve">The anticholinergic effect (e.g. dry mouth, flushing, constipation, urinary retention) of certain </w:t>
            </w:r>
            <w:r>
              <w:rPr>
                <w:lang w:val="en-US"/>
              </w:rPr>
              <w:t>medicines</w:t>
            </w:r>
            <w:r w:rsidRPr="006A2F0A">
              <w:rPr>
                <w:lang w:val="en-US"/>
              </w:rPr>
              <w:t xml:space="preserve"> may be intensified by hyoscine butylbromide. </w:t>
            </w:r>
            <w:r w:rsidRPr="008E2CF8">
              <w:rPr>
                <w:lang w:val="en-US"/>
              </w:rPr>
              <w:t xml:space="preserve">Advise relevant individuals that this may occur and to seek medical advice if concerned.  </w:t>
            </w:r>
            <w:r>
              <w:rPr>
                <w:lang w:val="en-US"/>
              </w:rPr>
              <w:t>Relevant medicines</w:t>
            </w:r>
            <w:r w:rsidRPr="008E2CF8">
              <w:rPr>
                <w:lang w:val="en-US"/>
              </w:rPr>
              <w:t xml:space="preserve"> include:</w:t>
            </w:r>
          </w:p>
          <w:p w:rsidRPr="006A2F0A" w:rsidR="00F6120B" w:rsidP="00F6120B" w:rsidRDefault="00F6120B" w14:paraId="1D0A43AD" w14:textId="77777777">
            <w:pPr>
              <w:pStyle w:val="Bulletindent1"/>
              <w:numPr>
                <w:ilvl w:val="1"/>
                <w:numId w:val="21"/>
              </w:numPr>
              <w:rPr>
                <w:lang w:val="en-US"/>
              </w:rPr>
            </w:pPr>
            <w:r>
              <w:rPr>
                <w:lang w:val="en-US"/>
              </w:rPr>
              <w:t>t</w:t>
            </w:r>
            <w:r w:rsidRPr="006A2F0A">
              <w:rPr>
                <w:lang w:val="en-US"/>
              </w:rPr>
              <w:t xml:space="preserve">ri- and tetracyclic antidepressants (e.g. amitriptyline) </w:t>
            </w:r>
          </w:p>
          <w:p w:rsidRPr="00553D6E" w:rsidR="00F6120B" w:rsidP="00F6120B" w:rsidRDefault="00F6120B" w14:paraId="2DD30DE1" w14:textId="77777777">
            <w:pPr>
              <w:pStyle w:val="Bulletindent1"/>
              <w:numPr>
                <w:ilvl w:val="1"/>
                <w:numId w:val="21"/>
              </w:numPr>
              <w:rPr>
                <w:lang w:val="it-IT"/>
              </w:rPr>
            </w:pPr>
            <w:r w:rsidRPr="00553D6E">
              <w:rPr>
                <w:lang w:val="it-IT"/>
              </w:rPr>
              <w:t>antihistamines (e.g. chlorphenamine, loratadine, cetirizine)</w:t>
            </w:r>
          </w:p>
          <w:p w:rsidRPr="00553D6E" w:rsidR="00F6120B" w:rsidP="00F6120B" w:rsidRDefault="00F6120B" w14:paraId="14C835E6" w14:textId="77777777">
            <w:pPr>
              <w:pStyle w:val="Bulletindent1"/>
              <w:numPr>
                <w:ilvl w:val="1"/>
                <w:numId w:val="21"/>
              </w:numPr>
              <w:rPr>
                <w:lang w:val="it-IT"/>
              </w:rPr>
            </w:pPr>
            <w:r w:rsidRPr="00553D6E">
              <w:rPr>
                <w:lang w:val="it-IT"/>
              </w:rPr>
              <w:lastRenderedPageBreak/>
              <w:t>antipsychotics (e.g. phenothiazines (e.g. chlorpromazine, prochlorperazine), butyrophenones (e.g. haloperidol))</w:t>
            </w:r>
          </w:p>
          <w:p w:rsidRPr="006A2F0A" w:rsidR="00F6120B" w:rsidP="00F6120B" w:rsidRDefault="00F6120B" w14:paraId="5FC88521" w14:textId="77777777">
            <w:pPr>
              <w:pStyle w:val="Bulletindent1"/>
              <w:numPr>
                <w:ilvl w:val="1"/>
                <w:numId w:val="21"/>
              </w:numPr>
              <w:rPr>
                <w:lang w:val="en-US"/>
              </w:rPr>
            </w:pPr>
            <w:r>
              <w:rPr>
                <w:lang w:val="en-US"/>
              </w:rPr>
              <w:t>q</w:t>
            </w:r>
            <w:r w:rsidRPr="006A2F0A">
              <w:rPr>
                <w:lang w:val="en-US"/>
              </w:rPr>
              <w:t>uinidine</w:t>
            </w:r>
          </w:p>
          <w:p w:rsidRPr="006A2F0A" w:rsidR="00F6120B" w:rsidP="00F6120B" w:rsidRDefault="00F6120B" w14:paraId="2AA83541" w14:textId="77777777">
            <w:pPr>
              <w:pStyle w:val="Bulletindent1"/>
              <w:numPr>
                <w:ilvl w:val="1"/>
                <w:numId w:val="21"/>
              </w:numPr>
              <w:rPr>
                <w:lang w:val="en-US"/>
              </w:rPr>
            </w:pPr>
            <w:r>
              <w:rPr>
                <w:lang w:val="en-US"/>
              </w:rPr>
              <w:t>d</w:t>
            </w:r>
            <w:r w:rsidRPr="006A2F0A">
              <w:rPr>
                <w:lang w:val="en-US"/>
              </w:rPr>
              <w:t>isopyramide</w:t>
            </w:r>
          </w:p>
          <w:p w:rsidRPr="006A2F0A" w:rsidR="00F6120B" w:rsidP="00F6120B" w:rsidRDefault="00F6120B" w14:paraId="120FD888" w14:textId="77777777">
            <w:pPr>
              <w:pStyle w:val="Bulletindent1"/>
              <w:numPr>
                <w:ilvl w:val="1"/>
                <w:numId w:val="21"/>
              </w:numPr>
              <w:rPr>
                <w:lang w:val="en-US"/>
              </w:rPr>
            </w:pPr>
            <w:r>
              <w:rPr>
                <w:lang w:val="en-US"/>
              </w:rPr>
              <w:t>a</w:t>
            </w:r>
            <w:r w:rsidRPr="006A2F0A">
              <w:rPr>
                <w:lang w:val="en-US"/>
              </w:rPr>
              <w:t>mantadine</w:t>
            </w:r>
          </w:p>
          <w:p w:rsidRPr="008E2CF8" w:rsidR="00F6120B" w:rsidP="00F6120B" w:rsidRDefault="00F6120B" w14:paraId="04F28BB0" w14:textId="77777777">
            <w:pPr>
              <w:pStyle w:val="Bulletindent1"/>
              <w:numPr>
                <w:ilvl w:val="1"/>
                <w:numId w:val="21"/>
              </w:numPr>
              <w:rPr>
                <w:lang w:val="en-US"/>
              </w:rPr>
            </w:pPr>
            <w:r>
              <w:rPr>
                <w:lang w:val="en-US"/>
              </w:rPr>
              <w:t>o</w:t>
            </w:r>
            <w:r w:rsidRPr="006A2F0A">
              <w:rPr>
                <w:lang w:val="en-US"/>
              </w:rPr>
              <w:t xml:space="preserve">ther anti-cholinergic e.g. tiotropium, ipratropium </w:t>
            </w:r>
          </w:p>
          <w:p w:rsidRPr="008E2CF8" w:rsidR="00F6120B" w:rsidP="00F6120B" w:rsidRDefault="00F6120B" w14:paraId="67E58DD7" w14:textId="77777777">
            <w:pPr>
              <w:pStyle w:val="Bulletindent1"/>
              <w:rPr>
                <w:lang w:val="en-US"/>
              </w:rPr>
            </w:pPr>
            <w:r w:rsidRPr="008E2CF8">
              <w:rPr>
                <w:lang w:val="en-US"/>
              </w:rPr>
              <w:t>The tachycardia effects of beta-adrenergic agents, such as salbutamol</w:t>
            </w:r>
            <w:r>
              <w:rPr>
                <w:lang w:val="en-US"/>
              </w:rPr>
              <w:t>,</w:t>
            </w:r>
            <w:r w:rsidRPr="008E2CF8">
              <w:rPr>
                <w:lang w:val="en-US"/>
              </w:rPr>
              <w:t xml:space="preserve"> may be enhanced by hyoscine butylbromide result</w:t>
            </w:r>
            <w:r>
              <w:rPr>
                <w:lang w:val="en-US"/>
              </w:rPr>
              <w:t>ing</w:t>
            </w:r>
            <w:r w:rsidRPr="008E2CF8">
              <w:rPr>
                <w:lang w:val="en-US"/>
              </w:rPr>
              <w:t xml:space="preserve"> in an increase in heart rate.  Advise relevant individuals that this may occur and to seek medical advice if concerned.  </w:t>
            </w:r>
          </w:p>
          <w:p w:rsidR="00700627" w:rsidP="00F6120B" w:rsidRDefault="00F6120B" w14:paraId="72AB3536" w14:textId="15FDE828">
            <w:pPr>
              <w:pStyle w:val="Bulletindent1"/>
            </w:pPr>
            <w:r w:rsidRPr="009A5221">
              <w:rPr>
                <w:szCs w:val="22"/>
                <w:lang w:val="en-US"/>
              </w:rPr>
              <w:t xml:space="preserve">Breast feeding – </w:t>
            </w:r>
            <w:r>
              <w:rPr>
                <w:szCs w:val="22"/>
                <w:lang w:val="en-US"/>
              </w:rPr>
              <w:t>use is safe.</w:t>
            </w:r>
            <w:r>
              <w:rPr>
                <w:lang w:val="en-US"/>
              </w:rPr>
              <w:t xml:space="preserve"> </w:t>
            </w:r>
            <w:r>
              <w:rPr>
                <w:rFonts w:cs="Arial"/>
                <w:szCs w:val="22"/>
                <w:lang w:val="en-US"/>
              </w:rPr>
              <w:t>However, a</w:t>
            </w:r>
            <w:r w:rsidRPr="00880AD6">
              <w:rPr>
                <w:szCs w:val="22"/>
                <w:lang w:val="en-US"/>
              </w:rPr>
              <w:t xml:space="preserve">s a precaution, </w:t>
            </w:r>
            <w:r>
              <w:rPr>
                <w:szCs w:val="22"/>
                <w:lang w:val="en-US"/>
              </w:rPr>
              <w:t xml:space="preserve">advise individual to </w:t>
            </w:r>
            <w:r w:rsidRPr="00880AD6">
              <w:rPr>
                <w:szCs w:val="22"/>
                <w:lang w:val="en-US"/>
              </w:rPr>
              <w:t>monitor infant for drowsiness, not waking to feed or poor feeding, adequate weight gain, irritability, constipation and urinary retention (decrease in wet nappies).</w:t>
            </w:r>
            <w:r>
              <w:rPr>
                <w:szCs w:val="22"/>
                <w:lang w:val="en-US"/>
              </w:rPr>
              <w:t xml:space="preserve"> Advise individual to seek medical advice if concerned.  Refer to </w:t>
            </w:r>
            <w:hyperlink w:history="1" w:anchor=":~:text=Hyoscine%20butylbromide%2C%20propantheline%20or%20peppermint%20oil%20are%20considered%20preferred%20choices,the%20properties%20of%20the%20medicine." r:id="rId23">
              <w:r w:rsidRPr="00F6120B">
                <w:rPr>
                  <w:rStyle w:val="Hyperlink"/>
                </w:rPr>
                <w:t>the SPS article - Using gastrointestinal antispasmodics during breastfeeding</w:t>
              </w:r>
            </w:hyperlink>
          </w:p>
        </w:tc>
      </w:tr>
      <w:tr w:rsidR="00700627" w:rsidTr="04A8ADB3"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rsidR="00700627" w:rsidP="00160B58" w:rsidRDefault="00C84817" w14:paraId="2BF8FA34" w14:textId="2CA671BB">
            <w:pPr>
              <w:pStyle w:val="Bulletindent1"/>
            </w:pPr>
            <w:r>
              <w:t>Advise of possible adverse effects and where to seek advice in the event of a suspected adverse</w:t>
            </w:r>
            <w:r w:rsidR="00DE4D52">
              <w:t xml:space="preserve"> reaction developing</w:t>
            </w:r>
            <w:r w:rsidR="004E03A1">
              <w:t>.</w:t>
            </w:r>
          </w:p>
        </w:tc>
      </w:tr>
      <w:tr w:rsidR="00700627" w:rsidTr="04A8ADB3"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667D6D10">
            <w:pPr>
              <w:pStyle w:val="Bulletindent1"/>
            </w:pPr>
            <w:r>
              <w:lastRenderedPageBreak/>
              <w:t xml:space="preserve">Details of </w:t>
            </w:r>
            <w:r w:rsidR="00F6120B">
              <w:t>medicine administered</w:t>
            </w:r>
            <w:r>
              <w:t xml:space="preserve"> including name, strength</w:t>
            </w:r>
            <w:r w:rsidR="00F6120B">
              <w:t>,</w:t>
            </w:r>
            <w:r>
              <w:t xml:space="preserve"> dose, route and site of administration.</w:t>
            </w:r>
          </w:p>
          <w:p w:rsidRPr="009A5221" w:rsidR="00F6120B" w:rsidP="00F6120B" w:rsidRDefault="005D65E1" w14:paraId="2371F7E0" w14:textId="2CE0BEB3">
            <w:pPr>
              <w:pStyle w:val="Bulletindent1"/>
              <w:rPr>
                <w:lang w:val="en-US"/>
              </w:rPr>
            </w:pPr>
            <w:r>
              <w:t xml:space="preserve">Batch number and expiry date of </w:t>
            </w:r>
            <w:r w:rsidR="009531BB">
              <w:t xml:space="preserve">medicine </w:t>
            </w:r>
            <w:r>
              <w:t>administered</w:t>
            </w:r>
            <w:r w:rsidR="00F6120B">
              <w:t xml:space="preserve"> [ </w:t>
            </w:r>
            <w:r w:rsidRPr="008E49E0" w:rsidR="00F6120B">
              <w:rPr>
                <w:highlight w:val="cyan"/>
                <w:lang w:val="en-US"/>
              </w:rPr>
              <w:t>(if required by local policy).</w:t>
            </w:r>
            <w:r w:rsidR="00F6120B">
              <w:rPr>
                <w:lang w:val="en-US"/>
              </w:rPr>
              <w:t>]</w:t>
            </w:r>
          </w:p>
          <w:p w:rsidR="005D65E1" w:rsidP="00160B58" w:rsidRDefault="005D65E1" w14:paraId="5E4F6430" w14:textId="77777777">
            <w:pPr>
              <w:pStyle w:val="Bulletindent1"/>
            </w:pPr>
            <w:r>
              <w:t>A statement that administration is under a PGD.</w:t>
            </w:r>
          </w:p>
          <w:p w:rsidR="005D65E1" w:rsidP="00160B58" w:rsidRDefault="005D65E1" w14:paraId="26C37B4D" w14:textId="1AB0977D">
            <w:pPr>
              <w:pStyle w:val="Bulletindent1"/>
            </w:pPr>
            <w:r>
              <w:t>Name</w:t>
            </w:r>
            <w:r w:rsidRPr="00490073">
              <w:t>/identifier</w:t>
            </w:r>
            <w:r>
              <w:t xml:space="preserve"> and signature (which may be electronic) of healthcare professional acting under the PGD to administer the </w:t>
            </w:r>
            <w:r w:rsidR="009531BB">
              <w:t>medicine.</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75935ED9">
      <w:pPr>
        <w:pStyle w:val="Heading1"/>
      </w:pPr>
      <w:r w:rsidRPr="00DF77C7">
        <w:t xml:space="preserve">Key references </w:t>
      </w:r>
      <w:r w:rsidRPr="00DF77C7" w:rsidR="00510425">
        <w:t>(accessed</w:t>
      </w:r>
      <w:r w:rsidRPr="00DF77C7" w:rsidR="00D0044C">
        <w:t xml:space="preserve"> </w:t>
      </w:r>
      <w:r w:rsidR="00F6120B">
        <w:t>October 2024</w:t>
      </w:r>
      <w:r w:rsidRPr="00DF77C7" w:rsidR="00510425">
        <w:t>)</w:t>
      </w:r>
    </w:p>
    <w:p w:rsidRPr="00CE7FFC" w:rsidR="00CE7FFC" w:rsidP="00877396" w:rsidRDefault="00CE7FFC" w14:paraId="50E4146D" w14:textId="77777777">
      <w:pPr>
        <w:pStyle w:val="Bulletindent1"/>
        <w:rPr>
          <w:rStyle w:val="Hyperlink"/>
          <w:color w:val="auto"/>
          <w:u w:val="none"/>
        </w:rPr>
      </w:pPr>
      <w:hyperlink w:history="1" w:anchor="about-medicine" r:id="rId24">
        <w:r w:rsidRPr="00CE7FFC">
          <w:rPr>
            <w:rStyle w:val="Hyperlink"/>
          </w:rPr>
          <w:t>EMC Summary of Product Characteristics</w:t>
        </w:r>
      </w:hyperlink>
    </w:p>
    <w:p w:rsidR="00CE7FFC" w:rsidP="00877396" w:rsidRDefault="00CE7FFC" w14:paraId="78F36D10" w14:textId="6C705A26">
      <w:pPr>
        <w:pStyle w:val="Bulletindent1"/>
        <w:rPr>
          <w:rStyle w:val="Hyperlink"/>
        </w:rPr>
      </w:pPr>
      <w:hyperlink w:history="1" r:id="rId25">
        <w:r w:rsidRPr="00CE7FFC">
          <w:rPr>
            <w:rStyle w:val="Hyperlink"/>
          </w:rPr>
          <w:t>Current edition of British National Formulary</w:t>
        </w:r>
      </w:hyperlink>
    </w:p>
    <w:p w:rsidRPr="00CE7FFC" w:rsidR="00CE7FFC" w:rsidP="00877396" w:rsidRDefault="00CE7FFC" w14:paraId="73821755" w14:textId="5821C2DE">
      <w:pPr>
        <w:pStyle w:val="Bulletindent1"/>
        <w:rPr>
          <w:color w:val="0000FF"/>
          <w:u w:val="single"/>
        </w:rPr>
      </w:pPr>
      <w:hyperlink w:history="1" r:id="rId26">
        <w:r w:rsidRPr="00B74946">
          <w:rPr>
            <w:rStyle w:val="Hyperlink"/>
          </w:rPr>
          <w:t>Society and College of Radiographers Obtaining consent: a clinical guideline for the diagnostic imaging and radiotherapy workforce</w:t>
        </w:r>
      </w:hyperlink>
    </w:p>
    <w:p w:rsidRPr="00CE7FFC" w:rsidR="00CE7FFC" w:rsidP="00877396" w:rsidRDefault="00CE7FFC" w14:paraId="5DAB0FC2" w14:textId="0761A402">
      <w:pPr>
        <w:pStyle w:val="Bulletindent1"/>
        <w:rPr>
          <w:color w:val="0000FF"/>
          <w:u w:val="single"/>
        </w:rPr>
      </w:pPr>
      <w:hyperlink w:history="1" r:id="rId27">
        <w:r>
          <w:rPr>
            <w:rStyle w:val="Hyperlink"/>
          </w:rPr>
          <w:t>Royal Pharmaceutical Society Safe and Secure Handling of Medicines</w:t>
        </w:r>
      </w:hyperlink>
    </w:p>
    <w:p w:rsidRPr="00CE7FFC" w:rsidR="00CE7FFC" w:rsidP="00877396" w:rsidRDefault="00CE7FFC" w14:paraId="370F3FBE" w14:textId="1F419074">
      <w:pPr>
        <w:pStyle w:val="Bulletindent1"/>
        <w:rPr>
          <w:color w:val="0000FF"/>
          <w:u w:val="single"/>
        </w:rPr>
      </w:pPr>
      <w:hyperlink w:history="1" r:id="rId28">
        <w:r w:rsidRPr="00B74946">
          <w:rPr>
            <w:rStyle w:val="Hyperlink"/>
          </w:rPr>
          <w:t>Royal College of Radiographers and Society of Radiographers statement on patients who are breastfeeding who require a CT or MRI with contrast</w:t>
        </w:r>
      </w:hyperlink>
    </w:p>
    <w:p w:rsidRPr="00CE7FFC" w:rsidR="00CE7FFC" w:rsidP="00CE7FFC" w:rsidRDefault="00CE7FFC" w14:paraId="496E1A15" w14:textId="7FD1A87F">
      <w:pPr>
        <w:pStyle w:val="Bulletindent1"/>
        <w:rPr>
          <w:rStyle w:val="Hyperlink"/>
        </w:rPr>
      </w:pPr>
      <w:hyperlink w:history="1" r:id="rId29">
        <w:r w:rsidRPr="00CC4D66">
          <w:rPr>
            <w:rStyle w:val="Hyperlink"/>
          </w:rPr>
          <w:t>Specialist Pharmacy Service Using gastrointestinal antispasmodics during breastfeeding</w:t>
        </w:r>
      </w:hyperlink>
    </w:p>
    <w:p w:rsidRPr="00CC4D66" w:rsidR="00CE7FFC" w:rsidP="00877396" w:rsidRDefault="00CC4D66" w14:paraId="1B7E1EE9" w14:textId="07342004">
      <w:pPr>
        <w:pStyle w:val="Bulletindent1"/>
        <w:rPr>
          <w:rStyle w:val="Hyperlink"/>
        </w:rPr>
      </w:pPr>
      <w:hyperlink w:history="1" r:id="rId30">
        <w:r>
          <w:rPr>
            <w:rStyle w:val="Hyperlink"/>
          </w:rPr>
          <w:t>MHRA drug safety update Feb 2017: Hyoscine butylbromide (Buscopan) injection: risk of serious adverse effects in patients with underlying cardiac disease</w:t>
        </w:r>
      </w:hyperlink>
    </w:p>
    <w:p w:rsidR="00CC4D66" w:rsidP="00877396" w:rsidRDefault="00CC4D66" w14:paraId="7836C591" w14:textId="043F8DAA">
      <w:pPr>
        <w:pStyle w:val="Bulletindent1"/>
        <w:rPr>
          <w:rStyle w:val="Hyperlink"/>
        </w:rPr>
      </w:pPr>
      <w:hyperlink w:history="1" r:id="rId31">
        <w:r w:rsidRPr="00CC4D66">
          <w:rPr>
            <w:rStyle w:val="Hyperlink"/>
          </w:rPr>
          <w:t>Medusa monograph (log in required)</w:t>
        </w:r>
      </w:hyperlink>
    </w:p>
    <w:p w:rsidR="00CC4D66" w:rsidP="00877396" w:rsidRDefault="00CC4D66" w14:paraId="606790E4" w14:textId="77777777">
      <w:pPr>
        <w:pStyle w:val="Bulletindent1"/>
        <w:rPr>
          <w:rStyle w:val="Hyperlink"/>
        </w:rPr>
      </w:pPr>
      <w:hyperlink w:history="1" r:id="rId32">
        <w:r w:rsidRPr="00CC4D66">
          <w:rPr>
            <w:rStyle w:val="Hyperlink"/>
          </w:rPr>
          <w:t>NHS England Bowel cancer screening: guidelines for CTC imaging October 2024</w:t>
        </w:r>
      </w:hyperlink>
    </w:p>
    <w:p w:rsidRPr="00CC4D66" w:rsidR="00CC4D66" w:rsidP="00CC4D66" w:rsidRDefault="00CC4D66" w14:paraId="748ABF44" w14:textId="7E3F1500">
      <w:pPr>
        <w:pStyle w:val="Bulletindent1"/>
        <w:rPr>
          <w:rStyle w:val="Hyperlink"/>
        </w:rPr>
      </w:pPr>
      <w:r>
        <w:rPr>
          <w:rStyle w:val="Hyperlink"/>
        </w:rPr>
        <w:fldChar w:fldCharType="begin"/>
      </w:r>
      <w:r>
        <w:rPr>
          <w:rStyle w:val="Hyperlink"/>
        </w:rPr>
        <w:instrText>HYPERLINK "https://www.rcr.ac.uk/our-services/all-our-publications/archived-publications/"</w:instrText>
      </w:r>
      <w:r>
        <w:rPr>
          <w:rStyle w:val="Hyperlink"/>
        </w:rPr>
      </w:r>
      <w:r>
        <w:rPr>
          <w:rStyle w:val="Hyperlink"/>
        </w:rPr>
        <w:fldChar w:fldCharType="separate"/>
      </w:r>
      <w:r w:rsidRPr="00CC4D66">
        <w:rPr>
          <w:rStyle w:val="Hyperlink"/>
        </w:rPr>
        <w:t>The Royal College of Radiologists, 2019. RCR Guidelines; Standard Practice for Computed Tomography Colonography (Archived but available on request)</w:t>
      </w:r>
    </w:p>
    <w:p w:rsidR="00CC4D66" w:rsidP="00877396" w:rsidRDefault="00CC4D66" w14:paraId="26839265" w14:textId="5416B99B">
      <w:pPr>
        <w:pStyle w:val="Bulletindent1"/>
        <w:rPr>
          <w:rStyle w:val="Hyperlink"/>
        </w:rPr>
      </w:pPr>
      <w:r>
        <w:rPr>
          <w:rStyle w:val="Hyperlink"/>
        </w:rPr>
        <w:fldChar w:fldCharType="end"/>
      </w:r>
      <w:hyperlink w:history="1" r:id="rId33">
        <w:r w:rsidRPr="007D0D15">
          <w:rPr>
            <w:rStyle w:val="Hyperlink"/>
          </w:rPr>
          <w:t>The Royal College of Radiologists. Tolan, D., &amp; Roberts, A. Joint position statement from The Royal College of Radiologists and the British Society of Gastrointestinal and Abdominal Radiologists</w:t>
        </w:r>
      </w:hyperlink>
    </w:p>
    <w:p w:rsidR="007D0D15" w:rsidP="00877396" w:rsidRDefault="007D0D15" w14:paraId="084637BC" w14:textId="024FF538">
      <w:pPr>
        <w:pStyle w:val="Bulletindent1"/>
        <w:rPr>
          <w:rStyle w:val="Hyperlink"/>
        </w:rPr>
      </w:pPr>
      <w:hyperlink w:history="1" r:id="rId34">
        <w:r w:rsidRPr="007D0D15">
          <w:rPr>
            <w:rStyle w:val="Hyperlink"/>
          </w:rPr>
          <w:t>The British Society of Gastrointestinal and Abdominal Radiology (BSGAR) and The Royal College of Radiologists 2014 Guidance on the use of CT colonography for suspected colorectal cancer</w:t>
        </w:r>
      </w:hyperlink>
    </w:p>
    <w:p w:rsidR="007D0D15" w:rsidP="00877396" w:rsidRDefault="007D0D15" w14:paraId="341C422B" w14:textId="562C27AD">
      <w:pPr>
        <w:pStyle w:val="Bulletindent1"/>
        <w:rPr>
          <w:rStyle w:val="Hyperlink"/>
        </w:rPr>
      </w:pPr>
      <w:hyperlink w:history="1" r:id="rId35">
        <w:r w:rsidRPr="007D0D15">
          <w:rPr>
            <w:rStyle w:val="Hyperlink"/>
          </w:rPr>
          <w:t>The Royal College of Radiologists Factuality of Clinical Radiology Recommendations for cross sectional imaging in cancer management, Second Edition</w:t>
        </w:r>
      </w:hyperlink>
    </w:p>
    <w:p w:rsidR="007D0D15" w:rsidP="00877396" w:rsidRDefault="007D0D15" w14:paraId="6C6CB5D7" w14:textId="7211B378">
      <w:pPr>
        <w:pStyle w:val="Bulletindent1"/>
        <w:rPr>
          <w:rStyle w:val="Hyperlink"/>
        </w:rPr>
      </w:pPr>
      <w:hyperlink w:history="1" r:id="rId36">
        <w:r w:rsidRPr="007D0D15">
          <w:rPr>
            <w:rStyle w:val="Hyperlink"/>
          </w:rPr>
          <w:t>Royal College of Radiologists, 2023. Assess diagnostic quality of multiparametric prostate MRI scans using PIQUAL scoring system</w:t>
        </w:r>
      </w:hyperlink>
    </w:p>
    <w:p w:rsidRPr="007D0D15" w:rsidR="007D0D15" w:rsidP="00877396" w:rsidRDefault="007D0D15" w14:paraId="3B622D60" w14:textId="7252B5F8">
      <w:pPr>
        <w:pStyle w:val="Bulletindent1"/>
        <w:rPr>
          <w:rStyle w:val="Hyperlink"/>
        </w:rPr>
      </w:pPr>
      <w:hyperlink w:history="1" r:id="rId37">
        <w:r w:rsidRPr="007D0D15">
          <w:rPr>
            <w:rStyle w:val="Hyperlink"/>
            <w:rFonts w:eastAsia="Aptos"/>
          </w:rPr>
          <w:t>The Royal College of Radiologists 2023.</w:t>
        </w:r>
        <w:r w:rsidRPr="007D0D15">
          <w:rPr>
            <w:rStyle w:val="Hyperlink"/>
          </w:rPr>
          <w:t xml:space="preserve"> Audit on safe use of Hyoscine-N-butyl bromide (Buscopan) in patients with significant pre-existing cardiac conditions for radiologic procedures</w:t>
        </w:r>
      </w:hyperlink>
    </w:p>
    <w:p w:rsidRPr="007D0D15" w:rsidR="007D0D15" w:rsidP="007D0D15" w:rsidRDefault="007D0D15" w14:paraId="486FBEC6" w14:textId="77777777">
      <w:pPr>
        <w:pStyle w:val="Bulletindent1"/>
        <w:numPr>
          <w:ilvl w:val="0"/>
          <w:numId w:val="0"/>
        </w:numPr>
        <w:ind w:left="720"/>
        <w:rPr>
          <w:rStyle w:val="Hyperlink"/>
        </w:rPr>
      </w:pPr>
    </w:p>
    <w:p w:rsidRPr="00533F89" w:rsidR="00533F89" w:rsidP="00877396" w:rsidRDefault="007A1448" w14:paraId="068AB94A" w14:textId="328A267E">
      <w:pPr>
        <w:pStyle w:val="Bulletindent1"/>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8"/>
      <w:headerReference w:type="default" r:id="rId39"/>
      <w:footerReference w:type="default" r:id="rId40"/>
      <w:headerReference w:type="first" r:id="rId41"/>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94B2C"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94B2C"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94B2C"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05FF3796"/>
    <w:multiLevelType w:val="hybridMultilevel"/>
    <w:tmpl w:val="80F22A7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640D6"/>
    <w:multiLevelType w:val="hybridMultilevel"/>
    <w:tmpl w:val="415CC2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8F4CAA"/>
    <w:multiLevelType w:val="hybridMultilevel"/>
    <w:tmpl w:val="9FE8254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EB4D09"/>
    <w:multiLevelType w:val="hybridMultilevel"/>
    <w:tmpl w:val="3800A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30057B"/>
    <w:multiLevelType w:val="hybridMultilevel"/>
    <w:tmpl w:val="C62860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1E1031"/>
    <w:multiLevelType w:val="hybridMultilevel"/>
    <w:tmpl w:val="CE005E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676815"/>
    <w:multiLevelType w:val="hybridMultilevel"/>
    <w:tmpl w:val="57363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0E3783"/>
    <w:multiLevelType w:val="hybridMultilevel"/>
    <w:tmpl w:val="CD5277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1456E76"/>
    <w:multiLevelType w:val="multilevel"/>
    <w:tmpl w:val="EE409148"/>
    <w:numStyleLink w:val="PGDtablebullet2"/>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1" w15:restartNumberingAfterBreak="0">
    <w:nsid w:val="51E872D0"/>
    <w:multiLevelType w:val="hybridMultilevel"/>
    <w:tmpl w:val="D9784A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954009"/>
    <w:multiLevelType w:val="multilevel"/>
    <w:tmpl w:val="6C8A4D2A"/>
    <w:numStyleLink w:val="PGDbullet2"/>
  </w:abstractNum>
  <w:abstractNum w:abstractNumId="24"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667E93"/>
    <w:multiLevelType w:val="hybridMultilevel"/>
    <w:tmpl w:val="5770C5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31" w15:restartNumberingAfterBreak="0">
    <w:nsid w:val="730721DF"/>
    <w:multiLevelType w:val="hybridMultilevel"/>
    <w:tmpl w:val="36C80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4" w15:restartNumberingAfterBreak="0">
    <w:nsid w:val="790D4972"/>
    <w:multiLevelType w:val="hybridMultilevel"/>
    <w:tmpl w:val="B644F4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38"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25"/>
  </w:num>
  <w:num w:numId="2" w16cid:durableId="160244081">
    <w:abstractNumId w:val="28"/>
    <w:lvlOverride w:ilvl="0">
      <w:startOverride w:val="1"/>
    </w:lvlOverride>
  </w:num>
  <w:num w:numId="3" w16cid:durableId="559678070">
    <w:abstractNumId w:val="8"/>
    <w:lvlOverride w:ilvl="0">
      <w:startOverride w:val="1"/>
    </w:lvlOverride>
  </w:num>
  <w:num w:numId="4" w16cid:durableId="460340545">
    <w:abstractNumId w:val="17"/>
  </w:num>
  <w:num w:numId="5" w16cid:durableId="862549155">
    <w:abstractNumId w:val="32"/>
  </w:num>
  <w:num w:numId="6" w16cid:durableId="1902785077">
    <w:abstractNumId w:val="33"/>
  </w:num>
  <w:num w:numId="7" w16cid:durableId="1400252542">
    <w:abstractNumId w:val="20"/>
  </w:num>
  <w:num w:numId="8" w16cid:durableId="585113440">
    <w:abstractNumId w:val="15"/>
  </w:num>
  <w:num w:numId="9" w16cid:durableId="1512915418">
    <w:abstractNumId w:val="30"/>
  </w:num>
  <w:num w:numId="10" w16cid:durableId="759831936">
    <w:abstractNumId w:val="39"/>
  </w:num>
  <w:num w:numId="11" w16cid:durableId="1747412429">
    <w:abstractNumId w:val="4"/>
  </w:num>
  <w:num w:numId="12" w16cid:durableId="843521227">
    <w:abstractNumId w:val="24"/>
  </w:num>
  <w:num w:numId="13" w16cid:durableId="1297833641">
    <w:abstractNumId w:val="1"/>
  </w:num>
  <w:num w:numId="14" w16cid:durableId="1684160055">
    <w:abstractNumId w:val="38"/>
  </w:num>
  <w:num w:numId="15" w16cid:durableId="1610894224">
    <w:abstractNumId w:val="40"/>
  </w:num>
  <w:num w:numId="16" w16cid:durableId="1355812959">
    <w:abstractNumId w:val="16"/>
  </w:num>
  <w:num w:numId="17" w16cid:durableId="1708602711">
    <w:abstractNumId w:val="37"/>
  </w:num>
  <w:num w:numId="18" w16cid:durableId="1880973297">
    <w:abstractNumId w:val="19"/>
  </w:num>
  <w:num w:numId="19" w16cid:durableId="1760910594">
    <w:abstractNumId w:val="23"/>
  </w:num>
  <w:num w:numId="20" w16cid:durableId="77676389">
    <w:abstractNumId w:val="7"/>
  </w:num>
  <w:num w:numId="21" w16cid:durableId="1496384920">
    <w:abstractNumId w:val="18"/>
  </w:num>
  <w:num w:numId="22" w16cid:durableId="373623662">
    <w:abstractNumId w:val="0"/>
  </w:num>
  <w:num w:numId="23" w16cid:durableId="441388192">
    <w:abstractNumId w:val="28"/>
    <w:lvlOverride w:ilvl="0">
      <w:startOverride w:val="1"/>
    </w:lvlOverride>
  </w:num>
  <w:num w:numId="24" w16cid:durableId="73867840">
    <w:abstractNumId w:val="8"/>
    <w:lvlOverride w:ilvl="0">
      <w:startOverride w:val="1"/>
    </w:lvlOverride>
  </w:num>
  <w:num w:numId="25" w16cid:durableId="1312711915">
    <w:abstractNumId w:val="26"/>
  </w:num>
  <w:num w:numId="26" w16cid:durableId="1683317119">
    <w:abstractNumId w:val="36"/>
  </w:num>
  <w:num w:numId="27" w16cid:durableId="364259838">
    <w:abstractNumId w:val="27"/>
  </w:num>
  <w:num w:numId="28" w16cid:durableId="1267737300">
    <w:abstractNumId w:val="35"/>
  </w:num>
  <w:num w:numId="29" w16cid:durableId="427702607">
    <w:abstractNumId w:val="2"/>
  </w:num>
  <w:num w:numId="30" w16cid:durableId="1912883425">
    <w:abstractNumId w:val="18"/>
  </w:num>
  <w:num w:numId="31" w16cid:durableId="1946959112">
    <w:abstractNumId w:val="18"/>
  </w:num>
  <w:num w:numId="32" w16cid:durableId="1964115633">
    <w:abstractNumId w:val="18"/>
  </w:num>
  <w:num w:numId="33" w16cid:durableId="1424960209">
    <w:abstractNumId w:val="14"/>
  </w:num>
  <w:num w:numId="34" w16cid:durableId="1462652112">
    <w:abstractNumId w:val="11"/>
  </w:num>
  <w:num w:numId="35" w16cid:durableId="485363654">
    <w:abstractNumId w:val="31"/>
  </w:num>
  <w:num w:numId="36" w16cid:durableId="1989550941">
    <w:abstractNumId w:val="21"/>
  </w:num>
  <w:num w:numId="37" w16cid:durableId="1349722926">
    <w:abstractNumId w:val="6"/>
  </w:num>
  <w:num w:numId="38" w16cid:durableId="1150097075">
    <w:abstractNumId w:val="10"/>
  </w:num>
  <w:num w:numId="39" w16cid:durableId="1175343760">
    <w:abstractNumId w:val="29"/>
  </w:num>
  <w:num w:numId="40" w16cid:durableId="1913739691">
    <w:abstractNumId w:val="13"/>
  </w:num>
  <w:num w:numId="41" w16cid:durableId="332072091">
    <w:abstractNumId w:val="34"/>
  </w:num>
  <w:num w:numId="42" w16cid:durableId="1885366338">
    <w:abstractNumId w:val="5"/>
  </w:num>
  <w:num w:numId="43" w16cid:durableId="544218685">
    <w:abstractNumId w:val="35"/>
  </w:num>
  <w:num w:numId="44" w16cid:durableId="774864689">
    <w:abstractNumId w:val="3"/>
  </w:num>
  <w:num w:numId="45" w16cid:durableId="81487689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4A8A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B2C"/>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94B2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94B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094B2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94B2C"/>
    <w:pPr>
      <w:spacing w:before="200"/>
      <w:outlineLvl w:val="3"/>
    </w:pPr>
    <w:rPr>
      <w:rFonts w:ascii="Cambria" w:hAnsi="Cambria"/>
      <w:b/>
      <w:bCs/>
      <w:i/>
      <w:iCs/>
    </w:rPr>
  </w:style>
  <w:style w:type="paragraph" w:styleId="Heading5">
    <w:name w:val="heading 5"/>
    <w:basedOn w:val="Normal"/>
    <w:next w:val="Normal"/>
    <w:link w:val="Heading5Char"/>
    <w:uiPriority w:val="9"/>
    <w:qFormat/>
    <w:rsid w:val="00094B2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94B2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94B2C"/>
    <w:pPr>
      <w:outlineLvl w:val="6"/>
    </w:pPr>
    <w:rPr>
      <w:rFonts w:ascii="Cambria" w:hAnsi="Cambria"/>
      <w:i/>
      <w:iCs/>
    </w:rPr>
  </w:style>
  <w:style w:type="paragraph" w:styleId="Heading8">
    <w:name w:val="heading 8"/>
    <w:basedOn w:val="Normal"/>
    <w:next w:val="Normal"/>
    <w:link w:val="Heading8Char"/>
    <w:uiPriority w:val="9"/>
    <w:qFormat/>
    <w:rsid w:val="00094B2C"/>
    <w:pPr>
      <w:outlineLvl w:val="7"/>
    </w:pPr>
    <w:rPr>
      <w:rFonts w:ascii="Cambria" w:hAnsi="Cambria"/>
    </w:rPr>
  </w:style>
  <w:style w:type="paragraph" w:styleId="Heading9">
    <w:name w:val="heading 9"/>
    <w:basedOn w:val="Normal"/>
    <w:next w:val="Normal"/>
    <w:link w:val="Heading9Char"/>
    <w:uiPriority w:val="9"/>
    <w:qFormat/>
    <w:rsid w:val="00094B2C"/>
    <w:pPr>
      <w:outlineLvl w:val="8"/>
    </w:pPr>
    <w:rPr>
      <w:rFonts w:ascii="Cambria" w:hAnsi="Cambria"/>
      <w:i/>
      <w:iCs/>
      <w:spacing w:val="5"/>
    </w:rPr>
  </w:style>
  <w:style w:type="character" w:styleId="DefaultParagraphFont" w:default="1">
    <w:name w:val="Default Paragraph Font"/>
    <w:uiPriority w:val="1"/>
    <w:semiHidden/>
    <w:unhideWhenUsed/>
    <w:rsid w:val="00094B2C"/>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94B2C"/>
  </w:style>
  <w:style w:type="paragraph" w:styleId="NICEnormal" w:customStyle="1">
    <w:name w:val="NICE normal"/>
    <w:rsid w:val="00094B2C"/>
    <w:pPr>
      <w:spacing w:after="240" w:line="360" w:lineRule="auto"/>
    </w:pPr>
    <w:rPr>
      <w:rFonts w:ascii="Arial" w:hAnsi="Arial" w:eastAsia="Times New Roman"/>
      <w:lang w:val="en-US" w:eastAsia="en-US"/>
    </w:rPr>
  </w:style>
  <w:style w:type="character" w:styleId="NICEnormalChar" w:customStyle="1">
    <w:name w:val="NICE normal Char"/>
    <w:rsid w:val="00094B2C"/>
    <w:rPr>
      <w:rFonts w:ascii="Arial" w:hAnsi="Arial" w:eastAsia="Times New Roman"/>
      <w:sz w:val="24"/>
      <w:szCs w:val="24"/>
      <w:lang w:val="en-GB" w:eastAsia="en-US" w:bidi="ar-SA"/>
    </w:rPr>
  </w:style>
  <w:style w:type="character" w:styleId="Heading1Char" w:customStyle="1">
    <w:name w:val="Heading 1 Char"/>
    <w:link w:val="Heading1"/>
    <w:uiPriority w:val="1"/>
    <w:rsid w:val="00094B2C"/>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094B2C"/>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094B2C"/>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094B2C"/>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094B2C"/>
    <w:pPr>
      <w:ind w:left="720"/>
      <w:contextualSpacing/>
    </w:pPr>
    <w:rPr>
      <w:rFonts w:eastAsia="Calibri"/>
    </w:rPr>
  </w:style>
  <w:style w:type="character" w:styleId="Hyperlink">
    <w:name w:val="Hyperlink"/>
    <w:uiPriority w:val="99"/>
    <w:rsid w:val="00094B2C"/>
    <w:rPr>
      <w:color w:val="0000FF"/>
      <w:u w:val="single"/>
    </w:rPr>
  </w:style>
  <w:style w:type="paragraph" w:styleId="Header">
    <w:name w:val="header"/>
    <w:basedOn w:val="Normal"/>
    <w:link w:val="HeaderChar"/>
    <w:uiPriority w:val="99"/>
    <w:rsid w:val="00094B2C"/>
    <w:pPr>
      <w:tabs>
        <w:tab w:val="center" w:pos="4513"/>
        <w:tab w:val="right" w:pos="9026"/>
      </w:tabs>
    </w:pPr>
    <w:rPr>
      <w:rFonts w:ascii="Arial" w:hAnsi="Arial"/>
    </w:rPr>
  </w:style>
  <w:style w:type="paragraph" w:styleId="NICEnormaldoublespacing" w:customStyle="1">
    <w:name w:val="NICE normal double spacing"/>
    <w:basedOn w:val="NICEnormal"/>
    <w:rsid w:val="00094B2C"/>
  </w:style>
  <w:style w:type="character" w:styleId="HeaderChar" w:customStyle="1">
    <w:name w:val="Header Char"/>
    <w:link w:val="Header"/>
    <w:uiPriority w:val="99"/>
    <w:rsid w:val="00094B2C"/>
    <w:rPr>
      <w:rFonts w:ascii="Arial" w:hAnsi="Arial" w:eastAsiaTheme="minorHAnsi"/>
      <w:kern w:val="2"/>
      <w:lang w:eastAsia="en-US"/>
      <w14:ligatures w14:val="standardContextual"/>
    </w:rPr>
  </w:style>
  <w:style w:type="paragraph" w:styleId="Footer">
    <w:name w:val="footer"/>
    <w:basedOn w:val="Normal"/>
    <w:link w:val="FooterChar"/>
    <w:uiPriority w:val="99"/>
    <w:rsid w:val="00094B2C"/>
    <w:pPr>
      <w:tabs>
        <w:tab w:val="center" w:pos="4513"/>
        <w:tab w:val="right" w:pos="9026"/>
      </w:tabs>
    </w:pPr>
    <w:rPr>
      <w:rFonts w:ascii="Arial" w:hAnsi="Arial"/>
    </w:rPr>
  </w:style>
  <w:style w:type="character" w:styleId="FooterChar" w:customStyle="1">
    <w:name w:val="Footer Char"/>
    <w:link w:val="Footer"/>
    <w:uiPriority w:val="99"/>
    <w:rsid w:val="00094B2C"/>
    <w:rPr>
      <w:rFonts w:ascii="Arial" w:hAnsi="Arial" w:eastAsiaTheme="minorHAnsi"/>
      <w:kern w:val="2"/>
      <w:lang w:eastAsia="en-US"/>
      <w14:ligatures w14:val="standardContextual"/>
    </w:rPr>
  </w:style>
  <w:style w:type="paragraph" w:styleId="Style1" w:customStyle="1">
    <w:name w:val="Style1"/>
    <w:basedOn w:val="Normal"/>
    <w:autoRedefine/>
    <w:rsid w:val="00094B2C"/>
    <w:pPr>
      <w:keepNext/>
      <w:spacing w:line="360" w:lineRule="auto"/>
      <w:ind w:left="567"/>
    </w:pPr>
    <w:rPr>
      <w:rFonts w:ascii="Arial" w:hAnsi="Arial" w:cs="Arial"/>
      <w:szCs w:val="16"/>
    </w:rPr>
  </w:style>
  <w:style w:type="paragraph" w:styleId="Unnumberedboldheading" w:customStyle="1">
    <w:name w:val="Unnumbered bold heading"/>
    <w:next w:val="NICEnormal"/>
    <w:rsid w:val="00094B2C"/>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094B2C"/>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094B2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4B2C"/>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094B2C"/>
  </w:style>
  <w:style w:type="paragraph" w:styleId="Introtext" w:customStyle="1">
    <w:name w:val="Intro text"/>
    <w:basedOn w:val="PGDNormal"/>
    <w:rsid w:val="00094B2C"/>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094B2C"/>
    <w:pPr>
      <w:tabs>
        <w:tab w:val="num" w:pos="360"/>
      </w:tabs>
    </w:pPr>
    <w:rPr>
      <w:szCs w:val="24"/>
    </w:rPr>
  </w:style>
  <w:style w:type="character" w:styleId="Numberedheading1CharChar" w:customStyle="1">
    <w:name w:val="Numbered heading 1 Char Char"/>
    <w:link w:val="Numberedheading1"/>
    <w:rsid w:val="00094B2C"/>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094B2C"/>
    <w:pPr>
      <w:tabs>
        <w:tab w:val="num" w:pos="360"/>
      </w:tabs>
    </w:pPr>
  </w:style>
  <w:style w:type="character" w:styleId="Numberedheading2Char" w:customStyle="1">
    <w:name w:val="Numbered heading 2 Char"/>
    <w:basedOn w:val="Heading2Char"/>
    <w:link w:val="Numberedheading2"/>
    <w:rsid w:val="00094B2C"/>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094B2C"/>
    <w:pPr>
      <w:tabs>
        <w:tab w:val="num" w:pos="360"/>
      </w:tabs>
    </w:pPr>
    <w:rPr>
      <w:sz w:val="26"/>
    </w:rPr>
  </w:style>
  <w:style w:type="paragraph" w:styleId="Numberedlevel4text" w:customStyle="1">
    <w:name w:val="Numbered level 4 text"/>
    <w:basedOn w:val="NICEnormal"/>
    <w:next w:val="NICEnormal"/>
    <w:rsid w:val="00094B2C"/>
    <w:pPr>
      <w:tabs>
        <w:tab w:val="num" w:pos="360"/>
      </w:tabs>
    </w:pPr>
  </w:style>
  <w:style w:type="paragraph" w:styleId="Numberedlevel3text" w:customStyle="1">
    <w:name w:val="Numbered level 3 text"/>
    <w:basedOn w:val="Numberedheading3"/>
    <w:rsid w:val="00094B2C"/>
    <w:pPr>
      <w:spacing w:after="240"/>
    </w:pPr>
    <w:rPr>
      <w:b w:val="0"/>
      <w:sz w:val="24"/>
    </w:rPr>
  </w:style>
  <w:style w:type="paragraph" w:styleId="Bulletindent2" w:customStyle="1">
    <w:name w:val="Bullet indent 2"/>
    <w:basedOn w:val="NICEnormal"/>
    <w:rsid w:val="00094B2C"/>
    <w:pPr>
      <w:tabs>
        <w:tab w:val="num" w:pos="360"/>
      </w:tabs>
      <w:spacing w:after="0"/>
      <w:ind w:left="1702" w:hanging="284"/>
    </w:pPr>
  </w:style>
  <w:style w:type="paragraph" w:styleId="Title16ptleft" w:customStyle="1">
    <w:name w:val="Title 16 pt left"/>
    <w:basedOn w:val="Title16pt"/>
    <w:rsid w:val="00094B2C"/>
  </w:style>
  <w:style w:type="paragraph" w:styleId="Bulletleft1" w:customStyle="1">
    <w:name w:val="Bullet left 1"/>
    <w:basedOn w:val="NICEnormal"/>
    <w:rsid w:val="00094B2C"/>
    <w:pPr>
      <w:tabs>
        <w:tab w:val="num" w:pos="360"/>
      </w:tabs>
      <w:spacing w:after="0"/>
    </w:pPr>
  </w:style>
  <w:style w:type="character" w:styleId="Bulletleft1Char" w:customStyle="1">
    <w:name w:val="Bullet left 1 Char"/>
    <w:basedOn w:val="NICEnormalChar"/>
    <w:rsid w:val="00094B2C"/>
    <w:rPr>
      <w:rFonts w:ascii="Arial" w:hAnsi="Arial" w:eastAsia="Times New Roman"/>
      <w:sz w:val="24"/>
      <w:szCs w:val="24"/>
      <w:lang w:val="en-GB" w:eastAsia="en-US" w:bidi="ar-SA"/>
    </w:rPr>
  </w:style>
  <w:style w:type="paragraph" w:styleId="Bulletleft2" w:customStyle="1">
    <w:name w:val="Bullet left 2"/>
    <w:basedOn w:val="NICEnormal"/>
    <w:rsid w:val="00094B2C"/>
    <w:pPr>
      <w:tabs>
        <w:tab w:val="num" w:pos="360"/>
      </w:tabs>
      <w:spacing w:after="0"/>
      <w:ind w:left="568" w:hanging="284"/>
    </w:pPr>
  </w:style>
  <w:style w:type="paragraph" w:styleId="Bulletleft3" w:customStyle="1">
    <w:name w:val="Bullet left 3"/>
    <w:basedOn w:val="NICEnormal"/>
    <w:rsid w:val="00094B2C"/>
    <w:pPr>
      <w:tabs>
        <w:tab w:val="num" w:pos="360"/>
      </w:tabs>
      <w:spacing w:after="0"/>
    </w:pPr>
  </w:style>
  <w:style w:type="paragraph" w:styleId="Bulletindent1" w:customStyle="1">
    <w:name w:val="Bullet indent 1"/>
    <w:basedOn w:val="NICEnormal"/>
    <w:rsid w:val="00094B2C"/>
    <w:pPr>
      <w:numPr>
        <w:numId w:val="21"/>
      </w:numPr>
      <w:spacing w:before="120" w:after="120" w:line="240" w:lineRule="auto"/>
    </w:pPr>
    <w:rPr>
      <w:sz w:val="22"/>
      <w:lang w:val="en-GB"/>
    </w:rPr>
  </w:style>
  <w:style w:type="paragraph" w:styleId="Bulletindent3" w:customStyle="1">
    <w:name w:val="Bullet indent 3"/>
    <w:basedOn w:val="NICEnormal"/>
    <w:rsid w:val="00094B2C"/>
    <w:pPr>
      <w:tabs>
        <w:tab w:val="num" w:pos="360"/>
      </w:tabs>
      <w:spacing w:after="0"/>
    </w:pPr>
  </w:style>
  <w:style w:type="paragraph" w:styleId="Numberedlevel2text" w:customStyle="1">
    <w:name w:val="Numbered level 2 text"/>
    <w:basedOn w:val="Numberedheading2"/>
    <w:rsid w:val="00094B2C"/>
    <w:pPr>
      <w:spacing w:after="240"/>
    </w:pPr>
    <w:rPr>
      <w:b/>
      <w:i/>
    </w:rPr>
  </w:style>
  <w:style w:type="paragraph" w:styleId="Bulletleft1last" w:customStyle="1">
    <w:name w:val="Bullet left 1 last"/>
    <w:basedOn w:val="NICEnormal"/>
    <w:rsid w:val="00094B2C"/>
    <w:pPr>
      <w:tabs>
        <w:tab w:val="num" w:pos="360"/>
      </w:tabs>
    </w:pPr>
    <w:rPr>
      <w:rFonts w:cs="Arial"/>
    </w:rPr>
  </w:style>
  <w:style w:type="character" w:styleId="Bulletleft1lastChar" w:customStyle="1">
    <w:name w:val="Bullet left 1 last Char"/>
    <w:rsid w:val="00094B2C"/>
    <w:rPr>
      <w:rFonts w:ascii="Arial" w:hAnsi="Arial" w:eastAsia="Times New Roman" w:cs="Arial"/>
      <w:sz w:val="24"/>
      <w:szCs w:val="24"/>
      <w:lang w:eastAsia="en-US"/>
    </w:rPr>
  </w:style>
  <w:style w:type="paragraph" w:styleId="boxedtext" w:customStyle="1">
    <w:name w:val="boxed text"/>
    <w:basedOn w:val="NICEnormal"/>
    <w:rsid w:val="00094B2C"/>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094B2C"/>
    <w:rPr>
      <w:rFonts w:ascii="Arial" w:hAnsi="Arial"/>
      <w:sz w:val="24"/>
    </w:rPr>
  </w:style>
  <w:style w:type="paragraph" w:styleId="Bulletindent1last" w:customStyle="1">
    <w:name w:val="Bullet indent 1 last"/>
    <w:basedOn w:val="NICEnormal"/>
    <w:next w:val="NICEnormal"/>
    <w:rsid w:val="00094B2C"/>
    <w:pPr>
      <w:numPr>
        <w:numId w:val="14"/>
      </w:numPr>
    </w:pPr>
    <w:rPr>
      <w:sz w:val="22"/>
      <w:lang w:val="en-GB"/>
    </w:rPr>
  </w:style>
  <w:style w:type="paragraph" w:styleId="NICEnormalindented" w:customStyle="1">
    <w:name w:val="NICE normal indented"/>
    <w:basedOn w:val="NICEnormal"/>
    <w:rsid w:val="00094B2C"/>
    <w:pPr>
      <w:tabs>
        <w:tab w:val="left" w:pos="1134"/>
      </w:tabs>
      <w:ind w:left="1134"/>
    </w:pPr>
  </w:style>
  <w:style w:type="paragraph" w:styleId="Tabletitle" w:customStyle="1">
    <w:name w:val="Table title"/>
    <w:basedOn w:val="NICEnormal"/>
    <w:next w:val="NICEnormal"/>
    <w:rsid w:val="00094B2C"/>
    <w:pPr>
      <w:keepNext/>
      <w:spacing w:after="60" w:line="240" w:lineRule="auto"/>
    </w:pPr>
    <w:rPr>
      <w:b/>
    </w:rPr>
  </w:style>
  <w:style w:type="paragraph" w:styleId="Tabletext" w:customStyle="1">
    <w:name w:val="Table text"/>
    <w:basedOn w:val="PGDNormal"/>
    <w:rsid w:val="00094B2C"/>
    <w:pPr>
      <w:keepNext/>
      <w:spacing w:after="60"/>
    </w:pPr>
  </w:style>
  <w:style w:type="paragraph" w:styleId="Section2paragraphs" w:customStyle="1">
    <w:name w:val="Section 2 paragraphs"/>
    <w:basedOn w:val="NICEnormal"/>
    <w:rsid w:val="00094B2C"/>
    <w:pPr>
      <w:tabs>
        <w:tab w:val="num" w:pos="360"/>
      </w:tabs>
    </w:pPr>
  </w:style>
  <w:style w:type="paragraph" w:styleId="Section3paragraphs" w:customStyle="1">
    <w:name w:val="Section 3 paragraphs"/>
    <w:basedOn w:val="NICEnormal"/>
    <w:rsid w:val="00094B2C"/>
    <w:pPr>
      <w:tabs>
        <w:tab w:val="num" w:pos="360"/>
      </w:tabs>
    </w:pPr>
  </w:style>
  <w:style w:type="paragraph" w:styleId="Section411paragraphs" w:customStyle="1">
    <w:name w:val="Section 4.1.1 paragraphs"/>
    <w:basedOn w:val="NICEnormal"/>
    <w:rsid w:val="00094B2C"/>
    <w:pPr>
      <w:tabs>
        <w:tab w:val="num" w:pos="360"/>
      </w:tabs>
    </w:pPr>
  </w:style>
  <w:style w:type="paragraph" w:styleId="Section412paragraphs" w:customStyle="1">
    <w:name w:val="Section 4.1.2 paragraphs"/>
    <w:basedOn w:val="NICEnormal"/>
    <w:rsid w:val="00094B2C"/>
    <w:pPr>
      <w:tabs>
        <w:tab w:val="num" w:pos="360"/>
      </w:tabs>
    </w:pPr>
  </w:style>
  <w:style w:type="paragraph" w:styleId="Section42paragraphs" w:customStyle="1">
    <w:name w:val="Section 4.2 paragraphs"/>
    <w:basedOn w:val="NICEnormal"/>
    <w:rsid w:val="00094B2C"/>
    <w:pPr>
      <w:tabs>
        <w:tab w:val="num" w:pos="360"/>
      </w:tabs>
    </w:pPr>
  </w:style>
  <w:style w:type="paragraph" w:styleId="Section43paragraphs" w:customStyle="1">
    <w:name w:val="Section 4.3 paragraphs"/>
    <w:basedOn w:val="NICEnormal"/>
    <w:rsid w:val="00094B2C"/>
    <w:pPr>
      <w:tabs>
        <w:tab w:val="num" w:pos="360"/>
      </w:tabs>
    </w:pPr>
  </w:style>
  <w:style w:type="paragraph" w:styleId="Appendixlevel1" w:customStyle="1">
    <w:name w:val="Appendix level 1"/>
    <w:basedOn w:val="NICEnormal"/>
    <w:autoRedefine/>
    <w:rsid w:val="00094B2C"/>
    <w:pPr>
      <w:tabs>
        <w:tab w:val="num" w:pos="360"/>
      </w:tabs>
      <w:spacing w:before="240"/>
    </w:pPr>
  </w:style>
  <w:style w:type="paragraph" w:styleId="Appendixlevel2" w:customStyle="1">
    <w:name w:val="Appendix level 2"/>
    <w:basedOn w:val="NICEnormal"/>
    <w:rsid w:val="00094B2C"/>
    <w:pPr>
      <w:tabs>
        <w:tab w:val="num" w:pos="360"/>
      </w:tabs>
      <w:spacing w:before="240"/>
    </w:pPr>
  </w:style>
  <w:style w:type="paragraph" w:styleId="Appendixbullet" w:customStyle="1">
    <w:name w:val="Appendix bullet"/>
    <w:basedOn w:val="NICEnormal"/>
    <w:rsid w:val="00094B2C"/>
    <w:pPr>
      <w:tabs>
        <w:tab w:val="num" w:pos="360"/>
      </w:tabs>
      <w:spacing w:after="0" w:line="240" w:lineRule="auto"/>
    </w:pPr>
  </w:style>
  <w:style w:type="paragraph" w:styleId="Appendixreferences" w:customStyle="1">
    <w:name w:val="Appendix references"/>
    <w:basedOn w:val="NICEnormal"/>
    <w:rsid w:val="00094B2C"/>
    <w:pPr>
      <w:tabs>
        <w:tab w:val="left" w:pos="567"/>
      </w:tabs>
      <w:spacing w:after="120" w:line="240" w:lineRule="auto"/>
      <w:ind w:left="567"/>
    </w:pPr>
  </w:style>
  <w:style w:type="paragraph" w:styleId="References" w:customStyle="1">
    <w:name w:val="References"/>
    <w:basedOn w:val="PGDNormal"/>
    <w:rsid w:val="00094B2C"/>
    <w:pPr>
      <w:tabs>
        <w:tab w:val="num" w:pos="360"/>
      </w:tabs>
      <w:spacing w:after="120"/>
    </w:pPr>
  </w:style>
  <w:style w:type="paragraph" w:styleId="BalloonText">
    <w:name w:val="Balloon Text"/>
    <w:basedOn w:val="Normal"/>
    <w:link w:val="BalloonTextChar"/>
    <w:semiHidden/>
    <w:rsid w:val="00094B2C"/>
    <w:rPr>
      <w:rFonts w:ascii="Tahoma" w:hAnsi="Tahoma" w:cs="Tahoma"/>
      <w:sz w:val="16"/>
      <w:szCs w:val="16"/>
    </w:rPr>
  </w:style>
  <w:style w:type="character" w:styleId="BalloonTextChar" w:customStyle="1">
    <w:name w:val="Balloon Text Char"/>
    <w:link w:val="BalloonText"/>
    <w:semiHidden/>
    <w:rsid w:val="00094B2C"/>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094B2C"/>
    <w:rPr>
      <w:sz w:val="16"/>
      <w:szCs w:val="16"/>
    </w:rPr>
  </w:style>
  <w:style w:type="paragraph" w:styleId="CommentText">
    <w:name w:val="annotation text"/>
    <w:basedOn w:val="Normal"/>
    <w:link w:val="CommentTextChar1"/>
    <w:uiPriority w:val="99"/>
    <w:unhideWhenUsed/>
    <w:rsid w:val="00094B2C"/>
  </w:style>
  <w:style w:type="character" w:styleId="CommentTextChar" w:customStyle="1">
    <w:name w:val="Comment Text Char"/>
    <w:uiPriority w:val="99"/>
    <w:rsid w:val="00094B2C"/>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094B2C"/>
    <w:rPr>
      <w:b/>
      <w:bCs/>
    </w:rPr>
  </w:style>
  <w:style w:type="character" w:styleId="CommentSubjectChar" w:customStyle="1">
    <w:name w:val="Comment Subject Char"/>
    <w:semiHidden/>
    <w:rsid w:val="00094B2C"/>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094B2C"/>
    <w:pPr>
      <w:spacing w:before="100" w:beforeAutospacing="1" w:after="100" w:afterAutospacing="1"/>
    </w:pPr>
  </w:style>
  <w:style w:type="paragraph" w:styleId="TOC1">
    <w:name w:val="toc 1"/>
    <w:basedOn w:val="Normal"/>
    <w:next w:val="Normal"/>
    <w:autoRedefine/>
    <w:rsid w:val="00094B2C"/>
    <w:rPr>
      <w:rFonts w:ascii="Arial" w:hAnsi="Arial"/>
    </w:rPr>
  </w:style>
  <w:style w:type="paragraph" w:styleId="TOC2">
    <w:name w:val="toc 2"/>
    <w:basedOn w:val="Normal"/>
    <w:next w:val="Normal"/>
    <w:autoRedefine/>
    <w:rsid w:val="00094B2C"/>
    <w:pPr>
      <w:ind w:left="240"/>
    </w:pPr>
    <w:rPr>
      <w:rFonts w:ascii="Arial" w:hAnsi="Arial"/>
    </w:rPr>
  </w:style>
  <w:style w:type="paragraph" w:styleId="Frontpagetitle" w:customStyle="1">
    <w:name w:val="Front page title"/>
    <w:basedOn w:val="Normal"/>
    <w:rsid w:val="00094B2C"/>
    <w:pPr>
      <w:spacing w:after="240"/>
      <w:jc w:val="center"/>
    </w:pPr>
    <w:rPr>
      <w:rFonts w:ascii="Arial" w:hAnsi="Arial" w:cs="Arial"/>
      <w:sz w:val="48"/>
      <w:szCs w:val="48"/>
      <w:lang w:val="en-US"/>
    </w:rPr>
  </w:style>
  <w:style w:type="paragraph" w:styleId="Frontpagedate" w:customStyle="1">
    <w:name w:val="Front page date"/>
    <w:basedOn w:val="Normal"/>
    <w:rsid w:val="00094B2C"/>
    <w:pPr>
      <w:spacing w:after="240"/>
    </w:pPr>
    <w:rPr>
      <w:rFonts w:ascii="Arial" w:hAnsi="Arial" w:cs="Arial"/>
      <w:sz w:val="32"/>
      <w:szCs w:val="32"/>
      <w:lang w:val="en-US"/>
    </w:rPr>
  </w:style>
  <w:style w:type="paragraph" w:styleId="Frontpageguidelinenumber" w:customStyle="1">
    <w:name w:val="Front page guideline number"/>
    <w:basedOn w:val="Normal"/>
    <w:rsid w:val="00094B2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94B2C"/>
    <w:pPr>
      <w:outlineLvl w:val="9"/>
    </w:pPr>
    <w:rPr>
      <w:lang w:bidi="en-US"/>
    </w:rPr>
  </w:style>
  <w:style w:type="paragraph" w:styleId="TOC3">
    <w:name w:val="toc 3"/>
    <w:basedOn w:val="Normal"/>
    <w:next w:val="Normal"/>
    <w:autoRedefine/>
    <w:semiHidden/>
    <w:rsid w:val="00094B2C"/>
    <w:pPr>
      <w:ind w:left="480"/>
    </w:pPr>
    <w:rPr>
      <w:rFonts w:ascii="Arial" w:hAnsi="Arial"/>
    </w:rPr>
  </w:style>
  <w:style w:type="character" w:styleId="FollowedHyperlink">
    <w:name w:val="FollowedHyperlink"/>
    <w:unhideWhenUsed/>
    <w:rsid w:val="00094B2C"/>
    <w:rPr>
      <w:color w:val="800080"/>
      <w:u w:val="single"/>
    </w:rPr>
  </w:style>
  <w:style w:type="paragraph" w:styleId="Level2text" w:customStyle="1">
    <w:name w:val="Level 2 text"/>
    <w:basedOn w:val="Numberedheading2"/>
    <w:locked/>
    <w:rsid w:val="00094B2C"/>
    <w:pPr>
      <w:numPr>
        <w:ilvl w:val="1"/>
        <w:numId w:val="1"/>
      </w:numPr>
    </w:pPr>
    <w:rPr>
      <w:b/>
      <w:i/>
    </w:rPr>
  </w:style>
  <w:style w:type="paragraph" w:styleId="FootnoteText">
    <w:name w:val="footnote text"/>
    <w:basedOn w:val="Normal"/>
    <w:link w:val="FootnoteTextChar1"/>
    <w:semiHidden/>
    <w:rsid w:val="00094B2C"/>
    <w:rPr>
      <w:rFonts w:ascii="Arial" w:hAnsi="Arial" w:eastAsia="Calibri"/>
    </w:rPr>
  </w:style>
  <w:style w:type="character" w:styleId="FootnoteTextChar" w:customStyle="1">
    <w:name w:val="Footnote Text Char"/>
    <w:rsid w:val="00094B2C"/>
    <w:rPr>
      <w:rFonts w:ascii="Arial" w:hAnsi="Arial" w:eastAsia="Times New Roman"/>
    </w:rPr>
  </w:style>
  <w:style w:type="character" w:styleId="FootnoteReference">
    <w:name w:val="footnote reference"/>
    <w:rsid w:val="00094B2C"/>
    <w:rPr>
      <w:vertAlign w:val="superscript"/>
    </w:rPr>
  </w:style>
  <w:style w:type="paragraph" w:styleId="Paragraph" w:customStyle="1">
    <w:name w:val="Paragraph"/>
    <w:basedOn w:val="Paragraphnonumbers"/>
    <w:uiPriority w:val="4"/>
    <w:qFormat/>
    <w:rsid w:val="00094B2C"/>
    <w:pPr>
      <w:numPr>
        <w:numId w:val="11"/>
      </w:numPr>
      <w:tabs>
        <w:tab w:val="left" w:pos="567"/>
      </w:tabs>
    </w:pPr>
  </w:style>
  <w:style w:type="paragraph" w:styleId="Bullets" w:customStyle="1">
    <w:name w:val="Bullets"/>
    <w:basedOn w:val="Normal"/>
    <w:uiPriority w:val="5"/>
    <w:qFormat/>
    <w:rsid w:val="00094B2C"/>
    <w:pPr>
      <w:numPr>
        <w:numId w:val="23"/>
      </w:numPr>
      <w:spacing w:after="120" w:line="276" w:lineRule="auto"/>
    </w:pPr>
    <w:rPr>
      <w:rFonts w:ascii="Arial" w:hAnsi="Arial"/>
    </w:rPr>
  </w:style>
  <w:style w:type="paragraph" w:styleId="Subbullets" w:customStyle="1">
    <w:name w:val="Sub bullets"/>
    <w:basedOn w:val="Normal"/>
    <w:uiPriority w:val="6"/>
    <w:qFormat/>
    <w:rsid w:val="00094B2C"/>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094B2C"/>
    <w:pPr>
      <w:spacing w:after="240" w:line="276" w:lineRule="auto"/>
    </w:pPr>
    <w:rPr>
      <w:rFonts w:ascii="Arial" w:hAnsi="Arial"/>
    </w:rPr>
  </w:style>
  <w:style w:type="paragraph" w:styleId="TOAHeading">
    <w:name w:val="toa heading"/>
    <w:basedOn w:val="Normal"/>
    <w:next w:val="Normal"/>
    <w:semiHidden/>
    <w:rsid w:val="00094B2C"/>
    <w:pPr>
      <w:spacing w:before="120"/>
    </w:pPr>
    <w:rPr>
      <w:rFonts w:ascii="Arial" w:hAnsi="Arial"/>
      <w:b/>
      <w:bCs/>
    </w:rPr>
  </w:style>
  <w:style w:type="paragraph" w:styleId="TOC4">
    <w:name w:val="toc 4"/>
    <w:basedOn w:val="Normal"/>
    <w:next w:val="Normal"/>
    <w:autoRedefine/>
    <w:semiHidden/>
    <w:rsid w:val="00094B2C"/>
    <w:pPr>
      <w:ind w:left="720"/>
    </w:pPr>
    <w:rPr>
      <w:rFonts w:ascii="Arial" w:hAnsi="Arial"/>
    </w:rPr>
  </w:style>
  <w:style w:type="paragraph" w:styleId="Bulletindent1alast" w:customStyle="1">
    <w:name w:val="Bullet indent 1a last"/>
    <w:basedOn w:val="Bulletindent1last"/>
    <w:qFormat/>
    <w:rsid w:val="00094B2C"/>
    <w:pPr>
      <w:ind w:left="2552"/>
    </w:pPr>
  </w:style>
  <w:style w:type="paragraph" w:styleId="Bulletindent2a" w:customStyle="1">
    <w:name w:val="Bullet indent 2a"/>
    <w:basedOn w:val="Normal"/>
    <w:qFormat/>
    <w:rsid w:val="00094B2C"/>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094B2C"/>
    <w:pPr>
      <w:tabs>
        <w:tab w:val="num" w:pos="2552"/>
      </w:tabs>
      <w:ind w:left="2552"/>
    </w:pPr>
  </w:style>
  <w:style w:type="paragraph" w:styleId="Frontpagegreentitle" w:customStyle="1">
    <w:name w:val="Front page green title"/>
    <w:basedOn w:val="Normal"/>
    <w:rsid w:val="00094B2C"/>
    <w:pPr>
      <w:jc w:val="center"/>
    </w:pPr>
    <w:rPr>
      <w:rFonts w:ascii="Arial" w:hAnsi="Arial" w:cs="Arial"/>
      <w:b/>
      <w:color w:val="009999"/>
      <w:sz w:val="64"/>
      <w:szCs w:val="64"/>
    </w:rPr>
  </w:style>
  <w:style w:type="paragraph" w:styleId="TOC5">
    <w:name w:val="toc 5"/>
    <w:basedOn w:val="Normal"/>
    <w:next w:val="Normal"/>
    <w:autoRedefine/>
    <w:semiHidden/>
    <w:unhideWhenUsed/>
    <w:rsid w:val="00094B2C"/>
    <w:pPr>
      <w:spacing w:after="100" w:line="276" w:lineRule="auto"/>
      <w:ind w:left="880"/>
    </w:pPr>
  </w:style>
  <w:style w:type="paragraph" w:styleId="TOC6">
    <w:name w:val="toc 6"/>
    <w:basedOn w:val="Normal"/>
    <w:next w:val="Normal"/>
    <w:autoRedefine/>
    <w:semiHidden/>
    <w:unhideWhenUsed/>
    <w:rsid w:val="00094B2C"/>
    <w:pPr>
      <w:spacing w:after="100" w:line="276" w:lineRule="auto"/>
      <w:ind w:left="1100"/>
    </w:pPr>
  </w:style>
  <w:style w:type="paragraph" w:styleId="TOC7">
    <w:name w:val="toc 7"/>
    <w:basedOn w:val="Normal"/>
    <w:next w:val="Normal"/>
    <w:autoRedefine/>
    <w:semiHidden/>
    <w:unhideWhenUsed/>
    <w:rsid w:val="00094B2C"/>
    <w:pPr>
      <w:spacing w:after="100" w:line="276" w:lineRule="auto"/>
      <w:ind w:left="1320"/>
    </w:pPr>
  </w:style>
  <w:style w:type="paragraph" w:styleId="TOC8">
    <w:name w:val="toc 8"/>
    <w:basedOn w:val="Normal"/>
    <w:next w:val="Normal"/>
    <w:autoRedefine/>
    <w:semiHidden/>
    <w:unhideWhenUsed/>
    <w:rsid w:val="00094B2C"/>
    <w:pPr>
      <w:spacing w:after="100" w:line="276" w:lineRule="auto"/>
      <w:ind w:left="1540"/>
    </w:pPr>
  </w:style>
  <w:style w:type="paragraph" w:styleId="TOC9">
    <w:name w:val="toc 9"/>
    <w:basedOn w:val="Normal"/>
    <w:next w:val="Normal"/>
    <w:autoRedefine/>
    <w:semiHidden/>
    <w:unhideWhenUsed/>
    <w:rsid w:val="00094B2C"/>
    <w:pPr>
      <w:spacing w:after="100" w:line="276" w:lineRule="auto"/>
      <w:ind w:left="1760"/>
    </w:pPr>
  </w:style>
  <w:style w:type="paragraph" w:styleId="Question" w:customStyle="1">
    <w:name w:val="Question"/>
    <w:basedOn w:val="References"/>
    <w:qFormat/>
    <w:rsid w:val="00094B2C"/>
    <w:pPr>
      <w:keepNext/>
      <w:numPr>
        <w:numId w:val="4"/>
      </w:numPr>
    </w:pPr>
    <w:rPr>
      <w:b/>
    </w:rPr>
  </w:style>
  <w:style w:type="paragraph" w:styleId="EndnoteText">
    <w:name w:val="endnote text"/>
    <w:basedOn w:val="Normal"/>
    <w:link w:val="EndnoteTextChar1"/>
    <w:semiHidden/>
    <w:unhideWhenUsed/>
    <w:rsid w:val="00094B2C"/>
  </w:style>
  <w:style w:type="character" w:styleId="EndnoteTextChar" w:customStyle="1">
    <w:name w:val="Endnote Text Char"/>
    <w:semiHidden/>
    <w:rsid w:val="00094B2C"/>
    <w:rPr>
      <w:rFonts w:ascii="Times New Roman" w:hAnsi="Times New Roman" w:eastAsia="Times New Roman"/>
    </w:rPr>
  </w:style>
  <w:style w:type="character" w:styleId="EndnoteReference">
    <w:name w:val="endnote reference"/>
    <w:semiHidden/>
    <w:unhideWhenUsed/>
    <w:rsid w:val="00094B2C"/>
    <w:rPr>
      <w:vertAlign w:val="superscript"/>
    </w:rPr>
  </w:style>
  <w:style w:type="paragraph" w:styleId="Style4" w:customStyle="1">
    <w:name w:val="Style4"/>
    <w:basedOn w:val="Normal"/>
    <w:autoRedefine/>
    <w:rsid w:val="00094B2C"/>
    <w:pPr>
      <w:keepNext/>
      <w:spacing w:line="360" w:lineRule="auto"/>
      <w:ind w:left="567"/>
    </w:pPr>
    <w:rPr>
      <w:rFonts w:ascii="Arial" w:hAnsi="Arial" w:cs="Arial"/>
    </w:rPr>
  </w:style>
  <w:style w:type="paragraph" w:styleId="Bodytextosteo" w:customStyle="1">
    <w:name w:val="Body text osteo"/>
    <w:basedOn w:val="BodyText"/>
    <w:autoRedefine/>
    <w:rsid w:val="00094B2C"/>
    <w:pPr>
      <w:spacing w:after="0" w:line="360" w:lineRule="auto"/>
      <w:ind w:left="567"/>
    </w:pPr>
    <w:rPr>
      <w:rFonts w:ascii="Arial" w:hAnsi="Arial" w:cs="Arial"/>
    </w:rPr>
  </w:style>
  <w:style w:type="paragraph" w:styleId="BodyText">
    <w:name w:val="Body Text"/>
    <w:basedOn w:val="Normal"/>
    <w:link w:val="BodyTextChar"/>
    <w:rsid w:val="00094B2C"/>
    <w:pPr>
      <w:spacing w:after="120"/>
    </w:pPr>
  </w:style>
  <w:style w:type="paragraph" w:styleId="bulletdoubleindent" w:customStyle="1">
    <w:name w:val="bullet double indent"/>
    <w:basedOn w:val="Normal"/>
    <w:autoRedefine/>
    <w:rsid w:val="00094B2C"/>
    <w:pPr>
      <w:numPr>
        <w:numId w:val="5"/>
      </w:numPr>
      <w:spacing w:line="360" w:lineRule="auto"/>
    </w:pPr>
    <w:rPr>
      <w:rFonts w:ascii="Arial" w:hAnsi="Arial" w:eastAsia="Calibri"/>
    </w:rPr>
  </w:style>
  <w:style w:type="paragraph" w:styleId="bulletindentosteo" w:customStyle="1">
    <w:name w:val="bullet indent osteo"/>
    <w:basedOn w:val="Normal"/>
    <w:autoRedefine/>
    <w:rsid w:val="00094B2C"/>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094B2C"/>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094B2C"/>
    <w:pPr>
      <w:spacing w:after="0" w:line="360" w:lineRule="auto"/>
      <w:ind w:left="567"/>
    </w:pPr>
  </w:style>
  <w:style w:type="paragraph" w:styleId="subheadingosteo" w:customStyle="1">
    <w:name w:val="subheading osteo"/>
    <w:basedOn w:val="Heading6"/>
    <w:autoRedefine/>
    <w:rsid w:val="00094B2C"/>
    <w:pPr>
      <w:keepNext/>
      <w:spacing w:line="360" w:lineRule="auto"/>
      <w:ind w:left="539"/>
    </w:pPr>
    <w:rPr>
      <w:rFonts w:ascii="Arial" w:hAnsi="Arial"/>
    </w:rPr>
  </w:style>
  <w:style w:type="paragraph" w:styleId="bulletdoubleindentosteo" w:customStyle="1">
    <w:name w:val="bullet double indent osteo"/>
    <w:basedOn w:val="bulletindentosteo"/>
    <w:autoRedefine/>
    <w:rsid w:val="00094B2C"/>
    <w:pPr>
      <w:numPr>
        <w:numId w:val="7"/>
      </w:numPr>
    </w:pPr>
    <w:rPr>
      <w:rFonts w:eastAsia="Times New Roman"/>
      <w:lang w:eastAsia="en-GB"/>
    </w:rPr>
  </w:style>
  <w:style w:type="paragraph" w:styleId="ListBullet3">
    <w:name w:val="List Bullet 3"/>
    <w:basedOn w:val="Normal"/>
    <w:autoRedefine/>
    <w:rsid w:val="00094B2C"/>
  </w:style>
  <w:style w:type="paragraph" w:styleId="Bulletosteotable" w:customStyle="1">
    <w:name w:val="Bullet osteo table"/>
    <w:basedOn w:val="bulletosteoporosis"/>
    <w:autoRedefine/>
    <w:rsid w:val="00094B2C"/>
    <w:pPr>
      <w:numPr>
        <w:numId w:val="8"/>
      </w:numPr>
    </w:pPr>
  </w:style>
  <w:style w:type="paragraph" w:styleId="StyleHeading2Before0ptAfter0ptLinespacing15l" w:customStyle="1">
    <w:name w:val="Style Heading 2 + Before:  0 pt After:  0 pt Line spacing:  1.5 l..."/>
    <w:basedOn w:val="Heading2"/>
    <w:autoRedefine/>
    <w:rsid w:val="00094B2C"/>
    <w:pPr>
      <w:spacing w:after="0" w:line="360" w:lineRule="auto"/>
    </w:pPr>
    <w:rPr>
      <w:szCs w:val="20"/>
      <w:lang w:val="en-US"/>
    </w:rPr>
  </w:style>
  <w:style w:type="paragraph" w:styleId="NCC-ACChaptertitle" w:customStyle="1">
    <w:name w:val="NCC-AC Chapter title"/>
    <w:basedOn w:val="Numberedheading1"/>
    <w:next w:val="Normal"/>
    <w:autoRedefine/>
    <w:rsid w:val="00094B2C"/>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094B2C"/>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094B2C"/>
    <w:pPr>
      <w:numPr>
        <w:ilvl w:val="3"/>
        <w:numId w:val="10"/>
      </w:numPr>
    </w:pPr>
    <w:rPr>
      <w:b w:val="0"/>
    </w:rPr>
  </w:style>
  <w:style w:type="numbering" w:styleId="NiceNumbering" w:customStyle="1">
    <w:name w:val="Nice Numbering"/>
    <w:rsid w:val="00094B2C"/>
    <w:pPr>
      <w:numPr>
        <w:numId w:val="10"/>
      </w:numPr>
    </w:pPr>
  </w:style>
  <w:style w:type="character" w:styleId="FootnoteTextChar1" w:customStyle="1">
    <w:name w:val="Footnote Text Char1"/>
    <w:link w:val="FootnoteText"/>
    <w:semiHidden/>
    <w:rsid w:val="00094B2C"/>
    <w:rPr>
      <w:rFonts w:ascii="Arial" w:hAnsi="Arial"/>
      <w:kern w:val="2"/>
      <w:lang w:eastAsia="en-US"/>
      <w14:ligatures w14:val="standardContextual"/>
    </w:rPr>
  </w:style>
  <w:style w:type="table" w:styleId="TableGrid">
    <w:name w:val="Table Grid"/>
    <w:basedOn w:val="TableNormal"/>
    <w:rsid w:val="00094B2C"/>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094B2C"/>
    <w:rPr>
      <w:rFonts w:ascii="Arial" w:hAnsi="Arial" w:cs="Arial"/>
      <w:color w:val="FFFFFF"/>
      <w:sz w:val="32"/>
      <w:szCs w:val="32"/>
    </w:rPr>
  </w:style>
  <w:style w:type="paragraph" w:styleId="Default" w:customStyle="1">
    <w:name w:val="Default"/>
    <w:rsid w:val="00094B2C"/>
    <w:pPr>
      <w:autoSpaceDE w:val="0"/>
      <w:autoSpaceDN w:val="0"/>
      <w:adjustRightInd w:val="0"/>
    </w:pPr>
    <w:rPr>
      <w:rFonts w:eastAsia="Times New Roman" w:cs="Calibri"/>
      <w:color w:val="000000"/>
    </w:rPr>
  </w:style>
  <w:style w:type="paragraph" w:styleId="PGDNormal" w:customStyle="1">
    <w:name w:val="PGD Normal"/>
    <w:basedOn w:val="NICEnormal"/>
    <w:rsid w:val="00094B2C"/>
    <w:pPr>
      <w:spacing w:line="240" w:lineRule="auto"/>
    </w:pPr>
    <w:rPr>
      <w:sz w:val="22"/>
    </w:rPr>
  </w:style>
  <w:style w:type="paragraph" w:styleId="TabletextIPoverviewevidence" w:customStyle="1">
    <w:name w:val="Table text IP overview evidence"/>
    <w:basedOn w:val="Tabletext"/>
    <w:rsid w:val="00094B2C"/>
    <w:rPr>
      <w:sz w:val="18"/>
    </w:rPr>
  </w:style>
  <w:style w:type="character" w:styleId="Heading5Char" w:customStyle="1">
    <w:name w:val="Heading 5 Char"/>
    <w:link w:val="Heading5"/>
    <w:uiPriority w:val="9"/>
    <w:rsid w:val="00094B2C"/>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094B2C"/>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094B2C"/>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094B2C"/>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094B2C"/>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094B2C"/>
    <w:pPr>
      <w:spacing w:after="600"/>
    </w:pPr>
    <w:rPr>
      <w:rFonts w:ascii="Cambria" w:hAnsi="Cambria"/>
      <w:i/>
      <w:iCs/>
      <w:spacing w:val="13"/>
    </w:rPr>
  </w:style>
  <w:style w:type="character" w:styleId="SubtitleChar" w:customStyle="1">
    <w:name w:val="Subtitle Char"/>
    <w:link w:val="Subtitle"/>
    <w:uiPriority w:val="11"/>
    <w:rsid w:val="00094B2C"/>
    <w:rPr>
      <w:rFonts w:ascii="Cambria" w:hAnsi="Cambria" w:eastAsiaTheme="minorHAnsi"/>
      <w:i/>
      <w:iCs/>
      <w:spacing w:val="13"/>
      <w:kern w:val="2"/>
      <w:lang w:eastAsia="en-US"/>
      <w14:ligatures w14:val="standardContextual"/>
    </w:rPr>
  </w:style>
  <w:style w:type="character" w:styleId="Strong">
    <w:name w:val="Strong"/>
    <w:uiPriority w:val="22"/>
    <w:qFormat/>
    <w:rsid w:val="00094B2C"/>
    <w:rPr>
      <w:b/>
      <w:bCs/>
    </w:rPr>
  </w:style>
  <w:style w:type="character" w:styleId="Emphasis">
    <w:name w:val="Emphasis"/>
    <w:uiPriority w:val="20"/>
    <w:qFormat/>
    <w:rsid w:val="00094B2C"/>
    <w:rPr>
      <w:b/>
      <w:bCs/>
      <w:i/>
      <w:iCs/>
      <w:spacing w:val="10"/>
      <w:bdr w:val="none" w:color="auto" w:sz="0" w:space="0"/>
      <w:shd w:val="clear" w:color="auto" w:fill="auto"/>
    </w:rPr>
  </w:style>
  <w:style w:type="paragraph" w:styleId="NoSpacing">
    <w:name w:val="No Spacing"/>
    <w:basedOn w:val="Normal"/>
    <w:uiPriority w:val="1"/>
    <w:qFormat/>
    <w:rsid w:val="00094B2C"/>
    <w:rPr>
      <w:rFonts w:eastAsia="Calibri"/>
    </w:rPr>
  </w:style>
  <w:style w:type="paragraph" w:styleId="Quote">
    <w:name w:val="Quote"/>
    <w:basedOn w:val="Normal"/>
    <w:next w:val="Normal"/>
    <w:link w:val="QuoteChar"/>
    <w:uiPriority w:val="29"/>
    <w:qFormat/>
    <w:rsid w:val="00094B2C"/>
    <w:pPr>
      <w:spacing w:before="200"/>
      <w:ind w:left="360" w:right="360"/>
    </w:pPr>
    <w:rPr>
      <w:i/>
      <w:iCs/>
    </w:rPr>
  </w:style>
  <w:style w:type="character" w:styleId="QuoteChar" w:customStyle="1">
    <w:name w:val="Quote Char"/>
    <w:link w:val="Quote"/>
    <w:uiPriority w:val="29"/>
    <w:rsid w:val="00094B2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94B2C"/>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094B2C"/>
    <w:rPr>
      <w:rFonts w:eastAsiaTheme="minorHAnsi"/>
      <w:b/>
      <w:bCs/>
      <w:i/>
      <w:iCs/>
      <w:kern w:val="2"/>
      <w:lang w:eastAsia="en-US"/>
      <w14:ligatures w14:val="standardContextual"/>
    </w:rPr>
  </w:style>
  <w:style w:type="character" w:styleId="SubtleEmphasis">
    <w:name w:val="Subtle Emphasis"/>
    <w:uiPriority w:val="19"/>
    <w:qFormat/>
    <w:rsid w:val="00094B2C"/>
    <w:rPr>
      <w:i/>
      <w:iCs/>
    </w:rPr>
  </w:style>
  <w:style w:type="character" w:styleId="IntenseEmphasis">
    <w:name w:val="Intense Emphasis"/>
    <w:uiPriority w:val="21"/>
    <w:qFormat/>
    <w:rsid w:val="00094B2C"/>
    <w:rPr>
      <w:b/>
      <w:bCs/>
    </w:rPr>
  </w:style>
  <w:style w:type="character" w:styleId="SubtleReference">
    <w:name w:val="Subtle Reference"/>
    <w:uiPriority w:val="31"/>
    <w:qFormat/>
    <w:rsid w:val="00094B2C"/>
    <w:rPr>
      <w:smallCaps/>
    </w:rPr>
  </w:style>
  <w:style w:type="character" w:styleId="IntenseReference">
    <w:name w:val="Intense Reference"/>
    <w:uiPriority w:val="32"/>
    <w:qFormat/>
    <w:rsid w:val="00094B2C"/>
    <w:rPr>
      <w:smallCaps/>
      <w:spacing w:val="5"/>
      <w:u w:val="single"/>
    </w:rPr>
  </w:style>
  <w:style w:type="character" w:styleId="BookTitle">
    <w:name w:val="Book Title"/>
    <w:uiPriority w:val="33"/>
    <w:qFormat/>
    <w:rsid w:val="00094B2C"/>
    <w:rPr>
      <w:i/>
      <w:iCs/>
      <w:smallCaps/>
      <w:spacing w:val="5"/>
    </w:rPr>
  </w:style>
  <w:style w:type="paragraph" w:styleId="NICETitle2" w:customStyle="1">
    <w:name w:val="NICE Title 2"/>
    <w:basedOn w:val="Normal"/>
    <w:qFormat/>
    <w:rsid w:val="00094B2C"/>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94B2C"/>
    <w:pPr>
      <w:spacing w:after="120" w:line="480" w:lineRule="auto"/>
    </w:pPr>
  </w:style>
  <w:style w:type="character" w:styleId="BodyText2Char" w:customStyle="1">
    <w:name w:val="Body Text 2 Char"/>
    <w:link w:val="BodyText2"/>
    <w:uiPriority w:val="99"/>
    <w:semiHidden/>
    <w:rsid w:val="00094B2C"/>
    <w:rPr>
      <w:rFonts w:eastAsiaTheme="minorHAnsi"/>
      <w:kern w:val="2"/>
      <w:lang w:eastAsia="en-US"/>
      <w14:ligatures w14:val="standardContextual"/>
    </w:rPr>
  </w:style>
  <w:style w:type="character" w:styleId="UnresolvedMention">
    <w:name w:val="Unresolved Mention"/>
    <w:uiPriority w:val="99"/>
    <w:semiHidden/>
    <w:unhideWhenUsed/>
    <w:rsid w:val="00094B2C"/>
    <w:rPr>
      <w:color w:val="605E5C"/>
      <w:shd w:val="clear" w:color="auto" w:fill="E1DFDD"/>
    </w:rPr>
  </w:style>
  <w:style w:type="paragraph" w:styleId="PGDTitle2" w:customStyle="1">
    <w:name w:val="PGD Title 2"/>
    <w:basedOn w:val="Normal"/>
    <w:rsid w:val="00094B2C"/>
    <w:pPr>
      <w:jc w:val="center"/>
    </w:pPr>
    <w:rPr>
      <w:rFonts w:ascii="Arial" w:hAnsi="Arial"/>
      <w:b/>
      <w:sz w:val="36"/>
      <w:szCs w:val="36"/>
    </w:rPr>
  </w:style>
  <w:style w:type="paragraph" w:styleId="PGDTitle1" w:customStyle="1">
    <w:name w:val="PGD Title 1"/>
    <w:basedOn w:val="Normal"/>
    <w:rsid w:val="00094B2C"/>
    <w:pPr>
      <w:jc w:val="center"/>
    </w:pPr>
    <w:rPr>
      <w:rFonts w:ascii="Arial" w:hAnsi="Arial"/>
      <w:b/>
      <w:bCs/>
      <w:sz w:val="44"/>
    </w:rPr>
  </w:style>
  <w:style w:type="character" w:styleId="PGDVersionNumber" w:customStyle="1">
    <w:name w:val="PGD Version Number"/>
    <w:basedOn w:val="DefaultParagraphFont"/>
    <w:qFormat/>
    <w:rsid w:val="00094B2C"/>
    <w:rPr>
      <w:rFonts w:ascii="Arial" w:hAnsi="Arial"/>
      <w:sz w:val="28"/>
    </w:rPr>
  </w:style>
  <w:style w:type="paragraph" w:styleId="TableHeaderRow" w:customStyle="1">
    <w:name w:val="Table Header Row"/>
    <w:basedOn w:val="Normal"/>
    <w:rsid w:val="00094B2C"/>
    <w:rPr>
      <w:rFonts w:ascii="Arial" w:hAnsi="Arial"/>
      <w:b/>
      <w:bCs/>
    </w:rPr>
  </w:style>
  <w:style w:type="character" w:styleId="PGDNormalBold" w:customStyle="1">
    <w:name w:val="PGD Normal Bold"/>
    <w:basedOn w:val="DefaultParagraphFont"/>
    <w:rsid w:val="00094B2C"/>
    <w:rPr>
      <w:rFonts w:ascii="Arial" w:hAnsi="Arial"/>
      <w:b/>
      <w:bCs/>
    </w:rPr>
  </w:style>
  <w:style w:type="character" w:styleId="TableHeaderColumn" w:customStyle="1">
    <w:name w:val="Table Header Column"/>
    <w:basedOn w:val="DefaultParagraphFont"/>
    <w:rsid w:val="00094B2C"/>
    <w:rPr>
      <w:rFonts w:ascii="Arial" w:hAnsi="Arial"/>
      <w:b/>
      <w:bCs/>
      <w:sz w:val="20"/>
    </w:rPr>
  </w:style>
  <w:style w:type="paragraph" w:styleId="Title1" w:customStyle="1">
    <w:name w:val="Title 1"/>
    <w:basedOn w:val="Title"/>
    <w:qFormat/>
    <w:rsid w:val="00094B2C"/>
    <w:rPr>
      <w:rFonts w:ascii="Arial" w:hAnsi="Arial" w:cs="Arial"/>
      <w:sz w:val="44"/>
      <w:szCs w:val="44"/>
    </w:rPr>
  </w:style>
  <w:style w:type="paragraph" w:styleId="Title2" w:customStyle="1">
    <w:name w:val="Title 2"/>
    <w:basedOn w:val="Title"/>
    <w:qFormat/>
    <w:rsid w:val="00094B2C"/>
    <w:rPr>
      <w:rFonts w:ascii="Arial" w:hAnsi="Arial" w:cs="Arial"/>
      <w:sz w:val="40"/>
      <w:szCs w:val="40"/>
    </w:rPr>
  </w:style>
  <w:style w:type="paragraph" w:styleId="PGDHeading2" w:customStyle="1">
    <w:name w:val="PGD Heading 2"/>
    <w:basedOn w:val="Heading2"/>
    <w:qFormat/>
    <w:rsid w:val="00094B2C"/>
    <w:rPr>
      <w:rFonts w:ascii="Arial" w:hAnsi="Arial" w:cs="Arial"/>
      <w:color w:val="auto"/>
      <w:sz w:val="28"/>
      <w:szCs w:val="28"/>
    </w:rPr>
  </w:style>
  <w:style w:type="table" w:styleId="Tableheading" w:customStyle="1">
    <w:name w:val="Table heading"/>
    <w:basedOn w:val="TableNormal"/>
    <w:uiPriority w:val="99"/>
    <w:rsid w:val="00094B2C"/>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094B2C"/>
    <w:pPr>
      <w:spacing w:line="240" w:lineRule="auto"/>
    </w:pPr>
  </w:style>
  <w:style w:type="paragraph" w:styleId="PGDtablebullet0" w:customStyle="1">
    <w:name w:val="PGD table bullet"/>
    <w:basedOn w:val="Normal"/>
    <w:rsid w:val="00094B2C"/>
    <w:rPr>
      <w:rFonts w:ascii="Arial" w:hAnsi="Arial" w:eastAsia="Times New Roman"/>
    </w:rPr>
  </w:style>
  <w:style w:type="numbering" w:styleId="PGDTableBullet" w:customStyle="1">
    <w:name w:val="PGD Table Bullet"/>
    <w:basedOn w:val="NoList"/>
    <w:uiPriority w:val="99"/>
    <w:rsid w:val="00094B2C"/>
    <w:pPr>
      <w:numPr>
        <w:numId w:val="13"/>
      </w:numPr>
    </w:pPr>
  </w:style>
  <w:style w:type="paragraph" w:styleId="StyleLatinArialAfter0ptLinespacingsingle" w:customStyle="1">
    <w:name w:val="Style (Latin) Arial After:  0 pt Line spacing:  single"/>
    <w:basedOn w:val="Normal"/>
    <w:rsid w:val="00094B2C"/>
    <w:rPr>
      <w:rFonts w:ascii="Arial" w:hAnsi="Arial" w:eastAsia="Times New Roman"/>
    </w:rPr>
  </w:style>
  <w:style w:type="paragraph" w:styleId="PGDlogo" w:customStyle="1">
    <w:name w:val="PGD logo"/>
    <w:basedOn w:val="NICEnormal"/>
    <w:rsid w:val="00094B2C"/>
    <w:pPr>
      <w:jc w:val="right"/>
    </w:pPr>
  </w:style>
  <w:style w:type="paragraph" w:styleId="PGDLogo0" w:customStyle="1">
    <w:name w:val="PGD Logo"/>
    <w:basedOn w:val="PGDNormal"/>
    <w:rsid w:val="00094B2C"/>
    <w:pPr>
      <w:jc w:val="right"/>
    </w:pPr>
  </w:style>
  <w:style w:type="paragraph" w:styleId="PGDVersion" w:customStyle="1">
    <w:name w:val="PGD Version"/>
    <w:basedOn w:val="Normal"/>
    <w:rsid w:val="00094B2C"/>
    <w:pPr>
      <w:jc w:val="center"/>
    </w:pPr>
    <w:rPr>
      <w:rFonts w:ascii="Arial" w:hAnsi="Arial" w:eastAsia="Times New Roman"/>
      <w:sz w:val="28"/>
    </w:rPr>
  </w:style>
  <w:style w:type="numbering" w:styleId="PGDtablebullet2" w:customStyle="1">
    <w:name w:val="PGD table bullet 2"/>
    <w:basedOn w:val="NoList"/>
    <w:rsid w:val="00094B2C"/>
    <w:pPr>
      <w:numPr>
        <w:numId w:val="15"/>
      </w:numPr>
    </w:pPr>
  </w:style>
  <w:style w:type="numbering" w:styleId="PGDbullet2" w:customStyle="1">
    <w:name w:val="PGD bullet 2"/>
    <w:basedOn w:val="NoList"/>
    <w:rsid w:val="00094B2C"/>
    <w:pPr>
      <w:numPr>
        <w:numId w:val="18"/>
      </w:numPr>
    </w:pPr>
  </w:style>
  <w:style w:type="numbering" w:styleId="PGDtablebullet1" w:customStyle="1">
    <w:name w:val="PGD table bullet 1"/>
    <w:basedOn w:val="NoList"/>
    <w:rsid w:val="00094B2C"/>
    <w:pPr>
      <w:numPr>
        <w:numId w:val="20"/>
      </w:numPr>
    </w:pPr>
  </w:style>
  <w:style w:type="character" w:styleId="BodyTextChar" w:customStyle="1">
    <w:name w:val="Body Text Char"/>
    <w:basedOn w:val="DefaultParagraphFont"/>
    <w:link w:val="BodyText"/>
    <w:rsid w:val="00094B2C"/>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094B2C"/>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094B2C"/>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094B2C"/>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www.medicines.org.uk/emc/product/890/smpc" TargetMode="External" Id="rId18" /><Relationship Type="http://schemas.openxmlformats.org/officeDocument/2006/relationships/hyperlink" Target="https://www.sor.org/learning-advice/professional-practice/areas-of-practice/obtaining-consent" TargetMode="External" Id="rId26" /><Relationship Type="http://schemas.openxmlformats.org/officeDocument/2006/relationships/header" Target="header2.xml" Id="rId39" /><Relationship Type="http://schemas.openxmlformats.org/officeDocument/2006/relationships/hyperlink" Target="https://products.mhra.gov.uk/substance/?substance=GADOPICLENOL" TargetMode="External" Id="rId21" /><Relationship Type="http://schemas.openxmlformats.org/officeDocument/2006/relationships/hyperlink" Target="https://www.rcr.ac.uk/our-services/all-our-publications/clinical-radiology-publications/guidance-on-the-use-of-ct-colonography-for-suspected-colorectal-cancer/"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medicines.org.uk/emc/product/890/smpc" TargetMode="External" Id="rId16" /><Relationship Type="http://schemas.openxmlformats.org/officeDocument/2006/relationships/hyperlink" Target="https://yellowcard.mhra.gov.uk/" TargetMode="External" Id="rId20" /><Relationship Type="http://schemas.openxmlformats.org/officeDocument/2006/relationships/hyperlink" Target="https://www.sps.nhs.uk/articles/using-gastrointestinal-antispasmodics-during-breastfeeding/" TargetMode="External" Id="rId29" /><Relationship Type="http://schemas.openxmlformats.org/officeDocument/2006/relationships/header" Target="head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medicines.org.uk/emc/product/890/smpc" TargetMode="External" Id="rId24" /><Relationship Type="http://schemas.openxmlformats.org/officeDocument/2006/relationships/hyperlink" Target="https://www.gov.uk/government/publications/bowel-cancer-screening-imaging-use/bowel-cancer-screening-guidelines-for-ctc-imaging" TargetMode="External" Id="rId32" /><Relationship Type="http://schemas.openxmlformats.org/officeDocument/2006/relationships/hyperlink" Target="https://www.rcr.ac.uk/career-development/audit-quality-improvement/auditlive-radiology-templates/audit-on-safe-use-of-hyoscine-n-butyl-bromide-buscopan-in-patients-with-significant-pre-existing-cardiac-conditions-for-radiologic-procedures/"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https://www.sps.nhs.uk/articles/using-gastrointestinal-antispasmodics-during-breastfeeding/" TargetMode="External" Id="rId23" /><Relationship Type="http://schemas.openxmlformats.org/officeDocument/2006/relationships/hyperlink" Target="https://www.rcr.ac.uk/news-policy/latest-updates/rcr-and-sor-statement-on-patients-who-are-breastfeeding-who-require-a-ct-or-mri-with-contrast/" TargetMode="External" Id="rId28" /><Relationship Type="http://schemas.openxmlformats.org/officeDocument/2006/relationships/hyperlink" Target="https://www.rcr.ac.uk/career-development/audit-quality-improvement/auditlive-radiology-templates/assess-diagnostic-quality-of-multiparametric-prostate-mri-scans-using-piqual-scoring-system/" TargetMode="External" Id="rId36" /><Relationship Type="http://schemas.openxmlformats.org/officeDocument/2006/relationships/endnotes" Target="endnotes.xml" Id="rId10" /><Relationship Type="http://schemas.openxmlformats.org/officeDocument/2006/relationships/hyperlink" Target="https://www.medicines.org.uk/emc/product/890/smpc" TargetMode="External" Id="rId19" /><Relationship Type="http://schemas.openxmlformats.org/officeDocument/2006/relationships/hyperlink" Target="https://www.medusaimg.nhs.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medicines.org.uk/emc/product/890/smpc" TargetMode="External" Id="rId22" /><Relationship Type="http://schemas.openxmlformats.org/officeDocument/2006/relationships/hyperlink" Target="https://www.rpharms.com/making-a-difference/projects-and-campaigns/safe-and-secure-handling-of-medicines" TargetMode="External" Id="rId27" /><Relationship Type="http://schemas.openxmlformats.org/officeDocument/2006/relationships/hyperlink" Target="https://www.gov.uk/drug-safety-update/hyoscine-butylbromide-buscopan-injection-risk-of-serious-adverse-effects-in-patients-with-underlying-cardiac-disease" TargetMode="External" Id="rId30" /><Relationship Type="http://schemas.openxmlformats.org/officeDocument/2006/relationships/hyperlink" Target="https://www.bsgar.org/static/uploads/BFCR(14)2_2_General.pdf"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sps.nhs.uk/home/guidance/patient-group-directions/templates/" TargetMode="External" Id="rId12" /><Relationship Type="http://schemas.openxmlformats.org/officeDocument/2006/relationships/hyperlink" Target="https://www.medusaimg.nhs.uk/" TargetMode="External" Id="rId17" /><Relationship Type="http://schemas.openxmlformats.org/officeDocument/2006/relationships/hyperlink" Target="https://www.pharmaceuticalpress.com/bnf-and-bnfc/" TargetMode="External" Id="rId25" /><Relationship Type="http://schemas.openxmlformats.org/officeDocument/2006/relationships/hyperlink" Target="https://www.bsgar.org/mediacentre/news/joint-rcr-and-bsgar-position-statement-on-the-mhra-alert-20-february-2017-hyoscine-butylbromide-buscopan-injection/" TargetMode="External" Id="rId33" /><Relationship Type="http://schemas.openxmlformats.org/officeDocument/2006/relationships/header" Target="head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2027-09-30T23:00:00+00:00</ReviewDate>
    <Versionnumber xmlns="f161132f-3af4-47f5-b28f-8075dccddbe8">1</Versionnumber>
    <ProgrammeBoardMeeting xmlns="f161132f-3af4-47f5-b28f-8075dccddbe8">2027-10-20T23:00:00+00:00</ProgrammeBoardMeeting>
    <PublishedDate xmlns="f161132f-3af4-47f5-b28f-8075dccddbe8">2025-04-23T23:00:00+00:00</PublishedDat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Props1.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6F8707D8-15C3-4C46-A3FF-3D5979F5D913}"/>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39</revision>
  <lastPrinted>2017-03-27T13:58:00.0000000Z</lastPrinted>
  <dcterms:created xsi:type="dcterms:W3CDTF">2025-07-31T16:34:00.0000000Z</dcterms:created>
  <dcterms:modified xsi:type="dcterms:W3CDTF">2025-09-10T11:07:30.7684966Z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