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862949" w14:paraId="660452EF" w14:textId="77777777" w:rsidTr="009B0BCE">
        <w:trPr>
          <w:trHeight w:val="192"/>
        </w:trPr>
        <w:tc>
          <w:tcPr>
            <w:tcW w:w="5000" w:type="pct"/>
            <w:shd w:val="clear" w:color="auto" w:fill="auto"/>
            <w:tcMar>
              <w:top w:w="57" w:type="dxa"/>
              <w:bottom w:w="57" w:type="dxa"/>
            </w:tcMar>
          </w:tcPr>
          <w:p w14:paraId="7A5D3D44" w14:textId="77777777" w:rsidR="00D2402E" w:rsidRPr="00E369CC" w:rsidRDefault="00860B89" w:rsidP="00F81A28">
            <w:pPr>
              <w:jc w:val="right"/>
              <w:rPr>
                <w:rFonts w:cs="Arial"/>
                <w:b/>
                <w:bCs/>
                <w:iCs/>
                <w:color w:val="0070C0"/>
                <w:sz w:val="15"/>
                <w:szCs w:val="15"/>
                <w:lang w:val="en-US"/>
              </w:rPr>
            </w:pPr>
            <w:r>
              <w:rPr>
                <w:rFonts w:cs="Arial"/>
                <w:b/>
                <w:bCs/>
                <w:iCs/>
                <w:color w:val="333399"/>
                <w:sz w:val="15"/>
                <w:szCs w:val="15"/>
                <w:lang w:val="en-US"/>
              </w:rPr>
              <w:t xml:space="preserve">  </w:t>
            </w:r>
            <w:r w:rsidR="00A3053B">
              <w:rPr>
                <w:rFonts w:cs="Arial"/>
                <w:b/>
                <w:bCs/>
                <w:iCs/>
                <w:color w:val="333399"/>
                <w:sz w:val="15"/>
                <w:szCs w:val="15"/>
                <w:lang w:val="en-US"/>
              </w:rPr>
              <w:t xml:space="preserve"> </w:t>
            </w:r>
            <w:r w:rsidR="00AB34E3" w:rsidRPr="00862949">
              <w:rPr>
                <w:rFonts w:cs="Arial"/>
                <w:b/>
                <w:bCs/>
                <w:iCs/>
                <w:color w:val="333399"/>
                <w:sz w:val="15"/>
                <w:szCs w:val="15"/>
                <w:lang w:val="en-US"/>
              </w:rPr>
              <w:t xml:space="preserve"> </w:t>
            </w:r>
            <w:r w:rsidR="009C539A" w:rsidRPr="00862949">
              <w:rPr>
                <w:rFonts w:cs="Arial"/>
                <w:b/>
                <w:bCs/>
                <w:iCs/>
                <w:color w:val="333399"/>
                <w:sz w:val="15"/>
                <w:szCs w:val="15"/>
                <w:lang w:val="en-US"/>
              </w:rPr>
              <w:t xml:space="preserve"> </w:t>
            </w:r>
            <w:hyperlink r:id="rId11" w:tgtFrame="_blank" w:history="1">
              <w:r w:rsidR="00F81A28" w:rsidRPr="009B0BCE">
                <w:rPr>
                  <w:rStyle w:val="Hyperlink"/>
                  <w:rFonts w:ascii="Arial" w:hAnsi="Arial" w:cs="Arial"/>
                  <w:b/>
                  <w:bCs/>
                  <w:iCs/>
                  <w:color w:val="0070C0"/>
                  <w:sz w:val="20"/>
                  <w:szCs w:val="15"/>
                  <w:lang w:val="en-US"/>
                </w:rPr>
                <w:t>SPS</w:t>
              </w:r>
              <w:r w:rsidR="00D2402E" w:rsidRPr="009B0BCE">
                <w:rPr>
                  <w:rStyle w:val="Hyperlink"/>
                  <w:rFonts w:ascii="Arial" w:hAnsi="Arial" w:cs="Arial"/>
                  <w:b/>
                  <w:bCs/>
                  <w:iCs/>
                  <w:color w:val="0070C0"/>
                  <w:sz w:val="20"/>
                  <w:szCs w:val="15"/>
                  <w:lang w:val="en-US"/>
                </w:rPr>
                <w:t xml:space="preserve"> home</w:t>
              </w:r>
            </w:hyperlink>
            <w:r w:rsidR="00D2402E" w:rsidRPr="009B0BCE">
              <w:rPr>
                <w:rFonts w:cs="Arial"/>
                <w:b/>
                <w:bCs/>
                <w:iCs/>
                <w:color w:val="0070C0"/>
                <w:sz w:val="20"/>
                <w:szCs w:val="15"/>
                <w:lang w:val="en-US"/>
              </w:rPr>
              <w:t xml:space="preserve"> | </w:t>
            </w:r>
            <w:hyperlink r:id="rId12" w:history="1">
              <w:r w:rsidR="00D2402E" w:rsidRPr="009B0BCE">
                <w:rPr>
                  <w:rStyle w:val="Hyperlink"/>
                  <w:rFonts w:ascii="Arial" w:hAnsi="Arial" w:cs="Arial"/>
                  <w:b/>
                  <w:bCs/>
                  <w:iCs/>
                  <w:color w:val="0070C0"/>
                  <w:sz w:val="20"/>
                  <w:szCs w:val="15"/>
                  <w:lang w:val="en-US"/>
                </w:rPr>
                <w:t>Contact</w:t>
              </w:r>
            </w:hyperlink>
          </w:p>
        </w:tc>
      </w:tr>
    </w:tbl>
    <w:p w14:paraId="4EEE9721" w14:textId="77777777" w:rsidR="00B85859"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3011"/>
        <w:gridCol w:w="7540"/>
      </w:tblGrid>
      <w:tr w:rsidR="0020101A" w:rsidRPr="00862949" w14:paraId="5E8BEE0E" w14:textId="77777777" w:rsidTr="002772ED">
        <w:tc>
          <w:tcPr>
            <w:tcW w:w="5000" w:type="pct"/>
            <w:gridSpan w:val="2"/>
            <w:shd w:val="clear" w:color="auto" w:fill="0070C0"/>
            <w:tcMar>
              <w:top w:w="85" w:type="dxa"/>
              <w:bottom w:w="85" w:type="dxa"/>
            </w:tcMar>
            <w:vAlign w:val="bottom"/>
          </w:tcPr>
          <w:p w14:paraId="3228B3F1" w14:textId="77777777" w:rsidR="0020101A" w:rsidRPr="00862949" w:rsidRDefault="0020101A" w:rsidP="00720F9E">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20101A" w:rsidRPr="00862949" w14:paraId="4534F13A" w14:textId="77777777" w:rsidTr="002772ED">
        <w:tc>
          <w:tcPr>
            <w:tcW w:w="5000" w:type="pct"/>
            <w:gridSpan w:val="2"/>
            <w:shd w:val="clear" w:color="auto" w:fill="DAEEF3"/>
            <w:tcMar>
              <w:top w:w="0" w:type="dxa"/>
              <w:bottom w:w="0" w:type="dxa"/>
            </w:tcMar>
          </w:tcPr>
          <w:p w14:paraId="39387032" w14:textId="77777777" w:rsidR="0020101A" w:rsidRPr="00862949" w:rsidRDefault="0020101A" w:rsidP="00720F9E">
            <w:pPr>
              <w:rPr>
                <w:rFonts w:cs="Arial"/>
                <w:b/>
                <w:bCs/>
                <w:i/>
                <w:iCs/>
                <w:color w:val="000000"/>
                <w:sz w:val="8"/>
                <w:szCs w:val="8"/>
                <w:lang w:val="en-US"/>
              </w:rPr>
            </w:pPr>
          </w:p>
        </w:tc>
      </w:tr>
      <w:tr w:rsidR="0020101A" w:rsidRPr="00862949" w14:paraId="5D81D3E5" w14:textId="77777777" w:rsidTr="00562CE4">
        <w:tc>
          <w:tcPr>
            <w:tcW w:w="5000" w:type="pct"/>
            <w:gridSpan w:val="2"/>
            <w:shd w:val="clear" w:color="auto" w:fill="008232"/>
            <w:tcMar>
              <w:top w:w="57" w:type="dxa"/>
              <w:bottom w:w="57" w:type="dxa"/>
            </w:tcMar>
          </w:tcPr>
          <w:p w14:paraId="1B17075A" w14:textId="77777777" w:rsidR="0020101A" w:rsidRPr="00433D3E" w:rsidRDefault="0020101A" w:rsidP="00720F9E">
            <w:pPr>
              <w:rPr>
                <w:rFonts w:cs="Arial"/>
                <w:color w:val="FFFFFF"/>
                <w:sz w:val="20"/>
                <w:szCs w:val="20"/>
              </w:rPr>
            </w:pPr>
            <w:r w:rsidRPr="00433D3E">
              <w:rPr>
                <w:rFonts w:cs="Arial"/>
                <w:b/>
                <w:bCs/>
                <w:i/>
                <w:iCs/>
                <w:color w:val="FFFFFF"/>
                <w:sz w:val="22"/>
                <w:szCs w:val="20"/>
                <w:lang w:val="en-US"/>
              </w:rPr>
              <w:t>Launched in the UK (or licence change for existing products)</w:t>
            </w:r>
          </w:p>
        </w:tc>
      </w:tr>
      <w:tr w:rsidR="00C93835" w:rsidRPr="00131D4C" w14:paraId="1993A660" w14:textId="77777777" w:rsidTr="00E7028D">
        <w:tc>
          <w:tcPr>
            <w:tcW w:w="1427" w:type="pct"/>
            <w:shd w:val="clear" w:color="auto" w:fill="auto"/>
            <w:tcMar>
              <w:top w:w="57" w:type="dxa"/>
              <w:left w:w="170" w:type="dxa"/>
              <w:bottom w:w="57" w:type="dxa"/>
              <w:right w:w="170" w:type="dxa"/>
            </w:tcMar>
          </w:tcPr>
          <w:p w14:paraId="36B78E23" w14:textId="77777777" w:rsidR="00C93835" w:rsidRDefault="00C93835" w:rsidP="00C93835">
            <w:pPr>
              <w:rPr>
                <w:rFonts w:cs="Arial"/>
                <w:color w:val="000000" w:themeColor="text1"/>
                <w:szCs w:val="19"/>
              </w:rPr>
            </w:pPr>
            <w:proofErr w:type="spellStart"/>
            <w:r w:rsidRPr="00932460">
              <w:rPr>
                <w:rFonts w:cs="Arial"/>
                <w:color w:val="000000" w:themeColor="text1"/>
                <w:szCs w:val="19"/>
              </w:rPr>
              <w:t>Baloxavir</w:t>
            </w:r>
            <w:proofErr w:type="spellEnd"/>
            <w:r w:rsidRPr="00932460">
              <w:rPr>
                <w:rFonts w:cs="Arial"/>
                <w:color w:val="000000" w:themeColor="text1"/>
                <w:szCs w:val="19"/>
              </w:rPr>
              <w:t xml:space="preserve"> (</w:t>
            </w:r>
            <w:proofErr w:type="spellStart"/>
            <w:r w:rsidRPr="00932460">
              <w:rPr>
                <w:rFonts w:cs="Arial"/>
                <w:i/>
                <w:iCs/>
                <w:color w:val="000000" w:themeColor="text1"/>
                <w:szCs w:val="19"/>
              </w:rPr>
              <w:t>Xofluza</w:t>
            </w:r>
            <w:proofErr w:type="spellEnd"/>
            <w:r w:rsidRPr="00932460">
              <w:rPr>
                <w:rFonts w:cs="Arial"/>
                <w:color w:val="000000" w:themeColor="text1"/>
                <w:szCs w:val="19"/>
              </w:rPr>
              <w:t>)</w:t>
            </w:r>
          </w:p>
          <w:p w14:paraId="58AAEDFA" w14:textId="62324010" w:rsidR="00C93835" w:rsidRPr="00144B3A" w:rsidRDefault="00211F20" w:rsidP="00C93835">
            <w:pPr>
              <w:rPr>
                <w:rFonts w:cs="Arial"/>
                <w:szCs w:val="19"/>
              </w:rPr>
            </w:pPr>
            <w:r w:rsidRPr="00211F20">
              <w:rPr>
                <w:rFonts w:cs="Arial"/>
                <w:sz w:val="16"/>
                <w:szCs w:val="16"/>
              </w:rPr>
              <w:t>40mg and 80mg tablets, and 2mg/mL granules for oral suspension</w:t>
            </w:r>
          </w:p>
        </w:tc>
        <w:tc>
          <w:tcPr>
            <w:tcW w:w="3573" w:type="pct"/>
            <w:shd w:val="clear" w:color="auto" w:fill="auto"/>
            <w:tcMar>
              <w:top w:w="57" w:type="dxa"/>
              <w:left w:w="170" w:type="dxa"/>
              <w:bottom w:w="57" w:type="dxa"/>
              <w:right w:w="170" w:type="dxa"/>
            </w:tcMar>
          </w:tcPr>
          <w:p w14:paraId="378B0BD1" w14:textId="77777777" w:rsidR="00DC4DBF" w:rsidRDefault="00C93835" w:rsidP="00DC4DBF">
            <w:pPr>
              <w:tabs>
                <w:tab w:val="center" w:pos="3152"/>
              </w:tabs>
              <w:rPr>
                <w:rFonts w:cs="Arial"/>
                <w:color w:val="000000" w:themeColor="text1"/>
                <w:szCs w:val="19"/>
              </w:rPr>
            </w:pPr>
            <w:r w:rsidRPr="00932460">
              <w:rPr>
                <w:rFonts w:cs="Arial"/>
                <w:color w:val="000000" w:themeColor="text1"/>
                <w:szCs w:val="19"/>
              </w:rPr>
              <w:t>Treatment of uncomplicated influenza in patients aged ≥3 weeks and post</w:t>
            </w:r>
            <w:r w:rsidRPr="00932460">
              <w:rPr>
                <w:rFonts w:ascii="Cambria Math" w:hAnsi="Cambria Math" w:cs="Cambria Math"/>
                <w:color w:val="000000" w:themeColor="text1"/>
                <w:szCs w:val="19"/>
              </w:rPr>
              <w:t>‑</w:t>
            </w:r>
            <w:r w:rsidRPr="00932460">
              <w:rPr>
                <w:rFonts w:cs="Arial"/>
                <w:color w:val="000000" w:themeColor="text1"/>
                <w:szCs w:val="19"/>
              </w:rPr>
              <w:t>exposure prophylaxis of influenza in individuals aged ≥3 weeks</w:t>
            </w:r>
            <w:r w:rsidR="00DC4DBF">
              <w:rPr>
                <w:rFonts w:cs="Arial"/>
                <w:color w:val="000000" w:themeColor="text1"/>
                <w:szCs w:val="19"/>
              </w:rPr>
              <w:t xml:space="preserve"> </w:t>
            </w:r>
          </w:p>
          <w:p w14:paraId="30787E57" w14:textId="0A7EA4F5" w:rsidR="00C93835" w:rsidRPr="009C4947" w:rsidRDefault="00C93835" w:rsidP="00DC4DBF">
            <w:pPr>
              <w:tabs>
                <w:tab w:val="center" w:pos="3152"/>
              </w:tabs>
              <w:rPr>
                <w:rFonts w:cs="Arial"/>
                <w:szCs w:val="19"/>
                <w:lang w:val="en-US"/>
              </w:rPr>
            </w:pPr>
            <w:r w:rsidRPr="00932460">
              <w:rPr>
                <w:rFonts w:cs="Arial"/>
                <w:color w:val="000000" w:themeColor="text1"/>
                <w:sz w:val="16"/>
                <w:szCs w:val="16"/>
              </w:rPr>
              <w:t>[licence change from use only in people aged ≥1 year]</w:t>
            </w:r>
          </w:p>
        </w:tc>
      </w:tr>
      <w:tr w:rsidR="00C93835" w:rsidRPr="00131D4C" w14:paraId="2C2DC284" w14:textId="77777777" w:rsidTr="00E7028D">
        <w:tc>
          <w:tcPr>
            <w:tcW w:w="1427" w:type="pct"/>
            <w:shd w:val="clear" w:color="auto" w:fill="auto"/>
            <w:tcMar>
              <w:top w:w="57" w:type="dxa"/>
              <w:left w:w="170" w:type="dxa"/>
              <w:bottom w:w="57" w:type="dxa"/>
              <w:right w:w="170" w:type="dxa"/>
            </w:tcMar>
          </w:tcPr>
          <w:p w14:paraId="75B6A857" w14:textId="77777777" w:rsidR="00C93835" w:rsidRDefault="00C93835" w:rsidP="00C93835">
            <w:pPr>
              <w:rPr>
                <w:rFonts w:cs="Arial"/>
                <w:szCs w:val="19"/>
              </w:rPr>
            </w:pPr>
            <w:r w:rsidRPr="00144B3A">
              <w:rPr>
                <w:rFonts w:cs="Arial"/>
                <w:szCs w:val="19"/>
              </w:rPr>
              <w:t xml:space="preserve">Brentuximab </w:t>
            </w:r>
            <w:proofErr w:type="spellStart"/>
            <w:r w:rsidRPr="00144B3A">
              <w:rPr>
                <w:rFonts w:cs="Arial"/>
                <w:szCs w:val="19"/>
              </w:rPr>
              <w:t>vedotin</w:t>
            </w:r>
            <w:proofErr w:type="spellEnd"/>
            <w:r>
              <w:rPr>
                <w:rFonts w:cs="Arial"/>
                <w:szCs w:val="19"/>
              </w:rPr>
              <w:t xml:space="preserve"> (</w:t>
            </w:r>
            <w:proofErr w:type="spellStart"/>
            <w:r>
              <w:rPr>
                <w:rFonts w:cs="Arial"/>
                <w:i/>
                <w:iCs/>
                <w:szCs w:val="19"/>
              </w:rPr>
              <w:t>Adcetris</w:t>
            </w:r>
            <w:proofErr w:type="spellEnd"/>
            <w:r>
              <w:rPr>
                <w:rFonts w:cs="Arial"/>
                <w:szCs w:val="19"/>
              </w:rPr>
              <w:t>)</w:t>
            </w:r>
          </w:p>
          <w:p w14:paraId="50627163" w14:textId="54CA156C" w:rsidR="001A14B7" w:rsidRPr="00CB7CB1" w:rsidRDefault="001A14B7" w:rsidP="00C93835">
            <w:pPr>
              <w:rPr>
                <w:rFonts w:cs="Arial"/>
                <w:szCs w:val="19"/>
              </w:rPr>
            </w:pPr>
            <w:r w:rsidRPr="001A14B7">
              <w:rPr>
                <w:rFonts w:cs="Arial"/>
                <w:sz w:val="16"/>
                <w:szCs w:val="16"/>
              </w:rPr>
              <w:t>50mg vial</w:t>
            </w:r>
          </w:p>
        </w:tc>
        <w:tc>
          <w:tcPr>
            <w:tcW w:w="3573" w:type="pct"/>
            <w:shd w:val="clear" w:color="auto" w:fill="auto"/>
            <w:tcMar>
              <w:top w:w="57" w:type="dxa"/>
              <w:left w:w="170" w:type="dxa"/>
              <w:bottom w:w="57" w:type="dxa"/>
              <w:right w:w="170" w:type="dxa"/>
            </w:tcMar>
          </w:tcPr>
          <w:p w14:paraId="6BA4CBDD" w14:textId="5FE915FC" w:rsidR="00C93835" w:rsidRDefault="00C93835" w:rsidP="00C93835">
            <w:pPr>
              <w:tabs>
                <w:tab w:val="center" w:pos="3152"/>
              </w:tabs>
              <w:rPr>
                <w:rFonts w:cs="Arial"/>
                <w:bCs/>
                <w:szCs w:val="19"/>
              </w:rPr>
            </w:pPr>
            <w:r w:rsidRPr="00D24796">
              <w:rPr>
                <w:rFonts w:cs="Arial"/>
                <w:szCs w:val="19"/>
                <w:lang w:val="en-US"/>
              </w:rPr>
              <w:t xml:space="preserve">Use for adults with previously untreated CD30+ Stage IIB with risk factors, Stage III or Stage IV </w:t>
            </w:r>
            <w:r w:rsidRPr="003F6A48">
              <w:rPr>
                <w:rFonts w:cs="Arial"/>
                <w:szCs w:val="19"/>
              </w:rPr>
              <w:t>Hodgkin lymphoma</w:t>
            </w:r>
            <w:r w:rsidRPr="00D24796">
              <w:rPr>
                <w:rFonts w:cs="Arial"/>
                <w:szCs w:val="19"/>
                <w:lang w:val="en-US"/>
              </w:rPr>
              <w:t xml:space="preserve"> in combination with etoposide, cyclophosphamide, doxorubicin, dacarbazine, dexamethasone (</w:t>
            </w:r>
            <w:proofErr w:type="spellStart"/>
            <w:r w:rsidRPr="00D24796">
              <w:rPr>
                <w:rFonts w:cs="Arial"/>
                <w:szCs w:val="19"/>
                <w:lang w:val="en-US"/>
              </w:rPr>
              <w:t>BrECADD</w:t>
            </w:r>
            <w:proofErr w:type="spellEnd"/>
            <w:r w:rsidRPr="00D24796">
              <w:rPr>
                <w:rFonts w:cs="Arial"/>
                <w:szCs w:val="19"/>
                <w:lang w:val="en-US"/>
              </w:rPr>
              <w:t>)</w:t>
            </w:r>
            <w:r>
              <w:rPr>
                <w:rFonts w:cs="Arial"/>
                <w:szCs w:val="19"/>
                <w:lang w:val="en-US"/>
              </w:rPr>
              <w:t xml:space="preserve"> </w:t>
            </w:r>
            <w:r w:rsidRPr="009A3CB4">
              <w:rPr>
                <w:rFonts w:cs="Arial"/>
                <w:sz w:val="16"/>
                <w:szCs w:val="16"/>
                <w:lang w:val="en-US"/>
              </w:rPr>
              <w:t>[new indication]</w:t>
            </w:r>
          </w:p>
        </w:tc>
      </w:tr>
      <w:tr w:rsidR="00C93835" w:rsidRPr="00131D4C" w14:paraId="3D18D816" w14:textId="77777777" w:rsidTr="00E7028D">
        <w:tc>
          <w:tcPr>
            <w:tcW w:w="1427" w:type="pct"/>
            <w:shd w:val="clear" w:color="auto" w:fill="auto"/>
            <w:tcMar>
              <w:top w:w="57" w:type="dxa"/>
              <w:left w:w="170" w:type="dxa"/>
              <w:bottom w:w="57" w:type="dxa"/>
              <w:right w:w="170" w:type="dxa"/>
            </w:tcMar>
          </w:tcPr>
          <w:p w14:paraId="52FFA832" w14:textId="77777777" w:rsidR="0061241B" w:rsidRDefault="0061241B" w:rsidP="00C93835">
            <w:pPr>
              <w:rPr>
                <w:rFonts w:cs="Arial"/>
                <w:szCs w:val="19"/>
              </w:rPr>
            </w:pPr>
            <w:r w:rsidRPr="0061241B">
              <w:rPr>
                <w:rFonts w:cs="Arial"/>
                <w:szCs w:val="19"/>
              </w:rPr>
              <w:t>Ceftazidime + avibactam </w:t>
            </w:r>
          </w:p>
          <w:p w14:paraId="1FD8BF3A" w14:textId="77777777" w:rsidR="00760D2A" w:rsidRDefault="0061241B" w:rsidP="0066385B">
            <w:pPr>
              <w:rPr>
                <w:rFonts w:cs="Arial"/>
                <w:szCs w:val="19"/>
              </w:rPr>
            </w:pPr>
            <w:r>
              <w:rPr>
                <w:rFonts w:cs="Arial"/>
                <w:szCs w:val="19"/>
              </w:rPr>
              <w:t>(</w:t>
            </w:r>
            <w:proofErr w:type="spellStart"/>
            <w:r>
              <w:rPr>
                <w:rFonts w:cs="Arial"/>
                <w:i/>
                <w:iCs/>
                <w:szCs w:val="19"/>
              </w:rPr>
              <w:t>Zavicefta</w:t>
            </w:r>
            <w:proofErr w:type="spellEnd"/>
            <w:r>
              <w:rPr>
                <w:rFonts w:cs="Arial"/>
                <w:szCs w:val="19"/>
              </w:rPr>
              <w:t>)</w:t>
            </w:r>
            <w:r w:rsidR="0066385B">
              <w:rPr>
                <w:rFonts w:cs="Arial"/>
                <w:szCs w:val="19"/>
              </w:rPr>
              <w:t xml:space="preserve"> </w:t>
            </w:r>
          </w:p>
          <w:p w14:paraId="728C04B6" w14:textId="40A1F249" w:rsidR="0066385B" w:rsidRPr="0061241B" w:rsidRDefault="0066385B" w:rsidP="0066385B">
            <w:pPr>
              <w:rPr>
                <w:rFonts w:cs="Arial"/>
                <w:szCs w:val="19"/>
              </w:rPr>
            </w:pPr>
            <w:r w:rsidRPr="0066385B">
              <w:rPr>
                <w:rFonts w:cs="Arial"/>
                <w:sz w:val="16"/>
                <w:szCs w:val="16"/>
              </w:rPr>
              <w:t>2g/0.5g vial</w:t>
            </w:r>
          </w:p>
        </w:tc>
        <w:tc>
          <w:tcPr>
            <w:tcW w:w="3573" w:type="pct"/>
            <w:shd w:val="clear" w:color="auto" w:fill="auto"/>
            <w:tcMar>
              <w:top w:w="57" w:type="dxa"/>
              <w:left w:w="170" w:type="dxa"/>
              <w:bottom w:w="57" w:type="dxa"/>
              <w:right w:w="170" w:type="dxa"/>
            </w:tcMar>
          </w:tcPr>
          <w:p w14:paraId="47FA06AC" w14:textId="77777777" w:rsidR="00E7028D" w:rsidRDefault="00760D2A" w:rsidP="00DC4DBF">
            <w:pPr>
              <w:tabs>
                <w:tab w:val="center" w:pos="3152"/>
              </w:tabs>
              <w:rPr>
                <w:rFonts w:cs="Arial"/>
                <w:szCs w:val="19"/>
                <w:lang w:val="en-US"/>
              </w:rPr>
            </w:pPr>
            <w:r w:rsidRPr="00760D2A">
              <w:rPr>
                <w:rFonts w:cs="Arial"/>
                <w:szCs w:val="19"/>
                <w:lang w:val="en-US"/>
              </w:rPr>
              <w:t xml:space="preserve">Use in adults and paediatric patients from birth for the treatment of the following infections: Complicated intra-abdominal infection, complicated urinary tract infection, including pyelonephritis, hospital-acquired pneumonia, including ventilator associated pneumonia. Also treatment of adults with </w:t>
            </w:r>
            <w:proofErr w:type="spellStart"/>
            <w:r w:rsidRPr="00760D2A">
              <w:rPr>
                <w:rFonts w:cs="Arial"/>
                <w:szCs w:val="19"/>
                <w:lang w:val="en-US"/>
              </w:rPr>
              <w:t>bacteraemia</w:t>
            </w:r>
            <w:proofErr w:type="spellEnd"/>
            <w:r w:rsidRPr="00760D2A">
              <w:rPr>
                <w:rFonts w:cs="Arial"/>
                <w:szCs w:val="19"/>
                <w:lang w:val="en-US"/>
              </w:rPr>
              <w:t xml:space="preserve"> that occurs in association with, or is suspected to be associated with, any of the infections listed above. Also for the treatment of infections due to aerobic Gram-negative organisms in adults and paediatric patients from birth with limited treatment options</w:t>
            </w:r>
            <w:r>
              <w:rPr>
                <w:rFonts w:cs="Arial"/>
                <w:szCs w:val="19"/>
                <w:lang w:val="en-US"/>
              </w:rPr>
              <w:t xml:space="preserve"> </w:t>
            </w:r>
          </w:p>
          <w:p w14:paraId="009DB441" w14:textId="2D7A4D73" w:rsidR="00C93835" w:rsidRPr="00A075A3" w:rsidRDefault="00760D2A" w:rsidP="00DC4DBF">
            <w:pPr>
              <w:tabs>
                <w:tab w:val="center" w:pos="3152"/>
              </w:tabs>
              <w:rPr>
                <w:rFonts w:cs="Arial"/>
                <w:szCs w:val="19"/>
                <w:lang w:val="en-US"/>
              </w:rPr>
            </w:pPr>
            <w:r w:rsidRPr="00760D2A">
              <w:rPr>
                <w:rFonts w:cs="Arial"/>
                <w:sz w:val="16"/>
                <w:szCs w:val="16"/>
                <w:lang w:val="en-US"/>
              </w:rPr>
              <w:t>[licence change from use only in patients aged ≥3 months]</w:t>
            </w:r>
          </w:p>
        </w:tc>
      </w:tr>
      <w:tr w:rsidR="00C93835" w:rsidRPr="00131D4C" w14:paraId="29BCB186" w14:textId="77777777" w:rsidTr="00E7028D">
        <w:tc>
          <w:tcPr>
            <w:tcW w:w="1427" w:type="pct"/>
            <w:shd w:val="clear" w:color="auto" w:fill="auto"/>
            <w:tcMar>
              <w:top w:w="57" w:type="dxa"/>
              <w:left w:w="170" w:type="dxa"/>
              <w:bottom w:w="57" w:type="dxa"/>
              <w:right w:w="170" w:type="dxa"/>
            </w:tcMar>
          </w:tcPr>
          <w:p w14:paraId="34C1595F" w14:textId="77777777" w:rsidR="00C93835" w:rsidRDefault="00AC3376" w:rsidP="00C93835">
            <w:pPr>
              <w:rPr>
                <w:rFonts w:cs="Arial"/>
                <w:szCs w:val="19"/>
              </w:rPr>
            </w:pPr>
            <w:r w:rsidRPr="00AC3376">
              <w:rPr>
                <w:rFonts w:cs="Arial"/>
                <w:szCs w:val="19"/>
              </w:rPr>
              <w:t>Durvalumab (</w:t>
            </w:r>
            <w:r w:rsidRPr="00AC3376">
              <w:rPr>
                <w:rFonts w:cs="Arial"/>
                <w:i/>
                <w:iCs/>
                <w:szCs w:val="19"/>
              </w:rPr>
              <w:t>Imfinzi</w:t>
            </w:r>
            <w:r w:rsidRPr="00AC3376">
              <w:rPr>
                <w:rFonts w:cs="Arial"/>
                <w:szCs w:val="19"/>
              </w:rPr>
              <w:t>)</w:t>
            </w:r>
          </w:p>
          <w:p w14:paraId="7D269FDA" w14:textId="0E168BC7" w:rsidR="00AC3376" w:rsidRPr="00A075A3" w:rsidRDefault="005A2AA3" w:rsidP="00C93835">
            <w:pPr>
              <w:rPr>
                <w:rFonts w:cs="Arial"/>
                <w:szCs w:val="19"/>
              </w:rPr>
            </w:pPr>
            <w:r w:rsidRPr="005A2AA3">
              <w:rPr>
                <w:rFonts w:cs="Arial"/>
                <w:sz w:val="16"/>
                <w:szCs w:val="16"/>
              </w:rPr>
              <w:t>120mg in 2.4mL vial and 500mg in 10mL vials</w:t>
            </w:r>
          </w:p>
        </w:tc>
        <w:tc>
          <w:tcPr>
            <w:tcW w:w="3573" w:type="pct"/>
            <w:shd w:val="clear" w:color="auto" w:fill="auto"/>
            <w:tcMar>
              <w:top w:w="57" w:type="dxa"/>
              <w:left w:w="170" w:type="dxa"/>
              <w:bottom w:w="57" w:type="dxa"/>
              <w:right w:w="170" w:type="dxa"/>
            </w:tcMar>
          </w:tcPr>
          <w:p w14:paraId="4DCF6E06" w14:textId="550C5684" w:rsidR="00C93835" w:rsidRPr="001D521D" w:rsidRDefault="001D521D" w:rsidP="00DC4DBF">
            <w:pPr>
              <w:tabs>
                <w:tab w:val="center" w:pos="3152"/>
              </w:tabs>
              <w:rPr>
                <w:rFonts w:cs="Arial"/>
                <w:color w:val="000000"/>
                <w:szCs w:val="19"/>
                <w:lang w:val="en-US"/>
              </w:rPr>
            </w:pPr>
            <w:r w:rsidRPr="001D521D">
              <w:rPr>
                <w:rFonts w:cs="Arial"/>
                <w:color w:val="000000"/>
                <w:szCs w:val="19"/>
                <w:lang w:val="en-US"/>
              </w:rPr>
              <w:t xml:space="preserve">Use in combination with gemcitabine and cisplatin as neoadjuvant treatment, followed by </w:t>
            </w:r>
            <w:r w:rsidRPr="001D521D">
              <w:rPr>
                <w:rFonts w:cs="Arial"/>
                <w:i/>
                <w:iCs/>
                <w:color w:val="000000"/>
                <w:szCs w:val="19"/>
                <w:lang w:val="en-US"/>
              </w:rPr>
              <w:t>Imfinzi</w:t>
            </w:r>
            <w:r w:rsidRPr="001D521D">
              <w:rPr>
                <w:rFonts w:cs="Arial"/>
                <w:color w:val="000000"/>
                <w:szCs w:val="19"/>
                <w:lang w:val="en-US"/>
              </w:rPr>
              <w:t xml:space="preserve"> as monotherapy adjuvant treatment after radical cystectomy, for the treatment of adults with resectable muscle invasive bladder cancer </w:t>
            </w:r>
            <w:r w:rsidRPr="001D521D">
              <w:rPr>
                <w:rFonts w:cs="Arial"/>
                <w:color w:val="000000"/>
                <w:sz w:val="16"/>
                <w:szCs w:val="16"/>
                <w:lang w:val="en-US"/>
              </w:rPr>
              <w:t>[new indication]</w:t>
            </w:r>
          </w:p>
        </w:tc>
      </w:tr>
      <w:tr w:rsidR="00C93835" w:rsidRPr="00131D4C" w14:paraId="114CE589" w14:textId="77777777" w:rsidTr="00E7028D">
        <w:tc>
          <w:tcPr>
            <w:tcW w:w="1427" w:type="pct"/>
            <w:shd w:val="clear" w:color="auto" w:fill="auto"/>
            <w:tcMar>
              <w:top w:w="57" w:type="dxa"/>
              <w:left w:w="170" w:type="dxa"/>
              <w:bottom w:w="57" w:type="dxa"/>
              <w:right w:w="170" w:type="dxa"/>
            </w:tcMar>
          </w:tcPr>
          <w:p w14:paraId="4D589BE3" w14:textId="77777777" w:rsidR="00C93835" w:rsidRDefault="00CF20FE" w:rsidP="00C93835">
            <w:pPr>
              <w:rPr>
                <w:rFonts w:cs="Arial"/>
                <w:szCs w:val="19"/>
              </w:rPr>
            </w:pPr>
            <w:proofErr w:type="spellStart"/>
            <w:r>
              <w:rPr>
                <w:rFonts w:cs="Arial"/>
                <w:szCs w:val="19"/>
              </w:rPr>
              <w:t>Dydrogesterone</w:t>
            </w:r>
            <w:proofErr w:type="spellEnd"/>
            <w:r>
              <w:rPr>
                <w:rFonts w:cs="Arial"/>
                <w:szCs w:val="19"/>
              </w:rPr>
              <w:t xml:space="preserve"> (</w:t>
            </w:r>
            <w:proofErr w:type="spellStart"/>
            <w:r>
              <w:rPr>
                <w:rFonts w:cs="Arial"/>
                <w:i/>
                <w:iCs/>
                <w:szCs w:val="19"/>
              </w:rPr>
              <w:t>Nalvee</w:t>
            </w:r>
            <w:proofErr w:type="spellEnd"/>
            <w:r>
              <w:rPr>
                <w:rFonts w:cs="Arial"/>
                <w:szCs w:val="19"/>
              </w:rPr>
              <w:t>)</w:t>
            </w:r>
          </w:p>
          <w:p w14:paraId="46F3373F" w14:textId="008E8493" w:rsidR="003B01FE" w:rsidRPr="00CF20FE" w:rsidRDefault="003B01FE" w:rsidP="00C93835">
            <w:pPr>
              <w:rPr>
                <w:rFonts w:cs="Arial"/>
                <w:szCs w:val="19"/>
              </w:rPr>
            </w:pPr>
            <w:r w:rsidRPr="003B01FE">
              <w:rPr>
                <w:rFonts w:cs="Arial"/>
                <w:sz w:val="16"/>
                <w:szCs w:val="16"/>
              </w:rPr>
              <w:t>10mg tablet</w:t>
            </w:r>
          </w:p>
        </w:tc>
        <w:tc>
          <w:tcPr>
            <w:tcW w:w="3573" w:type="pct"/>
            <w:shd w:val="clear" w:color="auto" w:fill="auto"/>
            <w:tcMar>
              <w:top w:w="57" w:type="dxa"/>
              <w:left w:w="170" w:type="dxa"/>
              <w:bottom w:w="57" w:type="dxa"/>
              <w:right w:w="170" w:type="dxa"/>
            </w:tcMar>
          </w:tcPr>
          <w:p w14:paraId="7B9B565B" w14:textId="5B5A3580" w:rsidR="00C93835" w:rsidRPr="00B64A1C" w:rsidRDefault="008E6D07" w:rsidP="00C93835">
            <w:pPr>
              <w:tabs>
                <w:tab w:val="center" w:pos="3152"/>
              </w:tabs>
              <w:rPr>
                <w:rFonts w:cs="Arial"/>
                <w:sz w:val="18"/>
                <w:szCs w:val="18"/>
              </w:rPr>
            </w:pPr>
            <w:r w:rsidRPr="003B01FE">
              <w:rPr>
                <w:rFonts w:cs="Arial"/>
                <w:szCs w:val="19"/>
              </w:rPr>
              <w:t>F</w:t>
            </w:r>
            <w:r w:rsidR="003B01FE" w:rsidRPr="003B01FE">
              <w:rPr>
                <w:rFonts w:cs="Arial"/>
                <w:szCs w:val="19"/>
              </w:rPr>
              <w:t>or women with progesterone insufficiencies</w:t>
            </w:r>
            <w:r>
              <w:rPr>
                <w:rFonts w:cs="Arial"/>
                <w:szCs w:val="19"/>
              </w:rPr>
              <w:t xml:space="preserve"> (</w:t>
            </w:r>
            <w:r w:rsidR="003B01FE" w:rsidRPr="003B01FE">
              <w:rPr>
                <w:rFonts w:cs="Arial"/>
                <w:szCs w:val="19"/>
              </w:rPr>
              <w:t>treatment of dysmenorrhoea, endometriosis, irregular menstrual cycles and pre-menstrual syndrome</w:t>
            </w:r>
            <w:r>
              <w:rPr>
                <w:rFonts w:cs="Arial"/>
                <w:szCs w:val="19"/>
              </w:rPr>
              <w:t>),</w:t>
            </w:r>
            <w:r w:rsidR="003B01FE" w:rsidRPr="003B01FE">
              <w:rPr>
                <w:rFonts w:cs="Arial"/>
                <w:szCs w:val="19"/>
              </w:rPr>
              <w:t xml:space="preserve"> as hormone replacement therapy</w:t>
            </w:r>
            <w:r>
              <w:rPr>
                <w:rFonts w:cs="Arial"/>
                <w:szCs w:val="19"/>
              </w:rPr>
              <w:t xml:space="preserve"> (</w:t>
            </w:r>
            <w:proofErr w:type="spellStart"/>
            <w:r w:rsidR="003B01FE" w:rsidRPr="003B01FE">
              <w:rPr>
                <w:rFonts w:cs="Arial"/>
                <w:szCs w:val="19"/>
              </w:rPr>
              <w:t>dydrogesterone</w:t>
            </w:r>
            <w:proofErr w:type="spellEnd"/>
            <w:r w:rsidR="003B01FE" w:rsidRPr="003B01FE">
              <w:rPr>
                <w:rFonts w:cs="Arial"/>
                <w:szCs w:val="19"/>
              </w:rPr>
              <w:t xml:space="preserve"> is used to supplement an </w:t>
            </w:r>
            <w:proofErr w:type="spellStart"/>
            <w:r w:rsidR="003B01FE" w:rsidRPr="003B01FE">
              <w:rPr>
                <w:rFonts w:cs="Arial"/>
                <w:szCs w:val="19"/>
              </w:rPr>
              <w:t>estrogen</w:t>
            </w:r>
            <w:proofErr w:type="spellEnd"/>
            <w:r w:rsidR="003B01FE" w:rsidRPr="003B01FE">
              <w:rPr>
                <w:rFonts w:cs="Arial"/>
                <w:szCs w:val="19"/>
              </w:rPr>
              <w:t xml:space="preserve"> treatment in non-hysterectomised women with symptoms due to natural onset of or surgically induced menopause</w:t>
            </w:r>
            <w:r w:rsidR="00BC453E">
              <w:rPr>
                <w:rFonts w:cs="Arial"/>
                <w:szCs w:val="19"/>
              </w:rPr>
              <w:t>; i</w:t>
            </w:r>
            <w:r w:rsidR="003B01FE" w:rsidRPr="003B01FE">
              <w:rPr>
                <w:rFonts w:cs="Arial"/>
                <w:szCs w:val="19"/>
              </w:rPr>
              <w:t xml:space="preserve">n the context of hormone replacement therapy, it counteracts the </w:t>
            </w:r>
            <w:proofErr w:type="spellStart"/>
            <w:r w:rsidR="003B01FE" w:rsidRPr="003B01FE">
              <w:rPr>
                <w:rFonts w:cs="Arial"/>
                <w:szCs w:val="19"/>
              </w:rPr>
              <w:t>estrogen</w:t>
            </w:r>
            <w:proofErr w:type="spellEnd"/>
            <w:r w:rsidR="003B01FE" w:rsidRPr="003B01FE">
              <w:rPr>
                <w:rFonts w:cs="Arial"/>
                <w:szCs w:val="19"/>
              </w:rPr>
              <w:t xml:space="preserve"> influence on the endometrium</w:t>
            </w:r>
            <w:r w:rsidR="00BC453E">
              <w:rPr>
                <w:rFonts w:cs="Arial"/>
                <w:szCs w:val="19"/>
              </w:rPr>
              <w:t xml:space="preserve">), and </w:t>
            </w:r>
            <w:r w:rsidR="003B01FE" w:rsidRPr="003B01FE">
              <w:rPr>
                <w:rFonts w:cs="Arial"/>
                <w:szCs w:val="19"/>
              </w:rPr>
              <w:t>dysfunctional bleeding or secondary amenorrhoea</w:t>
            </w:r>
            <w:r w:rsidR="00BC453E">
              <w:rPr>
                <w:rFonts w:cs="Arial"/>
                <w:szCs w:val="19"/>
              </w:rPr>
              <w:t xml:space="preserve"> (</w:t>
            </w:r>
            <w:r w:rsidR="003B01FE" w:rsidRPr="003B01FE">
              <w:rPr>
                <w:rFonts w:cs="Arial"/>
                <w:szCs w:val="19"/>
              </w:rPr>
              <w:t xml:space="preserve">the drug may be used with an </w:t>
            </w:r>
            <w:proofErr w:type="spellStart"/>
            <w:r w:rsidR="003B01FE" w:rsidRPr="003B01FE">
              <w:rPr>
                <w:rFonts w:cs="Arial"/>
                <w:szCs w:val="19"/>
              </w:rPr>
              <w:t>estrogen</w:t>
            </w:r>
            <w:proofErr w:type="spellEnd"/>
            <w:r w:rsidR="003B01FE" w:rsidRPr="003B01FE">
              <w:rPr>
                <w:rFonts w:cs="Arial"/>
                <w:szCs w:val="19"/>
              </w:rPr>
              <w:t xml:space="preserve"> in the management of these conditions</w:t>
            </w:r>
            <w:r w:rsidR="00BC453E">
              <w:rPr>
                <w:rFonts w:cs="Arial"/>
                <w:szCs w:val="19"/>
              </w:rPr>
              <w:t>)</w:t>
            </w:r>
            <w:r w:rsidR="003B01FE">
              <w:rPr>
                <w:rFonts w:cs="Arial"/>
                <w:sz w:val="18"/>
                <w:szCs w:val="18"/>
              </w:rPr>
              <w:t xml:space="preserve"> </w:t>
            </w:r>
            <w:r w:rsidR="003B01FE" w:rsidRPr="003B01FE">
              <w:rPr>
                <w:rFonts w:cs="Arial"/>
                <w:sz w:val="16"/>
                <w:szCs w:val="16"/>
              </w:rPr>
              <w:t>[new formulation with new indication]</w:t>
            </w:r>
          </w:p>
        </w:tc>
      </w:tr>
      <w:tr w:rsidR="0058669B" w:rsidRPr="00131D4C" w14:paraId="46E0D577" w14:textId="77777777" w:rsidTr="00E7028D">
        <w:tc>
          <w:tcPr>
            <w:tcW w:w="1427" w:type="pct"/>
            <w:shd w:val="clear" w:color="auto" w:fill="auto"/>
            <w:tcMar>
              <w:top w:w="57" w:type="dxa"/>
              <w:left w:w="170" w:type="dxa"/>
              <w:bottom w:w="57" w:type="dxa"/>
              <w:right w:w="170" w:type="dxa"/>
            </w:tcMar>
          </w:tcPr>
          <w:p w14:paraId="568A9F52" w14:textId="77777777" w:rsidR="0058669B" w:rsidRDefault="0058669B" w:rsidP="0058669B">
            <w:pPr>
              <w:rPr>
                <w:rFonts w:cs="Arial"/>
                <w:color w:val="000000" w:themeColor="text1"/>
                <w:szCs w:val="19"/>
              </w:rPr>
            </w:pPr>
            <w:proofErr w:type="spellStart"/>
            <w:r w:rsidRPr="007E02D1">
              <w:rPr>
                <w:rFonts w:cs="Arial"/>
                <w:color w:val="000000" w:themeColor="text1"/>
                <w:szCs w:val="19"/>
              </w:rPr>
              <w:t>Guselkumab</w:t>
            </w:r>
            <w:proofErr w:type="spellEnd"/>
            <w:r w:rsidRPr="007E02D1">
              <w:rPr>
                <w:rFonts w:cs="Arial"/>
                <w:color w:val="000000" w:themeColor="text1"/>
                <w:szCs w:val="19"/>
              </w:rPr>
              <w:t xml:space="preserve"> (Tremfya)</w:t>
            </w:r>
          </w:p>
          <w:p w14:paraId="4E0E71A4" w14:textId="1F0EE1D6" w:rsidR="0058669B" w:rsidRPr="006971E1" w:rsidRDefault="0058669B" w:rsidP="0058669B">
            <w:pPr>
              <w:rPr>
                <w:rFonts w:cs="Arial"/>
                <w:szCs w:val="19"/>
              </w:rPr>
            </w:pPr>
            <w:r w:rsidRPr="00AA0B26">
              <w:rPr>
                <w:rFonts w:cs="Arial"/>
                <w:sz w:val="16"/>
                <w:szCs w:val="16"/>
              </w:rPr>
              <w:t>200mg in 2mL prefilled pen and syringe, and 200mg in 20mL vial</w:t>
            </w:r>
          </w:p>
        </w:tc>
        <w:tc>
          <w:tcPr>
            <w:tcW w:w="3573" w:type="pct"/>
            <w:shd w:val="clear" w:color="auto" w:fill="auto"/>
            <w:tcMar>
              <w:top w:w="57" w:type="dxa"/>
              <w:left w:w="170" w:type="dxa"/>
              <w:bottom w:w="57" w:type="dxa"/>
              <w:right w:w="170" w:type="dxa"/>
            </w:tcMar>
          </w:tcPr>
          <w:p w14:paraId="1B2A7540" w14:textId="301BBF32" w:rsidR="0058669B" w:rsidRPr="001D7849" w:rsidRDefault="0058669B" w:rsidP="00E7028D">
            <w:pPr>
              <w:tabs>
                <w:tab w:val="center" w:pos="3152"/>
              </w:tabs>
              <w:rPr>
                <w:rFonts w:cs="Arial"/>
                <w:szCs w:val="19"/>
              </w:rPr>
            </w:pPr>
            <w:r w:rsidRPr="009B472F">
              <w:rPr>
                <w:rFonts w:cs="Arial"/>
                <w:color w:val="000000" w:themeColor="text1"/>
                <w:szCs w:val="19"/>
                <w:lang w:val="en-US"/>
              </w:rPr>
              <w:t xml:space="preserve">Treatment of adults with moderately to severely active Crohn’s disease who have had an inadequate response, lost response, or were intolerant to either </w:t>
            </w:r>
            <w:r>
              <w:rPr>
                <w:rFonts w:cs="Arial"/>
                <w:color w:val="000000" w:themeColor="text1"/>
                <w:szCs w:val="19"/>
                <w:lang w:val="en-US"/>
              </w:rPr>
              <w:t>c</w:t>
            </w:r>
            <w:r w:rsidRPr="009B472F">
              <w:rPr>
                <w:rFonts w:cs="Arial"/>
                <w:color w:val="000000" w:themeColor="text1"/>
                <w:szCs w:val="19"/>
                <w:lang w:val="en-US"/>
              </w:rPr>
              <w:t>onventional therapy or a biologic treatment</w:t>
            </w:r>
            <w:r>
              <w:rPr>
                <w:rFonts w:cs="Arial"/>
                <w:color w:val="000000" w:themeColor="text1"/>
                <w:szCs w:val="19"/>
                <w:lang w:val="en-US"/>
              </w:rPr>
              <w:t>, and</w:t>
            </w:r>
            <w:r w:rsidRPr="00454CE7">
              <w:rPr>
                <w:rFonts w:cs="Arial"/>
                <w:color w:val="000000" w:themeColor="text1"/>
                <w:szCs w:val="19"/>
                <w:lang w:val="en-US"/>
              </w:rPr>
              <w:t xml:space="preserve"> treatment of adults with moderately to severely active ulcerative colitis who have had an inadequate response, lost response, or were intolerant to either conventional therapy, a biologic treatment, or a Janus kinase inhibitor</w:t>
            </w:r>
            <w:r>
              <w:rPr>
                <w:rFonts w:cs="Arial"/>
                <w:color w:val="000000" w:themeColor="text1"/>
                <w:szCs w:val="19"/>
                <w:lang w:val="en-US"/>
              </w:rPr>
              <w:t xml:space="preserve"> </w:t>
            </w:r>
            <w:r w:rsidRPr="007E02D1">
              <w:rPr>
                <w:rFonts w:cs="Arial"/>
                <w:color w:val="000000" w:themeColor="text1"/>
                <w:sz w:val="16"/>
                <w:szCs w:val="16"/>
                <w:lang w:val="en-US"/>
              </w:rPr>
              <w:t>[new intravenous and higher strength subcutaneous formulations]</w:t>
            </w:r>
          </w:p>
        </w:tc>
      </w:tr>
      <w:tr w:rsidR="00BE147B" w14:paraId="64F399DC" w14:textId="77777777" w:rsidTr="00E7028D">
        <w:tc>
          <w:tcPr>
            <w:tcW w:w="1427" w:type="pct"/>
            <w:shd w:val="clear" w:color="auto" w:fill="auto"/>
            <w:tcMar>
              <w:top w:w="57" w:type="dxa"/>
              <w:left w:w="170" w:type="dxa"/>
              <w:bottom w:w="57" w:type="dxa"/>
              <w:right w:w="170" w:type="dxa"/>
            </w:tcMar>
          </w:tcPr>
          <w:p w14:paraId="0C355593" w14:textId="77777777" w:rsidR="00BE147B" w:rsidRDefault="00BE147B" w:rsidP="00BE147B">
            <w:pPr>
              <w:rPr>
                <w:rFonts w:cs="Arial"/>
                <w:color w:val="000000" w:themeColor="text1"/>
                <w:szCs w:val="19"/>
              </w:rPr>
            </w:pPr>
            <w:proofErr w:type="spellStart"/>
            <w:r w:rsidRPr="007E02D1">
              <w:rPr>
                <w:rFonts w:cs="Arial"/>
                <w:color w:val="000000" w:themeColor="text1"/>
                <w:szCs w:val="19"/>
              </w:rPr>
              <w:t>Guselkumab</w:t>
            </w:r>
            <w:proofErr w:type="spellEnd"/>
            <w:r w:rsidRPr="007E02D1">
              <w:rPr>
                <w:rFonts w:cs="Arial"/>
                <w:color w:val="000000" w:themeColor="text1"/>
                <w:szCs w:val="19"/>
              </w:rPr>
              <w:t xml:space="preserve"> (Tremfya)</w:t>
            </w:r>
          </w:p>
          <w:p w14:paraId="24BB9AED" w14:textId="2DE917FE" w:rsidR="00BE147B" w:rsidRPr="00FF5ADC" w:rsidRDefault="00BE147B" w:rsidP="00BE147B">
            <w:pPr>
              <w:rPr>
                <w:rFonts w:cs="Arial"/>
                <w:szCs w:val="19"/>
              </w:rPr>
            </w:pPr>
            <w:r w:rsidRPr="00AA0B26">
              <w:rPr>
                <w:rFonts w:cs="Arial"/>
                <w:sz w:val="16"/>
                <w:szCs w:val="16"/>
              </w:rPr>
              <w:t>200mg in 2mL prefilled pen and syringe</w:t>
            </w:r>
          </w:p>
        </w:tc>
        <w:tc>
          <w:tcPr>
            <w:tcW w:w="3573" w:type="pct"/>
            <w:shd w:val="clear" w:color="auto" w:fill="auto"/>
            <w:tcMar>
              <w:top w:w="57" w:type="dxa"/>
              <w:left w:w="170" w:type="dxa"/>
              <w:bottom w:w="57" w:type="dxa"/>
              <w:right w:w="170" w:type="dxa"/>
            </w:tcMar>
          </w:tcPr>
          <w:p w14:paraId="7D426E1A" w14:textId="77777777" w:rsidR="00E3540E" w:rsidRDefault="00BE147B" w:rsidP="00BE147B">
            <w:pPr>
              <w:tabs>
                <w:tab w:val="center" w:pos="3152"/>
              </w:tabs>
              <w:rPr>
                <w:rFonts w:cs="Arial"/>
                <w:color w:val="000000" w:themeColor="text1"/>
                <w:szCs w:val="19"/>
                <w:lang w:val="en-US"/>
              </w:rPr>
            </w:pPr>
            <w:r w:rsidRPr="009B472F">
              <w:rPr>
                <w:rFonts w:cs="Arial"/>
                <w:color w:val="000000" w:themeColor="text1"/>
                <w:szCs w:val="19"/>
                <w:lang w:val="en-US"/>
              </w:rPr>
              <w:t xml:space="preserve">Treatment </w:t>
            </w:r>
            <w:r w:rsidRPr="00454CE7">
              <w:rPr>
                <w:rFonts w:cs="Arial"/>
                <w:color w:val="000000" w:themeColor="text1"/>
                <w:szCs w:val="19"/>
                <w:lang w:val="en-US"/>
              </w:rPr>
              <w:t>of adults with moderately to severely active ulcerative colitis who have had an inadequate response, lost response, or were intolerant to either conventional therapy, a biologic treatment, or a Janus kinase inhibitor</w:t>
            </w:r>
            <w:r>
              <w:rPr>
                <w:rFonts w:cs="Arial"/>
                <w:color w:val="000000" w:themeColor="text1"/>
                <w:szCs w:val="19"/>
                <w:lang w:val="en-US"/>
              </w:rPr>
              <w:t xml:space="preserve"> </w:t>
            </w:r>
          </w:p>
          <w:p w14:paraId="4C333E8E" w14:textId="46F6986D" w:rsidR="00BE147B" w:rsidRDefault="00BE147B" w:rsidP="00BE147B">
            <w:pPr>
              <w:tabs>
                <w:tab w:val="center" w:pos="3152"/>
              </w:tabs>
              <w:rPr>
                <w:rFonts w:cs="Arial"/>
                <w:color w:val="000000"/>
                <w:sz w:val="18"/>
                <w:szCs w:val="18"/>
                <w:lang w:val="en-US"/>
              </w:rPr>
            </w:pPr>
            <w:r w:rsidRPr="007E02D1">
              <w:rPr>
                <w:rFonts w:cs="Arial"/>
                <w:color w:val="000000" w:themeColor="text1"/>
                <w:sz w:val="16"/>
                <w:szCs w:val="16"/>
                <w:lang w:val="en-US"/>
              </w:rPr>
              <w:t xml:space="preserve">[new subcutaneous </w:t>
            </w:r>
            <w:r>
              <w:rPr>
                <w:rFonts w:cs="Arial"/>
                <w:color w:val="000000" w:themeColor="text1"/>
                <w:sz w:val="16"/>
                <w:szCs w:val="16"/>
                <w:lang w:val="en-US"/>
              </w:rPr>
              <w:t>dos</w:t>
            </w:r>
            <w:r w:rsidR="00E3540E">
              <w:rPr>
                <w:rFonts w:cs="Arial"/>
                <w:color w:val="000000" w:themeColor="text1"/>
                <w:sz w:val="16"/>
                <w:szCs w:val="16"/>
                <w:lang w:val="en-US"/>
              </w:rPr>
              <w:t>age regimen, with no change to licensed indication</w:t>
            </w:r>
            <w:r w:rsidRPr="007E02D1">
              <w:rPr>
                <w:rFonts w:cs="Arial"/>
                <w:color w:val="000000" w:themeColor="text1"/>
                <w:sz w:val="16"/>
                <w:szCs w:val="16"/>
                <w:lang w:val="en-US"/>
              </w:rPr>
              <w:t>]</w:t>
            </w:r>
          </w:p>
        </w:tc>
      </w:tr>
      <w:tr w:rsidR="00DC4DBF" w14:paraId="453A5A7A" w14:textId="77777777" w:rsidTr="00E7028D">
        <w:tc>
          <w:tcPr>
            <w:tcW w:w="1427" w:type="pct"/>
            <w:shd w:val="clear" w:color="auto" w:fill="auto"/>
            <w:tcMar>
              <w:top w:w="57" w:type="dxa"/>
              <w:left w:w="170" w:type="dxa"/>
              <w:bottom w:w="57" w:type="dxa"/>
              <w:right w:w="170" w:type="dxa"/>
            </w:tcMar>
          </w:tcPr>
          <w:p w14:paraId="13189C2A" w14:textId="77777777" w:rsidR="00DC4DBF" w:rsidRDefault="00DC4DBF" w:rsidP="00DC4DBF">
            <w:pPr>
              <w:rPr>
                <w:rFonts w:cs="Arial"/>
                <w:szCs w:val="19"/>
              </w:rPr>
            </w:pPr>
            <w:r w:rsidRPr="009D01CC">
              <w:rPr>
                <w:rFonts w:cs="Arial"/>
                <w:szCs w:val="19"/>
              </w:rPr>
              <w:t>Ibrutinib</w:t>
            </w:r>
            <w:r>
              <w:rPr>
                <w:rFonts w:cs="Arial"/>
                <w:szCs w:val="19"/>
              </w:rPr>
              <w:t xml:space="preserve"> (</w:t>
            </w:r>
            <w:r>
              <w:rPr>
                <w:rFonts w:cs="Arial"/>
                <w:i/>
                <w:iCs/>
                <w:szCs w:val="19"/>
              </w:rPr>
              <w:t>Imbruvica</w:t>
            </w:r>
            <w:r>
              <w:rPr>
                <w:rFonts w:cs="Arial"/>
                <w:szCs w:val="19"/>
              </w:rPr>
              <w:t>)</w:t>
            </w:r>
          </w:p>
          <w:p w14:paraId="3792F570" w14:textId="322BB5D3" w:rsidR="00DC4DBF" w:rsidRPr="007E02D1" w:rsidRDefault="00DC4DBF" w:rsidP="00DC4DBF">
            <w:pPr>
              <w:rPr>
                <w:rFonts w:cs="Arial"/>
                <w:color w:val="000000" w:themeColor="text1"/>
                <w:szCs w:val="19"/>
              </w:rPr>
            </w:pPr>
            <w:r w:rsidRPr="00906308">
              <w:rPr>
                <w:rFonts w:cs="Arial"/>
                <w:sz w:val="16"/>
                <w:szCs w:val="16"/>
              </w:rPr>
              <w:t>140mg, 280mg, 420mg and 560mg tablets</w:t>
            </w:r>
          </w:p>
        </w:tc>
        <w:tc>
          <w:tcPr>
            <w:tcW w:w="3573" w:type="pct"/>
            <w:shd w:val="clear" w:color="auto" w:fill="auto"/>
            <w:tcMar>
              <w:top w:w="57" w:type="dxa"/>
              <w:left w:w="170" w:type="dxa"/>
              <w:bottom w:w="57" w:type="dxa"/>
              <w:right w:w="170" w:type="dxa"/>
            </w:tcMar>
          </w:tcPr>
          <w:p w14:paraId="1BDE9657" w14:textId="51EB2CD4" w:rsidR="00DC4DBF" w:rsidRPr="009B472F" w:rsidRDefault="00DC4DBF" w:rsidP="00DC4DBF">
            <w:pPr>
              <w:tabs>
                <w:tab w:val="center" w:pos="3152"/>
              </w:tabs>
              <w:rPr>
                <w:rFonts w:cs="Arial"/>
                <w:color w:val="000000" w:themeColor="text1"/>
                <w:szCs w:val="19"/>
                <w:lang w:val="en-US"/>
              </w:rPr>
            </w:pPr>
            <w:r w:rsidRPr="00EB29DE">
              <w:rPr>
                <w:rFonts w:cs="Arial"/>
                <w:szCs w:val="19"/>
              </w:rPr>
              <w:t>Use in combination with rituximab, cyclophosphamide, doxorubicin, vincristine, and prednisolone (</w:t>
            </w:r>
            <w:r w:rsidRPr="00EB29DE">
              <w:rPr>
                <w:rFonts w:cs="Arial"/>
                <w:i/>
                <w:iCs/>
                <w:szCs w:val="19"/>
              </w:rPr>
              <w:t>Imbruvica</w:t>
            </w:r>
            <w:r w:rsidRPr="00EB29DE">
              <w:rPr>
                <w:rFonts w:cs="Arial"/>
                <w:szCs w:val="19"/>
              </w:rPr>
              <w:t xml:space="preserve"> + R-CHOP) alternating with R-DHAP (or R-DHAOx) without </w:t>
            </w:r>
            <w:r w:rsidRPr="00EB29DE">
              <w:rPr>
                <w:rFonts w:cs="Arial"/>
                <w:i/>
                <w:iCs/>
                <w:szCs w:val="19"/>
              </w:rPr>
              <w:t>Imbruvi</w:t>
            </w:r>
            <w:r>
              <w:rPr>
                <w:rFonts w:cs="Arial"/>
                <w:i/>
                <w:iCs/>
                <w:szCs w:val="19"/>
              </w:rPr>
              <w:t>c</w:t>
            </w:r>
            <w:r w:rsidRPr="00EB29DE">
              <w:rPr>
                <w:rFonts w:cs="Arial"/>
                <w:i/>
                <w:iCs/>
                <w:szCs w:val="19"/>
              </w:rPr>
              <w:t>a</w:t>
            </w:r>
            <w:r w:rsidRPr="00EB29DE">
              <w:rPr>
                <w:rFonts w:cs="Arial"/>
                <w:szCs w:val="19"/>
              </w:rPr>
              <w:t xml:space="preserve">, followed by </w:t>
            </w:r>
            <w:r w:rsidRPr="00EB29DE">
              <w:rPr>
                <w:rFonts w:cs="Arial"/>
                <w:i/>
                <w:iCs/>
                <w:szCs w:val="19"/>
              </w:rPr>
              <w:t>Imbruvica</w:t>
            </w:r>
            <w:r w:rsidRPr="00EB29DE">
              <w:rPr>
                <w:rFonts w:cs="Arial"/>
                <w:szCs w:val="19"/>
              </w:rPr>
              <w:t xml:space="preserve"> monotherapy, for the treatment of adults with previously untreated mantle cell lymphoma who would be eligible for autologous stem cell transplantation</w:t>
            </w:r>
            <w:r>
              <w:rPr>
                <w:rFonts w:cs="Arial"/>
                <w:szCs w:val="19"/>
              </w:rPr>
              <w:t xml:space="preserve"> </w:t>
            </w:r>
            <w:r w:rsidRPr="001D521D">
              <w:rPr>
                <w:rFonts w:cs="Arial"/>
                <w:color w:val="000000"/>
                <w:sz w:val="16"/>
                <w:szCs w:val="16"/>
                <w:lang w:val="en-US"/>
              </w:rPr>
              <w:t>[new indication]</w:t>
            </w:r>
          </w:p>
        </w:tc>
      </w:tr>
      <w:tr w:rsidR="00DC4DBF" w:rsidRPr="00862949" w14:paraId="0F489C40" w14:textId="77777777" w:rsidTr="002772ED">
        <w:tc>
          <w:tcPr>
            <w:tcW w:w="5000" w:type="pct"/>
            <w:gridSpan w:val="2"/>
            <w:shd w:val="clear" w:color="auto" w:fill="auto"/>
            <w:tcMar>
              <w:top w:w="0" w:type="dxa"/>
              <w:bottom w:w="0" w:type="dxa"/>
            </w:tcMar>
          </w:tcPr>
          <w:p w14:paraId="706289AD" w14:textId="77777777" w:rsidR="00DC4DBF" w:rsidRPr="00862949" w:rsidRDefault="00DC4DBF" w:rsidP="00DC4DBF">
            <w:pPr>
              <w:rPr>
                <w:rFonts w:cs="Arial"/>
                <w:b/>
                <w:noProof/>
                <w:sz w:val="8"/>
                <w:szCs w:val="8"/>
              </w:rPr>
            </w:pPr>
          </w:p>
        </w:tc>
      </w:tr>
      <w:tr w:rsidR="00DC4DBF" w:rsidRPr="00862949" w14:paraId="400493E6" w14:textId="77777777" w:rsidTr="002772ED">
        <w:tc>
          <w:tcPr>
            <w:tcW w:w="5000" w:type="pct"/>
            <w:gridSpan w:val="2"/>
            <w:shd w:val="clear" w:color="auto" w:fill="DAEEF3"/>
            <w:tcMar>
              <w:top w:w="0" w:type="dxa"/>
              <w:bottom w:w="0" w:type="dxa"/>
            </w:tcMar>
          </w:tcPr>
          <w:p w14:paraId="6F9EF407" w14:textId="77777777" w:rsidR="00DC4DBF" w:rsidRPr="00862949" w:rsidRDefault="00DC4DBF" w:rsidP="00DC4DBF">
            <w:pPr>
              <w:rPr>
                <w:rFonts w:cs="Arial"/>
                <w:b/>
                <w:i/>
                <w:noProof/>
                <w:sz w:val="8"/>
                <w:szCs w:val="8"/>
              </w:rPr>
            </w:pPr>
          </w:p>
        </w:tc>
      </w:tr>
    </w:tbl>
    <w:p w14:paraId="0AAAB301" w14:textId="77777777" w:rsidR="00797F59" w:rsidRDefault="00797F59" w:rsidP="00727945">
      <w:pPr>
        <w:rPr>
          <w:rFonts w:ascii="Latha" w:hAnsi="Latha" w:cs="Latha"/>
          <w:sz w:val="8"/>
          <w:szCs w:val="8"/>
        </w:rPr>
      </w:pPr>
    </w:p>
    <w:p w14:paraId="5FC8E996" w14:textId="564A450C" w:rsidR="0058669B" w:rsidRPr="00727945" w:rsidRDefault="0058669B" w:rsidP="00727945">
      <w:pPr>
        <w:rPr>
          <w:rFonts w:ascii="Latha" w:hAnsi="Latha" w:cs="Latha"/>
          <w:sz w:val="8"/>
          <w:szCs w:val="8"/>
        </w:rPr>
        <w:sectPr w:rsidR="0058669B" w:rsidRPr="00727945" w:rsidSect="002772ED">
          <w:headerReference w:type="even" r:id="rId13"/>
          <w:headerReference w:type="default" r:id="rId14"/>
          <w:footerReference w:type="even" r:id="rId15"/>
          <w:footerReference w:type="default" r:id="rId16"/>
          <w:headerReference w:type="first" r:id="rId17"/>
          <w:pgSz w:w="11906" w:h="16838" w:code="9"/>
          <w:pgMar w:top="680" w:right="851" w:bottom="680" w:left="851" w:header="567" w:footer="227" w:gutter="0"/>
          <w:cols w:space="708"/>
          <w:docGrid w:linePitch="360"/>
        </w:sectPr>
      </w:pPr>
      <w:r>
        <w:rPr>
          <w:rFonts w:ascii="Latha" w:hAnsi="Latha" w:cs="Latha"/>
          <w:sz w:val="8"/>
          <w:szCs w:val="8"/>
        </w:rPr>
        <w:br w:type="page"/>
      </w:r>
    </w:p>
    <w:p w14:paraId="39B6053F" w14:textId="77777777" w:rsidR="006825BB" w:rsidRDefault="006825BB">
      <w:pPr>
        <w:rPr>
          <w:sz w:val="8"/>
          <w:szCs w:val="16"/>
        </w:rPr>
      </w:pPr>
    </w:p>
    <w:p w14:paraId="16F40EFE" w14:textId="77777777" w:rsidR="00C10FEB" w:rsidRDefault="00C10FEB">
      <w:pPr>
        <w:rPr>
          <w:sz w:val="8"/>
          <w:szCs w:val="16"/>
        </w:rPr>
      </w:pPr>
    </w:p>
    <w:p w14:paraId="5AE40C70" w14:textId="77777777" w:rsidR="0058669B" w:rsidRDefault="0058669B" w:rsidP="00EB3E6F">
      <w:pPr>
        <w:tabs>
          <w:tab w:val="left" w:pos="2087"/>
        </w:tabs>
      </w:pPr>
    </w:p>
    <w:tbl>
      <w:tblPr>
        <w:tblW w:w="5170" w:type="pct"/>
        <w:tblInd w:w="-176" w:type="dxa"/>
        <w:tblLayout w:type="fixed"/>
        <w:tblLook w:val="01E0" w:firstRow="1" w:lastRow="1" w:firstColumn="1" w:lastColumn="1" w:noHBand="0" w:noVBand="0"/>
      </w:tblPr>
      <w:tblGrid>
        <w:gridCol w:w="3294"/>
        <w:gridCol w:w="7257"/>
      </w:tblGrid>
      <w:tr w:rsidR="0058669B" w:rsidRPr="00862949" w14:paraId="75286235" w14:textId="77777777" w:rsidTr="00E842F4">
        <w:tc>
          <w:tcPr>
            <w:tcW w:w="5000" w:type="pct"/>
            <w:gridSpan w:val="2"/>
            <w:shd w:val="clear" w:color="auto" w:fill="0070C0"/>
            <w:tcMar>
              <w:top w:w="85" w:type="dxa"/>
              <w:bottom w:w="85" w:type="dxa"/>
            </w:tcMar>
            <w:vAlign w:val="bottom"/>
          </w:tcPr>
          <w:p w14:paraId="09073928" w14:textId="77777777" w:rsidR="0058669B" w:rsidRPr="00862949" w:rsidRDefault="0058669B" w:rsidP="00E842F4">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58669B" w:rsidRPr="00862949" w14:paraId="797D6E97" w14:textId="77777777" w:rsidTr="00E842F4">
        <w:tc>
          <w:tcPr>
            <w:tcW w:w="5000" w:type="pct"/>
            <w:gridSpan w:val="2"/>
            <w:shd w:val="clear" w:color="auto" w:fill="DAEEF3"/>
            <w:tcMar>
              <w:top w:w="0" w:type="dxa"/>
              <w:bottom w:w="0" w:type="dxa"/>
            </w:tcMar>
          </w:tcPr>
          <w:p w14:paraId="294C91AD" w14:textId="77777777" w:rsidR="0058669B" w:rsidRPr="00862949" w:rsidRDefault="0058669B" w:rsidP="00E842F4">
            <w:pPr>
              <w:rPr>
                <w:rFonts w:cs="Arial"/>
                <w:b/>
                <w:bCs/>
                <w:i/>
                <w:iCs/>
                <w:color w:val="000000"/>
                <w:sz w:val="8"/>
                <w:szCs w:val="8"/>
                <w:lang w:val="en-US"/>
              </w:rPr>
            </w:pPr>
          </w:p>
        </w:tc>
      </w:tr>
      <w:tr w:rsidR="0058669B" w:rsidRPr="00862949" w14:paraId="4D5931A5" w14:textId="77777777" w:rsidTr="00E842F4">
        <w:tc>
          <w:tcPr>
            <w:tcW w:w="5000" w:type="pct"/>
            <w:gridSpan w:val="2"/>
            <w:shd w:val="clear" w:color="auto" w:fill="008232"/>
            <w:tcMar>
              <w:top w:w="57" w:type="dxa"/>
              <w:bottom w:w="57" w:type="dxa"/>
            </w:tcMar>
          </w:tcPr>
          <w:p w14:paraId="5C088167" w14:textId="6DC222E0" w:rsidR="0058669B" w:rsidRPr="00433D3E" w:rsidRDefault="0058669B" w:rsidP="00E842F4">
            <w:pPr>
              <w:rPr>
                <w:rFonts w:cs="Arial"/>
                <w:color w:val="FFFFFF"/>
                <w:sz w:val="20"/>
                <w:szCs w:val="20"/>
              </w:rPr>
            </w:pPr>
            <w:r w:rsidRPr="00433D3E">
              <w:rPr>
                <w:rFonts w:cs="Arial"/>
                <w:b/>
                <w:bCs/>
                <w:i/>
                <w:iCs/>
                <w:color w:val="FFFFFF"/>
                <w:sz w:val="22"/>
                <w:szCs w:val="20"/>
                <w:lang w:val="en-US"/>
              </w:rPr>
              <w:t>Launched in the UK (or licence change for existing products)</w:t>
            </w:r>
            <w:r>
              <w:rPr>
                <w:rFonts w:cs="Arial"/>
                <w:b/>
                <w:bCs/>
                <w:i/>
                <w:iCs/>
                <w:color w:val="FFFFFF"/>
                <w:sz w:val="22"/>
                <w:szCs w:val="20"/>
                <w:lang w:val="en-US"/>
              </w:rPr>
              <w:t xml:space="preserve"> </w:t>
            </w:r>
            <w:r w:rsidRPr="0058669B">
              <w:rPr>
                <w:rFonts w:cs="Arial"/>
                <w:b/>
                <w:bCs/>
                <w:color w:val="FFFFFF"/>
                <w:sz w:val="16"/>
                <w:szCs w:val="14"/>
                <w:lang w:val="en-US"/>
              </w:rPr>
              <w:t>(continued)</w:t>
            </w:r>
          </w:p>
        </w:tc>
      </w:tr>
      <w:tr w:rsidR="0058669B" w14:paraId="2D43D88A" w14:textId="77777777" w:rsidTr="00E6692D">
        <w:tc>
          <w:tcPr>
            <w:tcW w:w="1561" w:type="pct"/>
            <w:shd w:val="clear" w:color="auto" w:fill="auto"/>
            <w:tcMar>
              <w:top w:w="57" w:type="dxa"/>
              <w:left w:w="170" w:type="dxa"/>
              <w:bottom w:w="57" w:type="dxa"/>
              <w:right w:w="170" w:type="dxa"/>
            </w:tcMar>
          </w:tcPr>
          <w:p w14:paraId="311F3014" w14:textId="39966133" w:rsidR="0058669B" w:rsidRPr="00CA0AC9" w:rsidRDefault="00E6692D" w:rsidP="00E842F4">
            <w:pPr>
              <w:rPr>
                <w:rFonts w:cs="Arial"/>
                <w:szCs w:val="19"/>
              </w:rPr>
            </w:pPr>
            <w:r w:rsidRPr="00E6692D">
              <w:rPr>
                <w:rFonts w:cs="Arial"/>
                <w:szCs w:val="19"/>
              </w:rPr>
              <w:t>Peginterferon alpha 2a (</w:t>
            </w:r>
            <w:proofErr w:type="spellStart"/>
            <w:r w:rsidRPr="00E6692D">
              <w:rPr>
                <w:rFonts w:cs="Arial"/>
                <w:i/>
                <w:iCs/>
                <w:szCs w:val="19"/>
              </w:rPr>
              <w:t>Pegasys</w:t>
            </w:r>
            <w:proofErr w:type="spellEnd"/>
            <w:r w:rsidRPr="00E6692D">
              <w:rPr>
                <w:rFonts w:cs="Arial"/>
                <w:szCs w:val="19"/>
              </w:rPr>
              <w:t>)</w:t>
            </w:r>
            <w:r>
              <w:t xml:space="preserve"> </w:t>
            </w:r>
            <w:r w:rsidRPr="00E6692D">
              <w:rPr>
                <w:rFonts w:cs="Arial"/>
                <w:sz w:val="16"/>
                <w:szCs w:val="16"/>
              </w:rPr>
              <w:t>90micrograms in 0.5mL, 135micrograms in 0.5mL and 180micrograms in 0.5mL prefilled syringes</w:t>
            </w:r>
          </w:p>
        </w:tc>
        <w:tc>
          <w:tcPr>
            <w:tcW w:w="3439" w:type="pct"/>
            <w:shd w:val="clear" w:color="auto" w:fill="auto"/>
            <w:tcMar>
              <w:top w:w="57" w:type="dxa"/>
              <w:left w:w="170" w:type="dxa"/>
              <w:bottom w:w="57" w:type="dxa"/>
              <w:right w:w="170" w:type="dxa"/>
            </w:tcMar>
          </w:tcPr>
          <w:p w14:paraId="148429CA" w14:textId="3785B836" w:rsidR="0058669B" w:rsidRPr="00A075A3" w:rsidRDefault="00E6692D" w:rsidP="00E842F4">
            <w:pPr>
              <w:tabs>
                <w:tab w:val="center" w:pos="3152"/>
              </w:tabs>
              <w:rPr>
                <w:rFonts w:cs="Arial"/>
                <w:bCs/>
                <w:szCs w:val="19"/>
              </w:rPr>
            </w:pPr>
            <w:r>
              <w:rPr>
                <w:rFonts w:cs="Arial"/>
                <w:bCs/>
                <w:szCs w:val="19"/>
              </w:rPr>
              <w:t>U</w:t>
            </w:r>
            <w:r w:rsidRPr="00E6692D">
              <w:rPr>
                <w:rFonts w:cs="Arial"/>
                <w:bCs/>
                <w:szCs w:val="19"/>
              </w:rPr>
              <w:t>se as monotherapy in adults for the treatment of polycythaemia vera, and for use as monotherapy in adults for the treatment of essential thrombocythaemia</w:t>
            </w:r>
            <w:r>
              <w:rPr>
                <w:rFonts w:cs="Arial"/>
                <w:bCs/>
                <w:szCs w:val="19"/>
              </w:rPr>
              <w:t xml:space="preserve"> </w:t>
            </w:r>
            <w:r w:rsidRPr="00E6692D">
              <w:rPr>
                <w:rFonts w:cs="Arial"/>
                <w:bCs/>
                <w:sz w:val="16"/>
                <w:szCs w:val="16"/>
              </w:rPr>
              <w:t>[new indications]</w:t>
            </w:r>
          </w:p>
        </w:tc>
      </w:tr>
      <w:tr w:rsidR="0058669B" w14:paraId="2F495B52" w14:textId="77777777" w:rsidTr="00E6692D">
        <w:tc>
          <w:tcPr>
            <w:tcW w:w="1561" w:type="pct"/>
            <w:shd w:val="clear" w:color="auto" w:fill="auto"/>
            <w:tcMar>
              <w:top w:w="57" w:type="dxa"/>
              <w:left w:w="170" w:type="dxa"/>
              <w:bottom w:w="57" w:type="dxa"/>
              <w:right w:w="170" w:type="dxa"/>
            </w:tcMar>
          </w:tcPr>
          <w:p w14:paraId="1ED6FBC7" w14:textId="77777777" w:rsidR="0058669B" w:rsidRDefault="0058669B" w:rsidP="00E842F4">
            <w:proofErr w:type="spellStart"/>
            <w:r w:rsidRPr="00C0511A">
              <w:rPr>
                <w:rFonts w:cs="Arial"/>
                <w:szCs w:val="19"/>
              </w:rPr>
              <w:t>Ruxolitinib</w:t>
            </w:r>
            <w:proofErr w:type="spellEnd"/>
            <w:r w:rsidRPr="00C0511A">
              <w:rPr>
                <w:rFonts w:cs="Arial"/>
                <w:szCs w:val="19"/>
              </w:rPr>
              <w:t> </w:t>
            </w:r>
            <w:r>
              <w:rPr>
                <w:rFonts w:cs="Arial"/>
                <w:szCs w:val="19"/>
              </w:rPr>
              <w:t>(</w:t>
            </w:r>
            <w:proofErr w:type="spellStart"/>
            <w:r>
              <w:rPr>
                <w:rFonts w:cs="Arial"/>
                <w:i/>
                <w:iCs/>
                <w:szCs w:val="19"/>
              </w:rPr>
              <w:t>Jakavi</w:t>
            </w:r>
            <w:proofErr w:type="spellEnd"/>
            <w:r>
              <w:rPr>
                <w:rFonts w:cs="Arial"/>
                <w:szCs w:val="19"/>
              </w:rPr>
              <w:t>)</w:t>
            </w:r>
            <w:r>
              <w:t xml:space="preserve"> </w:t>
            </w:r>
          </w:p>
          <w:p w14:paraId="3885CC5F" w14:textId="77777777" w:rsidR="0058669B" w:rsidRPr="00A075A3" w:rsidRDefault="0058669B" w:rsidP="00E842F4">
            <w:pPr>
              <w:rPr>
                <w:rFonts w:cs="Arial"/>
                <w:szCs w:val="19"/>
              </w:rPr>
            </w:pPr>
            <w:r w:rsidRPr="00DC5597">
              <w:rPr>
                <w:rFonts w:cs="Arial"/>
                <w:sz w:val="16"/>
                <w:szCs w:val="16"/>
              </w:rPr>
              <w:t>5mg, 10mg, 15mg and 20mg tablets</w:t>
            </w:r>
          </w:p>
        </w:tc>
        <w:tc>
          <w:tcPr>
            <w:tcW w:w="3439" w:type="pct"/>
            <w:shd w:val="clear" w:color="auto" w:fill="auto"/>
            <w:tcMar>
              <w:top w:w="57" w:type="dxa"/>
              <w:left w:w="170" w:type="dxa"/>
              <w:bottom w:w="57" w:type="dxa"/>
              <w:right w:w="170" w:type="dxa"/>
            </w:tcMar>
          </w:tcPr>
          <w:p w14:paraId="26B71E2A" w14:textId="77777777" w:rsidR="00717F89" w:rsidRDefault="0058669B" w:rsidP="00717F89">
            <w:pPr>
              <w:tabs>
                <w:tab w:val="num" w:pos="720"/>
                <w:tab w:val="center" w:pos="3152"/>
              </w:tabs>
              <w:rPr>
                <w:rFonts w:cs="Arial"/>
                <w:szCs w:val="19"/>
                <w:lang w:val="en-US"/>
              </w:rPr>
            </w:pPr>
            <w:r w:rsidRPr="00F90649">
              <w:rPr>
                <w:rFonts w:cs="Arial"/>
                <w:szCs w:val="19"/>
                <w:lang w:val="en-US"/>
              </w:rPr>
              <w:t xml:space="preserve">Treatment of patients aged </w:t>
            </w:r>
            <w:r>
              <w:rPr>
                <w:rFonts w:cs="Arial"/>
                <w:szCs w:val="19"/>
                <w:lang w:val="en-US"/>
              </w:rPr>
              <w:t>≥</w:t>
            </w:r>
            <w:r w:rsidRPr="00F90649">
              <w:rPr>
                <w:rFonts w:cs="Arial"/>
                <w:szCs w:val="19"/>
                <w:lang w:val="en-US"/>
              </w:rPr>
              <w:t>2 years with acute or chronic graft versus host disease who have inadequate response to corticosteroids</w:t>
            </w:r>
            <w:r>
              <w:rPr>
                <w:rFonts w:cs="Arial"/>
                <w:szCs w:val="19"/>
                <w:lang w:val="en-US"/>
              </w:rPr>
              <w:t xml:space="preserve"> </w:t>
            </w:r>
          </w:p>
          <w:p w14:paraId="55E4381C" w14:textId="595B82D5" w:rsidR="0058669B" w:rsidRPr="00A075A3" w:rsidRDefault="0058669B" w:rsidP="00717F89">
            <w:pPr>
              <w:tabs>
                <w:tab w:val="num" w:pos="720"/>
                <w:tab w:val="center" w:pos="3152"/>
              </w:tabs>
              <w:rPr>
                <w:rFonts w:cs="Arial"/>
                <w:szCs w:val="19"/>
                <w:lang w:val="en-US"/>
              </w:rPr>
            </w:pPr>
            <w:r w:rsidRPr="00F90649">
              <w:rPr>
                <w:rFonts w:cs="Arial"/>
                <w:sz w:val="16"/>
                <w:szCs w:val="16"/>
                <w:lang w:val="en-US"/>
              </w:rPr>
              <w:t>[</w:t>
            </w:r>
            <w:r>
              <w:rPr>
                <w:rFonts w:cs="Arial"/>
                <w:sz w:val="16"/>
                <w:szCs w:val="16"/>
                <w:lang w:val="en-US"/>
              </w:rPr>
              <w:t>licence change from use only in people aged ≥12 years</w:t>
            </w:r>
            <w:r w:rsidRPr="00F90649">
              <w:rPr>
                <w:rFonts w:cs="Arial"/>
                <w:sz w:val="16"/>
                <w:szCs w:val="16"/>
                <w:lang w:val="en-US"/>
              </w:rPr>
              <w:t>]</w:t>
            </w:r>
          </w:p>
        </w:tc>
      </w:tr>
      <w:tr w:rsidR="0058669B" w:rsidRPr="00862949" w14:paraId="78736EA2" w14:textId="77777777" w:rsidTr="00E842F4">
        <w:tc>
          <w:tcPr>
            <w:tcW w:w="5000" w:type="pct"/>
            <w:gridSpan w:val="2"/>
            <w:shd w:val="clear" w:color="auto" w:fill="auto"/>
            <w:tcMar>
              <w:top w:w="0" w:type="dxa"/>
              <w:bottom w:w="0" w:type="dxa"/>
            </w:tcMar>
          </w:tcPr>
          <w:p w14:paraId="0B7A9359" w14:textId="77777777" w:rsidR="0058669B" w:rsidRPr="00862949" w:rsidRDefault="0058669B" w:rsidP="00E842F4">
            <w:pPr>
              <w:rPr>
                <w:rFonts w:cs="Arial"/>
                <w:b/>
                <w:noProof/>
                <w:sz w:val="8"/>
                <w:szCs w:val="8"/>
              </w:rPr>
            </w:pPr>
          </w:p>
        </w:tc>
      </w:tr>
      <w:tr w:rsidR="0058669B" w:rsidRPr="00862949" w14:paraId="5A37F3A5" w14:textId="77777777" w:rsidTr="00E842F4">
        <w:tc>
          <w:tcPr>
            <w:tcW w:w="5000" w:type="pct"/>
            <w:gridSpan w:val="2"/>
            <w:shd w:val="clear" w:color="auto" w:fill="DAEEF3"/>
            <w:tcMar>
              <w:top w:w="0" w:type="dxa"/>
              <w:bottom w:w="0" w:type="dxa"/>
            </w:tcMar>
          </w:tcPr>
          <w:p w14:paraId="7F682A9E" w14:textId="77777777" w:rsidR="0058669B" w:rsidRPr="00862949" w:rsidRDefault="0058669B" w:rsidP="00E842F4">
            <w:pPr>
              <w:rPr>
                <w:rFonts w:cs="Arial"/>
                <w:b/>
                <w:i/>
                <w:noProof/>
                <w:sz w:val="8"/>
                <w:szCs w:val="8"/>
              </w:rPr>
            </w:pPr>
          </w:p>
        </w:tc>
      </w:tr>
    </w:tbl>
    <w:p w14:paraId="0A026566" w14:textId="77777777" w:rsidR="0058669B" w:rsidRDefault="0058669B" w:rsidP="00EB3E6F">
      <w:pPr>
        <w:tabs>
          <w:tab w:val="left" w:pos="2087"/>
        </w:tabs>
      </w:pPr>
    </w:p>
    <w:p w14:paraId="045EF78E" w14:textId="77777777" w:rsidR="0058669B" w:rsidRDefault="0058669B" w:rsidP="00EB3E6F">
      <w:pPr>
        <w:tabs>
          <w:tab w:val="left" w:pos="2087"/>
        </w:tabs>
      </w:pPr>
    </w:p>
    <w:p w14:paraId="2BEFD63B" w14:textId="4B367CCF" w:rsidR="00A81694" w:rsidRDefault="00EB3E6F" w:rsidP="00EB3E6F">
      <w:pPr>
        <w:tabs>
          <w:tab w:val="left" w:pos="2087"/>
        </w:tabs>
      </w:pPr>
      <w:r>
        <w:tab/>
      </w:r>
    </w:p>
    <w:tbl>
      <w:tblPr>
        <w:tblW w:w="5170" w:type="pct"/>
        <w:tblInd w:w="-176" w:type="dxa"/>
        <w:tblLayout w:type="fixed"/>
        <w:tblLook w:val="01E0" w:firstRow="1" w:lastRow="1" w:firstColumn="1" w:lastColumn="1" w:noHBand="0" w:noVBand="0"/>
      </w:tblPr>
      <w:tblGrid>
        <w:gridCol w:w="2430"/>
        <w:gridCol w:w="298"/>
        <w:gridCol w:w="7823"/>
      </w:tblGrid>
      <w:tr w:rsidR="005A7E09" w:rsidRPr="00862949" w14:paraId="603BD3C3" w14:textId="77777777" w:rsidTr="005A7E09">
        <w:tc>
          <w:tcPr>
            <w:tcW w:w="5000" w:type="pct"/>
            <w:gridSpan w:val="3"/>
            <w:shd w:val="clear" w:color="auto" w:fill="0070C0"/>
            <w:tcMar>
              <w:top w:w="85" w:type="dxa"/>
              <w:bottom w:w="85" w:type="dxa"/>
            </w:tcMar>
            <w:vAlign w:val="bottom"/>
          </w:tcPr>
          <w:p w14:paraId="2AFA5280" w14:textId="77777777" w:rsidR="005A7E09" w:rsidRPr="00862949" w:rsidRDefault="005A7E09" w:rsidP="005A7E09">
            <w:pPr>
              <w:rPr>
                <w:rFonts w:cs="Arial"/>
                <w:color w:val="FFFFFF"/>
                <w:sz w:val="15"/>
                <w:szCs w:val="15"/>
              </w:rPr>
            </w:pPr>
            <w:r w:rsidRPr="00862949">
              <w:rPr>
                <w:rFonts w:cs="Arial"/>
                <w:b/>
                <w:bCs/>
                <w:iCs/>
                <w:color w:val="FFFFFF"/>
                <w:sz w:val="28"/>
                <w:szCs w:val="28"/>
                <w:lang w:val="en-US"/>
              </w:rPr>
              <w:t xml:space="preserve">Regulatory changes in the </w:t>
            </w:r>
            <w:r w:rsidR="00AA1F49">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5A7E09" w:rsidRPr="00862949" w14:paraId="6039CA1A" w14:textId="77777777" w:rsidTr="005A7E09">
        <w:tc>
          <w:tcPr>
            <w:tcW w:w="5000" w:type="pct"/>
            <w:gridSpan w:val="3"/>
            <w:shd w:val="clear" w:color="auto" w:fill="DAEEF3"/>
            <w:tcMar>
              <w:top w:w="0" w:type="dxa"/>
              <w:bottom w:w="0" w:type="dxa"/>
            </w:tcMar>
          </w:tcPr>
          <w:p w14:paraId="7237C2D1" w14:textId="77777777" w:rsidR="005A7E09" w:rsidRPr="00862949" w:rsidRDefault="005A7E09" w:rsidP="005A7E09">
            <w:pPr>
              <w:rPr>
                <w:rFonts w:cs="Arial"/>
                <w:b/>
                <w:bCs/>
                <w:i/>
                <w:iCs/>
                <w:color w:val="000000"/>
                <w:sz w:val="8"/>
                <w:szCs w:val="8"/>
                <w:lang w:val="en-US"/>
              </w:rPr>
            </w:pPr>
          </w:p>
        </w:tc>
      </w:tr>
      <w:tr w:rsidR="005A7E09" w:rsidRPr="00862949" w14:paraId="5F1C04BC" w14:textId="77777777" w:rsidTr="00562CE4">
        <w:tc>
          <w:tcPr>
            <w:tcW w:w="5000" w:type="pct"/>
            <w:gridSpan w:val="3"/>
            <w:shd w:val="clear" w:color="auto" w:fill="008232"/>
            <w:tcMar>
              <w:top w:w="57" w:type="dxa"/>
              <w:bottom w:w="57" w:type="dxa"/>
            </w:tcMar>
          </w:tcPr>
          <w:p w14:paraId="240B4327" w14:textId="77777777" w:rsidR="005A7E09" w:rsidRPr="00433D3E" w:rsidRDefault="005A7E09" w:rsidP="00EB3E6F">
            <w:pPr>
              <w:rPr>
                <w:rFonts w:cs="Arial"/>
                <w:color w:val="FFFFFF"/>
                <w:sz w:val="20"/>
                <w:szCs w:val="20"/>
              </w:rPr>
            </w:pPr>
            <w:r w:rsidRPr="00433D3E">
              <w:rPr>
                <w:rFonts w:cs="Arial"/>
                <w:b/>
                <w:bCs/>
                <w:i/>
                <w:iCs/>
                <w:color w:val="FFFFFF"/>
                <w:sz w:val="22"/>
                <w:szCs w:val="20"/>
                <w:lang w:val="en-US"/>
              </w:rPr>
              <w:t xml:space="preserve">Approved in the </w:t>
            </w:r>
            <w:r w:rsidR="0048777D">
              <w:rPr>
                <w:rFonts w:cs="Arial"/>
                <w:b/>
                <w:bCs/>
                <w:i/>
                <w:iCs/>
                <w:color w:val="FFFFFF"/>
                <w:sz w:val="22"/>
                <w:szCs w:val="20"/>
                <w:lang w:val="en-US"/>
              </w:rPr>
              <w:t>UK</w:t>
            </w:r>
          </w:p>
        </w:tc>
      </w:tr>
      <w:tr w:rsidR="00247547" w14:paraId="616B1D14" w14:textId="77777777" w:rsidTr="002C2271">
        <w:tc>
          <w:tcPr>
            <w:tcW w:w="1293" w:type="pct"/>
            <w:gridSpan w:val="2"/>
            <w:shd w:val="clear" w:color="auto" w:fill="auto"/>
            <w:tcMar>
              <w:top w:w="57" w:type="dxa"/>
              <w:bottom w:w="57" w:type="dxa"/>
            </w:tcMar>
          </w:tcPr>
          <w:p w14:paraId="20BBB28A" w14:textId="77777777" w:rsidR="00247547" w:rsidRDefault="008222D2" w:rsidP="007D01FD">
            <w:pPr>
              <w:rPr>
                <w:rFonts w:cs="Arial"/>
                <w:szCs w:val="19"/>
              </w:rPr>
            </w:pPr>
            <w:proofErr w:type="spellStart"/>
            <w:r w:rsidRPr="008222D2">
              <w:rPr>
                <w:rFonts w:cs="Arial"/>
                <w:szCs w:val="19"/>
              </w:rPr>
              <w:t>Brexpiprazole</w:t>
            </w:r>
            <w:proofErr w:type="spellEnd"/>
            <w:r>
              <w:rPr>
                <w:rFonts w:cs="Arial"/>
                <w:szCs w:val="19"/>
              </w:rPr>
              <w:t xml:space="preserve"> (</w:t>
            </w:r>
            <w:proofErr w:type="spellStart"/>
            <w:r>
              <w:rPr>
                <w:rFonts w:cs="Arial"/>
                <w:i/>
                <w:iCs/>
                <w:szCs w:val="19"/>
              </w:rPr>
              <w:t>Rxulti</w:t>
            </w:r>
            <w:proofErr w:type="spellEnd"/>
            <w:r>
              <w:rPr>
                <w:rFonts w:cs="Arial"/>
                <w:szCs w:val="19"/>
              </w:rPr>
              <w:t>)</w:t>
            </w:r>
          </w:p>
          <w:p w14:paraId="50EE8AC5" w14:textId="66E490B7" w:rsidR="0065193E" w:rsidRPr="008222D2" w:rsidRDefault="0065193E" w:rsidP="007D01FD">
            <w:pPr>
              <w:rPr>
                <w:rFonts w:cs="Arial"/>
                <w:szCs w:val="19"/>
              </w:rPr>
            </w:pPr>
            <w:r w:rsidRPr="0065193E">
              <w:rPr>
                <w:rFonts w:cs="Arial"/>
                <w:sz w:val="16"/>
                <w:szCs w:val="16"/>
              </w:rPr>
              <w:t>0.25mg, 0.5mg, 1mg, 2mg, 3mg and 4mg tablets</w:t>
            </w:r>
          </w:p>
        </w:tc>
        <w:tc>
          <w:tcPr>
            <w:tcW w:w="3707" w:type="pct"/>
            <w:shd w:val="clear" w:color="auto" w:fill="auto"/>
            <w:tcMar>
              <w:top w:w="57" w:type="dxa"/>
              <w:bottom w:w="57" w:type="dxa"/>
            </w:tcMar>
          </w:tcPr>
          <w:p w14:paraId="6B0EB785" w14:textId="77777777" w:rsidR="0065193E" w:rsidRDefault="00846A7B" w:rsidP="007D01FD">
            <w:pPr>
              <w:tabs>
                <w:tab w:val="center" w:pos="3152"/>
              </w:tabs>
              <w:rPr>
                <w:rFonts w:cs="Arial"/>
                <w:szCs w:val="19"/>
                <w:lang w:val="en-US"/>
              </w:rPr>
            </w:pPr>
            <w:r w:rsidRPr="00846A7B">
              <w:rPr>
                <w:rFonts w:cs="Arial"/>
                <w:szCs w:val="19"/>
                <w:lang w:val="en-US"/>
              </w:rPr>
              <w:t xml:space="preserve">Treatment of schizophrenia in adults and adolescents aged </w:t>
            </w:r>
            <w:r>
              <w:rPr>
                <w:rFonts w:cs="Arial"/>
                <w:szCs w:val="19"/>
                <w:lang w:val="en-US"/>
              </w:rPr>
              <w:t>≥</w:t>
            </w:r>
            <w:r w:rsidRPr="00846A7B">
              <w:rPr>
                <w:rFonts w:cs="Arial"/>
                <w:szCs w:val="19"/>
                <w:lang w:val="en-US"/>
              </w:rPr>
              <w:t xml:space="preserve">13 years </w:t>
            </w:r>
          </w:p>
          <w:p w14:paraId="6A4E85AD" w14:textId="69909771" w:rsidR="00247547" w:rsidRPr="002B10C1" w:rsidRDefault="00846A7B" w:rsidP="007D01FD">
            <w:pPr>
              <w:tabs>
                <w:tab w:val="center" w:pos="3152"/>
              </w:tabs>
              <w:rPr>
                <w:rFonts w:cs="Arial"/>
                <w:szCs w:val="19"/>
                <w:lang w:val="en-US"/>
              </w:rPr>
            </w:pPr>
            <w:r w:rsidRPr="0065193E">
              <w:rPr>
                <w:rFonts w:cs="Arial"/>
                <w:sz w:val="16"/>
                <w:szCs w:val="16"/>
                <w:lang w:val="en-US"/>
              </w:rPr>
              <w:t>[licence change from use only in adults]</w:t>
            </w:r>
          </w:p>
        </w:tc>
      </w:tr>
      <w:tr w:rsidR="00AD2DCA" w14:paraId="593E1AB6" w14:textId="77777777" w:rsidTr="002C2271">
        <w:tc>
          <w:tcPr>
            <w:tcW w:w="1293" w:type="pct"/>
            <w:gridSpan w:val="2"/>
            <w:shd w:val="clear" w:color="auto" w:fill="auto"/>
            <w:tcMar>
              <w:top w:w="57" w:type="dxa"/>
              <w:bottom w:w="57" w:type="dxa"/>
            </w:tcMar>
          </w:tcPr>
          <w:p w14:paraId="2DFC3BEA" w14:textId="77777777" w:rsidR="005A7E81" w:rsidRDefault="00AD2DCA" w:rsidP="007D01FD">
            <w:pPr>
              <w:rPr>
                <w:rFonts w:cs="Arial"/>
                <w:szCs w:val="19"/>
              </w:rPr>
            </w:pPr>
            <w:r w:rsidRPr="00AD2DCA">
              <w:rPr>
                <w:rFonts w:cs="Arial"/>
                <w:szCs w:val="19"/>
              </w:rPr>
              <w:t>Denosumab biosimilar </w:t>
            </w:r>
          </w:p>
          <w:p w14:paraId="1DD0550E" w14:textId="77777777" w:rsidR="00A477C8" w:rsidRDefault="005A7E81" w:rsidP="007D01FD">
            <w:pPr>
              <w:rPr>
                <w:rFonts w:cs="Arial"/>
                <w:sz w:val="16"/>
                <w:szCs w:val="16"/>
              </w:rPr>
            </w:pPr>
            <w:r>
              <w:rPr>
                <w:rFonts w:cs="Arial"/>
                <w:szCs w:val="19"/>
              </w:rPr>
              <w:t>(</w:t>
            </w:r>
            <w:proofErr w:type="spellStart"/>
            <w:r w:rsidRPr="005A7E81">
              <w:rPr>
                <w:rFonts w:cs="Arial"/>
                <w:i/>
                <w:iCs/>
                <w:szCs w:val="19"/>
              </w:rPr>
              <w:t>Conexxence</w:t>
            </w:r>
            <w:proofErr w:type="spellEnd"/>
            <w:r>
              <w:rPr>
                <w:rFonts w:cs="Arial"/>
                <w:szCs w:val="19"/>
              </w:rPr>
              <w:t>)</w:t>
            </w:r>
            <w:r w:rsidR="00A477C8" w:rsidRPr="006A2DAB">
              <w:rPr>
                <w:rFonts w:cs="Arial"/>
                <w:sz w:val="16"/>
                <w:szCs w:val="16"/>
              </w:rPr>
              <w:t xml:space="preserve"> </w:t>
            </w:r>
          </w:p>
          <w:p w14:paraId="0AE08BB2" w14:textId="28C80E10" w:rsidR="00AD2DCA" w:rsidRPr="008222D2" w:rsidRDefault="00A477C8" w:rsidP="007D01FD">
            <w:pPr>
              <w:rPr>
                <w:rFonts w:cs="Arial"/>
                <w:szCs w:val="19"/>
              </w:rPr>
            </w:pPr>
            <w:r w:rsidRPr="006A2DAB">
              <w:rPr>
                <w:rFonts w:cs="Arial"/>
                <w:sz w:val="16"/>
                <w:szCs w:val="16"/>
              </w:rPr>
              <w:t>60mg in 1mL prefilled syringe</w:t>
            </w:r>
          </w:p>
        </w:tc>
        <w:tc>
          <w:tcPr>
            <w:tcW w:w="3707" w:type="pct"/>
            <w:shd w:val="clear" w:color="auto" w:fill="auto"/>
            <w:tcMar>
              <w:top w:w="57" w:type="dxa"/>
              <w:bottom w:w="57" w:type="dxa"/>
            </w:tcMar>
          </w:tcPr>
          <w:p w14:paraId="635BF11F" w14:textId="70FFA0FE" w:rsidR="00AD2DCA" w:rsidRPr="00846A7B" w:rsidRDefault="00712DAA" w:rsidP="007D01FD">
            <w:pPr>
              <w:tabs>
                <w:tab w:val="center" w:pos="3152"/>
              </w:tabs>
              <w:rPr>
                <w:rFonts w:cs="Arial"/>
                <w:szCs w:val="19"/>
                <w:lang w:val="en-US"/>
              </w:rPr>
            </w:pPr>
            <w:r w:rsidRPr="00E637E1">
              <w:rPr>
                <w:rFonts w:cs="Arial"/>
                <w:szCs w:val="19"/>
                <w:lang w:val="en-US"/>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AD2DCA" w14:paraId="2502772A" w14:textId="77777777" w:rsidTr="002C2271">
        <w:tc>
          <w:tcPr>
            <w:tcW w:w="1293" w:type="pct"/>
            <w:gridSpan w:val="2"/>
            <w:shd w:val="clear" w:color="auto" w:fill="auto"/>
            <w:tcMar>
              <w:top w:w="57" w:type="dxa"/>
              <w:bottom w:w="57" w:type="dxa"/>
            </w:tcMar>
          </w:tcPr>
          <w:p w14:paraId="42F668AE" w14:textId="77777777" w:rsidR="00AD2DCA" w:rsidRDefault="00AD2DCA" w:rsidP="007D01FD">
            <w:pPr>
              <w:rPr>
                <w:rFonts w:cs="Arial"/>
                <w:szCs w:val="19"/>
              </w:rPr>
            </w:pPr>
            <w:r w:rsidRPr="00AD2DCA">
              <w:rPr>
                <w:rFonts w:cs="Arial"/>
                <w:szCs w:val="19"/>
              </w:rPr>
              <w:t>Denosumab biosimilar </w:t>
            </w:r>
          </w:p>
          <w:p w14:paraId="47231AFD" w14:textId="77777777" w:rsidR="002C2271" w:rsidRDefault="002C2271" w:rsidP="007D01FD">
            <w:pPr>
              <w:rPr>
                <w:rFonts w:cs="Arial"/>
                <w:szCs w:val="19"/>
              </w:rPr>
            </w:pPr>
            <w:r>
              <w:rPr>
                <w:rFonts w:cs="Arial"/>
                <w:szCs w:val="19"/>
              </w:rPr>
              <w:t>(</w:t>
            </w:r>
            <w:proofErr w:type="spellStart"/>
            <w:r w:rsidRPr="002C2271">
              <w:rPr>
                <w:rFonts w:cs="Arial"/>
                <w:i/>
                <w:iCs/>
                <w:szCs w:val="19"/>
              </w:rPr>
              <w:t>Enwylma</w:t>
            </w:r>
            <w:proofErr w:type="spellEnd"/>
            <w:r w:rsidRPr="002C2271">
              <w:rPr>
                <w:rFonts w:cs="Arial"/>
                <w:szCs w:val="19"/>
              </w:rPr>
              <w:t>)</w:t>
            </w:r>
          </w:p>
          <w:p w14:paraId="4DC2B3B0" w14:textId="36605355" w:rsidR="002C2271" w:rsidRPr="008222D2" w:rsidRDefault="002C2271" w:rsidP="007D01FD">
            <w:pPr>
              <w:rPr>
                <w:rFonts w:cs="Arial"/>
                <w:szCs w:val="19"/>
              </w:rPr>
            </w:pPr>
            <w:r w:rsidRPr="002C2271">
              <w:rPr>
                <w:rFonts w:cs="Arial"/>
                <w:sz w:val="16"/>
                <w:szCs w:val="16"/>
              </w:rPr>
              <w:t>120mg in 1.7mL vial</w:t>
            </w:r>
          </w:p>
        </w:tc>
        <w:tc>
          <w:tcPr>
            <w:tcW w:w="3707" w:type="pct"/>
            <w:shd w:val="clear" w:color="auto" w:fill="auto"/>
            <w:tcMar>
              <w:top w:w="57" w:type="dxa"/>
              <w:bottom w:w="57" w:type="dxa"/>
            </w:tcMar>
          </w:tcPr>
          <w:p w14:paraId="41744832" w14:textId="5689762D" w:rsidR="00AD2DCA" w:rsidRPr="00846A7B" w:rsidRDefault="002C2271" w:rsidP="007D01FD">
            <w:pPr>
              <w:tabs>
                <w:tab w:val="center" w:pos="3152"/>
              </w:tabs>
              <w:rPr>
                <w:rFonts w:cs="Arial"/>
                <w:szCs w:val="19"/>
                <w:lang w:val="en-US"/>
              </w:rPr>
            </w:pPr>
            <w:r w:rsidRPr="002C2271">
              <w:rPr>
                <w:rFonts w:cs="Arial"/>
                <w:szCs w:val="19"/>
                <w:lang w:val="en-US"/>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102238" w14:paraId="1AE58C29" w14:textId="77777777" w:rsidTr="002C2271">
        <w:tc>
          <w:tcPr>
            <w:tcW w:w="1293" w:type="pct"/>
            <w:gridSpan w:val="2"/>
            <w:shd w:val="clear" w:color="auto" w:fill="auto"/>
            <w:tcMar>
              <w:top w:w="57" w:type="dxa"/>
              <w:bottom w:w="57" w:type="dxa"/>
            </w:tcMar>
          </w:tcPr>
          <w:p w14:paraId="3C559D00" w14:textId="77777777" w:rsidR="00102238" w:rsidRPr="00D36AA4" w:rsidRDefault="00102238" w:rsidP="006C6F17">
            <w:pPr>
              <w:rPr>
                <w:rFonts w:cs="Arial"/>
                <w:color w:val="000000" w:themeColor="text1"/>
                <w:szCs w:val="19"/>
              </w:rPr>
            </w:pPr>
            <w:proofErr w:type="spellStart"/>
            <w:r w:rsidRPr="00D36AA4">
              <w:rPr>
                <w:rFonts w:cs="Arial"/>
                <w:color w:val="000000" w:themeColor="text1"/>
                <w:szCs w:val="19"/>
              </w:rPr>
              <w:t>Gepotidacin</w:t>
            </w:r>
            <w:proofErr w:type="spellEnd"/>
            <w:r w:rsidRPr="00D36AA4">
              <w:rPr>
                <w:rFonts w:cs="Arial"/>
                <w:color w:val="000000" w:themeColor="text1"/>
                <w:szCs w:val="19"/>
              </w:rPr>
              <w:t xml:space="preserve"> (</w:t>
            </w:r>
            <w:proofErr w:type="spellStart"/>
            <w:r w:rsidRPr="00D36AA4">
              <w:rPr>
                <w:rFonts w:cs="Arial"/>
                <w:i/>
                <w:iCs/>
                <w:color w:val="000000" w:themeColor="text1"/>
                <w:szCs w:val="19"/>
              </w:rPr>
              <w:t>Blujepa</w:t>
            </w:r>
            <w:proofErr w:type="spellEnd"/>
            <w:r w:rsidRPr="00D36AA4">
              <w:rPr>
                <w:rFonts w:cs="Arial"/>
                <w:color w:val="000000" w:themeColor="text1"/>
                <w:szCs w:val="19"/>
              </w:rPr>
              <w:t>)</w:t>
            </w:r>
          </w:p>
          <w:p w14:paraId="6143E84B" w14:textId="1A05F24E" w:rsidR="004200A9" w:rsidRPr="00D36AA4" w:rsidRDefault="004200A9" w:rsidP="006C6F17">
            <w:pPr>
              <w:rPr>
                <w:rFonts w:cs="Arial"/>
                <w:color w:val="000000" w:themeColor="text1"/>
                <w:sz w:val="16"/>
                <w:szCs w:val="16"/>
              </w:rPr>
            </w:pPr>
            <w:r w:rsidRPr="00D36AA4">
              <w:rPr>
                <w:rFonts w:cs="Arial"/>
                <w:color w:val="000000" w:themeColor="text1"/>
                <w:sz w:val="16"/>
                <w:szCs w:val="16"/>
              </w:rPr>
              <w:t>750mg tablet</w:t>
            </w:r>
          </w:p>
          <w:p w14:paraId="773E098A" w14:textId="5DF3C8DB" w:rsidR="00102238" w:rsidRPr="00D36AA4" w:rsidRDefault="00102238" w:rsidP="006C6F17">
            <w:pPr>
              <w:rPr>
                <w:rFonts w:cs="Arial"/>
                <w:color w:val="000000" w:themeColor="text1"/>
                <w:szCs w:val="19"/>
              </w:rPr>
            </w:pPr>
          </w:p>
        </w:tc>
        <w:tc>
          <w:tcPr>
            <w:tcW w:w="3707" w:type="pct"/>
            <w:shd w:val="clear" w:color="auto" w:fill="auto"/>
            <w:tcMar>
              <w:top w:w="57" w:type="dxa"/>
              <w:bottom w:w="57" w:type="dxa"/>
            </w:tcMar>
          </w:tcPr>
          <w:p w14:paraId="2200FC8E" w14:textId="6E8E70BA" w:rsidR="00102238" w:rsidRPr="00D36AA4" w:rsidRDefault="00D36AA4" w:rsidP="00D36AA4">
            <w:pPr>
              <w:tabs>
                <w:tab w:val="center" w:pos="3152"/>
              </w:tabs>
              <w:rPr>
                <w:rFonts w:cs="Arial"/>
                <w:color w:val="000000" w:themeColor="text1"/>
                <w:szCs w:val="19"/>
                <w:lang w:val="en-US"/>
              </w:rPr>
            </w:pPr>
            <w:r w:rsidRPr="00D36AA4">
              <w:rPr>
                <w:rFonts w:cs="Arial"/>
                <w:color w:val="000000" w:themeColor="text1"/>
                <w:szCs w:val="19"/>
                <w:lang w:val="en-US"/>
              </w:rPr>
              <w:t>T</w:t>
            </w:r>
            <w:r w:rsidRPr="00D36AA4">
              <w:rPr>
                <w:rFonts w:cs="Arial"/>
                <w:color w:val="000000" w:themeColor="text1"/>
                <w:szCs w:val="19"/>
                <w:lang w:val="en-US"/>
              </w:rPr>
              <w:t>reatment of female adults and adolescents</w:t>
            </w:r>
            <w:r w:rsidRPr="00D36AA4">
              <w:rPr>
                <w:rFonts w:cs="Arial"/>
                <w:color w:val="000000" w:themeColor="text1"/>
                <w:szCs w:val="19"/>
                <w:lang w:val="en-US"/>
              </w:rPr>
              <w:t xml:space="preserve"> aged ≥</w:t>
            </w:r>
            <w:r w:rsidRPr="00D36AA4">
              <w:rPr>
                <w:rFonts w:cs="Arial"/>
                <w:color w:val="000000" w:themeColor="text1"/>
                <w:szCs w:val="19"/>
                <w:lang w:val="en-US"/>
              </w:rPr>
              <w:t>12 years</w:t>
            </w:r>
            <w:r w:rsidRPr="00D36AA4">
              <w:rPr>
                <w:rFonts w:cs="Arial"/>
                <w:color w:val="000000" w:themeColor="text1"/>
                <w:szCs w:val="19"/>
                <w:lang w:val="en-US"/>
              </w:rPr>
              <w:t>,</w:t>
            </w:r>
            <w:r w:rsidRPr="00D36AA4">
              <w:rPr>
                <w:rFonts w:cs="Arial"/>
                <w:color w:val="000000" w:themeColor="text1"/>
                <w:szCs w:val="19"/>
                <w:lang w:val="en-US"/>
              </w:rPr>
              <w:t xml:space="preserve"> weighing </w:t>
            </w:r>
            <w:r w:rsidRPr="00D36AA4">
              <w:rPr>
                <w:rFonts w:cs="Arial"/>
                <w:color w:val="000000" w:themeColor="text1"/>
                <w:szCs w:val="19"/>
                <w:lang w:val="en-US"/>
              </w:rPr>
              <w:t>≥</w:t>
            </w:r>
            <w:r w:rsidRPr="00D36AA4">
              <w:rPr>
                <w:rFonts w:cs="Arial"/>
                <w:color w:val="000000" w:themeColor="text1"/>
                <w:szCs w:val="19"/>
                <w:lang w:val="en-US"/>
              </w:rPr>
              <w:t>40kg, with uncomplicated urinary tract infections</w:t>
            </w:r>
            <w:r w:rsidRPr="00D36AA4">
              <w:rPr>
                <w:rFonts w:cs="Arial"/>
                <w:color w:val="000000" w:themeColor="text1"/>
                <w:szCs w:val="19"/>
                <w:lang w:val="en-US"/>
              </w:rPr>
              <w:t xml:space="preserve"> </w:t>
            </w:r>
            <w:r w:rsidRPr="00D36AA4">
              <w:rPr>
                <w:rFonts w:cs="Arial"/>
                <w:color w:val="000000" w:themeColor="text1"/>
                <w:szCs w:val="19"/>
                <w:lang w:val="en-US"/>
              </w:rPr>
              <w:t>(acute cystitis) that are proven or strongly suspected to be caused by</w:t>
            </w:r>
            <w:r w:rsidRPr="00D36AA4">
              <w:rPr>
                <w:rFonts w:cs="Arial"/>
                <w:color w:val="000000" w:themeColor="text1"/>
                <w:szCs w:val="19"/>
                <w:lang w:val="en-US"/>
              </w:rPr>
              <w:t xml:space="preserve"> </w:t>
            </w:r>
            <w:r w:rsidRPr="00D36AA4">
              <w:rPr>
                <w:rFonts w:cs="Arial"/>
                <w:color w:val="000000" w:themeColor="text1"/>
                <w:szCs w:val="19"/>
                <w:lang w:val="en-US"/>
              </w:rPr>
              <w:t>susceptible organisms</w:t>
            </w:r>
          </w:p>
        </w:tc>
      </w:tr>
      <w:tr w:rsidR="006C6F17" w14:paraId="1B4CC0A4" w14:textId="77777777" w:rsidTr="002C2271">
        <w:tc>
          <w:tcPr>
            <w:tcW w:w="1293" w:type="pct"/>
            <w:gridSpan w:val="2"/>
            <w:shd w:val="clear" w:color="auto" w:fill="auto"/>
            <w:tcMar>
              <w:top w:w="57" w:type="dxa"/>
              <w:bottom w:w="57" w:type="dxa"/>
            </w:tcMar>
          </w:tcPr>
          <w:p w14:paraId="633A7BCC" w14:textId="2B316DC2" w:rsidR="006C6F17" w:rsidRDefault="006C6F17" w:rsidP="006C6F17">
            <w:pPr>
              <w:rPr>
                <w:rFonts w:cs="Arial"/>
                <w:szCs w:val="19"/>
              </w:rPr>
            </w:pPr>
            <w:r w:rsidRPr="00226374">
              <w:rPr>
                <w:rFonts w:cs="Arial"/>
                <w:szCs w:val="19"/>
              </w:rPr>
              <w:t>LP.8.1 </w:t>
            </w:r>
            <w:r>
              <w:rPr>
                <w:rFonts w:cs="Arial"/>
                <w:szCs w:val="19"/>
              </w:rPr>
              <w:t>(</w:t>
            </w:r>
            <w:r>
              <w:rPr>
                <w:rFonts w:cs="Arial"/>
                <w:i/>
                <w:iCs/>
                <w:szCs w:val="19"/>
              </w:rPr>
              <w:t xml:space="preserve">Comirnaty </w:t>
            </w:r>
            <w:r w:rsidRPr="001C1A63">
              <w:rPr>
                <w:rFonts w:cs="Arial"/>
                <w:i/>
                <w:iCs/>
                <w:szCs w:val="19"/>
              </w:rPr>
              <w:t xml:space="preserve">LP.8.1 </w:t>
            </w:r>
            <w:r>
              <w:rPr>
                <w:rFonts w:cs="Arial"/>
                <w:i/>
                <w:iCs/>
                <w:szCs w:val="19"/>
              </w:rPr>
              <w:t>[</w:t>
            </w:r>
            <w:r w:rsidRPr="001C1A63">
              <w:rPr>
                <w:rFonts w:cs="Arial"/>
                <w:i/>
                <w:iCs/>
                <w:szCs w:val="19"/>
              </w:rPr>
              <w:t>3micrograms/dose</w:t>
            </w:r>
            <w:r>
              <w:rPr>
                <w:rFonts w:cs="Arial"/>
                <w:i/>
                <w:iCs/>
                <w:szCs w:val="19"/>
              </w:rPr>
              <w:t>]</w:t>
            </w:r>
            <w:r>
              <w:rPr>
                <w:rFonts w:cs="Arial"/>
                <w:szCs w:val="19"/>
              </w:rPr>
              <w:t>)</w:t>
            </w:r>
          </w:p>
          <w:p w14:paraId="6547834C" w14:textId="24F41675" w:rsidR="006C6F17" w:rsidRPr="002B10C1" w:rsidRDefault="00B116E4" w:rsidP="006C6F17">
            <w:pPr>
              <w:rPr>
                <w:rFonts w:cs="Arial"/>
                <w:szCs w:val="19"/>
              </w:rPr>
            </w:pPr>
            <w:r>
              <w:rPr>
                <w:rFonts w:cs="Arial"/>
                <w:sz w:val="16"/>
                <w:szCs w:val="16"/>
              </w:rPr>
              <w:t>3</w:t>
            </w:r>
            <w:r w:rsidR="006C6F17" w:rsidRPr="00222ACF">
              <w:rPr>
                <w:rFonts w:cs="Arial"/>
                <w:sz w:val="16"/>
                <w:szCs w:val="16"/>
              </w:rPr>
              <w:t xml:space="preserve">-dose </w:t>
            </w:r>
            <w:r>
              <w:rPr>
                <w:rFonts w:cs="Arial"/>
                <w:sz w:val="16"/>
                <w:szCs w:val="16"/>
              </w:rPr>
              <w:t>vial</w:t>
            </w:r>
          </w:p>
        </w:tc>
        <w:tc>
          <w:tcPr>
            <w:tcW w:w="3707" w:type="pct"/>
            <w:shd w:val="clear" w:color="auto" w:fill="auto"/>
            <w:tcMar>
              <w:top w:w="57" w:type="dxa"/>
              <w:bottom w:w="57" w:type="dxa"/>
            </w:tcMar>
          </w:tcPr>
          <w:p w14:paraId="0384DE31" w14:textId="1EF72649" w:rsidR="006C6F17" w:rsidRDefault="006C6F17" w:rsidP="006C6F17">
            <w:pPr>
              <w:tabs>
                <w:tab w:val="center" w:pos="3152"/>
              </w:tabs>
              <w:rPr>
                <w:rFonts w:cs="Arial"/>
                <w:sz w:val="18"/>
                <w:szCs w:val="18"/>
                <w:lang w:val="en-US"/>
              </w:rPr>
            </w:pPr>
            <w:r w:rsidRPr="00222ACF">
              <w:rPr>
                <w:rFonts w:cs="Arial"/>
                <w:szCs w:val="19"/>
                <w:lang w:val="en-US"/>
              </w:rPr>
              <w:t xml:space="preserve">Active </w:t>
            </w:r>
            <w:proofErr w:type="spellStart"/>
            <w:r w:rsidRPr="00222ACF">
              <w:rPr>
                <w:rFonts w:cs="Arial"/>
                <w:szCs w:val="19"/>
                <w:lang w:val="en-US"/>
              </w:rPr>
              <w:t>immunisation</w:t>
            </w:r>
            <w:proofErr w:type="spellEnd"/>
            <w:r w:rsidRPr="00222ACF">
              <w:rPr>
                <w:rFonts w:cs="Arial"/>
                <w:szCs w:val="19"/>
                <w:lang w:val="en-US"/>
              </w:rPr>
              <w:t xml:space="preserve"> to prevent COVID-19 caused by SARS-CoV-2 in individuals </w:t>
            </w:r>
            <w:r>
              <w:rPr>
                <w:rFonts w:cs="Arial"/>
                <w:szCs w:val="19"/>
                <w:lang w:val="en-US"/>
              </w:rPr>
              <w:t>aged 6 months to 4 years</w:t>
            </w:r>
          </w:p>
        </w:tc>
      </w:tr>
      <w:tr w:rsidR="006C6F17" w14:paraId="5ECD638D" w14:textId="77777777" w:rsidTr="002C2271">
        <w:tc>
          <w:tcPr>
            <w:tcW w:w="1293" w:type="pct"/>
            <w:gridSpan w:val="2"/>
            <w:shd w:val="clear" w:color="auto" w:fill="auto"/>
            <w:tcMar>
              <w:top w:w="57" w:type="dxa"/>
              <w:bottom w:w="57" w:type="dxa"/>
            </w:tcMar>
          </w:tcPr>
          <w:p w14:paraId="1D83F28E" w14:textId="224C74D5" w:rsidR="006C6F17" w:rsidRDefault="006C6F17" w:rsidP="006C6F17">
            <w:pPr>
              <w:rPr>
                <w:rFonts w:cs="Arial"/>
                <w:szCs w:val="19"/>
              </w:rPr>
            </w:pPr>
            <w:r w:rsidRPr="00226374">
              <w:rPr>
                <w:rFonts w:cs="Arial"/>
                <w:szCs w:val="19"/>
              </w:rPr>
              <w:t>LP.8.1 </w:t>
            </w:r>
            <w:r>
              <w:rPr>
                <w:rFonts w:cs="Arial"/>
                <w:szCs w:val="19"/>
              </w:rPr>
              <w:t>(</w:t>
            </w:r>
            <w:r>
              <w:rPr>
                <w:rFonts w:cs="Arial"/>
                <w:i/>
                <w:iCs/>
                <w:szCs w:val="19"/>
              </w:rPr>
              <w:t xml:space="preserve">Comirnaty </w:t>
            </w:r>
            <w:r w:rsidRPr="001C1A63">
              <w:rPr>
                <w:rFonts w:cs="Arial"/>
                <w:i/>
                <w:iCs/>
                <w:szCs w:val="19"/>
              </w:rPr>
              <w:t xml:space="preserve">LP.8.1 </w:t>
            </w:r>
            <w:r>
              <w:rPr>
                <w:rFonts w:cs="Arial"/>
                <w:i/>
                <w:iCs/>
                <w:szCs w:val="19"/>
              </w:rPr>
              <w:t>[1</w:t>
            </w:r>
            <w:r w:rsidRPr="001C1A63">
              <w:rPr>
                <w:rFonts w:cs="Arial"/>
                <w:i/>
                <w:iCs/>
                <w:szCs w:val="19"/>
              </w:rPr>
              <w:t>0micrograms/dose</w:t>
            </w:r>
            <w:r>
              <w:rPr>
                <w:rFonts w:cs="Arial"/>
                <w:i/>
                <w:iCs/>
                <w:szCs w:val="19"/>
              </w:rPr>
              <w:t>]</w:t>
            </w:r>
            <w:r>
              <w:rPr>
                <w:rFonts w:cs="Arial"/>
                <w:szCs w:val="19"/>
              </w:rPr>
              <w:t>)</w:t>
            </w:r>
          </w:p>
          <w:p w14:paraId="6A8707F3" w14:textId="69FCEC8D" w:rsidR="006C6F17" w:rsidRPr="002F73AD" w:rsidRDefault="006C6F17" w:rsidP="006C6F17">
            <w:pPr>
              <w:rPr>
                <w:rFonts w:cs="Arial"/>
                <w:szCs w:val="19"/>
              </w:rPr>
            </w:pPr>
            <w:r w:rsidRPr="00222ACF">
              <w:rPr>
                <w:rFonts w:cs="Arial"/>
                <w:sz w:val="16"/>
                <w:szCs w:val="16"/>
              </w:rPr>
              <w:t>Single-dose prefilled syringe</w:t>
            </w:r>
          </w:p>
        </w:tc>
        <w:tc>
          <w:tcPr>
            <w:tcW w:w="3707" w:type="pct"/>
            <w:shd w:val="clear" w:color="auto" w:fill="auto"/>
            <w:tcMar>
              <w:top w:w="57" w:type="dxa"/>
              <w:bottom w:w="57" w:type="dxa"/>
            </w:tcMar>
          </w:tcPr>
          <w:p w14:paraId="5948F434" w14:textId="16E60297" w:rsidR="006C6F17" w:rsidRPr="00A075A3" w:rsidRDefault="006C6F17" w:rsidP="006C6F17">
            <w:pPr>
              <w:tabs>
                <w:tab w:val="center" w:pos="3152"/>
              </w:tabs>
              <w:rPr>
                <w:rFonts w:cs="Arial"/>
                <w:szCs w:val="19"/>
                <w:lang w:val="en-US"/>
              </w:rPr>
            </w:pPr>
            <w:r w:rsidRPr="00222ACF">
              <w:rPr>
                <w:rFonts w:cs="Arial"/>
                <w:szCs w:val="19"/>
                <w:lang w:val="en-US"/>
              </w:rPr>
              <w:t xml:space="preserve">Active </w:t>
            </w:r>
            <w:proofErr w:type="spellStart"/>
            <w:r w:rsidRPr="00222ACF">
              <w:rPr>
                <w:rFonts w:cs="Arial"/>
                <w:szCs w:val="19"/>
                <w:lang w:val="en-US"/>
              </w:rPr>
              <w:t>immunisation</w:t>
            </w:r>
            <w:proofErr w:type="spellEnd"/>
            <w:r w:rsidRPr="00222ACF">
              <w:rPr>
                <w:rFonts w:cs="Arial"/>
                <w:szCs w:val="19"/>
                <w:lang w:val="en-US"/>
              </w:rPr>
              <w:t xml:space="preserve"> to prevent COVID-19 caused by SARS-CoV-2 in individuals </w:t>
            </w:r>
            <w:r>
              <w:rPr>
                <w:rFonts w:cs="Arial"/>
                <w:szCs w:val="19"/>
                <w:lang w:val="en-US"/>
              </w:rPr>
              <w:t>aged 5 to 11</w:t>
            </w:r>
            <w:r w:rsidRPr="00222ACF">
              <w:rPr>
                <w:rFonts w:cs="Arial"/>
                <w:szCs w:val="19"/>
                <w:lang w:val="en-US"/>
              </w:rPr>
              <w:t xml:space="preserve"> years</w:t>
            </w:r>
          </w:p>
        </w:tc>
      </w:tr>
      <w:tr w:rsidR="006C6F17" w14:paraId="63DAE7D7" w14:textId="77777777" w:rsidTr="002C2271">
        <w:tc>
          <w:tcPr>
            <w:tcW w:w="1293" w:type="pct"/>
            <w:gridSpan w:val="2"/>
            <w:shd w:val="clear" w:color="auto" w:fill="auto"/>
            <w:tcMar>
              <w:top w:w="57" w:type="dxa"/>
              <w:bottom w:w="57" w:type="dxa"/>
            </w:tcMar>
          </w:tcPr>
          <w:p w14:paraId="27BD800C" w14:textId="6A2AE28C" w:rsidR="006C6F17" w:rsidRDefault="006C6F17" w:rsidP="006C6F17">
            <w:pPr>
              <w:rPr>
                <w:rFonts w:cs="Arial"/>
                <w:szCs w:val="19"/>
              </w:rPr>
            </w:pPr>
            <w:r w:rsidRPr="00226374">
              <w:rPr>
                <w:rFonts w:cs="Arial"/>
                <w:szCs w:val="19"/>
              </w:rPr>
              <w:t>LP.8.1 </w:t>
            </w:r>
            <w:r>
              <w:rPr>
                <w:rFonts w:cs="Arial"/>
                <w:szCs w:val="19"/>
              </w:rPr>
              <w:t>(</w:t>
            </w:r>
            <w:r>
              <w:rPr>
                <w:rFonts w:cs="Arial"/>
                <w:i/>
                <w:iCs/>
                <w:szCs w:val="19"/>
              </w:rPr>
              <w:t xml:space="preserve">Comirnaty </w:t>
            </w:r>
            <w:r w:rsidRPr="001C1A63">
              <w:rPr>
                <w:rFonts w:cs="Arial"/>
                <w:i/>
                <w:iCs/>
                <w:szCs w:val="19"/>
              </w:rPr>
              <w:t xml:space="preserve">LP.8.1 </w:t>
            </w:r>
            <w:r>
              <w:rPr>
                <w:rFonts w:cs="Arial"/>
                <w:i/>
                <w:iCs/>
                <w:szCs w:val="19"/>
              </w:rPr>
              <w:t>[</w:t>
            </w:r>
            <w:r w:rsidRPr="001C1A63">
              <w:rPr>
                <w:rFonts w:cs="Arial"/>
                <w:i/>
                <w:iCs/>
                <w:szCs w:val="19"/>
              </w:rPr>
              <w:t>30micrograms/dose</w:t>
            </w:r>
            <w:r>
              <w:rPr>
                <w:rFonts w:cs="Arial"/>
                <w:i/>
                <w:iCs/>
                <w:szCs w:val="19"/>
              </w:rPr>
              <w:t>]</w:t>
            </w:r>
            <w:r>
              <w:rPr>
                <w:rFonts w:cs="Arial"/>
                <w:szCs w:val="19"/>
              </w:rPr>
              <w:t>)</w:t>
            </w:r>
          </w:p>
          <w:p w14:paraId="0871114F" w14:textId="5CA8144E" w:rsidR="006C6F17" w:rsidRPr="001C1A63" w:rsidRDefault="006C6F17" w:rsidP="006C6F17">
            <w:pPr>
              <w:rPr>
                <w:rFonts w:cs="Arial"/>
                <w:szCs w:val="19"/>
              </w:rPr>
            </w:pPr>
            <w:r w:rsidRPr="00222ACF">
              <w:rPr>
                <w:rFonts w:cs="Arial"/>
                <w:sz w:val="16"/>
                <w:szCs w:val="16"/>
              </w:rPr>
              <w:t>Single-dose prefilled syringe</w:t>
            </w:r>
          </w:p>
        </w:tc>
        <w:tc>
          <w:tcPr>
            <w:tcW w:w="3707" w:type="pct"/>
            <w:shd w:val="clear" w:color="auto" w:fill="auto"/>
            <w:tcMar>
              <w:top w:w="57" w:type="dxa"/>
              <w:bottom w:w="57" w:type="dxa"/>
            </w:tcMar>
          </w:tcPr>
          <w:p w14:paraId="74B1CB8D" w14:textId="148CA57D" w:rsidR="006C6F17" w:rsidRPr="00A075A3" w:rsidRDefault="006C6F17" w:rsidP="006C6F17">
            <w:pPr>
              <w:tabs>
                <w:tab w:val="num" w:pos="720"/>
                <w:tab w:val="center" w:pos="3152"/>
              </w:tabs>
              <w:rPr>
                <w:rFonts w:cs="Arial"/>
                <w:szCs w:val="19"/>
                <w:lang w:val="en-US"/>
              </w:rPr>
            </w:pPr>
            <w:r w:rsidRPr="00222ACF">
              <w:rPr>
                <w:rFonts w:cs="Arial"/>
                <w:szCs w:val="19"/>
                <w:lang w:val="en-US"/>
              </w:rPr>
              <w:t xml:space="preserve">Active </w:t>
            </w:r>
            <w:proofErr w:type="spellStart"/>
            <w:r w:rsidRPr="00222ACF">
              <w:rPr>
                <w:rFonts w:cs="Arial"/>
                <w:szCs w:val="19"/>
                <w:lang w:val="en-US"/>
              </w:rPr>
              <w:t>immunisation</w:t>
            </w:r>
            <w:proofErr w:type="spellEnd"/>
            <w:r w:rsidRPr="00222ACF">
              <w:rPr>
                <w:rFonts w:cs="Arial"/>
                <w:szCs w:val="19"/>
                <w:lang w:val="en-US"/>
              </w:rPr>
              <w:t xml:space="preserve"> to prevent COVID-19 caused by SARS-CoV-2 in individuals </w:t>
            </w:r>
            <w:r>
              <w:rPr>
                <w:rFonts w:cs="Arial"/>
                <w:szCs w:val="19"/>
                <w:lang w:val="en-US"/>
              </w:rPr>
              <w:t>aged ≥</w:t>
            </w:r>
            <w:r w:rsidRPr="00222ACF">
              <w:rPr>
                <w:rFonts w:cs="Arial"/>
                <w:szCs w:val="19"/>
                <w:lang w:val="en-US"/>
              </w:rPr>
              <w:t>12 years</w:t>
            </w:r>
          </w:p>
        </w:tc>
      </w:tr>
      <w:tr w:rsidR="0053664B" w14:paraId="50486FC3" w14:textId="77777777" w:rsidTr="002C2271">
        <w:tc>
          <w:tcPr>
            <w:tcW w:w="1293" w:type="pct"/>
            <w:gridSpan w:val="2"/>
            <w:shd w:val="clear" w:color="auto" w:fill="auto"/>
            <w:tcMar>
              <w:top w:w="57" w:type="dxa"/>
              <w:bottom w:w="57" w:type="dxa"/>
            </w:tcMar>
          </w:tcPr>
          <w:p w14:paraId="5E25956E" w14:textId="77777777" w:rsidR="0053664B" w:rsidRPr="000D5606" w:rsidRDefault="0053664B" w:rsidP="00381B5E">
            <w:pPr>
              <w:rPr>
                <w:rFonts w:cs="Arial"/>
                <w:color w:val="000000" w:themeColor="text1"/>
                <w:szCs w:val="19"/>
              </w:rPr>
            </w:pPr>
            <w:proofErr w:type="spellStart"/>
            <w:r w:rsidRPr="000D5606">
              <w:rPr>
                <w:rFonts w:cs="Arial"/>
                <w:color w:val="000000" w:themeColor="text1"/>
                <w:szCs w:val="19"/>
              </w:rPr>
              <w:t>Pirtobrutinib</w:t>
            </w:r>
            <w:proofErr w:type="spellEnd"/>
            <w:r w:rsidRPr="000D5606">
              <w:rPr>
                <w:rFonts w:cs="Arial"/>
                <w:color w:val="000000" w:themeColor="text1"/>
                <w:szCs w:val="19"/>
              </w:rPr>
              <w:t xml:space="preserve"> (</w:t>
            </w:r>
            <w:proofErr w:type="spellStart"/>
            <w:r w:rsidRPr="000D5606">
              <w:rPr>
                <w:rFonts w:cs="Arial"/>
                <w:i/>
                <w:iCs/>
                <w:color w:val="000000" w:themeColor="text1"/>
                <w:szCs w:val="19"/>
              </w:rPr>
              <w:t>Jaypirca</w:t>
            </w:r>
            <w:proofErr w:type="spellEnd"/>
            <w:r w:rsidRPr="000D5606">
              <w:rPr>
                <w:rFonts w:cs="Arial"/>
                <w:color w:val="000000" w:themeColor="text1"/>
                <w:szCs w:val="19"/>
              </w:rPr>
              <w:t>)</w:t>
            </w:r>
          </w:p>
          <w:p w14:paraId="2B0B42CE" w14:textId="75A6D8AE" w:rsidR="0053664B" w:rsidRPr="000D5606" w:rsidRDefault="0001685D" w:rsidP="00381B5E">
            <w:pPr>
              <w:rPr>
                <w:rFonts w:cs="Arial"/>
                <w:color w:val="000000" w:themeColor="text1"/>
                <w:szCs w:val="19"/>
              </w:rPr>
            </w:pPr>
            <w:r w:rsidRPr="000D5606">
              <w:rPr>
                <w:rFonts w:cs="Arial"/>
                <w:color w:val="000000" w:themeColor="text1"/>
                <w:sz w:val="16"/>
                <w:szCs w:val="16"/>
              </w:rPr>
              <w:t>50mg and 100mg tablets</w:t>
            </w:r>
          </w:p>
        </w:tc>
        <w:tc>
          <w:tcPr>
            <w:tcW w:w="3707" w:type="pct"/>
            <w:shd w:val="clear" w:color="auto" w:fill="auto"/>
            <w:tcMar>
              <w:top w:w="57" w:type="dxa"/>
              <w:bottom w:w="57" w:type="dxa"/>
            </w:tcMar>
          </w:tcPr>
          <w:p w14:paraId="6A0EAE7A" w14:textId="3355B0F6" w:rsidR="0053664B" w:rsidRPr="000D5606" w:rsidRDefault="0001685D" w:rsidP="00381B5E">
            <w:pPr>
              <w:tabs>
                <w:tab w:val="center" w:pos="3152"/>
              </w:tabs>
              <w:rPr>
                <w:rFonts w:cs="Arial"/>
                <w:color w:val="000000" w:themeColor="text1"/>
                <w:szCs w:val="19"/>
                <w:lang w:val="en-US"/>
              </w:rPr>
            </w:pPr>
            <w:r w:rsidRPr="000D5606">
              <w:rPr>
                <w:rFonts w:cs="Arial"/>
                <w:color w:val="000000" w:themeColor="text1"/>
                <w:szCs w:val="19"/>
                <w:lang w:val="en-US"/>
              </w:rPr>
              <w:t xml:space="preserve">Use as monotherapy for the treatment of adults with relapsed or refractory mantle cell lymphoma who have been previously treated with a Bruton´s tyrosine kinase (BTK) inhibitor, and </w:t>
            </w:r>
            <w:r w:rsidR="005720AC" w:rsidRPr="000D5606">
              <w:rPr>
                <w:rFonts w:cs="Arial"/>
                <w:color w:val="000000" w:themeColor="text1"/>
                <w:szCs w:val="19"/>
                <w:lang w:val="en-US"/>
              </w:rPr>
              <w:t>use as monotherapy for the treatment of adults with relapsed or refractory chronic lymphocytic leukaemia who have been previously treated with a BTK inhibitor</w:t>
            </w:r>
          </w:p>
        </w:tc>
      </w:tr>
      <w:tr w:rsidR="00381B5E" w14:paraId="01AF9D97" w14:textId="77777777" w:rsidTr="002C2271">
        <w:tc>
          <w:tcPr>
            <w:tcW w:w="1293" w:type="pct"/>
            <w:gridSpan w:val="2"/>
            <w:shd w:val="clear" w:color="auto" w:fill="auto"/>
            <w:tcMar>
              <w:top w:w="57" w:type="dxa"/>
              <w:bottom w:w="57" w:type="dxa"/>
            </w:tcMar>
          </w:tcPr>
          <w:p w14:paraId="6ED2E9F2" w14:textId="77777777" w:rsidR="00381B5E" w:rsidRDefault="00381B5E" w:rsidP="00381B5E">
            <w:proofErr w:type="spellStart"/>
            <w:r w:rsidRPr="00C0511A">
              <w:rPr>
                <w:rFonts w:cs="Arial"/>
                <w:szCs w:val="19"/>
              </w:rPr>
              <w:t>Ruxolitinib</w:t>
            </w:r>
            <w:proofErr w:type="spellEnd"/>
            <w:r w:rsidRPr="00C0511A">
              <w:rPr>
                <w:rFonts w:cs="Arial"/>
                <w:szCs w:val="19"/>
              </w:rPr>
              <w:t> </w:t>
            </w:r>
            <w:r>
              <w:rPr>
                <w:rFonts w:cs="Arial"/>
                <w:szCs w:val="19"/>
              </w:rPr>
              <w:t>(</w:t>
            </w:r>
            <w:proofErr w:type="spellStart"/>
            <w:r>
              <w:rPr>
                <w:rFonts w:cs="Arial"/>
                <w:i/>
                <w:iCs/>
                <w:szCs w:val="19"/>
              </w:rPr>
              <w:t>Jakavi</w:t>
            </w:r>
            <w:proofErr w:type="spellEnd"/>
            <w:r>
              <w:rPr>
                <w:rFonts w:cs="Arial"/>
                <w:szCs w:val="19"/>
              </w:rPr>
              <w:t>)</w:t>
            </w:r>
            <w:r>
              <w:t xml:space="preserve"> </w:t>
            </w:r>
          </w:p>
          <w:p w14:paraId="5FFD1A9D" w14:textId="2C65D5B6" w:rsidR="00381B5E" w:rsidRPr="00847590" w:rsidRDefault="00381B5E" w:rsidP="00381B5E">
            <w:pPr>
              <w:rPr>
                <w:rFonts w:cs="Arial"/>
                <w:szCs w:val="19"/>
              </w:rPr>
            </w:pPr>
            <w:r w:rsidRPr="00F90649">
              <w:rPr>
                <w:rFonts w:cs="Arial"/>
                <w:sz w:val="16"/>
                <w:szCs w:val="16"/>
              </w:rPr>
              <w:t>5mg in 1ml oral solution</w:t>
            </w:r>
          </w:p>
        </w:tc>
        <w:tc>
          <w:tcPr>
            <w:tcW w:w="3707" w:type="pct"/>
            <w:shd w:val="clear" w:color="auto" w:fill="auto"/>
            <w:tcMar>
              <w:top w:w="57" w:type="dxa"/>
              <w:bottom w:w="57" w:type="dxa"/>
            </w:tcMar>
          </w:tcPr>
          <w:p w14:paraId="0BF2EE60" w14:textId="59C47710" w:rsidR="00381B5E" w:rsidRPr="009B0BCE" w:rsidRDefault="00381B5E" w:rsidP="00381B5E">
            <w:pPr>
              <w:tabs>
                <w:tab w:val="center" w:pos="3152"/>
              </w:tabs>
              <w:rPr>
                <w:rFonts w:cs="Arial"/>
                <w:color w:val="000000"/>
                <w:sz w:val="20"/>
                <w:szCs w:val="18"/>
                <w:lang w:val="en-US"/>
              </w:rPr>
            </w:pPr>
            <w:r w:rsidRPr="00F90649">
              <w:rPr>
                <w:rFonts w:cs="Arial"/>
                <w:szCs w:val="19"/>
                <w:lang w:val="en-US"/>
              </w:rPr>
              <w:t xml:space="preserve">Treatment of patients aged </w:t>
            </w:r>
            <w:r>
              <w:rPr>
                <w:rFonts w:cs="Arial"/>
                <w:szCs w:val="19"/>
                <w:lang w:val="en-US"/>
              </w:rPr>
              <w:t>≥</w:t>
            </w:r>
            <w:r w:rsidRPr="00F90649">
              <w:rPr>
                <w:rFonts w:cs="Arial"/>
                <w:szCs w:val="19"/>
                <w:lang w:val="en-US"/>
              </w:rPr>
              <w:t>2 years with acute or chronic graft versus host disease who have inadequate response to corticosteroids</w:t>
            </w:r>
            <w:r>
              <w:rPr>
                <w:rFonts w:cs="Arial"/>
                <w:szCs w:val="19"/>
                <w:lang w:val="en-US"/>
              </w:rPr>
              <w:t xml:space="preserve"> </w:t>
            </w:r>
            <w:r w:rsidRPr="00F90649">
              <w:rPr>
                <w:rFonts w:cs="Arial"/>
                <w:sz w:val="16"/>
                <w:szCs w:val="16"/>
                <w:lang w:val="en-US"/>
              </w:rPr>
              <w:t>[new oral solution formulation]</w:t>
            </w:r>
          </w:p>
        </w:tc>
      </w:tr>
      <w:tr w:rsidR="00381B5E" w14:paraId="60FF6EFF" w14:textId="77777777" w:rsidTr="002C2271">
        <w:tc>
          <w:tcPr>
            <w:tcW w:w="1293" w:type="pct"/>
            <w:gridSpan w:val="2"/>
            <w:shd w:val="clear" w:color="auto" w:fill="auto"/>
            <w:tcMar>
              <w:top w:w="57" w:type="dxa"/>
              <w:bottom w:w="57" w:type="dxa"/>
            </w:tcMar>
          </w:tcPr>
          <w:p w14:paraId="611899BF" w14:textId="77777777" w:rsidR="00381B5E" w:rsidRDefault="00381B5E" w:rsidP="00381B5E">
            <w:pPr>
              <w:rPr>
                <w:rFonts w:cs="Arial"/>
                <w:szCs w:val="19"/>
              </w:rPr>
            </w:pPr>
            <w:r>
              <w:rPr>
                <w:rFonts w:cs="Arial"/>
                <w:szCs w:val="19"/>
              </w:rPr>
              <w:t>Teplizumab (</w:t>
            </w:r>
            <w:proofErr w:type="spellStart"/>
            <w:r>
              <w:rPr>
                <w:rFonts w:cs="Arial"/>
                <w:i/>
                <w:iCs/>
                <w:szCs w:val="19"/>
              </w:rPr>
              <w:t>Tzield</w:t>
            </w:r>
            <w:proofErr w:type="spellEnd"/>
            <w:r>
              <w:rPr>
                <w:rFonts w:cs="Arial"/>
                <w:szCs w:val="19"/>
              </w:rPr>
              <w:t>)</w:t>
            </w:r>
          </w:p>
          <w:p w14:paraId="493D4C9F" w14:textId="07CF14AC" w:rsidR="00381B5E" w:rsidRPr="00C0511A" w:rsidRDefault="00381B5E" w:rsidP="00381B5E">
            <w:pPr>
              <w:rPr>
                <w:rFonts w:cs="Arial"/>
                <w:szCs w:val="19"/>
              </w:rPr>
            </w:pPr>
            <w:r w:rsidRPr="00B367CC">
              <w:rPr>
                <w:rFonts w:cs="Arial"/>
                <w:sz w:val="16"/>
                <w:szCs w:val="16"/>
              </w:rPr>
              <w:t>2mg in 2mL vial</w:t>
            </w:r>
          </w:p>
        </w:tc>
        <w:tc>
          <w:tcPr>
            <w:tcW w:w="3707" w:type="pct"/>
            <w:shd w:val="clear" w:color="auto" w:fill="auto"/>
            <w:tcMar>
              <w:top w:w="57" w:type="dxa"/>
              <w:bottom w:w="57" w:type="dxa"/>
            </w:tcMar>
          </w:tcPr>
          <w:p w14:paraId="4FB15464" w14:textId="2E58CD9F" w:rsidR="00381B5E" w:rsidRPr="00A075A3" w:rsidRDefault="00381B5E" w:rsidP="00381B5E">
            <w:pPr>
              <w:tabs>
                <w:tab w:val="center" w:pos="3152"/>
              </w:tabs>
              <w:rPr>
                <w:rFonts w:cs="Arial"/>
                <w:szCs w:val="19"/>
                <w:lang w:val="en-US"/>
              </w:rPr>
            </w:pPr>
            <w:r w:rsidRPr="00B367CC">
              <w:rPr>
                <w:rFonts w:cs="Arial"/>
                <w:szCs w:val="19"/>
                <w:lang w:val="en-US"/>
              </w:rPr>
              <w:t>To delay the onset of Stage 3 type 1 diabetes in adult and paediatric</w:t>
            </w:r>
            <w:r>
              <w:rPr>
                <w:rFonts w:cs="Arial"/>
                <w:szCs w:val="19"/>
                <w:lang w:val="en-US"/>
              </w:rPr>
              <w:t xml:space="preserve"> </w:t>
            </w:r>
            <w:r w:rsidRPr="00B367CC">
              <w:rPr>
                <w:rFonts w:cs="Arial"/>
                <w:szCs w:val="19"/>
                <w:lang w:val="en-US"/>
              </w:rPr>
              <w:t xml:space="preserve">patients </w:t>
            </w:r>
            <w:r>
              <w:rPr>
                <w:rFonts w:cs="Arial"/>
                <w:szCs w:val="19"/>
                <w:lang w:val="en-US"/>
              </w:rPr>
              <w:t>aged ≥</w:t>
            </w:r>
            <w:r w:rsidRPr="00B367CC">
              <w:rPr>
                <w:rFonts w:cs="Arial"/>
                <w:szCs w:val="19"/>
                <w:lang w:val="en-US"/>
              </w:rPr>
              <w:t>8 years with Stage 2 type 1 diabetes</w:t>
            </w:r>
          </w:p>
        </w:tc>
      </w:tr>
      <w:tr w:rsidR="00381B5E" w14:paraId="23EBAED0" w14:textId="77777777" w:rsidTr="002C2271">
        <w:tc>
          <w:tcPr>
            <w:tcW w:w="1293" w:type="pct"/>
            <w:gridSpan w:val="2"/>
            <w:shd w:val="clear" w:color="auto" w:fill="auto"/>
            <w:tcMar>
              <w:top w:w="57" w:type="dxa"/>
              <w:bottom w:w="57" w:type="dxa"/>
            </w:tcMar>
          </w:tcPr>
          <w:p w14:paraId="050AA559" w14:textId="77777777" w:rsidR="00381B5E" w:rsidRPr="00AC0B79" w:rsidRDefault="00381B5E" w:rsidP="00381B5E">
            <w:pPr>
              <w:rPr>
                <w:rFonts w:cs="Arial"/>
                <w:color w:val="000000" w:themeColor="text1"/>
                <w:szCs w:val="19"/>
              </w:rPr>
            </w:pPr>
            <w:proofErr w:type="spellStart"/>
            <w:r w:rsidRPr="00AC0B79">
              <w:rPr>
                <w:rFonts w:cs="Arial"/>
                <w:color w:val="000000" w:themeColor="text1"/>
                <w:szCs w:val="19"/>
              </w:rPr>
              <w:t>Zuranolone</w:t>
            </w:r>
            <w:proofErr w:type="spellEnd"/>
            <w:r w:rsidRPr="00AC0B79">
              <w:rPr>
                <w:rFonts w:cs="Arial"/>
                <w:color w:val="000000" w:themeColor="text1"/>
                <w:szCs w:val="19"/>
              </w:rPr>
              <w:t xml:space="preserve"> (</w:t>
            </w:r>
            <w:proofErr w:type="spellStart"/>
            <w:r w:rsidRPr="00AC0B79">
              <w:rPr>
                <w:rFonts w:cs="Arial"/>
                <w:i/>
                <w:iCs/>
                <w:color w:val="000000" w:themeColor="text1"/>
                <w:szCs w:val="19"/>
              </w:rPr>
              <w:t>Zurzuvae</w:t>
            </w:r>
            <w:proofErr w:type="spellEnd"/>
            <w:r w:rsidRPr="00AC0B79">
              <w:rPr>
                <w:rFonts w:cs="Arial"/>
                <w:color w:val="000000" w:themeColor="text1"/>
                <w:szCs w:val="19"/>
              </w:rPr>
              <w:t>)</w:t>
            </w:r>
          </w:p>
          <w:p w14:paraId="42521157" w14:textId="61FEA9B2" w:rsidR="006D1582" w:rsidRPr="00AC0B79" w:rsidRDefault="006D1582" w:rsidP="00381B5E">
            <w:pPr>
              <w:rPr>
                <w:rFonts w:cs="Arial"/>
                <w:color w:val="000000" w:themeColor="text1"/>
                <w:szCs w:val="19"/>
              </w:rPr>
            </w:pPr>
            <w:r w:rsidRPr="00AC0B79">
              <w:rPr>
                <w:rFonts w:cs="Arial"/>
                <w:color w:val="000000" w:themeColor="text1"/>
                <w:sz w:val="16"/>
                <w:szCs w:val="16"/>
              </w:rPr>
              <w:t>20mg, 25mg and 30mg capsules</w:t>
            </w:r>
          </w:p>
        </w:tc>
        <w:tc>
          <w:tcPr>
            <w:tcW w:w="3707" w:type="pct"/>
            <w:shd w:val="clear" w:color="auto" w:fill="auto"/>
            <w:tcMar>
              <w:top w:w="57" w:type="dxa"/>
              <w:bottom w:w="57" w:type="dxa"/>
            </w:tcMar>
          </w:tcPr>
          <w:p w14:paraId="6170153D" w14:textId="67A0472D" w:rsidR="00381B5E" w:rsidRPr="00AC0B79" w:rsidRDefault="006D1582" w:rsidP="00381B5E">
            <w:pPr>
              <w:tabs>
                <w:tab w:val="center" w:pos="3152"/>
              </w:tabs>
              <w:rPr>
                <w:rFonts w:cs="Arial"/>
                <w:color w:val="000000" w:themeColor="text1"/>
                <w:szCs w:val="19"/>
                <w:lang w:val="en-US"/>
              </w:rPr>
            </w:pPr>
            <w:r w:rsidRPr="00AC0B79">
              <w:rPr>
                <w:rFonts w:cs="Arial"/>
                <w:color w:val="000000" w:themeColor="text1"/>
                <w:szCs w:val="19"/>
                <w:lang w:val="en-US"/>
              </w:rPr>
              <w:t>Treatment of moderate or severe postnatal depression in adults following childbirth</w:t>
            </w:r>
          </w:p>
        </w:tc>
      </w:tr>
      <w:tr w:rsidR="00381B5E" w:rsidRPr="00862949" w14:paraId="0340AACF" w14:textId="77777777" w:rsidTr="005A7E09">
        <w:tc>
          <w:tcPr>
            <w:tcW w:w="5000" w:type="pct"/>
            <w:gridSpan w:val="3"/>
            <w:shd w:val="clear" w:color="auto" w:fill="auto"/>
            <w:tcMar>
              <w:top w:w="0" w:type="dxa"/>
              <w:bottom w:w="0" w:type="dxa"/>
            </w:tcMar>
          </w:tcPr>
          <w:p w14:paraId="239E1963" w14:textId="77777777" w:rsidR="00381B5E" w:rsidRPr="00862949" w:rsidRDefault="00381B5E" w:rsidP="00381B5E">
            <w:pPr>
              <w:jc w:val="center"/>
              <w:rPr>
                <w:rFonts w:cs="Arial"/>
                <w:noProof/>
                <w:sz w:val="8"/>
                <w:szCs w:val="8"/>
              </w:rPr>
            </w:pPr>
          </w:p>
        </w:tc>
      </w:tr>
      <w:tr w:rsidR="00381B5E" w:rsidRPr="000F19E1" w14:paraId="658B6444" w14:textId="77777777" w:rsidTr="00155BD9">
        <w:tc>
          <w:tcPr>
            <w:tcW w:w="1152" w:type="pct"/>
            <w:shd w:val="clear" w:color="auto" w:fill="DAEEF3"/>
            <w:tcMar>
              <w:top w:w="0" w:type="dxa"/>
              <w:bottom w:w="0" w:type="dxa"/>
            </w:tcMar>
          </w:tcPr>
          <w:p w14:paraId="62E57162" w14:textId="77777777" w:rsidR="00381B5E" w:rsidRPr="000F19E1" w:rsidRDefault="00381B5E" w:rsidP="00381B5E">
            <w:pPr>
              <w:rPr>
                <w:rFonts w:cs="Arial"/>
                <w:bCs/>
                <w:sz w:val="8"/>
                <w:szCs w:val="8"/>
              </w:rPr>
            </w:pPr>
          </w:p>
        </w:tc>
        <w:tc>
          <w:tcPr>
            <w:tcW w:w="3848" w:type="pct"/>
            <w:gridSpan w:val="2"/>
            <w:shd w:val="clear" w:color="auto" w:fill="DAEEF3"/>
            <w:tcMar>
              <w:top w:w="0" w:type="dxa"/>
              <w:bottom w:w="0" w:type="dxa"/>
            </w:tcMar>
          </w:tcPr>
          <w:p w14:paraId="173BA090" w14:textId="77777777" w:rsidR="00381B5E" w:rsidRPr="000F19E1" w:rsidRDefault="00381B5E" w:rsidP="00381B5E">
            <w:pPr>
              <w:tabs>
                <w:tab w:val="center" w:pos="3152"/>
              </w:tabs>
              <w:rPr>
                <w:rFonts w:cs="Arial"/>
                <w:sz w:val="8"/>
                <w:szCs w:val="8"/>
                <w:lang w:val="en-US"/>
              </w:rPr>
            </w:pPr>
          </w:p>
        </w:tc>
      </w:tr>
    </w:tbl>
    <w:p w14:paraId="2D330A8C" w14:textId="77777777" w:rsidR="0048777D" w:rsidRDefault="0048777D"/>
    <w:p w14:paraId="19900E8B" w14:textId="77777777" w:rsidR="0048777D" w:rsidRDefault="0048777D"/>
    <w:p w14:paraId="4D2558B6" w14:textId="77777777" w:rsidR="00AC2D62" w:rsidRDefault="00AC2D62"/>
    <w:p w14:paraId="3A2FFD99" w14:textId="77777777" w:rsidR="00AC2D62" w:rsidRDefault="00AC2D62"/>
    <w:p w14:paraId="468AAD7B" w14:textId="77777777" w:rsidR="00CB5BC1" w:rsidRDefault="00CB5BC1"/>
    <w:tbl>
      <w:tblPr>
        <w:tblW w:w="5170" w:type="pct"/>
        <w:tblInd w:w="-176" w:type="dxa"/>
        <w:tblLayout w:type="fixed"/>
        <w:tblLook w:val="01E0" w:firstRow="1" w:lastRow="1" w:firstColumn="1" w:lastColumn="1" w:noHBand="0" w:noVBand="0"/>
      </w:tblPr>
      <w:tblGrid>
        <w:gridCol w:w="2431"/>
        <w:gridCol w:w="428"/>
        <w:gridCol w:w="194"/>
        <w:gridCol w:w="7498"/>
      </w:tblGrid>
      <w:tr w:rsidR="0021490D" w:rsidRPr="00862949" w14:paraId="740209BE" w14:textId="77777777" w:rsidTr="00D6452A">
        <w:tc>
          <w:tcPr>
            <w:tcW w:w="5000" w:type="pct"/>
            <w:gridSpan w:val="4"/>
            <w:shd w:val="clear" w:color="auto" w:fill="0070C0"/>
            <w:tcMar>
              <w:top w:w="85" w:type="dxa"/>
              <w:bottom w:w="85" w:type="dxa"/>
            </w:tcMar>
            <w:vAlign w:val="bottom"/>
          </w:tcPr>
          <w:p w14:paraId="512E305C" w14:textId="77777777" w:rsidR="0021490D" w:rsidRPr="00862949" w:rsidRDefault="0021490D" w:rsidP="00D6452A">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1C3A55" w:rsidRPr="000F19E1" w14:paraId="1AA40A08" w14:textId="77777777" w:rsidTr="00155BD9">
        <w:tc>
          <w:tcPr>
            <w:tcW w:w="1152" w:type="pct"/>
            <w:shd w:val="clear" w:color="auto" w:fill="DAEEF3"/>
            <w:tcMar>
              <w:top w:w="0" w:type="dxa"/>
              <w:bottom w:w="0" w:type="dxa"/>
            </w:tcMar>
          </w:tcPr>
          <w:p w14:paraId="0D3CB371" w14:textId="77777777" w:rsidR="001C3A55" w:rsidRPr="000F19E1" w:rsidRDefault="001C3A55" w:rsidP="00510003">
            <w:pPr>
              <w:rPr>
                <w:rFonts w:cs="Arial"/>
                <w:bCs/>
                <w:sz w:val="8"/>
                <w:szCs w:val="8"/>
              </w:rPr>
            </w:pPr>
          </w:p>
        </w:tc>
        <w:tc>
          <w:tcPr>
            <w:tcW w:w="3848" w:type="pct"/>
            <w:gridSpan w:val="3"/>
            <w:shd w:val="clear" w:color="auto" w:fill="DAEEF3"/>
            <w:tcMar>
              <w:top w:w="0" w:type="dxa"/>
              <w:bottom w:w="0" w:type="dxa"/>
            </w:tcMar>
          </w:tcPr>
          <w:p w14:paraId="6CBC9B70" w14:textId="77777777" w:rsidR="001C3A55" w:rsidRPr="000F19E1" w:rsidRDefault="001C3A55" w:rsidP="00510003">
            <w:pPr>
              <w:tabs>
                <w:tab w:val="center" w:pos="3152"/>
              </w:tabs>
              <w:rPr>
                <w:rFonts w:cs="Arial"/>
                <w:sz w:val="8"/>
                <w:szCs w:val="8"/>
                <w:lang w:val="en-US"/>
              </w:rPr>
            </w:pPr>
          </w:p>
        </w:tc>
      </w:tr>
      <w:tr w:rsidR="001C3A55" w:rsidRPr="00433D3E" w14:paraId="7C8DDCDB" w14:textId="77777777" w:rsidTr="00562CE4">
        <w:tc>
          <w:tcPr>
            <w:tcW w:w="5000" w:type="pct"/>
            <w:gridSpan w:val="4"/>
            <w:shd w:val="clear" w:color="auto" w:fill="008232"/>
            <w:tcMar>
              <w:top w:w="57" w:type="dxa"/>
              <w:bottom w:w="57" w:type="dxa"/>
            </w:tcMar>
          </w:tcPr>
          <w:p w14:paraId="22218F94" w14:textId="2891A391" w:rsidR="001C3A55" w:rsidRPr="0021490D" w:rsidRDefault="001C3A55" w:rsidP="00B94311">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sidR="0048777D">
              <w:rPr>
                <w:rFonts w:cs="Arial"/>
                <w:b/>
                <w:bCs/>
                <w:i/>
                <w:iCs/>
                <w:color w:val="FFFFFF"/>
                <w:sz w:val="22"/>
                <w:szCs w:val="20"/>
                <w:lang w:val="en-US"/>
              </w:rPr>
              <w:t>UK</w:t>
            </w:r>
            <w:r w:rsidR="00B94311">
              <w:rPr>
                <w:rFonts w:cs="Arial"/>
                <w:b/>
                <w:bCs/>
                <w:i/>
                <w:iCs/>
                <w:color w:val="FFFFFF"/>
                <w:sz w:val="22"/>
                <w:szCs w:val="20"/>
                <w:lang w:val="en-US"/>
              </w:rPr>
              <w:t xml:space="preserve"> or </w:t>
            </w:r>
            <w:r w:rsidRPr="00433D3E">
              <w:rPr>
                <w:rFonts w:cs="Arial"/>
                <w:b/>
                <w:bCs/>
                <w:i/>
                <w:iCs/>
                <w:color w:val="FFFFFF"/>
                <w:sz w:val="22"/>
                <w:szCs w:val="20"/>
                <w:lang w:val="en-US"/>
              </w:rPr>
              <w:t>EU</w:t>
            </w:r>
          </w:p>
        </w:tc>
      </w:tr>
      <w:tr w:rsidR="00086C10" w:rsidRPr="00A075A3" w14:paraId="621FFAA1" w14:textId="77777777" w:rsidTr="00EA4E49">
        <w:tc>
          <w:tcPr>
            <w:tcW w:w="1447" w:type="pct"/>
            <w:gridSpan w:val="3"/>
            <w:shd w:val="clear" w:color="auto" w:fill="auto"/>
            <w:tcMar>
              <w:top w:w="57" w:type="dxa"/>
              <w:bottom w:w="57" w:type="dxa"/>
            </w:tcMar>
          </w:tcPr>
          <w:p w14:paraId="51985531" w14:textId="7658E111" w:rsidR="00086C10" w:rsidRPr="00086C10" w:rsidRDefault="00086C10" w:rsidP="0058669B">
            <w:pPr>
              <w:rPr>
                <w:rFonts w:cs="Arial"/>
                <w:szCs w:val="19"/>
              </w:rPr>
            </w:pPr>
            <w:r>
              <w:rPr>
                <w:rFonts w:cs="Arial"/>
                <w:szCs w:val="19"/>
              </w:rPr>
              <w:t>Clascoterone (</w:t>
            </w:r>
            <w:r>
              <w:rPr>
                <w:rFonts w:cs="Arial"/>
                <w:i/>
                <w:iCs/>
                <w:szCs w:val="19"/>
              </w:rPr>
              <w:t>Winlevi</w:t>
            </w:r>
            <w:r>
              <w:rPr>
                <w:rFonts w:cs="Arial"/>
                <w:szCs w:val="19"/>
              </w:rPr>
              <w:t>)</w:t>
            </w:r>
          </w:p>
        </w:tc>
        <w:tc>
          <w:tcPr>
            <w:tcW w:w="3553" w:type="pct"/>
            <w:shd w:val="clear" w:color="auto" w:fill="auto"/>
            <w:tcMar>
              <w:top w:w="57" w:type="dxa"/>
              <w:bottom w:w="57" w:type="dxa"/>
            </w:tcMar>
          </w:tcPr>
          <w:p w14:paraId="5C090C0B" w14:textId="62C6FEAA" w:rsidR="00086C10" w:rsidRPr="00EB23B1" w:rsidRDefault="003E1B29" w:rsidP="003E1B29">
            <w:pPr>
              <w:tabs>
                <w:tab w:val="center" w:pos="3152"/>
              </w:tabs>
              <w:rPr>
                <w:rFonts w:cs="Arial"/>
                <w:i/>
                <w:iCs/>
                <w:szCs w:val="19"/>
                <w:lang w:val="en-US"/>
              </w:rPr>
            </w:pPr>
            <w:r w:rsidRPr="003E1B29">
              <w:rPr>
                <w:rFonts w:cs="Arial"/>
                <w:szCs w:val="19"/>
                <w:lang w:val="en-US"/>
              </w:rPr>
              <w:t>Treatment of acne vulgaris</w:t>
            </w:r>
            <w:r>
              <w:rPr>
                <w:rFonts w:cs="Arial"/>
                <w:szCs w:val="19"/>
                <w:lang w:val="en-US"/>
              </w:rPr>
              <w:t xml:space="preserve"> in adults, and </w:t>
            </w:r>
            <w:r w:rsidRPr="003E1B29">
              <w:rPr>
                <w:rFonts w:cs="Arial"/>
                <w:szCs w:val="19"/>
                <w:lang w:val="en-US"/>
              </w:rPr>
              <w:t>treatment of facial acne vulgaris</w:t>
            </w:r>
            <w:r>
              <w:rPr>
                <w:rFonts w:cs="Arial"/>
                <w:szCs w:val="19"/>
                <w:lang w:val="en-US"/>
              </w:rPr>
              <w:t xml:space="preserve"> in a</w:t>
            </w:r>
            <w:r w:rsidRPr="003E1B29">
              <w:rPr>
                <w:rFonts w:cs="Arial"/>
                <w:szCs w:val="19"/>
                <w:lang w:val="en-US"/>
              </w:rPr>
              <w:t xml:space="preserve">dolescents </w:t>
            </w:r>
            <w:r>
              <w:rPr>
                <w:rFonts w:cs="Arial"/>
                <w:szCs w:val="19"/>
                <w:lang w:val="en-US"/>
              </w:rPr>
              <w:t>aged</w:t>
            </w:r>
            <w:r w:rsidRPr="003E1B29">
              <w:rPr>
                <w:rFonts w:cs="Arial"/>
                <w:szCs w:val="19"/>
                <w:lang w:val="en-US"/>
              </w:rPr>
              <w:t xml:space="preserve"> 12 to </w:t>
            </w:r>
            <w:r>
              <w:rPr>
                <w:rFonts w:cs="Arial"/>
                <w:szCs w:val="19"/>
                <w:lang w:val="en-US"/>
              </w:rPr>
              <w:t>17</w:t>
            </w:r>
            <w:r w:rsidRPr="003E1B29">
              <w:rPr>
                <w:rFonts w:cs="Arial"/>
                <w:szCs w:val="19"/>
                <w:lang w:val="en-US"/>
              </w:rPr>
              <w:t xml:space="preserve"> years </w:t>
            </w:r>
            <w:r w:rsidRPr="003E1B29">
              <w:rPr>
                <w:rFonts w:cs="Arial"/>
                <w:sz w:val="16"/>
                <w:szCs w:val="16"/>
                <w:lang w:val="en-US"/>
              </w:rPr>
              <w:t>[EU]</w:t>
            </w:r>
            <w:r w:rsidR="00EB23B1">
              <w:rPr>
                <w:rFonts w:cs="Arial"/>
                <w:sz w:val="16"/>
                <w:szCs w:val="16"/>
                <w:lang w:val="en-US"/>
              </w:rPr>
              <w:t xml:space="preserve"> </w:t>
            </w:r>
            <w:r w:rsidR="00EB23B1">
              <w:rPr>
                <w:rFonts w:cs="Arial"/>
                <w:i/>
                <w:iCs/>
                <w:sz w:val="16"/>
                <w:szCs w:val="16"/>
                <w:lang w:val="en-US"/>
              </w:rPr>
              <w:t>Note: Already licensed and launched in UK</w:t>
            </w:r>
          </w:p>
        </w:tc>
      </w:tr>
      <w:tr w:rsidR="0058669B" w:rsidRPr="00A075A3" w14:paraId="6527B7FF" w14:textId="77777777" w:rsidTr="00EA4E49">
        <w:tc>
          <w:tcPr>
            <w:tcW w:w="1447" w:type="pct"/>
            <w:gridSpan w:val="3"/>
            <w:shd w:val="clear" w:color="auto" w:fill="auto"/>
            <w:tcMar>
              <w:top w:w="57" w:type="dxa"/>
              <w:bottom w:w="57" w:type="dxa"/>
            </w:tcMar>
          </w:tcPr>
          <w:p w14:paraId="695EB152" w14:textId="658F0AEB" w:rsidR="0058669B" w:rsidRPr="00813950" w:rsidRDefault="0058669B" w:rsidP="0058669B">
            <w:pPr>
              <w:rPr>
                <w:rFonts w:cs="Arial"/>
                <w:szCs w:val="19"/>
              </w:rPr>
            </w:pPr>
            <w:r w:rsidRPr="00226374">
              <w:rPr>
                <w:rFonts w:cs="Arial"/>
                <w:szCs w:val="19"/>
              </w:rPr>
              <w:t>LP.8.1 </w:t>
            </w:r>
            <w:r>
              <w:rPr>
                <w:rFonts w:cs="Arial"/>
                <w:szCs w:val="19"/>
              </w:rPr>
              <w:t>(</w:t>
            </w:r>
            <w:r>
              <w:rPr>
                <w:rFonts w:cs="Arial"/>
                <w:i/>
                <w:iCs/>
                <w:szCs w:val="19"/>
              </w:rPr>
              <w:t xml:space="preserve">Comirnaty </w:t>
            </w:r>
            <w:r w:rsidRPr="001C1A63">
              <w:rPr>
                <w:rFonts w:cs="Arial"/>
                <w:i/>
                <w:iCs/>
                <w:szCs w:val="19"/>
              </w:rPr>
              <w:t xml:space="preserve">LP.8.1 </w:t>
            </w:r>
            <w:r>
              <w:rPr>
                <w:rFonts w:cs="Arial"/>
                <w:i/>
                <w:iCs/>
                <w:szCs w:val="19"/>
              </w:rPr>
              <w:t>[</w:t>
            </w:r>
            <w:r w:rsidRPr="001C1A63">
              <w:rPr>
                <w:rFonts w:cs="Arial"/>
                <w:i/>
                <w:iCs/>
                <w:szCs w:val="19"/>
              </w:rPr>
              <w:t>3micrograms/dose</w:t>
            </w:r>
            <w:r>
              <w:rPr>
                <w:rFonts w:cs="Arial"/>
                <w:i/>
                <w:iCs/>
                <w:szCs w:val="19"/>
              </w:rPr>
              <w:t>]</w:t>
            </w:r>
            <w:r>
              <w:rPr>
                <w:rFonts w:cs="Arial"/>
                <w:szCs w:val="19"/>
              </w:rPr>
              <w:t>)</w:t>
            </w:r>
          </w:p>
        </w:tc>
        <w:tc>
          <w:tcPr>
            <w:tcW w:w="3553" w:type="pct"/>
            <w:shd w:val="clear" w:color="auto" w:fill="auto"/>
            <w:tcMar>
              <w:top w:w="57" w:type="dxa"/>
              <w:bottom w:w="57" w:type="dxa"/>
            </w:tcMar>
          </w:tcPr>
          <w:p w14:paraId="70C5890D" w14:textId="3BA2D215" w:rsidR="0058669B" w:rsidRPr="00A075A3" w:rsidRDefault="0058669B" w:rsidP="0058669B">
            <w:pPr>
              <w:tabs>
                <w:tab w:val="center" w:pos="3152"/>
              </w:tabs>
              <w:rPr>
                <w:rFonts w:cs="Arial"/>
                <w:szCs w:val="19"/>
                <w:lang w:val="en-US"/>
              </w:rPr>
            </w:pPr>
            <w:r w:rsidRPr="00222ACF">
              <w:rPr>
                <w:rFonts w:cs="Arial"/>
                <w:szCs w:val="19"/>
                <w:lang w:val="en-US"/>
              </w:rPr>
              <w:t xml:space="preserve">Active </w:t>
            </w:r>
            <w:proofErr w:type="spellStart"/>
            <w:r w:rsidRPr="00222ACF">
              <w:rPr>
                <w:rFonts w:cs="Arial"/>
                <w:szCs w:val="19"/>
                <w:lang w:val="en-US"/>
              </w:rPr>
              <w:t>immunisation</w:t>
            </w:r>
            <w:proofErr w:type="spellEnd"/>
            <w:r w:rsidRPr="00222ACF">
              <w:rPr>
                <w:rFonts w:cs="Arial"/>
                <w:szCs w:val="19"/>
                <w:lang w:val="en-US"/>
              </w:rPr>
              <w:t xml:space="preserve"> to prevent COVID-19 caused by SARS-CoV-2 in individuals </w:t>
            </w:r>
            <w:r>
              <w:rPr>
                <w:rFonts w:cs="Arial"/>
                <w:szCs w:val="19"/>
                <w:lang w:val="en-US"/>
              </w:rPr>
              <w:t xml:space="preserve">aged 6 months to 4 years </w:t>
            </w:r>
            <w:r w:rsidRPr="00222ACF">
              <w:rPr>
                <w:rFonts w:cs="Arial"/>
                <w:sz w:val="16"/>
                <w:szCs w:val="16"/>
                <w:lang w:val="en-US"/>
              </w:rPr>
              <w:t>[EU]</w:t>
            </w:r>
          </w:p>
        </w:tc>
      </w:tr>
      <w:tr w:rsidR="0058669B" w:rsidRPr="00A075A3" w14:paraId="0F484B6F" w14:textId="77777777" w:rsidTr="00EA4E49">
        <w:tc>
          <w:tcPr>
            <w:tcW w:w="1447" w:type="pct"/>
            <w:gridSpan w:val="3"/>
            <w:shd w:val="clear" w:color="auto" w:fill="auto"/>
            <w:tcMar>
              <w:top w:w="57" w:type="dxa"/>
              <w:bottom w:w="57" w:type="dxa"/>
            </w:tcMar>
          </w:tcPr>
          <w:p w14:paraId="3FCAB0A4" w14:textId="70623B01" w:rsidR="0058669B" w:rsidRPr="00AF0080" w:rsidRDefault="0058669B" w:rsidP="0058669B">
            <w:pPr>
              <w:rPr>
                <w:rFonts w:cs="Arial"/>
                <w:szCs w:val="19"/>
              </w:rPr>
            </w:pPr>
            <w:r w:rsidRPr="00226374">
              <w:rPr>
                <w:rFonts w:cs="Arial"/>
                <w:szCs w:val="19"/>
              </w:rPr>
              <w:t>LP.8.1 </w:t>
            </w:r>
            <w:r>
              <w:rPr>
                <w:rFonts w:cs="Arial"/>
                <w:szCs w:val="19"/>
              </w:rPr>
              <w:t>(</w:t>
            </w:r>
            <w:r>
              <w:rPr>
                <w:rFonts w:cs="Arial"/>
                <w:i/>
                <w:iCs/>
                <w:szCs w:val="19"/>
              </w:rPr>
              <w:t xml:space="preserve">Comirnaty </w:t>
            </w:r>
            <w:r w:rsidRPr="001C1A63">
              <w:rPr>
                <w:rFonts w:cs="Arial"/>
                <w:i/>
                <w:iCs/>
                <w:szCs w:val="19"/>
              </w:rPr>
              <w:t xml:space="preserve">LP.8.1 </w:t>
            </w:r>
            <w:r>
              <w:rPr>
                <w:rFonts w:cs="Arial"/>
                <w:i/>
                <w:iCs/>
                <w:szCs w:val="19"/>
              </w:rPr>
              <w:t>[1</w:t>
            </w:r>
            <w:r w:rsidRPr="001C1A63">
              <w:rPr>
                <w:rFonts w:cs="Arial"/>
                <w:i/>
                <w:iCs/>
                <w:szCs w:val="19"/>
              </w:rPr>
              <w:t>0micrograms/dose</w:t>
            </w:r>
            <w:r>
              <w:rPr>
                <w:rFonts w:cs="Arial"/>
                <w:i/>
                <w:iCs/>
                <w:szCs w:val="19"/>
              </w:rPr>
              <w:t>]</w:t>
            </w:r>
            <w:r>
              <w:rPr>
                <w:rFonts w:cs="Arial"/>
                <w:szCs w:val="19"/>
              </w:rPr>
              <w:t>)</w:t>
            </w:r>
          </w:p>
        </w:tc>
        <w:tc>
          <w:tcPr>
            <w:tcW w:w="3553" w:type="pct"/>
            <w:shd w:val="clear" w:color="auto" w:fill="auto"/>
            <w:tcMar>
              <w:top w:w="57" w:type="dxa"/>
              <w:bottom w:w="57" w:type="dxa"/>
            </w:tcMar>
          </w:tcPr>
          <w:p w14:paraId="5DE758D8" w14:textId="037E8B3B" w:rsidR="0058669B" w:rsidRPr="00A075A3" w:rsidRDefault="0058669B" w:rsidP="0058669B">
            <w:pPr>
              <w:tabs>
                <w:tab w:val="center" w:pos="3152"/>
              </w:tabs>
              <w:rPr>
                <w:rFonts w:cs="Arial"/>
                <w:szCs w:val="19"/>
                <w:lang w:val="en-US"/>
              </w:rPr>
            </w:pPr>
            <w:r w:rsidRPr="00222ACF">
              <w:rPr>
                <w:rFonts w:cs="Arial"/>
                <w:szCs w:val="19"/>
                <w:lang w:val="en-US"/>
              </w:rPr>
              <w:t xml:space="preserve">Active </w:t>
            </w:r>
            <w:proofErr w:type="spellStart"/>
            <w:r w:rsidRPr="00222ACF">
              <w:rPr>
                <w:rFonts w:cs="Arial"/>
                <w:szCs w:val="19"/>
                <w:lang w:val="en-US"/>
              </w:rPr>
              <w:t>immunisation</w:t>
            </w:r>
            <w:proofErr w:type="spellEnd"/>
            <w:r w:rsidRPr="00222ACF">
              <w:rPr>
                <w:rFonts w:cs="Arial"/>
                <w:szCs w:val="19"/>
                <w:lang w:val="en-US"/>
              </w:rPr>
              <w:t xml:space="preserve"> to prevent COVID-19 caused by SARS-CoV-2 in individuals </w:t>
            </w:r>
            <w:r>
              <w:rPr>
                <w:rFonts w:cs="Arial"/>
                <w:szCs w:val="19"/>
                <w:lang w:val="en-US"/>
              </w:rPr>
              <w:t>aged 5 to 11</w:t>
            </w:r>
            <w:r w:rsidRPr="00222ACF">
              <w:rPr>
                <w:rFonts w:cs="Arial"/>
                <w:szCs w:val="19"/>
                <w:lang w:val="en-US"/>
              </w:rPr>
              <w:t xml:space="preserve"> years</w:t>
            </w:r>
            <w:r>
              <w:rPr>
                <w:rFonts w:cs="Arial"/>
                <w:szCs w:val="19"/>
                <w:lang w:val="en-US"/>
              </w:rPr>
              <w:t xml:space="preserve"> </w:t>
            </w:r>
            <w:r w:rsidRPr="00222ACF">
              <w:rPr>
                <w:rFonts w:cs="Arial"/>
                <w:sz w:val="16"/>
                <w:szCs w:val="16"/>
                <w:lang w:val="en-US"/>
              </w:rPr>
              <w:t>[EU]</w:t>
            </w:r>
          </w:p>
        </w:tc>
      </w:tr>
      <w:tr w:rsidR="0058669B" w:rsidRPr="00A075A3" w14:paraId="375A4E8C" w14:textId="77777777" w:rsidTr="00EA4E49">
        <w:tc>
          <w:tcPr>
            <w:tcW w:w="1447" w:type="pct"/>
            <w:gridSpan w:val="3"/>
            <w:shd w:val="clear" w:color="auto" w:fill="auto"/>
            <w:tcMar>
              <w:top w:w="57" w:type="dxa"/>
              <w:bottom w:w="57" w:type="dxa"/>
            </w:tcMar>
          </w:tcPr>
          <w:p w14:paraId="6382A98E" w14:textId="28AFFF45" w:rsidR="0058669B" w:rsidRPr="00272180" w:rsidRDefault="0058669B" w:rsidP="0058669B">
            <w:pPr>
              <w:rPr>
                <w:rFonts w:cs="Arial"/>
                <w:szCs w:val="19"/>
              </w:rPr>
            </w:pPr>
            <w:r w:rsidRPr="00226374">
              <w:rPr>
                <w:rFonts w:cs="Arial"/>
                <w:szCs w:val="19"/>
              </w:rPr>
              <w:t>LP.8.1 </w:t>
            </w:r>
            <w:r>
              <w:rPr>
                <w:rFonts w:cs="Arial"/>
                <w:szCs w:val="19"/>
              </w:rPr>
              <w:t>(</w:t>
            </w:r>
            <w:r>
              <w:rPr>
                <w:rFonts w:cs="Arial"/>
                <w:i/>
                <w:iCs/>
                <w:szCs w:val="19"/>
              </w:rPr>
              <w:t xml:space="preserve">Comirnaty </w:t>
            </w:r>
            <w:r w:rsidRPr="001C1A63">
              <w:rPr>
                <w:rFonts w:cs="Arial"/>
                <w:i/>
                <w:iCs/>
                <w:szCs w:val="19"/>
              </w:rPr>
              <w:t xml:space="preserve">LP.8.1 </w:t>
            </w:r>
            <w:r>
              <w:rPr>
                <w:rFonts w:cs="Arial"/>
                <w:i/>
                <w:iCs/>
                <w:szCs w:val="19"/>
              </w:rPr>
              <w:t>[</w:t>
            </w:r>
            <w:r w:rsidRPr="001C1A63">
              <w:rPr>
                <w:rFonts w:cs="Arial"/>
                <w:i/>
                <w:iCs/>
                <w:szCs w:val="19"/>
              </w:rPr>
              <w:t>30micrograms/dose</w:t>
            </w:r>
            <w:r>
              <w:rPr>
                <w:rFonts w:cs="Arial"/>
                <w:i/>
                <w:iCs/>
                <w:szCs w:val="19"/>
              </w:rPr>
              <w:t>]</w:t>
            </w:r>
            <w:r>
              <w:rPr>
                <w:rFonts w:cs="Arial"/>
                <w:szCs w:val="19"/>
              </w:rPr>
              <w:t>)</w:t>
            </w:r>
          </w:p>
        </w:tc>
        <w:tc>
          <w:tcPr>
            <w:tcW w:w="3553" w:type="pct"/>
            <w:shd w:val="clear" w:color="auto" w:fill="auto"/>
            <w:tcMar>
              <w:top w:w="57" w:type="dxa"/>
              <w:bottom w:w="57" w:type="dxa"/>
            </w:tcMar>
          </w:tcPr>
          <w:p w14:paraId="26AF8A53" w14:textId="02E0D3AF" w:rsidR="0058669B" w:rsidRDefault="0058669B" w:rsidP="0058669B">
            <w:pPr>
              <w:tabs>
                <w:tab w:val="center" w:pos="3152"/>
              </w:tabs>
              <w:rPr>
                <w:rFonts w:cs="Arial"/>
                <w:szCs w:val="19"/>
                <w:lang w:val="en-US"/>
              </w:rPr>
            </w:pPr>
            <w:r w:rsidRPr="00222ACF">
              <w:rPr>
                <w:rFonts w:cs="Arial"/>
                <w:szCs w:val="19"/>
                <w:lang w:val="en-US"/>
              </w:rPr>
              <w:t xml:space="preserve">Active </w:t>
            </w:r>
            <w:proofErr w:type="spellStart"/>
            <w:r w:rsidRPr="00222ACF">
              <w:rPr>
                <w:rFonts w:cs="Arial"/>
                <w:szCs w:val="19"/>
                <w:lang w:val="en-US"/>
              </w:rPr>
              <w:t>immunisation</w:t>
            </w:r>
            <w:proofErr w:type="spellEnd"/>
            <w:r w:rsidRPr="00222ACF">
              <w:rPr>
                <w:rFonts w:cs="Arial"/>
                <w:szCs w:val="19"/>
                <w:lang w:val="en-US"/>
              </w:rPr>
              <w:t xml:space="preserve"> to prevent COVID-19 caused by SARS-CoV-2 in individuals </w:t>
            </w:r>
            <w:r>
              <w:rPr>
                <w:rFonts w:cs="Arial"/>
                <w:szCs w:val="19"/>
                <w:lang w:val="en-US"/>
              </w:rPr>
              <w:t>aged ≥</w:t>
            </w:r>
            <w:r w:rsidRPr="00222ACF">
              <w:rPr>
                <w:rFonts w:cs="Arial"/>
                <w:szCs w:val="19"/>
                <w:lang w:val="en-US"/>
              </w:rPr>
              <w:t>12 years</w:t>
            </w:r>
            <w:r>
              <w:rPr>
                <w:rFonts w:cs="Arial"/>
                <w:szCs w:val="19"/>
                <w:lang w:val="en-US"/>
              </w:rPr>
              <w:t xml:space="preserve"> </w:t>
            </w:r>
            <w:r w:rsidRPr="00222ACF">
              <w:rPr>
                <w:rFonts w:cs="Arial"/>
                <w:sz w:val="16"/>
                <w:szCs w:val="16"/>
                <w:lang w:val="en-US"/>
              </w:rPr>
              <w:t>[EU]</w:t>
            </w:r>
          </w:p>
        </w:tc>
      </w:tr>
      <w:tr w:rsidR="0058669B" w:rsidRPr="000F19E1" w14:paraId="187A5CF0" w14:textId="77777777" w:rsidTr="00EA4E49">
        <w:tc>
          <w:tcPr>
            <w:tcW w:w="1447" w:type="pct"/>
            <w:gridSpan w:val="3"/>
            <w:shd w:val="clear" w:color="auto" w:fill="auto"/>
            <w:tcMar>
              <w:top w:w="0" w:type="dxa"/>
              <w:bottom w:w="0" w:type="dxa"/>
            </w:tcMar>
          </w:tcPr>
          <w:p w14:paraId="5E8822E5" w14:textId="77777777" w:rsidR="0058669B" w:rsidRPr="000F19E1" w:rsidRDefault="0058669B" w:rsidP="0058669B">
            <w:pPr>
              <w:rPr>
                <w:rFonts w:cs="Arial"/>
                <w:bCs/>
                <w:sz w:val="8"/>
                <w:szCs w:val="8"/>
              </w:rPr>
            </w:pPr>
          </w:p>
        </w:tc>
        <w:tc>
          <w:tcPr>
            <w:tcW w:w="3553" w:type="pct"/>
            <w:shd w:val="clear" w:color="auto" w:fill="auto"/>
            <w:tcMar>
              <w:top w:w="0" w:type="dxa"/>
              <w:bottom w:w="0" w:type="dxa"/>
            </w:tcMar>
          </w:tcPr>
          <w:p w14:paraId="27AFA5DA" w14:textId="77777777" w:rsidR="0058669B" w:rsidRPr="000F19E1" w:rsidRDefault="0058669B" w:rsidP="0058669B">
            <w:pPr>
              <w:tabs>
                <w:tab w:val="center" w:pos="3152"/>
              </w:tabs>
              <w:rPr>
                <w:rFonts w:cs="Arial"/>
                <w:sz w:val="8"/>
                <w:szCs w:val="8"/>
                <w:lang w:val="en-US"/>
              </w:rPr>
            </w:pPr>
          </w:p>
        </w:tc>
      </w:tr>
      <w:tr w:rsidR="0058669B" w:rsidRPr="000F19E1" w14:paraId="61569DD9" w14:textId="77777777" w:rsidTr="00155BD9">
        <w:tc>
          <w:tcPr>
            <w:tcW w:w="1152" w:type="pct"/>
            <w:shd w:val="clear" w:color="auto" w:fill="DAEEF3"/>
            <w:tcMar>
              <w:top w:w="0" w:type="dxa"/>
              <w:bottom w:w="0" w:type="dxa"/>
            </w:tcMar>
          </w:tcPr>
          <w:p w14:paraId="294C1444" w14:textId="77777777" w:rsidR="0058669B" w:rsidRPr="000F19E1" w:rsidRDefault="0058669B" w:rsidP="0058669B">
            <w:pPr>
              <w:rPr>
                <w:rFonts w:cs="Arial"/>
                <w:bCs/>
                <w:sz w:val="8"/>
                <w:szCs w:val="8"/>
              </w:rPr>
            </w:pPr>
          </w:p>
        </w:tc>
        <w:tc>
          <w:tcPr>
            <w:tcW w:w="3848" w:type="pct"/>
            <w:gridSpan w:val="3"/>
            <w:shd w:val="clear" w:color="auto" w:fill="DAEEF3"/>
            <w:tcMar>
              <w:top w:w="0" w:type="dxa"/>
              <w:bottom w:w="0" w:type="dxa"/>
            </w:tcMar>
          </w:tcPr>
          <w:p w14:paraId="66B24D91" w14:textId="77777777" w:rsidR="0058669B" w:rsidRPr="000F19E1" w:rsidRDefault="0058669B" w:rsidP="0058669B">
            <w:pPr>
              <w:tabs>
                <w:tab w:val="center" w:pos="3152"/>
              </w:tabs>
              <w:rPr>
                <w:rFonts w:cs="Arial"/>
                <w:sz w:val="8"/>
                <w:szCs w:val="8"/>
                <w:lang w:val="en-US"/>
              </w:rPr>
            </w:pPr>
          </w:p>
        </w:tc>
      </w:tr>
      <w:tr w:rsidR="0058669B" w:rsidRPr="00433D3E" w14:paraId="3AB649AE" w14:textId="77777777" w:rsidTr="00562CE4">
        <w:tc>
          <w:tcPr>
            <w:tcW w:w="5000" w:type="pct"/>
            <w:gridSpan w:val="4"/>
            <w:shd w:val="clear" w:color="auto" w:fill="008232"/>
            <w:tcMar>
              <w:top w:w="57" w:type="dxa"/>
              <w:bottom w:w="57" w:type="dxa"/>
            </w:tcMar>
          </w:tcPr>
          <w:p w14:paraId="52F2766E" w14:textId="77777777" w:rsidR="0058669B" w:rsidRPr="00433D3E" w:rsidRDefault="0058669B" w:rsidP="0058669B">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58669B" w:rsidRPr="00A075A3" w14:paraId="6536E1E3" w14:textId="77777777" w:rsidTr="00EA4E49">
        <w:tc>
          <w:tcPr>
            <w:tcW w:w="1447" w:type="pct"/>
            <w:gridSpan w:val="3"/>
            <w:shd w:val="clear" w:color="auto" w:fill="auto"/>
            <w:tcMar>
              <w:top w:w="57" w:type="dxa"/>
              <w:bottom w:w="57" w:type="dxa"/>
            </w:tcMar>
          </w:tcPr>
          <w:p w14:paraId="7E356B61" w14:textId="3A92E3AD" w:rsidR="0058669B" w:rsidRPr="00C466BC" w:rsidRDefault="0058669B" w:rsidP="0058669B">
            <w:pPr>
              <w:rPr>
                <w:rFonts w:cs="Arial"/>
                <w:szCs w:val="19"/>
              </w:rPr>
            </w:pPr>
            <w:r w:rsidRPr="005924E9">
              <w:rPr>
                <w:rFonts w:cs="Arial"/>
                <w:szCs w:val="19"/>
              </w:rPr>
              <w:t>Botulinum toxin type E </w:t>
            </w:r>
          </w:p>
        </w:tc>
        <w:tc>
          <w:tcPr>
            <w:tcW w:w="3553" w:type="pct"/>
            <w:shd w:val="clear" w:color="auto" w:fill="auto"/>
            <w:tcMar>
              <w:top w:w="57" w:type="dxa"/>
              <w:bottom w:w="57" w:type="dxa"/>
            </w:tcMar>
          </w:tcPr>
          <w:p w14:paraId="626559E7" w14:textId="40FE0EDF" w:rsidR="0058669B" w:rsidRPr="00A075A3" w:rsidRDefault="0058669B" w:rsidP="0058669B">
            <w:pPr>
              <w:tabs>
                <w:tab w:val="center" w:pos="3152"/>
              </w:tabs>
              <w:rPr>
                <w:rFonts w:cs="Arial"/>
                <w:szCs w:val="19"/>
                <w:lang w:val="en-US"/>
              </w:rPr>
            </w:pPr>
            <w:r w:rsidRPr="00510DB1">
              <w:rPr>
                <w:rFonts w:cs="Arial"/>
                <w:szCs w:val="19"/>
                <w:lang w:val="en-US"/>
              </w:rPr>
              <w:t>Temporary improvement in the appearance of moderate to severe lines between the eyebrows</w:t>
            </w:r>
            <w:r>
              <w:rPr>
                <w:rFonts w:cs="Arial"/>
                <w:szCs w:val="19"/>
                <w:lang w:val="en-US"/>
              </w:rPr>
              <w:t xml:space="preserve"> </w:t>
            </w:r>
            <w:r w:rsidRPr="00510DB1">
              <w:rPr>
                <w:rFonts w:cs="Arial"/>
                <w:sz w:val="16"/>
                <w:szCs w:val="16"/>
                <w:lang w:val="en-US"/>
              </w:rPr>
              <w:t>[EU]</w:t>
            </w:r>
          </w:p>
        </w:tc>
      </w:tr>
      <w:tr w:rsidR="0058669B" w:rsidRPr="00A075A3" w14:paraId="59836AF2" w14:textId="77777777" w:rsidTr="00EA4E49">
        <w:tc>
          <w:tcPr>
            <w:tcW w:w="1447" w:type="pct"/>
            <w:gridSpan w:val="3"/>
            <w:shd w:val="clear" w:color="auto" w:fill="auto"/>
            <w:tcMar>
              <w:top w:w="57" w:type="dxa"/>
              <w:bottom w:w="57" w:type="dxa"/>
            </w:tcMar>
          </w:tcPr>
          <w:p w14:paraId="26324608" w14:textId="4D685F06" w:rsidR="0058669B" w:rsidRPr="00821C7E" w:rsidRDefault="0058669B" w:rsidP="0058669B">
            <w:pPr>
              <w:rPr>
                <w:rFonts w:cs="Arial"/>
                <w:szCs w:val="19"/>
              </w:rPr>
            </w:pPr>
            <w:r>
              <w:rPr>
                <w:rFonts w:cs="Arial"/>
                <w:szCs w:val="19"/>
              </w:rPr>
              <w:t>D</w:t>
            </w:r>
            <w:r w:rsidRPr="006B36F1">
              <w:rPr>
                <w:rFonts w:cs="Arial"/>
                <w:szCs w:val="19"/>
              </w:rPr>
              <w:t>enosumab biosimilar (</w:t>
            </w:r>
            <w:proofErr w:type="spellStart"/>
            <w:r w:rsidRPr="006B36F1">
              <w:rPr>
                <w:rFonts w:cs="Arial"/>
                <w:i/>
                <w:iCs/>
                <w:szCs w:val="19"/>
              </w:rPr>
              <w:t>Osqay</w:t>
            </w:r>
            <w:proofErr w:type="spellEnd"/>
            <w:r w:rsidRPr="006B36F1">
              <w:rPr>
                <w:rFonts w:cs="Arial"/>
                <w:szCs w:val="19"/>
              </w:rPr>
              <w:t>)</w:t>
            </w:r>
          </w:p>
        </w:tc>
        <w:tc>
          <w:tcPr>
            <w:tcW w:w="3553" w:type="pct"/>
            <w:shd w:val="clear" w:color="auto" w:fill="auto"/>
            <w:tcMar>
              <w:top w:w="57" w:type="dxa"/>
              <w:bottom w:w="57" w:type="dxa"/>
            </w:tcMar>
          </w:tcPr>
          <w:p w14:paraId="71B5762C" w14:textId="381238E7" w:rsidR="0058669B" w:rsidRPr="00D20EF2" w:rsidRDefault="0058669B" w:rsidP="0058669B">
            <w:pPr>
              <w:tabs>
                <w:tab w:val="center" w:pos="3152"/>
              </w:tabs>
              <w:rPr>
                <w:rFonts w:cs="Arial"/>
                <w:szCs w:val="19"/>
                <w:lang w:val="en-US"/>
              </w:rPr>
            </w:pPr>
            <w:r w:rsidRPr="00112289">
              <w:rPr>
                <w:rFonts w:cs="Arial"/>
                <w:szCs w:val="19"/>
                <w:lang w:val="en-US"/>
              </w:rPr>
              <w:t xml:space="preserve">Postmenopausal osteoporosis </w:t>
            </w:r>
            <w:r w:rsidRPr="00112289">
              <w:rPr>
                <w:rFonts w:cs="Arial"/>
                <w:szCs w:val="19"/>
                <w:lang w:val="en-US"/>
              </w:rPr>
              <w:tab/>
              <w:t xml:space="preserve">and other </w:t>
            </w:r>
            <w:r w:rsidRPr="00112289">
              <w:rPr>
                <w:rFonts w:cs="Arial"/>
                <w:i/>
                <w:iCs/>
                <w:szCs w:val="19"/>
                <w:lang w:val="en-US"/>
              </w:rPr>
              <w:t>Prolia</w:t>
            </w:r>
            <w:r w:rsidRPr="00112289">
              <w:rPr>
                <w:rFonts w:cs="Arial"/>
                <w:szCs w:val="19"/>
                <w:lang w:val="en-US"/>
              </w:rPr>
              <w:t xml:space="preserve"> indications</w:t>
            </w:r>
            <w:r>
              <w:rPr>
                <w:rFonts w:cs="Arial"/>
                <w:szCs w:val="19"/>
                <w:lang w:val="en-US"/>
              </w:rPr>
              <w:t xml:space="preserve"> </w:t>
            </w:r>
            <w:r w:rsidRPr="00634611">
              <w:rPr>
                <w:rFonts w:cs="Arial"/>
                <w:sz w:val="16"/>
                <w:szCs w:val="16"/>
                <w:lang w:val="en-US"/>
              </w:rPr>
              <w:t>[</w:t>
            </w:r>
            <w:r>
              <w:rPr>
                <w:rFonts w:cs="Arial"/>
                <w:sz w:val="16"/>
                <w:szCs w:val="16"/>
                <w:lang w:val="en-US"/>
              </w:rPr>
              <w:t>E</w:t>
            </w:r>
            <w:r w:rsidRPr="00634611">
              <w:rPr>
                <w:rFonts w:cs="Arial"/>
                <w:sz w:val="16"/>
                <w:szCs w:val="16"/>
                <w:lang w:val="en-US"/>
              </w:rPr>
              <w:t>U]</w:t>
            </w:r>
          </w:p>
        </w:tc>
      </w:tr>
      <w:tr w:rsidR="0058669B" w:rsidRPr="00A075A3" w14:paraId="1E2D2492" w14:textId="77777777" w:rsidTr="00EA4E49">
        <w:tc>
          <w:tcPr>
            <w:tcW w:w="1447" w:type="pct"/>
            <w:gridSpan w:val="3"/>
            <w:shd w:val="clear" w:color="auto" w:fill="auto"/>
            <w:tcMar>
              <w:top w:w="57" w:type="dxa"/>
              <w:bottom w:w="57" w:type="dxa"/>
            </w:tcMar>
          </w:tcPr>
          <w:p w14:paraId="05849BAF" w14:textId="3F3353C9" w:rsidR="0058669B" w:rsidRPr="00896AE9" w:rsidRDefault="0058669B" w:rsidP="0058669B">
            <w:pPr>
              <w:rPr>
                <w:rFonts w:cs="Arial"/>
                <w:szCs w:val="19"/>
              </w:rPr>
            </w:pPr>
            <w:r w:rsidRPr="00821C7E">
              <w:rPr>
                <w:rFonts w:cs="Arial"/>
                <w:szCs w:val="19"/>
              </w:rPr>
              <w:t xml:space="preserve">Denosumab biosimilar </w:t>
            </w:r>
            <w:r>
              <w:rPr>
                <w:rFonts w:cs="Arial"/>
                <w:szCs w:val="19"/>
              </w:rPr>
              <w:t xml:space="preserve">– </w:t>
            </w:r>
            <w:r w:rsidRPr="00821C7E">
              <w:rPr>
                <w:rFonts w:cs="Arial"/>
                <w:szCs w:val="19"/>
              </w:rPr>
              <w:t>SPD8</w:t>
            </w:r>
          </w:p>
        </w:tc>
        <w:tc>
          <w:tcPr>
            <w:tcW w:w="3553" w:type="pct"/>
            <w:shd w:val="clear" w:color="auto" w:fill="auto"/>
            <w:tcMar>
              <w:top w:w="57" w:type="dxa"/>
              <w:bottom w:w="57" w:type="dxa"/>
            </w:tcMar>
          </w:tcPr>
          <w:p w14:paraId="4B55305C" w14:textId="40719A2C" w:rsidR="0058669B" w:rsidRPr="00A075A3" w:rsidRDefault="0058669B" w:rsidP="0058669B">
            <w:pPr>
              <w:tabs>
                <w:tab w:val="center" w:pos="3152"/>
              </w:tabs>
              <w:rPr>
                <w:rFonts w:cs="Arial"/>
                <w:szCs w:val="19"/>
                <w:lang w:val="en-US"/>
              </w:rPr>
            </w:pPr>
            <w:r w:rsidRPr="00D20EF2">
              <w:rPr>
                <w:rFonts w:cs="Arial"/>
                <w:szCs w:val="19"/>
                <w:lang w:val="en-US"/>
              </w:rPr>
              <w:t>Postmenopausal osteoporosis</w:t>
            </w:r>
            <w:r>
              <w:rPr>
                <w:rFonts w:cs="Arial"/>
                <w:szCs w:val="19"/>
                <w:lang w:val="en-US"/>
              </w:rPr>
              <w:t xml:space="preserve"> </w:t>
            </w:r>
            <w:r w:rsidRPr="00D20EF2">
              <w:rPr>
                <w:rFonts w:cs="Arial"/>
                <w:szCs w:val="19"/>
                <w:lang w:val="en-US"/>
              </w:rPr>
              <w:tab/>
              <w:t xml:space="preserve">and other </w:t>
            </w:r>
            <w:r w:rsidRPr="00D20EF2">
              <w:rPr>
                <w:rFonts w:cs="Arial"/>
                <w:i/>
                <w:iCs/>
                <w:szCs w:val="19"/>
                <w:lang w:val="en-US"/>
              </w:rPr>
              <w:t>Prolia</w:t>
            </w:r>
            <w:r w:rsidRPr="00D20EF2">
              <w:rPr>
                <w:rFonts w:cs="Arial"/>
                <w:szCs w:val="19"/>
                <w:lang w:val="en-US"/>
              </w:rPr>
              <w:t xml:space="preserve"> indications</w:t>
            </w:r>
            <w:r>
              <w:rPr>
                <w:rFonts w:cs="Arial"/>
                <w:szCs w:val="19"/>
                <w:lang w:val="en-US"/>
              </w:rPr>
              <w:t xml:space="preserve"> </w:t>
            </w:r>
            <w:r w:rsidRPr="00510DB1">
              <w:rPr>
                <w:rFonts w:cs="Arial"/>
                <w:sz w:val="16"/>
                <w:szCs w:val="16"/>
                <w:lang w:val="en-US"/>
              </w:rPr>
              <w:t>[EU]</w:t>
            </w:r>
          </w:p>
        </w:tc>
      </w:tr>
      <w:tr w:rsidR="0058669B" w:rsidRPr="00A075A3" w14:paraId="223052C0" w14:textId="77777777" w:rsidTr="00EA4E49">
        <w:tc>
          <w:tcPr>
            <w:tcW w:w="1447" w:type="pct"/>
            <w:gridSpan w:val="3"/>
            <w:shd w:val="clear" w:color="auto" w:fill="auto"/>
            <w:tcMar>
              <w:top w:w="57" w:type="dxa"/>
              <w:bottom w:w="57" w:type="dxa"/>
            </w:tcMar>
          </w:tcPr>
          <w:p w14:paraId="44E0C523" w14:textId="5FEE7EA8" w:rsidR="0058669B" w:rsidRPr="00896AE9" w:rsidRDefault="0058669B" w:rsidP="0058669B">
            <w:pPr>
              <w:rPr>
                <w:rFonts w:cs="Arial"/>
                <w:szCs w:val="19"/>
              </w:rPr>
            </w:pPr>
            <w:r w:rsidRPr="00821C7E">
              <w:rPr>
                <w:rFonts w:cs="Arial"/>
                <w:szCs w:val="19"/>
              </w:rPr>
              <w:t xml:space="preserve">Denosumab biosimilar </w:t>
            </w:r>
            <w:r>
              <w:rPr>
                <w:rFonts w:cs="Arial"/>
                <w:szCs w:val="19"/>
              </w:rPr>
              <w:t xml:space="preserve">– </w:t>
            </w:r>
            <w:r w:rsidRPr="00821C7E">
              <w:rPr>
                <w:rFonts w:cs="Arial"/>
                <w:szCs w:val="19"/>
              </w:rPr>
              <w:t>SPD8</w:t>
            </w:r>
          </w:p>
        </w:tc>
        <w:tc>
          <w:tcPr>
            <w:tcW w:w="3553" w:type="pct"/>
            <w:shd w:val="clear" w:color="auto" w:fill="auto"/>
            <w:tcMar>
              <w:top w:w="57" w:type="dxa"/>
              <w:bottom w:w="57" w:type="dxa"/>
            </w:tcMar>
          </w:tcPr>
          <w:p w14:paraId="7DF7B038" w14:textId="6DF7E642" w:rsidR="0058669B" w:rsidRPr="00A075A3" w:rsidRDefault="0058669B" w:rsidP="0058669B">
            <w:pPr>
              <w:tabs>
                <w:tab w:val="center" w:pos="3152"/>
              </w:tabs>
              <w:rPr>
                <w:rFonts w:cs="Arial"/>
                <w:szCs w:val="19"/>
                <w:lang w:val="en-US"/>
              </w:rPr>
            </w:pPr>
            <w:r w:rsidRPr="00871827">
              <w:rPr>
                <w:rFonts w:cs="Arial"/>
                <w:szCs w:val="19"/>
                <w:lang w:val="en-US"/>
              </w:rPr>
              <w:t xml:space="preserve">Prevention of skeletal related events in adults with advanced malignancies involving bone and other </w:t>
            </w:r>
            <w:proofErr w:type="spellStart"/>
            <w:r w:rsidRPr="00871827">
              <w:rPr>
                <w:rFonts w:cs="Arial"/>
                <w:i/>
                <w:iCs/>
                <w:szCs w:val="19"/>
                <w:lang w:val="en-US"/>
              </w:rPr>
              <w:t>Xgeva</w:t>
            </w:r>
            <w:proofErr w:type="spellEnd"/>
            <w:r w:rsidRPr="00871827">
              <w:rPr>
                <w:rFonts w:cs="Arial"/>
                <w:szCs w:val="19"/>
                <w:lang w:val="en-US"/>
              </w:rPr>
              <w:t xml:space="preserve"> indications </w:t>
            </w:r>
            <w:r w:rsidRPr="00510DB1">
              <w:rPr>
                <w:rFonts w:cs="Arial"/>
                <w:sz w:val="16"/>
                <w:szCs w:val="16"/>
                <w:lang w:val="en-US"/>
              </w:rPr>
              <w:t>[EU]</w:t>
            </w:r>
          </w:p>
        </w:tc>
      </w:tr>
      <w:tr w:rsidR="0058669B" w:rsidRPr="00A075A3" w14:paraId="21AF275C" w14:textId="77777777" w:rsidTr="00EA4E49">
        <w:tc>
          <w:tcPr>
            <w:tcW w:w="1447" w:type="pct"/>
            <w:gridSpan w:val="3"/>
            <w:shd w:val="clear" w:color="auto" w:fill="auto"/>
            <w:tcMar>
              <w:top w:w="57" w:type="dxa"/>
              <w:bottom w:w="57" w:type="dxa"/>
            </w:tcMar>
          </w:tcPr>
          <w:p w14:paraId="32E353B6" w14:textId="38FD7EE7" w:rsidR="0058669B" w:rsidRPr="004910AC" w:rsidRDefault="0058669B" w:rsidP="0058669B">
            <w:pPr>
              <w:rPr>
                <w:rFonts w:cs="Arial"/>
                <w:szCs w:val="19"/>
              </w:rPr>
            </w:pPr>
            <w:proofErr w:type="spellStart"/>
            <w:r w:rsidRPr="00A8407F">
              <w:rPr>
                <w:rFonts w:cs="Arial"/>
                <w:szCs w:val="19"/>
              </w:rPr>
              <w:t>Ensitrelvir</w:t>
            </w:r>
            <w:proofErr w:type="spellEnd"/>
            <w:r>
              <w:rPr>
                <w:rFonts w:cs="Arial"/>
                <w:szCs w:val="19"/>
              </w:rPr>
              <w:t xml:space="preserve"> </w:t>
            </w:r>
          </w:p>
        </w:tc>
        <w:tc>
          <w:tcPr>
            <w:tcW w:w="3553" w:type="pct"/>
            <w:shd w:val="clear" w:color="auto" w:fill="auto"/>
            <w:tcMar>
              <w:top w:w="57" w:type="dxa"/>
              <w:bottom w:w="57" w:type="dxa"/>
            </w:tcMar>
          </w:tcPr>
          <w:p w14:paraId="560F3D4A" w14:textId="6FFA48C5" w:rsidR="0058669B" w:rsidRPr="00460B68" w:rsidRDefault="0058669B" w:rsidP="0058669B">
            <w:pPr>
              <w:tabs>
                <w:tab w:val="center" w:pos="3152"/>
              </w:tabs>
              <w:rPr>
                <w:rFonts w:cs="Arial"/>
                <w:szCs w:val="19"/>
                <w:lang w:val="en-US"/>
              </w:rPr>
            </w:pPr>
            <w:r w:rsidRPr="00AC3913">
              <w:rPr>
                <w:rFonts w:cs="Arial"/>
                <w:szCs w:val="19"/>
                <w:lang w:val="en-US"/>
              </w:rPr>
              <w:t>Treatment of coronavirus disease 2019 (COVID-19)</w:t>
            </w:r>
            <w:r>
              <w:rPr>
                <w:rFonts w:cs="Arial"/>
                <w:szCs w:val="19"/>
                <w:lang w:val="en-US"/>
              </w:rPr>
              <w:t xml:space="preserve"> </w:t>
            </w:r>
            <w:r w:rsidRPr="00510DB1">
              <w:rPr>
                <w:rFonts w:cs="Arial"/>
                <w:sz w:val="16"/>
                <w:szCs w:val="16"/>
                <w:lang w:val="en-US"/>
              </w:rPr>
              <w:t>[EU]</w:t>
            </w:r>
          </w:p>
        </w:tc>
      </w:tr>
      <w:tr w:rsidR="0058669B" w:rsidRPr="00A075A3" w14:paraId="04B08E6E" w14:textId="77777777" w:rsidTr="00EA4E49">
        <w:tc>
          <w:tcPr>
            <w:tcW w:w="1447" w:type="pct"/>
            <w:gridSpan w:val="3"/>
            <w:shd w:val="clear" w:color="auto" w:fill="auto"/>
            <w:tcMar>
              <w:top w:w="57" w:type="dxa"/>
              <w:bottom w:w="57" w:type="dxa"/>
            </w:tcMar>
          </w:tcPr>
          <w:p w14:paraId="359ADAE4" w14:textId="6A0AEE24" w:rsidR="0058669B" w:rsidRPr="004910AC" w:rsidRDefault="0058669B" w:rsidP="0058669B">
            <w:pPr>
              <w:rPr>
                <w:rFonts w:cs="Arial"/>
                <w:szCs w:val="19"/>
              </w:rPr>
            </w:pPr>
            <w:proofErr w:type="spellStart"/>
            <w:r w:rsidRPr="00031964">
              <w:rPr>
                <w:rFonts w:cs="Arial"/>
                <w:szCs w:val="19"/>
              </w:rPr>
              <w:t>Leriglitazone</w:t>
            </w:r>
            <w:proofErr w:type="spellEnd"/>
            <w:r>
              <w:rPr>
                <w:rFonts w:cs="Arial"/>
                <w:szCs w:val="19"/>
              </w:rPr>
              <w:t xml:space="preserve"> </w:t>
            </w:r>
          </w:p>
        </w:tc>
        <w:tc>
          <w:tcPr>
            <w:tcW w:w="3553" w:type="pct"/>
            <w:shd w:val="clear" w:color="auto" w:fill="auto"/>
            <w:tcMar>
              <w:top w:w="57" w:type="dxa"/>
              <w:bottom w:w="57" w:type="dxa"/>
            </w:tcMar>
          </w:tcPr>
          <w:p w14:paraId="10CC3240" w14:textId="405EBD16" w:rsidR="0058669B" w:rsidRPr="00460B68" w:rsidRDefault="0058669B" w:rsidP="0058669B">
            <w:pPr>
              <w:tabs>
                <w:tab w:val="center" w:pos="3152"/>
              </w:tabs>
              <w:rPr>
                <w:rFonts w:cs="Arial"/>
                <w:szCs w:val="19"/>
                <w:lang w:val="en-US"/>
              </w:rPr>
            </w:pPr>
            <w:r w:rsidRPr="00063666">
              <w:rPr>
                <w:rFonts w:cs="Arial"/>
                <w:szCs w:val="19"/>
                <w:lang w:val="en-US"/>
              </w:rPr>
              <w:t>Treatment of adrenoleukodystrophy</w:t>
            </w:r>
            <w:r>
              <w:rPr>
                <w:rFonts w:cs="Arial"/>
                <w:szCs w:val="19"/>
                <w:lang w:val="en-US"/>
              </w:rPr>
              <w:t xml:space="preserve"> </w:t>
            </w:r>
            <w:r w:rsidRPr="00510DB1">
              <w:rPr>
                <w:rFonts w:cs="Arial"/>
                <w:sz w:val="16"/>
                <w:szCs w:val="16"/>
                <w:lang w:val="en-US"/>
              </w:rPr>
              <w:t>[EU]</w:t>
            </w:r>
          </w:p>
        </w:tc>
      </w:tr>
      <w:tr w:rsidR="0058669B" w:rsidRPr="00A075A3" w14:paraId="215E48C9" w14:textId="77777777" w:rsidTr="00EA4E49">
        <w:tc>
          <w:tcPr>
            <w:tcW w:w="1447" w:type="pct"/>
            <w:gridSpan w:val="3"/>
            <w:shd w:val="clear" w:color="auto" w:fill="auto"/>
            <w:tcMar>
              <w:top w:w="57" w:type="dxa"/>
              <w:bottom w:w="57" w:type="dxa"/>
            </w:tcMar>
          </w:tcPr>
          <w:p w14:paraId="0454C8E3" w14:textId="0D88BEF3" w:rsidR="0058669B" w:rsidRPr="00F154EB" w:rsidRDefault="0058669B" w:rsidP="0058669B">
            <w:pPr>
              <w:rPr>
                <w:rFonts w:cs="Arial"/>
                <w:szCs w:val="19"/>
              </w:rPr>
            </w:pPr>
            <w:r w:rsidRPr="00DB1BEE">
              <w:rPr>
                <w:rFonts w:cs="Arial"/>
                <w:szCs w:val="19"/>
              </w:rPr>
              <w:t>Levodopa + carbidopa </w:t>
            </w:r>
          </w:p>
        </w:tc>
        <w:tc>
          <w:tcPr>
            <w:tcW w:w="3553" w:type="pct"/>
            <w:shd w:val="clear" w:color="auto" w:fill="auto"/>
            <w:tcMar>
              <w:top w:w="57" w:type="dxa"/>
              <w:bottom w:w="57" w:type="dxa"/>
            </w:tcMar>
          </w:tcPr>
          <w:p w14:paraId="52122E78" w14:textId="77777777" w:rsidR="0058669B" w:rsidRDefault="0058669B" w:rsidP="0058669B">
            <w:pPr>
              <w:tabs>
                <w:tab w:val="center" w:pos="3152"/>
              </w:tabs>
              <w:rPr>
                <w:rFonts w:cs="Arial"/>
                <w:sz w:val="16"/>
                <w:szCs w:val="16"/>
                <w:lang w:val="en-US"/>
              </w:rPr>
            </w:pPr>
            <w:r w:rsidRPr="00023C99">
              <w:rPr>
                <w:rFonts w:cs="Arial"/>
                <w:szCs w:val="19"/>
                <w:lang w:val="en-US"/>
              </w:rPr>
              <w:t>Treatment of motor fluctuations in people living with Parkinson’s disease</w:t>
            </w:r>
            <w:r>
              <w:rPr>
                <w:rFonts w:cs="Arial"/>
                <w:szCs w:val="19"/>
                <w:lang w:val="en-US"/>
              </w:rPr>
              <w:t xml:space="preserve"> </w:t>
            </w:r>
            <w:r w:rsidRPr="007700CC">
              <w:rPr>
                <w:rFonts w:cs="Arial"/>
                <w:sz w:val="16"/>
                <w:szCs w:val="16"/>
                <w:lang w:val="en-US"/>
              </w:rPr>
              <w:t xml:space="preserve">[EU] </w:t>
            </w:r>
          </w:p>
          <w:p w14:paraId="43AB6569" w14:textId="1E8D824B" w:rsidR="0058669B" w:rsidRPr="003F02CB" w:rsidRDefault="0058669B" w:rsidP="0058669B">
            <w:pPr>
              <w:tabs>
                <w:tab w:val="center" w:pos="3152"/>
              </w:tabs>
              <w:rPr>
                <w:rFonts w:cs="Arial"/>
                <w:szCs w:val="19"/>
                <w:lang w:val="en-US"/>
              </w:rPr>
            </w:pPr>
            <w:r w:rsidRPr="007700CC">
              <w:rPr>
                <w:rFonts w:cs="Arial"/>
                <w:sz w:val="16"/>
                <w:szCs w:val="16"/>
                <w:lang w:val="en-US"/>
              </w:rPr>
              <w:t xml:space="preserve">[new </w:t>
            </w:r>
            <w:r w:rsidRPr="007700CC">
              <w:rPr>
                <w:rFonts w:cs="Arial"/>
                <w:sz w:val="16"/>
                <w:szCs w:val="16"/>
              </w:rPr>
              <w:t xml:space="preserve">continuous </w:t>
            </w:r>
            <w:r>
              <w:rPr>
                <w:rFonts w:cs="Arial"/>
                <w:sz w:val="16"/>
                <w:szCs w:val="16"/>
              </w:rPr>
              <w:t>subcutaneous</w:t>
            </w:r>
            <w:r w:rsidRPr="007700CC">
              <w:rPr>
                <w:rFonts w:cs="Arial"/>
                <w:sz w:val="16"/>
                <w:szCs w:val="16"/>
              </w:rPr>
              <w:t xml:space="preserve"> infusion formulation]</w:t>
            </w:r>
          </w:p>
        </w:tc>
      </w:tr>
      <w:tr w:rsidR="0058669B" w:rsidRPr="00A075A3" w14:paraId="45550363" w14:textId="77777777" w:rsidTr="00EA4E49">
        <w:tc>
          <w:tcPr>
            <w:tcW w:w="1447" w:type="pct"/>
            <w:gridSpan w:val="3"/>
            <w:shd w:val="clear" w:color="auto" w:fill="auto"/>
            <w:tcMar>
              <w:top w:w="57" w:type="dxa"/>
              <w:bottom w:w="57" w:type="dxa"/>
            </w:tcMar>
          </w:tcPr>
          <w:p w14:paraId="391B001E" w14:textId="3DC2266A" w:rsidR="0058669B" w:rsidRPr="00DD0A38" w:rsidRDefault="0058669B" w:rsidP="0058669B">
            <w:pPr>
              <w:rPr>
                <w:rFonts w:cs="Arial"/>
                <w:szCs w:val="19"/>
              </w:rPr>
            </w:pPr>
            <w:proofErr w:type="spellStart"/>
            <w:r w:rsidRPr="00663621">
              <w:rPr>
                <w:rFonts w:cs="Arial"/>
                <w:szCs w:val="19"/>
              </w:rPr>
              <w:t>Norursodeoxycholic</w:t>
            </w:r>
            <w:proofErr w:type="spellEnd"/>
            <w:r w:rsidRPr="00663621">
              <w:rPr>
                <w:rFonts w:cs="Arial"/>
                <w:szCs w:val="19"/>
              </w:rPr>
              <w:t xml:space="preserve"> acid</w:t>
            </w:r>
            <w:r>
              <w:rPr>
                <w:rFonts w:cs="Arial"/>
                <w:szCs w:val="19"/>
              </w:rPr>
              <w:t xml:space="preserve"> (</w:t>
            </w:r>
            <w:proofErr w:type="spellStart"/>
            <w:r>
              <w:rPr>
                <w:rFonts w:cs="Arial"/>
                <w:i/>
                <w:iCs/>
                <w:szCs w:val="19"/>
              </w:rPr>
              <w:t>Norurso</w:t>
            </w:r>
            <w:proofErr w:type="spellEnd"/>
            <w:r>
              <w:rPr>
                <w:rFonts w:cs="Arial"/>
                <w:szCs w:val="19"/>
              </w:rPr>
              <w:t>)</w:t>
            </w:r>
          </w:p>
        </w:tc>
        <w:tc>
          <w:tcPr>
            <w:tcW w:w="3553" w:type="pct"/>
            <w:shd w:val="clear" w:color="auto" w:fill="auto"/>
            <w:tcMar>
              <w:top w:w="57" w:type="dxa"/>
              <w:bottom w:w="57" w:type="dxa"/>
            </w:tcMar>
          </w:tcPr>
          <w:p w14:paraId="5BE0421C" w14:textId="04DE7440" w:rsidR="0058669B" w:rsidRPr="00272180" w:rsidRDefault="0058669B" w:rsidP="0058669B">
            <w:pPr>
              <w:tabs>
                <w:tab w:val="center" w:pos="3152"/>
              </w:tabs>
              <w:rPr>
                <w:rFonts w:cs="Arial"/>
                <w:szCs w:val="19"/>
                <w:lang w:val="en-US"/>
              </w:rPr>
            </w:pPr>
            <w:r w:rsidRPr="00744025">
              <w:rPr>
                <w:rFonts w:cs="Arial"/>
                <w:szCs w:val="19"/>
                <w:lang w:val="en-US"/>
              </w:rPr>
              <w:t>Treatment of primary sclerosing cholangitis in adults</w:t>
            </w:r>
            <w:r>
              <w:rPr>
                <w:rFonts w:cs="Arial"/>
                <w:szCs w:val="19"/>
                <w:lang w:val="en-US"/>
              </w:rPr>
              <w:t xml:space="preserve"> </w:t>
            </w:r>
            <w:r w:rsidRPr="00510DB1">
              <w:rPr>
                <w:rFonts w:cs="Arial"/>
                <w:sz w:val="16"/>
                <w:szCs w:val="16"/>
                <w:lang w:val="en-US"/>
              </w:rPr>
              <w:t>[EU]</w:t>
            </w:r>
          </w:p>
        </w:tc>
      </w:tr>
      <w:tr w:rsidR="0058669B" w:rsidRPr="00A075A3" w14:paraId="5B78826E" w14:textId="77777777" w:rsidTr="00EA4E49">
        <w:tc>
          <w:tcPr>
            <w:tcW w:w="1447" w:type="pct"/>
            <w:gridSpan w:val="3"/>
            <w:shd w:val="clear" w:color="auto" w:fill="auto"/>
            <w:tcMar>
              <w:top w:w="57" w:type="dxa"/>
              <w:bottom w:w="57" w:type="dxa"/>
            </w:tcMar>
          </w:tcPr>
          <w:p w14:paraId="0D9015D8" w14:textId="216BBEFC" w:rsidR="0058669B" w:rsidRPr="00663621" w:rsidRDefault="0058669B" w:rsidP="0058669B">
            <w:pPr>
              <w:rPr>
                <w:rFonts w:cs="Arial"/>
                <w:szCs w:val="19"/>
              </w:rPr>
            </w:pPr>
            <w:proofErr w:type="spellStart"/>
            <w:r w:rsidRPr="00B10725">
              <w:rPr>
                <w:rFonts w:cs="Arial"/>
                <w:szCs w:val="19"/>
              </w:rPr>
              <w:t>Tarlatamab</w:t>
            </w:r>
            <w:proofErr w:type="spellEnd"/>
            <w:r>
              <w:rPr>
                <w:rFonts w:cs="Arial"/>
                <w:szCs w:val="19"/>
              </w:rPr>
              <w:t xml:space="preserve"> (</w:t>
            </w:r>
            <w:proofErr w:type="spellStart"/>
            <w:r w:rsidRPr="000D5CB1">
              <w:rPr>
                <w:rFonts w:cs="Arial"/>
                <w:i/>
                <w:iCs/>
                <w:szCs w:val="19"/>
              </w:rPr>
              <w:t>Imdylltra</w:t>
            </w:r>
            <w:proofErr w:type="spellEnd"/>
            <w:r>
              <w:rPr>
                <w:rFonts w:cs="Arial"/>
                <w:szCs w:val="19"/>
              </w:rPr>
              <w:t>)</w:t>
            </w:r>
          </w:p>
        </w:tc>
        <w:tc>
          <w:tcPr>
            <w:tcW w:w="3553" w:type="pct"/>
            <w:shd w:val="clear" w:color="auto" w:fill="auto"/>
            <w:tcMar>
              <w:top w:w="57" w:type="dxa"/>
              <w:bottom w:w="57" w:type="dxa"/>
            </w:tcMar>
          </w:tcPr>
          <w:p w14:paraId="6BA2B14B" w14:textId="0BB58A9B" w:rsidR="0058669B" w:rsidRPr="008D0DAD" w:rsidRDefault="0058669B" w:rsidP="0058669B">
            <w:pPr>
              <w:tabs>
                <w:tab w:val="center" w:pos="3152"/>
              </w:tabs>
              <w:rPr>
                <w:rFonts w:cs="Arial"/>
                <w:i/>
                <w:iCs/>
                <w:szCs w:val="19"/>
                <w:lang w:val="en-US"/>
              </w:rPr>
            </w:pPr>
            <w:r w:rsidRPr="008D0DAD">
              <w:rPr>
                <w:rFonts w:cs="Arial"/>
                <w:szCs w:val="19"/>
                <w:lang w:val="en-US"/>
              </w:rPr>
              <w:t>Treatment of extensive-stage small cell lung cancer</w:t>
            </w:r>
            <w:r>
              <w:rPr>
                <w:rFonts w:cs="Arial"/>
                <w:szCs w:val="19"/>
                <w:lang w:val="en-US"/>
              </w:rPr>
              <w:t xml:space="preserve"> </w:t>
            </w:r>
            <w:r w:rsidRPr="00510DB1">
              <w:rPr>
                <w:rFonts w:cs="Arial"/>
                <w:sz w:val="16"/>
                <w:szCs w:val="16"/>
                <w:lang w:val="en-US"/>
              </w:rPr>
              <w:t>[EU]</w:t>
            </w:r>
            <w:r>
              <w:rPr>
                <w:rFonts w:cs="Arial"/>
                <w:sz w:val="16"/>
                <w:szCs w:val="16"/>
                <w:lang w:val="en-US"/>
              </w:rPr>
              <w:t xml:space="preserve"> </w:t>
            </w:r>
            <w:r>
              <w:rPr>
                <w:rFonts w:cs="Arial"/>
                <w:i/>
                <w:iCs/>
                <w:sz w:val="16"/>
                <w:szCs w:val="16"/>
                <w:lang w:val="en-US"/>
              </w:rPr>
              <w:t xml:space="preserve">Note: Already licensed and launched in UK for </w:t>
            </w:r>
            <w:r w:rsidRPr="003D0ACC">
              <w:rPr>
                <w:rFonts w:cs="Arial"/>
                <w:i/>
                <w:iCs/>
                <w:sz w:val="16"/>
                <w:szCs w:val="16"/>
                <w:lang w:val="en-US"/>
              </w:rPr>
              <w:t>treatment of adults with extensive-stage small cell lung cancer with disease progression on or after at least two prior lines of therapy including platinum-based chemotherapy</w:t>
            </w:r>
          </w:p>
        </w:tc>
      </w:tr>
      <w:tr w:rsidR="0058669B" w:rsidRPr="000F19E1" w14:paraId="4292BA90" w14:textId="77777777" w:rsidTr="00EA4E49">
        <w:tc>
          <w:tcPr>
            <w:tcW w:w="1447" w:type="pct"/>
            <w:gridSpan w:val="3"/>
            <w:shd w:val="clear" w:color="auto" w:fill="auto"/>
            <w:tcMar>
              <w:top w:w="0" w:type="dxa"/>
              <w:bottom w:w="0" w:type="dxa"/>
            </w:tcMar>
          </w:tcPr>
          <w:p w14:paraId="696FD749" w14:textId="77777777" w:rsidR="0058669B" w:rsidRPr="000F19E1" w:rsidRDefault="0058669B" w:rsidP="0058669B">
            <w:pPr>
              <w:rPr>
                <w:rFonts w:cs="Arial"/>
                <w:bCs/>
                <w:sz w:val="8"/>
                <w:szCs w:val="8"/>
              </w:rPr>
            </w:pPr>
          </w:p>
        </w:tc>
        <w:tc>
          <w:tcPr>
            <w:tcW w:w="3553" w:type="pct"/>
            <w:shd w:val="clear" w:color="auto" w:fill="auto"/>
            <w:tcMar>
              <w:top w:w="0" w:type="dxa"/>
              <w:bottom w:w="0" w:type="dxa"/>
            </w:tcMar>
          </w:tcPr>
          <w:p w14:paraId="02A3020F" w14:textId="77777777" w:rsidR="0058669B" w:rsidRPr="000F19E1" w:rsidRDefault="0058669B" w:rsidP="0058669B">
            <w:pPr>
              <w:tabs>
                <w:tab w:val="center" w:pos="3152"/>
              </w:tabs>
              <w:rPr>
                <w:rFonts w:cs="Arial"/>
                <w:sz w:val="8"/>
                <w:szCs w:val="8"/>
                <w:lang w:val="en-US"/>
              </w:rPr>
            </w:pPr>
          </w:p>
        </w:tc>
      </w:tr>
      <w:tr w:rsidR="0058669B" w:rsidRPr="000F19E1" w14:paraId="392E416E" w14:textId="77777777" w:rsidTr="00155BD9">
        <w:tc>
          <w:tcPr>
            <w:tcW w:w="1152" w:type="pct"/>
            <w:shd w:val="clear" w:color="auto" w:fill="DAEEF3"/>
            <w:tcMar>
              <w:top w:w="0" w:type="dxa"/>
              <w:bottom w:w="0" w:type="dxa"/>
            </w:tcMar>
          </w:tcPr>
          <w:p w14:paraId="120BFA3D" w14:textId="77777777" w:rsidR="0058669B" w:rsidRPr="000F19E1" w:rsidRDefault="0058669B" w:rsidP="0058669B">
            <w:pPr>
              <w:rPr>
                <w:rFonts w:cs="Arial"/>
                <w:bCs/>
                <w:sz w:val="8"/>
                <w:szCs w:val="8"/>
              </w:rPr>
            </w:pPr>
          </w:p>
        </w:tc>
        <w:tc>
          <w:tcPr>
            <w:tcW w:w="3848" w:type="pct"/>
            <w:gridSpan w:val="3"/>
            <w:shd w:val="clear" w:color="auto" w:fill="DAEEF3"/>
            <w:tcMar>
              <w:top w:w="0" w:type="dxa"/>
              <w:bottom w:w="0" w:type="dxa"/>
            </w:tcMar>
          </w:tcPr>
          <w:p w14:paraId="708BAB0F" w14:textId="77777777" w:rsidR="0058669B" w:rsidRPr="000F19E1" w:rsidRDefault="0058669B" w:rsidP="0058669B">
            <w:pPr>
              <w:tabs>
                <w:tab w:val="center" w:pos="3152"/>
              </w:tabs>
              <w:rPr>
                <w:rFonts w:cs="Arial"/>
                <w:sz w:val="8"/>
                <w:szCs w:val="8"/>
                <w:lang w:val="en-US"/>
              </w:rPr>
            </w:pPr>
          </w:p>
        </w:tc>
      </w:tr>
      <w:tr w:rsidR="0058669B" w:rsidRPr="00126CCD" w14:paraId="5974B781" w14:textId="77777777" w:rsidTr="00562CE4">
        <w:tc>
          <w:tcPr>
            <w:tcW w:w="5000" w:type="pct"/>
            <w:gridSpan w:val="4"/>
            <w:shd w:val="clear" w:color="auto" w:fill="008232"/>
            <w:tcMar>
              <w:top w:w="57" w:type="dxa"/>
              <w:bottom w:w="57" w:type="dxa"/>
            </w:tcMar>
          </w:tcPr>
          <w:p w14:paraId="3E90F0DA" w14:textId="77777777" w:rsidR="0058669B" w:rsidRPr="004642B4" w:rsidRDefault="0058669B" w:rsidP="0058669B">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p>
        </w:tc>
      </w:tr>
      <w:tr w:rsidR="0058669B" w14:paraId="4F863E45" w14:textId="77777777" w:rsidTr="00EA4E49">
        <w:tc>
          <w:tcPr>
            <w:tcW w:w="1447" w:type="pct"/>
            <w:gridSpan w:val="3"/>
            <w:shd w:val="clear" w:color="auto" w:fill="auto"/>
            <w:tcMar>
              <w:top w:w="57" w:type="dxa"/>
              <w:bottom w:w="57" w:type="dxa"/>
            </w:tcMar>
          </w:tcPr>
          <w:p w14:paraId="642AA737" w14:textId="7601ABC2" w:rsidR="0058669B" w:rsidRPr="003D2915" w:rsidRDefault="0058669B" w:rsidP="0058669B">
            <w:pPr>
              <w:rPr>
                <w:rFonts w:cs="Arial"/>
                <w:szCs w:val="19"/>
              </w:rPr>
            </w:pPr>
            <w:proofErr w:type="spellStart"/>
            <w:r w:rsidRPr="00886E15">
              <w:rPr>
                <w:rFonts w:cs="Arial"/>
                <w:szCs w:val="19"/>
              </w:rPr>
              <w:t>Clostridioides</w:t>
            </w:r>
            <w:proofErr w:type="spellEnd"/>
            <w:r w:rsidRPr="00886E15">
              <w:rPr>
                <w:rFonts w:cs="Arial"/>
                <w:szCs w:val="19"/>
              </w:rPr>
              <w:t xml:space="preserve"> difficile vaccine</w:t>
            </w:r>
          </w:p>
        </w:tc>
        <w:tc>
          <w:tcPr>
            <w:tcW w:w="3553" w:type="pct"/>
            <w:shd w:val="clear" w:color="auto" w:fill="auto"/>
            <w:tcMar>
              <w:top w:w="57" w:type="dxa"/>
              <w:bottom w:w="57" w:type="dxa"/>
            </w:tcMar>
          </w:tcPr>
          <w:p w14:paraId="535DC61E" w14:textId="2CFD8C9F" w:rsidR="0058669B" w:rsidRPr="00C05FAF" w:rsidRDefault="0058669B" w:rsidP="0058669B">
            <w:pPr>
              <w:tabs>
                <w:tab w:val="center" w:pos="3152"/>
              </w:tabs>
              <w:rPr>
                <w:rFonts w:cs="Arial"/>
                <w:szCs w:val="19"/>
                <w:lang w:val="en-US"/>
              </w:rPr>
            </w:pPr>
            <w:r>
              <w:rPr>
                <w:rFonts w:cs="Arial"/>
                <w:szCs w:val="19"/>
                <w:lang w:val="en-US"/>
              </w:rPr>
              <w:t xml:space="preserve">Prevention of </w:t>
            </w:r>
            <w:proofErr w:type="spellStart"/>
            <w:r w:rsidRPr="00BE4F8A">
              <w:rPr>
                <w:rFonts w:cs="Arial"/>
                <w:i/>
                <w:iCs/>
                <w:szCs w:val="19"/>
                <w:lang w:val="en-US"/>
              </w:rPr>
              <w:t>Clostridioides</w:t>
            </w:r>
            <w:proofErr w:type="spellEnd"/>
            <w:r w:rsidRPr="00BE4F8A">
              <w:rPr>
                <w:rFonts w:cs="Arial"/>
                <w:i/>
                <w:iCs/>
                <w:szCs w:val="19"/>
                <w:lang w:val="en-US"/>
              </w:rPr>
              <w:t xml:space="preserve"> difficile</w:t>
            </w:r>
            <w:r w:rsidRPr="00BE4F8A">
              <w:rPr>
                <w:rFonts w:cs="Arial"/>
                <w:szCs w:val="19"/>
                <w:lang w:val="en-US"/>
              </w:rPr>
              <w:t xml:space="preserve"> infection in patients aged </w:t>
            </w:r>
            <w:r>
              <w:rPr>
                <w:rFonts w:cs="Arial"/>
                <w:szCs w:val="19"/>
                <w:lang w:val="en-US"/>
              </w:rPr>
              <w:t>≥</w:t>
            </w:r>
            <w:r w:rsidRPr="00BE4F8A">
              <w:rPr>
                <w:rFonts w:cs="Arial"/>
                <w:szCs w:val="19"/>
                <w:lang w:val="en-US"/>
              </w:rPr>
              <w:t xml:space="preserve">65 years </w:t>
            </w:r>
            <w:r>
              <w:rPr>
                <w:rFonts w:cs="Arial"/>
                <w:szCs w:val="19"/>
                <w:lang w:val="en-US"/>
              </w:rPr>
              <w:t>– development discontinued (company decision)</w:t>
            </w:r>
          </w:p>
        </w:tc>
      </w:tr>
      <w:tr w:rsidR="0058669B" w14:paraId="1171BD9F" w14:textId="77777777" w:rsidTr="00EA4E49">
        <w:tc>
          <w:tcPr>
            <w:tcW w:w="1447" w:type="pct"/>
            <w:gridSpan w:val="3"/>
            <w:shd w:val="clear" w:color="auto" w:fill="auto"/>
            <w:tcMar>
              <w:top w:w="57" w:type="dxa"/>
              <w:bottom w:w="57" w:type="dxa"/>
            </w:tcMar>
          </w:tcPr>
          <w:p w14:paraId="148B094E" w14:textId="22D8EDED" w:rsidR="0058669B" w:rsidRDefault="0058669B" w:rsidP="0058669B">
            <w:pPr>
              <w:rPr>
                <w:rFonts w:cs="Arial"/>
                <w:szCs w:val="19"/>
              </w:rPr>
            </w:pPr>
            <w:proofErr w:type="spellStart"/>
            <w:r w:rsidRPr="007F6991">
              <w:rPr>
                <w:rFonts w:cs="Arial"/>
                <w:szCs w:val="19"/>
              </w:rPr>
              <w:t>Inclacumab</w:t>
            </w:r>
            <w:proofErr w:type="spellEnd"/>
            <w:r>
              <w:rPr>
                <w:rFonts w:cs="Arial"/>
                <w:szCs w:val="19"/>
              </w:rPr>
              <w:t xml:space="preserve"> </w:t>
            </w:r>
          </w:p>
        </w:tc>
        <w:tc>
          <w:tcPr>
            <w:tcW w:w="3553" w:type="pct"/>
            <w:shd w:val="clear" w:color="auto" w:fill="auto"/>
            <w:tcMar>
              <w:top w:w="57" w:type="dxa"/>
              <w:bottom w:w="57" w:type="dxa"/>
            </w:tcMar>
          </w:tcPr>
          <w:p w14:paraId="34F0B58D" w14:textId="339CD59D" w:rsidR="0058669B" w:rsidRDefault="0058669B" w:rsidP="0058669B">
            <w:pPr>
              <w:tabs>
                <w:tab w:val="center" w:pos="3152"/>
              </w:tabs>
              <w:rPr>
                <w:rFonts w:cs="Arial"/>
                <w:szCs w:val="19"/>
                <w:lang w:val="en-US"/>
              </w:rPr>
            </w:pPr>
            <w:r w:rsidRPr="00B4251E">
              <w:rPr>
                <w:rFonts w:cs="Arial"/>
                <w:szCs w:val="19"/>
                <w:lang w:val="en-US"/>
              </w:rPr>
              <w:t xml:space="preserve">Sickle cell disease </w:t>
            </w:r>
            <w:r w:rsidRPr="00B4251E">
              <w:rPr>
                <w:rFonts w:cs="Arial"/>
                <w:szCs w:val="19"/>
                <w:lang w:val="en-US"/>
              </w:rPr>
              <w:tab/>
              <w:t xml:space="preserve">in adults and children aged </w:t>
            </w:r>
            <w:r>
              <w:rPr>
                <w:rFonts w:cs="Arial"/>
                <w:szCs w:val="19"/>
                <w:lang w:val="en-US"/>
              </w:rPr>
              <w:t>≥</w:t>
            </w:r>
            <w:r w:rsidRPr="00B4251E">
              <w:rPr>
                <w:rFonts w:cs="Arial"/>
                <w:szCs w:val="19"/>
                <w:lang w:val="en-US"/>
              </w:rPr>
              <w:t>12 years</w:t>
            </w:r>
            <w:r>
              <w:rPr>
                <w:rFonts w:cs="Arial"/>
                <w:szCs w:val="19"/>
                <w:lang w:val="en-US"/>
              </w:rPr>
              <w:t xml:space="preserve"> </w:t>
            </w:r>
            <w:r w:rsidRPr="00B4251E">
              <w:rPr>
                <w:rFonts w:cs="Arial"/>
                <w:szCs w:val="19"/>
                <w:lang w:val="en-US"/>
              </w:rPr>
              <w:t>experiencing vaso-occlusive crises</w:t>
            </w:r>
            <w:r>
              <w:rPr>
                <w:rFonts w:cs="Arial"/>
                <w:szCs w:val="19"/>
                <w:lang w:val="en-US"/>
              </w:rPr>
              <w:t xml:space="preserve"> – development discontinued (lack of efficacy)</w:t>
            </w:r>
          </w:p>
        </w:tc>
      </w:tr>
      <w:tr w:rsidR="0058669B" w14:paraId="09838299" w14:textId="77777777" w:rsidTr="00EA4E49">
        <w:tc>
          <w:tcPr>
            <w:tcW w:w="1447" w:type="pct"/>
            <w:gridSpan w:val="3"/>
            <w:shd w:val="clear" w:color="auto" w:fill="auto"/>
            <w:tcMar>
              <w:top w:w="57" w:type="dxa"/>
              <w:bottom w:w="57" w:type="dxa"/>
            </w:tcMar>
          </w:tcPr>
          <w:p w14:paraId="538428D2" w14:textId="4D0917F8" w:rsidR="0058669B" w:rsidRPr="00A8368D" w:rsidRDefault="0058669B" w:rsidP="0058669B">
            <w:pPr>
              <w:rPr>
                <w:rFonts w:cs="Arial"/>
                <w:szCs w:val="19"/>
              </w:rPr>
            </w:pPr>
            <w:r>
              <w:rPr>
                <w:rFonts w:cs="Arial"/>
                <w:szCs w:val="19"/>
              </w:rPr>
              <w:t>Ivacaftor (</w:t>
            </w:r>
            <w:r>
              <w:rPr>
                <w:rFonts w:cs="Arial"/>
                <w:i/>
                <w:iCs/>
                <w:szCs w:val="19"/>
              </w:rPr>
              <w:t>Kalydeco</w:t>
            </w:r>
            <w:r>
              <w:rPr>
                <w:rFonts w:cs="Arial"/>
                <w:szCs w:val="19"/>
              </w:rPr>
              <w:t>)</w:t>
            </w:r>
          </w:p>
        </w:tc>
        <w:tc>
          <w:tcPr>
            <w:tcW w:w="3553" w:type="pct"/>
            <w:shd w:val="clear" w:color="auto" w:fill="auto"/>
            <w:tcMar>
              <w:top w:w="57" w:type="dxa"/>
              <w:bottom w:w="57" w:type="dxa"/>
            </w:tcMar>
          </w:tcPr>
          <w:p w14:paraId="101ED2A3" w14:textId="756BFBFF" w:rsidR="0058669B" w:rsidRDefault="0058669B" w:rsidP="0058669B">
            <w:pPr>
              <w:tabs>
                <w:tab w:val="center" w:pos="3152"/>
              </w:tabs>
              <w:rPr>
                <w:rFonts w:cs="Arial"/>
                <w:szCs w:val="19"/>
                <w:lang w:val="en-US"/>
              </w:rPr>
            </w:pPr>
            <w:r w:rsidRPr="00D12768">
              <w:rPr>
                <w:rFonts w:cs="Arial"/>
                <w:szCs w:val="19"/>
                <w:lang w:val="en-US"/>
              </w:rPr>
              <w:t xml:space="preserve">Cystic fibrosis in patients aged </w:t>
            </w:r>
            <w:r>
              <w:rPr>
                <w:rFonts w:cs="Arial"/>
                <w:szCs w:val="19"/>
                <w:lang w:val="en-US"/>
              </w:rPr>
              <w:t>≥</w:t>
            </w:r>
            <w:r w:rsidRPr="00D12768">
              <w:rPr>
                <w:rFonts w:cs="Arial"/>
                <w:szCs w:val="19"/>
                <w:lang w:val="en-US"/>
              </w:rPr>
              <w:t>2 years with rare mutations (and without a F508del mutation)</w:t>
            </w:r>
            <w:r>
              <w:rPr>
                <w:rFonts w:cs="Arial"/>
                <w:szCs w:val="19"/>
                <w:lang w:val="en-US"/>
              </w:rPr>
              <w:t>,</w:t>
            </w:r>
            <w:r w:rsidRPr="00D12768">
              <w:rPr>
                <w:rFonts w:cs="Arial"/>
                <w:szCs w:val="19"/>
                <w:lang w:val="en-US"/>
              </w:rPr>
              <w:t xml:space="preserve"> with </w:t>
            </w:r>
            <w:r w:rsidRPr="006F059F">
              <w:rPr>
                <w:rFonts w:cs="Arial"/>
                <w:szCs w:val="19"/>
                <w:lang w:val="en-US"/>
              </w:rPr>
              <w:t xml:space="preserve">ivacaftor + tezacaftor + elexacaftor </w:t>
            </w:r>
            <w:r>
              <w:rPr>
                <w:rFonts w:cs="Arial"/>
                <w:szCs w:val="19"/>
                <w:lang w:val="en-US"/>
              </w:rPr>
              <w:t>– UK development discontinued (company decision)</w:t>
            </w:r>
          </w:p>
        </w:tc>
      </w:tr>
      <w:tr w:rsidR="0058669B" w14:paraId="091389BE" w14:textId="77777777" w:rsidTr="00EA4E49">
        <w:tc>
          <w:tcPr>
            <w:tcW w:w="1447" w:type="pct"/>
            <w:gridSpan w:val="3"/>
            <w:shd w:val="clear" w:color="auto" w:fill="auto"/>
            <w:tcMar>
              <w:top w:w="57" w:type="dxa"/>
              <w:bottom w:w="57" w:type="dxa"/>
            </w:tcMar>
          </w:tcPr>
          <w:p w14:paraId="1535D0B8" w14:textId="709300AB" w:rsidR="0058669B" w:rsidRPr="00660B05" w:rsidRDefault="0058669B" w:rsidP="0058669B">
            <w:pPr>
              <w:rPr>
                <w:rFonts w:cs="Arial"/>
                <w:szCs w:val="19"/>
              </w:rPr>
            </w:pPr>
            <w:r w:rsidRPr="00D12768">
              <w:rPr>
                <w:rFonts w:cs="Arial"/>
                <w:szCs w:val="19"/>
              </w:rPr>
              <w:t>Ivacaftor + tezacaftor + elexacaftor (</w:t>
            </w:r>
            <w:r w:rsidRPr="00D12768">
              <w:rPr>
                <w:rFonts w:cs="Arial"/>
                <w:i/>
                <w:iCs/>
                <w:szCs w:val="19"/>
              </w:rPr>
              <w:t>Kaftrio</w:t>
            </w:r>
            <w:r w:rsidRPr="00D12768">
              <w:rPr>
                <w:rFonts w:cs="Arial"/>
                <w:szCs w:val="19"/>
              </w:rPr>
              <w:t>)</w:t>
            </w:r>
          </w:p>
        </w:tc>
        <w:tc>
          <w:tcPr>
            <w:tcW w:w="3553" w:type="pct"/>
            <w:shd w:val="clear" w:color="auto" w:fill="auto"/>
            <w:tcMar>
              <w:top w:w="57" w:type="dxa"/>
              <w:bottom w:w="57" w:type="dxa"/>
            </w:tcMar>
          </w:tcPr>
          <w:p w14:paraId="4C94F1F8" w14:textId="528D95FC" w:rsidR="0058669B" w:rsidRPr="008E641A" w:rsidRDefault="0058669B" w:rsidP="0058669B">
            <w:pPr>
              <w:tabs>
                <w:tab w:val="center" w:pos="3152"/>
              </w:tabs>
              <w:rPr>
                <w:rFonts w:cs="Arial"/>
                <w:szCs w:val="19"/>
                <w:lang w:val="en-US"/>
              </w:rPr>
            </w:pPr>
            <w:r w:rsidRPr="00D12768">
              <w:rPr>
                <w:rFonts w:cs="Arial"/>
                <w:szCs w:val="19"/>
                <w:lang w:val="en-US"/>
              </w:rPr>
              <w:t xml:space="preserve">Cystic fibrosis in patients aged </w:t>
            </w:r>
            <w:r>
              <w:rPr>
                <w:rFonts w:cs="Arial"/>
                <w:szCs w:val="19"/>
                <w:lang w:val="en-US"/>
              </w:rPr>
              <w:t>≥</w:t>
            </w:r>
            <w:r w:rsidRPr="00D12768">
              <w:rPr>
                <w:rFonts w:cs="Arial"/>
                <w:szCs w:val="19"/>
                <w:lang w:val="en-US"/>
              </w:rPr>
              <w:t>2 years with rare mutations (and without a F508del mutation)</w:t>
            </w:r>
            <w:r>
              <w:rPr>
                <w:rFonts w:cs="Arial"/>
                <w:szCs w:val="19"/>
                <w:lang w:val="en-US"/>
              </w:rPr>
              <w:t>,</w:t>
            </w:r>
            <w:r w:rsidRPr="00D12768">
              <w:rPr>
                <w:rFonts w:cs="Arial"/>
                <w:szCs w:val="19"/>
                <w:lang w:val="en-US"/>
              </w:rPr>
              <w:t xml:space="preserve"> with ivacaftor</w:t>
            </w:r>
            <w:r>
              <w:rPr>
                <w:rFonts w:cs="Arial"/>
                <w:szCs w:val="19"/>
                <w:lang w:val="en-US"/>
              </w:rPr>
              <w:t xml:space="preserve"> – UK development discontinued (company decision)</w:t>
            </w:r>
          </w:p>
        </w:tc>
      </w:tr>
      <w:tr w:rsidR="0058669B" w:rsidRPr="000F19E1" w14:paraId="0CE150C3" w14:textId="77777777" w:rsidTr="00EA4E49">
        <w:tc>
          <w:tcPr>
            <w:tcW w:w="1447" w:type="pct"/>
            <w:gridSpan w:val="3"/>
            <w:shd w:val="clear" w:color="auto" w:fill="auto"/>
            <w:tcMar>
              <w:top w:w="0" w:type="dxa"/>
              <w:bottom w:w="0" w:type="dxa"/>
            </w:tcMar>
          </w:tcPr>
          <w:p w14:paraId="69AD0765" w14:textId="77777777" w:rsidR="0058669B" w:rsidRPr="000F19E1" w:rsidRDefault="0058669B" w:rsidP="0058669B">
            <w:pPr>
              <w:rPr>
                <w:rFonts w:cs="Arial"/>
                <w:bCs/>
                <w:sz w:val="8"/>
                <w:szCs w:val="8"/>
              </w:rPr>
            </w:pPr>
          </w:p>
        </w:tc>
        <w:tc>
          <w:tcPr>
            <w:tcW w:w="3553" w:type="pct"/>
            <w:shd w:val="clear" w:color="auto" w:fill="auto"/>
            <w:tcMar>
              <w:top w:w="0" w:type="dxa"/>
              <w:bottom w:w="0" w:type="dxa"/>
            </w:tcMar>
          </w:tcPr>
          <w:p w14:paraId="2E018F40" w14:textId="77777777" w:rsidR="0058669B" w:rsidRPr="000F19E1" w:rsidRDefault="0058669B" w:rsidP="0058669B">
            <w:pPr>
              <w:tabs>
                <w:tab w:val="center" w:pos="3152"/>
              </w:tabs>
              <w:rPr>
                <w:rFonts w:cs="Arial"/>
                <w:sz w:val="8"/>
                <w:szCs w:val="8"/>
                <w:lang w:val="en-US"/>
              </w:rPr>
            </w:pPr>
          </w:p>
        </w:tc>
      </w:tr>
      <w:tr w:rsidR="0058669B" w:rsidRPr="000F19E1" w14:paraId="6CD253BC" w14:textId="77777777" w:rsidTr="00155BD9">
        <w:tc>
          <w:tcPr>
            <w:tcW w:w="1355" w:type="pct"/>
            <w:gridSpan w:val="2"/>
            <w:shd w:val="clear" w:color="auto" w:fill="DAEEF3"/>
            <w:tcMar>
              <w:top w:w="0" w:type="dxa"/>
              <w:bottom w:w="0" w:type="dxa"/>
            </w:tcMar>
          </w:tcPr>
          <w:p w14:paraId="3AE3F965" w14:textId="77777777" w:rsidR="0058669B" w:rsidRPr="000F19E1" w:rsidRDefault="0058669B" w:rsidP="0058669B">
            <w:pPr>
              <w:rPr>
                <w:rFonts w:cs="Arial"/>
                <w:bCs/>
                <w:sz w:val="8"/>
                <w:szCs w:val="8"/>
              </w:rPr>
            </w:pPr>
          </w:p>
        </w:tc>
        <w:tc>
          <w:tcPr>
            <w:tcW w:w="3645" w:type="pct"/>
            <w:gridSpan w:val="2"/>
            <w:shd w:val="clear" w:color="auto" w:fill="DAEEF3"/>
            <w:tcMar>
              <w:top w:w="0" w:type="dxa"/>
              <w:bottom w:w="0" w:type="dxa"/>
            </w:tcMar>
          </w:tcPr>
          <w:p w14:paraId="56E36624" w14:textId="77777777" w:rsidR="0058669B" w:rsidRPr="000F19E1" w:rsidRDefault="0058669B" w:rsidP="0058669B">
            <w:pPr>
              <w:tabs>
                <w:tab w:val="center" w:pos="3152"/>
              </w:tabs>
              <w:rPr>
                <w:rFonts w:cs="Arial"/>
                <w:sz w:val="8"/>
                <w:szCs w:val="8"/>
                <w:lang w:val="en-US"/>
              </w:rPr>
            </w:pPr>
          </w:p>
        </w:tc>
      </w:tr>
    </w:tbl>
    <w:p w14:paraId="5BE33946" w14:textId="77777777" w:rsidR="001A42CE" w:rsidRDefault="001A42CE">
      <w:pPr>
        <w:rPr>
          <w:sz w:val="18"/>
        </w:rPr>
      </w:pPr>
    </w:p>
    <w:p w14:paraId="37191483" w14:textId="77777777" w:rsidR="00A81694" w:rsidRDefault="00A81694">
      <w:pPr>
        <w:rPr>
          <w:sz w:val="18"/>
        </w:rPr>
      </w:pPr>
    </w:p>
    <w:p w14:paraId="5834B683" w14:textId="77777777" w:rsidR="00A75BCB" w:rsidRDefault="00A75BCB"/>
    <w:p w14:paraId="794AA005" w14:textId="77777777" w:rsidR="00A75BCB" w:rsidRDefault="00A75BCB"/>
    <w:p w14:paraId="3EE9D741" w14:textId="77777777" w:rsidR="006825BB" w:rsidRPr="008949EF" w:rsidRDefault="006825BB" w:rsidP="003D16EF">
      <w:pPr>
        <w:rPr>
          <w:sz w:val="8"/>
          <w:szCs w:val="8"/>
        </w:rPr>
      </w:pPr>
    </w:p>
    <w:sectPr w:rsidR="006825BB" w:rsidRPr="008949EF" w:rsidSect="00F566AB">
      <w:headerReference w:type="even" r:id="rId18"/>
      <w:headerReference w:type="default" r:id="rId19"/>
      <w:footerReference w:type="default" r:id="rId20"/>
      <w:headerReference w:type="first" r:id="rId21"/>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9CC1" w14:textId="77777777" w:rsidR="00DB4AF2" w:rsidRDefault="00DB4AF2">
      <w:r>
        <w:separator/>
      </w:r>
    </w:p>
  </w:endnote>
  <w:endnote w:type="continuationSeparator" w:id="0">
    <w:p w14:paraId="5CCA47E2" w14:textId="77777777" w:rsidR="00DB4AF2" w:rsidRDefault="00DB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710A1C" w14:paraId="3B584B25" w14:textId="77777777">
      <w:tc>
        <w:tcPr>
          <w:tcW w:w="10980" w:type="dxa"/>
          <w:shd w:val="clear" w:color="auto" w:fill="3366FF"/>
          <w:tcMar>
            <w:top w:w="28" w:type="dxa"/>
            <w:left w:w="57" w:type="dxa"/>
            <w:bottom w:w="28" w:type="dxa"/>
            <w:right w:w="57" w:type="dxa"/>
          </w:tcMar>
        </w:tcPr>
        <w:p w14:paraId="036B02D5" w14:textId="77777777" w:rsidR="000D44DB" w:rsidRPr="00710A1C" w:rsidRDefault="000D44DB" w:rsidP="00710A1C">
          <w:pPr>
            <w:spacing w:before="60" w:after="60"/>
            <w:ind w:right="57"/>
            <w:rPr>
              <w:rFonts w:ascii="Verdana" w:hAnsi="Verdana" w:cs="Arial"/>
              <w:b/>
              <w:bCs/>
              <w:color w:val="000080"/>
              <w:sz w:val="15"/>
              <w:szCs w:val="15"/>
              <w:lang w:val="en-US"/>
            </w:rPr>
          </w:pPr>
          <w:r w:rsidRPr="00710A1C">
            <w:rPr>
              <w:rFonts w:ascii="Verdana" w:hAnsi="Verdana" w:cs="Arial"/>
              <w:b/>
              <w:bCs/>
              <w:color w:val="FFFFFF"/>
              <w:sz w:val="15"/>
              <w:szCs w:val="15"/>
              <w:lang w:val="en-US"/>
            </w:rPr>
            <w:t xml:space="preserve">If you do not wish to continue receiving NDO </w:t>
          </w:r>
          <w:r w:rsidRPr="00710A1C">
            <w:rPr>
              <w:rFonts w:ascii="Verdana" w:hAnsi="Verdana" w:cs="Arial"/>
              <w:b/>
              <w:bCs/>
              <w:i/>
              <w:color w:val="FFFFFF"/>
              <w:sz w:val="15"/>
              <w:szCs w:val="15"/>
              <w:lang w:val="en-US"/>
            </w:rPr>
            <w:t>Newsletter</w:t>
          </w:r>
          <w:r w:rsidRPr="00710A1C">
            <w:rPr>
              <w:rFonts w:ascii="Verdana" w:hAnsi="Verdana" w:cs="Arial"/>
              <w:b/>
              <w:bCs/>
              <w:color w:val="FFFFFF"/>
              <w:sz w:val="15"/>
              <w:szCs w:val="15"/>
              <w:lang w:val="en-US"/>
            </w:rPr>
            <w:t xml:space="preserve"> log in and update your profile at </w:t>
          </w:r>
          <w:hyperlink r:id="rId1" w:history="1">
            <w:r w:rsidRPr="00710A1C">
              <w:rPr>
                <w:rStyle w:val="Hyperlink"/>
                <w:rFonts w:cs="Arial"/>
                <w:b/>
                <w:bCs/>
                <w:color w:val="FFFFFF"/>
                <w:sz w:val="15"/>
                <w:szCs w:val="15"/>
                <w:lang w:val="en-US"/>
              </w:rPr>
              <w:t>www.ukmi.nhs.uk/ndo</w:t>
            </w:r>
          </w:hyperlink>
        </w:p>
      </w:tc>
    </w:tr>
    <w:tr w:rsidR="000D44DB" w14:paraId="65DB4DD4" w14:textId="77777777">
      <w:tc>
        <w:tcPr>
          <w:tcW w:w="10980" w:type="dxa"/>
          <w:shd w:val="clear" w:color="auto" w:fill="auto"/>
          <w:tcMar>
            <w:left w:w="28" w:type="dxa"/>
            <w:right w:w="28" w:type="dxa"/>
          </w:tcMar>
        </w:tcPr>
        <w:p w14:paraId="454792E6" w14:textId="77777777" w:rsidR="000D44DB" w:rsidRPr="00710A1C" w:rsidRDefault="000D44DB" w:rsidP="00710A1C">
          <w:pPr>
            <w:spacing w:before="120" w:after="60"/>
            <w:ind w:left="57" w:right="57"/>
            <w:rPr>
              <w:sz w:val="15"/>
              <w:szCs w:val="15"/>
            </w:rPr>
          </w:pPr>
          <w:r w:rsidRPr="00710A1C">
            <w:rPr>
              <w:rFonts w:ascii="Verdana" w:hAnsi="Verdana" w:cs="Arial"/>
              <w:b/>
              <w:bCs/>
              <w:color w:val="333399"/>
              <w:sz w:val="15"/>
              <w:szCs w:val="15"/>
              <w:lang w:val="en-US"/>
            </w:rPr>
            <w:t>In September 2011</w:t>
          </w:r>
          <w:r w:rsidRPr="00710A1C">
            <w:rPr>
              <w:rFonts w:ascii="Verdana" w:hAnsi="Verdana" w:cs="Arial"/>
              <w:bCs/>
              <w:color w:val="000000"/>
              <w:sz w:val="15"/>
              <w:szCs w:val="15"/>
              <w:lang w:val="en-US"/>
            </w:rPr>
            <w:t xml:space="preserve"> </w:t>
          </w:r>
          <w:r w:rsidRPr="00710A1C">
            <w:rPr>
              <w:rFonts w:ascii="Verdana" w:hAnsi="Verdana" w:cs="Arial"/>
              <w:b/>
              <w:bCs/>
              <w:color w:val="000000"/>
              <w:sz w:val="15"/>
              <w:szCs w:val="15"/>
              <w:lang w:val="en-US"/>
            </w:rPr>
            <w:t>| 229 monographs updated | 14 evidence-based evaluations added | 2,200 registered NDO users</w:t>
          </w:r>
        </w:p>
      </w:tc>
    </w:tr>
  </w:tbl>
  <w:p w14:paraId="2945BAC6" w14:textId="77777777" w:rsidR="000D44DB"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71974970" w14:textId="77777777" w:rsidTr="001734BF">
      <w:trPr>
        <w:trHeight w:val="262"/>
      </w:trPr>
      <w:tc>
        <w:tcPr>
          <w:tcW w:w="10774" w:type="dxa"/>
          <w:shd w:val="clear" w:color="auto" w:fill="0070C0"/>
          <w:tcMar>
            <w:top w:w="28" w:type="dxa"/>
            <w:left w:w="57" w:type="dxa"/>
            <w:bottom w:w="28" w:type="dxa"/>
            <w:right w:w="57" w:type="dxa"/>
          </w:tcMar>
        </w:tcPr>
        <w:p w14:paraId="6E2737DF"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25232E93" w14:textId="77777777" w:rsidTr="001734BF">
      <w:trPr>
        <w:trHeight w:val="331"/>
      </w:trPr>
      <w:tc>
        <w:tcPr>
          <w:tcW w:w="10774" w:type="dxa"/>
          <w:shd w:val="clear" w:color="auto" w:fill="DAEEF3"/>
          <w:tcMar>
            <w:left w:w="28" w:type="dxa"/>
            <w:right w:w="28" w:type="dxa"/>
          </w:tcMar>
        </w:tcPr>
        <w:p w14:paraId="53E94F63"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w:t>
          </w:r>
          <w:proofErr w:type="spellStart"/>
          <w:r w:rsidRPr="00114EBA">
            <w:rPr>
              <w:rFonts w:cs="Arial"/>
              <w:bCs/>
              <w:color w:val="000000"/>
              <w:sz w:val="17"/>
              <w:szCs w:val="17"/>
              <w:lang w:val="en-US"/>
            </w:rPr>
            <w:t>organisations</w:t>
          </w:r>
          <w:proofErr w:type="spellEnd"/>
          <w:r w:rsidRPr="00114EBA">
            <w:rPr>
              <w:rFonts w:cs="Arial"/>
              <w:bCs/>
              <w:color w:val="000000"/>
              <w:sz w:val="17"/>
              <w:szCs w:val="17"/>
              <w:lang w:val="en-US"/>
            </w:rPr>
            <w:t xml:space="preserve"> develop medicines management policies and to inform prescribing decisions when a product has been launched. </w:t>
          </w:r>
        </w:p>
        <w:p w14:paraId="389772FD"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51BE8F00" w14:textId="77777777" w:rsidR="000D44DB"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1C53F907" w14:textId="77777777" w:rsidTr="001734BF">
      <w:trPr>
        <w:trHeight w:val="262"/>
      </w:trPr>
      <w:tc>
        <w:tcPr>
          <w:tcW w:w="10774" w:type="dxa"/>
          <w:shd w:val="clear" w:color="auto" w:fill="0070C0"/>
          <w:tcMar>
            <w:top w:w="28" w:type="dxa"/>
            <w:left w:w="57" w:type="dxa"/>
            <w:bottom w:w="28" w:type="dxa"/>
            <w:right w:w="57" w:type="dxa"/>
          </w:tcMar>
        </w:tcPr>
        <w:p w14:paraId="4873C4DC"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3B5D6DF0" w14:textId="77777777" w:rsidTr="001734BF">
      <w:trPr>
        <w:trHeight w:val="331"/>
      </w:trPr>
      <w:tc>
        <w:tcPr>
          <w:tcW w:w="10774" w:type="dxa"/>
          <w:shd w:val="clear" w:color="auto" w:fill="DAEEF3"/>
          <w:tcMar>
            <w:left w:w="28" w:type="dxa"/>
            <w:right w:w="28" w:type="dxa"/>
          </w:tcMar>
        </w:tcPr>
        <w:p w14:paraId="5C85317F"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w:t>
          </w:r>
          <w:proofErr w:type="spellStart"/>
          <w:r w:rsidRPr="00114EBA">
            <w:rPr>
              <w:rFonts w:cs="Arial"/>
              <w:bCs/>
              <w:color w:val="000000"/>
              <w:sz w:val="17"/>
              <w:szCs w:val="17"/>
              <w:lang w:val="en-US"/>
            </w:rPr>
            <w:t>organisations</w:t>
          </w:r>
          <w:proofErr w:type="spellEnd"/>
          <w:r w:rsidRPr="00114EBA">
            <w:rPr>
              <w:rFonts w:cs="Arial"/>
              <w:bCs/>
              <w:color w:val="000000"/>
              <w:sz w:val="17"/>
              <w:szCs w:val="17"/>
              <w:lang w:val="en-US"/>
            </w:rPr>
            <w:t xml:space="preserve"> develop medicines management policies and to inform prescribing decisions when a product has been launched. </w:t>
          </w:r>
        </w:p>
        <w:p w14:paraId="7CC8B890"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0A4F7352" w14:textId="77777777" w:rsidR="000D44DB" w:rsidRPr="00862949" w:rsidRDefault="000D44DB" w:rsidP="00F95449">
    <w:pPr>
      <w:spacing w:before="60" w:after="60"/>
      <w:ind w:left="57" w:right="57"/>
      <w:jc w:val="center"/>
      <w:rPr>
        <w:rFonts w:cs="Arial"/>
        <w:bCs/>
        <w:color w:val="333399"/>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57FD" w14:textId="77777777" w:rsidR="00DB4AF2" w:rsidRDefault="00DB4AF2">
      <w:r>
        <w:separator/>
      </w:r>
    </w:p>
  </w:footnote>
  <w:footnote w:type="continuationSeparator" w:id="0">
    <w:p w14:paraId="603E962E" w14:textId="77777777" w:rsidR="00DB4AF2" w:rsidRDefault="00DB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1D68" w14:textId="1CBCB05E" w:rsidR="000D44DB" w:rsidRPr="00CD021E"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7216" behindDoc="1" locked="0" layoutInCell="1" allowOverlap="1" wp14:anchorId="7B6A2614" wp14:editId="3243CB72">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6DE0A9C1" wp14:editId="5EDD4D0B">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AE1899E" wp14:editId="69695E71">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CD021E">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AF6" w14:textId="0DC6D6A0" w:rsidR="000D44DB" w:rsidRPr="00CD021E"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Pr>
        <w:noProof/>
        <w:color w:val="00B050"/>
        <w:sz w:val="32"/>
        <w:szCs w:val="32"/>
      </w:rPr>
      <w:drawing>
        <wp:anchor distT="0" distB="0" distL="114300" distR="114300" simplePos="0" relativeHeight="251654144" behindDoc="0" locked="0" layoutInCell="1" allowOverlap="1" wp14:anchorId="0A59128F" wp14:editId="1629B4F2">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38B33" w14:textId="77777777" w:rsidR="000D44DB" w:rsidRPr="00CD021E"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562CE4">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74624" behindDoc="0" locked="0" layoutInCell="1" allowOverlap="1" wp14:anchorId="3C5D2692" wp14:editId="5C9D867B">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562CE4">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CB5BC1">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CD021E" w14:paraId="2A3636A0" w14:textId="77777777" w:rsidTr="002772ED">
      <w:tc>
        <w:tcPr>
          <w:tcW w:w="10774" w:type="dxa"/>
          <w:tcBorders>
            <w:top w:val="nil"/>
            <w:left w:val="nil"/>
            <w:bottom w:val="nil"/>
            <w:right w:val="nil"/>
          </w:tcBorders>
          <w:shd w:val="clear" w:color="auto" w:fill="DAEEF3"/>
        </w:tcPr>
        <w:p w14:paraId="45500756" w14:textId="36EC1A02" w:rsidR="000D44DB" w:rsidRPr="00CD021E" w:rsidRDefault="00AF6126" w:rsidP="00EB3E6F">
          <w:pPr>
            <w:pStyle w:val="Header"/>
            <w:spacing w:before="60" w:after="60"/>
            <w:rPr>
              <w:rFonts w:cs="Arial"/>
              <w:b/>
              <w:bCs/>
              <w:color w:val="000000"/>
              <w:sz w:val="36"/>
              <w:szCs w:val="36"/>
              <w14:shadow w14:blurRad="50800" w14:dist="38100" w14:dir="2700000" w14:sx="100000" w14:sy="100000" w14:kx="0" w14:ky="0" w14:algn="tl">
                <w14:srgbClr w14:val="000000">
                  <w14:alpha w14:val="60000"/>
                </w14:srgbClr>
              </w14:shadow>
            </w:rPr>
          </w:pPr>
          <w:r>
            <w:rPr>
              <w:rFonts w:cs="Arial"/>
              <w:b/>
              <w:bCs/>
              <w:color w:val="0070C0"/>
              <w:sz w:val="36"/>
              <w:szCs w:val="36"/>
              <w14:shadow w14:blurRad="50800" w14:dist="38100" w14:dir="2700000" w14:sx="100000" w14:sy="100000" w14:kx="0" w14:ky="0" w14:algn="tl">
                <w14:srgbClr w14:val="000000">
                  <w14:alpha w14:val="60000"/>
                </w14:srgbClr>
              </w14:shadow>
            </w:rPr>
            <w:t>August</w:t>
          </w:r>
          <w:r w:rsidR="00A75BCB">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532402">
            <w:rPr>
              <w:rFonts w:cs="Arial"/>
              <w:b/>
              <w:bCs/>
              <w:color w:val="0070C0"/>
              <w:sz w:val="36"/>
              <w:szCs w:val="36"/>
              <w14:shadow w14:blurRad="50800" w14:dist="38100" w14:dir="2700000" w14:sx="100000" w14:sy="100000" w14:kx="0" w14:ky="0" w14:algn="tl">
                <w14:srgbClr w14:val="000000">
                  <w14:alpha w14:val="60000"/>
                </w14:srgbClr>
              </w14:shadow>
            </w:rPr>
            <w:t>5</w:t>
          </w:r>
        </w:p>
      </w:tc>
    </w:tr>
    <w:tr w:rsidR="000D44DB" w:rsidRPr="00CD021E" w14:paraId="603F45D6" w14:textId="77777777" w:rsidTr="002772ED">
      <w:tc>
        <w:tcPr>
          <w:tcW w:w="10774" w:type="dxa"/>
          <w:tcBorders>
            <w:top w:val="nil"/>
            <w:left w:val="nil"/>
            <w:bottom w:val="nil"/>
            <w:right w:val="nil"/>
          </w:tcBorders>
          <w:shd w:val="clear" w:color="auto" w:fill="0070C0"/>
        </w:tcPr>
        <w:p w14:paraId="7CDA5D6E" w14:textId="77777777" w:rsidR="000D44DB" w:rsidRPr="00CD021E"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CD021E">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CD021E" w14:paraId="6A6195DD" w14:textId="77777777" w:rsidTr="002772ED">
      <w:tc>
        <w:tcPr>
          <w:tcW w:w="10774" w:type="dxa"/>
          <w:tcBorders>
            <w:top w:val="nil"/>
            <w:left w:val="nil"/>
            <w:bottom w:val="nil"/>
            <w:right w:val="nil"/>
          </w:tcBorders>
          <w:shd w:val="clear" w:color="auto" w:fill="DAEEF3"/>
        </w:tcPr>
        <w:p w14:paraId="76670CC3" w14:textId="77777777" w:rsidR="000D44DB" w:rsidRPr="00C315D6" w:rsidRDefault="00885CAE" w:rsidP="00CB6344">
          <w:pPr>
            <w:pStyle w:val="Header"/>
            <w:tabs>
              <w:tab w:val="clear" w:pos="4153"/>
              <w:tab w:val="clear" w:pos="8306"/>
              <w:tab w:val="left" w:pos="2197"/>
            </w:tabs>
            <w:spacing w:before="120" w:after="120"/>
            <w:rPr>
              <w:rFonts w:cs="Arial"/>
              <w:b/>
              <w:bCs/>
              <w:color w:val="0070C0"/>
              <w:sz w:val="18"/>
              <w:szCs w:val="18"/>
            </w:rPr>
          </w:pPr>
          <w:r w:rsidRPr="009B0BCE">
            <w:rPr>
              <w:rFonts w:cs="Arial"/>
              <w:b/>
              <w:bCs/>
              <w:color w:val="0070C0"/>
              <w:sz w:val="18"/>
              <w:szCs w:val="18"/>
            </w:rPr>
            <w:t xml:space="preserve">This newsletter is produced by </w:t>
          </w:r>
          <w:hyperlink r:id="rId3" w:history="1">
            <w:r w:rsidRPr="00551321">
              <w:rPr>
                <w:rStyle w:val="Hyperlink"/>
                <w:rFonts w:ascii="Arial" w:hAnsi="Arial" w:cs="Arial"/>
                <w:b/>
                <w:bCs/>
              </w:rPr>
              <w:t xml:space="preserve">SPS </w:t>
            </w:r>
            <w:r w:rsidR="003C4624">
              <w:rPr>
                <w:rStyle w:val="Hyperlink"/>
                <w:rFonts w:ascii="Arial" w:hAnsi="Arial" w:cs="Arial"/>
                <w:b/>
                <w:bCs/>
              </w:rPr>
              <w:t>H</w:t>
            </w:r>
            <w:r w:rsidRPr="00551321">
              <w:rPr>
                <w:rStyle w:val="Hyperlink"/>
                <w:rFonts w:ascii="Arial" w:hAnsi="Arial" w:cs="Arial"/>
                <w:b/>
                <w:bCs/>
              </w:rPr>
              <w:t xml:space="preserve">orizon </w:t>
            </w:r>
            <w:r w:rsidR="003C4624">
              <w:rPr>
                <w:rStyle w:val="Hyperlink"/>
                <w:rFonts w:ascii="Arial" w:hAnsi="Arial" w:cs="Arial"/>
                <w:b/>
                <w:bCs/>
              </w:rPr>
              <w:t>S</w:t>
            </w:r>
            <w:r w:rsidRPr="00551321">
              <w:rPr>
                <w:rStyle w:val="Hyperlink"/>
                <w:rFonts w:ascii="Arial" w:hAnsi="Arial" w:cs="Arial"/>
                <w:b/>
                <w:bCs/>
              </w:rPr>
              <w:t>canning</w:t>
            </w:r>
          </w:hyperlink>
          <w:r w:rsidRPr="009B0BCE">
            <w:rPr>
              <w:rFonts w:cs="Arial"/>
              <w:b/>
              <w:bCs/>
              <w:color w:val="0070C0"/>
              <w:sz w:val="18"/>
              <w:szCs w:val="18"/>
            </w:rPr>
            <w:t xml:space="preserve"> and highlights recent</w:t>
          </w:r>
          <w:r>
            <w:rPr>
              <w:rFonts w:cs="Arial"/>
              <w:b/>
              <w:bCs/>
              <w:color w:val="0070C0"/>
              <w:sz w:val="18"/>
              <w:szCs w:val="18"/>
            </w:rPr>
            <w:t xml:space="preserve"> new product launches and </w:t>
          </w:r>
          <w:r w:rsidRPr="009B0BCE">
            <w:rPr>
              <w:rFonts w:cs="Arial"/>
              <w:b/>
              <w:bCs/>
              <w:color w:val="0070C0"/>
              <w:sz w:val="18"/>
              <w:szCs w:val="18"/>
            </w:rPr>
            <w:t xml:space="preserve">medicines regulatory changes. More detailed information on medicines </w:t>
          </w:r>
          <w:r>
            <w:rPr>
              <w:rFonts w:cs="Arial"/>
              <w:b/>
              <w:bCs/>
              <w:color w:val="0070C0"/>
              <w:sz w:val="18"/>
              <w:szCs w:val="18"/>
            </w:rPr>
            <w:t>estimated</w:t>
          </w:r>
          <w:r w:rsidRPr="009B0BCE">
            <w:rPr>
              <w:rFonts w:cs="Arial"/>
              <w:b/>
              <w:bCs/>
              <w:color w:val="0070C0"/>
              <w:sz w:val="18"/>
              <w:szCs w:val="18"/>
            </w:rPr>
            <w:t xml:space="preserve"> to </w:t>
          </w:r>
          <w:r>
            <w:rPr>
              <w:rFonts w:cs="Arial"/>
              <w:b/>
              <w:bCs/>
              <w:color w:val="0070C0"/>
              <w:sz w:val="18"/>
              <w:szCs w:val="18"/>
            </w:rPr>
            <w:t>become available for use</w:t>
          </w:r>
          <w:r w:rsidRPr="009B0BCE">
            <w:rPr>
              <w:rFonts w:cs="Arial"/>
              <w:b/>
              <w:bCs/>
              <w:color w:val="0070C0"/>
              <w:sz w:val="18"/>
              <w:szCs w:val="18"/>
            </w:rPr>
            <w:t xml:space="preserve"> in the next 2</w:t>
          </w:r>
          <w:r>
            <w:rPr>
              <w:rFonts w:cs="Arial"/>
              <w:b/>
              <w:bCs/>
              <w:color w:val="0070C0"/>
              <w:sz w:val="18"/>
              <w:szCs w:val="18"/>
            </w:rPr>
            <w:t xml:space="preserve"> financial years</w:t>
          </w:r>
          <w:r w:rsidRPr="009B0BCE">
            <w:rPr>
              <w:rFonts w:cs="Arial"/>
              <w:b/>
              <w:bCs/>
              <w:color w:val="0070C0"/>
              <w:sz w:val="18"/>
              <w:szCs w:val="18"/>
            </w:rPr>
            <w:t xml:space="preserve"> and on marketed medicines expected to have major new indications approved</w:t>
          </w:r>
          <w:r>
            <w:rPr>
              <w:rFonts w:cs="Arial"/>
              <w:b/>
              <w:bCs/>
              <w:color w:val="0070C0"/>
              <w:sz w:val="18"/>
              <w:szCs w:val="18"/>
            </w:rPr>
            <w:t xml:space="preserve"> is</w:t>
          </w:r>
          <w:r w:rsidRPr="009B0BCE">
            <w:rPr>
              <w:rFonts w:cs="Arial"/>
              <w:b/>
              <w:bCs/>
              <w:color w:val="0070C0"/>
              <w:sz w:val="18"/>
              <w:szCs w:val="18"/>
            </w:rPr>
            <w:t xml:space="preserve"> in </w:t>
          </w:r>
          <w:hyperlink r:id="rId4" w:history="1">
            <w:r w:rsidRPr="009B0BCE">
              <w:rPr>
                <w:rStyle w:val="Hyperlink"/>
                <w:rFonts w:ascii="Arial" w:hAnsi="Arial" w:cs="Arial"/>
                <w:b/>
                <w:bCs/>
              </w:rPr>
              <w:t>Prescribing Outlook</w:t>
            </w:r>
          </w:hyperlink>
          <w:r w:rsidRPr="009B0BCE">
            <w:rPr>
              <w:rFonts w:cs="Arial"/>
              <w:b/>
              <w:bCs/>
              <w:color w:val="0070C0"/>
              <w:sz w:val="18"/>
              <w:szCs w:val="18"/>
            </w:rPr>
            <w:t>.</w:t>
          </w:r>
        </w:p>
      </w:tc>
    </w:tr>
  </w:tbl>
  <w:p w14:paraId="3CBF3765" w14:textId="77777777" w:rsidR="000D44DB" w:rsidRPr="00CD021E"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9294" w14:textId="0882CB44" w:rsidR="0090527B"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2FBB" w14:textId="30B97F30" w:rsidR="0090527B"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7C2F" w14:textId="57511A32" w:rsidR="000D44DB" w:rsidRPr="00CD021E"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CB5BC1">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76672" behindDoc="0" locked="0" layoutInCell="1" allowOverlap="1" wp14:anchorId="2C19A982" wp14:editId="6F88A994">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CB5BC1">
      <w:rPr>
        <w:rFonts w:cs="Arial"/>
        <w:noProof/>
        <w:color w:val="008A3E"/>
        <w:sz w:val="40"/>
        <w:szCs w:val="40"/>
      </w:rPr>
      <w:drawing>
        <wp:anchor distT="0" distB="0" distL="114300" distR="114300" simplePos="0" relativeHeight="251658240" behindDoc="0" locked="0" layoutInCell="1" allowOverlap="1" wp14:anchorId="68DE8C4C" wp14:editId="3CB9316D">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CB5BC1">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CD021E">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41D0" w14:textId="20246EC0" w:rsidR="0090527B"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66pt;height:499.2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26"/>
    <w:rsid w:val="0000035C"/>
    <w:rsid w:val="000005B6"/>
    <w:rsid w:val="000005EF"/>
    <w:rsid w:val="00000A0A"/>
    <w:rsid w:val="00000BE4"/>
    <w:rsid w:val="00000F87"/>
    <w:rsid w:val="0000199C"/>
    <w:rsid w:val="00001F19"/>
    <w:rsid w:val="0000290B"/>
    <w:rsid w:val="00002A08"/>
    <w:rsid w:val="00003329"/>
    <w:rsid w:val="00003421"/>
    <w:rsid w:val="000034B3"/>
    <w:rsid w:val="00003C95"/>
    <w:rsid w:val="00003D95"/>
    <w:rsid w:val="000042E9"/>
    <w:rsid w:val="00005014"/>
    <w:rsid w:val="00005119"/>
    <w:rsid w:val="00005271"/>
    <w:rsid w:val="000052F0"/>
    <w:rsid w:val="00005673"/>
    <w:rsid w:val="00005703"/>
    <w:rsid w:val="000057D2"/>
    <w:rsid w:val="00005CE9"/>
    <w:rsid w:val="00006527"/>
    <w:rsid w:val="000065F4"/>
    <w:rsid w:val="000072EC"/>
    <w:rsid w:val="0000751E"/>
    <w:rsid w:val="000075ED"/>
    <w:rsid w:val="0000769C"/>
    <w:rsid w:val="000102A1"/>
    <w:rsid w:val="000102E8"/>
    <w:rsid w:val="00010447"/>
    <w:rsid w:val="0001067C"/>
    <w:rsid w:val="00010B1D"/>
    <w:rsid w:val="00011176"/>
    <w:rsid w:val="000111C5"/>
    <w:rsid w:val="000114B1"/>
    <w:rsid w:val="00011D4B"/>
    <w:rsid w:val="00011E5B"/>
    <w:rsid w:val="00012B74"/>
    <w:rsid w:val="00012BA7"/>
    <w:rsid w:val="00012DCA"/>
    <w:rsid w:val="00012E19"/>
    <w:rsid w:val="00012E28"/>
    <w:rsid w:val="000132A0"/>
    <w:rsid w:val="00013575"/>
    <w:rsid w:val="000135BF"/>
    <w:rsid w:val="00013853"/>
    <w:rsid w:val="00013B16"/>
    <w:rsid w:val="00013CD9"/>
    <w:rsid w:val="00013E21"/>
    <w:rsid w:val="00014028"/>
    <w:rsid w:val="00014115"/>
    <w:rsid w:val="00014240"/>
    <w:rsid w:val="0001441B"/>
    <w:rsid w:val="00014631"/>
    <w:rsid w:val="00014657"/>
    <w:rsid w:val="000148ED"/>
    <w:rsid w:val="00014AFE"/>
    <w:rsid w:val="00015455"/>
    <w:rsid w:val="000158C2"/>
    <w:rsid w:val="00015915"/>
    <w:rsid w:val="000159C6"/>
    <w:rsid w:val="00015A48"/>
    <w:rsid w:val="00015B43"/>
    <w:rsid w:val="000165BE"/>
    <w:rsid w:val="000166D7"/>
    <w:rsid w:val="0001685D"/>
    <w:rsid w:val="0001694F"/>
    <w:rsid w:val="00016C87"/>
    <w:rsid w:val="00016CDC"/>
    <w:rsid w:val="00016E17"/>
    <w:rsid w:val="000171BC"/>
    <w:rsid w:val="000173BA"/>
    <w:rsid w:val="0001791D"/>
    <w:rsid w:val="00017CA2"/>
    <w:rsid w:val="00017D66"/>
    <w:rsid w:val="00020261"/>
    <w:rsid w:val="000202B3"/>
    <w:rsid w:val="000202FE"/>
    <w:rsid w:val="000203F6"/>
    <w:rsid w:val="000207FB"/>
    <w:rsid w:val="00020D00"/>
    <w:rsid w:val="0002143C"/>
    <w:rsid w:val="0002181A"/>
    <w:rsid w:val="000225BB"/>
    <w:rsid w:val="000225EE"/>
    <w:rsid w:val="0002265E"/>
    <w:rsid w:val="0002269F"/>
    <w:rsid w:val="00022775"/>
    <w:rsid w:val="0002291B"/>
    <w:rsid w:val="000229C8"/>
    <w:rsid w:val="00022CCE"/>
    <w:rsid w:val="00022FB9"/>
    <w:rsid w:val="0002372C"/>
    <w:rsid w:val="00023B87"/>
    <w:rsid w:val="00023C99"/>
    <w:rsid w:val="00023E2E"/>
    <w:rsid w:val="00023FBB"/>
    <w:rsid w:val="00025142"/>
    <w:rsid w:val="00025A1E"/>
    <w:rsid w:val="00025AD9"/>
    <w:rsid w:val="00025B8F"/>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E87"/>
    <w:rsid w:val="00031218"/>
    <w:rsid w:val="00031336"/>
    <w:rsid w:val="00031909"/>
    <w:rsid w:val="00031964"/>
    <w:rsid w:val="00031E46"/>
    <w:rsid w:val="000320DC"/>
    <w:rsid w:val="000322AB"/>
    <w:rsid w:val="000327BA"/>
    <w:rsid w:val="00032BD9"/>
    <w:rsid w:val="0003313C"/>
    <w:rsid w:val="00033349"/>
    <w:rsid w:val="0003344C"/>
    <w:rsid w:val="000341CF"/>
    <w:rsid w:val="0003447E"/>
    <w:rsid w:val="0003499B"/>
    <w:rsid w:val="00034BCE"/>
    <w:rsid w:val="00034E8C"/>
    <w:rsid w:val="00035436"/>
    <w:rsid w:val="0003552B"/>
    <w:rsid w:val="00035B23"/>
    <w:rsid w:val="00035CA7"/>
    <w:rsid w:val="00035D82"/>
    <w:rsid w:val="00035DBD"/>
    <w:rsid w:val="00036A16"/>
    <w:rsid w:val="000372F1"/>
    <w:rsid w:val="000373F3"/>
    <w:rsid w:val="0003742D"/>
    <w:rsid w:val="000374FF"/>
    <w:rsid w:val="000375C8"/>
    <w:rsid w:val="000378F6"/>
    <w:rsid w:val="000379EB"/>
    <w:rsid w:val="00037AE9"/>
    <w:rsid w:val="00037BAB"/>
    <w:rsid w:val="00037BE4"/>
    <w:rsid w:val="00040013"/>
    <w:rsid w:val="0004019A"/>
    <w:rsid w:val="000401A1"/>
    <w:rsid w:val="00040734"/>
    <w:rsid w:val="00040B83"/>
    <w:rsid w:val="00040CA3"/>
    <w:rsid w:val="000416FC"/>
    <w:rsid w:val="00041AC8"/>
    <w:rsid w:val="00041BDC"/>
    <w:rsid w:val="0004243E"/>
    <w:rsid w:val="000427D5"/>
    <w:rsid w:val="00042CCD"/>
    <w:rsid w:val="00043342"/>
    <w:rsid w:val="000435DE"/>
    <w:rsid w:val="00043A2D"/>
    <w:rsid w:val="00043ED2"/>
    <w:rsid w:val="00044148"/>
    <w:rsid w:val="00044204"/>
    <w:rsid w:val="00044475"/>
    <w:rsid w:val="00044C33"/>
    <w:rsid w:val="000452E2"/>
    <w:rsid w:val="00045745"/>
    <w:rsid w:val="0004575D"/>
    <w:rsid w:val="000457B4"/>
    <w:rsid w:val="00045D5B"/>
    <w:rsid w:val="00045DDF"/>
    <w:rsid w:val="0004601F"/>
    <w:rsid w:val="00046375"/>
    <w:rsid w:val="00046777"/>
    <w:rsid w:val="00046C42"/>
    <w:rsid w:val="00046CCE"/>
    <w:rsid w:val="0004702B"/>
    <w:rsid w:val="0004733A"/>
    <w:rsid w:val="00047608"/>
    <w:rsid w:val="00050249"/>
    <w:rsid w:val="000507C3"/>
    <w:rsid w:val="0005088D"/>
    <w:rsid w:val="00050920"/>
    <w:rsid w:val="0005105D"/>
    <w:rsid w:val="000515F0"/>
    <w:rsid w:val="00051791"/>
    <w:rsid w:val="000518A6"/>
    <w:rsid w:val="000519EA"/>
    <w:rsid w:val="00051B61"/>
    <w:rsid w:val="00051F32"/>
    <w:rsid w:val="000523FE"/>
    <w:rsid w:val="00052436"/>
    <w:rsid w:val="000529B6"/>
    <w:rsid w:val="00052AD4"/>
    <w:rsid w:val="00052BA6"/>
    <w:rsid w:val="00053F21"/>
    <w:rsid w:val="00054462"/>
    <w:rsid w:val="0005460C"/>
    <w:rsid w:val="00056696"/>
    <w:rsid w:val="000566A1"/>
    <w:rsid w:val="00056809"/>
    <w:rsid w:val="00056DB0"/>
    <w:rsid w:val="000570FC"/>
    <w:rsid w:val="0005783A"/>
    <w:rsid w:val="00057C03"/>
    <w:rsid w:val="00057FA2"/>
    <w:rsid w:val="0006026C"/>
    <w:rsid w:val="0006036B"/>
    <w:rsid w:val="00060AC6"/>
    <w:rsid w:val="00060BB0"/>
    <w:rsid w:val="0006109A"/>
    <w:rsid w:val="0006141D"/>
    <w:rsid w:val="00061A5F"/>
    <w:rsid w:val="00061B9D"/>
    <w:rsid w:val="00061FEF"/>
    <w:rsid w:val="00062740"/>
    <w:rsid w:val="00062834"/>
    <w:rsid w:val="00062B47"/>
    <w:rsid w:val="00062F98"/>
    <w:rsid w:val="0006320B"/>
    <w:rsid w:val="00063666"/>
    <w:rsid w:val="0006387B"/>
    <w:rsid w:val="00063C19"/>
    <w:rsid w:val="000646B3"/>
    <w:rsid w:val="00064C77"/>
    <w:rsid w:val="00064E8C"/>
    <w:rsid w:val="00064EB7"/>
    <w:rsid w:val="00064EF7"/>
    <w:rsid w:val="0006514E"/>
    <w:rsid w:val="000652C1"/>
    <w:rsid w:val="00065458"/>
    <w:rsid w:val="00066145"/>
    <w:rsid w:val="0006622F"/>
    <w:rsid w:val="00066787"/>
    <w:rsid w:val="00066A42"/>
    <w:rsid w:val="00066B48"/>
    <w:rsid w:val="00067279"/>
    <w:rsid w:val="000672F8"/>
    <w:rsid w:val="0006730B"/>
    <w:rsid w:val="00067942"/>
    <w:rsid w:val="00067D4E"/>
    <w:rsid w:val="00067D5B"/>
    <w:rsid w:val="000702DB"/>
    <w:rsid w:val="00070948"/>
    <w:rsid w:val="00070A7A"/>
    <w:rsid w:val="00071178"/>
    <w:rsid w:val="0007155B"/>
    <w:rsid w:val="000719B7"/>
    <w:rsid w:val="00071A86"/>
    <w:rsid w:val="00071BD9"/>
    <w:rsid w:val="00071DB1"/>
    <w:rsid w:val="0007203F"/>
    <w:rsid w:val="0007204B"/>
    <w:rsid w:val="00072F47"/>
    <w:rsid w:val="00073808"/>
    <w:rsid w:val="00074396"/>
    <w:rsid w:val="0007446E"/>
    <w:rsid w:val="00074745"/>
    <w:rsid w:val="00074951"/>
    <w:rsid w:val="00074F67"/>
    <w:rsid w:val="0007521F"/>
    <w:rsid w:val="000752E8"/>
    <w:rsid w:val="000755B8"/>
    <w:rsid w:val="00075D05"/>
    <w:rsid w:val="00075D4B"/>
    <w:rsid w:val="0007679E"/>
    <w:rsid w:val="00077371"/>
    <w:rsid w:val="00077C0C"/>
    <w:rsid w:val="00080116"/>
    <w:rsid w:val="000808F9"/>
    <w:rsid w:val="00080A6B"/>
    <w:rsid w:val="00080EE8"/>
    <w:rsid w:val="0008125C"/>
    <w:rsid w:val="00081277"/>
    <w:rsid w:val="000813E4"/>
    <w:rsid w:val="00081417"/>
    <w:rsid w:val="0008159C"/>
    <w:rsid w:val="0008195B"/>
    <w:rsid w:val="00081CFF"/>
    <w:rsid w:val="0008258A"/>
    <w:rsid w:val="00082DF6"/>
    <w:rsid w:val="00082E64"/>
    <w:rsid w:val="0008303B"/>
    <w:rsid w:val="00083231"/>
    <w:rsid w:val="000834AE"/>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C10"/>
    <w:rsid w:val="00086F97"/>
    <w:rsid w:val="00087308"/>
    <w:rsid w:val="00087474"/>
    <w:rsid w:val="0008785C"/>
    <w:rsid w:val="00087A3E"/>
    <w:rsid w:val="00090233"/>
    <w:rsid w:val="000906FB"/>
    <w:rsid w:val="000907E5"/>
    <w:rsid w:val="00091245"/>
    <w:rsid w:val="00091EAA"/>
    <w:rsid w:val="00092238"/>
    <w:rsid w:val="0009266A"/>
    <w:rsid w:val="00092AEC"/>
    <w:rsid w:val="000933A6"/>
    <w:rsid w:val="00093CB7"/>
    <w:rsid w:val="0009414D"/>
    <w:rsid w:val="00094388"/>
    <w:rsid w:val="00094B31"/>
    <w:rsid w:val="00094FC6"/>
    <w:rsid w:val="0009514E"/>
    <w:rsid w:val="0009515F"/>
    <w:rsid w:val="000951E1"/>
    <w:rsid w:val="000954DD"/>
    <w:rsid w:val="000955AC"/>
    <w:rsid w:val="00095653"/>
    <w:rsid w:val="000957EA"/>
    <w:rsid w:val="00095818"/>
    <w:rsid w:val="00095974"/>
    <w:rsid w:val="00095B4D"/>
    <w:rsid w:val="00095EE7"/>
    <w:rsid w:val="000966BB"/>
    <w:rsid w:val="00096800"/>
    <w:rsid w:val="00096BBF"/>
    <w:rsid w:val="00096C4B"/>
    <w:rsid w:val="0009792A"/>
    <w:rsid w:val="00097B79"/>
    <w:rsid w:val="00097E17"/>
    <w:rsid w:val="000A0040"/>
    <w:rsid w:val="000A02AD"/>
    <w:rsid w:val="000A0B38"/>
    <w:rsid w:val="000A1199"/>
    <w:rsid w:val="000A22E9"/>
    <w:rsid w:val="000A241E"/>
    <w:rsid w:val="000A2810"/>
    <w:rsid w:val="000A289B"/>
    <w:rsid w:val="000A2C52"/>
    <w:rsid w:val="000A2E37"/>
    <w:rsid w:val="000A36D0"/>
    <w:rsid w:val="000A3B1E"/>
    <w:rsid w:val="000A41D4"/>
    <w:rsid w:val="000A421F"/>
    <w:rsid w:val="000A4BCB"/>
    <w:rsid w:val="000A4BE4"/>
    <w:rsid w:val="000A5077"/>
    <w:rsid w:val="000A50F2"/>
    <w:rsid w:val="000A534D"/>
    <w:rsid w:val="000A5ABE"/>
    <w:rsid w:val="000A5B0D"/>
    <w:rsid w:val="000A60E1"/>
    <w:rsid w:val="000A60F4"/>
    <w:rsid w:val="000A61FB"/>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59"/>
    <w:rsid w:val="000B2C16"/>
    <w:rsid w:val="000B2FC7"/>
    <w:rsid w:val="000B310F"/>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843"/>
    <w:rsid w:val="000B6EB2"/>
    <w:rsid w:val="000B706F"/>
    <w:rsid w:val="000B77F8"/>
    <w:rsid w:val="000B78CC"/>
    <w:rsid w:val="000B7AE2"/>
    <w:rsid w:val="000C0203"/>
    <w:rsid w:val="000C041C"/>
    <w:rsid w:val="000C091B"/>
    <w:rsid w:val="000C0F48"/>
    <w:rsid w:val="000C0F5C"/>
    <w:rsid w:val="000C1356"/>
    <w:rsid w:val="000C18D0"/>
    <w:rsid w:val="000C1FB5"/>
    <w:rsid w:val="000C200D"/>
    <w:rsid w:val="000C20E9"/>
    <w:rsid w:val="000C2555"/>
    <w:rsid w:val="000C25C3"/>
    <w:rsid w:val="000C2DF1"/>
    <w:rsid w:val="000C35ED"/>
    <w:rsid w:val="000C3692"/>
    <w:rsid w:val="000C37AC"/>
    <w:rsid w:val="000C3B1F"/>
    <w:rsid w:val="000C43D9"/>
    <w:rsid w:val="000C44B7"/>
    <w:rsid w:val="000C458C"/>
    <w:rsid w:val="000C4D1E"/>
    <w:rsid w:val="000C5329"/>
    <w:rsid w:val="000C5D43"/>
    <w:rsid w:val="000C5F42"/>
    <w:rsid w:val="000C60E6"/>
    <w:rsid w:val="000C6548"/>
    <w:rsid w:val="000C6591"/>
    <w:rsid w:val="000C6D2E"/>
    <w:rsid w:val="000C709F"/>
    <w:rsid w:val="000C72CA"/>
    <w:rsid w:val="000C7872"/>
    <w:rsid w:val="000C7AFF"/>
    <w:rsid w:val="000C7BA9"/>
    <w:rsid w:val="000C7C7C"/>
    <w:rsid w:val="000C7CAA"/>
    <w:rsid w:val="000D0476"/>
    <w:rsid w:val="000D04C1"/>
    <w:rsid w:val="000D0624"/>
    <w:rsid w:val="000D0DF7"/>
    <w:rsid w:val="000D0E50"/>
    <w:rsid w:val="000D1171"/>
    <w:rsid w:val="000D13A6"/>
    <w:rsid w:val="000D2113"/>
    <w:rsid w:val="000D2266"/>
    <w:rsid w:val="000D2736"/>
    <w:rsid w:val="000D2C27"/>
    <w:rsid w:val="000D30E7"/>
    <w:rsid w:val="000D35F7"/>
    <w:rsid w:val="000D3646"/>
    <w:rsid w:val="000D3760"/>
    <w:rsid w:val="000D3BCC"/>
    <w:rsid w:val="000D43AC"/>
    <w:rsid w:val="000D44DB"/>
    <w:rsid w:val="000D4645"/>
    <w:rsid w:val="000D467B"/>
    <w:rsid w:val="000D5606"/>
    <w:rsid w:val="000D58C9"/>
    <w:rsid w:val="000D5CB1"/>
    <w:rsid w:val="000D5DA8"/>
    <w:rsid w:val="000D5F42"/>
    <w:rsid w:val="000D62F3"/>
    <w:rsid w:val="000D6630"/>
    <w:rsid w:val="000D682D"/>
    <w:rsid w:val="000D7E24"/>
    <w:rsid w:val="000D7EAD"/>
    <w:rsid w:val="000E06CA"/>
    <w:rsid w:val="000E07FC"/>
    <w:rsid w:val="000E0B79"/>
    <w:rsid w:val="000E0C92"/>
    <w:rsid w:val="000E0D69"/>
    <w:rsid w:val="000E0ECF"/>
    <w:rsid w:val="000E0F57"/>
    <w:rsid w:val="000E12A8"/>
    <w:rsid w:val="000E184E"/>
    <w:rsid w:val="000E1A44"/>
    <w:rsid w:val="000E1DE0"/>
    <w:rsid w:val="000E21D3"/>
    <w:rsid w:val="000E247B"/>
    <w:rsid w:val="000E247C"/>
    <w:rsid w:val="000E27E9"/>
    <w:rsid w:val="000E2A6C"/>
    <w:rsid w:val="000E2DC9"/>
    <w:rsid w:val="000E2E4B"/>
    <w:rsid w:val="000E2FF1"/>
    <w:rsid w:val="000E3DFD"/>
    <w:rsid w:val="000E4477"/>
    <w:rsid w:val="000E45E9"/>
    <w:rsid w:val="000E4A24"/>
    <w:rsid w:val="000E5217"/>
    <w:rsid w:val="000E5C17"/>
    <w:rsid w:val="000E6471"/>
    <w:rsid w:val="000E69A5"/>
    <w:rsid w:val="000E721B"/>
    <w:rsid w:val="000E74D2"/>
    <w:rsid w:val="000E789D"/>
    <w:rsid w:val="000F0055"/>
    <w:rsid w:val="000F0481"/>
    <w:rsid w:val="000F04BF"/>
    <w:rsid w:val="000F0699"/>
    <w:rsid w:val="000F078E"/>
    <w:rsid w:val="000F0BA2"/>
    <w:rsid w:val="000F0F98"/>
    <w:rsid w:val="000F1485"/>
    <w:rsid w:val="000F19E1"/>
    <w:rsid w:val="000F1B61"/>
    <w:rsid w:val="000F2032"/>
    <w:rsid w:val="000F22ED"/>
    <w:rsid w:val="000F2362"/>
    <w:rsid w:val="000F35A9"/>
    <w:rsid w:val="000F377A"/>
    <w:rsid w:val="000F3964"/>
    <w:rsid w:val="000F3BFE"/>
    <w:rsid w:val="000F3C1E"/>
    <w:rsid w:val="000F3DE4"/>
    <w:rsid w:val="000F3EC1"/>
    <w:rsid w:val="000F40FF"/>
    <w:rsid w:val="000F4C32"/>
    <w:rsid w:val="000F4C9B"/>
    <w:rsid w:val="000F52A7"/>
    <w:rsid w:val="000F58A1"/>
    <w:rsid w:val="000F5AA4"/>
    <w:rsid w:val="000F5AC6"/>
    <w:rsid w:val="000F5C5A"/>
    <w:rsid w:val="000F5D25"/>
    <w:rsid w:val="000F613C"/>
    <w:rsid w:val="000F6710"/>
    <w:rsid w:val="000F6985"/>
    <w:rsid w:val="000F715A"/>
    <w:rsid w:val="000F71CE"/>
    <w:rsid w:val="000F72CB"/>
    <w:rsid w:val="000F7AE5"/>
    <w:rsid w:val="000F7B5F"/>
    <w:rsid w:val="001007E8"/>
    <w:rsid w:val="0010093F"/>
    <w:rsid w:val="00100AA8"/>
    <w:rsid w:val="00100B3E"/>
    <w:rsid w:val="0010109D"/>
    <w:rsid w:val="00101327"/>
    <w:rsid w:val="001017B0"/>
    <w:rsid w:val="00102238"/>
    <w:rsid w:val="0010229B"/>
    <w:rsid w:val="00102869"/>
    <w:rsid w:val="00102BB5"/>
    <w:rsid w:val="001036A5"/>
    <w:rsid w:val="001044CC"/>
    <w:rsid w:val="00104591"/>
    <w:rsid w:val="00104765"/>
    <w:rsid w:val="00104B62"/>
    <w:rsid w:val="00104CAF"/>
    <w:rsid w:val="00104F3E"/>
    <w:rsid w:val="00105230"/>
    <w:rsid w:val="001054D4"/>
    <w:rsid w:val="00105520"/>
    <w:rsid w:val="0010589B"/>
    <w:rsid w:val="00105BB1"/>
    <w:rsid w:val="00105C0B"/>
    <w:rsid w:val="00105CAF"/>
    <w:rsid w:val="0010629A"/>
    <w:rsid w:val="00106609"/>
    <w:rsid w:val="00106691"/>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2289"/>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F6B"/>
    <w:rsid w:val="0011546D"/>
    <w:rsid w:val="001155CF"/>
    <w:rsid w:val="00115872"/>
    <w:rsid w:val="00116043"/>
    <w:rsid w:val="001160C4"/>
    <w:rsid w:val="00116463"/>
    <w:rsid w:val="00116637"/>
    <w:rsid w:val="001168CC"/>
    <w:rsid w:val="001169DD"/>
    <w:rsid w:val="0011771E"/>
    <w:rsid w:val="001200DD"/>
    <w:rsid w:val="0012045D"/>
    <w:rsid w:val="001209AC"/>
    <w:rsid w:val="00120B32"/>
    <w:rsid w:val="0012143F"/>
    <w:rsid w:val="00122124"/>
    <w:rsid w:val="001221E3"/>
    <w:rsid w:val="0012226D"/>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36E"/>
    <w:rsid w:val="00127A3E"/>
    <w:rsid w:val="00130301"/>
    <w:rsid w:val="001304D0"/>
    <w:rsid w:val="00130543"/>
    <w:rsid w:val="00130B6B"/>
    <w:rsid w:val="00130D1C"/>
    <w:rsid w:val="001314D3"/>
    <w:rsid w:val="001314E0"/>
    <w:rsid w:val="0013190B"/>
    <w:rsid w:val="00131942"/>
    <w:rsid w:val="00131B41"/>
    <w:rsid w:val="00131B76"/>
    <w:rsid w:val="00131CFA"/>
    <w:rsid w:val="00131D4C"/>
    <w:rsid w:val="001325E6"/>
    <w:rsid w:val="0013261A"/>
    <w:rsid w:val="00132D15"/>
    <w:rsid w:val="001338F8"/>
    <w:rsid w:val="00134027"/>
    <w:rsid w:val="0013460E"/>
    <w:rsid w:val="00134DB3"/>
    <w:rsid w:val="00134DB5"/>
    <w:rsid w:val="00135434"/>
    <w:rsid w:val="00135B8B"/>
    <w:rsid w:val="00135D8F"/>
    <w:rsid w:val="00136298"/>
    <w:rsid w:val="00136887"/>
    <w:rsid w:val="00136EE3"/>
    <w:rsid w:val="00136FC4"/>
    <w:rsid w:val="001370F3"/>
    <w:rsid w:val="001373C5"/>
    <w:rsid w:val="001375C8"/>
    <w:rsid w:val="00137605"/>
    <w:rsid w:val="00137C23"/>
    <w:rsid w:val="00137EA2"/>
    <w:rsid w:val="00140395"/>
    <w:rsid w:val="00140724"/>
    <w:rsid w:val="0014076F"/>
    <w:rsid w:val="00140EF1"/>
    <w:rsid w:val="0014109C"/>
    <w:rsid w:val="001410D6"/>
    <w:rsid w:val="00141635"/>
    <w:rsid w:val="00141796"/>
    <w:rsid w:val="001429B9"/>
    <w:rsid w:val="00142EAA"/>
    <w:rsid w:val="00144258"/>
    <w:rsid w:val="00144425"/>
    <w:rsid w:val="00144B3A"/>
    <w:rsid w:val="0014519F"/>
    <w:rsid w:val="00145426"/>
    <w:rsid w:val="001455B3"/>
    <w:rsid w:val="00145984"/>
    <w:rsid w:val="001459AF"/>
    <w:rsid w:val="00145A91"/>
    <w:rsid w:val="00145B63"/>
    <w:rsid w:val="00145CFD"/>
    <w:rsid w:val="00145DFA"/>
    <w:rsid w:val="00146059"/>
    <w:rsid w:val="001460E1"/>
    <w:rsid w:val="00146C32"/>
    <w:rsid w:val="00147177"/>
    <w:rsid w:val="001473E8"/>
    <w:rsid w:val="001474FC"/>
    <w:rsid w:val="00147874"/>
    <w:rsid w:val="00147DEE"/>
    <w:rsid w:val="00147E5F"/>
    <w:rsid w:val="00150038"/>
    <w:rsid w:val="00150095"/>
    <w:rsid w:val="00150374"/>
    <w:rsid w:val="00150648"/>
    <w:rsid w:val="001507BD"/>
    <w:rsid w:val="001508D4"/>
    <w:rsid w:val="001509A6"/>
    <w:rsid w:val="00150AB6"/>
    <w:rsid w:val="0015194F"/>
    <w:rsid w:val="0015213C"/>
    <w:rsid w:val="001521A6"/>
    <w:rsid w:val="00153126"/>
    <w:rsid w:val="00153942"/>
    <w:rsid w:val="00153ECC"/>
    <w:rsid w:val="00154281"/>
    <w:rsid w:val="0015493E"/>
    <w:rsid w:val="0015496C"/>
    <w:rsid w:val="00154F9D"/>
    <w:rsid w:val="00155081"/>
    <w:rsid w:val="001552E6"/>
    <w:rsid w:val="0015546F"/>
    <w:rsid w:val="00155BD9"/>
    <w:rsid w:val="00155D5A"/>
    <w:rsid w:val="00156078"/>
    <w:rsid w:val="00156870"/>
    <w:rsid w:val="00156AAF"/>
    <w:rsid w:val="00156CE9"/>
    <w:rsid w:val="00157445"/>
    <w:rsid w:val="001575AB"/>
    <w:rsid w:val="00157760"/>
    <w:rsid w:val="00157B8C"/>
    <w:rsid w:val="00157C96"/>
    <w:rsid w:val="00160A03"/>
    <w:rsid w:val="00160C3F"/>
    <w:rsid w:val="00160C4D"/>
    <w:rsid w:val="00160CE3"/>
    <w:rsid w:val="00161702"/>
    <w:rsid w:val="00161AC5"/>
    <w:rsid w:val="00162022"/>
    <w:rsid w:val="0016202E"/>
    <w:rsid w:val="001620E8"/>
    <w:rsid w:val="00162453"/>
    <w:rsid w:val="00162626"/>
    <w:rsid w:val="00162C56"/>
    <w:rsid w:val="0016413C"/>
    <w:rsid w:val="001642D5"/>
    <w:rsid w:val="00164CA0"/>
    <w:rsid w:val="00164FB6"/>
    <w:rsid w:val="001650FE"/>
    <w:rsid w:val="001655B0"/>
    <w:rsid w:val="001655B4"/>
    <w:rsid w:val="001655F0"/>
    <w:rsid w:val="00165695"/>
    <w:rsid w:val="0016571D"/>
    <w:rsid w:val="00165736"/>
    <w:rsid w:val="001659BD"/>
    <w:rsid w:val="001659E9"/>
    <w:rsid w:val="0016613D"/>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F6"/>
    <w:rsid w:val="00170A84"/>
    <w:rsid w:val="00170FE8"/>
    <w:rsid w:val="0017100D"/>
    <w:rsid w:val="001714C4"/>
    <w:rsid w:val="00171709"/>
    <w:rsid w:val="00171736"/>
    <w:rsid w:val="001719DC"/>
    <w:rsid w:val="00171B78"/>
    <w:rsid w:val="00171F52"/>
    <w:rsid w:val="0017278A"/>
    <w:rsid w:val="001731F8"/>
    <w:rsid w:val="00173504"/>
    <w:rsid w:val="001736EE"/>
    <w:rsid w:val="001738EB"/>
    <w:rsid w:val="00173AE7"/>
    <w:rsid w:val="00173BE6"/>
    <w:rsid w:val="00173F9E"/>
    <w:rsid w:val="00174031"/>
    <w:rsid w:val="00174144"/>
    <w:rsid w:val="001745D3"/>
    <w:rsid w:val="00174929"/>
    <w:rsid w:val="0017531D"/>
    <w:rsid w:val="00175832"/>
    <w:rsid w:val="00175908"/>
    <w:rsid w:val="00175B07"/>
    <w:rsid w:val="001760AF"/>
    <w:rsid w:val="0017623C"/>
    <w:rsid w:val="00176569"/>
    <w:rsid w:val="001765B1"/>
    <w:rsid w:val="001766A3"/>
    <w:rsid w:val="00176A18"/>
    <w:rsid w:val="00176C78"/>
    <w:rsid w:val="00176D60"/>
    <w:rsid w:val="00176FAB"/>
    <w:rsid w:val="00177544"/>
    <w:rsid w:val="0017769E"/>
    <w:rsid w:val="0017782F"/>
    <w:rsid w:val="00177EF9"/>
    <w:rsid w:val="0018042E"/>
    <w:rsid w:val="001804CD"/>
    <w:rsid w:val="00180B42"/>
    <w:rsid w:val="00180D2E"/>
    <w:rsid w:val="00180F31"/>
    <w:rsid w:val="00181004"/>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7D8"/>
    <w:rsid w:val="0018793A"/>
    <w:rsid w:val="00187A70"/>
    <w:rsid w:val="00187BB1"/>
    <w:rsid w:val="00187C58"/>
    <w:rsid w:val="00187CDB"/>
    <w:rsid w:val="00190171"/>
    <w:rsid w:val="001905A1"/>
    <w:rsid w:val="00190606"/>
    <w:rsid w:val="00190876"/>
    <w:rsid w:val="00190C73"/>
    <w:rsid w:val="00190CC6"/>
    <w:rsid w:val="00190DD4"/>
    <w:rsid w:val="00191B7B"/>
    <w:rsid w:val="00191C5D"/>
    <w:rsid w:val="00192083"/>
    <w:rsid w:val="00192383"/>
    <w:rsid w:val="001925F8"/>
    <w:rsid w:val="00192F26"/>
    <w:rsid w:val="00193B7B"/>
    <w:rsid w:val="00193CF3"/>
    <w:rsid w:val="00193F5C"/>
    <w:rsid w:val="00194127"/>
    <w:rsid w:val="00194410"/>
    <w:rsid w:val="00194557"/>
    <w:rsid w:val="001948CB"/>
    <w:rsid w:val="00194D95"/>
    <w:rsid w:val="00194D9C"/>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1339"/>
    <w:rsid w:val="001A14B7"/>
    <w:rsid w:val="001A1527"/>
    <w:rsid w:val="001A1555"/>
    <w:rsid w:val="001A1661"/>
    <w:rsid w:val="001A175F"/>
    <w:rsid w:val="001A19B4"/>
    <w:rsid w:val="001A1B68"/>
    <w:rsid w:val="001A1BB2"/>
    <w:rsid w:val="001A27B9"/>
    <w:rsid w:val="001A2A37"/>
    <w:rsid w:val="001A2B11"/>
    <w:rsid w:val="001A2F36"/>
    <w:rsid w:val="001A2FFF"/>
    <w:rsid w:val="001A31FA"/>
    <w:rsid w:val="001A3496"/>
    <w:rsid w:val="001A381D"/>
    <w:rsid w:val="001A3DFA"/>
    <w:rsid w:val="001A3EF1"/>
    <w:rsid w:val="001A4093"/>
    <w:rsid w:val="001A42CE"/>
    <w:rsid w:val="001A43F6"/>
    <w:rsid w:val="001A453A"/>
    <w:rsid w:val="001A46DA"/>
    <w:rsid w:val="001A4757"/>
    <w:rsid w:val="001A4D97"/>
    <w:rsid w:val="001A4FB3"/>
    <w:rsid w:val="001A501A"/>
    <w:rsid w:val="001A52CF"/>
    <w:rsid w:val="001A5914"/>
    <w:rsid w:val="001A5BFF"/>
    <w:rsid w:val="001A5E41"/>
    <w:rsid w:val="001A6195"/>
    <w:rsid w:val="001A62CD"/>
    <w:rsid w:val="001A639A"/>
    <w:rsid w:val="001A6519"/>
    <w:rsid w:val="001A6715"/>
    <w:rsid w:val="001A6A70"/>
    <w:rsid w:val="001A6F06"/>
    <w:rsid w:val="001A719C"/>
    <w:rsid w:val="001A7C03"/>
    <w:rsid w:val="001A7CE0"/>
    <w:rsid w:val="001A7D50"/>
    <w:rsid w:val="001A7E97"/>
    <w:rsid w:val="001B0F05"/>
    <w:rsid w:val="001B10C5"/>
    <w:rsid w:val="001B12D9"/>
    <w:rsid w:val="001B12FB"/>
    <w:rsid w:val="001B16C8"/>
    <w:rsid w:val="001B1A60"/>
    <w:rsid w:val="001B1CF8"/>
    <w:rsid w:val="001B20B3"/>
    <w:rsid w:val="001B20EC"/>
    <w:rsid w:val="001B3187"/>
    <w:rsid w:val="001B322B"/>
    <w:rsid w:val="001B3587"/>
    <w:rsid w:val="001B364C"/>
    <w:rsid w:val="001B38ED"/>
    <w:rsid w:val="001B3B03"/>
    <w:rsid w:val="001B3C11"/>
    <w:rsid w:val="001B3C27"/>
    <w:rsid w:val="001B3C2A"/>
    <w:rsid w:val="001B4020"/>
    <w:rsid w:val="001B406D"/>
    <w:rsid w:val="001B40C8"/>
    <w:rsid w:val="001B42D3"/>
    <w:rsid w:val="001B5580"/>
    <w:rsid w:val="001B5808"/>
    <w:rsid w:val="001B5AEE"/>
    <w:rsid w:val="001B5E4E"/>
    <w:rsid w:val="001B5EBE"/>
    <w:rsid w:val="001B608F"/>
    <w:rsid w:val="001B6210"/>
    <w:rsid w:val="001B630E"/>
    <w:rsid w:val="001B6498"/>
    <w:rsid w:val="001B680A"/>
    <w:rsid w:val="001B6EB6"/>
    <w:rsid w:val="001B700A"/>
    <w:rsid w:val="001B7294"/>
    <w:rsid w:val="001B7AC1"/>
    <w:rsid w:val="001B7C4F"/>
    <w:rsid w:val="001B7CFF"/>
    <w:rsid w:val="001C0985"/>
    <w:rsid w:val="001C0BB4"/>
    <w:rsid w:val="001C0CFC"/>
    <w:rsid w:val="001C0F6D"/>
    <w:rsid w:val="001C12DF"/>
    <w:rsid w:val="001C162D"/>
    <w:rsid w:val="001C19C1"/>
    <w:rsid w:val="001C1A63"/>
    <w:rsid w:val="001C21C3"/>
    <w:rsid w:val="001C2379"/>
    <w:rsid w:val="001C24D1"/>
    <w:rsid w:val="001C26D4"/>
    <w:rsid w:val="001C29D1"/>
    <w:rsid w:val="001C304B"/>
    <w:rsid w:val="001C3113"/>
    <w:rsid w:val="001C3616"/>
    <w:rsid w:val="001C372A"/>
    <w:rsid w:val="001C38E9"/>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59B"/>
    <w:rsid w:val="001D0BAA"/>
    <w:rsid w:val="001D194C"/>
    <w:rsid w:val="001D19F8"/>
    <w:rsid w:val="001D1AC6"/>
    <w:rsid w:val="001D1BE1"/>
    <w:rsid w:val="001D1C22"/>
    <w:rsid w:val="001D1CB8"/>
    <w:rsid w:val="001D1EE8"/>
    <w:rsid w:val="001D25F7"/>
    <w:rsid w:val="001D2869"/>
    <w:rsid w:val="001D3504"/>
    <w:rsid w:val="001D3E33"/>
    <w:rsid w:val="001D44A9"/>
    <w:rsid w:val="001D477C"/>
    <w:rsid w:val="001D48C2"/>
    <w:rsid w:val="001D4F72"/>
    <w:rsid w:val="001D5156"/>
    <w:rsid w:val="001D51EE"/>
    <w:rsid w:val="001D521D"/>
    <w:rsid w:val="001D553A"/>
    <w:rsid w:val="001D56D8"/>
    <w:rsid w:val="001D5D63"/>
    <w:rsid w:val="001D5E32"/>
    <w:rsid w:val="001D662A"/>
    <w:rsid w:val="001D6674"/>
    <w:rsid w:val="001D68A9"/>
    <w:rsid w:val="001D69F6"/>
    <w:rsid w:val="001D6ED1"/>
    <w:rsid w:val="001D73E9"/>
    <w:rsid w:val="001D7529"/>
    <w:rsid w:val="001D7622"/>
    <w:rsid w:val="001D7849"/>
    <w:rsid w:val="001E0988"/>
    <w:rsid w:val="001E0B4B"/>
    <w:rsid w:val="001E1104"/>
    <w:rsid w:val="001E17EE"/>
    <w:rsid w:val="001E2057"/>
    <w:rsid w:val="001E3126"/>
    <w:rsid w:val="001E342F"/>
    <w:rsid w:val="001E3641"/>
    <w:rsid w:val="001E3BB7"/>
    <w:rsid w:val="001E4075"/>
    <w:rsid w:val="001E4458"/>
    <w:rsid w:val="001E4A4E"/>
    <w:rsid w:val="001E4EC8"/>
    <w:rsid w:val="001E5296"/>
    <w:rsid w:val="001E52D0"/>
    <w:rsid w:val="001E5898"/>
    <w:rsid w:val="001E679C"/>
    <w:rsid w:val="001E6E9B"/>
    <w:rsid w:val="001E74A2"/>
    <w:rsid w:val="001E7571"/>
    <w:rsid w:val="001E79EC"/>
    <w:rsid w:val="001E7C9C"/>
    <w:rsid w:val="001E7D80"/>
    <w:rsid w:val="001F0064"/>
    <w:rsid w:val="001F019D"/>
    <w:rsid w:val="001F02C9"/>
    <w:rsid w:val="001F04C1"/>
    <w:rsid w:val="001F066B"/>
    <w:rsid w:val="001F06CB"/>
    <w:rsid w:val="001F0917"/>
    <w:rsid w:val="001F0E07"/>
    <w:rsid w:val="001F10BF"/>
    <w:rsid w:val="001F1264"/>
    <w:rsid w:val="001F14B6"/>
    <w:rsid w:val="001F265E"/>
    <w:rsid w:val="001F27EF"/>
    <w:rsid w:val="001F2A08"/>
    <w:rsid w:val="001F2AF4"/>
    <w:rsid w:val="001F2BDD"/>
    <w:rsid w:val="001F2EC3"/>
    <w:rsid w:val="001F3A14"/>
    <w:rsid w:val="001F3F6B"/>
    <w:rsid w:val="001F4031"/>
    <w:rsid w:val="001F4041"/>
    <w:rsid w:val="001F4283"/>
    <w:rsid w:val="001F4BC4"/>
    <w:rsid w:val="001F4FE5"/>
    <w:rsid w:val="001F51FB"/>
    <w:rsid w:val="001F526D"/>
    <w:rsid w:val="001F6640"/>
    <w:rsid w:val="001F668A"/>
    <w:rsid w:val="001F692A"/>
    <w:rsid w:val="001F6A76"/>
    <w:rsid w:val="001F6B79"/>
    <w:rsid w:val="001F70B0"/>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CE7"/>
    <w:rsid w:val="0020209C"/>
    <w:rsid w:val="00202205"/>
    <w:rsid w:val="002025B5"/>
    <w:rsid w:val="00202618"/>
    <w:rsid w:val="0020266D"/>
    <w:rsid w:val="00202F0E"/>
    <w:rsid w:val="002032D7"/>
    <w:rsid w:val="002035D3"/>
    <w:rsid w:val="00203771"/>
    <w:rsid w:val="00203EAB"/>
    <w:rsid w:val="00203EED"/>
    <w:rsid w:val="0020407D"/>
    <w:rsid w:val="002048E5"/>
    <w:rsid w:val="00205930"/>
    <w:rsid w:val="00206439"/>
    <w:rsid w:val="00206457"/>
    <w:rsid w:val="00206A85"/>
    <w:rsid w:val="00206B8C"/>
    <w:rsid w:val="00206B91"/>
    <w:rsid w:val="00206F96"/>
    <w:rsid w:val="00207716"/>
    <w:rsid w:val="00210012"/>
    <w:rsid w:val="002103DD"/>
    <w:rsid w:val="00210665"/>
    <w:rsid w:val="00210E29"/>
    <w:rsid w:val="002116E1"/>
    <w:rsid w:val="00211AEA"/>
    <w:rsid w:val="00211DBE"/>
    <w:rsid w:val="00211E03"/>
    <w:rsid w:val="00211E9E"/>
    <w:rsid w:val="00211F20"/>
    <w:rsid w:val="002122ED"/>
    <w:rsid w:val="002129BF"/>
    <w:rsid w:val="00212C2D"/>
    <w:rsid w:val="002135C7"/>
    <w:rsid w:val="002136A6"/>
    <w:rsid w:val="00213AAA"/>
    <w:rsid w:val="0021490D"/>
    <w:rsid w:val="00214A82"/>
    <w:rsid w:val="00214C79"/>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B6"/>
    <w:rsid w:val="00217568"/>
    <w:rsid w:val="00217608"/>
    <w:rsid w:val="002176E7"/>
    <w:rsid w:val="00217885"/>
    <w:rsid w:val="002178E0"/>
    <w:rsid w:val="00217AF0"/>
    <w:rsid w:val="00217B22"/>
    <w:rsid w:val="00217C37"/>
    <w:rsid w:val="00217D57"/>
    <w:rsid w:val="00217E5F"/>
    <w:rsid w:val="00220199"/>
    <w:rsid w:val="00221008"/>
    <w:rsid w:val="00221168"/>
    <w:rsid w:val="00221460"/>
    <w:rsid w:val="00221936"/>
    <w:rsid w:val="002222EC"/>
    <w:rsid w:val="00222562"/>
    <w:rsid w:val="00222611"/>
    <w:rsid w:val="0022269C"/>
    <w:rsid w:val="00222ACF"/>
    <w:rsid w:val="00223048"/>
    <w:rsid w:val="002230B3"/>
    <w:rsid w:val="00223499"/>
    <w:rsid w:val="00223525"/>
    <w:rsid w:val="00223BD2"/>
    <w:rsid w:val="002243B2"/>
    <w:rsid w:val="00224558"/>
    <w:rsid w:val="002250B5"/>
    <w:rsid w:val="00225968"/>
    <w:rsid w:val="00226374"/>
    <w:rsid w:val="00226AC8"/>
    <w:rsid w:val="00226B8B"/>
    <w:rsid w:val="00227007"/>
    <w:rsid w:val="00227831"/>
    <w:rsid w:val="00227D77"/>
    <w:rsid w:val="00227D9A"/>
    <w:rsid w:val="00227EE4"/>
    <w:rsid w:val="0023026E"/>
    <w:rsid w:val="002306DA"/>
    <w:rsid w:val="002308E6"/>
    <w:rsid w:val="00230AC9"/>
    <w:rsid w:val="00230ADF"/>
    <w:rsid w:val="00230D85"/>
    <w:rsid w:val="00230ED9"/>
    <w:rsid w:val="002313E1"/>
    <w:rsid w:val="0023181D"/>
    <w:rsid w:val="0023182B"/>
    <w:rsid w:val="00231D41"/>
    <w:rsid w:val="00232009"/>
    <w:rsid w:val="00232690"/>
    <w:rsid w:val="00232775"/>
    <w:rsid w:val="002328B4"/>
    <w:rsid w:val="00232CE9"/>
    <w:rsid w:val="00233281"/>
    <w:rsid w:val="00233467"/>
    <w:rsid w:val="002337E3"/>
    <w:rsid w:val="00233F46"/>
    <w:rsid w:val="002344C2"/>
    <w:rsid w:val="00234984"/>
    <w:rsid w:val="00234F01"/>
    <w:rsid w:val="002351A0"/>
    <w:rsid w:val="00235925"/>
    <w:rsid w:val="00235CCC"/>
    <w:rsid w:val="00236081"/>
    <w:rsid w:val="00236831"/>
    <w:rsid w:val="00236B8C"/>
    <w:rsid w:val="00236D6E"/>
    <w:rsid w:val="00236DF8"/>
    <w:rsid w:val="00236F7D"/>
    <w:rsid w:val="00237301"/>
    <w:rsid w:val="00237491"/>
    <w:rsid w:val="002375C3"/>
    <w:rsid w:val="00237742"/>
    <w:rsid w:val="002377CA"/>
    <w:rsid w:val="00237E30"/>
    <w:rsid w:val="002401AA"/>
    <w:rsid w:val="002403AB"/>
    <w:rsid w:val="00240540"/>
    <w:rsid w:val="002406C1"/>
    <w:rsid w:val="00240970"/>
    <w:rsid w:val="002413F9"/>
    <w:rsid w:val="002418C5"/>
    <w:rsid w:val="00241952"/>
    <w:rsid w:val="00241CE5"/>
    <w:rsid w:val="00242508"/>
    <w:rsid w:val="002428CD"/>
    <w:rsid w:val="00242E99"/>
    <w:rsid w:val="0024358F"/>
    <w:rsid w:val="002436C3"/>
    <w:rsid w:val="0024378C"/>
    <w:rsid w:val="00243B48"/>
    <w:rsid w:val="002442D2"/>
    <w:rsid w:val="002446F5"/>
    <w:rsid w:val="002452CD"/>
    <w:rsid w:val="00245778"/>
    <w:rsid w:val="002459A7"/>
    <w:rsid w:val="00245CD4"/>
    <w:rsid w:val="002461A0"/>
    <w:rsid w:val="00246381"/>
    <w:rsid w:val="0024647E"/>
    <w:rsid w:val="00246488"/>
    <w:rsid w:val="002464D6"/>
    <w:rsid w:val="00246D42"/>
    <w:rsid w:val="002474BB"/>
    <w:rsid w:val="00247547"/>
    <w:rsid w:val="0024757C"/>
    <w:rsid w:val="0024791E"/>
    <w:rsid w:val="00247DA9"/>
    <w:rsid w:val="00247EEF"/>
    <w:rsid w:val="00250008"/>
    <w:rsid w:val="00250197"/>
    <w:rsid w:val="00250199"/>
    <w:rsid w:val="00250BBC"/>
    <w:rsid w:val="0025166D"/>
    <w:rsid w:val="002517D6"/>
    <w:rsid w:val="00251857"/>
    <w:rsid w:val="00251CAD"/>
    <w:rsid w:val="00251CDB"/>
    <w:rsid w:val="00251F27"/>
    <w:rsid w:val="0025288D"/>
    <w:rsid w:val="0025295F"/>
    <w:rsid w:val="00252CAC"/>
    <w:rsid w:val="00252F03"/>
    <w:rsid w:val="00254068"/>
    <w:rsid w:val="00254132"/>
    <w:rsid w:val="0025437F"/>
    <w:rsid w:val="002543B7"/>
    <w:rsid w:val="002543E4"/>
    <w:rsid w:val="0025491D"/>
    <w:rsid w:val="00254C66"/>
    <w:rsid w:val="00254F01"/>
    <w:rsid w:val="00255EE8"/>
    <w:rsid w:val="00255FCE"/>
    <w:rsid w:val="00256194"/>
    <w:rsid w:val="002561EB"/>
    <w:rsid w:val="002562FC"/>
    <w:rsid w:val="0025655B"/>
    <w:rsid w:val="00256DF7"/>
    <w:rsid w:val="0025779A"/>
    <w:rsid w:val="0025779D"/>
    <w:rsid w:val="0026029A"/>
    <w:rsid w:val="00260D15"/>
    <w:rsid w:val="00260E67"/>
    <w:rsid w:val="00260F20"/>
    <w:rsid w:val="00261176"/>
    <w:rsid w:val="00261393"/>
    <w:rsid w:val="002613DB"/>
    <w:rsid w:val="002615EE"/>
    <w:rsid w:val="002618A3"/>
    <w:rsid w:val="00262123"/>
    <w:rsid w:val="00262646"/>
    <w:rsid w:val="00262D2B"/>
    <w:rsid w:val="00262D60"/>
    <w:rsid w:val="002636FF"/>
    <w:rsid w:val="002645DA"/>
    <w:rsid w:val="00264E7D"/>
    <w:rsid w:val="002657DE"/>
    <w:rsid w:val="002664C8"/>
    <w:rsid w:val="00266664"/>
    <w:rsid w:val="00266C14"/>
    <w:rsid w:val="00266FD1"/>
    <w:rsid w:val="00267219"/>
    <w:rsid w:val="002676F0"/>
    <w:rsid w:val="002678EF"/>
    <w:rsid w:val="00270446"/>
    <w:rsid w:val="002709C0"/>
    <w:rsid w:val="00270D16"/>
    <w:rsid w:val="00270ED1"/>
    <w:rsid w:val="0027103B"/>
    <w:rsid w:val="0027108A"/>
    <w:rsid w:val="0027121E"/>
    <w:rsid w:val="00271908"/>
    <w:rsid w:val="002719B4"/>
    <w:rsid w:val="00271DA3"/>
    <w:rsid w:val="00272180"/>
    <w:rsid w:val="00272224"/>
    <w:rsid w:val="0027239D"/>
    <w:rsid w:val="00272821"/>
    <w:rsid w:val="00272AB6"/>
    <w:rsid w:val="00272F4D"/>
    <w:rsid w:val="0027343A"/>
    <w:rsid w:val="0027364E"/>
    <w:rsid w:val="00273CD5"/>
    <w:rsid w:val="00274631"/>
    <w:rsid w:val="00274945"/>
    <w:rsid w:val="00274BBF"/>
    <w:rsid w:val="0027520A"/>
    <w:rsid w:val="00275496"/>
    <w:rsid w:val="0027561D"/>
    <w:rsid w:val="0027585D"/>
    <w:rsid w:val="00275FB4"/>
    <w:rsid w:val="00276E24"/>
    <w:rsid w:val="002772ED"/>
    <w:rsid w:val="00277358"/>
    <w:rsid w:val="00277383"/>
    <w:rsid w:val="0027787A"/>
    <w:rsid w:val="00277E59"/>
    <w:rsid w:val="00277F37"/>
    <w:rsid w:val="00277FA6"/>
    <w:rsid w:val="002803B0"/>
    <w:rsid w:val="0028083E"/>
    <w:rsid w:val="002808C0"/>
    <w:rsid w:val="00280A17"/>
    <w:rsid w:val="002810C1"/>
    <w:rsid w:val="0028153E"/>
    <w:rsid w:val="00281667"/>
    <w:rsid w:val="00281697"/>
    <w:rsid w:val="00281FAA"/>
    <w:rsid w:val="00281FDB"/>
    <w:rsid w:val="0028231C"/>
    <w:rsid w:val="002823E7"/>
    <w:rsid w:val="002824CF"/>
    <w:rsid w:val="002832D4"/>
    <w:rsid w:val="00283478"/>
    <w:rsid w:val="00283911"/>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C95"/>
    <w:rsid w:val="00285DB7"/>
    <w:rsid w:val="0028600C"/>
    <w:rsid w:val="00286614"/>
    <w:rsid w:val="0028663B"/>
    <w:rsid w:val="002872FD"/>
    <w:rsid w:val="002873A1"/>
    <w:rsid w:val="00287719"/>
    <w:rsid w:val="00287779"/>
    <w:rsid w:val="002879F7"/>
    <w:rsid w:val="00287E8A"/>
    <w:rsid w:val="00290279"/>
    <w:rsid w:val="00290C6C"/>
    <w:rsid w:val="002910D9"/>
    <w:rsid w:val="00291C64"/>
    <w:rsid w:val="00291ECE"/>
    <w:rsid w:val="00292281"/>
    <w:rsid w:val="002922FD"/>
    <w:rsid w:val="002928CE"/>
    <w:rsid w:val="00292D96"/>
    <w:rsid w:val="00292D97"/>
    <w:rsid w:val="00293126"/>
    <w:rsid w:val="002931D4"/>
    <w:rsid w:val="00293C95"/>
    <w:rsid w:val="00293CD8"/>
    <w:rsid w:val="002941AC"/>
    <w:rsid w:val="00294DEF"/>
    <w:rsid w:val="00295028"/>
    <w:rsid w:val="00295262"/>
    <w:rsid w:val="002955A7"/>
    <w:rsid w:val="002958D3"/>
    <w:rsid w:val="00295902"/>
    <w:rsid w:val="00295BB7"/>
    <w:rsid w:val="00295F1E"/>
    <w:rsid w:val="00295FEA"/>
    <w:rsid w:val="00296333"/>
    <w:rsid w:val="00296462"/>
    <w:rsid w:val="0029646F"/>
    <w:rsid w:val="00296630"/>
    <w:rsid w:val="00296802"/>
    <w:rsid w:val="002968A9"/>
    <w:rsid w:val="00296B5F"/>
    <w:rsid w:val="00296BAF"/>
    <w:rsid w:val="00296FDD"/>
    <w:rsid w:val="0029703E"/>
    <w:rsid w:val="002970D6"/>
    <w:rsid w:val="002970ED"/>
    <w:rsid w:val="00297669"/>
    <w:rsid w:val="00297711"/>
    <w:rsid w:val="00297BDD"/>
    <w:rsid w:val="00297D57"/>
    <w:rsid w:val="002A005D"/>
    <w:rsid w:val="002A0275"/>
    <w:rsid w:val="002A0C6D"/>
    <w:rsid w:val="002A0DC3"/>
    <w:rsid w:val="002A113E"/>
    <w:rsid w:val="002A13AA"/>
    <w:rsid w:val="002A1658"/>
    <w:rsid w:val="002A1691"/>
    <w:rsid w:val="002A1C66"/>
    <w:rsid w:val="002A1C73"/>
    <w:rsid w:val="002A2277"/>
    <w:rsid w:val="002A27A0"/>
    <w:rsid w:val="002A3751"/>
    <w:rsid w:val="002A38A0"/>
    <w:rsid w:val="002A3F2C"/>
    <w:rsid w:val="002A4093"/>
    <w:rsid w:val="002A4128"/>
    <w:rsid w:val="002A4668"/>
    <w:rsid w:val="002A48F7"/>
    <w:rsid w:val="002A4A88"/>
    <w:rsid w:val="002A5138"/>
    <w:rsid w:val="002A5147"/>
    <w:rsid w:val="002A552B"/>
    <w:rsid w:val="002A55E2"/>
    <w:rsid w:val="002A56EA"/>
    <w:rsid w:val="002A57FC"/>
    <w:rsid w:val="002A5875"/>
    <w:rsid w:val="002A59D9"/>
    <w:rsid w:val="002A6072"/>
    <w:rsid w:val="002A64C7"/>
    <w:rsid w:val="002A6761"/>
    <w:rsid w:val="002A6BD3"/>
    <w:rsid w:val="002A6DA7"/>
    <w:rsid w:val="002A72AF"/>
    <w:rsid w:val="002A72DE"/>
    <w:rsid w:val="002A75FA"/>
    <w:rsid w:val="002A7722"/>
    <w:rsid w:val="002A7C62"/>
    <w:rsid w:val="002A7FD3"/>
    <w:rsid w:val="002B0125"/>
    <w:rsid w:val="002B0601"/>
    <w:rsid w:val="002B0C0C"/>
    <w:rsid w:val="002B0D66"/>
    <w:rsid w:val="002B10C1"/>
    <w:rsid w:val="002B10D7"/>
    <w:rsid w:val="002B1B71"/>
    <w:rsid w:val="002B1C28"/>
    <w:rsid w:val="002B1D1D"/>
    <w:rsid w:val="002B2009"/>
    <w:rsid w:val="002B20ED"/>
    <w:rsid w:val="002B23C6"/>
    <w:rsid w:val="002B2526"/>
    <w:rsid w:val="002B28AE"/>
    <w:rsid w:val="002B2EDF"/>
    <w:rsid w:val="002B2FC0"/>
    <w:rsid w:val="002B2FD5"/>
    <w:rsid w:val="002B30EB"/>
    <w:rsid w:val="002B31A3"/>
    <w:rsid w:val="002B336E"/>
    <w:rsid w:val="002B34B2"/>
    <w:rsid w:val="002B38F1"/>
    <w:rsid w:val="002B3C01"/>
    <w:rsid w:val="002B3D58"/>
    <w:rsid w:val="002B435F"/>
    <w:rsid w:val="002B43A2"/>
    <w:rsid w:val="002B43C9"/>
    <w:rsid w:val="002B5110"/>
    <w:rsid w:val="002B51FD"/>
    <w:rsid w:val="002B5479"/>
    <w:rsid w:val="002B5C09"/>
    <w:rsid w:val="002B602B"/>
    <w:rsid w:val="002B64DB"/>
    <w:rsid w:val="002B6B56"/>
    <w:rsid w:val="002B6C12"/>
    <w:rsid w:val="002B72BD"/>
    <w:rsid w:val="002B7E68"/>
    <w:rsid w:val="002B7FAB"/>
    <w:rsid w:val="002C002D"/>
    <w:rsid w:val="002C029E"/>
    <w:rsid w:val="002C02C7"/>
    <w:rsid w:val="002C0380"/>
    <w:rsid w:val="002C077D"/>
    <w:rsid w:val="002C0931"/>
    <w:rsid w:val="002C10CE"/>
    <w:rsid w:val="002C1246"/>
    <w:rsid w:val="002C1393"/>
    <w:rsid w:val="002C179E"/>
    <w:rsid w:val="002C1B55"/>
    <w:rsid w:val="002C1C98"/>
    <w:rsid w:val="002C1ED9"/>
    <w:rsid w:val="002C2271"/>
    <w:rsid w:val="002C2AC0"/>
    <w:rsid w:val="002C362D"/>
    <w:rsid w:val="002C3BCC"/>
    <w:rsid w:val="002C420F"/>
    <w:rsid w:val="002C426A"/>
    <w:rsid w:val="002C47BE"/>
    <w:rsid w:val="002C48CD"/>
    <w:rsid w:val="002C4ACD"/>
    <w:rsid w:val="002C51FF"/>
    <w:rsid w:val="002C5267"/>
    <w:rsid w:val="002C5815"/>
    <w:rsid w:val="002C5863"/>
    <w:rsid w:val="002C5BCB"/>
    <w:rsid w:val="002C5C27"/>
    <w:rsid w:val="002C5EC5"/>
    <w:rsid w:val="002C6327"/>
    <w:rsid w:val="002C656E"/>
    <w:rsid w:val="002C686F"/>
    <w:rsid w:val="002C6B91"/>
    <w:rsid w:val="002C6BA2"/>
    <w:rsid w:val="002C6CA2"/>
    <w:rsid w:val="002C6F2A"/>
    <w:rsid w:val="002C70B9"/>
    <w:rsid w:val="002C716C"/>
    <w:rsid w:val="002C78F7"/>
    <w:rsid w:val="002C7C1C"/>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F9B"/>
    <w:rsid w:val="002D3267"/>
    <w:rsid w:val="002D33E0"/>
    <w:rsid w:val="002D3400"/>
    <w:rsid w:val="002D3674"/>
    <w:rsid w:val="002D3D7F"/>
    <w:rsid w:val="002D4119"/>
    <w:rsid w:val="002D424E"/>
    <w:rsid w:val="002D432D"/>
    <w:rsid w:val="002D4FCA"/>
    <w:rsid w:val="002D53FA"/>
    <w:rsid w:val="002D5439"/>
    <w:rsid w:val="002D5710"/>
    <w:rsid w:val="002D57DD"/>
    <w:rsid w:val="002D582F"/>
    <w:rsid w:val="002D5B8B"/>
    <w:rsid w:val="002D5BE6"/>
    <w:rsid w:val="002D655C"/>
    <w:rsid w:val="002D69C3"/>
    <w:rsid w:val="002D6EB1"/>
    <w:rsid w:val="002D7226"/>
    <w:rsid w:val="002D779F"/>
    <w:rsid w:val="002D77A7"/>
    <w:rsid w:val="002D7C5E"/>
    <w:rsid w:val="002E070D"/>
    <w:rsid w:val="002E073E"/>
    <w:rsid w:val="002E0DCF"/>
    <w:rsid w:val="002E1352"/>
    <w:rsid w:val="002E1417"/>
    <w:rsid w:val="002E1873"/>
    <w:rsid w:val="002E2774"/>
    <w:rsid w:val="002E27E7"/>
    <w:rsid w:val="002E29CE"/>
    <w:rsid w:val="002E2B15"/>
    <w:rsid w:val="002E30EE"/>
    <w:rsid w:val="002E3651"/>
    <w:rsid w:val="002E367B"/>
    <w:rsid w:val="002E43EB"/>
    <w:rsid w:val="002E44A8"/>
    <w:rsid w:val="002E4627"/>
    <w:rsid w:val="002E4B6E"/>
    <w:rsid w:val="002E4E4E"/>
    <w:rsid w:val="002E5146"/>
    <w:rsid w:val="002E5748"/>
    <w:rsid w:val="002E57CF"/>
    <w:rsid w:val="002E595A"/>
    <w:rsid w:val="002E5991"/>
    <w:rsid w:val="002E5CE7"/>
    <w:rsid w:val="002E64B4"/>
    <w:rsid w:val="002E64FC"/>
    <w:rsid w:val="002E701E"/>
    <w:rsid w:val="002E7020"/>
    <w:rsid w:val="002E73C6"/>
    <w:rsid w:val="002E7CC8"/>
    <w:rsid w:val="002F0135"/>
    <w:rsid w:val="002F0446"/>
    <w:rsid w:val="002F0A87"/>
    <w:rsid w:val="002F0EA1"/>
    <w:rsid w:val="002F2242"/>
    <w:rsid w:val="002F244C"/>
    <w:rsid w:val="002F24CE"/>
    <w:rsid w:val="002F24D8"/>
    <w:rsid w:val="002F27FC"/>
    <w:rsid w:val="002F299B"/>
    <w:rsid w:val="002F2A3F"/>
    <w:rsid w:val="002F2C51"/>
    <w:rsid w:val="002F3890"/>
    <w:rsid w:val="002F3B20"/>
    <w:rsid w:val="002F4ABE"/>
    <w:rsid w:val="002F4AE9"/>
    <w:rsid w:val="002F51E1"/>
    <w:rsid w:val="002F561B"/>
    <w:rsid w:val="002F5B3D"/>
    <w:rsid w:val="002F697E"/>
    <w:rsid w:val="002F6A2E"/>
    <w:rsid w:val="002F6B4E"/>
    <w:rsid w:val="002F73AB"/>
    <w:rsid w:val="002F73AD"/>
    <w:rsid w:val="00300059"/>
    <w:rsid w:val="00300393"/>
    <w:rsid w:val="00300520"/>
    <w:rsid w:val="00300AE4"/>
    <w:rsid w:val="00300C62"/>
    <w:rsid w:val="00301756"/>
    <w:rsid w:val="0030185F"/>
    <w:rsid w:val="00302229"/>
    <w:rsid w:val="00302636"/>
    <w:rsid w:val="0030267A"/>
    <w:rsid w:val="00302715"/>
    <w:rsid w:val="00302957"/>
    <w:rsid w:val="00302C9E"/>
    <w:rsid w:val="003034DA"/>
    <w:rsid w:val="0030355A"/>
    <w:rsid w:val="00303866"/>
    <w:rsid w:val="00303CC6"/>
    <w:rsid w:val="00303CF1"/>
    <w:rsid w:val="0030453B"/>
    <w:rsid w:val="00304577"/>
    <w:rsid w:val="00304656"/>
    <w:rsid w:val="003048BD"/>
    <w:rsid w:val="00304ABA"/>
    <w:rsid w:val="00304D42"/>
    <w:rsid w:val="0030564B"/>
    <w:rsid w:val="00305A04"/>
    <w:rsid w:val="00305AD9"/>
    <w:rsid w:val="00305F70"/>
    <w:rsid w:val="00306641"/>
    <w:rsid w:val="003069A8"/>
    <w:rsid w:val="0030711A"/>
    <w:rsid w:val="003073A2"/>
    <w:rsid w:val="003078C4"/>
    <w:rsid w:val="00307E91"/>
    <w:rsid w:val="003102EC"/>
    <w:rsid w:val="00310786"/>
    <w:rsid w:val="003111E6"/>
    <w:rsid w:val="00311634"/>
    <w:rsid w:val="003117DF"/>
    <w:rsid w:val="00311D65"/>
    <w:rsid w:val="0031223E"/>
    <w:rsid w:val="00312ECF"/>
    <w:rsid w:val="00313BDB"/>
    <w:rsid w:val="00314148"/>
    <w:rsid w:val="00314648"/>
    <w:rsid w:val="0031470E"/>
    <w:rsid w:val="00314B94"/>
    <w:rsid w:val="0031590F"/>
    <w:rsid w:val="00315B98"/>
    <w:rsid w:val="00315BBF"/>
    <w:rsid w:val="00316376"/>
    <w:rsid w:val="003163DD"/>
    <w:rsid w:val="00316455"/>
    <w:rsid w:val="003168F4"/>
    <w:rsid w:val="00316FBB"/>
    <w:rsid w:val="00317A0A"/>
    <w:rsid w:val="00317AE6"/>
    <w:rsid w:val="00317CEC"/>
    <w:rsid w:val="0032048A"/>
    <w:rsid w:val="003206E0"/>
    <w:rsid w:val="003209CB"/>
    <w:rsid w:val="00320BAD"/>
    <w:rsid w:val="00320D0B"/>
    <w:rsid w:val="00320FE8"/>
    <w:rsid w:val="0032121F"/>
    <w:rsid w:val="00321788"/>
    <w:rsid w:val="00321BE4"/>
    <w:rsid w:val="00322892"/>
    <w:rsid w:val="0032292D"/>
    <w:rsid w:val="0032298C"/>
    <w:rsid w:val="003237A6"/>
    <w:rsid w:val="0032395B"/>
    <w:rsid w:val="00323C16"/>
    <w:rsid w:val="00323C42"/>
    <w:rsid w:val="00323E89"/>
    <w:rsid w:val="00324107"/>
    <w:rsid w:val="00324521"/>
    <w:rsid w:val="003247C9"/>
    <w:rsid w:val="00324E8B"/>
    <w:rsid w:val="00325027"/>
    <w:rsid w:val="0032527A"/>
    <w:rsid w:val="00325376"/>
    <w:rsid w:val="003253C8"/>
    <w:rsid w:val="00325C4E"/>
    <w:rsid w:val="00325D50"/>
    <w:rsid w:val="00325E0B"/>
    <w:rsid w:val="00325E3B"/>
    <w:rsid w:val="00326A49"/>
    <w:rsid w:val="00326D45"/>
    <w:rsid w:val="0032718E"/>
    <w:rsid w:val="003271F0"/>
    <w:rsid w:val="00327D5E"/>
    <w:rsid w:val="003304C7"/>
    <w:rsid w:val="00330516"/>
    <w:rsid w:val="00330519"/>
    <w:rsid w:val="003309C5"/>
    <w:rsid w:val="00330CB0"/>
    <w:rsid w:val="003316AF"/>
    <w:rsid w:val="00331E19"/>
    <w:rsid w:val="00332332"/>
    <w:rsid w:val="0033241E"/>
    <w:rsid w:val="003324DE"/>
    <w:rsid w:val="003326CC"/>
    <w:rsid w:val="003327C5"/>
    <w:rsid w:val="003328E3"/>
    <w:rsid w:val="00332D03"/>
    <w:rsid w:val="0033305D"/>
    <w:rsid w:val="003339B9"/>
    <w:rsid w:val="00333F11"/>
    <w:rsid w:val="0033402E"/>
    <w:rsid w:val="0033461F"/>
    <w:rsid w:val="003349B3"/>
    <w:rsid w:val="00334CFD"/>
    <w:rsid w:val="00334E1E"/>
    <w:rsid w:val="00335004"/>
    <w:rsid w:val="0033521F"/>
    <w:rsid w:val="00335FB8"/>
    <w:rsid w:val="00336166"/>
    <w:rsid w:val="003361B1"/>
    <w:rsid w:val="00336E33"/>
    <w:rsid w:val="00336EBB"/>
    <w:rsid w:val="0033762D"/>
    <w:rsid w:val="003379BA"/>
    <w:rsid w:val="00340303"/>
    <w:rsid w:val="0034038D"/>
    <w:rsid w:val="0034089C"/>
    <w:rsid w:val="00340B06"/>
    <w:rsid w:val="00340BEA"/>
    <w:rsid w:val="00340F89"/>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407"/>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50390"/>
    <w:rsid w:val="003508FF"/>
    <w:rsid w:val="00350B83"/>
    <w:rsid w:val="00350E61"/>
    <w:rsid w:val="003512E5"/>
    <w:rsid w:val="0035147C"/>
    <w:rsid w:val="00351B63"/>
    <w:rsid w:val="00352144"/>
    <w:rsid w:val="003523AB"/>
    <w:rsid w:val="00352581"/>
    <w:rsid w:val="00352EA7"/>
    <w:rsid w:val="0035377D"/>
    <w:rsid w:val="00353DAF"/>
    <w:rsid w:val="0035474A"/>
    <w:rsid w:val="00354CC4"/>
    <w:rsid w:val="00354D0C"/>
    <w:rsid w:val="00354DAE"/>
    <w:rsid w:val="00355241"/>
    <w:rsid w:val="0035528E"/>
    <w:rsid w:val="0035578E"/>
    <w:rsid w:val="00355825"/>
    <w:rsid w:val="00355A16"/>
    <w:rsid w:val="00355B51"/>
    <w:rsid w:val="00356626"/>
    <w:rsid w:val="00357023"/>
    <w:rsid w:val="003574E3"/>
    <w:rsid w:val="003575E6"/>
    <w:rsid w:val="00357E81"/>
    <w:rsid w:val="0036014A"/>
    <w:rsid w:val="00360153"/>
    <w:rsid w:val="00360316"/>
    <w:rsid w:val="00360AE9"/>
    <w:rsid w:val="00360F70"/>
    <w:rsid w:val="003610ED"/>
    <w:rsid w:val="00361DC0"/>
    <w:rsid w:val="00361F12"/>
    <w:rsid w:val="00362096"/>
    <w:rsid w:val="003620D8"/>
    <w:rsid w:val="00362421"/>
    <w:rsid w:val="00362C25"/>
    <w:rsid w:val="003630CC"/>
    <w:rsid w:val="0036312D"/>
    <w:rsid w:val="003634C1"/>
    <w:rsid w:val="00363BA7"/>
    <w:rsid w:val="00363DF1"/>
    <w:rsid w:val="0036427D"/>
    <w:rsid w:val="00364875"/>
    <w:rsid w:val="00364C1A"/>
    <w:rsid w:val="00365813"/>
    <w:rsid w:val="00365B22"/>
    <w:rsid w:val="00365B95"/>
    <w:rsid w:val="003661C5"/>
    <w:rsid w:val="003662E5"/>
    <w:rsid w:val="003666DC"/>
    <w:rsid w:val="00366B6A"/>
    <w:rsid w:val="00366D64"/>
    <w:rsid w:val="00367233"/>
    <w:rsid w:val="0036771C"/>
    <w:rsid w:val="0036792E"/>
    <w:rsid w:val="00367A5E"/>
    <w:rsid w:val="00367B65"/>
    <w:rsid w:val="00367BB1"/>
    <w:rsid w:val="00367D24"/>
    <w:rsid w:val="0037050D"/>
    <w:rsid w:val="003709D5"/>
    <w:rsid w:val="00370AA8"/>
    <w:rsid w:val="00370AE9"/>
    <w:rsid w:val="00370C38"/>
    <w:rsid w:val="00371254"/>
    <w:rsid w:val="003713AE"/>
    <w:rsid w:val="0037198B"/>
    <w:rsid w:val="003719D1"/>
    <w:rsid w:val="0037277E"/>
    <w:rsid w:val="0037294B"/>
    <w:rsid w:val="003729AD"/>
    <w:rsid w:val="00372E11"/>
    <w:rsid w:val="00372FAB"/>
    <w:rsid w:val="0037308D"/>
    <w:rsid w:val="003730B9"/>
    <w:rsid w:val="00373885"/>
    <w:rsid w:val="00373EB0"/>
    <w:rsid w:val="00374017"/>
    <w:rsid w:val="003745F4"/>
    <w:rsid w:val="00374661"/>
    <w:rsid w:val="00374992"/>
    <w:rsid w:val="00374E6B"/>
    <w:rsid w:val="00375D55"/>
    <w:rsid w:val="00375FF5"/>
    <w:rsid w:val="0037627E"/>
    <w:rsid w:val="003762D9"/>
    <w:rsid w:val="003765F0"/>
    <w:rsid w:val="00376A21"/>
    <w:rsid w:val="00376DA8"/>
    <w:rsid w:val="003770B5"/>
    <w:rsid w:val="003771CB"/>
    <w:rsid w:val="0037766D"/>
    <w:rsid w:val="00377B1E"/>
    <w:rsid w:val="00377BFB"/>
    <w:rsid w:val="00377DA9"/>
    <w:rsid w:val="0038016B"/>
    <w:rsid w:val="0038022C"/>
    <w:rsid w:val="00380683"/>
    <w:rsid w:val="003809C8"/>
    <w:rsid w:val="00380F9F"/>
    <w:rsid w:val="00381607"/>
    <w:rsid w:val="00381643"/>
    <w:rsid w:val="003818C6"/>
    <w:rsid w:val="0038195D"/>
    <w:rsid w:val="00381B5E"/>
    <w:rsid w:val="00382698"/>
    <w:rsid w:val="003826DB"/>
    <w:rsid w:val="00382762"/>
    <w:rsid w:val="00382D32"/>
    <w:rsid w:val="00382E6A"/>
    <w:rsid w:val="00382F7E"/>
    <w:rsid w:val="00383059"/>
    <w:rsid w:val="003834DF"/>
    <w:rsid w:val="00383A8F"/>
    <w:rsid w:val="00383C0F"/>
    <w:rsid w:val="00383CAB"/>
    <w:rsid w:val="00383D55"/>
    <w:rsid w:val="00383E25"/>
    <w:rsid w:val="00384120"/>
    <w:rsid w:val="0038419E"/>
    <w:rsid w:val="00384865"/>
    <w:rsid w:val="00384C56"/>
    <w:rsid w:val="00384CE5"/>
    <w:rsid w:val="003857F4"/>
    <w:rsid w:val="00385BC6"/>
    <w:rsid w:val="00385EF9"/>
    <w:rsid w:val="00386415"/>
    <w:rsid w:val="003865C8"/>
    <w:rsid w:val="00386C60"/>
    <w:rsid w:val="00386D01"/>
    <w:rsid w:val="00387529"/>
    <w:rsid w:val="0039035E"/>
    <w:rsid w:val="003903F6"/>
    <w:rsid w:val="00390620"/>
    <w:rsid w:val="0039065B"/>
    <w:rsid w:val="00390732"/>
    <w:rsid w:val="00390AEA"/>
    <w:rsid w:val="0039104A"/>
    <w:rsid w:val="0039143C"/>
    <w:rsid w:val="0039174F"/>
    <w:rsid w:val="0039199B"/>
    <w:rsid w:val="003921FB"/>
    <w:rsid w:val="00392300"/>
    <w:rsid w:val="0039255E"/>
    <w:rsid w:val="00392796"/>
    <w:rsid w:val="00392C21"/>
    <w:rsid w:val="00393210"/>
    <w:rsid w:val="0039331E"/>
    <w:rsid w:val="00393882"/>
    <w:rsid w:val="003946D6"/>
    <w:rsid w:val="0039479A"/>
    <w:rsid w:val="00394B90"/>
    <w:rsid w:val="0039578A"/>
    <w:rsid w:val="00395D20"/>
    <w:rsid w:val="00395D28"/>
    <w:rsid w:val="003962B1"/>
    <w:rsid w:val="003962EA"/>
    <w:rsid w:val="00396F81"/>
    <w:rsid w:val="003972DA"/>
    <w:rsid w:val="0039753D"/>
    <w:rsid w:val="003976A2"/>
    <w:rsid w:val="003978EB"/>
    <w:rsid w:val="00397951"/>
    <w:rsid w:val="00397BEA"/>
    <w:rsid w:val="003A010C"/>
    <w:rsid w:val="003A073D"/>
    <w:rsid w:val="003A09B3"/>
    <w:rsid w:val="003A0CDC"/>
    <w:rsid w:val="003A0D57"/>
    <w:rsid w:val="003A0E08"/>
    <w:rsid w:val="003A1183"/>
    <w:rsid w:val="003A120F"/>
    <w:rsid w:val="003A1A56"/>
    <w:rsid w:val="003A1ED5"/>
    <w:rsid w:val="003A25AD"/>
    <w:rsid w:val="003A26E3"/>
    <w:rsid w:val="003A2CE5"/>
    <w:rsid w:val="003A2F62"/>
    <w:rsid w:val="003A2F68"/>
    <w:rsid w:val="003A33D8"/>
    <w:rsid w:val="003A3782"/>
    <w:rsid w:val="003A37C9"/>
    <w:rsid w:val="003A39AA"/>
    <w:rsid w:val="003A3C8A"/>
    <w:rsid w:val="003A3F32"/>
    <w:rsid w:val="003A40BC"/>
    <w:rsid w:val="003A4BD5"/>
    <w:rsid w:val="003A4BE5"/>
    <w:rsid w:val="003A4F03"/>
    <w:rsid w:val="003A4FAF"/>
    <w:rsid w:val="003A4FDF"/>
    <w:rsid w:val="003A5141"/>
    <w:rsid w:val="003A5689"/>
    <w:rsid w:val="003A56A2"/>
    <w:rsid w:val="003A6049"/>
    <w:rsid w:val="003A6B12"/>
    <w:rsid w:val="003A6D26"/>
    <w:rsid w:val="003A6E2C"/>
    <w:rsid w:val="003A715A"/>
    <w:rsid w:val="003A7594"/>
    <w:rsid w:val="003A7659"/>
    <w:rsid w:val="003A7B3A"/>
    <w:rsid w:val="003A7D64"/>
    <w:rsid w:val="003B0061"/>
    <w:rsid w:val="003B014D"/>
    <w:rsid w:val="003B01FE"/>
    <w:rsid w:val="003B0537"/>
    <w:rsid w:val="003B0D57"/>
    <w:rsid w:val="003B0E1F"/>
    <w:rsid w:val="003B169B"/>
    <w:rsid w:val="003B1A50"/>
    <w:rsid w:val="003B23DC"/>
    <w:rsid w:val="003B2A0B"/>
    <w:rsid w:val="003B2C6B"/>
    <w:rsid w:val="003B2E04"/>
    <w:rsid w:val="003B2FCA"/>
    <w:rsid w:val="003B36CB"/>
    <w:rsid w:val="003B37EE"/>
    <w:rsid w:val="003B3A4F"/>
    <w:rsid w:val="003B3C7C"/>
    <w:rsid w:val="003B3DE4"/>
    <w:rsid w:val="003B3F00"/>
    <w:rsid w:val="003B442D"/>
    <w:rsid w:val="003B45F2"/>
    <w:rsid w:val="003B4BAE"/>
    <w:rsid w:val="003B4DE1"/>
    <w:rsid w:val="003B4F0F"/>
    <w:rsid w:val="003B4F75"/>
    <w:rsid w:val="003B5210"/>
    <w:rsid w:val="003B5364"/>
    <w:rsid w:val="003B5410"/>
    <w:rsid w:val="003B55B3"/>
    <w:rsid w:val="003B56ED"/>
    <w:rsid w:val="003B5A9C"/>
    <w:rsid w:val="003B5BC4"/>
    <w:rsid w:val="003B5E5E"/>
    <w:rsid w:val="003B5F5B"/>
    <w:rsid w:val="003B60A5"/>
    <w:rsid w:val="003B61F9"/>
    <w:rsid w:val="003B6275"/>
    <w:rsid w:val="003B6519"/>
    <w:rsid w:val="003B6568"/>
    <w:rsid w:val="003B68E8"/>
    <w:rsid w:val="003B6AC6"/>
    <w:rsid w:val="003B755C"/>
    <w:rsid w:val="003B7E25"/>
    <w:rsid w:val="003B7ECB"/>
    <w:rsid w:val="003C010A"/>
    <w:rsid w:val="003C0C11"/>
    <w:rsid w:val="003C12D1"/>
    <w:rsid w:val="003C12E3"/>
    <w:rsid w:val="003C1324"/>
    <w:rsid w:val="003C2148"/>
    <w:rsid w:val="003C2320"/>
    <w:rsid w:val="003C236F"/>
    <w:rsid w:val="003C27A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C7E"/>
    <w:rsid w:val="003C4FFE"/>
    <w:rsid w:val="003C5049"/>
    <w:rsid w:val="003C558A"/>
    <w:rsid w:val="003C55C6"/>
    <w:rsid w:val="003C55E3"/>
    <w:rsid w:val="003C5C3F"/>
    <w:rsid w:val="003C5E38"/>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87"/>
    <w:rsid w:val="003C7FC2"/>
    <w:rsid w:val="003D000D"/>
    <w:rsid w:val="003D006D"/>
    <w:rsid w:val="003D033A"/>
    <w:rsid w:val="003D051B"/>
    <w:rsid w:val="003D0A61"/>
    <w:rsid w:val="003D0ACC"/>
    <w:rsid w:val="003D0FB8"/>
    <w:rsid w:val="003D1616"/>
    <w:rsid w:val="003D16EF"/>
    <w:rsid w:val="003D2023"/>
    <w:rsid w:val="003D21E7"/>
    <w:rsid w:val="003D23FD"/>
    <w:rsid w:val="003D2477"/>
    <w:rsid w:val="003D2826"/>
    <w:rsid w:val="003D2915"/>
    <w:rsid w:val="003D298E"/>
    <w:rsid w:val="003D2E40"/>
    <w:rsid w:val="003D2ECA"/>
    <w:rsid w:val="003D3467"/>
    <w:rsid w:val="003D3668"/>
    <w:rsid w:val="003D3A89"/>
    <w:rsid w:val="003D3AF3"/>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97D"/>
    <w:rsid w:val="003E0FBF"/>
    <w:rsid w:val="003E10D0"/>
    <w:rsid w:val="003E1131"/>
    <w:rsid w:val="003E137F"/>
    <w:rsid w:val="003E14C9"/>
    <w:rsid w:val="003E18C3"/>
    <w:rsid w:val="003E1B29"/>
    <w:rsid w:val="003E26ED"/>
    <w:rsid w:val="003E2A10"/>
    <w:rsid w:val="003E2D28"/>
    <w:rsid w:val="003E2FF0"/>
    <w:rsid w:val="003E337B"/>
    <w:rsid w:val="003E3AB7"/>
    <w:rsid w:val="003E4923"/>
    <w:rsid w:val="003E4D74"/>
    <w:rsid w:val="003E51A4"/>
    <w:rsid w:val="003E5319"/>
    <w:rsid w:val="003E58C2"/>
    <w:rsid w:val="003E5916"/>
    <w:rsid w:val="003E5A76"/>
    <w:rsid w:val="003E6376"/>
    <w:rsid w:val="003E6687"/>
    <w:rsid w:val="003E6B27"/>
    <w:rsid w:val="003E6B9D"/>
    <w:rsid w:val="003E72B1"/>
    <w:rsid w:val="003E764F"/>
    <w:rsid w:val="003E7A12"/>
    <w:rsid w:val="003E7AC5"/>
    <w:rsid w:val="003E7DC6"/>
    <w:rsid w:val="003F00DF"/>
    <w:rsid w:val="003F02CB"/>
    <w:rsid w:val="003F0522"/>
    <w:rsid w:val="003F0FD9"/>
    <w:rsid w:val="003F12EC"/>
    <w:rsid w:val="003F14FD"/>
    <w:rsid w:val="003F172A"/>
    <w:rsid w:val="003F1C3D"/>
    <w:rsid w:val="003F1FDA"/>
    <w:rsid w:val="003F23D3"/>
    <w:rsid w:val="003F25E9"/>
    <w:rsid w:val="003F2602"/>
    <w:rsid w:val="003F2678"/>
    <w:rsid w:val="003F2797"/>
    <w:rsid w:val="003F2FAE"/>
    <w:rsid w:val="003F33C3"/>
    <w:rsid w:val="003F37AB"/>
    <w:rsid w:val="003F387F"/>
    <w:rsid w:val="003F3ABA"/>
    <w:rsid w:val="003F3E96"/>
    <w:rsid w:val="003F452D"/>
    <w:rsid w:val="003F45D6"/>
    <w:rsid w:val="003F4BFE"/>
    <w:rsid w:val="003F4F25"/>
    <w:rsid w:val="003F5BE6"/>
    <w:rsid w:val="003F60FD"/>
    <w:rsid w:val="003F6A48"/>
    <w:rsid w:val="003F6D16"/>
    <w:rsid w:val="003F6D25"/>
    <w:rsid w:val="003F6F5A"/>
    <w:rsid w:val="003F7603"/>
    <w:rsid w:val="003F788F"/>
    <w:rsid w:val="003F797D"/>
    <w:rsid w:val="003F7A45"/>
    <w:rsid w:val="0040000C"/>
    <w:rsid w:val="004001E8"/>
    <w:rsid w:val="00400302"/>
    <w:rsid w:val="004009D9"/>
    <w:rsid w:val="00400F52"/>
    <w:rsid w:val="00401764"/>
    <w:rsid w:val="0040189C"/>
    <w:rsid w:val="00401C21"/>
    <w:rsid w:val="00402A89"/>
    <w:rsid w:val="00403293"/>
    <w:rsid w:val="0040338B"/>
    <w:rsid w:val="004035DD"/>
    <w:rsid w:val="004038B3"/>
    <w:rsid w:val="0040398A"/>
    <w:rsid w:val="00403CA0"/>
    <w:rsid w:val="00403E2F"/>
    <w:rsid w:val="00404BDC"/>
    <w:rsid w:val="00404D7B"/>
    <w:rsid w:val="00404E4D"/>
    <w:rsid w:val="00405871"/>
    <w:rsid w:val="00405CD9"/>
    <w:rsid w:val="0040653F"/>
    <w:rsid w:val="00406651"/>
    <w:rsid w:val="00406703"/>
    <w:rsid w:val="00406B25"/>
    <w:rsid w:val="00406BCD"/>
    <w:rsid w:val="0040736D"/>
    <w:rsid w:val="00407382"/>
    <w:rsid w:val="0040745B"/>
    <w:rsid w:val="0040758D"/>
    <w:rsid w:val="00407E97"/>
    <w:rsid w:val="00410065"/>
    <w:rsid w:val="00411FC4"/>
    <w:rsid w:val="0041234E"/>
    <w:rsid w:val="0041253D"/>
    <w:rsid w:val="00412813"/>
    <w:rsid w:val="004129C0"/>
    <w:rsid w:val="00412EE0"/>
    <w:rsid w:val="0041338E"/>
    <w:rsid w:val="004133C3"/>
    <w:rsid w:val="00413660"/>
    <w:rsid w:val="004137F1"/>
    <w:rsid w:val="0041384B"/>
    <w:rsid w:val="004138A4"/>
    <w:rsid w:val="00414055"/>
    <w:rsid w:val="004143E8"/>
    <w:rsid w:val="004144CF"/>
    <w:rsid w:val="0041463A"/>
    <w:rsid w:val="0041476E"/>
    <w:rsid w:val="00414823"/>
    <w:rsid w:val="004152CD"/>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A9"/>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816"/>
    <w:rsid w:val="00423B70"/>
    <w:rsid w:val="00423BE9"/>
    <w:rsid w:val="00423D75"/>
    <w:rsid w:val="0042453A"/>
    <w:rsid w:val="0042465E"/>
    <w:rsid w:val="00424683"/>
    <w:rsid w:val="004246C9"/>
    <w:rsid w:val="00424B98"/>
    <w:rsid w:val="00424B9C"/>
    <w:rsid w:val="00425006"/>
    <w:rsid w:val="004255E5"/>
    <w:rsid w:val="00425DEC"/>
    <w:rsid w:val="004263BC"/>
    <w:rsid w:val="004270FE"/>
    <w:rsid w:val="0042793F"/>
    <w:rsid w:val="00427D7C"/>
    <w:rsid w:val="00430378"/>
    <w:rsid w:val="00430858"/>
    <w:rsid w:val="00430BD9"/>
    <w:rsid w:val="0043106B"/>
    <w:rsid w:val="0043119A"/>
    <w:rsid w:val="004312B6"/>
    <w:rsid w:val="0043178A"/>
    <w:rsid w:val="004317C7"/>
    <w:rsid w:val="00431A22"/>
    <w:rsid w:val="0043230A"/>
    <w:rsid w:val="0043233C"/>
    <w:rsid w:val="00432422"/>
    <w:rsid w:val="004324FB"/>
    <w:rsid w:val="00432B97"/>
    <w:rsid w:val="004336E6"/>
    <w:rsid w:val="004337C6"/>
    <w:rsid w:val="0043393D"/>
    <w:rsid w:val="00433D25"/>
    <w:rsid w:val="00433D3E"/>
    <w:rsid w:val="00433F16"/>
    <w:rsid w:val="00434140"/>
    <w:rsid w:val="00434275"/>
    <w:rsid w:val="004346A9"/>
    <w:rsid w:val="00434904"/>
    <w:rsid w:val="00434B5B"/>
    <w:rsid w:val="00434B6E"/>
    <w:rsid w:val="00434EAB"/>
    <w:rsid w:val="00435761"/>
    <w:rsid w:val="00435AD6"/>
    <w:rsid w:val="004362B0"/>
    <w:rsid w:val="00436464"/>
    <w:rsid w:val="0043651B"/>
    <w:rsid w:val="004367C1"/>
    <w:rsid w:val="00436EBA"/>
    <w:rsid w:val="00436F1D"/>
    <w:rsid w:val="00436F32"/>
    <w:rsid w:val="00436F50"/>
    <w:rsid w:val="004373A2"/>
    <w:rsid w:val="0043769C"/>
    <w:rsid w:val="004376DB"/>
    <w:rsid w:val="004376EE"/>
    <w:rsid w:val="00437764"/>
    <w:rsid w:val="00437925"/>
    <w:rsid w:val="00437AA7"/>
    <w:rsid w:val="00437ABF"/>
    <w:rsid w:val="00437E05"/>
    <w:rsid w:val="00440608"/>
    <w:rsid w:val="004406EE"/>
    <w:rsid w:val="00440855"/>
    <w:rsid w:val="00440F2E"/>
    <w:rsid w:val="00441251"/>
    <w:rsid w:val="00441324"/>
    <w:rsid w:val="004413AD"/>
    <w:rsid w:val="004414B8"/>
    <w:rsid w:val="0044178A"/>
    <w:rsid w:val="004418A6"/>
    <w:rsid w:val="00441A2F"/>
    <w:rsid w:val="00441F70"/>
    <w:rsid w:val="004426B8"/>
    <w:rsid w:val="004428CE"/>
    <w:rsid w:val="00442EC7"/>
    <w:rsid w:val="00442F62"/>
    <w:rsid w:val="00443120"/>
    <w:rsid w:val="00443D7E"/>
    <w:rsid w:val="00443E53"/>
    <w:rsid w:val="00443E6D"/>
    <w:rsid w:val="0044411D"/>
    <w:rsid w:val="004442B5"/>
    <w:rsid w:val="00444A3B"/>
    <w:rsid w:val="00444C15"/>
    <w:rsid w:val="00444DE6"/>
    <w:rsid w:val="00444FE2"/>
    <w:rsid w:val="00445828"/>
    <w:rsid w:val="00445954"/>
    <w:rsid w:val="00445DC2"/>
    <w:rsid w:val="00445F43"/>
    <w:rsid w:val="004467D3"/>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2298"/>
    <w:rsid w:val="004526DA"/>
    <w:rsid w:val="00452C33"/>
    <w:rsid w:val="00452C7B"/>
    <w:rsid w:val="00452CD6"/>
    <w:rsid w:val="0045334B"/>
    <w:rsid w:val="0045456C"/>
    <w:rsid w:val="004545B7"/>
    <w:rsid w:val="00454FF5"/>
    <w:rsid w:val="004551A9"/>
    <w:rsid w:val="0045595B"/>
    <w:rsid w:val="004559AE"/>
    <w:rsid w:val="00455D79"/>
    <w:rsid w:val="00455F0E"/>
    <w:rsid w:val="00456453"/>
    <w:rsid w:val="00456B6B"/>
    <w:rsid w:val="00456BE5"/>
    <w:rsid w:val="00456DFE"/>
    <w:rsid w:val="004573E5"/>
    <w:rsid w:val="00457544"/>
    <w:rsid w:val="00457999"/>
    <w:rsid w:val="00457A73"/>
    <w:rsid w:val="00457E4A"/>
    <w:rsid w:val="00457F43"/>
    <w:rsid w:val="00460642"/>
    <w:rsid w:val="00460A31"/>
    <w:rsid w:val="00460B3B"/>
    <w:rsid w:val="00460B68"/>
    <w:rsid w:val="00461CC8"/>
    <w:rsid w:val="00462038"/>
    <w:rsid w:val="0046207A"/>
    <w:rsid w:val="0046286D"/>
    <w:rsid w:val="004629AB"/>
    <w:rsid w:val="00463171"/>
    <w:rsid w:val="004633E0"/>
    <w:rsid w:val="0046387D"/>
    <w:rsid w:val="004638DB"/>
    <w:rsid w:val="004642B4"/>
    <w:rsid w:val="0046486E"/>
    <w:rsid w:val="00464A42"/>
    <w:rsid w:val="00464CAE"/>
    <w:rsid w:val="00464E42"/>
    <w:rsid w:val="0046502C"/>
    <w:rsid w:val="004650E4"/>
    <w:rsid w:val="004655C6"/>
    <w:rsid w:val="00465634"/>
    <w:rsid w:val="004656BF"/>
    <w:rsid w:val="00465D17"/>
    <w:rsid w:val="004664DB"/>
    <w:rsid w:val="0046658D"/>
    <w:rsid w:val="00466FB5"/>
    <w:rsid w:val="004703E1"/>
    <w:rsid w:val="004709B2"/>
    <w:rsid w:val="00470BAF"/>
    <w:rsid w:val="00470C96"/>
    <w:rsid w:val="00470D00"/>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5321"/>
    <w:rsid w:val="0047565B"/>
    <w:rsid w:val="0047634F"/>
    <w:rsid w:val="00476358"/>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5F1"/>
    <w:rsid w:val="004850B3"/>
    <w:rsid w:val="004857E7"/>
    <w:rsid w:val="00486130"/>
    <w:rsid w:val="004865A8"/>
    <w:rsid w:val="00486ADC"/>
    <w:rsid w:val="00486B96"/>
    <w:rsid w:val="00486C58"/>
    <w:rsid w:val="0048777D"/>
    <w:rsid w:val="004879AF"/>
    <w:rsid w:val="00487D18"/>
    <w:rsid w:val="00490038"/>
    <w:rsid w:val="00490059"/>
    <w:rsid w:val="00490162"/>
    <w:rsid w:val="004904F7"/>
    <w:rsid w:val="00490A5D"/>
    <w:rsid w:val="00491030"/>
    <w:rsid w:val="004910AC"/>
    <w:rsid w:val="004914D8"/>
    <w:rsid w:val="004919E8"/>
    <w:rsid w:val="00491E18"/>
    <w:rsid w:val="00491F91"/>
    <w:rsid w:val="00491FF6"/>
    <w:rsid w:val="00492145"/>
    <w:rsid w:val="004928CE"/>
    <w:rsid w:val="00492A2F"/>
    <w:rsid w:val="00492BA1"/>
    <w:rsid w:val="00492D7E"/>
    <w:rsid w:val="00493540"/>
    <w:rsid w:val="00493607"/>
    <w:rsid w:val="004939E4"/>
    <w:rsid w:val="00493D36"/>
    <w:rsid w:val="00493E35"/>
    <w:rsid w:val="00494AD6"/>
    <w:rsid w:val="00495120"/>
    <w:rsid w:val="00495E67"/>
    <w:rsid w:val="004963F9"/>
    <w:rsid w:val="0049698A"/>
    <w:rsid w:val="00496B4E"/>
    <w:rsid w:val="00496DE2"/>
    <w:rsid w:val="00497448"/>
    <w:rsid w:val="004975AA"/>
    <w:rsid w:val="00497935"/>
    <w:rsid w:val="004A034A"/>
    <w:rsid w:val="004A0476"/>
    <w:rsid w:val="004A07D7"/>
    <w:rsid w:val="004A0A69"/>
    <w:rsid w:val="004A0F9E"/>
    <w:rsid w:val="004A10D4"/>
    <w:rsid w:val="004A1130"/>
    <w:rsid w:val="004A1219"/>
    <w:rsid w:val="004A1A77"/>
    <w:rsid w:val="004A1DAA"/>
    <w:rsid w:val="004A23D2"/>
    <w:rsid w:val="004A25A0"/>
    <w:rsid w:val="004A285D"/>
    <w:rsid w:val="004A2D1D"/>
    <w:rsid w:val="004A302B"/>
    <w:rsid w:val="004A3242"/>
    <w:rsid w:val="004A3838"/>
    <w:rsid w:val="004A4467"/>
    <w:rsid w:val="004A4957"/>
    <w:rsid w:val="004A5258"/>
    <w:rsid w:val="004A5467"/>
    <w:rsid w:val="004A5AE2"/>
    <w:rsid w:val="004A5BB1"/>
    <w:rsid w:val="004A5CB1"/>
    <w:rsid w:val="004A5E3E"/>
    <w:rsid w:val="004A5EAA"/>
    <w:rsid w:val="004A638D"/>
    <w:rsid w:val="004A64EC"/>
    <w:rsid w:val="004A695F"/>
    <w:rsid w:val="004A697B"/>
    <w:rsid w:val="004A6A35"/>
    <w:rsid w:val="004A6EA6"/>
    <w:rsid w:val="004A7550"/>
    <w:rsid w:val="004A7966"/>
    <w:rsid w:val="004A7A54"/>
    <w:rsid w:val="004B0239"/>
    <w:rsid w:val="004B0379"/>
    <w:rsid w:val="004B0A69"/>
    <w:rsid w:val="004B0BF8"/>
    <w:rsid w:val="004B0D1E"/>
    <w:rsid w:val="004B0E2E"/>
    <w:rsid w:val="004B1604"/>
    <w:rsid w:val="004B1701"/>
    <w:rsid w:val="004B1804"/>
    <w:rsid w:val="004B18CC"/>
    <w:rsid w:val="004B2609"/>
    <w:rsid w:val="004B2722"/>
    <w:rsid w:val="004B2F3D"/>
    <w:rsid w:val="004B32A0"/>
    <w:rsid w:val="004B36C1"/>
    <w:rsid w:val="004B3A60"/>
    <w:rsid w:val="004B3FCD"/>
    <w:rsid w:val="004B4C62"/>
    <w:rsid w:val="004B4D15"/>
    <w:rsid w:val="004B5064"/>
    <w:rsid w:val="004B5078"/>
    <w:rsid w:val="004B5096"/>
    <w:rsid w:val="004B51DA"/>
    <w:rsid w:val="004B54EF"/>
    <w:rsid w:val="004B592E"/>
    <w:rsid w:val="004B5CE2"/>
    <w:rsid w:val="004B5DAC"/>
    <w:rsid w:val="004B6147"/>
    <w:rsid w:val="004B6184"/>
    <w:rsid w:val="004B6634"/>
    <w:rsid w:val="004B67BB"/>
    <w:rsid w:val="004B67F1"/>
    <w:rsid w:val="004B6812"/>
    <w:rsid w:val="004B7293"/>
    <w:rsid w:val="004B7DD1"/>
    <w:rsid w:val="004C0096"/>
    <w:rsid w:val="004C00A3"/>
    <w:rsid w:val="004C00F4"/>
    <w:rsid w:val="004C037B"/>
    <w:rsid w:val="004C082A"/>
    <w:rsid w:val="004C0830"/>
    <w:rsid w:val="004C085B"/>
    <w:rsid w:val="004C0BDA"/>
    <w:rsid w:val="004C1472"/>
    <w:rsid w:val="004C165E"/>
    <w:rsid w:val="004C1B86"/>
    <w:rsid w:val="004C1BF9"/>
    <w:rsid w:val="004C1C3E"/>
    <w:rsid w:val="004C23BD"/>
    <w:rsid w:val="004C2498"/>
    <w:rsid w:val="004C331E"/>
    <w:rsid w:val="004C333F"/>
    <w:rsid w:val="004C33BC"/>
    <w:rsid w:val="004C3D19"/>
    <w:rsid w:val="004C3FC0"/>
    <w:rsid w:val="004C42C9"/>
    <w:rsid w:val="004C4D54"/>
    <w:rsid w:val="004C5B42"/>
    <w:rsid w:val="004C5ECB"/>
    <w:rsid w:val="004C6672"/>
    <w:rsid w:val="004C68B6"/>
    <w:rsid w:val="004C74F1"/>
    <w:rsid w:val="004D039F"/>
    <w:rsid w:val="004D04F6"/>
    <w:rsid w:val="004D0ED5"/>
    <w:rsid w:val="004D12A8"/>
    <w:rsid w:val="004D1906"/>
    <w:rsid w:val="004D1C16"/>
    <w:rsid w:val="004D203B"/>
    <w:rsid w:val="004D240F"/>
    <w:rsid w:val="004D2434"/>
    <w:rsid w:val="004D2710"/>
    <w:rsid w:val="004D29CC"/>
    <w:rsid w:val="004D2AB8"/>
    <w:rsid w:val="004D2D7A"/>
    <w:rsid w:val="004D37B3"/>
    <w:rsid w:val="004D391B"/>
    <w:rsid w:val="004D3E11"/>
    <w:rsid w:val="004D4043"/>
    <w:rsid w:val="004D4304"/>
    <w:rsid w:val="004D470B"/>
    <w:rsid w:val="004D4CD1"/>
    <w:rsid w:val="004D4E73"/>
    <w:rsid w:val="004D503B"/>
    <w:rsid w:val="004D50AB"/>
    <w:rsid w:val="004D514C"/>
    <w:rsid w:val="004D524E"/>
    <w:rsid w:val="004D5266"/>
    <w:rsid w:val="004D54B7"/>
    <w:rsid w:val="004D60DF"/>
    <w:rsid w:val="004D6786"/>
    <w:rsid w:val="004D69E1"/>
    <w:rsid w:val="004D7869"/>
    <w:rsid w:val="004D7EE4"/>
    <w:rsid w:val="004E0137"/>
    <w:rsid w:val="004E017C"/>
    <w:rsid w:val="004E11CF"/>
    <w:rsid w:val="004E121B"/>
    <w:rsid w:val="004E18E7"/>
    <w:rsid w:val="004E1E29"/>
    <w:rsid w:val="004E1ECE"/>
    <w:rsid w:val="004E1EF5"/>
    <w:rsid w:val="004E23F7"/>
    <w:rsid w:val="004E24D1"/>
    <w:rsid w:val="004E2A73"/>
    <w:rsid w:val="004E2B5D"/>
    <w:rsid w:val="004E3268"/>
    <w:rsid w:val="004E33F8"/>
    <w:rsid w:val="004E368A"/>
    <w:rsid w:val="004E3801"/>
    <w:rsid w:val="004E39C9"/>
    <w:rsid w:val="004E417F"/>
    <w:rsid w:val="004E41A1"/>
    <w:rsid w:val="004E4391"/>
    <w:rsid w:val="004E46F5"/>
    <w:rsid w:val="004E4CA8"/>
    <w:rsid w:val="004E4D78"/>
    <w:rsid w:val="004E4E20"/>
    <w:rsid w:val="004E500B"/>
    <w:rsid w:val="004E5153"/>
    <w:rsid w:val="004E5C65"/>
    <w:rsid w:val="004E687B"/>
    <w:rsid w:val="004E70F3"/>
    <w:rsid w:val="004E713A"/>
    <w:rsid w:val="004E7649"/>
    <w:rsid w:val="004E79EC"/>
    <w:rsid w:val="004E7AD7"/>
    <w:rsid w:val="004E7B2E"/>
    <w:rsid w:val="004E7BDD"/>
    <w:rsid w:val="004F01D5"/>
    <w:rsid w:val="004F0439"/>
    <w:rsid w:val="004F0738"/>
    <w:rsid w:val="004F0A17"/>
    <w:rsid w:val="004F115C"/>
    <w:rsid w:val="004F13A0"/>
    <w:rsid w:val="004F17D0"/>
    <w:rsid w:val="004F1BB6"/>
    <w:rsid w:val="004F2044"/>
    <w:rsid w:val="004F20DC"/>
    <w:rsid w:val="004F23BA"/>
    <w:rsid w:val="004F33A6"/>
    <w:rsid w:val="004F35B2"/>
    <w:rsid w:val="004F35D6"/>
    <w:rsid w:val="004F3982"/>
    <w:rsid w:val="004F3A47"/>
    <w:rsid w:val="004F3AE1"/>
    <w:rsid w:val="004F3C71"/>
    <w:rsid w:val="004F3CDC"/>
    <w:rsid w:val="004F4537"/>
    <w:rsid w:val="004F4797"/>
    <w:rsid w:val="004F5068"/>
    <w:rsid w:val="004F51E9"/>
    <w:rsid w:val="004F54F5"/>
    <w:rsid w:val="004F551A"/>
    <w:rsid w:val="004F5C06"/>
    <w:rsid w:val="004F5FCC"/>
    <w:rsid w:val="004F63CD"/>
    <w:rsid w:val="004F63D5"/>
    <w:rsid w:val="004F64E4"/>
    <w:rsid w:val="004F662E"/>
    <w:rsid w:val="004F6A3A"/>
    <w:rsid w:val="004F6D13"/>
    <w:rsid w:val="004F6D20"/>
    <w:rsid w:val="004F6E61"/>
    <w:rsid w:val="004F71AC"/>
    <w:rsid w:val="004F75B7"/>
    <w:rsid w:val="004F783D"/>
    <w:rsid w:val="004F798E"/>
    <w:rsid w:val="005004E2"/>
    <w:rsid w:val="005009D1"/>
    <w:rsid w:val="005012E6"/>
    <w:rsid w:val="00501B88"/>
    <w:rsid w:val="0050246A"/>
    <w:rsid w:val="005025AD"/>
    <w:rsid w:val="005029B4"/>
    <w:rsid w:val="005033B1"/>
    <w:rsid w:val="0050348C"/>
    <w:rsid w:val="005039C8"/>
    <w:rsid w:val="00503A7E"/>
    <w:rsid w:val="00503ADE"/>
    <w:rsid w:val="00503BA8"/>
    <w:rsid w:val="00504660"/>
    <w:rsid w:val="00504D6A"/>
    <w:rsid w:val="00505BCC"/>
    <w:rsid w:val="00505CD4"/>
    <w:rsid w:val="00506869"/>
    <w:rsid w:val="00506974"/>
    <w:rsid w:val="00506E52"/>
    <w:rsid w:val="005072C5"/>
    <w:rsid w:val="005078D1"/>
    <w:rsid w:val="00510003"/>
    <w:rsid w:val="00510174"/>
    <w:rsid w:val="005104D5"/>
    <w:rsid w:val="0051091F"/>
    <w:rsid w:val="00510AC0"/>
    <w:rsid w:val="00510DB1"/>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152"/>
    <w:rsid w:val="0051436F"/>
    <w:rsid w:val="0051498D"/>
    <w:rsid w:val="00514D56"/>
    <w:rsid w:val="00514F71"/>
    <w:rsid w:val="005158B6"/>
    <w:rsid w:val="005158C0"/>
    <w:rsid w:val="005159D9"/>
    <w:rsid w:val="00515A24"/>
    <w:rsid w:val="00515DD3"/>
    <w:rsid w:val="00515E0B"/>
    <w:rsid w:val="00515ED5"/>
    <w:rsid w:val="00516523"/>
    <w:rsid w:val="005166CD"/>
    <w:rsid w:val="00516705"/>
    <w:rsid w:val="005169BC"/>
    <w:rsid w:val="00516B0E"/>
    <w:rsid w:val="00517A06"/>
    <w:rsid w:val="00517BD2"/>
    <w:rsid w:val="00517CD1"/>
    <w:rsid w:val="00517FA7"/>
    <w:rsid w:val="0052026F"/>
    <w:rsid w:val="005203C5"/>
    <w:rsid w:val="0052042A"/>
    <w:rsid w:val="00520AA1"/>
    <w:rsid w:val="005213EA"/>
    <w:rsid w:val="00521578"/>
    <w:rsid w:val="00521BA2"/>
    <w:rsid w:val="0052217F"/>
    <w:rsid w:val="00522204"/>
    <w:rsid w:val="0052237E"/>
    <w:rsid w:val="0052269D"/>
    <w:rsid w:val="00522E94"/>
    <w:rsid w:val="00522EEE"/>
    <w:rsid w:val="005231EC"/>
    <w:rsid w:val="005233DC"/>
    <w:rsid w:val="00523E4B"/>
    <w:rsid w:val="005241BC"/>
    <w:rsid w:val="00524468"/>
    <w:rsid w:val="00524EDE"/>
    <w:rsid w:val="0052534A"/>
    <w:rsid w:val="005255A6"/>
    <w:rsid w:val="005255B4"/>
    <w:rsid w:val="00526648"/>
    <w:rsid w:val="005266F3"/>
    <w:rsid w:val="0052770D"/>
    <w:rsid w:val="00527EBA"/>
    <w:rsid w:val="00527FDA"/>
    <w:rsid w:val="00530135"/>
    <w:rsid w:val="005302FC"/>
    <w:rsid w:val="00530B8F"/>
    <w:rsid w:val="005315C8"/>
    <w:rsid w:val="005315E4"/>
    <w:rsid w:val="005316DB"/>
    <w:rsid w:val="00531966"/>
    <w:rsid w:val="00532066"/>
    <w:rsid w:val="005321A2"/>
    <w:rsid w:val="0053222A"/>
    <w:rsid w:val="00532396"/>
    <w:rsid w:val="00532402"/>
    <w:rsid w:val="00532417"/>
    <w:rsid w:val="00532418"/>
    <w:rsid w:val="0053254C"/>
    <w:rsid w:val="00532933"/>
    <w:rsid w:val="00532A29"/>
    <w:rsid w:val="00532BC4"/>
    <w:rsid w:val="00533380"/>
    <w:rsid w:val="005337F7"/>
    <w:rsid w:val="00533A0B"/>
    <w:rsid w:val="00533C23"/>
    <w:rsid w:val="00533C90"/>
    <w:rsid w:val="00534950"/>
    <w:rsid w:val="00534A0C"/>
    <w:rsid w:val="00534B75"/>
    <w:rsid w:val="00534E2E"/>
    <w:rsid w:val="005351E4"/>
    <w:rsid w:val="00535465"/>
    <w:rsid w:val="005355A6"/>
    <w:rsid w:val="0053561B"/>
    <w:rsid w:val="00535AC6"/>
    <w:rsid w:val="00535BD2"/>
    <w:rsid w:val="00535FD3"/>
    <w:rsid w:val="005360FC"/>
    <w:rsid w:val="005363F4"/>
    <w:rsid w:val="0053664B"/>
    <w:rsid w:val="00536F72"/>
    <w:rsid w:val="00537690"/>
    <w:rsid w:val="00537A6F"/>
    <w:rsid w:val="00537B0E"/>
    <w:rsid w:val="00537EFF"/>
    <w:rsid w:val="00540565"/>
    <w:rsid w:val="00540AA0"/>
    <w:rsid w:val="0054113C"/>
    <w:rsid w:val="0054195C"/>
    <w:rsid w:val="00541BCD"/>
    <w:rsid w:val="00541CAA"/>
    <w:rsid w:val="00542522"/>
    <w:rsid w:val="00542AA2"/>
    <w:rsid w:val="00542B06"/>
    <w:rsid w:val="00542B7D"/>
    <w:rsid w:val="00542BCC"/>
    <w:rsid w:val="00542E14"/>
    <w:rsid w:val="00542FA8"/>
    <w:rsid w:val="00543058"/>
    <w:rsid w:val="00543BA1"/>
    <w:rsid w:val="00543FFA"/>
    <w:rsid w:val="00544148"/>
    <w:rsid w:val="00544398"/>
    <w:rsid w:val="0054463A"/>
    <w:rsid w:val="00544845"/>
    <w:rsid w:val="005448C9"/>
    <w:rsid w:val="00544B14"/>
    <w:rsid w:val="0054518F"/>
    <w:rsid w:val="00545300"/>
    <w:rsid w:val="0054571A"/>
    <w:rsid w:val="005457D4"/>
    <w:rsid w:val="0054591C"/>
    <w:rsid w:val="00545B9B"/>
    <w:rsid w:val="00545CBC"/>
    <w:rsid w:val="00545DF4"/>
    <w:rsid w:val="00545FB6"/>
    <w:rsid w:val="005463A2"/>
    <w:rsid w:val="0054677C"/>
    <w:rsid w:val="005469A6"/>
    <w:rsid w:val="00546B77"/>
    <w:rsid w:val="00547AA9"/>
    <w:rsid w:val="00550112"/>
    <w:rsid w:val="0055100A"/>
    <w:rsid w:val="005516B3"/>
    <w:rsid w:val="00551800"/>
    <w:rsid w:val="00551AE2"/>
    <w:rsid w:val="00551B81"/>
    <w:rsid w:val="00551C21"/>
    <w:rsid w:val="0055250F"/>
    <w:rsid w:val="00552BF6"/>
    <w:rsid w:val="005534FA"/>
    <w:rsid w:val="00553CA4"/>
    <w:rsid w:val="00554897"/>
    <w:rsid w:val="005550CA"/>
    <w:rsid w:val="0055522B"/>
    <w:rsid w:val="00555785"/>
    <w:rsid w:val="00555BDF"/>
    <w:rsid w:val="00555D4A"/>
    <w:rsid w:val="00555FBA"/>
    <w:rsid w:val="00556368"/>
    <w:rsid w:val="0055742C"/>
    <w:rsid w:val="00557471"/>
    <w:rsid w:val="005578D0"/>
    <w:rsid w:val="00557AA6"/>
    <w:rsid w:val="00560BA8"/>
    <w:rsid w:val="005610E1"/>
    <w:rsid w:val="005618E0"/>
    <w:rsid w:val="005619AA"/>
    <w:rsid w:val="00561B6E"/>
    <w:rsid w:val="00562394"/>
    <w:rsid w:val="00562BE1"/>
    <w:rsid w:val="00562CE4"/>
    <w:rsid w:val="00563106"/>
    <w:rsid w:val="00563255"/>
    <w:rsid w:val="00563563"/>
    <w:rsid w:val="005635AA"/>
    <w:rsid w:val="00563762"/>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E5B"/>
    <w:rsid w:val="00565E87"/>
    <w:rsid w:val="00566273"/>
    <w:rsid w:val="005662BC"/>
    <w:rsid w:val="005665DB"/>
    <w:rsid w:val="00566A09"/>
    <w:rsid w:val="00566A47"/>
    <w:rsid w:val="00566ACF"/>
    <w:rsid w:val="00566AE8"/>
    <w:rsid w:val="00566DA7"/>
    <w:rsid w:val="0057069F"/>
    <w:rsid w:val="00570776"/>
    <w:rsid w:val="00570FAD"/>
    <w:rsid w:val="00570FE4"/>
    <w:rsid w:val="00571B29"/>
    <w:rsid w:val="00571E28"/>
    <w:rsid w:val="005720AC"/>
    <w:rsid w:val="0057277D"/>
    <w:rsid w:val="00572ACB"/>
    <w:rsid w:val="00572CEF"/>
    <w:rsid w:val="00572E2C"/>
    <w:rsid w:val="00573117"/>
    <w:rsid w:val="0057350C"/>
    <w:rsid w:val="00573BD3"/>
    <w:rsid w:val="00573D00"/>
    <w:rsid w:val="00573E67"/>
    <w:rsid w:val="00573F30"/>
    <w:rsid w:val="00574AA0"/>
    <w:rsid w:val="00574FCC"/>
    <w:rsid w:val="00575587"/>
    <w:rsid w:val="00575AAB"/>
    <w:rsid w:val="005769B5"/>
    <w:rsid w:val="00576CC9"/>
    <w:rsid w:val="00577116"/>
    <w:rsid w:val="00577515"/>
    <w:rsid w:val="005775E2"/>
    <w:rsid w:val="00577816"/>
    <w:rsid w:val="00577A1C"/>
    <w:rsid w:val="00577B64"/>
    <w:rsid w:val="005800B7"/>
    <w:rsid w:val="005802D0"/>
    <w:rsid w:val="005804DF"/>
    <w:rsid w:val="005807D8"/>
    <w:rsid w:val="00580CE8"/>
    <w:rsid w:val="00580D6B"/>
    <w:rsid w:val="00581383"/>
    <w:rsid w:val="00581737"/>
    <w:rsid w:val="00581C48"/>
    <w:rsid w:val="00581FC5"/>
    <w:rsid w:val="005820A6"/>
    <w:rsid w:val="0058212D"/>
    <w:rsid w:val="00582229"/>
    <w:rsid w:val="005822C5"/>
    <w:rsid w:val="00582516"/>
    <w:rsid w:val="00582C63"/>
    <w:rsid w:val="0058361C"/>
    <w:rsid w:val="00583778"/>
    <w:rsid w:val="0058383C"/>
    <w:rsid w:val="005838B8"/>
    <w:rsid w:val="0058391D"/>
    <w:rsid w:val="0058398E"/>
    <w:rsid w:val="00583C90"/>
    <w:rsid w:val="00584505"/>
    <w:rsid w:val="00584604"/>
    <w:rsid w:val="005846A8"/>
    <w:rsid w:val="005847E6"/>
    <w:rsid w:val="00584806"/>
    <w:rsid w:val="00584831"/>
    <w:rsid w:val="00584A09"/>
    <w:rsid w:val="00584A21"/>
    <w:rsid w:val="00584AB8"/>
    <w:rsid w:val="00584D83"/>
    <w:rsid w:val="005852EB"/>
    <w:rsid w:val="00585768"/>
    <w:rsid w:val="00585A42"/>
    <w:rsid w:val="00585F27"/>
    <w:rsid w:val="00586120"/>
    <w:rsid w:val="00586531"/>
    <w:rsid w:val="0058669B"/>
    <w:rsid w:val="00586A0A"/>
    <w:rsid w:val="00586E21"/>
    <w:rsid w:val="00586EA5"/>
    <w:rsid w:val="00586F35"/>
    <w:rsid w:val="0058704D"/>
    <w:rsid w:val="00587430"/>
    <w:rsid w:val="0058746A"/>
    <w:rsid w:val="005874A3"/>
    <w:rsid w:val="00587C9D"/>
    <w:rsid w:val="00587D7C"/>
    <w:rsid w:val="00587DC2"/>
    <w:rsid w:val="00590176"/>
    <w:rsid w:val="00590567"/>
    <w:rsid w:val="00590750"/>
    <w:rsid w:val="00590BDF"/>
    <w:rsid w:val="00590F26"/>
    <w:rsid w:val="005913B3"/>
    <w:rsid w:val="00591656"/>
    <w:rsid w:val="00592157"/>
    <w:rsid w:val="005924E9"/>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E3"/>
    <w:rsid w:val="0059564B"/>
    <w:rsid w:val="005956AF"/>
    <w:rsid w:val="00595C9E"/>
    <w:rsid w:val="005960EF"/>
    <w:rsid w:val="005961D5"/>
    <w:rsid w:val="005962B7"/>
    <w:rsid w:val="00596420"/>
    <w:rsid w:val="005969C4"/>
    <w:rsid w:val="005969EC"/>
    <w:rsid w:val="005972A7"/>
    <w:rsid w:val="00597639"/>
    <w:rsid w:val="0059772F"/>
    <w:rsid w:val="00597DBA"/>
    <w:rsid w:val="005A02B1"/>
    <w:rsid w:val="005A057F"/>
    <w:rsid w:val="005A059E"/>
    <w:rsid w:val="005A05B4"/>
    <w:rsid w:val="005A06B0"/>
    <w:rsid w:val="005A0A58"/>
    <w:rsid w:val="005A0C38"/>
    <w:rsid w:val="005A0F4F"/>
    <w:rsid w:val="005A0FCF"/>
    <w:rsid w:val="005A183D"/>
    <w:rsid w:val="005A1A1F"/>
    <w:rsid w:val="005A1AF5"/>
    <w:rsid w:val="005A1D6F"/>
    <w:rsid w:val="005A242A"/>
    <w:rsid w:val="005A26CC"/>
    <w:rsid w:val="005A2AA3"/>
    <w:rsid w:val="005A2B28"/>
    <w:rsid w:val="005A31F6"/>
    <w:rsid w:val="005A39B7"/>
    <w:rsid w:val="005A3AAC"/>
    <w:rsid w:val="005A4ACE"/>
    <w:rsid w:val="005A4E51"/>
    <w:rsid w:val="005A4FD2"/>
    <w:rsid w:val="005A5104"/>
    <w:rsid w:val="005A52C4"/>
    <w:rsid w:val="005A5975"/>
    <w:rsid w:val="005A59E3"/>
    <w:rsid w:val="005A663A"/>
    <w:rsid w:val="005A69B8"/>
    <w:rsid w:val="005A6B60"/>
    <w:rsid w:val="005A6DB1"/>
    <w:rsid w:val="005A729F"/>
    <w:rsid w:val="005A7396"/>
    <w:rsid w:val="005A73F3"/>
    <w:rsid w:val="005A7824"/>
    <w:rsid w:val="005A7E09"/>
    <w:rsid w:val="005A7E81"/>
    <w:rsid w:val="005A7F44"/>
    <w:rsid w:val="005B08FF"/>
    <w:rsid w:val="005B0F65"/>
    <w:rsid w:val="005B1334"/>
    <w:rsid w:val="005B19CD"/>
    <w:rsid w:val="005B2C14"/>
    <w:rsid w:val="005B2C54"/>
    <w:rsid w:val="005B3B48"/>
    <w:rsid w:val="005B4580"/>
    <w:rsid w:val="005B489D"/>
    <w:rsid w:val="005B4A6E"/>
    <w:rsid w:val="005B4C2D"/>
    <w:rsid w:val="005B5739"/>
    <w:rsid w:val="005B5791"/>
    <w:rsid w:val="005B6005"/>
    <w:rsid w:val="005B6213"/>
    <w:rsid w:val="005B62F3"/>
    <w:rsid w:val="005B7047"/>
    <w:rsid w:val="005B711D"/>
    <w:rsid w:val="005B7276"/>
    <w:rsid w:val="005B785B"/>
    <w:rsid w:val="005B7BD0"/>
    <w:rsid w:val="005B7BEE"/>
    <w:rsid w:val="005B7D6D"/>
    <w:rsid w:val="005C0072"/>
    <w:rsid w:val="005C009B"/>
    <w:rsid w:val="005C01D9"/>
    <w:rsid w:val="005C0ACF"/>
    <w:rsid w:val="005C0C7B"/>
    <w:rsid w:val="005C0D5D"/>
    <w:rsid w:val="005C118D"/>
    <w:rsid w:val="005C126B"/>
    <w:rsid w:val="005C18B8"/>
    <w:rsid w:val="005C1B14"/>
    <w:rsid w:val="005C1F09"/>
    <w:rsid w:val="005C216F"/>
    <w:rsid w:val="005C244F"/>
    <w:rsid w:val="005C2625"/>
    <w:rsid w:val="005C26BE"/>
    <w:rsid w:val="005C29F5"/>
    <w:rsid w:val="005C2E8B"/>
    <w:rsid w:val="005C3959"/>
    <w:rsid w:val="005C3ADC"/>
    <w:rsid w:val="005C4A8B"/>
    <w:rsid w:val="005C4D91"/>
    <w:rsid w:val="005C6369"/>
    <w:rsid w:val="005C7170"/>
    <w:rsid w:val="005C743D"/>
    <w:rsid w:val="005D05B7"/>
    <w:rsid w:val="005D17FB"/>
    <w:rsid w:val="005D1956"/>
    <w:rsid w:val="005D1973"/>
    <w:rsid w:val="005D1E51"/>
    <w:rsid w:val="005D24BC"/>
    <w:rsid w:val="005D26BD"/>
    <w:rsid w:val="005D28C6"/>
    <w:rsid w:val="005D2D22"/>
    <w:rsid w:val="005D2E2A"/>
    <w:rsid w:val="005D34C9"/>
    <w:rsid w:val="005D34D5"/>
    <w:rsid w:val="005D37C7"/>
    <w:rsid w:val="005D41AA"/>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F5"/>
    <w:rsid w:val="005D6411"/>
    <w:rsid w:val="005D6595"/>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A3"/>
    <w:rsid w:val="005E1625"/>
    <w:rsid w:val="005E18E3"/>
    <w:rsid w:val="005E20EE"/>
    <w:rsid w:val="005E29DC"/>
    <w:rsid w:val="005E2C13"/>
    <w:rsid w:val="005E2DA3"/>
    <w:rsid w:val="005E3316"/>
    <w:rsid w:val="005E33FF"/>
    <w:rsid w:val="005E3455"/>
    <w:rsid w:val="005E365F"/>
    <w:rsid w:val="005E3A8B"/>
    <w:rsid w:val="005E3D47"/>
    <w:rsid w:val="005E3D69"/>
    <w:rsid w:val="005E413B"/>
    <w:rsid w:val="005E4150"/>
    <w:rsid w:val="005E4453"/>
    <w:rsid w:val="005E473D"/>
    <w:rsid w:val="005E4916"/>
    <w:rsid w:val="005E50A7"/>
    <w:rsid w:val="005E50F0"/>
    <w:rsid w:val="005E653B"/>
    <w:rsid w:val="005E6D07"/>
    <w:rsid w:val="005E6F38"/>
    <w:rsid w:val="005E6F3B"/>
    <w:rsid w:val="005E7606"/>
    <w:rsid w:val="005E7E61"/>
    <w:rsid w:val="005E7F69"/>
    <w:rsid w:val="005F00AF"/>
    <w:rsid w:val="005F00B0"/>
    <w:rsid w:val="005F0960"/>
    <w:rsid w:val="005F0CB7"/>
    <w:rsid w:val="005F0EF2"/>
    <w:rsid w:val="005F1083"/>
    <w:rsid w:val="005F1784"/>
    <w:rsid w:val="005F17B1"/>
    <w:rsid w:val="005F2955"/>
    <w:rsid w:val="005F3115"/>
    <w:rsid w:val="005F31C7"/>
    <w:rsid w:val="005F3411"/>
    <w:rsid w:val="005F3517"/>
    <w:rsid w:val="005F3752"/>
    <w:rsid w:val="005F380F"/>
    <w:rsid w:val="005F40C3"/>
    <w:rsid w:val="005F4128"/>
    <w:rsid w:val="005F42F9"/>
    <w:rsid w:val="005F4347"/>
    <w:rsid w:val="005F435C"/>
    <w:rsid w:val="005F49A9"/>
    <w:rsid w:val="005F4ABE"/>
    <w:rsid w:val="005F4C78"/>
    <w:rsid w:val="005F4F1D"/>
    <w:rsid w:val="005F5735"/>
    <w:rsid w:val="005F5A1F"/>
    <w:rsid w:val="005F65BC"/>
    <w:rsid w:val="005F6645"/>
    <w:rsid w:val="005F67A3"/>
    <w:rsid w:val="005F6C8C"/>
    <w:rsid w:val="005F6CE5"/>
    <w:rsid w:val="005F6D92"/>
    <w:rsid w:val="005F7012"/>
    <w:rsid w:val="005F7017"/>
    <w:rsid w:val="005F7A87"/>
    <w:rsid w:val="005F7AD7"/>
    <w:rsid w:val="005F7DD2"/>
    <w:rsid w:val="006004F3"/>
    <w:rsid w:val="00600653"/>
    <w:rsid w:val="00600996"/>
    <w:rsid w:val="0060184C"/>
    <w:rsid w:val="00601E0D"/>
    <w:rsid w:val="006020F1"/>
    <w:rsid w:val="006022C7"/>
    <w:rsid w:val="00602778"/>
    <w:rsid w:val="00602D87"/>
    <w:rsid w:val="00602F91"/>
    <w:rsid w:val="00603232"/>
    <w:rsid w:val="006036B2"/>
    <w:rsid w:val="00603754"/>
    <w:rsid w:val="00603E5C"/>
    <w:rsid w:val="00603F06"/>
    <w:rsid w:val="0060439D"/>
    <w:rsid w:val="006043A8"/>
    <w:rsid w:val="00604BBE"/>
    <w:rsid w:val="0060605D"/>
    <w:rsid w:val="00606236"/>
    <w:rsid w:val="00606886"/>
    <w:rsid w:val="00606B99"/>
    <w:rsid w:val="00606CB7"/>
    <w:rsid w:val="00607705"/>
    <w:rsid w:val="00607B52"/>
    <w:rsid w:val="00607F14"/>
    <w:rsid w:val="006109BB"/>
    <w:rsid w:val="0061106D"/>
    <w:rsid w:val="0061109B"/>
    <w:rsid w:val="0061134E"/>
    <w:rsid w:val="006113BD"/>
    <w:rsid w:val="006113CC"/>
    <w:rsid w:val="006117B4"/>
    <w:rsid w:val="00611953"/>
    <w:rsid w:val="00611C90"/>
    <w:rsid w:val="00611F6C"/>
    <w:rsid w:val="0061241B"/>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C2"/>
    <w:rsid w:val="00615085"/>
    <w:rsid w:val="0061540E"/>
    <w:rsid w:val="00615C24"/>
    <w:rsid w:val="00615D1F"/>
    <w:rsid w:val="00616442"/>
    <w:rsid w:val="006164D9"/>
    <w:rsid w:val="006164F3"/>
    <w:rsid w:val="00616661"/>
    <w:rsid w:val="00616747"/>
    <w:rsid w:val="00616BDB"/>
    <w:rsid w:val="00616C25"/>
    <w:rsid w:val="00616CE0"/>
    <w:rsid w:val="00616D73"/>
    <w:rsid w:val="00617728"/>
    <w:rsid w:val="006177F6"/>
    <w:rsid w:val="00617B24"/>
    <w:rsid w:val="00617D7E"/>
    <w:rsid w:val="00617F8D"/>
    <w:rsid w:val="0062124C"/>
    <w:rsid w:val="0062157E"/>
    <w:rsid w:val="006218CE"/>
    <w:rsid w:val="006219C5"/>
    <w:rsid w:val="00621AEC"/>
    <w:rsid w:val="00622144"/>
    <w:rsid w:val="006231ED"/>
    <w:rsid w:val="0062388A"/>
    <w:rsid w:val="006238CC"/>
    <w:rsid w:val="006243E7"/>
    <w:rsid w:val="006245CA"/>
    <w:rsid w:val="00624EEE"/>
    <w:rsid w:val="00624F7C"/>
    <w:rsid w:val="00625077"/>
    <w:rsid w:val="00625DC4"/>
    <w:rsid w:val="00626112"/>
    <w:rsid w:val="006262C6"/>
    <w:rsid w:val="0062643E"/>
    <w:rsid w:val="00626D56"/>
    <w:rsid w:val="00626DD7"/>
    <w:rsid w:val="00627100"/>
    <w:rsid w:val="00627384"/>
    <w:rsid w:val="006276AF"/>
    <w:rsid w:val="00627745"/>
    <w:rsid w:val="0062791F"/>
    <w:rsid w:val="00627B83"/>
    <w:rsid w:val="00627E57"/>
    <w:rsid w:val="00631C65"/>
    <w:rsid w:val="00631E20"/>
    <w:rsid w:val="00632A22"/>
    <w:rsid w:val="00632C95"/>
    <w:rsid w:val="006332A7"/>
    <w:rsid w:val="006336AF"/>
    <w:rsid w:val="00633874"/>
    <w:rsid w:val="00633889"/>
    <w:rsid w:val="006339D0"/>
    <w:rsid w:val="00633EAA"/>
    <w:rsid w:val="006340C6"/>
    <w:rsid w:val="006341ED"/>
    <w:rsid w:val="00634454"/>
    <w:rsid w:val="0063447D"/>
    <w:rsid w:val="00634611"/>
    <w:rsid w:val="00634937"/>
    <w:rsid w:val="00634D37"/>
    <w:rsid w:val="00635016"/>
    <w:rsid w:val="0063506E"/>
    <w:rsid w:val="006354C2"/>
    <w:rsid w:val="0063573E"/>
    <w:rsid w:val="00636005"/>
    <w:rsid w:val="006360B8"/>
    <w:rsid w:val="006360F9"/>
    <w:rsid w:val="00636168"/>
    <w:rsid w:val="00636241"/>
    <w:rsid w:val="006362D3"/>
    <w:rsid w:val="00636812"/>
    <w:rsid w:val="00636BBD"/>
    <w:rsid w:val="0063767F"/>
    <w:rsid w:val="00637827"/>
    <w:rsid w:val="00637D54"/>
    <w:rsid w:val="00640005"/>
    <w:rsid w:val="00640498"/>
    <w:rsid w:val="006405D7"/>
    <w:rsid w:val="00640834"/>
    <w:rsid w:val="00640BCA"/>
    <w:rsid w:val="006416F0"/>
    <w:rsid w:val="00641707"/>
    <w:rsid w:val="00641B8D"/>
    <w:rsid w:val="00641BA2"/>
    <w:rsid w:val="00642092"/>
    <w:rsid w:val="006421AD"/>
    <w:rsid w:val="0064283F"/>
    <w:rsid w:val="00642A9B"/>
    <w:rsid w:val="00642D02"/>
    <w:rsid w:val="00642EB6"/>
    <w:rsid w:val="0064301A"/>
    <w:rsid w:val="006435FD"/>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1E1"/>
    <w:rsid w:val="0064734F"/>
    <w:rsid w:val="006475B9"/>
    <w:rsid w:val="00647C50"/>
    <w:rsid w:val="00647D2A"/>
    <w:rsid w:val="00647D74"/>
    <w:rsid w:val="006500A7"/>
    <w:rsid w:val="00650265"/>
    <w:rsid w:val="006503F5"/>
    <w:rsid w:val="006504E2"/>
    <w:rsid w:val="00650FEF"/>
    <w:rsid w:val="006511C7"/>
    <w:rsid w:val="006512F6"/>
    <w:rsid w:val="0065169A"/>
    <w:rsid w:val="006517D6"/>
    <w:rsid w:val="0065193C"/>
    <w:rsid w:val="0065193E"/>
    <w:rsid w:val="00652167"/>
    <w:rsid w:val="00652396"/>
    <w:rsid w:val="00652DEF"/>
    <w:rsid w:val="00653332"/>
    <w:rsid w:val="00653422"/>
    <w:rsid w:val="00653476"/>
    <w:rsid w:val="006534CF"/>
    <w:rsid w:val="0065370B"/>
    <w:rsid w:val="00653EA6"/>
    <w:rsid w:val="0065404E"/>
    <w:rsid w:val="006540D0"/>
    <w:rsid w:val="006540FC"/>
    <w:rsid w:val="006544F2"/>
    <w:rsid w:val="00654D04"/>
    <w:rsid w:val="00655518"/>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633"/>
    <w:rsid w:val="0066082F"/>
    <w:rsid w:val="006609D4"/>
    <w:rsid w:val="00660B05"/>
    <w:rsid w:val="00660E90"/>
    <w:rsid w:val="006611BE"/>
    <w:rsid w:val="00661248"/>
    <w:rsid w:val="00661277"/>
    <w:rsid w:val="00661D96"/>
    <w:rsid w:val="00661E48"/>
    <w:rsid w:val="00662122"/>
    <w:rsid w:val="006621A9"/>
    <w:rsid w:val="006628A0"/>
    <w:rsid w:val="00662E06"/>
    <w:rsid w:val="00663621"/>
    <w:rsid w:val="0066382F"/>
    <w:rsid w:val="0066385B"/>
    <w:rsid w:val="006638A6"/>
    <w:rsid w:val="00663988"/>
    <w:rsid w:val="0066433A"/>
    <w:rsid w:val="00664451"/>
    <w:rsid w:val="006645CA"/>
    <w:rsid w:val="00664AEE"/>
    <w:rsid w:val="00664B59"/>
    <w:rsid w:val="00664BEE"/>
    <w:rsid w:val="00664CBC"/>
    <w:rsid w:val="00664D95"/>
    <w:rsid w:val="0066517F"/>
    <w:rsid w:val="00665353"/>
    <w:rsid w:val="00666221"/>
    <w:rsid w:val="006665C4"/>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6EC"/>
    <w:rsid w:val="00672825"/>
    <w:rsid w:val="0067295B"/>
    <w:rsid w:val="00672A42"/>
    <w:rsid w:val="00672B92"/>
    <w:rsid w:val="00672DD7"/>
    <w:rsid w:val="00673092"/>
    <w:rsid w:val="0067398F"/>
    <w:rsid w:val="00673C4F"/>
    <w:rsid w:val="00673D9B"/>
    <w:rsid w:val="0067423D"/>
    <w:rsid w:val="00674B54"/>
    <w:rsid w:val="006751ED"/>
    <w:rsid w:val="006751F0"/>
    <w:rsid w:val="00675A29"/>
    <w:rsid w:val="00675E7A"/>
    <w:rsid w:val="00675EF9"/>
    <w:rsid w:val="00676167"/>
    <w:rsid w:val="006762C1"/>
    <w:rsid w:val="006768A0"/>
    <w:rsid w:val="00676D1E"/>
    <w:rsid w:val="00676F7A"/>
    <w:rsid w:val="0067702C"/>
    <w:rsid w:val="00677172"/>
    <w:rsid w:val="00677637"/>
    <w:rsid w:val="00677F91"/>
    <w:rsid w:val="0068009E"/>
    <w:rsid w:val="0068014B"/>
    <w:rsid w:val="006807EC"/>
    <w:rsid w:val="00680991"/>
    <w:rsid w:val="00680E0A"/>
    <w:rsid w:val="00681108"/>
    <w:rsid w:val="00681688"/>
    <w:rsid w:val="00681D9D"/>
    <w:rsid w:val="0068227D"/>
    <w:rsid w:val="006822C1"/>
    <w:rsid w:val="00682346"/>
    <w:rsid w:val="006825BB"/>
    <w:rsid w:val="00682A3E"/>
    <w:rsid w:val="00682F54"/>
    <w:rsid w:val="00683084"/>
    <w:rsid w:val="0068336A"/>
    <w:rsid w:val="00683988"/>
    <w:rsid w:val="006839C4"/>
    <w:rsid w:val="0068426D"/>
    <w:rsid w:val="0068481E"/>
    <w:rsid w:val="00684AA5"/>
    <w:rsid w:val="00684DA6"/>
    <w:rsid w:val="00684FBB"/>
    <w:rsid w:val="00685310"/>
    <w:rsid w:val="0068569E"/>
    <w:rsid w:val="00685B0A"/>
    <w:rsid w:val="00686A94"/>
    <w:rsid w:val="00686F3B"/>
    <w:rsid w:val="00687341"/>
    <w:rsid w:val="00687611"/>
    <w:rsid w:val="00687FB5"/>
    <w:rsid w:val="006902BA"/>
    <w:rsid w:val="006902EB"/>
    <w:rsid w:val="0069037C"/>
    <w:rsid w:val="00690EB0"/>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51A5"/>
    <w:rsid w:val="006954B0"/>
    <w:rsid w:val="0069567D"/>
    <w:rsid w:val="00695E0E"/>
    <w:rsid w:val="00696680"/>
    <w:rsid w:val="006967E0"/>
    <w:rsid w:val="00696C25"/>
    <w:rsid w:val="00696FCD"/>
    <w:rsid w:val="006971E1"/>
    <w:rsid w:val="0069764B"/>
    <w:rsid w:val="00697D72"/>
    <w:rsid w:val="00697DDD"/>
    <w:rsid w:val="00697F54"/>
    <w:rsid w:val="006A06A3"/>
    <w:rsid w:val="006A0A11"/>
    <w:rsid w:val="006A0C5B"/>
    <w:rsid w:val="006A0EEF"/>
    <w:rsid w:val="006A11A6"/>
    <w:rsid w:val="006A11E4"/>
    <w:rsid w:val="006A121F"/>
    <w:rsid w:val="006A1BC4"/>
    <w:rsid w:val="006A21E5"/>
    <w:rsid w:val="006A21F4"/>
    <w:rsid w:val="006A22C1"/>
    <w:rsid w:val="006A28B6"/>
    <w:rsid w:val="006A2D65"/>
    <w:rsid w:val="006A300A"/>
    <w:rsid w:val="006A359D"/>
    <w:rsid w:val="006A36AE"/>
    <w:rsid w:val="006A38CF"/>
    <w:rsid w:val="006A3B7B"/>
    <w:rsid w:val="006A3DD4"/>
    <w:rsid w:val="006A4A8C"/>
    <w:rsid w:val="006A4F9B"/>
    <w:rsid w:val="006A5031"/>
    <w:rsid w:val="006A5658"/>
    <w:rsid w:val="006A579F"/>
    <w:rsid w:val="006A57FB"/>
    <w:rsid w:val="006A61AA"/>
    <w:rsid w:val="006A6377"/>
    <w:rsid w:val="006A6C5B"/>
    <w:rsid w:val="006A7950"/>
    <w:rsid w:val="006A7D15"/>
    <w:rsid w:val="006B03DF"/>
    <w:rsid w:val="006B0587"/>
    <w:rsid w:val="006B061A"/>
    <w:rsid w:val="006B0F57"/>
    <w:rsid w:val="006B1017"/>
    <w:rsid w:val="006B12A7"/>
    <w:rsid w:val="006B1390"/>
    <w:rsid w:val="006B1499"/>
    <w:rsid w:val="006B157C"/>
    <w:rsid w:val="006B162E"/>
    <w:rsid w:val="006B17AD"/>
    <w:rsid w:val="006B1847"/>
    <w:rsid w:val="006B19C4"/>
    <w:rsid w:val="006B1C99"/>
    <w:rsid w:val="006B1CAE"/>
    <w:rsid w:val="006B204A"/>
    <w:rsid w:val="006B2954"/>
    <w:rsid w:val="006B2A89"/>
    <w:rsid w:val="006B36F1"/>
    <w:rsid w:val="006B3C78"/>
    <w:rsid w:val="006B40F4"/>
    <w:rsid w:val="006B4337"/>
    <w:rsid w:val="006B4774"/>
    <w:rsid w:val="006B47BE"/>
    <w:rsid w:val="006B4829"/>
    <w:rsid w:val="006B53A4"/>
    <w:rsid w:val="006B5481"/>
    <w:rsid w:val="006B59E3"/>
    <w:rsid w:val="006B5D8F"/>
    <w:rsid w:val="006B61D0"/>
    <w:rsid w:val="006B62D9"/>
    <w:rsid w:val="006B6E64"/>
    <w:rsid w:val="006B7096"/>
    <w:rsid w:val="006B767C"/>
    <w:rsid w:val="006B79CB"/>
    <w:rsid w:val="006B7F05"/>
    <w:rsid w:val="006C04E7"/>
    <w:rsid w:val="006C069F"/>
    <w:rsid w:val="006C0907"/>
    <w:rsid w:val="006C10E5"/>
    <w:rsid w:val="006C1FD2"/>
    <w:rsid w:val="006C20D0"/>
    <w:rsid w:val="006C28F0"/>
    <w:rsid w:val="006C2E24"/>
    <w:rsid w:val="006C32D8"/>
    <w:rsid w:val="006C35BE"/>
    <w:rsid w:val="006C39D5"/>
    <w:rsid w:val="006C3B47"/>
    <w:rsid w:val="006C3BDD"/>
    <w:rsid w:val="006C3E21"/>
    <w:rsid w:val="006C44F0"/>
    <w:rsid w:val="006C4525"/>
    <w:rsid w:val="006C4717"/>
    <w:rsid w:val="006C5726"/>
    <w:rsid w:val="006C58DA"/>
    <w:rsid w:val="006C5DC5"/>
    <w:rsid w:val="006C607C"/>
    <w:rsid w:val="006C6147"/>
    <w:rsid w:val="006C6364"/>
    <w:rsid w:val="006C642F"/>
    <w:rsid w:val="006C647D"/>
    <w:rsid w:val="006C668E"/>
    <w:rsid w:val="006C67C5"/>
    <w:rsid w:val="006C67CF"/>
    <w:rsid w:val="006C69B2"/>
    <w:rsid w:val="006C6A64"/>
    <w:rsid w:val="006C6F17"/>
    <w:rsid w:val="006C730B"/>
    <w:rsid w:val="006C7548"/>
    <w:rsid w:val="006C7B7A"/>
    <w:rsid w:val="006C7FC1"/>
    <w:rsid w:val="006D06D3"/>
    <w:rsid w:val="006D1003"/>
    <w:rsid w:val="006D11D6"/>
    <w:rsid w:val="006D1582"/>
    <w:rsid w:val="006D163F"/>
    <w:rsid w:val="006D17AB"/>
    <w:rsid w:val="006D17B1"/>
    <w:rsid w:val="006D209B"/>
    <w:rsid w:val="006D2420"/>
    <w:rsid w:val="006D2602"/>
    <w:rsid w:val="006D2944"/>
    <w:rsid w:val="006D2BB9"/>
    <w:rsid w:val="006D3175"/>
    <w:rsid w:val="006D3280"/>
    <w:rsid w:val="006D3472"/>
    <w:rsid w:val="006D3550"/>
    <w:rsid w:val="006D35A6"/>
    <w:rsid w:val="006D36F5"/>
    <w:rsid w:val="006D374C"/>
    <w:rsid w:val="006D3AC0"/>
    <w:rsid w:val="006D3D8F"/>
    <w:rsid w:val="006D3E5D"/>
    <w:rsid w:val="006D466B"/>
    <w:rsid w:val="006D4759"/>
    <w:rsid w:val="006D48BE"/>
    <w:rsid w:val="006D4B29"/>
    <w:rsid w:val="006D4F5A"/>
    <w:rsid w:val="006D52DC"/>
    <w:rsid w:val="006D5332"/>
    <w:rsid w:val="006D5460"/>
    <w:rsid w:val="006D54F5"/>
    <w:rsid w:val="006D5BAB"/>
    <w:rsid w:val="006D6DD3"/>
    <w:rsid w:val="006D7828"/>
    <w:rsid w:val="006D7FA2"/>
    <w:rsid w:val="006E0038"/>
    <w:rsid w:val="006E0125"/>
    <w:rsid w:val="006E0197"/>
    <w:rsid w:val="006E04C4"/>
    <w:rsid w:val="006E0CFD"/>
    <w:rsid w:val="006E1253"/>
    <w:rsid w:val="006E1338"/>
    <w:rsid w:val="006E1592"/>
    <w:rsid w:val="006E15C8"/>
    <w:rsid w:val="006E1614"/>
    <w:rsid w:val="006E1622"/>
    <w:rsid w:val="006E1BEA"/>
    <w:rsid w:val="006E1E35"/>
    <w:rsid w:val="006E2007"/>
    <w:rsid w:val="006E245B"/>
    <w:rsid w:val="006E249C"/>
    <w:rsid w:val="006E2680"/>
    <w:rsid w:val="006E2822"/>
    <w:rsid w:val="006E2A83"/>
    <w:rsid w:val="006E2E7D"/>
    <w:rsid w:val="006E3CAC"/>
    <w:rsid w:val="006E44EC"/>
    <w:rsid w:val="006E4C29"/>
    <w:rsid w:val="006E4DBD"/>
    <w:rsid w:val="006E4EA2"/>
    <w:rsid w:val="006E5545"/>
    <w:rsid w:val="006E5D4C"/>
    <w:rsid w:val="006E6041"/>
    <w:rsid w:val="006E6049"/>
    <w:rsid w:val="006E6419"/>
    <w:rsid w:val="006E695F"/>
    <w:rsid w:val="006E6ED9"/>
    <w:rsid w:val="006E719C"/>
    <w:rsid w:val="006E7271"/>
    <w:rsid w:val="006E76A3"/>
    <w:rsid w:val="006E7B09"/>
    <w:rsid w:val="006E7ED0"/>
    <w:rsid w:val="006E7FD1"/>
    <w:rsid w:val="006F0138"/>
    <w:rsid w:val="006F0480"/>
    <w:rsid w:val="006F0553"/>
    <w:rsid w:val="006F0583"/>
    <w:rsid w:val="006F059F"/>
    <w:rsid w:val="006F0889"/>
    <w:rsid w:val="006F0DD8"/>
    <w:rsid w:val="006F10BB"/>
    <w:rsid w:val="006F127E"/>
    <w:rsid w:val="006F15F0"/>
    <w:rsid w:val="006F179F"/>
    <w:rsid w:val="006F1A7B"/>
    <w:rsid w:val="006F20B2"/>
    <w:rsid w:val="006F2133"/>
    <w:rsid w:val="006F22B9"/>
    <w:rsid w:val="006F2609"/>
    <w:rsid w:val="006F2B36"/>
    <w:rsid w:val="006F3123"/>
    <w:rsid w:val="006F32E8"/>
    <w:rsid w:val="006F446C"/>
    <w:rsid w:val="006F4BAD"/>
    <w:rsid w:val="006F4C36"/>
    <w:rsid w:val="006F51D6"/>
    <w:rsid w:val="006F5232"/>
    <w:rsid w:val="006F59AB"/>
    <w:rsid w:val="006F5B61"/>
    <w:rsid w:val="006F61CA"/>
    <w:rsid w:val="006F658F"/>
    <w:rsid w:val="006F6A40"/>
    <w:rsid w:val="006F6B5E"/>
    <w:rsid w:val="006F6BF0"/>
    <w:rsid w:val="006F6F3F"/>
    <w:rsid w:val="006F70E1"/>
    <w:rsid w:val="006F7301"/>
    <w:rsid w:val="006F7AA6"/>
    <w:rsid w:val="006F7B37"/>
    <w:rsid w:val="006F7BB6"/>
    <w:rsid w:val="00700038"/>
    <w:rsid w:val="0070050E"/>
    <w:rsid w:val="00700D7D"/>
    <w:rsid w:val="00701C61"/>
    <w:rsid w:val="00702087"/>
    <w:rsid w:val="007024B9"/>
    <w:rsid w:val="007028BD"/>
    <w:rsid w:val="00702929"/>
    <w:rsid w:val="00702C18"/>
    <w:rsid w:val="00702DC4"/>
    <w:rsid w:val="0070330F"/>
    <w:rsid w:val="00703351"/>
    <w:rsid w:val="00703D71"/>
    <w:rsid w:val="00703DCE"/>
    <w:rsid w:val="00704754"/>
    <w:rsid w:val="00704AA2"/>
    <w:rsid w:val="00704C4A"/>
    <w:rsid w:val="00704EFC"/>
    <w:rsid w:val="0070507B"/>
    <w:rsid w:val="0070543F"/>
    <w:rsid w:val="0070555E"/>
    <w:rsid w:val="00705E66"/>
    <w:rsid w:val="00706047"/>
    <w:rsid w:val="0070633E"/>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2DAA"/>
    <w:rsid w:val="0071309D"/>
    <w:rsid w:val="0071314E"/>
    <w:rsid w:val="0071326B"/>
    <w:rsid w:val="00713717"/>
    <w:rsid w:val="00713CEF"/>
    <w:rsid w:val="00714233"/>
    <w:rsid w:val="007143A4"/>
    <w:rsid w:val="007147E9"/>
    <w:rsid w:val="007149EF"/>
    <w:rsid w:val="00715192"/>
    <w:rsid w:val="007152F9"/>
    <w:rsid w:val="007162D2"/>
    <w:rsid w:val="00716310"/>
    <w:rsid w:val="007165ED"/>
    <w:rsid w:val="00716F0E"/>
    <w:rsid w:val="00716F5A"/>
    <w:rsid w:val="00717404"/>
    <w:rsid w:val="00717F5C"/>
    <w:rsid w:val="00717F89"/>
    <w:rsid w:val="007200F4"/>
    <w:rsid w:val="00720508"/>
    <w:rsid w:val="00720CFB"/>
    <w:rsid w:val="00720DBC"/>
    <w:rsid w:val="00720F9E"/>
    <w:rsid w:val="007216AD"/>
    <w:rsid w:val="00721979"/>
    <w:rsid w:val="00721C39"/>
    <w:rsid w:val="00721E0E"/>
    <w:rsid w:val="00721E59"/>
    <w:rsid w:val="00721F48"/>
    <w:rsid w:val="00721FE3"/>
    <w:rsid w:val="007222C0"/>
    <w:rsid w:val="00722492"/>
    <w:rsid w:val="00723718"/>
    <w:rsid w:val="00723804"/>
    <w:rsid w:val="007239DF"/>
    <w:rsid w:val="007239F0"/>
    <w:rsid w:val="00723A5B"/>
    <w:rsid w:val="007240B5"/>
    <w:rsid w:val="00724C16"/>
    <w:rsid w:val="00724DB0"/>
    <w:rsid w:val="00724FFA"/>
    <w:rsid w:val="0072515F"/>
    <w:rsid w:val="00725667"/>
    <w:rsid w:val="00725D10"/>
    <w:rsid w:val="007266AB"/>
    <w:rsid w:val="007266C9"/>
    <w:rsid w:val="00726F37"/>
    <w:rsid w:val="00727412"/>
    <w:rsid w:val="00727574"/>
    <w:rsid w:val="007276AA"/>
    <w:rsid w:val="00727945"/>
    <w:rsid w:val="00727D6A"/>
    <w:rsid w:val="007300AE"/>
    <w:rsid w:val="007307F0"/>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E3"/>
    <w:rsid w:val="007344D8"/>
    <w:rsid w:val="007349B7"/>
    <w:rsid w:val="00734BA5"/>
    <w:rsid w:val="007352A1"/>
    <w:rsid w:val="007355BF"/>
    <w:rsid w:val="0073564E"/>
    <w:rsid w:val="00735AD3"/>
    <w:rsid w:val="00735D01"/>
    <w:rsid w:val="00736681"/>
    <w:rsid w:val="0073687D"/>
    <w:rsid w:val="00736F50"/>
    <w:rsid w:val="00737B4A"/>
    <w:rsid w:val="00737DEF"/>
    <w:rsid w:val="00740010"/>
    <w:rsid w:val="00740792"/>
    <w:rsid w:val="00740FC8"/>
    <w:rsid w:val="0074116E"/>
    <w:rsid w:val="00741435"/>
    <w:rsid w:val="00741ED9"/>
    <w:rsid w:val="007420DA"/>
    <w:rsid w:val="007428FB"/>
    <w:rsid w:val="00742B09"/>
    <w:rsid w:val="00742EEF"/>
    <w:rsid w:val="00743081"/>
    <w:rsid w:val="0074320A"/>
    <w:rsid w:val="0074324C"/>
    <w:rsid w:val="00743672"/>
    <w:rsid w:val="00743D92"/>
    <w:rsid w:val="00744025"/>
    <w:rsid w:val="0074432D"/>
    <w:rsid w:val="00744734"/>
    <w:rsid w:val="00744952"/>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50192"/>
    <w:rsid w:val="007504A5"/>
    <w:rsid w:val="007505C2"/>
    <w:rsid w:val="00751158"/>
    <w:rsid w:val="007513C1"/>
    <w:rsid w:val="00751892"/>
    <w:rsid w:val="00751C2D"/>
    <w:rsid w:val="00752816"/>
    <w:rsid w:val="00752D52"/>
    <w:rsid w:val="0075322A"/>
    <w:rsid w:val="0075377E"/>
    <w:rsid w:val="00753CB8"/>
    <w:rsid w:val="007542D4"/>
    <w:rsid w:val="00754CFD"/>
    <w:rsid w:val="00754F18"/>
    <w:rsid w:val="007552AF"/>
    <w:rsid w:val="00755374"/>
    <w:rsid w:val="00755481"/>
    <w:rsid w:val="00755516"/>
    <w:rsid w:val="00755553"/>
    <w:rsid w:val="00755678"/>
    <w:rsid w:val="00755DFE"/>
    <w:rsid w:val="0075625C"/>
    <w:rsid w:val="007575DC"/>
    <w:rsid w:val="007575E8"/>
    <w:rsid w:val="007602A0"/>
    <w:rsid w:val="007604E1"/>
    <w:rsid w:val="00760725"/>
    <w:rsid w:val="00760D2A"/>
    <w:rsid w:val="00761385"/>
    <w:rsid w:val="00761730"/>
    <w:rsid w:val="0076181A"/>
    <w:rsid w:val="007619C2"/>
    <w:rsid w:val="007619DE"/>
    <w:rsid w:val="00761B35"/>
    <w:rsid w:val="00761B5A"/>
    <w:rsid w:val="0076201F"/>
    <w:rsid w:val="00762372"/>
    <w:rsid w:val="00762837"/>
    <w:rsid w:val="00762AA6"/>
    <w:rsid w:val="00762D57"/>
    <w:rsid w:val="0076318A"/>
    <w:rsid w:val="007637C1"/>
    <w:rsid w:val="0076397D"/>
    <w:rsid w:val="00763A76"/>
    <w:rsid w:val="0076416B"/>
    <w:rsid w:val="00764E4B"/>
    <w:rsid w:val="007653D8"/>
    <w:rsid w:val="00765643"/>
    <w:rsid w:val="00765708"/>
    <w:rsid w:val="00765917"/>
    <w:rsid w:val="007659BA"/>
    <w:rsid w:val="007659EB"/>
    <w:rsid w:val="00765E87"/>
    <w:rsid w:val="007660E3"/>
    <w:rsid w:val="00766384"/>
    <w:rsid w:val="007664FC"/>
    <w:rsid w:val="00766931"/>
    <w:rsid w:val="007669E5"/>
    <w:rsid w:val="00766EC6"/>
    <w:rsid w:val="00767779"/>
    <w:rsid w:val="007678A0"/>
    <w:rsid w:val="00767A1F"/>
    <w:rsid w:val="00767AE4"/>
    <w:rsid w:val="00767BBB"/>
    <w:rsid w:val="007700CC"/>
    <w:rsid w:val="00770172"/>
    <w:rsid w:val="00770D87"/>
    <w:rsid w:val="0077105B"/>
    <w:rsid w:val="00771C67"/>
    <w:rsid w:val="00771FEF"/>
    <w:rsid w:val="0077261B"/>
    <w:rsid w:val="00772C12"/>
    <w:rsid w:val="0077321D"/>
    <w:rsid w:val="007735F8"/>
    <w:rsid w:val="00773854"/>
    <w:rsid w:val="00773DB6"/>
    <w:rsid w:val="007740A5"/>
    <w:rsid w:val="007740F7"/>
    <w:rsid w:val="0077410C"/>
    <w:rsid w:val="0077443C"/>
    <w:rsid w:val="00774746"/>
    <w:rsid w:val="00774C25"/>
    <w:rsid w:val="00774FDB"/>
    <w:rsid w:val="0077559D"/>
    <w:rsid w:val="00775AA8"/>
    <w:rsid w:val="00775B75"/>
    <w:rsid w:val="00775E64"/>
    <w:rsid w:val="00776D2B"/>
    <w:rsid w:val="00776E2C"/>
    <w:rsid w:val="007771E0"/>
    <w:rsid w:val="007772EF"/>
    <w:rsid w:val="00777432"/>
    <w:rsid w:val="00777986"/>
    <w:rsid w:val="00777BFE"/>
    <w:rsid w:val="00780897"/>
    <w:rsid w:val="007810CE"/>
    <w:rsid w:val="007815ED"/>
    <w:rsid w:val="0078192A"/>
    <w:rsid w:val="00781C68"/>
    <w:rsid w:val="00781E69"/>
    <w:rsid w:val="007821C1"/>
    <w:rsid w:val="00782D62"/>
    <w:rsid w:val="007838FF"/>
    <w:rsid w:val="00783EBB"/>
    <w:rsid w:val="0078438B"/>
    <w:rsid w:val="0078451D"/>
    <w:rsid w:val="00784A2B"/>
    <w:rsid w:val="00784CAD"/>
    <w:rsid w:val="00784D68"/>
    <w:rsid w:val="007851A8"/>
    <w:rsid w:val="0078531C"/>
    <w:rsid w:val="0078544D"/>
    <w:rsid w:val="00785788"/>
    <w:rsid w:val="00785862"/>
    <w:rsid w:val="0078649D"/>
    <w:rsid w:val="007864C1"/>
    <w:rsid w:val="007865A6"/>
    <w:rsid w:val="00786A09"/>
    <w:rsid w:val="00786EAA"/>
    <w:rsid w:val="007871CA"/>
    <w:rsid w:val="007874F6"/>
    <w:rsid w:val="00787A69"/>
    <w:rsid w:val="00787EEF"/>
    <w:rsid w:val="0079034C"/>
    <w:rsid w:val="0079040F"/>
    <w:rsid w:val="0079062A"/>
    <w:rsid w:val="00790899"/>
    <w:rsid w:val="00791007"/>
    <w:rsid w:val="007912F9"/>
    <w:rsid w:val="00791DD8"/>
    <w:rsid w:val="00792041"/>
    <w:rsid w:val="00792444"/>
    <w:rsid w:val="007924E3"/>
    <w:rsid w:val="0079273F"/>
    <w:rsid w:val="00792899"/>
    <w:rsid w:val="00792BAF"/>
    <w:rsid w:val="00792D5D"/>
    <w:rsid w:val="007930B2"/>
    <w:rsid w:val="007930F4"/>
    <w:rsid w:val="00793975"/>
    <w:rsid w:val="007943EE"/>
    <w:rsid w:val="00794469"/>
    <w:rsid w:val="00795383"/>
    <w:rsid w:val="0079692E"/>
    <w:rsid w:val="00796942"/>
    <w:rsid w:val="00796A34"/>
    <w:rsid w:val="00797011"/>
    <w:rsid w:val="007974B5"/>
    <w:rsid w:val="00797AB1"/>
    <w:rsid w:val="00797BC8"/>
    <w:rsid w:val="00797F59"/>
    <w:rsid w:val="007A0036"/>
    <w:rsid w:val="007A0284"/>
    <w:rsid w:val="007A02BC"/>
    <w:rsid w:val="007A05D5"/>
    <w:rsid w:val="007A069F"/>
    <w:rsid w:val="007A08D1"/>
    <w:rsid w:val="007A0C74"/>
    <w:rsid w:val="007A0E8E"/>
    <w:rsid w:val="007A128E"/>
    <w:rsid w:val="007A14A3"/>
    <w:rsid w:val="007A1DCB"/>
    <w:rsid w:val="007A20B9"/>
    <w:rsid w:val="007A235A"/>
    <w:rsid w:val="007A28AB"/>
    <w:rsid w:val="007A28EC"/>
    <w:rsid w:val="007A2A3A"/>
    <w:rsid w:val="007A2D8C"/>
    <w:rsid w:val="007A34AE"/>
    <w:rsid w:val="007A35CD"/>
    <w:rsid w:val="007A3A9B"/>
    <w:rsid w:val="007A3AD9"/>
    <w:rsid w:val="007A3B98"/>
    <w:rsid w:val="007A3E1C"/>
    <w:rsid w:val="007A43DE"/>
    <w:rsid w:val="007A4682"/>
    <w:rsid w:val="007A47C1"/>
    <w:rsid w:val="007A48A3"/>
    <w:rsid w:val="007A4CC8"/>
    <w:rsid w:val="007A4DFF"/>
    <w:rsid w:val="007A54C5"/>
    <w:rsid w:val="007A5B1C"/>
    <w:rsid w:val="007A5D40"/>
    <w:rsid w:val="007A62BB"/>
    <w:rsid w:val="007A63C1"/>
    <w:rsid w:val="007A6501"/>
    <w:rsid w:val="007A65BD"/>
    <w:rsid w:val="007A67B3"/>
    <w:rsid w:val="007A6FCF"/>
    <w:rsid w:val="007A736E"/>
    <w:rsid w:val="007A77E8"/>
    <w:rsid w:val="007A7857"/>
    <w:rsid w:val="007B01E9"/>
    <w:rsid w:val="007B0265"/>
    <w:rsid w:val="007B0DAA"/>
    <w:rsid w:val="007B0EF2"/>
    <w:rsid w:val="007B10A8"/>
    <w:rsid w:val="007B1429"/>
    <w:rsid w:val="007B1811"/>
    <w:rsid w:val="007B21C2"/>
    <w:rsid w:val="007B225A"/>
    <w:rsid w:val="007B2492"/>
    <w:rsid w:val="007B2504"/>
    <w:rsid w:val="007B26E5"/>
    <w:rsid w:val="007B2F5E"/>
    <w:rsid w:val="007B32BA"/>
    <w:rsid w:val="007B3B23"/>
    <w:rsid w:val="007B4164"/>
    <w:rsid w:val="007B42CE"/>
    <w:rsid w:val="007B556F"/>
    <w:rsid w:val="007B55D6"/>
    <w:rsid w:val="007B55E8"/>
    <w:rsid w:val="007B59C2"/>
    <w:rsid w:val="007B5B27"/>
    <w:rsid w:val="007B5D6B"/>
    <w:rsid w:val="007B5F5F"/>
    <w:rsid w:val="007B63FA"/>
    <w:rsid w:val="007B6524"/>
    <w:rsid w:val="007B7166"/>
    <w:rsid w:val="007B7278"/>
    <w:rsid w:val="007B73AA"/>
    <w:rsid w:val="007B7420"/>
    <w:rsid w:val="007B79E7"/>
    <w:rsid w:val="007B79F1"/>
    <w:rsid w:val="007B7B93"/>
    <w:rsid w:val="007B7F30"/>
    <w:rsid w:val="007C04A5"/>
    <w:rsid w:val="007C07F7"/>
    <w:rsid w:val="007C0FAA"/>
    <w:rsid w:val="007C16B2"/>
    <w:rsid w:val="007C1AA6"/>
    <w:rsid w:val="007C2536"/>
    <w:rsid w:val="007C2C3F"/>
    <w:rsid w:val="007C2CAF"/>
    <w:rsid w:val="007C35C9"/>
    <w:rsid w:val="007C3A5D"/>
    <w:rsid w:val="007C3CF5"/>
    <w:rsid w:val="007C4012"/>
    <w:rsid w:val="007C4633"/>
    <w:rsid w:val="007C4CA0"/>
    <w:rsid w:val="007C4DF0"/>
    <w:rsid w:val="007C5F2F"/>
    <w:rsid w:val="007C5F78"/>
    <w:rsid w:val="007C6163"/>
    <w:rsid w:val="007C6177"/>
    <w:rsid w:val="007C65F9"/>
    <w:rsid w:val="007C7529"/>
    <w:rsid w:val="007C762F"/>
    <w:rsid w:val="007C7A1B"/>
    <w:rsid w:val="007C7C71"/>
    <w:rsid w:val="007C7CA6"/>
    <w:rsid w:val="007C7D00"/>
    <w:rsid w:val="007C7E05"/>
    <w:rsid w:val="007D01FD"/>
    <w:rsid w:val="007D0289"/>
    <w:rsid w:val="007D0382"/>
    <w:rsid w:val="007D06B1"/>
    <w:rsid w:val="007D120C"/>
    <w:rsid w:val="007D14CF"/>
    <w:rsid w:val="007D16FA"/>
    <w:rsid w:val="007D1855"/>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BA"/>
    <w:rsid w:val="007D46FC"/>
    <w:rsid w:val="007D4886"/>
    <w:rsid w:val="007D4971"/>
    <w:rsid w:val="007D4ABA"/>
    <w:rsid w:val="007D4F32"/>
    <w:rsid w:val="007D5037"/>
    <w:rsid w:val="007D54B3"/>
    <w:rsid w:val="007D57E8"/>
    <w:rsid w:val="007D5C6F"/>
    <w:rsid w:val="007D5F20"/>
    <w:rsid w:val="007D6142"/>
    <w:rsid w:val="007D61F3"/>
    <w:rsid w:val="007D6740"/>
    <w:rsid w:val="007D6ACF"/>
    <w:rsid w:val="007D6BCD"/>
    <w:rsid w:val="007D702F"/>
    <w:rsid w:val="007D73D7"/>
    <w:rsid w:val="007D7D67"/>
    <w:rsid w:val="007E01ED"/>
    <w:rsid w:val="007E0D0E"/>
    <w:rsid w:val="007E1314"/>
    <w:rsid w:val="007E13FF"/>
    <w:rsid w:val="007E1DD9"/>
    <w:rsid w:val="007E2120"/>
    <w:rsid w:val="007E2130"/>
    <w:rsid w:val="007E237C"/>
    <w:rsid w:val="007E260F"/>
    <w:rsid w:val="007E2FCF"/>
    <w:rsid w:val="007E3C41"/>
    <w:rsid w:val="007E3C8C"/>
    <w:rsid w:val="007E3F39"/>
    <w:rsid w:val="007E418F"/>
    <w:rsid w:val="007E44B7"/>
    <w:rsid w:val="007E47F6"/>
    <w:rsid w:val="007E5EAC"/>
    <w:rsid w:val="007E5EC6"/>
    <w:rsid w:val="007E613A"/>
    <w:rsid w:val="007E6291"/>
    <w:rsid w:val="007E7408"/>
    <w:rsid w:val="007E7AE8"/>
    <w:rsid w:val="007E7C36"/>
    <w:rsid w:val="007F05D4"/>
    <w:rsid w:val="007F0E97"/>
    <w:rsid w:val="007F109F"/>
    <w:rsid w:val="007F1200"/>
    <w:rsid w:val="007F167E"/>
    <w:rsid w:val="007F16D4"/>
    <w:rsid w:val="007F1A02"/>
    <w:rsid w:val="007F2273"/>
    <w:rsid w:val="007F2285"/>
    <w:rsid w:val="007F261E"/>
    <w:rsid w:val="007F262C"/>
    <w:rsid w:val="007F2B77"/>
    <w:rsid w:val="007F3B8F"/>
    <w:rsid w:val="007F45FE"/>
    <w:rsid w:val="007F4AC8"/>
    <w:rsid w:val="007F4C18"/>
    <w:rsid w:val="007F4E4C"/>
    <w:rsid w:val="007F6156"/>
    <w:rsid w:val="007F6379"/>
    <w:rsid w:val="007F648B"/>
    <w:rsid w:val="007F6657"/>
    <w:rsid w:val="007F6805"/>
    <w:rsid w:val="007F6991"/>
    <w:rsid w:val="007F6AFC"/>
    <w:rsid w:val="007F6B57"/>
    <w:rsid w:val="007F6C13"/>
    <w:rsid w:val="007F7043"/>
    <w:rsid w:val="007F7190"/>
    <w:rsid w:val="007F72C9"/>
    <w:rsid w:val="007F744F"/>
    <w:rsid w:val="007F7A92"/>
    <w:rsid w:val="00800A3E"/>
    <w:rsid w:val="00800C44"/>
    <w:rsid w:val="00800CDA"/>
    <w:rsid w:val="00800D86"/>
    <w:rsid w:val="00800EA0"/>
    <w:rsid w:val="0080117E"/>
    <w:rsid w:val="008013C4"/>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58D7"/>
    <w:rsid w:val="00805D04"/>
    <w:rsid w:val="00805E7F"/>
    <w:rsid w:val="00806081"/>
    <w:rsid w:val="0080637B"/>
    <w:rsid w:val="00806819"/>
    <w:rsid w:val="00807036"/>
    <w:rsid w:val="0080755F"/>
    <w:rsid w:val="0080760E"/>
    <w:rsid w:val="0080764B"/>
    <w:rsid w:val="008077E2"/>
    <w:rsid w:val="00807C7C"/>
    <w:rsid w:val="00810386"/>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4AAB"/>
    <w:rsid w:val="00815261"/>
    <w:rsid w:val="00815348"/>
    <w:rsid w:val="0081564B"/>
    <w:rsid w:val="0081572D"/>
    <w:rsid w:val="00815B1A"/>
    <w:rsid w:val="00815BDA"/>
    <w:rsid w:val="008162D4"/>
    <w:rsid w:val="00816332"/>
    <w:rsid w:val="008167D6"/>
    <w:rsid w:val="00816CA6"/>
    <w:rsid w:val="00816DCD"/>
    <w:rsid w:val="00816FD8"/>
    <w:rsid w:val="00816FFA"/>
    <w:rsid w:val="0081722D"/>
    <w:rsid w:val="00817513"/>
    <w:rsid w:val="00817E9A"/>
    <w:rsid w:val="00817EA6"/>
    <w:rsid w:val="00817EF0"/>
    <w:rsid w:val="008200F3"/>
    <w:rsid w:val="008203CF"/>
    <w:rsid w:val="008205DB"/>
    <w:rsid w:val="0082114F"/>
    <w:rsid w:val="008219AF"/>
    <w:rsid w:val="00821C7E"/>
    <w:rsid w:val="00821CF6"/>
    <w:rsid w:val="008222D2"/>
    <w:rsid w:val="008222E0"/>
    <w:rsid w:val="00822D87"/>
    <w:rsid w:val="008231F9"/>
    <w:rsid w:val="0082356F"/>
    <w:rsid w:val="0082358D"/>
    <w:rsid w:val="008236D2"/>
    <w:rsid w:val="0082374B"/>
    <w:rsid w:val="00823CDA"/>
    <w:rsid w:val="00824072"/>
    <w:rsid w:val="0082413A"/>
    <w:rsid w:val="00824508"/>
    <w:rsid w:val="0082454E"/>
    <w:rsid w:val="0082518B"/>
    <w:rsid w:val="00826469"/>
    <w:rsid w:val="008264C2"/>
    <w:rsid w:val="00826C10"/>
    <w:rsid w:val="00826C96"/>
    <w:rsid w:val="00826DF0"/>
    <w:rsid w:val="008275D0"/>
    <w:rsid w:val="0082772E"/>
    <w:rsid w:val="00830052"/>
    <w:rsid w:val="00830080"/>
    <w:rsid w:val="008302CC"/>
    <w:rsid w:val="00830A0D"/>
    <w:rsid w:val="00830C70"/>
    <w:rsid w:val="008311BD"/>
    <w:rsid w:val="008315B7"/>
    <w:rsid w:val="00831779"/>
    <w:rsid w:val="00831923"/>
    <w:rsid w:val="00831A40"/>
    <w:rsid w:val="00831B61"/>
    <w:rsid w:val="00831CE6"/>
    <w:rsid w:val="00831F58"/>
    <w:rsid w:val="00832044"/>
    <w:rsid w:val="008325B8"/>
    <w:rsid w:val="008326F6"/>
    <w:rsid w:val="0083296B"/>
    <w:rsid w:val="008329A9"/>
    <w:rsid w:val="00833A9F"/>
    <w:rsid w:val="00833D24"/>
    <w:rsid w:val="00833E52"/>
    <w:rsid w:val="00833ED5"/>
    <w:rsid w:val="00834730"/>
    <w:rsid w:val="0083475D"/>
    <w:rsid w:val="008348F3"/>
    <w:rsid w:val="00834C6B"/>
    <w:rsid w:val="008351BD"/>
    <w:rsid w:val="00835CA0"/>
    <w:rsid w:val="00835D55"/>
    <w:rsid w:val="00835DE8"/>
    <w:rsid w:val="0083720E"/>
    <w:rsid w:val="008376DB"/>
    <w:rsid w:val="0083774D"/>
    <w:rsid w:val="00837B3C"/>
    <w:rsid w:val="00837E2F"/>
    <w:rsid w:val="008402F2"/>
    <w:rsid w:val="0084050F"/>
    <w:rsid w:val="00840C10"/>
    <w:rsid w:val="00840CF5"/>
    <w:rsid w:val="00840E91"/>
    <w:rsid w:val="00840F0C"/>
    <w:rsid w:val="008410BE"/>
    <w:rsid w:val="00841211"/>
    <w:rsid w:val="008413CD"/>
    <w:rsid w:val="008416DD"/>
    <w:rsid w:val="008419EA"/>
    <w:rsid w:val="00841A8D"/>
    <w:rsid w:val="008422A9"/>
    <w:rsid w:val="00842CC4"/>
    <w:rsid w:val="00842F2F"/>
    <w:rsid w:val="008438AF"/>
    <w:rsid w:val="00843B03"/>
    <w:rsid w:val="00843C94"/>
    <w:rsid w:val="00844BBD"/>
    <w:rsid w:val="00844C51"/>
    <w:rsid w:val="00845809"/>
    <w:rsid w:val="00845D05"/>
    <w:rsid w:val="008465C4"/>
    <w:rsid w:val="00846694"/>
    <w:rsid w:val="00846A7B"/>
    <w:rsid w:val="008471EB"/>
    <w:rsid w:val="00847300"/>
    <w:rsid w:val="00847436"/>
    <w:rsid w:val="00847590"/>
    <w:rsid w:val="008475A0"/>
    <w:rsid w:val="008475B5"/>
    <w:rsid w:val="0084769B"/>
    <w:rsid w:val="00847B76"/>
    <w:rsid w:val="00847E48"/>
    <w:rsid w:val="00850CA7"/>
    <w:rsid w:val="00850EF5"/>
    <w:rsid w:val="008517B6"/>
    <w:rsid w:val="00851F99"/>
    <w:rsid w:val="00852428"/>
    <w:rsid w:val="00852858"/>
    <w:rsid w:val="00852B24"/>
    <w:rsid w:val="00852CAE"/>
    <w:rsid w:val="00852D6D"/>
    <w:rsid w:val="00852EDF"/>
    <w:rsid w:val="00853444"/>
    <w:rsid w:val="008534E6"/>
    <w:rsid w:val="008536B8"/>
    <w:rsid w:val="008537D9"/>
    <w:rsid w:val="0085389A"/>
    <w:rsid w:val="00854075"/>
    <w:rsid w:val="008549A6"/>
    <w:rsid w:val="008549DE"/>
    <w:rsid w:val="00855A18"/>
    <w:rsid w:val="00855DD9"/>
    <w:rsid w:val="008565A6"/>
    <w:rsid w:val="00856A2D"/>
    <w:rsid w:val="00856AF6"/>
    <w:rsid w:val="00856DC4"/>
    <w:rsid w:val="0085707D"/>
    <w:rsid w:val="008572A0"/>
    <w:rsid w:val="0085730B"/>
    <w:rsid w:val="00857596"/>
    <w:rsid w:val="00857A80"/>
    <w:rsid w:val="00857A96"/>
    <w:rsid w:val="00857B28"/>
    <w:rsid w:val="00860317"/>
    <w:rsid w:val="008603FA"/>
    <w:rsid w:val="00860B89"/>
    <w:rsid w:val="0086166B"/>
    <w:rsid w:val="00861A2B"/>
    <w:rsid w:val="00861B19"/>
    <w:rsid w:val="008628EA"/>
    <w:rsid w:val="00862949"/>
    <w:rsid w:val="00862DA5"/>
    <w:rsid w:val="008639F3"/>
    <w:rsid w:val="00863DF2"/>
    <w:rsid w:val="00863FB2"/>
    <w:rsid w:val="008641C5"/>
    <w:rsid w:val="00864E63"/>
    <w:rsid w:val="00864EFD"/>
    <w:rsid w:val="0086523C"/>
    <w:rsid w:val="0086535C"/>
    <w:rsid w:val="00865C9B"/>
    <w:rsid w:val="0086624C"/>
    <w:rsid w:val="008664B3"/>
    <w:rsid w:val="0086687C"/>
    <w:rsid w:val="00866CC6"/>
    <w:rsid w:val="00866EC0"/>
    <w:rsid w:val="00867047"/>
    <w:rsid w:val="0086711E"/>
    <w:rsid w:val="0086791E"/>
    <w:rsid w:val="008679CB"/>
    <w:rsid w:val="00867EB0"/>
    <w:rsid w:val="008706AE"/>
    <w:rsid w:val="0087171C"/>
    <w:rsid w:val="00871827"/>
    <w:rsid w:val="008718F2"/>
    <w:rsid w:val="00871AD3"/>
    <w:rsid w:val="00872220"/>
    <w:rsid w:val="0087223E"/>
    <w:rsid w:val="008725F3"/>
    <w:rsid w:val="008726B8"/>
    <w:rsid w:val="008733E0"/>
    <w:rsid w:val="00873539"/>
    <w:rsid w:val="008737DA"/>
    <w:rsid w:val="00873827"/>
    <w:rsid w:val="0087419B"/>
    <w:rsid w:val="008743BB"/>
    <w:rsid w:val="00874644"/>
    <w:rsid w:val="00874730"/>
    <w:rsid w:val="008752A7"/>
    <w:rsid w:val="00875C0D"/>
    <w:rsid w:val="00875EF1"/>
    <w:rsid w:val="00875FCC"/>
    <w:rsid w:val="00876025"/>
    <w:rsid w:val="008760F3"/>
    <w:rsid w:val="00876482"/>
    <w:rsid w:val="0087675C"/>
    <w:rsid w:val="00877191"/>
    <w:rsid w:val="008773F4"/>
    <w:rsid w:val="00877421"/>
    <w:rsid w:val="00877433"/>
    <w:rsid w:val="008774A9"/>
    <w:rsid w:val="008774CB"/>
    <w:rsid w:val="008779FF"/>
    <w:rsid w:val="0088039B"/>
    <w:rsid w:val="008803E8"/>
    <w:rsid w:val="00880B6F"/>
    <w:rsid w:val="0088142E"/>
    <w:rsid w:val="00881AFF"/>
    <w:rsid w:val="00881B49"/>
    <w:rsid w:val="00882366"/>
    <w:rsid w:val="0088251A"/>
    <w:rsid w:val="00882692"/>
    <w:rsid w:val="008828FA"/>
    <w:rsid w:val="00882A68"/>
    <w:rsid w:val="00882C58"/>
    <w:rsid w:val="00882FDE"/>
    <w:rsid w:val="00883035"/>
    <w:rsid w:val="008831BD"/>
    <w:rsid w:val="00883214"/>
    <w:rsid w:val="0088328C"/>
    <w:rsid w:val="008834FB"/>
    <w:rsid w:val="008835A8"/>
    <w:rsid w:val="0088374E"/>
    <w:rsid w:val="00884080"/>
    <w:rsid w:val="00884218"/>
    <w:rsid w:val="0088422E"/>
    <w:rsid w:val="0088425A"/>
    <w:rsid w:val="00884BEA"/>
    <w:rsid w:val="00884C0E"/>
    <w:rsid w:val="00884CB4"/>
    <w:rsid w:val="00884E51"/>
    <w:rsid w:val="00885CAE"/>
    <w:rsid w:val="00885E17"/>
    <w:rsid w:val="00885FC2"/>
    <w:rsid w:val="008860CC"/>
    <w:rsid w:val="00886CB7"/>
    <w:rsid w:val="00886E15"/>
    <w:rsid w:val="008870B3"/>
    <w:rsid w:val="0088780F"/>
    <w:rsid w:val="00887A91"/>
    <w:rsid w:val="00887CEB"/>
    <w:rsid w:val="0089017C"/>
    <w:rsid w:val="008903FB"/>
    <w:rsid w:val="00890BEB"/>
    <w:rsid w:val="00891346"/>
    <w:rsid w:val="00891CDA"/>
    <w:rsid w:val="00891D6F"/>
    <w:rsid w:val="00892841"/>
    <w:rsid w:val="00892898"/>
    <w:rsid w:val="008928C6"/>
    <w:rsid w:val="008929C9"/>
    <w:rsid w:val="00892B50"/>
    <w:rsid w:val="008930A4"/>
    <w:rsid w:val="00893101"/>
    <w:rsid w:val="00893225"/>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47F"/>
    <w:rsid w:val="00896AE9"/>
    <w:rsid w:val="00896D1E"/>
    <w:rsid w:val="00896FAD"/>
    <w:rsid w:val="0089786D"/>
    <w:rsid w:val="00897936"/>
    <w:rsid w:val="008A00D2"/>
    <w:rsid w:val="008A0357"/>
    <w:rsid w:val="008A03E2"/>
    <w:rsid w:val="008A08FD"/>
    <w:rsid w:val="008A1526"/>
    <w:rsid w:val="008A15DB"/>
    <w:rsid w:val="008A17A1"/>
    <w:rsid w:val="008A1977"/>
    <w:rsid w:val="008A1CA2"/>
    <w:rsid w:val="008A1D4D"/>
    <w:rsid w:val="008A1DD4"/>
    <w:rsid w:val="008A1DD5"/>
    <w:rsid w:val="008A1FDD"/>
    <w:rsid w:val="008A201A"/>
    <w:rsid w:val="008A2465"/>
    <w:rsid w:val="008A256C"/>
    <w:rsid w:val="008A2852"/>
    <w:rsid w:val="008A2AF4"/>
    <w:rsid w:val="008A2C28"/>
    <w:rsid w:val="008A2DD7"/>
    <w:rsid w:val="008A351C"/>
    <w:rsid w:val="008A3B35"/>
    <w:rsid w:val="008A40A1"/>
    <w:rsid w:val="008A4139"/>
    <w:rsid w:val="008A4323"/>
    <w:rsid w:val="008A45C1"/>
    <w:rsid w:val="008A46D1"/>
    <w:rsid w:val="008A4964"/>
    <w:rsid w:val="008A4C3C"/>
    <w:rsid w:val="008A4DF9"/>
    <w:rsid w:val="008A4E5C"/>
    <w:rsid w:val="008A517C"/>
    <w:rsid w:val="008A51D1"/>
    <w:rsid w:val="008A52C8"/>
    <w:rsid w:val="008A5AEF"/>
    <w:rsid w:val="008A5E56"/>
    <w:rsid w:val="008A63B9"/>
    <w:rsid w:val="008A70F4"/>
    <w:rsid w:val="008A7697"/>
    <w:rsid w:val="008A7745"/>
    <w:rsid w:val="008A7B18"/>
    <w:rsid w:val="008A7E9E"/>
    <w:rsid w:val="008A7EB5"/>
    <w:rsid w:val="008B0487"/>
    <w:rsid w:val="008B0646"/>
    <w:rsid w:val="008B0CB1"/>
    <w:rsid w:val="008B0EC4"/>
    <w:rsid w:val="008B18D4"/>
    <w:rsid w:val="008B1940"/>
    <w:rsid w:val="008B1E65"/>
    <w:rsid w:val="008B1FEE"/>
    <w:rsid w:val="008B23DC"/>
    <w:rsid w:val="008B2817"/>
    <w:rsid w:val="008B2867"/>
    <w:rsid w:val="008B2B54"/>
    <w:rsid w:val="008B2CA0"/>
    <w:rsid w:val="008B2CB4"/>
    <w:rsid w:val="008B2DC6"/>
    <w:rsid w:val="008B307A"/>
    <w:rsid w:val="008B36AD"/>
    <w:rsid w:val="008B4358"/>
    <w:rsid w:val="008B44C4"/>
    <w:rsid w:val="008B468E"/>
    <w:rsid w:val="008B4972"/>
    <w:rsid w:val="008B512F"/>
    <w:rsid w:val="008B517D"/>
    <w:rsid w:val="008B55BE"/>
    <w:rsid w:val="008B57AA"/>
    <w:rsid w:val="008B57E8"/>
    <w:rsid w:val="008B58AF"/>
    <w:rsid w:val="008B597B"/>
    <w:rsid w:val="008B5F6C"/>
    <w:rsid w:val="008B62C9"/>
    <w:rsid w:val="008B6862"/>
    <w:rsid w:val="008B6F06"/>
    <w:rsid w:val="008B70BC"/>
    <w:rsid w:val="008B7E06"/>
    <w:rsid w:val="008B7EF2"/>
    <w:rsid w:val="008C0444"/>
    <w:rsid w:val="008C0588"/>
    <w:rsid w:val="008C0F1A"/>
    <w:rsid w:val="008C102A"/>
    <w:rsid w:val="008C103B"/>
    <w:rsid w:val="008C137C"/>
    <w:rsid w:val="008C157A"/>
    <w:rsid w:val="008C179F"/>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B89"/>
    <w:rsid w:val="008C5E3C"/>
    <w:rsid w:val="008C6B23"/>
    <w:rsid w:val="008C6CE9"/>
    <w:rsid w:val="008C7013"/>
    <w:rsid w:val="008C7394"/>
    <w:rsid w:val="008C73EC"/>
    <w:rsid w:val="008C75A7"/>
    <w:rsid w:val="008C792A"/>
    <w:rsid w:val="008C7B89"/>
    <w:rsid w:val="008C7F97"/>
    <w:rsid w:val="008D01B9"/>
    <w:rsid w:val="008D03FB"/>
    <w:rsid w:val="008D0D3F"/>
    <w:rsid w:val="008D0DAD"/>
    <w:rsid w:val="008D0E74"/>
    <w:rsid w:val="008D146A"/>
    <w:rsid w:val="008D1809"/>
    <w:rsid w:val="008D18B0"/>
    <w:rsid w:val="008D1D76"/>
    <w:rsid w:val="008D2747"/>
    <w:rsid w:val="008D390E"/>
    <w:rsid w:val="008D3EF1"/>
    <w:rsid w:val="008D3F17"/>
    <w:rsid w:val="008D426D"/>
    <w:rsid w:val="008D4460"/>
    <w:rsid w:val="008D49CA"/>
    <w:rsid w:val="008D4D53"/>
    <w:rsid w:val="008D530E"/>
    <w:rsid w:val="008D5EF0"/>
    <w:rsid w:val="008D60EF"/>
    <w:rsid w:val="008D62ED"/>
    <w:rsid w:val="008D63BE"/>
    <w:rsid w:val="008D66EC"/>
    <w:rsid w:val="008D6A94"/>
    <w:rsid w:val="008D6B34"/>
    <w:rsid w:val="008D6DCA"/>
    <w:rsid w:val="008D6DE3"/>
    <w:rsid w:val="008D6F39"/>
    <w:rsid w:val="008D78DE"/>
    <w:rsid w:val="008E015C"/>
    <w:rsid w:val="008E01E0"/>
    <w:rsid w:val="008E02E1"/>
    <w:rsid w:val="008E0610"/>
    <w:rsid w:val="008E0717"/>
    <w:rsid w:val="008E0B8B"/>
    <w:rsid w:val="008E0C83"/>
    <w:rsid w:val="008E0CC2"/>
    <w:rsid w:val="008E0EB6"/>
    <w:rsid w:val="008E10FC"/>
    <w:rsid w:val="008E1D6F"/>
    <w:rsid w:val="008E220F"/>
    <w:rsid w:val="008E267F"/>
    <w:rsid w:val="008E27DE"/>
    <w:rsid w:val="008E299C"/>
    <w:rsid w:val="008E2BCC"/>
    <w:rsid w:val="008E3077"/>
    <w:rsid w:val="008E30CF"/>
    <w:rsid w:val="008E369E"/>
    <w:rsid w:val="008E3771"/>
    <w:rsid w:val="008E383B"/>
    <w:rsid w:val="008E3E2C"/>
    <w:rsid w:val="008E4133"/>
    <w:rsid w:val="008E433C"/>
    <w:rsid w:val="008E481B"/>
    <w:rsid w:val="008E4CCB"/>
    <w:rsid w:val="008E4FFA"/>
    <w:rsid w:val="008E577C"/>
    <w:rsid w:val="008E5887"/>
    <w:rsid w:val="008E63E0"/>
    <w:rsid w:val="008E641A"/>
    <w:rsid w:val="008E6D07"/>
    <w:rsid w:val="008E70F6"/>
    <w:rsid w:val="008E7649"/>
    <w:rsid w:val="008E77F2"/>
    <w:rsid w:val="008E7D20"/>
    <w:rsid w:val="008F0E28"/>
    <w:rsid w:val="008F0F3C"/>
    <w:rsid w:val="008F10F8"/>
    <w:rsid w:val="008F1231"/>
    <w:rsid w:val="008F1300"/>
    <w:rsid w:val="008F1563"/>
    <w:rsid w:val="008F18CA"/>
    <w:rsid w:val="008F1AB0"/>
    <w:rsid w:val="008F1EA4"/>
    <w:rsid w:val="008F2666"/>
    <w:rsid w:val="008F286E"/>
    <w:rsid w:val="008F2B09"/>
    <w:rsid w:val="008F35B5"/>
    <w:rsid w:val="008F3778"/>
    <w:rsid w:val="008F3817"/>
    <w:rsid w:val="008F4146"/>
    <w:rsid w:val="008F45BE"/>
    <w:rsid w:val="008F4B49"/>
    <w:rsid w:val="008F4BE6"/>
    <w:rsid w:val="008F5026"/>
    <w:rsid w:val="008F5345"/>
    <w:rsid w:val="008F5464"/>
    <w:rsid w:val="008F54C1"/>
    <w:rsid w:val="008F54F0"/>
    <w:rsid w:val="008F5A6E"/>
    <w:rsid w:val="008F5CE6"/>
    <w:rsid w:val="008F60D5"/>
    <w:rsid w:val="008F6214"/>
    <w:rsid w:val="008F62A1"/>
    <w:rsid w:val="008F67C4"/>
    <w:rsid w:val="008F67CF"/>
    <w:rsid w:val="008F6DBC"/>
    <w:rsid w:val="008F6EE6"/>
    <w:rsid w:val="008F71BD"/>
    <w:rsid w:val="008F7378"/>
    <w:rsid w:val="008F773C"/>
    <w:rsid w:val="008F78D6"/>
    <w:rsid w:val="008F79A0"/>
    <w:rsid w:val="0090006C"/>
    <w:rsid w:val="00900B03"/>
    <w:rsid w:val="00901145"/>
    <w:rsid w:val="00901D4A"/>
    <w:rsid w:val="0090234B"/>
    <w:rsid w:val="009023F9"/>
    <w:rsid w:val="0090266F"/>
    <w:rsid w:val="00903515"/>
    <w:rsid w:val="009035B4"/>
    <w:rsid w:val="00903BCA"/>
    <w:rsid w:val="00904598"/>
    <w:rsid w:val="0090527B"/>
    <w:rsid w:val="00905620"/>
    <w:rsid w:val="00905743"/>
    <w:rsid w:val="00905ECE"/>
    <w:rsid w:val="00906308"/>
    <w:rsid w:val="00906333"/>
    <w:rsid w:val="00906371"/>
    <w:rsid w:val="009067C5"/>
    <w:rsid w:val="009067ED"/>
    <w:rsid w:val="00906BCE"/>
    <w:rsid w:val="0090760B"/>
    <w:rsid w:val="00907659"/>
    <w:rsid w:val="0090785F"/>
    <w:rsid w:val="00907923"/>
    <w:rsid w:val="00907EBE"/>
    <w:rsid w:val="009101B1"/>
    <w:rsid w:val="0091063B"/>
    <w:rsid w:val="00911075"/>
    <w:rsid w:val="009113E6"/>
    <w:rsid w:val="0091177F"/>
    <w:rsid w:val="00911945"/>
    <w:rsid w:val="00911DAF"/>
    <w:rsid w:val="00912637"/>
    <w:rsid w:val="00912804"/>
    <w:rsid w:val="00912A27"/>
    <w:rsid w:val="00912A5B"/>
    <w:rsid w:val="00912A6C"/>
    <w:rsid w:val="00912DA6"/>
    <w:rsid w:val="00912DC5"/>
    <w:rsid w:val="009138B1"/>
    <w:rsid w:val="009139C5"/>
    <w:rsid w:val="00913CD1"/>
    <w:rsid w:val="00913D57"/>
    <w:rsid w:val="00913DE6"/>
    <w:rsid w:val="009144AF"/>
    <w:rsid w:val="009148D3"/>
    <w:rsid w:val="00914B4C"/>
    <w:rsid w:val="00915595"/>
    <w:rsid w:val="00915752"/>
    <w:rsid w:val="00915B47"/>
    <w:rsid w:val="00915D5A"/>
    <w:rsid w:val="00915E0D"/>
    <w:rsid w:val="00916472"/>
    <w:rsid w:val="0091685C"/>
    <w:rsid w:val="00916D7B"/>
    <w:rsid w:val="00916DF0"/>
    <w:rsid w:val="00916E29"/>
    <w:rsid w:val="0091705E"/>
    <w:rsid w:val="00917223"/>
    <w:rsid w:val="0092034C"/>
    <w:rsid w:val="009207E8"/>
    <w:rsid w:val="00920943"/>
    <w:rsid w:val="0092105F"/>
    <w:rsid w:val="009214A4"/>
    <w:rsid w:val="0092153C"/>
    <w:rsid w:val="009215E6"/>
    <w:rsid w:val="00921E3B"/>
    <w:rsid w:val="009221D3"/>
    <w:rsid w:val="009225DB"/>
    <w:rsid w:val="0092328E"/>
    <w:rsid w:val="0092330C"/>
    <w:rsid w:val="00923568"/>
    <w:rsid w:val="009237C2"/>
    <w:rsid w:val="0092380A"/>
    <w:rsid w:val="00923902"/>
    <w:rsid w:val="009239E8"/>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1089"/>
    <w:rsid w:val="0093111B"/>
    <w:rsid w:val="0093178B"/>
    <w:rsid w:val="0093218B"/>
    <w:rsid w:val="00932612"/>
    <w:rsid w:val="0093266A"/>
    <w:rsid w:val="0093278B"/>
    <w:rsid w:val="00932822"/>
    <w:rsid w:val="00932828"/>
    <w:rsid w:val="009332E8"/>
    <w:rsid w:val="00933575"/>
    <w:rsid w:val="009338F8"/>
    <w:rsid w:val="00933DEB"/>
    <w:rsid w:val="00933EF0"/>
    <w:rsid w:val="009346B6"/>
    <w:rsid w:val="009348D9"/>
    <w:rsid w:val="00934C4D"/>
    <w:rsid w:val="00934C4F"/>
    <w:rsid w:val="009350C6"/>
    <w:rsid w:val="00935349"/>
    <w:rsid w:val="009353FA"/>
    <w:rsid w:val="009354D9"/>
    <w:rsid w:val="00935FEA"/>
    <w:rsid w:val="009365A5"/>
    <w:rsid w:val="00936F59"/>
    <w:rsid w:val="009370CE"/>
    <w:rsid w:val="00937272"/>
    <w:rsid w:val="00937317"/>
    <w:rsid w:val="009377C0"/>
    <w:rsid w:val="00937A99"/>
    <w:rsid w:val="009400BF"/>
    <w:rsid w:val="009409B6"/>
    <w:rsid w:val="00940B15"/>
    <w:rsid w:val="00940ED8"/>
    <w:rsid w:val="00941464"/>
    <w:rsid w:val="009414D7"/>
    <w:rsid w:val="009419CD"/>
    <w:rsid w:val="00941CB7"/>
    <w:rsid w:val="00942428"/>
    <w:rsid w:val="009429C4"/>
    <w:rsid w:val="00942C22"/>
    <w:rsid w:val="00942D96"/>
    <w:rsid w:val="00943159"/>
    <w:rsid w:val="009434B9"/>
    <w:rsid w:val="009434CE"/>
    <w:rsid w:val="009435BC"/>
    <w:rsid w:val="00943BC3"/>
    <w:rsid w:val="009444C2"/>
    <w:rsid w:val="00944673"/>
    <w:rsid w:val="00944751"/>
    <w:rsid w:val="009447E3"/>
    <w:rsid w:val="00944A91"/>
    <w:rsid w:val="0094500A"/>
    <w:rsid w:val="0094597B"/>
    <w:rsid w:val="00945F66"/>
    <w:rsid w:val="009462F5"/>
    <w:rsid w:val="0094635A"/>
    <w:rsid w:val="00946462"/>
    <w:rsid w:val="00946606"/>
    <w:rsid w:val="0094682C"/>
    <w:rsid w:val="009470DE"/>
    <w:rsid w:val="00947464"/>
    <w:rsid w:val="00947777"/>
    <w:rsid w:val="00947907"/>
    <w:rsid w:val="00947A68"/>
    <w:rsid w:val="00947D22"/>
    <w:rsid w:val="00950670"/>
    <w:rsid w:val="00952349"/>
    <w:rsid w:val="009529A0"/>
    <w:rsid w:val="00952E84"/>
    <w:rsid w:val="009530AE"/>
    <w:rsid w:val="00953574"/>
    <w:rsid w:val="0095371E"/>
    <w:rsid w:val="00953A30"/>
    <w:rsid w:val="0095418D"/>
    <w:rsid w:val="009543FF"/>
    <w:rsid w:val="00954A20"/>
    <w:rsid w:val="009551A2"/>
    <w:rsid w:val="009554F2"/>
    <w:rsid w:val="0095563D"/>
    <w:rsid w:val="0095568E"/>
    <w:rsid w:val="00955C65"/>
    <w:rsid w:val="00955E81"/>
    <w:rsid w:val="009564D1"/>
    <w:rsid w:val="00957622"/>
    <w:rsid w:val="00957CF8"/>
    <w:rsid w:val="00957EC2"/>
    <w:rsid w:val="0096028C"/>
    <w:rsid w:val="00960563"/>
    <w:rsid w:val="00960791"/>
    <w:rsid w:val="00960A3D"/>
    <w:rsid w:val="00960EA8"/>
    <w:rsid w:val="00960FA5"/>
    <w:rsid w:val="00961218"/>
    <w:rsid w:val="009613C1"/>
    <w:rsid w:val="009614F1"/>
    <w:rsid w:val="0096165E"/>
    <w:rsid w:val="009616E2"/>
    <w:rsid w:val="00961B9C"/>
    <w:rsid w:val="009622F3"/>
    <w:rsid w:val="00962304"/>
    <w:rsid w:val="00962B6C"/>
    <w:rsid w:val="0096301A"/>
    <w:rsid w:val="0096313F"/>
    <w:rsid w:val="00963479"/>
    <w:rsid w:val="00964337"/>
    <w:rsid w:val="00964389"/>
    <w:rsid w:val="00964467"/>
    <w:rsid w:val="009650EF"/>
    <w:rsid w:val="00965331"/>
    <w:rsid w:val="00966052"/>
    <w:rsid w:val="009661D0"/>
    <w:rsid w:val="00966A1A"/>
    <w:rsid w:val="00966C36"/>
    <w:rsid w:val="00967139"/>
    <w:rsid w:val="0096727A"/>
    <w:rsid w:val="00967773"/>
    <w:rsid w:val="0096781B"/>
    <w:rsid w:val="00967D09"/>
    <w:rsid w:val="00970377"/>
    <w:rsid w:val="00970392"/>
    <w:rsid w:val="00970FC6"/>
    <w:rsid w:val="0097157E"/>
    <w:rsid w:val="00971A21"/>
    <w:rsid w:val="00972054"/>
    <w:rsid w:val="00972C44"/>
    <w:rsid w:val="009733AE"/>
    <w:rsid w:val="00973545"/>
    <w:rsid w:val="00973CBA"/>
    <w:rsid w:val="00973F8E"/>
    <w:rsid w:val="0097465C"/>
    <w:rsid w:val="009746F4"/>
    <w:rsid w:val="00975A9A"/>
    <w:rsid w:val="0097673A"/>
    <w:rsid w:val="00976F7F"/>
    <w:rsid w:val="009770CC"/>
    <w:rsid w:val="00977ABA"/>
    <w:rsid w:val="00980128"/>
    <w:rsid w:val="009801FC"/>
    <w:rsid w:val="0098098C"/>
    <w:rsid w:val="00980EBD"/>
    <w:rsid w:val="009826D9"/>
    <w:rsid w:val="00983533"/>
    <w:rsid w:val="0098373B"/>
    <w:rsid w:val="0098393E"/>
    <w:rsid w:val="00983943"/>
    <w:rsid w:val="00983BF4"/>
    <w:rsid w:val="00983EBA"/>
    <w:rsid w:val="00983F8E"/>
    <w:rsid w:val="00984696"/>
    <w:rsid w:val="009846F6"/>
    <w:rsid w:val="00984892"/>
    <w:rsid w:val="00984D31"/>
    <w:rsid w:val="00984D7A"/>
    <w:rsid w:val="00984EE1"/>
    <w:rsid w:val="00984F46"/>
    <w:rsid w:val="009850B8"/>
    <w:rsid w:val="00985C15"/>
    <w:rsid w:val="00985F89"/>
    <w:rsid w:val="00986457"/>
    <w:rsid w:val="00986530"/>
    <w:rsid w:val="00986A78"/>
    <w:rsid w:val="00987332"/>
    <w:rsid w:val="0098777E"/>
    <w:rsid w:val="00987B7F"/>
    <w:rsid w:val="00987C13"/>
    <w:rsid w:val="0099008A"/>
    <w:rsid w:val="00990411"/>
    <w:rsid w:val="00990413"/>
    <w:rsid w:val="009906A4"/>
    <w:rsid w:val="00990EE0"/>
    <w:rsid w:val="00990FC4"/>
    <w:rsid w:val="009911FD"/>
    <w:rsid w:val="0099178E"/>
    <w:rsid w:val="00991CCA"/>
    <w:rsid w:val="00992C96"/>
    <w:rsid w:val="00993226"/>
    <w:rsid w:val="0099322F"/>
    <w:rsid w:val="00993A68"/>
    <w:rsid w:val="00993DE6"/>
    <w:rsid w:val="009945B3"/>
    <w:rsid w:val="00994831"/>
    <w:rsid w:val="00994CC6"/>
    <w:rsid w:val="00995180"/>
    <w:rsid w:val="00995427"/>
    <w:rsid w:val="0099549A"/>
    <w:rsid w:val="00995CEA"/>
    <w:rsid w:val="00995D5B"/>
    <w:rsid w:val="00995F52"/>
    <w:rsid w:val="009964BA"/>
    <w:rsid w:val="0099653D"/>
    <w:rsid w:val="009967CC"/>
    <w:rsid w:val="00996DE6"/>
    <w:rsid w:val="00997235"/>
    <w:rsid w:val="00997540"/>
    <w:rsid w:val="009976BD"/>
    <w:rsid w:val="00997F4F"/>
    <w:rsid w:val="009A09B7"/>
    <w:rsid w:val="009A0ECF"/>
    <w:rsid w:val="009A1119"/>
    <w:rsid w:val="009A1369"/>
    <w:rsid w:val="009A1547"/>
    <w:rsid w:val="009A177E"/>
    <w:rsid w:val="009A1A84"/>
    <w:rsid w:val="009A28BA"/>
    <w:rsid w:val="009A2FDC"/>
    <w:rsid w:val="009A35B0"/>
    <w:rsid w:val="009A35CA"/>
    <w:rsid w:val="009A3CB4"/>
    <w:rsid w:val="009A4096"/>
    <w:rsid w:val="009A4B84"/>
    <w:rsid w:val="009A4E1D"/>
    <w:rsid w:val="009A5151"/>
    <w:rsid w:val="009A58B0"/>
    <w:rsid w:val="009A5D7A"/>
    <w:rsid w:val="009A5F87"/>
    <w:rsid w:val="009A5F8E"/>
    <w:rsid w:val="009A62F4"/>
    <w:rsid w:val="009A6C43"/>
    <w:rsid w:val="009A6F6B"/>
    <w:rsid w:val="009A6FFE"/>
    <w:rsid w:val="009A774C"/>
    <w:rsid w:val="009A7C0B"/>
    <w:rsid w:val="009A7CE0"/>
    <w:rsid w:val="009A7CFC"/>
    <w:rsid w:val="009B008F"/>
    <w:rsid w:val="009B0233"/>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A8F"/>
    <w:rsid w:val="009B5D53"/>
    <w:rsid w:val="009B6113"/>
    <w:rsid w:val="009B6501"/>
    <w:rsid w:val="009B6C22"/>
    <w:rsid w:val="009B6EFC"/>
    <w:rsid w:val="009B73AE"/>
    <w:rsid w:val="009B7771"/>
    <w:rsid w:val="009B78A4"/>
    <w:rsid w:val="009B7E53"/>
    <w:rsid w:val="009B7F61"/>
    <w:rsid w:val="009C015B"/>
    <w:rsid w:val="009C01BD"/>
    <w:rsid w:val="009C01DD"/>
    <w:rsid w:val="009C06CE"/>
    <w:rsid w:val="009C1390"/>
    <w:rsid w:val="009C15E8"/>
    <w:rsid w:val="009C16CD"/>
    <w:rsid w:val="009C17E5"/>
    <w:rsid w:val="009C1A1A"/>
    <w:rsid w:val="009C22D6"/>
    <w:rsid w:val="009C2581"/>
    <w:rsid w:val="009C28A4"/>
    <w:rsid w:val="009C2B38"/>
    <w:rsid w:val="009C30CF"/>
    <w:rsid w:val="009C3444"/>
    <w:rsid w:val="009C385C"/>
    <w:rsid w:val="009C3C1A"/>
    <w:rsid w:val="009C4096"/>
    <w:rsid w:val="009C4947"/>
    <w:rsid w:val="009C4C59"/>
    <w:rsid w:val="009C5383"/>
    <w:rsid w:val="009C539A"/>
    <w:rsid w:val="009C53D5"/>
    <w:rsid w:val="009C5643"/>
    <w:rsid w:val="009C5B64"/>
    <w:rsid w:val="009C5E7B"/>
    <w:rsid w:val="009C6040"/>
    <w:rsid w:val="009C6BF6"/>
    <w:rsid w:val="009C6C0E"/>
    <w:rsid w:val="009C6C69"/>
    <w:rsid w:val="009C6D9F"/>
    <w:rsid w:val="009C7264"/>
    <w:rsid w:val="009C72FB"/>
    <w:rsid w:val="009C7783"/>
    <w:rsid w:val="009C7897"/>
    <w:rsid w:val="009C7BC8"/>
    <w:rsid w:val="009D0146"/>
    <w:rsid w:val="009D01CC"/>
    <w:rsid w:val="009D032A"/>
    <w:rsid w:val="009D04C7"/>
    <w:rsid w:val="009D05F9"/>
    <w:rsid w:val="009D08B1"/>
    <w:rsid w:val="009D0ADE"/>
    <w:rsid w:val="009D0B13"/>
    <w:rsid w:val="009D20E0"/>
    <w:rsid w:val="009D315F"/>
    <w:rsid w:val="009D31A4"/>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4D4"/>
    <w:rsid w:val="009E0708"/>
    <w:rsid w:val="009E095D"/>
    <w:rsid w:val="009E100C"/>
    <w:rsid w:val="009E1296"/>
    <w:rsid w:val="009E1888"/>
    <w:rsid w:val="009E19E0"/>
    <w:rsid w:val="009E1E01"/>
    <w:rsid w:val="009E22FD"/>
    <w:rsid w:val="009E2416"/>
    <w:rsid w:val="009E2AC9"/>
    <w:rsid w:val="009E2B1B"/>
    <w:rsid w:val="009E2FF5"/>
    <w:rsid w:val="009E3D4A"/>
    <w:rsid w:val="009E4841"/>
    <w:rsid w:val="009E4D8C"/>
    <w:rsid w:val="009E4FC9"/>
    <w:rsid w:val="009E561F"/>
    <w:rsid w:val="009E6502"/>
    <w:rsid w:val="009E655A"/>
    <w:rsid w:val="009E6EA2"/>
    <w:rsid w:val="009E79A0"/>
    <w:rsid w:val="009E7ABF"/>
    <w:rsid w:val="009F000F"/>
    <w:rsid w:val="009F0146"/>
    <w:rsid w:val="009F1934"/>
    <w:rsid w:val="009F1B0D"/>
    <w:rsid w:val="009F1F30"/>
    <w:rsid w:val="009F224F"/>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877"/>
    <w:rsid w:val="009F6893"/>
    <w:rsid w:val="009F6DAD"/>
    <w:rsid w:val="009F6FCB"/>
    <w:rsid w:val="009F70F9"/>
    <w:rsid w:val="009F7710"/>
    <w:rsid w:val="009F7CAC"/>
    <w:rsid w:val="00A002FD"/>
    <w:rsid w:val="00A0046D"/>
    <w:rsid w:val="00A01161"/>
    <w:rsid w:val="00A012BB"/>
    <w:rsid w:val="00A014C3"/>
    <w:rsid w:val="00A0171C"/>
    <w:rsid w:val="00A01A51"/>
    <w:rsid w:val="00A01A6F"/>
    <w:rsid w:val="00A0260A"/>
    <w:rsid w:val="00A0268A"/>
    <w:rsid w:val="00A02AE2"/>
    <w:rsid w:val="00A032D3"/>
    <w:rsid w:val="00A038CC"/>
    <w:rsid w:val="00A044A1"/>
    <w:rsid w:val="00A05136"/>
    <w:rsid w:val="00A05F06"/>
    <w:rsid w:val="00A06219"/>
    <w:rsid w:val="00A0757A"/>
    <w:rsid w:val="00A075A3"/>
    <w:rsid w:val="00A0763F"/>
    <w:rsid w:val="00A07AB9"/>
    <w:rsid w:val="00A07AE9"/>
    <w:rsid w:val="00A07B29"/>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93D"/>
    <w:rsid w:val="00A13CA8"/>
    <w:rsid w:val="00A13E0A"/>
    <w:rsid w:val="00A13FEF"/>
    <w:rsid w:val="00A14012"/>
    <w:rsid w:val="00A147EB"/>
    <w:rsid w:val="00A14992"/>
    <w:rsid w:val="00A14D22"/>
    <w:rsid w:val="00A14D61"/>
    <w:rsid w:val="00A14DF6"/>
    <w:rsid w:val="00A1576A"/>
    <w:rsid w:val="00A157AC"/>
    <w:rsid w:val="00A158D2"/>
    <w:rsid w:val="00A1660B"/>
    <w:rsid w:val="00A16640"/>
    <w:rsid w:val="00A16855"/>
    <w:rsid w:val="00A168F1"/>
    <w:rsid w:val="00A169B3"/>
    <w:rsid w:val="00A17464"/>
    <w:rsid w:val="00A1783D"/>
    <w:rsid w:val="00A178DB"/>
    <w:rsid w:val="00A2001F"/>
    <w:rsid w:val="00A20098"/>
    <w:rsid w:val="00A200FD"/>
    <w:rsid w:val="00A206A9"/>
    <w:rsid w:val="00A20828"/>
    <w:rsid w:val="00A20D6C"/>
    <w:rsid w:val="00A21058"/>
    <w:rsid w:val="00A21148"/>
    <w:rsid w:val="00A21583"/>
    <w:rsid w:val="00A219FD"/>
    <w:rsid w:val="00A21D83"/>
    <w:rsid w:val="00A2205A"/>
    <w:rsid w:val="00A2239A"/>
    <w:rsid w:val="00A22F58"/>
    <w:rsid w:val="00A23263"/>
    <w:rsid w:val="00A23358"/>
    <w:rsid w:val="00A2369F"/>
    <w:rsid w:val="00A23A9F"/>
    <w:rsid w:val="00A24335"/>
    <w:rsid w:val="00A24529"/>
    <w:rsid w:val="00A247C5"/>
    <w:rsid w:val="00A24BBA"/>
    <w:rsid w:val="00A24CB8"/>
    <w:rsid w:val="00A24E81"/>
    <w:rsid w:val="00A24F45"/>
    <w:rsid w:val="00A252AE"/>
    <w:rsid w:val="00A253AC"/>
    <w:rsid w:val="00A257D1"/>
    <w:rsid w:val="00A25DEF"/>
    <w:rsid w:val="00A26093"/>
    <w:rsid w:val="00A26170"/>
    <w:rsid w:val="00A26177"/>
    <w:rsid w:val="00A26323"/>
    <w:rsid w:val="00A263EB"/>
    <w:rsid w:val="00A26A18"/>
    <w:rsid w:val="00A26A4C"/>
    <w:rsid w:val="00A2709E"/>
    <w:rsid w:val="00A27142"/>
    <w:rsid w:val="00A2752C"/>
    <w:rsid w:val="00A27792"/>
    <w:rsid w:val="00A27896"/>
    <w:rsid w:val="00A30290"/>
    <w:rsid w:val="00A3053B"/>
    <w:rsid w:val="00A30613"/>
    <w:rsid w:val="00A30AA2"/>
    <w:rsid w:val="00A31DBF"/>
    <w:rsid w:val="00A31E63"/>
    <w:rsid w:val="00A32465"/>
    <w:rsid w:val="00A32625"/>
    <w:rsid w:val="00A331C8"/>
    <w:rsid w:val="00A3330A"/>
    <w:rsid w:val="00A3374E"/>
    <w:rsid w:val="00A337C0"/>
    <w:rsid w:val="00A33B0C"/>
    <w:rsid w:val="00A33BD1"/>
    <w:rsid w:val="00A33FED"/>
    <w:rsid w:val="00A3414F"/>
    <w:rsid w:val="00A348A3"/>
    <w:rsid w:val="00A3499F"/>
    <w:rsid w:val="00A3558D"/>
    <w:rsid w:val="00A35BDE"/>
    <w:rsid w:val="00A35E05"/>
    <w:rsid w:val="00A35E90"/>
    <w:rsid w:val="00A35F5A"/>
    <w:rsid w:val="00A35FE9"/>
    <w:rsid w:val="00A369EF"/>
    <w:rsid w:val="00A37007"/>
    <w:rsid w:val="00A37866"/>
    <w:rsid w:val="00A37999"/>
    <w:rsid w:val="00A379C7"/>
    <w:rsid w:val="00A37C7C"/>
    <w:rsid w:val="00A408C8"/>
    <w:rsid w:val="00A40BAA"/>
    <w:rsid w:val="00A40F85"/>
    <w:rsid w:val="00A40F94"/>
    <w:rsid w:val="00A41924"/>
    <w:rsid w:val="00A41A3C"/>
    <w:rsid w:val="00A423B0"/>
    <w:rsid w:val="00A42667"/>
    <w:rsid w:val="00A42F5B"/>
    <w:rsid w:val="00A431BA"/>
    <w:rsid w:val="00A43499"/>
    <w:rsid w:val="00A43EC7"/>
    <w:rsid w:val="00A44216"/>
    <w:rsid w:val="00A44409"/>
    <w:rsid w:val="00A4457E"/>
    <w:rsid w:val="00A44871"/>
    <w:rsid w:val="00A44E6D"/>
    <w:rsid w:val="00A45015"/>
    <w:rsid w:val="00A4505B"/>
    <w:rsid w:val="00A4537B"/>
    <w:rsid w:val="00A453B0"/>
    <w:rsid w:val="00A454FC"/>
    <w:rsid w:val="00A4565F"/>
    <w:rsid w:val="00A45846"/>
    <w:rsid w:val="00A45EF0"/>
    <w:rsid w:val="00A45F6E"/>
    <w:rsid w:val="00A460B8"/>
    <w:rsid w:val="00A46195"/>
    <w:rsid w:val="00A46A4C"/>
    <w:rsid w:val="00A46E0B"/>
    <w:rsid w:val="00A4766A"/>
    <w:rsid w:val="00A477C8"/>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B50"/>
    <w:rsid w:val="00A54D6B"/>
    <w:rsid w:val="00A550B8"/>
    <w:rsid w:val="00A55A10"/>
    <w:rsid w:val="00A55DC8"/>
    <w:rsid w:val="00A55ED3"/>
    <w:rsid w:val="00A5632B"/>
    <w:rsid w:val="00A563D3"/>
    <w:rsid w:val="00A56579"/>
    <w:rsid w:val="00A56726"/>
    <w:rsid w:val="00A56765"/>
    <w:rsid w:val="00A56AC5"/>
    <w:rsid w:val="00A574F0"/>
    <w:rsid w:val="00A57755"/>
    <w:rsid w:val="00A57B63"/>
    <w:rsid w:val="00A57BA9"/>
    <w:rsid w:val="00A60132"/>
    <w:rsid w:val="00A60939"/>
    <w:rsid w:val="00A60A0F"/>
    <w:rsid w:val="00A60A69"/>
    <w:rsid w:val="00A617E7"/>
    <w:rsid w:val="00A619F3"/>
    <w:rsid w:val="00A61DC9"/>
    <w:rsid w:val="00A61F1E"/>
    <w:rsid w:val="00A61F43"/>
    <w:rsid w:val="00A62ED1"/>
    <w:rsid w:val="00A633E0"/>
    <w:rsid w:val="00A63601"/>
    <w:rsid w:val="00A63B2D"/>
    <w:rsid w:val="00A63D29"/>
    <w:rsid w:val="00A6404F"/>
    <w:rsid w:val="00A640B5"/>
    <w:rsid w:val="00A64426"/>
    <w:rsid w:val="00A64468"/>
    <w:rsid w:val="00A64728"/>
    <w:rsid w:val="00A64904"/>
    <w:rsid w:val="00A64C1C"/>
    <w:rsid w:val="00A64CBA"/>
    <w:rsid w:val="00A64E4E"/>
    <w:rsid w:val="00A659D8"/>
    <w:rsid w:val="00A65AFA"/>
    <w:rsid w:val="00A65B38"/>
    <w:rsid w:val="00A65E89"/>
    <w:rsid w:val="00A66603"/>
    <w:rsid w:val="00A66D4C"/>
    <w:rsid w:val="00A67379"/>
    <w:rsid w:val="00A67676"/>
    <w:rsid w:val="00A67BCA"/>
    <w:rsid w:val="00A67CCE"/>
    <w:rsid w:val="00A70EBC"/>
    <w:rsid w:val="00A70FE3"/>
    <w:rsid w:val="00A710D0"/>
    <w:rsid w:val="00A7118D"/>
    <w:rsid w:val="00A71339"/>
    <w:rsid w:val="00A7135B"/>
    <w:rsid w:val="00A71759"/>
    <w:rsid w:val="00A71A83"/>
    <w:rsid w:val="00A72091"/>
    <w:rsid w:val="00A723BF"/>
    <w:rsid w:val="00A72469"/>
    <w:rsid w:val="00A72829"/>
    <w:rsid w:val="00A72BFA"/>
    <w:rsid w:val="00A72CAF"/>
    <w:rsid w:val="00A730EA"/>
    <w:rsid w:val="00A73139"/>
    <w:rsid w:val="00A7374F"/>
    <w:rsid w:val="00A73894"/>
    <w:rsid w:val="00A73993"/>
    <w:rsid w:val="00A73BB9"/>
    <w:rsid w:val="00A73F82"/>
    <w:rsid w:val="00A742B1"/>
    <w:rsid w:val="00A74CDF"/>
    <w:rsid w:val="00A75408"/>
    <w:rsid w:val="00A75598"/>
    <w:rsid w:val="00A756D0"/>
    <w:rsid w:val="00A75BCB"/>
    <w:rsid w:val="00A75CC3"/>
    <w:rsid w:val="00A75F1D"/>
    <w:rsid w:val="00A75F8C"/>
    <w:rsid w:val="00A761CF"/>
    <w:rsid w:val="00A7631D"/>
    <w:rsid w:val="00A7667E"/>
    <w:rsid w:val="00A76D19"/>
    <w:rsid w:val="00A775E6"/>
    <w:rsid w:val="00A7768F"/>
    <w:rsid w:val="00A7771D"/>
    <w:rsid w:val="00A80BF6"/>
    <w:rsid w:val="00A80E98"/>
    <w:rsid w:val="00A81694"/>
    <w:rsid w:val="00A817CD"/>
    <w:rsid w:val="00A818A0"/>
    <w:rsid w:val="00A81935"/>
    <w:rsid w:val="00A82113"/>
    <w:rsid w:val="00A825A5"/>
    <w:rsid w:val="00A82899"/>
    <w:rsid w:val="00A82D87"/>
    <w:rsid w:val="00A83251"/>
    <w:rsid w:val="00A8368D"/>
    <w:rsid w:val="00A83ACB"/>
    <w:rsid w:val="00A8407F"/>
    <w:rsid w:val="00A844C2"/>
    <w:rsid w:val="00A84BBC"/>
    <w:rsid w:val="00A85698"/>
    <w:rsid w:val="00A859E4"/>
    <w:rsid w:val="00A85BDC"/>
    <w:rsid w:val="00A85C83"/>
    <w:rsid w:val="00A85CBA"/>
    <w:rsid w:val="00A861BB"/>
    <w:rsid w:val="00A8620B"/>
    <w:rsid w:val="00A866EE"/>
    <w:rsid w:val="00A8686B"/>
    <w:rsid w:val="00A875BA"/>
    <w:rsid w:val="00A875BE"/>
    <w:rsid w:val="00A87D9B"/>
    <w:rsid w:val="00A87DB4"/>
    <w:rsid w:val="00A901A1"/>
    <w:rsid w:val="00A9043C"/>
    <w:rsid w:val="00A90BEF"/>
    <w:rsid w:val="00A90D4F"/>
    <w:rsid w:val="00A90DF4"/>
    <w:rsid w:val="00A9166F"/>
    <w:rsid w:val="00A91DEE"/>
    <w:rsid w:val="00A92531"/>
    <w:rsid w:val="00A92A1A"/>
    <w:rsid w:val="00A937D2"/>
    <w:rsid w:val="00A94191"/>
    <w:rsid w:val="00A9428C"/>
    <w:rsid w:val="00A94A38"/>
    <w:rsid w:val="00A94E56"/>
    <w:rsid w:val="00A956DD"/>
    <w:rsid w:val="00A95A68"/>
    <w:rsid w:val="00A95ACC"/>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CBC"/>
    <w:rsid w:val="00AA0E60"/>
    <w:rsid w:val="00AA0EF1"/>
    <w:rsid w:val="00AA15D3"/>
    <w:rsid w:val="00AA1639"/>
    <w:rsid w:val="00AA165D"/>
    <w:rsid w:val="00AA180A"/>
    <w:rsid w:val="00AA1F49"/>
    <w:rsid w:val="00AA21D3"/>
    <w:rsid w:val="00AA2482"/>
    <w:rsid w:val="00AA25C1"/>
    <w:rsid w:val="00AA2EEE"/>
    <w:rsid w:val="00AA31A5"/>
    <w:rsid w:val="00AA3BB3"/>
    <w:rsid w:val="00AA42BD"/>
    <w:rsid w:val="00AA4F20"/>
    <w:rsid w:val="00AA617C"/>
    <w:rsid w:val="00AA626C"/>
    <w:rsid w:val="00AA65C9"/>
    <w:rsid w:val="00AA6BD8"/>
    <w:rsid w:val="00AA7B21"/>
    <w:rsid w:val="00AA7ED7"/>
    <w:rsid w:val="00AA7EE4"/>
    <w:rsid w:val="00AB0537"/>
    <w:rsid w:val="00AB06EC"/>
    <w:rsid w:val="00AB0845"/>
    <w:rsid w:val="00AB08D7"/>
    <w:rsid w:val="00AB0984"/>
    <w:rsid w:val="00AB0DC4"/>
    <w:rsid w:val="00AB0EFB"/>
    <w:rsid w:val="00AB28F6"/>
    <w:rsid w:val="00AB2949"/>
    <w:rsid w:val="00AB2B40"/>
    <w:rsid w:val="00AB2B51"/>
    <w:rsid w:val="00AB2C97"/>
    <w:rsid w:val="00AB304A"/>
    <w:rsid w:val="00AB331C"/>
    <w:rsid w:val="00AB34E3"/>
    <w:rsid w:val="00AB3533"/>
    <w:rsid w:val="00AB354B"/>
    <w:rsid w:val="00AB3B1C"/>
    <w:rsid w:val="00AB3B95"/>
    <w:rsid w:val="00AB45BE"/>
    <w:rsid w:val="00AB4670"/>
    <w:rsid w:val="00AB4835"/>
    <w:rsid w:val="00AB4A4E"/>
    <w:rsid w:val="00AB4CB4"/>
    <w:rsid w:val="00AB4DB7"/>
    <w:rsid w:val="00AB4EBF"/>
    <w:rsid w:val="00AB5709"/>
    <w:rsid w:val="00AB57DC"/>
    <w:rsid w:val="00AB592A"/>
    <w:rsid w:val="00AB5C1D"/>
    <w:rsid w:val="00AB5C38"/>
    <w:rsid w:val="00AB751C"/>
    <w:rsid w:val="00AB7625"/>
    <w:rsid w:val="00AB7910"/>
    <w:rsid w:val="00AB7C8E"/>
    <w:rsid w:val="00AC0214"/>
    <w:rsid w:val="00AC0251"/>
    <w:rsid w:val="00AC0646"/>
    <w:rsid w:val="00AC06D6"/>
    <w:rsid w:val="00AC0996"/>
    <w:rsid w:val="00AC0B79"/>
    <w:rsid w:val="00AC0BA3"/>
    <w:rsid w:val="00AC0E98"/>
    <w:rsid w:val="00AC1341"/>
    <w:rsid w:val="00AC146B"/>
    <w:rsid w:val="00AC1919"/>
    <w:rsid w:val="00AC19A1"/>
    <w:rsid w:val="00AC1FB2"/>
    <w:rsid w:val="00AC24B4"/>
    <w:rsid w:val="00AC2A78"/>
    <w:rsid w:val="00AC2C4C"/>
    <w:rsid w:val="00AC2C5B"/>
    <w:rsid w:val="00AC2D57"/>
    <w:rsid w:val="00AC2D62"/>
    <w:rsid w:val="00AC2DCB"/>
    <w:rsid w:val="00AC3376"/>
    <w:rsid w:val="00AC3531"/>
    <w:rsid w:val="00AC3665"/>
    <w:rsid w:val="00AC38A9"/>
    <w:rsid w:val="00AC3913"/>
    <w:rsid w:val="00AC3BC2"/>
    <w:rsid w:val="00AC40CC"/>
    <w:rsid w:val="00AC4122"/>
    <w:rsid w:val="00AC4C3A"/>
    <w:rsid w:val="00AC4DEF"/>
    <w:rsid w:val="00AC4F21"/>
    <w:rsid w:val="00AC4FD5"/>
    <w:rsid w:val="00AC4FF5"/>
    <w:rsid w:val="00AC547E"/>
    <w:rsid w:val="00AC54F6"/>
    <w:rsid w:val="00AC5642"/>
    <w:rsid w:val="00AC61B7"/>
    <w:rsid w:val="00AC6345"/>
    <w:rsid w:val="00AC656B"/>
    <w:rsid w:val="00AC67DD"/>
    <w:rsid w:val="00AC7039"/>
    <w:rsid w:val="00AC7174"/>
    <w:rsid w:val="00AC7595"/>
    <w:rsid w:val="00AC7801"/>
    <w:rsid w:val="00AC79F8"/>
    <w:rsid w:val="00AC7F37"/>
    <w:rsid w:val="00AD004B"/>
    <w:rsid w:val="00AD049F"/>
    <w:rsid w:val="00AD0C1E"/>
    <w:rsid w:val="00AD0E10"/>
    <w:rsid w:val="00AD12B8"/>
    <w:rsid w:val="00AD2D23"/>
    <w:rsid w:val="00AD2DBB"/>
    <w:rsid w:val="00AD2DCA"/>
    <w:rsid w:val="00AD2EFE"/>
    <w:rsid w:val="00AD317F"/>
    <w:rsid w:val="00AD319C"/>
    <w:rsid w:val="00AD4106"/>
    <w:rsid w:val="00AD4620"/>
    <w:rsid w:val="00AD4C1D"/>
    <w:rsid w:val="00AD5BF8"/>
    <w:rsid w:val="00AD5E5E"/>
    <w:rsid w:val="00AD602C"/>
    <w:rsid w:val="00AD6141"/>
    <w:rsid w:val="00AD62A3"/>
    <w:rsid w:val="00AD657D"/>
    <w:rsid w:val="00AD660E"/>
    <w:rsid w:val="00AD6D8B"/>
    <w:rsid w:val="00AD6FA9"/>
    <w:rsid w:val="00AD6FC8"/>
    <w:rsid w:val="00AD739E"/>
    <w:rsid w:val="00AD7C60"/>
    <w:rsid w:val="00AE013C"/>
    <w:rsid w:val="00AE0375"/>
    <w:rsid w:val="00AE044B"/>
    <w:rsid w:val="00AE061D"/>
    <w:rsid w:val="00AE06C9"/>
    <w:rsid w:val="00AE0777"/>
    <w:rsid w:val="00AE0879"/>
    <w:rsid w:val="00AE0B80"/>
    <w:rsid w:val="00AE137C"/>
    <w:rsid w:val="00AE13AD"/>
    <w:rsid w:val="00AE1601"/>
    <w:rsid w:val="00AE18EF"/>
    <w:rsid w:val="00AE20B3"/>
    <w:rsid w:val="00AE228C"/>
    <w:rsid w:val="00AE2757"/>
    <w:rsid w:val="00AE2DB2"/>
    <w:rsid w:val="00AE31F9"/>
    <w:rsid w:val="00AE3435"/>
    <w:rsid w:val="00AE34E1"/>
    <w:rsid w:val="00AE3C76"/>
    <w:rsid w:val="00AE3D7A"/>
    <w:rsid w:val="00AE4060"/>
    <w:rsid w:val="00AE4B0F"/>
    <w:rsid w:val="00AE4F52"/>
    <w:rsid w:val="00AE5F79"/>
    <w:rsid w:val="00AE6AA2"/>
    <w:rsid w:val="00AE6CA7"/>
    <w:rsid w:val="00AE7109"/>
    <w:rsid w:val="00AE7293"/>
    <w:rsid w:val="00AE761B"/>
    <w:rsid w:val="00AF0080"/>
    <w:rsid w:val="00AF020A"/>
    <w:rsid w:val="00AF0365"/>
    <w:rsid w:val="00AF0760"/>
    <w:rsid w:val="00AF0B54"/>
    <w:rsid w:val="00AF0D06"/>
    <w:rsid w:val="00AF0F01"/>
    <w:rsid w:val="00AF1227"/>
    <w:rsid w:val="00AF1AF2"/>
    <w:rsid w:val="00AF1E4E"/>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26"/>
    <w:rsid w:val="00AF614E"/>
    <w:rsid w:val="00AF638E"/>
    <w:rsid w:val="00AF63CB"/>
    <w:rsid w:val="00AF6717"/>
    <w:rsid w:val="00AF715D"/>
    <w:rsid w:val="00AF7FE0"/>
    <w:rsid w:val="00B001A4"/>
    <w:rsid w:val="00B00499"/>
    <w:rsid w:val="00B006BD"/>
    <w:rsid w:val="00B0084A"/>
    <w:rsid w:val="00B01065"/>
    <w:rsid w:val="00B01112"/>
    <w:rsid w:val="00B024DF"/>
    <w:rsid w:val="00B0257E"/>
    <w:rsid w:val="00B02B74"/>
    <w:rsid w:val="00B035BC"/>
    <w:rsid w:val="00B03661"/>
    <w:rsid w:val="00B03856"/>
    <w:rsid w:val="00B042C2"/>
    <w:rsid w:val="00B04665"/>
    <w:rsid w:val="00B04C1F"/>
    <w:rsid w:val="00B04C3B"/>
    <w:rsid w:val="00B04F8B"/>
    <w:rsid w:val="00B057B8"/>
    <w:rsid w:val="00B059B9"/>
    <w:rsid w:val="00B0678A"/>
    <w:rsid w:val="00B06859"/>
    <w:rsid w:val="00B06C77"/>
    <w:rsid w:val="00B0744B"/>
    <w:rsid w:val="00B07605"/>
    <w:rsid w:val="00B07B64"/>
    <w:rsid w:val="00B07BB2"/>
    <w:rsid w:val="00B101F3"/>
    <w:rsid w:val="00B10408"/>
    <w:rsid w:val="00B106E2"/>
    <w:rsid w:val="00B10725"/>
    <w:rsid w:val="00B1097C"/>
    <w:rsid w:val="00B10DBF"/>
    <w:rsid w:val="00B10E4A"/>
    <w:rsid w:val="00B10FAB"/>
    <w:rsid w:val="00B110B4"/>
    <w:rsid w:val="00B114BF"/>
    <w:rsid w:val="00B116E4"/>
    <w:rsid w:val="00B116EF"/>
    <w:rsid w:val="00B11861"/>
    <w:rsid w:val="00B126D6"/>
    <w:rsid w:val="00B128F9"/>
    <w:rsid w:val="00B129C4"/>
    <w:rsid w:val="00B12C78"/>
    <w:rsid w:val="00B12EE3"/>
    <w:rsid w:val="00B13500"/>
    <w:rsid w:val="00B1373F"/>
    <w:rsid w:val="00B13C92"/>
    <w:rsid w:val="00B13D65"/>
    <w:rsid w:val="00B14227"/>
    <w:rsid w:val="00B14651"/>
    <w:rsid w:val="00B14738"/>
    <w:rsid w:val="00B14AF7"/>
    <w:rsid w:val="00B14F4E"/>
    <w:rsid w:val="00B15478"/>
    <w:rsid w:val="00B15797"/>
    <w:rsid w:val="00B15A5B"/>
    <w:rsid w:val="00B15B47"/>
    <w:rsid w:val="00B15FC9"/>
    <w:rsid w:val="00B166EB"/>
    <w:rsid w:val="00B168D1"/>
    <w:rsid w:val="00B16D40"/>
    <w:rsid w:val="00B16DA1"/>
    <w:rsid w:val="00B173D9"/>
    <w:rsid w:val="00B1741E"/>
    <w:rsid w:val="00B17F04"/>
    <w:rsid w:val="00B2013D"/>
    <w:rsid w:val="00B20236"/>
    <w:rsid w:val="00B202A7"/>
    <w:rsid w:val="00B20535"/>
    <w:rsid w:val="00B21592"/>
    <w:rsid w:val="00B21CDE"/>
    <w:rsid w:val="00B2220A"/>
    <w:rsid w:val="00B22497"/>
    <w:rsid w:val="00B22786"/>
    <w:rsid w:val="00B228A5"/>
    <w:rsid w:val="00B238C1"/>
    <w:rsid w:val="00B23E9D"/>
    <w:rsid w:val="00B24054"/>
    <w:rsid w:val="00B240CB"/>
    <w:rsid w:val="00B24453"/>
    <w:rsid w:val="00B244B9"/>
    <w:rsid w:val="00B24B62"/>
    <w:rsid w:val="00B24BE1"/>
    <w:rsid w:val="00B2536C"/>
    <w:rsid w:val="00B25A88"/>
    <w:rsid w:val="00B25D3C"/>
    <w:rsid w:val="00B2602A"/>
    <w:rsid w:val="00B260A5"/>
    <w:rsid w:val="00B2621D"/>
    <w:rsid w:val="00B26A85"/>
    <w:rsid w:val="00B2708A"/>
    <w:rsid w:val="00B27DD2"/>
    <w:rsid w:val="00B317D1"/>
    <w:rsid w:val="00B31CAC"/>
    <w:rsid w:val="00B31E02"/>
    <w:rsid w:val="00B3330F"/>
    <w:rsid w:val="00B334A7"/>
    <w:rsid w:val="00B3359A"/>
    <w:rsid w:val="00B3372F"/>
    <w:rsid w:val="00B337F4"/>
    <w:rsid w:val="00B33B4C"/>
    <w:rsid w:val="00B34F9E"/>
    <w:rsid w:val="00B35048"/>
    <w:rsid w:val="00B35250"/>
    <w:rsid w:val="00B3582D"/>
    <w:rsid w:val="00B35926"/>
    <w:rsid w:val="00B359DB"/>
    <w:rsid w:val="00B35ABB"/>
    <w:rsid w:val="00B35BA6"/>
    <w:rsid w:val="00B361E0"/>
    <w:rsid w:val="00B3675A"/>
    <w:rsid w:val="00B367CC"/>
    <w:rsid w:val="00B36927"/>
    <w:rsid w:val="00B373FA"/>
    <w:rsid w:val="00B37963"/>
    <w:rsid w:val="00B37C4D"/>
    <w:rsid w:val="00B37D48"/>
    <w:rsid w:val="00B37E43"/>
    <w:rsid w:val="00B40734"/>
    <w:rsid w:val="00B40D66"/>
    <w:rsid w:val="00B410BA"/>
    <w:rsid w:val="00B41511"/>
    <w:rsid w:val="00B41998"/>
    <w:rsid w:val="00B41F4B"/>
    <w:rsid w:val="00B42035"/>
    <w:rsid w:val="00B4240B"/>
    <w:rsid w:val="00B4251E"/>
    <w:rsid w:val="00B42525"/>
    <w:rsid w:val="00B42526"/>
    <w:rsid w:val="00B42CB3"/>
    <w:rsid w:val="00B42D7C"/>
    <w:rsid w:val="00B42FED"/>
    <w:rsid w:val="00B4322C"/>
    <w:rsid w:val="00B4324C"/>
    <w:rsid w:val="00B43E18"/>
    <w:rsid w:val="00B43E91"/>
    <w:rsid w:val="00B444A9"/>
    <w:rsid w:val="00B44AE5"/>
    <w:rsid w:val="00B44D61"/>
    <w:rsid w:val="00B454F3"/>
    <w:rsid w:val="00B45A17"/>
    <w:rsid w:val="00B45E84"/>
    <w:rsid w:val="00B4650D"/>
    <w:rsid w:val="00B46571"/>
    <w:rsid w:val="00B4657C"/>
    <w:rsid w:val="00B4667D"/>
    <w:rsid w:val="00B466D1"/>
    <w:rsid w:val="00B4683D"/>
    <w:rsid w:val="00B46907"/>
    <w:rsid w:val="00B46B38"/>
    <w:rsid w:val="00B46C0D"/>
    <w:rsid w:val="00B46CC8"/>
    <w:rsid w:val="00B46D06"/>
    <w:rsid w:val="00B47381"/>
    <w:rsid w:val="00B47724"/>
    <w:rsid w:val="00B47839"/>
    <w:rsid w:val="00B47991"/>
    <w:rsid w:val="00B47E30"/>
    <w:rsid w:val="00B506D1"/>
    <w:rsid w:val="00B5074D"/>
    <w:rsid w:val="00B50CE6"/>
    <w:rsid w:val="00B510EC"/>
    <w:rsid w:val="00B5160D"/>
    <w:rsid w:val="00B51656"/>
    <w:rsid w:val="00B51745"/>
    <w:rsid w:val="00B51A4C"/>
    <w:rsid w:val="00B51B65"/>
    <w:rsid w:val="00B51E74"/>
    <w:rsid w:val="00B522E0"/>
    <w:rsid w:val="00B52359"/>
    <w:rsid w:val="00B5250D"/>
    <w:rsid w:val="00B5279D"/>
    <w:rsid w:val="00B52894"/>
    <w:rsid w:val="00B53506"/>
    <w:rsid w:val="00B5350C"/>
    <w:rsid w:val="00B536C4"/>
    <w:rsid w:val="00B53715"/>
    <w:rsid w:val="00B53D25"/>
    <w:rsid w:val="00B53DA1"/>
    <w:rsid w:val="00B53F14"/>
    <w:rsid w:val="00B551C4"/>
    <w:rsid w:val="00B553E8"/>
    <w:rsid w:val="00B554A0"/>
    <w:rsid w:val="00B55A94"/>
    <w:rsid w:val="00B55CD5"/>
    <w:rsid w:val="00B561B3"/>
    <w:rsid w:val="00B57550"/>
    <w:rsid w:val="00B57908"/>
    <w:rsid w:val="00B57CBD"/>
    <w:rsid w:val="00B57DC8"/>
    <w:rsid w:val="00B60447"/>
    <w:rsid w:val="00B60819"/>
    <w:rsid w:val="00B60887"/>
    <w:rsid w:val="00B609E0"/>
    <w:rsid w:val="00B61427"/>
    <w:rsid w:val="00B629E7"/>
    <w:rsid w:val="00B62ABF"/>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7F3"/>
    <w:rsid w:val="00B67C95"/>
    <w:rsid w:val="00B7040F"/>
    <w:rsid w:val="00B709AD"/>
    <w:rsid w:val="00B70ED5"/>
    <w:rsid w:val="00B712A1"/>
    <w:rsid w:val="00B7139C"/>
    <w:rsid w:val="00B7171E"/>
    <w:rsid w:val="00B719F8"/>
    <w:rsid w:val="00B720D1"/>
    <w:rsid w:val="00B7220E"/>
    <w:rsid w:val="00B72C03"/>
    <w:rsid w:val="00B72C33"/>
    <w:rsid w:val="00B72EA2"/>
    <w:rsid w:val="00B72EE3"/>
    <w:rsid w:val="00B72FCB"/>
    <w:rsid w:val="00B73A04"/>
    <w:rsid w:val="00B73C01"/>
    <w:rsid w:val="00B73C54"/>
    <w:rsid w:val="00B74070"/>
    <w:rsid w:val="00B74B48"/>
    <w:rsid w:val="00B74C67"/>
    <w:rsid w:val="00B74C8F"/>
    <w:rsid w:val="00B74DBE"/>
    <w:rsid w:val="00B754A2"/>
    <w:rsid w:val="00B7598D"/>
    <w:rsid w:val="00B75DB6"/>
    <w:rsid w:val="00B75E41"/>
    <w:rsid w:val="00B7631F"/>
    <w:rsid w:val="00B766D8"/>
    <w:rsid w:val="00B76A9D"/>
    <w:rsid w:val="00B77544"/>
    <w:rsid w:val="00B7772A"/>
    <w:rsid w:val="00B77C61"/>
    <w:rsid w:val="00B77DC4"/>
    <w:rsid w:val="00B77F5B"/>
    <w:rsid w:val="00B801B0"/>
    <w:rsid w:val="00B807D8"/>
    <w:rsid w:val="00B8092F"/>
    <w:rsid w:val="00B80F88"/>
    <w:rsid w:val="00B81261"/>
    <w:rsid w:val="00B81987"/>
    <w:rsid w:val="00B81BE4"/>
    <w:rsid w:val="00B81E3B"/>
    <w:rsid w:val="00B81FD8"/>
    <w:rsid w:val="00B8235A"/>
    <w:rsid w:val="00B826F5"/>
    <w:rsid w:val="00B8291A"/>
    <w:rsid w:val="00B82DCD"/>
    <w:rsid w:val="00B83136"/>
    <w:rsid w:val="00B8325C"/>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EAE"/>
    <w:rsid w:val="00B90F57"/>
    <w:rsid w:val="00B91894"/>
    <w:rsid w:val="00B91C4A"/>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463"/>
    <w:rsid w:val="00B96A98"/>
    <w:rsid w:val="00B96E45"/>
    <w:rsid w:val="00B96F11"/>
    <w:rsid w:val="00BA09EA"/>
    <w:rsid w:val="00BA0A64"/>
    <w:rsid w:val="00BA0AA5"/>
    <w:rsid w:val="00BA0AE1"/>
    <w:rsid w:val="00BA0DBB"/>
    <w:rsid w:val="00BA1359"/>
    <w:rsid w:val="00BA1B39"/>
    <w:rsid w:val="00BA1DD6"/>
    <w:rsid w:val="00BA2416"/>
    <w:rsid w:val="00BA30C4"/>
    <w:rsid w:val="00BA326A"/>
    <w:rsid w:val="00BA32CB"/>
    <w:rsid w:val="00BA3D4F"/>
    <w:rsid w:val="00BA3E27"/>
    <w:rsid w:val="00BA3FD8"/>
    <w:rsid w:val="00BA41DC"/>
    <w:rsid w:val="00BA4402"/>
    <w:rsid w:val="00BA44A8"/>
    <w:rsid w:val="00BA4DB5"/>
    <w:rsid w:val="00BA56C3"/>
    <w:rsid w:val="00BA65A9"/>
    <w:rsid w:val="00BA6967"/>
    <w:rsid w:val="00BA6983"/>
    <w:rsid w:val="00BA6B44"/>
    <w:rsid w:val="00BA7251"/>
    <w:rsid w:val="00BA7320"/>
    <w:rsid w:val="00BA7712"/>
    <w:rsid w:val="00BA7C0C"/>
    <w:rsid w:val="00BB0503"/>
    <w:rsid w:val="00BB1143"/>
    <w:rsid w:val="00BB115A"/>
    <w:rsid w:val="00BB1A5C"/>
    <w:rsid w:val="00BB1CCC"/>
    <w:rsid w:val="00BB21AA"/>
    <w:rsid w:val="00BB24DB"/>
    <w:rsid w:val="00BB24FE"/>
    <w:rsid w:val="00BB2777"/>
    <w:rsid w:val="00BB2A1B"/>
    <w:rsid w:val="00BB2D69"/>
    <w:rsid w:val="00BB3F8B"/>
    <w:rsid w:val="00BB429F"/>
    <w:rsid w:val="00BB45B7"/>
    <w:rsid w:val="00BB51AE"/>
    <w:rsid w:val="00BB5BE7"/>
    <w:rsid w:val="00BB6025"/>
    <w:rsid w:val="00BB624A"/>
    <w:rsid w:val="00BB63B6"/>
    <w:rsid w:val="00BB64E2"/>
    <w:rsid w:val="00BB653D"/>
    <w:rsid w:val="00BB6A29"/>
    <w:rsid w:val="00BB6E1A"/>
    <w:rsid w:val="00BB731C"/>
    <w:rsid w:val="00BC0016"/>
    <w:rsid w:val="00BC0399"/>
    <w:rsid w:val="00BC0D47"/>
    <w:rsid w:val="00BC1223"/>
    <w:rsid w:val="00BC1278"/>
    <w:rsid w:val="00BC153B"/>
    <w:rsid w:val="00BC1791"/>
    <w:rsid w:val="00BC1DCC"/>
    <w:rsid w:val="00BC2582"/>
    <w:rsid w:val="00BC28E9"/>
    <w:rsid w:val="00BC2C71"/>
    <w:rsid w:val="00BC348F"/>
    <w:rsid w:val="00BC36CF"/>
    <w:rsid w:val="00BC39F8"/>
    <w:rsid w:val="00BC3BA2"/>
    <w:rsid w:val="00BC3CC1"/>
    <w:rsid w:val="00BC453E"/>
    <w:rsid w:val="00BC47F7"/>
    <w:rsid w:val="00BC4808"/>
    <w:rsid w:val="00BC490A"/>
    <w:rsid w:val="00BC4A08"/>
    <w:rsid w:val="00BC4CE5"/>
    <w:rsid w:val="00BC4CF2"/>
    <w:rsid w:val="00BC4D7B"/>
    <w:rsid w:val="00BC607E"/>
    <w:rsid w:val="00BC637E"/>
    <w:rsid w:val="00BC6401"/>
    <w:rsid w:val="00BC651F"/>
    <w:rsid w:val="00BC6901"/>
    <w:rsid w:val="00BC6A9D"/>
    <w:rsid w:val="00BC6F0A"/>
    <w:rsid w:val="00BC6FD6"/>
    <w:rsid w:val="00BC71B8"/>
    <w:rsid w:val="00BC76B8"/>
    <w:rsid w:val="00BD0A4C"/>
    <w:rsid w:val="00BD0D7D"/>
    <w:rsid w:val="00BD0D96"/>
    <w:rsid w:val="00BD12C4"/>
    <w:rsid w:val="00BD1929"/>
    <w:rsid w:val="00BD2465"/>
    <w:rsid w:val="00BD27E4"/>
    <w:rsid w:val="00BD2DF0"/>
    <w:rsid w:val="00BD31F3"/>
    <w:rsid w:val="00BD3ABB"/>
    <w:rsid w:val="00BD3EAE"/>
    <w:rsid w:val="00BD44C2"/>
    <w:rsid w:val="00BD490F"/>
    <w:rsid w:val="00BD4AA1"/>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E06B6"/>
    <w:rsid w:val="00BE06E8"/>
    <w:rsid w:val="00BE0BE3"/>
    <w:rsid w:val="00BE12F5"/>
    <w:rsid w:val="00BE147B"/>
    <w:rsid w:val="00BE14F6"/>
    <w:rsid w:val="00BE15A9"/>
    <w:rsid w:val="00BE1669"/>
    <w:rsid w:val="00BE18D4"/>
    <w:rsid w:val="00BE1BA1"/>
    <w:rsid w:val="00BE27F2"/>
    <w:rsid w:val="00BE290C"/>
    <w:rsid w:val="00BE2963"/>
    <w:rsid w:val="00BE319B"/>
    <w:rsid w:val="00BE3619"/>
    <w:rsid w:val="00BE3B0F"/>
    <w:rsid w:val="00BE4068"/>
    <w:rsid w:val="00BE4A38"/>
    <w:rsid w:val="00BE4C8B"/>
    <w:rsid w:val="00BE4F8A"/>
    <w:rsid w:val="00BE5A1D"/>
    <w:rsid w:val="00BE5D38"/>
    <w:rsid w:val="00BE5DDA"/>
    <w:rsid w:val="00BE621A"/>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937"/>
    <w:rsid w:val="00BF1A02"/>
    <w:rsid w:val="00BF1A9C"/>
    <w:rsid w:val="00BF1AB6"/>
    <w:rsid w:val="00BF1C3C"/>
    <w:rsid w:val="00BF1FA4"/>
    <w:rsid w:val="00BF2309"/>
    <w:rsid w:val="00BF2597"/>
    <w:rsid w:val="00BF337F"/>
    <w:rsid w:val="00BF380D"/>
    <w:rsid w:val="00BF3867"/>
    <w:rsid w:val="00BF4122"/>
    <w:rsid w:val="00BF41E2"/>
    <w:rsid w:val="00BF4910"/>
    <w:rsid w:val="00BF4E4A"/>
    <w:rsid w:val="00BF5399"/>
    <w:rsid w:val="00BF57D7"/>
    <w:rsid w:val="00BF5E79"/>
    <w:rsid w:val="00BF648C"/>
    <w:rsid w:val="00BF7B16"/>
    <w:rsid w:val="00BF7BBC"/>
    <w:rsid w:val="00BF7C02"/>
    <w:rsid w:val="00BF7C26"/>
    <w:rsid w:val="00C00877"/>
    <w:rsid w:val="00C00BF6"/>
    <w:rsid w:val="00C011A5"/>
    <w:rsid w:val="00C011B1"/>
    <w:rsid w:val="00C011E4"/>
    <w:rsid w:val="00C011EC"/>
    <w:rsid w:val="00C01C82"/>
    <w:rsid w:val="00C01CC5"/>
    <w:rsid w:val="00C01CF9"/>
    <w:rsid w:val="00C01DEF"/>
    <w:rsid w:val="00C01E8D"/>
    <w:rsid w:val="00C020AC"/>
    <w:rsid w:val="00C02954"/>
    <w:rsid w:val="00C02AEA"/>
    <w:rsid w:val="00C03037"/>
    <w:rsid w:val="00C031A5"/>
    <w:rsid w:val="00C03262"/>
    <w:rsid w:val="00C034BB"/>
    <w:rsid w:val="00C034F9"/>
    <w:rsid w:val="00C0368E"/>
    <w:rsid w:val="00C03788"/>
    <w:rsid w:val="00C03AC7"/>
    <w:rsid w:val="00C03D25"/>
    <w:rsid w:val="00C040CF"/>
    <w:rsid w:val="00C0422F"/>
    <w:rsid w:val="00C04588"/>
    <w:rsid w:val="00C046E0"/>
    <w:rsid w:val="00C046EE"/>
    <w:rsid w:val="00C0475C"/>
    <w:rsid w:val="00C04D2A"/>
    <w:rsid w:val="00C0511A"/>
    <w:rsid w:val="00C0514C"/>
    <w:rsid w:val="00C05298"/>
    <w:rsid w:val="00C054D6"/>
    <w:rsid w:val="00C055A5"/>
    <w:rsid w:val="00C05695"/>
    <w:rsid w:val="00C05D41"/>
    <w:rsid w:val="00C05FAF"/>
    <w:rsid w:val="00C061A5"/>
    <w:rsid w:val="00C064D4"/>
    <w:rsid w:val="00C07572"/>
    <w:rsid w:val="00C0786D"/>
    <w:rsid w:val="00C07FC7"/>
    <w:rsid w:val="00C10FEB"/>
    <w:rsid w:val="00C11239"/>
    <w:rsid w:val="00C1176E"/>
    <w:rsid w:val="00C119CC"/>
    <w:rsid w:val="00C11CE5"/>
    <w:rsid w:val="00C11E5F"/>
    <w:rsid w:val="00C127B2"/>
    <w:rsid w:val="00C12E50"/>
    <w:rsid w:val="00C133B1"/>
    <w:rsid w:val="00C133C1"/>
    <w:rsid w:val="00C1381E"/>
    <w:rsid w:val="00C13858"/>
    <w:rsid w:val="00C1394A"/>
    <w:rsid w:val="00C13DB9"/>
    <w:rsid w:val="00C13F70"/>
    <w:rsid w:val="00C14423"/>
    <w:rsid w:val="00C14E00"/>
    <w:rsid w:val="00C15627"/>
    <w:rsid w:val="00C15696"/>
    <w:rsid w:val="00C1588C"/>
    <w:rsid w:val="00C15932"/>
    <w:rsid w:val="00C15A5A"/>
    <w:rsid w:val="00C15F19"/>
    <w:rsid w:val="00C1624A"/>
    <w:rsid w:val="00C16A8B"/>
    <w:rsid w:val="00C17519"/>
    <w:rsid w:val="00C1790D"/>
    <w:rsid w:val="00C17919"/>
    <w:rsid w:val="00C17C6C"/>
    <w:rsid w:val="00C17F4D"/>
    <w:rsid w:val="00C20121"/>
    <w:rsid w:val="00C202FA"/>
    <w:rsid w:val="00C208FE"/>
    <w:rsid w:val="00C20BFC"/>
    <w:rsid w:val="00C20FA0"/>
    <w:rsid w:val="00C2260B"/>
    <w:rsid w:val="00C22F97"/>
    <w:rsid w:val="00C22FA7"/>
    <w:rsid w:val="00C23113"/>
    <w:rsid w:val="00C23158"/>
    <w:rsid w:val="00C23666"/>
    <w:rsid w:val="00C24067"/>
    <w:rsid w:val="00C2406D"/>
    <w:rsid w:val="00C241B3"/>
    <w:rsid w:val="00C24E68"/>
    <w:rsid w:val="00C255D8"/>
    <w:rsid w:val="00C256D8"/>
    <w:rsid w:val="00C2572B"/>
    <w:rsid w:val="00C259B2"/>
    <w:rsid w:val="00C25AC1"/>
    <w:rsid w:val="00C2616C"/>
    <w:rsid w:val="00C2656D"/>
    <w:rsid w:val="00C26E51"/>
    <w:rsid w:val="00C272A8"/>
    <w:rsid w:val="00C273F9"/>
    <w:rsid w:val="00C27DB6"/>
    <w:rsid w:val="00C30029"/>
    <w:rsid w:val="00C3042A"/>
    <w:rsid w:val="00C3065B"/>
    <w:rsid w:val="00C30662"/>
    <w:rsid w:val="00C306EF"/>
    <w:rsid w:val="00C30DA4"/>
    <w:rsid w:val="00C3123C"/>
    <w:rsid w:val="00C314C5"/>
    <w:rsid w:val="00C315D6"/>
    <w:rsid w:val="00C316B1"/>
    <w:rsid w:val="00C31F2E"/>
    <w:rsid w:val="00C31FCB"/>
    <w:rsid w:val="00C3217F"/>
    <w:rsid w:val="00C3234E"/>
    <w:rsid w:val="00C32473"/>
    <w:rsid w:val="00C32771"/>
    <w:rsid w:val="00C32981"/>
    <w:rsid w:val="00C32D0D"/>
    <w:rsid w:val="00C32E2F"/>
    <w:rsid w:val="00C32E35"/>
    <w:rsid w:val="00C336A0"/>
    <w:rsid w:val="00C337F5"/>
    <w:rsid w:val="00C33A95"/>
    <w:rsid w:val="00C33F24"/>
    <w:rsid w:val="00C33FD7"/>
    <w:rsid w:val="00C33FF1"/>
    <w:rsid w:val="00C34B4F"/>
    <w:rsid w:val="00C34DA4"/>
    <w:rsid w:val="00C34DBA"/>
    <w:rsid w:val="00C34F52"/>
    <w:rsid w:val="00C3515C"/>
    <w:rsid w:val="00C353C6"/>
    <w:rsid w:val="00C35B4B"/>
    <w:rsid w:val="00C35C36"/>
    <w:rsid w:val="00C35F16"/>
    <w:rsid w:val="00C36277"/>
    <w:rsid w:val="00C36907"/>
    <w:rsid w:val="00C37450"/>
    <w:rsid w:val="00C374B9"/>
    <w:rsid w:val="00C37827"/>
    <w:rsid w:val="00C37894"/>
    <w:rsid w:val="00C41021"/>
    <w:rsid w:val="00C41315"/>
    <w:rsid w:val="00C4144B"/>
    <w:rsid w:val="00C4144E"/>
    <w:rsid w:val="00C415D1"/>
    <w:rsid w:val="00C41937"/>
    <w:rsid w:val="00C41DC4"/>
    <w:rsid w:val="00C41F79"/>
    <w:rsid w:val="00C420D9"/>
    <w:rsid w:val="00C42249"/>
    <w:rsid w:val="00C42525"/>
    <w:rsid w:val="00C430F1"/>
    <w:rsid w:val="00C43331"/>
    <w:rsid w:val="00C4391C"/>
    <w:rsid w:val="00C43B8C"/>
    <w:rsid w:val="00C4407C"/>
    <w:rsid w:val="00C4439D"/>
    <w:rsid w:val="00C443CA"/>
    <w:rsid w:val="00C44643"/>
    <w:rsid w:val="00C44B84"/>
    <w:rsid w:val="00C44BBE"/>
    <w:rsid w:val="00C44C55"/>
    <w:rsid w:val="00C450D9"/>
    <w:rsid w:val="00C45917"/>
    <w:rsid w:val="00C45C22"/>
    <w:rsid w:val="00C45D1F"/>
    <w:rsid w:val="00C46448"/>
    <w:rsid w:val="00C4652B"/>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11E1"/>
    <w:rsid w:val="00C5176A"/>
    <w:rsid w:val="00C5188E"/>
    <w:rsid w:val="00C5191D"/>
    <w:rsid w:val="00C51F95"/>
    <w:rsid w:val="00C5208F"/>
    <w:rsid w:val="00C5247E"/>
    <w:rsid w:val="00C52F7E"/>
    <w:rsid w:val="00C537A0"/>
    <w:rsid w:val="00C53913"/>
    <w:rsid w:val="00C53BB9"/>
    <w:rsid w:val="00C53EA4"/>
    <w:rsid w:val="00C547C3"/>
    <w:rsid w:val="00C550F7"/>
    <w:rsid w:val="00C553D5"/>
    <w:rsid w:val="00C55BC6"/>
    <w:rsid w:val="00C55FCD"/>
    <w:rsid w:val="00C5625F"/>
    <w:rsid w:val="00C5636F"/>
    <w:rsid w:val="00C568D5"/>
    <w:rsid w:val="00C57248"/>
    <w:rsid w:val="00C57595"/>
    <w:rsid w:val="00C57852"/>
    <w:rsid w:val="00C6021D"/>
    <w:rsid w:val="00C603C5"/>
    <w:rsid w:val="00C60B1F"/>
    <w:rsid w:val="00C60D71"/>
    <w:rsid w:val="00C60D8F"/>
    <w:rsid w:val="00C60E2A"/>
    <w:rsid w:val="00C60E31"/>
    <w:rsid w:val="00C610AB"/>
    <w:rsid w:val="00C6145A"/>
    <w:rsid w:val="00C61CDA"/>
    <w:rsid w:val="00C621D4"/>
    <w:rsid w:val="00C621F6"/>
    <w:rsid w:val="00C623C1"/>
    <w:rsid w:val="00C6279E"/>
    <w:rsid w:val="00C6294E"/>
    <w:rsid w:val="00C62EA3"/>
    <w:rsid w:val="00C635E0"/>
    <w:rsid w:val="00C63701"/>
    <w:rsid w:val="00C63A69"/>
    <w:rsid w:val="00C63A94"/>
    <w:rsid w:val="00C63B07"/>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F3"/>
    <w:rsid w:val="00C711AB"/>
    <w:rsid w:val="00C71469"/>
    <w:rsid w:val="00C717E7"/>
    <w:rsid w:val="00C71CA4"/>
    <w:rsid w:val="00C725D8"/>
    <w:rsid w:val="00C72A4D"/>
    <w:rsid w:val="00C7306C"/>
    <w:rsid w:val="00C733ED"/>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35CD"/>
    <w:rsid w:val="00C83787"/>
    <w:rsid w:val="00C8394C"/>
    <w:rsid w:val="00C83C6D"/>
    <w:rsid w:val="00C84400"/>
    <w:rsid w:val="00C8443D"/>
    <w:rsid w:val="00C845E7"/>
    <w:rsid w:val="00C84CDA"/>
    <w:rsid w:val="00C85352"/>
    <w:rsid w:val="00C85938"/>
    <w:rsid w:val="00C860B6"/>
    <w:rsid w:val="00C86B6D"/>
    <w:rsid w:val="00C86EC5"/>
    <w:rsid w:val="00C87072"/>
    <w:rsid w:val="00C870C0"/>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308C"/>
    <w:rsid w:val="00C93835"/>
    <w:rsid w:val="00C93FDC"/>
    <w:rsid w:val="00C946AC"/>
    <w:rsid w:val="00C95099"/>
    <w:rsid w:val="00C951CA"/>
    <w:rsid w:val="00C95518"/>
    <w:rsid w:val="00C955D2"/>
    <w:rsid w:val="00C95866"/>
    <w:rsid w:val="00C96D33"/>
    <w:rsid w:val="00C96DA8"/>
    <w:rsid w:val="00C96FB2"/>
    <w:rsid w:val="00C97137"/>
    <w:rsid w:val="00C972E0"/>
    <w:rsid w:val="00C972FE"/>
    <w:rsid w:val="00C976C5"/>
    <w:rsid w:val="00C97A1B"/>
    <w:rsid w:val="00CA02CE"/>
    <w:rsid w:val="00CA02CF"/>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42E1"/>
    <w:rsid w:val="00CA4BB7"/>
    <w:rsid w:val="00CA4D0F"/>
    <w:rsid w:val="00CA5EBA"/>
    <w:rsid w:val="00CA5F70"/>
    <w:rsid w:val="00CA6488"/>
    <w:rsid w:val="00CA64CB"/>
    <w:rsid w:val="00CA6799"/>
    <w:rsid w:val="00CA69C5"/>
    <w:rsid w:val="00CA6A66"/>
    <w:rsid w:val="00CA6B8F"/>
    <w:rsid w:val="00CA6BD2"/>
    <w:rsid w:val="00CA6C49"/>
    <w:rsid w:val="00CA6CC0"/>
    <w:rsid w:val="00CA7CB0"/>
    <w:rsid w:val="00CA7E94"/>
    <w:rsid w:val="00CA7EAF"/>
    <w:rsid w:val="00CB01D3"/>
    <w:rsid w:val="00CB032A"/>
    <w:rsid w:val="00CB0465"/>
    <w:rsid w:val="00CB04F1"/>
    <w:rsid w:val="00CB0918"/>
    <w:rsid w:val="00CB0E4C"/>
    <w:rsid w:val="00CB1154"/>
    <w:rsid w:val="00CB18E2"/>
    <w:rsid w:val="00CB2789"/>
    <w:rsid w:val="00CB2827"/>
    <w:rsid w:val="00CB2A8C"/>
    <w:rsid w:val="00CB2C72"/>
    <w:rsid w:val="00CB2EA9"/>
    <w:rsid w:val="00CB2FD6"/>
    <w:rsid w:val="00CB3124"/>
    <w:rsid w:val="00CB3DB0"/>
    <w:rsid w:val="00CB3F6E"/>
    <w:rsid w:val="00CB4950"/>
    <w:rsid w:val="00CB4A0E"/>
    <w:rsid w:val="00CB4C8C"/>
    <w:rsid w:val="00CB4FA4"/>
    <w:rsid w:val="00CB55D5"/>
    <w:rsid w:val="00CB5BC1"/>
    <w:rsid w:val="00CB5DEA"/>
    <w:rsid w:val="00CB6269"/>
    <w:rsid w:val="00CB62F1"/>
    <w:rsid w:val="00CB6344"/>
    <w:rsid w:val="00CB66DE"/>
    <w:rsid w:val="00CB67C5"/>
    <w:rsid w:val="00CB6DA0"/>
    <w:rsid w:val="00CB6FC5"/>
    <w:rsid w:val="00CB7B12"/>
    <w:rsid w:val="00CB7C0A"/>
    <w:rsid w:val="00CB7CB1"/>
    <w:rsid w:val="00CC0827"/>
    <w:rsid w:val="00CC0AB9"/>
    <w:rsid w:val="00CC0CA3"/>
    <w:rsid w:val="00CC112F"/>
    <w:rsid w:val="00CC1466"/>
    <w:rsid w:val="00CC15E9"/>
    <w:rsid w:val="00CC19B8"/>
    <w:rsid w:val="00CC1B9B"/>
    <w:rsid w:val="00CC22BF"/>
    <w:rsid w:val="00CC2BB1"/>
    <w:rsid w:val="00CC2DE3"/>
    <w:rsid w:val="00CC34BB"/>
    <w:rsid w:val="00CC3E5D"/>
    <w:rsid w:val="00CC4261"/>
    <w:rsid w:val="00CC44A5"/>
    <w:rsid w:val="00CC50DB"/>
    <w:rsid w:val="00CC53D9"/>
    <w:rsid w:val="00CC74F6"/>
    <w:rsid w:val="00CD003F"/>
    <w:rsid w:val="00CD021E"/>
    <w:rsid w:val="00CD03EC"/>
    <w:rsid w:val="00CD072C"/>
    <w:rsid w:val="00CD087F"/>
    <w:rsid w:val="00CD0892"/>
    <w:rsid w:val="00CD0DE6"/>
    <w:rsid w:val="00CD1C33"/>
    <w:rsid w:val="00CD27BA"/>
    <w:rsid w:val="00CD2944"/>
    <w:rsid w:val="00CD2B5B"/>
    <w:rsid w:val="00CD2DA6"/>
    <w:rsid w:val="00CD2FF2"/>
    <w:rsid w:val="00CD311C"/>
    <w:rsid w:val="00CD32F4"/>
    <w:rsid w:val="00CD3362"/>
    <w:rsid w:val="00CD33AD"/>
    <w:rsid w:val="00CD3806"/>
    <w:rsid w:val="00CD408D"/>
    <w:rsid w:val="00CD4120"/>
    <w:rsid w:val="00CD412E"/>
    <w:rsid w:val="00CD442C"/>
    <w:rsid w:val="00CD48EC"/>
    <w:rsid w:val="00CD4AA5"/>
    <w:rsid w:val="00CD5201"/>
    <w:rsid w:val="00CD5537"/>
    <w:rsid w:val="00CD5682"/>
    <w:rsid w:val="00CD66B3"/>
    <w:rsid w:val="00CD6825"/>
    <w:rsid w:val="00CD6DFF"/>
    <w:rsid w:val="00CD6FAE"/>
    <w:rsid w:val="00CE0076"/>
    <w:rsid w:val="00CE00B5"/>
    <w:rsid w:val="00CE00B7"/>
    <w:rsid w:val="00CE01A8"/>
    <w:rsid w:val="00CE024F"/>
    <w:rsid w:val="00CE06C4"/>
    <w:rsid w:val="00CE0752"/>
    <w:rsid w:val="00CE0962"/>
    <w:rsid w:val="00CE0CA4"/>
    <w:rsid w:val="00CE16BE"/>
    <w:rsid w:val="00CE1774"/>
    <w:rsid w:val="00CE1957"/>
    <w:rsid w:val="00CE1977"/>
    <w:rsid w:val="00CE202D"/>
    <w:rsid w:val="00CE230F"/>
    <w:rsid w:val="00CE2C1E"/>
    <w:rsid w:val="00CE3531"/>
    <w:rsid w:val="00CE3F0B"/>
    <w:rsid w:val="00CE4C99"/>
    <w:rsid w:val="00CE4DCA"/>
    <w:rsid w:val="00CE4DEC"/>
    <w:rsid w:val="00CE5093"/>
    <w:rsid w:val="00CE55D9"/>
    <w:rsid w:val="00CE57A1"/>
    <w:rsid w:val="00CE6002"/>
    <w:rsid w:val="00CE60CA"/>
    <w:rsid w:val="00CE613A"/>
    <w:rsid w:val="00CE6CB6"/>
    <w:rsid w:val="00CE6FBA"/>
    <w:rsid w:val="00CE7321"/>
    <w:rsid w:val="00CE741B"/>
    <w:rsid w:val="00CE7733"/>
    <w:rsid w:val="00CE78C1"/>
    <w:rsid w:val="00CE78D7"/>
    <w:rsid w:val="00CE7CF2"/>
    <w:rsid w:val="00CF0112"/>
    <w:rsid w:val="00CF02FE"/>
    <w:rsid w:val="00CF0788"/>
    <w:rsid w:val="00CF0A9D"/>
    <w:rsid w:val="00CF0D15"/>
    <w:rsid w:val="00CF0D7F"/>
    <w:rsid w:val="00CF0EA2"/>
    <w:rsid w:val="00CF0ED8"/>
    <w:rsid w:val="00CF0F4D"/>
    <w:rsid w:val="00CF11B0"/>
    <w:rsid w:val="00CF134F"/>
    <w:rsid w:val="00CF13CC"/>
    <w:rsid w:val="00CF1788"/>
    <w:rsid w:val="00CF17A6"/>
    <w:rsid w:val="00CF18BA"/>
    <w:rsid w:val="00CF1E64"/>
    <w:rsid w:val="00CF20FE"/>
    <w:rsid w:val="00CF224B"/>
    <w:rsid w:val="00CF2503"/>
    <w:rsid w:val="00CF2889"/>
    <w:rsid w:val="00CF2A7D"/>
    <w:rsid w:val="00CF2C08"/>
    <w:rsid w:val="00CF2C65"/>
    <w:rsid w:val="00CF2CA9"/>
    <w:rsid w:val="00CF2E0D"/>
    <w:rsid w:val="00CF324E"/>
    <w:rsid w:val="00CF3934"/>
    <w:rsid w:val="00CF3986"/>
    <w:rsid w:val="00CF39E8"/>
    <w:rsid w:val="00CF3A14"/>
    <w:rsid w:val="00CF42AF"/>
    <w:rsid w:val="00CF43BA"/>
    <w:rsid w:val="00CF44F4"/>
    <w:rsid w:val="00CF450C"/>
    <w:rsid w:val="00CF472B"/>
    <w:rsid w:val="00CF51DE"/>
    <w:rsid w:val="00CF56B7"/>
    <w:rsid w:val="00CF56D5"/>
    <w:rsid w:val="00CF581C"/>
    <w:rsid w:val="00CF5F3A"/>
    <w:rsid w:val="00CF6318"/>
    <w:rsid w:val="00CF6E1B"/>
    <w:rsid w:val="00CF6FF1"/>
    <w:rsid w:val="00CF702F"/>
    <w:rsid w:val="00CF7075"/>
    <w:rsid w:val="00CF724E"/>
    <w:rsid w:val="00CF75A4"/>
    <w:rsid w:val="00CF773E"/>
    <w:rsid w:val="00CF7757"/>
    <w:rsid w:val="00CF7C54"/>
    <w:rsid w:val="00CF7D1F"/>
    <w:rsid w:val="00D000F1"/>
    <w:rsid w:val="00D00297"/>
    <w:rsid w:val="00D0081E"/>
    <w:rsid w:val="00D00C46"/>
    <w:rsid w:val="00D010A1"/>
    <w:rsid w:val="00D013D0"/>
    <w:rsid w:val="00D0148E"/>
    <w:rsid w:val="00D01491"/>
    <w:rsid w:val="00D014BC"/>
    <w:rsid w:val="00D0181A"/>
    <w:rsid w:val="00D01FC6"/>
    <w:rsid w:val="00D02280"/>
    <w:rsid w:val="00D0248A"/>
    <w:rsid w:val="00D025B4"/>
    <w:rsid w:val="00D02B3C"/>
    <w:rsid w:val="00D038AC"/>
    <w:rsid w:val="00D03A90"/>
    <w:rsid w:val="00D03E66"/>
    <w:rsid w:val="00D0403D"/>
    <w:rsid w:val="00D04E3E"/>
    <w:rsid w:val="00D05196"/>
    <w:rsid w:val="00D052D5"/>
    <w:rsid w:val="00D05E6C"/>
    <w:rsid w:val="00D062D0"/>
    <w:rsid w:val="00D06335"/>
    <w:rsid w:val="00D06A58"/>
    <w:rsid w:val="00D07354"/>
    <w:rsid w:val="00D076B1"/>
    <w:rsid w:val="00D078CA"/>
    <w:rsid w:val="00D07B7A"/>
    <w:rsid w:val="00D07DF8"/>
    <w:rsid w:val="00D07EE1"/>
    <w:rsid w:val="00D10645"/>
    <w:rsid w:val="00D10E41"/>
    <w:rsid w:val="00D111FB"/>
    <w:rsid w:val="00D11B16"/>
    <w:rsid w:val="00D12768"/>
    <w:rsid w:val="00D12872"/>
    <w:rsid w:val="00D12FF9"/>
    <w:rsid w:val="00D132B2"/>
    <w:rsid w:val="00D136E5"/>
    <w:rsid w:val="00D13A0B"/>
    <w:rsid w:val="00D13D58"/>
    <w:rsid w:val="00D14922"/>
    <w:rsid w:val="00D14D14"/>
    <w:rsid w:val="00D14EB4"/>
    <w:rsid w:val="00D150AE"/>
    <w:rsid w:val="00D1540B"/>
    <w:rsid w:val="00D156F3"/>
    <w:rsid w:val="00D15796"/>
    <w:rsid w:val="00D159CF"/>
    <w:rsid w:val="00D15C52"/>
    <w:rsid w:val="00D16648"/>
    <w:rsid w:val="00D16B48"/>
    <w:rsid w:val="00D16BB4"/>
    <w:rsid w:val="00D16CE7"/>
    <w:rsid w:val="00D170D2"/>
    <w:rsid w:val="00D17228"/>
    <w:rsid w:val="00D1733C"/>
    <w:rsid w:val="00D1753D"/>
    <w:rsid w:val="00D17E7C"/>
    <w:rsid w:val="00D203D0"/>
    <w:rsid w:val="00D20966"/>
    <w:rsid w:val="00D20CDE"/>
    <w:rsid w:val="00D20DB8"/>
    <w:rsid w:val="00D20EF2"/>
    <w:rsid w:val="00D21302"/>
    <w:rsid w:val="00D2167E"/>
    <w:rsid w:val="00D21C13"/>
    <w:rsid w:val="00D229CF"/>
    <w:rsid w:val="00D22BE6"/>
    <w:rsid w:val="00D22D56"/>
    <w:rsid w:val="00D23356"/>
    <w:rsid w:val="00D234C6"/>
    <w:rsid w:val="00D236FD"/>
    <w:rsid w:val="00D23AF3"/>
    <w:rsid w:val="00D23C83"/>
    <w:rsid w:val="00D23E16"/>
    <w:rsid w:val="00D23E40"/>
    <w:rsid w:val="00D2402E"/>
    <w:rsid w:val="00D242D2"/>
    <w:rsid w:val="00D24796"/>
    <w:rsid w:val="00D24C6C"/>
    <w:rsid w:val="00D24D8E"/>
    <w:rsid w:val="00D24FD9"/>
    <w:rsid w:val="00D25395"/>
    <w:rsid w:val="00D25B96"/>
    <w:rsid w:val="00D260F4"/>
    <w:rsid w:val="00D27694"/>
    <w:rsid w:val="00D27F3B"/>
    <w:rsid w:val="00D30031"/>
    <w:rsid w:val="00D30799"/>
    <w:rsid w:val="00D3124C"/>
    <w:rsid w:val="00D31967"/>
    <w:rsid w:val="00D31DE7"/>
    <w:rsid w:val="00D32557"/>
    <w:rsid w:val="00D32F47"/>
    <w:rsid w:val="00D330A5"/>
    <w:rsid w:val="00D33121"/>
    <w:rsid w:val="00D33576"/>
    <w:rsid w:val="00D337C4"/>
    <w:rsid w:val="00D33A99"/>
    <w:rsid w:val="00D33BCB"/>
    <w:rsid w:val="00D33CE4"/>
    <w:rsid w:val="00D3479A"/>
    <w:rsid w:val="00D34A0E"/>
    <w:rsid w:val="00D34BBF"/>
    <w:rsid w:val="00D34E03"/>
    <w:rsid w:val="00D34E47"/>
    <w:rsid w:val="00D358F0"/>
    <w:rsid w:val="00D35CBE"/>
    <w:rsid w:val="00D368DE"/>
    <w:rsid w:val="00D36AA4"/>
    <w:rsid w:val="00D36CFF"/>
    <w:rsid w:val="00D375EB"/>
    <w:rsid w:val="00D377B1"/>
    <w:rsid w:val="00D400A1"/>
    <w:rsid w:val="00D400C3"/>
    <w:rsid w:val="00D4051E"/>
    <w:rsid w:val="00D40ABC"/>
    <w:rsid w:val="00D40AF0"/>
    <w:rsid w:val="00D410F2"/>
    <w:rsid w:val="00D4169C"/>
    <w:rsid w:val="00D425AC"/>
    <w:rsid w:val="00D42871"/>
    <w:rsid w:val="00D42880"/>
    <w:rsid w:val="00D42F41"/>
    <w:rsid w:val="00D4302F"/>
    <w:rsid w:val="00D430C5"/>
    <w:rsid w:val="00D43176"/>
    <w:rsid w:val="00D43ABD"/>
    <w:rsid w:val="00D43D09"/>
    <w:rsid w:val="00D448EA"/>
    <w:rsid w:val="00D44CFD"/>
    <w:rsid w:val="00D44EC1"/>
    <w:rsid w:val="00D4585A"/>
    <w:rsid w:val="00D45D49"/>
    <w:rsid w:val="00D45EF7"/>
    <w:rsid w:val="00D45FB6"/>
    <w:rsid w:val="00D46304"/>
    <w:rsid w:val="00D46D2E"/>
    <w:rsid w:val="00D46FDC"/>
    <w:rsid w:val="00D47044"/>
    <w:rsid w:val="00D47EE2"/>
    <w:rsid w:val="00D50110"/>
    <w:rsid w:val="00D5046F"/>
    <w:rsid w:val="00D5078E"/>
    <w:rsid w:val="00D50CCB"/>
    <w:rsid w:val="00D511E6"/>
    <w:rsid w:val="00D513BC"/>
    <w:rsid w:val="00D5160C"/>
    <w:rsid w:val="00D516B9"/>
    <w:rsid w:val="00D521C5"/>
    <w:rsid w:val="00D522A3"/>
    <w:rsid w:val="00D5264F"/>
    <w:rsid w:val="00D526CA"/>
    <w:rsid w:val="00D528B8"/>
    <w:rsid w:val="00D52BCB"/>
    <w:rsid w:val="00D535C5"/>
    <w:rsid w:val="00D535F7"/>
    <w:rsid w:val="00D536C0"/>
    <w:rsid w:val="00D5400D"/>
    <w:rsid w:val="00D549A2"/>
    <w:rsid w:val="00D55016"/>
    <w:rsid w:val="00D55737"/>
    <w:rsid w:val="00D558B1"/>
    <w:rsid w:val="00D55A1B"/>
    <w:rsid w:val="00D55F0A"/>
    <w:rsid w:val="00D56055"/>
    <w:rsid w:val="00D56177"/>
    <w:rsid w:val="00D563D5"/>
    <w:rsid w:val="00D5673E"/>
    <w:rsid w:val="00D56B32"/>
    <w:rsid w:val="00D5745C"/>
    <w:rsid w:val="00D57466"/>
    <w:rsid w:val="00D576FB"/>
    <w:rsid w:val="00D578EC"/>
    <w:rsid w:val="00D60052"/>
    <w:rsid w:val="00D60261"/>
    <w:rsid w:val="00D6038E"/>
    <w:rsid w:val="00D605D4"/>
    <w:rsid w:val="00D60DA1"/>
    <w:rsid w:val="00D610C1"/>
    <w:rsid w:val="00D6149D"/>
    <w:rsid w:val="00D61D28"/>
    <w:rsid w:val="00D620C4"/>
    <w:rsid w:val="00D622BD"/>
    <w:rsid w:val="00D625E7"/>
    <w:rsid w:val="00D627F7"/>
    <w:rsid w:val="00D62B05"/>
    <w:rsid w:val="00D62FA1"/>
    <w:rsid w:val="00D6304D"/>
    <w:rsid w:val="00D63380"/>
    <w:rsid w:val="00D633AF"/>
    <w:rsid w:val="00D6360C"/>
    <w:rsid w:val="00D638FC"/>
    <w:rsid w:val="00D63978"/>
    <w:rsid w:val="00D63CA0"/>
    <w:rsid w:val="00D63CE4"/>
    <w:rsid w:val="00D63F75"/>
    <w:rsid w:val="00D640E6"/>
    <w:rsid w:val="00D64961"/>
    <w:rsid w:val="00D6510E"/>
    <w:rsid w:val="00D65371"/>
    <w:rsid w:val="00D6586C"/>
    <w:rsid w:val="00D6598B"/>
    <w:rsid w:val="00D659A4"/>
    <w:rsid w:val="00D66145"/>
    <w:rsid w:val="00D66A8A"/>
    <w:rsid w:val="00D66C1C"/>
    <w:rsid w:val="00D66F0E"/>
    <w:rsid w:val="00D67889"/>
    <w:rsid w:val="00D701B9"/>
    <w:rsid w:val="00D70333"/>
    <w:rsid w:val="00D70460"/>
    <w:rsid w:val="00D7104B"/>
    <w:rsid w:val="00D71280"/>
    <w:rsid w:val="00D71617"/>
    <w:rsid w:val="00D71EB0"/>
    <w:rsid w:val="00D722CF"/>
    <w:rsid w:val="00D72B52"/>
    <w:rsid w:val="00D72F11"/>
    <w:rsid w:val="00D7318B"/>
    <w:rsid w:val="00D73210"/>
    <w:rsid w:val="00D732C3"/>
    <w:rsid w:val="00D737DE"/>
    <w:rsid w:val="00D748E9"/>
    <w:rsid w:val="00D74BF2"/>
    <w:rsid w:val="00D75030"/>
    <w:rsid w:val="00D750A5"/>
    <w:rsid w:val="00D7511C"/>
    <w:rsid w:val="00D755E7"/>
    <w:rsid w:val="00D7587E"/>
    <w:rsid w:val="00D75D40"/>
    <w:rsid w:val="00D760C5"/>
    <w:rsid w:val="00D7695A"/>
    <w:rsid w:val="00D77649"/>
    <w:rsid w:val="00D7788C"/>
    <w:rsid w:val="00D779F9"/>
    <w:rsid w:val="00D77AF0"/>
    <w:rsid w:val="00D77DFF"/>
    <w:rsid w:val="00D80053"/>
    <w:rsid w:val="00D80337"/>
    <w:rsid w:val="00D80462"/>
    <w:rsid w:val="00D80670"/>
    <w:rsid w:val="00D807B7"/>
    <w:rsid w:val="00D8080B"/>
    <w:rsid w:val="00D80A4F"/>
    <w:rsid w:val="00D80BB3"/>
    <w:rsid w:val="00D80DD3"/>
    <w:rsid w:val="00D80E33"/>
    <w:rsid w:val="00D81386"/>
    <w:rsid w:val="00D81EC5"/>
    <w:rsid w:val="00D81F1F"/>
    <w:rsid w:val="00D8212C"/>
    <w:rsid w:val="00D824D5"/>
    <w:rsid w:val="00D827E2"/>
    <w:rsid w:val="00D82AB8"/>
    <w:rsid w:val="00D830A0"/>
    <w:rsid w:val="00D83912"/>
    <w:rsid w:val="00D84009"/>
    <w:rsid w:val="00D840BB"/>
    <w:rsid w:val="00D845A3"/>
    <w:rsid w:val="00D847F5"/>
    <w:rsid w:val="00D849DB"/>
    <w:rsid w:val="00D84B46"/>
    <w:rsid w:val="00D85210"/>
    <w:rsid w:val="00D86791"/>
    <w:rsid w:val="00D86A15"/>
    <w:rsid w:val="00D86B32"/>
    <w:rsid w:val="00D86CDD"/>
    <w:rsid w:val="00D86D62"/>
    <w:rsid w:val="00D86D91"/>
    <w:rsid w:val="00D873CC"/>
    <w:rsid w:val="00D8757F"/>
    <w:rsid w:val="00D876DD"/>
    <w:rsid w:val="00D87AA3"/>
    <w:rsid w:val="00D87ADC"/>
    <w:rsid w:val="00D87BEC"/>
    <w:rsid w:val="00D87E58"/>
    <w:rsid w:val="00D9006C"/>
    <w:rsid w:val="00D9024E"/>
    <w:rsid w:val="00D903F4"/>
    <w:rsid w:val="00D90D80"/>
    <w:rsid w:val="00D910D6"/>
    <w:rsid w:val="00D91386"/>
    <w:rsid w:val="00D922E7"/>
    <w:rsid w:val="00D9255F"/>
    <w:rsid w:val="00D92609"/>
    <w:rsid w:val="00D9266C"/>
    <w:rsid w:val="00D92E4A"/>
    <w:rsid w:val="00D93267"/>
    <w:rsid w:val="00D94257"/>
    <w:rsid w:val="00D94DF7"/>
    <w:rsid w:val="00D9560C"/>
    <w:rsid w:val="00D95A82"/>
    <w:rsid w:val="00D9625F"/>
    <w:rsid w:val="00D963B5"/>
    <w:rsid w:val="00D96488"/>
    <w:rsid w:val="00D967C8"/>
    <w:rsid w:val="00D968CA"/>
    <w:rsid w:val="00D96B03"/>
    <w:rsid w:val="00D96D60"/>
    <w:rsid w:val="00D96DAA"/>
    <w:rsid w:val="00D9756E"/>
    <w:rsid w:val="00D976C2"/>
    <w:rsid w:val="00D97A49"/>
    <w:rsid w:val="00D97CDE"/>
    <w:rsid w:val="00D97DAB"/>
    <w:rsid w:val="00D97ED6"/>
    <w:rsid w:val="00DA0163"/>
    <w:rsid w:val="00DA098A"/>
    <w:rsid w:val="00DA0C94"/>
    <w:rsid w:val="00DA0F0A"/>
    <w:rsid w:val="00DA1332"/>
    <w:rsid w:val="00DA13A0"/>
    <w:rsid w:val="00DA17D0"/>
    <w:rsid w:val="00DA1984"/>
    <w:rsid w:val="00DA1C9F"/>
    <w:rsid w:val="00DA1D64"/>
    <w:rsid w:val="00DA1DFB"/>
    <w:rsid w:val="00DA2028"/>
    <w:rsid w:val="00DA2185"/>
    <w:rsid w:val="00DA2297"/>
    <w:rsid w:val="00DA231C"/>
    <w:rsid w:val="00DA235A"/>
    <w:rsid w:val="00DA2395"/>
    <w:rsid w:val="00DA2920"/>
    <w:rsid w:val="00DA2973"/>
    <w:rsid w:val="00DA30B7"/>
    <w:rsid w:val="00DA37FE"/>
    <w:rsid w:val="00DA395C"/>
    <w:rsid w:val="00DA3A22"/>
    <w:rsid w:val="00DA3AF4"/>
    <w:rsid w:val="00DA422C"/>
    <w:rsid w:val="00DA46B2"/>
    <w:rsid w:val="00DA4706"/>
    <w:rsid w:val="00DA4A0E"/>
    <w:rsid w:val="00DA4DD5"/>
    <w:rsid w:val="00DA5B86"/>
    <w:rsid w:val="00DA5EBB"/>
    <w:rsid w:val="00DA6372"/>
    <w:rsid w:val="00DA65B4"/>
    <w:rsid w:val="00DA6D29"/>
    <w:rsid w:val="00DA7003"/>
    <w:rsid w:val="00DA71CF"/>
    <w:rsid w:val="00DA7390"/>
    <w:rsid w:val="00DA7974"/>
    <w:rsid w:val="00DA79C0"/>
    <w:rsid w:val="00DA7F78"/>
    <w:rsid w:val="00DA7FBB"/>
    <w:rsid w:val="00DA7FEA"/>
    <w:rsid w:val="00DB013B"/>
    <w:rsid w:val="00DB039E"/>
    <w:rsid w:val="00DB03D5"/>
    <w:rsid w:val="00DB0904"/>
    <w:rsid w:val="00DB1851"/>
    <w:rsid w:val="00DB1BEE"/>
    <w:rsid w:val="00DB1C06"/>
    <w:rsid w:val="00DB1CD2"/>
    <w:rsid w:val="00DB1D28"/>
    <w:rsid w:val="00DB1FD6"/>
    <w:rsid w:val="00DB2990"/>
    <w:rsid w:val="00DB311E"/>
    <w:rsid w:val="00DB33FD"/>
    <w:rsid w:val="00DB3427"/>
    <w:rsid w:val="00DB36C3"/>
    <w:rsid w:val="00DB3756"/>
    <w:rsid w:val="00DB3C34"/>
    <w:rsid w:val="00DB3D43"/>
    <w:rsid w:val="00DB3FA3"/>
    <w:rsid w:val="00DB41C2"/>
    <w:rsid w:val="00DB45C2"/>
    <w:rsid w:val="00DB4676"/>
    <w:rsid w:val="00DB4AF2"/>
    <w:rsid w:val="00DB4E53"/>
    <w:rsid w:val="00DB5B68"/>
    <w:rsid w:val="00DB5E66"/>
    <w:rsid w:val="00DB5EDB"/>
    <w:rsid w:val="00DB61C3"/>
    <w:rsid w:val="00DB691D"/>
    <w:rsid w:val="00DB6A90"/>
    <w:rsid w:val="00DB6C82"/>
    <w:rsid w:val="00DB6CB7"/>
    <w:rsid w:val="00DB7A41"/>
    <w:rsid w:val="00DB7CC3"/>
    <w:rsid w:val="00DB7D2E"/>
    <w:rsid w:val="00DB7E00"/>
    <w:rsid w:val="00DB7E70"/>
    <w:rsid w:val="00DC0252"/>
    <w:rsid w:val="00DC0913"/>
    <w:rsid w:val="00DC0B96"/>
    <w:rsid w:val="00DC1044"/>
    <w:rsid w:val="00DC146A"/>
    <w:rsid w:val="00DC14BE"/>
    <w:rsid w:val="00DC15D0"/>
    <w:rsid w:val="00DC180D"/>
    <w:rsid w:val="00DC180F"/>
    <w:rsid w:val="00DC1B38"/>
    <w:rsid w:val="00DC1B5C"/>
    <w:rsid w:val="00DC1C83"/>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33BF"/>
    <w:rsid w:val="00DC3873"/>
    <w:rsid w:val="00DC38D1"/>
    <w:rsid w:val="00DC393F"/>
    <w:rsid w:val="00DC3969"/>
    <w:rsid w:val="00DC3A76"/>
    <w:rsid w:val="00DC3AEA"/>
    <w:rsid w:val="00DC3B40"/>
    <w:rsid w:val="00DC499D"/>
    <w:rsid w:val="00DC4A9E"/>
    <w:rsid w:val="00DC4DBF"/>
    <w:rsid w:val="00DC50B5"/>
    <w:rsid w:val="00DC5135"/>
    <w:rsid w:val="00DC5597"/>
    <w:rsid w:val="00DC5951"/>
    <w:rsid w:val="00DC5953"/>
    <w:rsid w:val="00DC59C8"/>
    <w:rsid w:val="00DC5DC5"/>
    <w:rsid w:val="00DC5EEA"/>
    <w:rsid w:val="00DD0382"/>
    <w:rsid w:val="00DD0A38"/>
    <w:rsid w:val="00DD0E3B"/>
    <w:rsid w:val="00DD1020"/>
    <w:rsid w:val="00DD1036"/>
    <w:rsid w:val="00DD1EB5"/>
    <w:rsid w:val="00DD2373"/>
    <w:rsid w:val="00DD24C7"/>
    <w:rsid w:val="00DD2B86"/>
    <w:rsid w:val="00DD2E62"/>
    <w:rsid w:val="00DD2EB6"/>
    <w:rsid w:val="00DD385E"/>
    <w:rsid w:val="00DD3F4A"/>
    <w:rsid w:val="00DD40C1"/>
    <w:rsid w:val="00DD42E4"/>
    <w:rsid w:val="00DD4329"/>
    <w:rsid w:val="00DD4899"/>
    <w:rsid w:val="00DD5552"/>
    <w:rsid w:val="00DD5679"/>
    <w:rsid w:val="00DD5DD3"/>
    <w:rsid w:val="00DD6030"/>
    <w:rsid w:val="00DD6199"/>
    <w:rsid w:val="00DD6234"/>
    <w:rsid w:val="00DD64F3"/>
    <w:rsid w:val="00DD6C04"/>
    <w:rsid w:val="00DD6F77"/>
    <w:rsid w:val="00DD70E9"/>
    <w:rsid w:val="00DD7545"/>
    <w:rsid w:val="00DD75BC"/>
    <w:rsid w:val="00DD770D"/>
    <w:rsid w:val="00DD7936"/>
    <w:rsid w:val="00DD7E11"/>
    <w:rsid w:val="00DE08EE"/>
    <w:rsid w:val="00DE0C6A"/>
    <w:rsid w:val="00DE1855"/>
    <w:rsid w:val="00DE1EAB"/>
    <w:rsid w:val="00DE1F2F"/>
    <w:rsid w:val="00DE2061"/>
    <w:rsid w:val="00DE26EE"/>
    <w:rsid w:val="00DE27FA"/>
    <w:rsid w:val="00DE2A82"/>
    <w:rsid w:val="00DE2B6D"/>
    <w:rsid w:val="00DE2E7D"/>
    <w:rsid w:val="00DE3406"/>
    <w:rsid w:val="00DE37E1"/>
    <w:rsid w:val="00DE3814"/>
    <w:rsid w:val="00DE391D"/>
    <w:rsid w:val="00DE39A1"/>
    <w:rsid w:val="00DE3C60"/>
    <w:rsid w:val="00DE3EED"/>
    <w:rsid w:val="00DE4593"/>
    <w:rsid w:val="00DE4A83"/>
    <w:rsid w:val="00DE4AD5"/>
    <w:rsid w:val="00DE5580"/>
    <w:rsid w:val="00DE5B20"/>
    <w:rsid w:val="00DE5DB5"/>
    <w:rsid w:val="00DE5FF3"/>
    <w:rsid w:val="00DE60E5"/>
    <w:rsid w:val="00DE634F"/>
    <w:rsid w:val="00DE664D"/>
    <w:rsid w:val="00DE6A7B"/>
    <w:rsid w:val="00DE6B0F"/>
    <w:rsid w:val="00DE6C09"/>
    <w:rsid w:val="00DE709A"/>
    <w:rsid w:val="00DE7116"/>
    <w:rsid w:val="00DE75F5"/>
    <w:rsid w:val="00DE76B5"/>
    <w:rsid w:val="00DE7E07"/>
    <w:rsid w:val="00DF004F"/>
    <w:rsid w:val="00DF052F"/>
    <w:rsid w:val="00DF06CB"/>
    <w:rsid w:val="00DF07BA"/>
    <w:rsid w:val="00DF08F2"/>
    <w:rsid w:val="00DF0F35"/>
    <w:rsid w:val="00DF0FF5"/>
    <w:rsid w:val="00DF11FA"/>
    <w:rsid w:val="00DF124D"/>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79C"/>
    <w:rsid w:val="00DF6841"/>
    <w:rsid w:val="00DF7114"/>
    <w:rsid w:val="00DF7492"/>
    <w:rsid w:val="00DF75E6"/>
    <w:rsid w:val="00DF7806"/>
    <w:rsid w:val="00DF7D65"/>
    <w:rsid w:val="00DF7F98"/>
    <w:rsid w:val="00DF7FD1"/>
    <w:rsid w:val="00E0005B"/>
    <w:rsid w:val="00E002F7"/>
    <w:rsid w:val="00E00672"/>
    <w:rsid w:val="00E0077C"/>
    <w:rsid w:val="00E010D7"/>
    <w:rsid w:val="00E011DC"/>
    <w:rsid w:val="00E013E6"/>
    <w:rsid w:val="00E0165C"/>
    <w:rsid w:val="00E016CB"/>
    <w:rsid w:val="00E01775"/>
    <w:rsid w:val="00E01AC9"/>
    <w:rsid w:val="00E01B79"/>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EA7"/>
    <w:rsid w:val="00E0691D"/>
    <w:rsid w:val="00E06C3E"/>
    <w:rsid w:val="00E07667"/>
    <w:rsid w:val="00E0773C"/>
    <w:rsid w:val="00E0798C"/>
    <w:rsid w:val="00E07B89"/>
    <w:rsid w:val="00E07FF0"/>
    <w:rsid w:val="00E1021B"/>
    <w:rsid w:val="00E10344"/>
    <w:rsid w:val="00E10ED5"/>
    <w:rsid w:val="00E112B8"/>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ED2"/>
    <w:rsid w:val="00E14132"/>
    <w:rsid w:val="00E14A2D"/>
    <w:rsid w:val="00E15278"/>
    <w:rsid w:val="00E15345"/>
    <w:rsid w:val="00E15770"/>
    <w:rsid w:val="00E1581C"/>
    <w:rsid w:val="00E15F47"/>
    <w:rsid w:val="00E16353"/>
    <w:rsid w:val="00E1693D"/>
    <w:rsid w:val="00E16A5A"/>
    <w:rsid w:val="00E16D36"/>
    <w:rsid w:val="00E16FE5"/>
    <w:rsid w:val="00E17D2A"/>
    <w:rsid w:val="00E203B7"/>
    <w:rsid w:val="00E20632"/>
    <w:rsid w:val="00E208BE"/>
    <w:rsid w:val="00E20BE5"/>
    <w:rsid w:val="00E20D5E"/>
    <w:rsid w:val="00E20F4E"/>
    <w:rsid w:val="00E2144F"/>
    <w:rsid w:val="00E2153E"/>
    <w:rsid w:val="00E215F1"/>
    <w:rsid w:val="00E2345B"/>
    <w:rsid w:val="00E2387C"/>
    <w:rsid w:val="00E238D0"/>
    <w:rsid w:val="00E24251"/>
    <w:rsid w:val="00E246E9"/>
    <w:rsid w:val="00E24A0F"/>
    <w:rsid w:val="00E24E9F"/>
    <w:rsid w:val="00E25E5A"/>
    <w:rsid w:val="00E261BF"/>
    <w:rsid w:val="00E2685B"/>
    <w:rsid w:val="00E26987"/>
    <w:rsid w:val="00E26B36"/>
    <w:rsid w:val="00E26DD6"/>
    <w:rsid w:val="00E26E2C"/>
    <w:rsid w:val="00E2707B"/>
    <w:rsid w:val="00E2749F"/>
    <w:rsid w:val="00E27601"/>
    <w:rsid w:val="00E27645"/>
    <w:rsid w:val="00E30031"/>
    <w:rsid w:val="00E304F8"/>
    <w:rsid w:val="00E30702"/>
    <w:rsid w:val="00E3078D"/>
    <w:rsid w:val="00E3173F"/>
    <w:rsid w:val="00E31C45"/>
    <w:rsid w:val="00E31ED9"/>
    <w:rsid w:val="00E322C8"/>
    <w:rsid w:val="00E325E4"/>
    <w:rsid w:val="00E32727"/>
    <w:rsid w:val="00E32E4C"/>
    <w:rsid w:val="00E3307E"/>
    <w:rsid w:val="00E335D0"/>
    <w:rsid w:val="00E33BB0"/>
    <w:rsid w:val="00E33F91"/>
    <w:rsid w:val="00E343B2"/>
    <w:rsid w:val="00E346DF"/>
    <w:rsid w:val="00E35012"/>
    <w:rsid w:val="00E351EA"/>
    <w:rsid w:val="00E3540E"/>
    <w:rsid w:val="00E35607"/>
    <w:rsid w:val="00E367E4"/>
    <w:rsid w:val="00E369CC"/>
    <w:rsid w:val="00E36C0B"/>
    <w:rsid w:val="00E36E4A"/>
    <w:rsid w:val="00E37A29"/>
    <w:rsid w:val="00E4018F"/>
    <w:rsid w:val="00E402D6"/>
    <w:rsid w:val="00E4080F"/>
    <w:rsid w:val="00E408BF"/>
    <w:rsid w:val="00E409D7"/>
    <w:rsid w:val="00E40BCB"/>
    <w:rsid w:val="00E40CAD"/>
    <w:rsid w:val="00E40D08"/>
    <w:rsid w:val="00E411E8"/>
    <w:rsid w:val="00E4138F"/>
    <w:rsid w:val="00E41893"/>
    <w:rsid w:val="00E418A4"/>
    <w:rsid w:val="00E41DB1"/>
    <w:rsid w:val="00E42018"/>
    <w:rsid w:val="00E42245"/>
    <w:rsid w:val="00E42CF2"/>
    <w:rsid w:val="00E43329"/>
    <w:rsid w:val="00E43391"/>
    <w:rsid w:val="00E4362C"/>
    <w:rsid w:val="00E438A6"/>
    <w:rsid w:val="00E43EF7"/>
    <w:rsid w:val="00E43FA9"/>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7325"/>
    <w:rsid w:val="00E4794F"/>
    <w:rsid w:val="00E47D3F"/>
    <w:rsid w:val="00E47DA3"/>
    <w:rsid w:val="00E47FA6"/>
    <w:rsid w:val="00E5062B"/>
    <w:rsid w:val="00E5066E"/>
    <w:rsid w:val="00E50CBB"/>
    <w:rsid w:val="00E50D53"/>
    <w:rsid w:val="00E51A36"/>
    <w:rsid w:val="00E51A61"/>
    <w:rsid w:val="00E51CC1"/>
    <w:rsid w:val="00E520D3"/>
    <w:rsid w:val="00E52385"/>
    <w:rsid w:val="00E529B5"/>
    <w:rsid w:val="00E52FC8"/>
    <w:rsid w:val="00E5378B"/>
    <w:rsid w:val="00E53CD7"/>
    <w:rsid w:val="00E541AD"/>
    <w:rsid w:val="00E54354"/>
    <w:rsid w:val="00E54BED"/>
    <w:rsid w:val="00E5522B"/>
    <w:rsid w:val="00E556F9"/>
    <w:rsid w:val="00E55844"/>
    <w:rsid w:val="00E55FD5"/>
    <w:rsid w:val="00E56330"/>
    <w:rsid w:val="00E563B1"/>
    <w:rsid w:val="00E56DC3"/>
    <w:rsid w:val="00E56EA4"/>
    <w:rsid w:val="00E570B0"/>
    <w:rsid w:val="00E571B1"/>
    <w:rsid w:val="00E5770B"/>
    <w:rsid w:val="00E57D2F"/>
    <w:rsid w:val="00E6023E"/>
    <w:rsid w:val="00E602E5"/>
    <w:rsid w:val="00E6036E"/>
    <w:rsid w:val="00E603AF"/>
    <w:rsid w:val="00E60991"/>
    <w:rsid w:val="00E60C38"/>
    <w:rsid w:val="00E60C4A"/>
    <w:rsid w:val="00E61336"/>
    <w:rsid w:val="00E61727"/>
    <w:rsid w:val="00E61F88"/>
    <w:rsid w:val="00E626B9"/>
    <w:rsid w:val="00E62730"/>
    <w:rsid w:val="00E6284F"/>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452"/>
    <w:rsid w:val="00E6692D"/>
    <w:rsid w:val="00E66ADA"/>
    <w:rsid w:val="00E674C1"/>
    <w:rsid w:val="00E6750B"/>
    <w:rsid w:val="00E679EF"/>
    <w:rsid w:val="00E7028D"/>
    <w:rsid w:val="00E7030D"/>
    <w:rsid w:val="00E70748"/>
    <w:rsid w:val="00E707FE"/>
    <w:rsid w:val="00E70E2D"/>
    <w:rsid w:val="00E70FF1"/>
    <w:rsid w:val="00E7125D"/>
    <w:rsid w:val="00E71723"/>
    <w:rsid w:val="00E71926"/>
    <w:rsid w:val="00E71AAB"/>
    <w:rsid w:val="00E71BB4"/>
    <w:rsid w:val="00E7221E"/>
    <w:rsid w:val="00E722BC"/>
    <w:rsid w:val="00E722C6"/>
    <w:rsid w:val="00E72A2C"/>
    <w:rsid w:val="00E72B09"/>
    <w:rsid w:val="00E72BC5"/>
    <w:rsid w:val="00E72DB8"/>
    <w:rsid w:val="00E7309D"/>
    <w:rsid w:val="00E734CB"/>
    <w:rsid w:val="00E735F2"/>
    <w:rsid w:val="00E73615"/>
    <w:rsid w:val="00E73841"/>
    <w:rsid w:val="00E73976"/>
    <w:rsid w:val="00E742CD"/>
    <w:rsid w:val="00E74FB6"/>
    <w:rsid w:val="00E75356"/>
    <w:rsid w:val="00E7537E"/>
    <w:rsid w:val="00E754BB"/>
    <w:rsid w:val="00E75896"/>
    <w:rsid w:val="00E75DAE"/>
    <w:rsid w:val="00E75F59"/>
    <w:rsid w:val="00E760DB"/>
    <w:rsid w:val="00E76429"/>
    <w:rsid w:val="00E766E3"/>
    <w:rsid w:val="00E76A87"/>
    <w:rsid w:val="00E76FCF"/>
    <w:rsid w:val="00E771F5"/>
    <w:rsid w:val="00E7793F"/>
    <w:rsid w:val="00E77E4B"/>
    <w:rsid w:val="00E80394"/>
    <w:rsid w:val="00E803FE"/>
    <w:rsid w:val="00E806C3"/>
    <w:rsid w:val="00E80C95"/>
    <w:rsid w:val="00E80CC0"/>
    <w:rsid w:val="00E81BB1"/>
    <w:rsid w:val="00E81C2E"/>
    <w:rsid w:val="00E81D02"/>
    <w:rsid w:val="00E82145"/>
    <w:rsid w:val="00E8273A"/>
    <w:rsid w:val="00E82A0E"/>
    <w:rsid w:val="00E82DBE"/>
    <w:rsid w:val="00E82EBA"/>
    <w:rsid w:val="00E82FCA"/>
    <w:rsid w:val="00E83232"/>
    <w:rsid w:val="00E833EC"/>
    <w:rsid w:val="00E8356B"/>
    <w:rsid w:val="00E83CF9"/>
    <w:rsid w:val="00E8417B"/>
    <w:rsid w:val="00E846B8"/>
    <w:rsid w:val="00E84D1C"/>
    <w:rsid w:val="00E84F38"/>
    <w:rsid w:val="00E852DD"/>
    <w:rsid w:val="00E8549B"/>
    <w:rsid w:val="00E859AB"/>
    <w:rsid w:val="00E85E42"/>
    <w:rsid w:val="00E8606E"/>
    <w:rsid w:val="00E86381"/>
    <w:rsid w:val="00E863CE"/>
    <w:rsid w:val="00E86515"/>
    <w:rsid w:val="00E87855"/>
    <w:rsid w:val="00E878EC"/>
    <w:rsid w:val="00E87C3E"/>
    <w:rsid w:val="00E87C51"/>
    <w:rsid w:val="00E87D08"/>
    <w:rsid w:val="00E87F1E"/>
    <w:rsid w:val="00E90436"/>
    <w:rsid w:val="00E908CF"/>
    <w:rsid w:val="00E90A69"/>
    <w:rsid w:val="00E91231"/>
    <w:rsid w:val="00E9138E"/>
    <w:rsid w:val="00E9159C"/>
    <w:rsid w:val="00E91649"/>
    <w:rsid w:val="00E91C5B"/>
    <w:rsid w:val="00E92ADF"/>
    <w:rsid w:val="00E933AC"/>
    <w:rsid w:val="00E9497A"/>
    <w:rsid w:val="00E949D3"/>
    <w:rsid w:val="00E94B22"/>
    <w:rsid w:val="00E94D6A"/>
    <w:rsid w:val="00E94DF0"/>
    <w:rsid w:val="00E95199"/>
    <w:rsid w:val="00E953A5"/>
    <w:rsid w:val="00E95466"/>
    <w:rsid w:val="00E957A2"/>
    <w:rsid w:val="00E9584C"/>
    <w:rsid w:val="00E958F1"/>
    <w:rsid w:val="00E959E8"/>
    <w:rsid w:val="00E96455"/>
    <w:rsid w:val="00E965BC"/>
    <w:rsid w:val="00E965ED"/>
    <w:rsid w:val="00E96634"/>
    <w:rsid w:val="00E96855"/>
    <w:rsid w:val="00E975A4"/>
    <w:rsid w:val="00EA0CC4"/>
    <w:rsid w:val="00EA13BF"/>
    <w:rsid w:val="00EA13FD"/>
    <w:rsid w:val="00EA1656"/>
    <w:rsid w:val="00EA1BBB"/>
    <w:rsid w:val="00EA2380"/>
    <w:rsid w:val="00EA2C30"/>
    <w:rsid w:val="00EA2CB7"/>
    <w:rsid w:val="00EA2DD9"/>
    <w:rsid w:val="00EA3435"/>
    <w:rsid w:val="00EA43FC"/>
    <w:rsid w:val="00EA4E49"/>
    <w:rsid w:val="00EA51C2"/>
    <w:rsid w:val="00EA5582"/>
    <w:rsid w:val="00EA5A2A"/>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23B1"/>
    <w:rsid w:val="00EB2719"/>
    <w:rsid w:val="00EB2801"/>
    <w:rsid w:val="00EB29DE"/>
    <w:rsid w:val="00EB312F"/>
    <w:rsid w:val="00EB33B1"/>
    <w:rsid w:val="00EB35D8"/>
    <w:rsid w:val="00EB367F"/>
    <w:rsid w:val="00EB3716"/>
    <w:rsid w:val="00EB378C"/>
    <w:rsid w:val="00EB3B93"/>
    <w:rsid w:val="00EB3C93"/>
    <w:rsid w:val="00EB3E6F"/>
    <w:rsid w:val="00EB3EF4"/>
    <w:rsid w:val="00EB4056"/>
    <w:rsid w:val="00EB43BA"/>
    <w:rsid w:val="00EB4894"/>
    <w:rsid w:val="00EB4FF7"/>
    <w:rsid w:val="00EB503F"/>
    <w:rsid w:val="00EB50FD"/>
    <w:rsid w:val="00EB575F"/>
    <w:rsid w:val="00EB59A8"/>
    <w:rsid w:val="00EB5AA6"/>
    <w:rsid w:val="00EB693F"/>
    <w:rsid w:val="00EB695C"/>
    <w:rsid w:val="00EB6C89"/>
    <w:rsid w:val="00EB6FA6"/>
    <w:rsid w:val="00EB7233"/>
    <w:rsid w:val="00EB7250"/>
    <w:rsid w:val="00EB7436"/>
    <w:rsid w:val="00EB7D3A"/>
    <w:rsid w:val="00EC005A"/>
    <w:rsid w:val="00EC0167"/>
    <w:rsid w:val="00EC0666"/>
    <w:rsid w:val="00EC0B95"/>
    <w:rsid w:val="00EC0CF2"/>
    <w:rsid w:val="00EC12D6"/>
    <w:rsid w:val="00EC20C9"/>
    <w:rsid w:val="00EC2166"/>
    <w:rsid w:val="00EC269F"/>
    <w:rsid w:val="00EC272E"/>
    <w:rsid w:val="00EC273E"/>
    <w:rsid w:val="00EC475D"/>
    <w:rsid w:val="00EC4876"/>
    <w:rsid w:val="00EC4ED4"/>
    <w:rsid w:val="00EC5042"/>
    <w:rsid w:val="00EC50B7"/>
    <w:rsid w:val="00EC5607"/>
    <w:rsid w:val="00EC5899"/>
    <w:rsid w:val="00EC59A2"/>
    <w:rsid w:val="00EC60A2"/>
    <w:rsid w:val="00EC633F"/>
    <w:rsid w:val="00EC6D09"/>
    <w:rsid w:val="00EC70D3"/>
    <w:rsid w:val="00EC739D"/>
    <w:rsid w:val="00EC79AA"/>
    <w:rsid w:val="00EC7DD8"/>
    <w:rsid w:val="00EC7F35"/>
    <w:rsid w:val="00EC7FA3"/>
    <w:rsid w:val="00ED017D"/>
    <w:rsid w:val="00ED02AB"/>
    <w:rsid w:val="00ED02E6"/>
    <w:rsid w:val="00ED0328"/>
    <w:rsid w:val="00ED04FB"/>
    <w:rsid w:val="00ED0516"/>
    <w:rsid w:val="00ED0619"/>
    <w:rsid w:val="00ED163A"/>
    <w:rsid w:val="00ED17E7"/>
    <w:rsid w:val="00ED1893"/>
    <w:rsid w:val="00ED1D71"/>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E81"/>
    <w:rsid w:val="00ED6083"/>
    <w:rsid w:val="00ED613D"/>
    <w:rsid w:val="00ED6C45"/>
    <w:rsid w:val="00ED6EE6"/>
    <w:rsid w:val="00ED7245"/>
    <w:rsid w:val="00ED726E"/>
    <w:rsid w:val="00ED77DC"/>
    <w:rsid w:val="00ED7BB2"/>
    <w:rsid w:val="00ED7E8C"/>
    <w:rsid w:val="00EE0871"/>
    <w:rsid w:val="00EE0C00"/>
    <w:rsid w:val="00EE0D6E"/>
    <w:rsid w:val="00EE0E5A"/>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FDA"/>
    <w:rsid w:val="00EE4165"/>
    <w:rsid w:val="00EE44B0"/>
    <w:rsid w:val="00EE4BF8"/>
    <w:rsid w:val="00EE4D62"/>
    <w:rsid w:val="00EE5081"/>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F0218"/>
    <w:rsid w:val="00EF03DA"/>
    <w:rsid w:val="00EF0C96"/>
    <w:rsid w:val="00EF0D7F"/>
    <w:rsid w:val="00EF1AEC"/>
    <w:rsid w:val="00EF1B43"/>
    <w:rsid w:val="00EF1BB0"/>
    <w:rsid w:val="00EF1C74"/>
    <w:rsid w:val="00EF29F1"/>
    <w:rsid w:val="00EF2A1B"/>
    <w:rsid w:val="00EF2B0C"/>
    <w:rsid w:val="00EF2D67"/>
    <w:rsid w:val="00EF307C"/>
    <w:rsid w:val="00EF312E"/>
    <w:rsid w:val="00EF33CE"/>
    <w:rsid w:val="00EF3511"/>
    <w:rsid w:val="00EF35D4"/>
    <w:rsid w:val="00EF36DF"/>
    <w:rsid w:val="00EF38BF"/>
    <w:rsid w:val="00EF39A3"/>
    <w:rsid w:val="00EF3F7B"/>
    <w:rsid w:val="00EF4515"/>
    <w:rsid w:val="00EF4594"/>
    <w:rsid w:val="00EF4690"/>
    <w:rsid w:val="00EF476C"/>
    <w:rsid w:val="00EF4921"/>
    <w:rsid w:val="00EF4A7B"/>
    <w:rsid w:val="00EF4B8D"/>
    <w:rsid w:val="00EF4D37"/>
    <w:rsid w:val="00EF5501"/>
    <w:rsid w:val="00EF56FD"/>
    <w:rsid w:val="00EF5AEE"/>
    <w:rsid w:val="00EF5C07"/>
    <w:rsid w:val="00EF5EC7"/>
    <w:rsid w:val="00EF61DB"/>
    <w:rsid w:val="00EF695C"/>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32F"/>
    <w:rsid w:val="00F01512"/>
    <w:rsid w:val="00F01771"/>
    <w:rsid w:val="00F01A6C"/>
    <w:rsid w:val="00F01CD3"/>
    <w:rsid w:val="00F01EB6"/>
    <w:rsid w:val="00F0232F"/>
    <w:rsid w:val="00F023C6"/>
    <w:rsid w:val="00F02F7E"/>
    <w:rsid w:val="00F0318D"/>
    <w:rsid w:val="00F0321E"/>
    <w:rsid w:val="00F0361C"/>
    <w:rsid w:val="00F03A7B"/>
    <w:rsid w:val="00F03B86"/>
    <w:rsid w:val="00F03C1E"/>
    <w:rsid w:val="00F03D9C"/>
    <w:rsid w:val="00F03DD6"/>
    <w:rsid w:val="00F04214"/>
    <w:rsid w:val="00F043EF"/>
    <w:rsid w:val="00F05678"/>
    <w:rsid w:val="00F0567D"/>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101AC"/>
    <w:rsid w:val="00F1081A"/>
    <w:rsid w:val="00F10C55"/>
    <w:rsid w:val="00F110FA"/>
    <w:rsid w:val="00F11303"/>
    <w:rsid w:val="00F115EC"/>
    <w:rsid w:val="00F12691"/>
    <w:rsid w:val="00F13248"/>
    <w:rsid w:val="00F132A4"/>
    <w:rsid w:val="00F1347B"/>
    <w:rsid w:val="00F13564"/>
    <w:rsid w:val="00F136DD"/>
    <w:rsid w:val="00F13A19"/>
    <w:rsid w:val="00F13BB3"/>
    <w:rsid w:val="00F13D7E"/>
    <w:rsid w:val="00F14047"/>
    <w:rsid w:val="00F1490E"/>
    <w:rsid w:val="00F14AC9"/>
    <w:rsid w:val="00F152D6"/>
    <w:rsid w:val="00F154EB"/>
    <w:rsid w:val="00F1588B"/>
    <w:rsid w:val="00F159B9"/>
    <w:rsid w:val="00F15C7B"/>
    <w:rsid w:val="00F15EA4"/>
    <w:rsid w:val="00F1620C"/>
    <w:rsid w:val="00F17111"/>
    <w:rsid w:val="00F1754F"/>
    <w:rsid w:val="00F1755C"/>
    <w:rsid w:val="00F175FD"/>
    <w:rsid w:val="00F17781"/>
    <w:rsid w:val="00F178BE"/>
    <w:rsid w:val="00F17E1D"/>
    <w:rsid w:val="00F17FF9"/>
    <w:rsid w:val="00F20462"/>
    <w:rsid w:val="00F2065D"/>
    <w:rsid w:val="00F21B8C"/>
    <w:rsid w:val="00F21C72"/>
    <w:rsid w:val="00F21D0B"/>
    <w:rsid w:val="00F2210D"/>
    <w:rsid w:val="00F2216F"/>
    <w:rsid w:val="00F22578"/>
    <w:rsid w:val="00F23134"/>
    <w:rsid w:val="00F238D2"/>
    <w:rsid w:val="00F23AAB"/>
    <w:rsid w:val="00F2405E"/>
    <w:rsid w:val="00F2411C"/>
    <w:rsid w:val="00F24281"/>
    <w:rsid w:val="00F2450A"/>
    <w:rsid w:val="00F2465C"/>
    <w:rsid w:val="00F249D2"/>
    <w:rsid w:val="00F24C32"/>
    <w:rsid w:val="00F25109"/>
    <w:rsid w:val="00F25560"/>
    <w:rsid w:val="00F2581F"/>
    <w:rsid w:val="00F263D9"/>
    <w:rsid w:val="00F26475"/>
    <w:rsid w:val="00F26721"/>
    <w:rsid w:val="00F26865"/>
    <w:rsid w:val="00F26967"/>
    <w:rsid w:val="00F26D11"/>
    <w:rsid w:val="00F27156"/>
    <w:rsid w:val="00F2758F"/>
    <w:rsid w:val="00F279B8"/>
    <w:rsid w:val="00F27B13"/>
    <w:rsid w:val="00F3033A"/>
    <w:rsid w:val="00F3074E"/>
    <w:rsid w:val="00F30936"/>
    <w:rsid w:val="00F3115F"/>
    <w:rsid w:val="00F311BF"/>
    <w:rsid w:val="00F3175A"/>
    <w:rsid w:val="00F31CCE"/>
    <w:rsid w:val="00F31CD9"/>
    <w:rsid w:val="00F32149"/>
    <w:rsid w:val="00F3231E"/>
    <w:rsid w:val="00F32D6D"/>
    <w:rsid w:val="00F33681"/>
    <w:rsid w:val="00F3370B"/>
    <w:rsid w:val="00F33BD9"/>
    <w:rsid w:val="00F34707"/>
    <w:rsid w:val="00F34A91"/>
    <w:rsid w:val="00F34DCE"/>
    <w:rsid w:val="00F34F03"/>
    <w:rsid w:val="00F35039"/>
    <w:rsid w:val="00F35101"/>
    <w:rsid w:val="00F351DC"/>
    <w:rsid w:val="00F35BFD"/>
    <w:rsid w:val="00F35EBE"/>
    <w:rsid w:val="00F364A6"/>
    <w:rsid w:val="00F36EE2"/>
    <w:rsid w:val="00F3726A"/>
    <w:rsid w:val="00F37993"/>
    <w:rsid w:val="00F37DFB"/>
    <w:rsid w:val="00F404A2"/>
    <w:rsid w:val="00F40F05"/>
    <w:rsid w:val="00F41BA7"/>
    <w:rsid w:val="00F42613"/>
    <w:rsid w:val="00F427EB"/>
    <w:rsid w:val="00F42A7B"/>
    <w:rsid w:val="00F42B39"/>
    <w:rsid w:val="00F42C9B"/>
    <w:rsid w:val="00F43160"/>
    <w:rsid w:val="00F4323A"/>
    <w:rsid w:val="00F43817"/>
    <w:rsid w:val="00F43A48"/>
    <w:rsid w:val="00F43A75"/>
    <w:rsid w:val="00F43C2F"/>
    <w:rsid w:val="00F443C7"/>
    <w:rsid w:val="00F4444E"/>
    <w:rsid w:val="00F44657"/>
    <w:rsid w:val="00F44B7B"/>
    <w:rsid w:val="00F455F3"/>
    <w:rsid w:val="00F45CE7"/>
    <w:rsid w:val="00F45E2C"/>
    <w:rsid w:val="00F465B1"/>
    <w:rsid w:val="00F46756"/>
    <w:rsid w:val="00F46788"/>
    <w:rsid w:val="00F46A12"/>
    <w:rsid w:val="00F46A5E"/>
    <w:rsid w:val="00F46E18"/>
    <w:rsid w:val="00F47145"/>
    <w:rsid w:val="00F474C4"/>
    <w:rsid w:val="00F4755B"/>
    <w:rsid w:val="00F47572"/>
    <w:rsid w:val="00F477DE"/>
    <w:rsid w:val="00F47A07"/>
    <w:rsid w:val="00F47E33"/>
    <w:rsid w:val="00F502B4"/>
    <w:rsid w:val="00F50475"/>
    <w:rsid w:val="00F50A4F"/>
    <w:rsid w:val="00F51096"/>
    <w:rsid w:val="00F51413"/>
    <w:rsid w:val="00F515C9"/>
    <w:rsid w:val="00F51781"/>
    <w:rsid w:val="00F517B7"/>
    <w:rsid w:val="00F517FC"/>
    <w:rsid w:val="00F51994"/>
    <w:rsid w:val="00F51EE6"/>
    <w:rsid w:val="00F5247C"/>
    <w:rsid w:val="00F525CC"/>
    <w:rsid w:val="00F52858"/>
    <w:rsid w:val="00F52EC4"/>
    <w:rsid w:val="00F5331A"/>
    <w:rsid w:val="00F5354A"/>
    <w:rsid w:val="00F53720"/>
    <w:rsid w:val="00F53740"/>
    <w:rsid w:val="00F53817"/>
    <w:rsid w:val="00F538D8"/>
    <w:rsid w:val="00F53E5F"/>
    <w:rsid w:val="00F5406D"/>
    <w:rsid w:val="00F540C7"/>
    <w:rsid w:val="00F54129"/>
    <w:rsid w:val="00F5419A"/>
    <w:rsid w:val="00F545E0"/>
    <w:rsid w:val="00F545EE"/>
    <w:rsid w:val="00F546FD"/>
    <w:rsid w:val="00F54E1E"/>
    <w:rsid w:val="00F5501A"/>
    <w:rsid w:val="00F55251"/>
    <w:rsid w:val="00F553C5"/>
    <w:rsid w:val="00F5549C"/>
    <w:rsid w:val="00F55B06"/>
    <w:rsid w:val="00F55CAB"/>
    <w:rsid w:val="00F55DA0"/>
    <w:rsid w:val="00F55DF1"/>
    <w:rsid w:val="00F56007"/>
    <w:rsid w:val="00F564B1"/>
    <w:rsid w:val="00F56502"/>
    <w:rsid w:val="00F566AB"/>
    <w:rsid w:val="00F568AA"/>
    <w:rsid w:val="00F574D8"/>
    <w:rsid w:val="00F575E8"/>
    <w:rsid w:val="00F57956"/>
    <w:rsid w:val="00F57CEB"/>
    <w:rsid w:val="00F57E29"/>
    <w:rsid w:val="00F60330"/>
    <w:rsid w:val="00F6039C"/>
    <w:rsid w:val="00F609A0"/>
    <w:rsid w:val="00F60E04"/>
    <w:rsid w:val="00F61870"/>
    <w:rsid w:val="00F61893"/>
    <w:rsid w:val="00F61E8B"/>
    <w:rsid w:val="00F6288D"/>
    <w:rsid w:val="00F62E6F"/>
    <w:rsid w:val="00F630AF"/>
    <w:rsid w:val="00F632B5"/>
    <w:rsid w:val="00F633CD"/>
    <w:rsid w:val="00F63680"/>
    <w:rsid w:val="00F63A3C"/>
    <w:rsid w:val="00F63D77"/>
    <w:rsid w:val="00F63F6B"/>
    <w:rsid w:val="00F63FDF"/>
    <w:rsid w:val="00F64096"/>
    <w:rsid w:val="00F64964"/>
    <w:rsid w:val="00F64AEE"/>
    <w:rsid w:val="00F64D2F"/>
    <w:rsid w:val="00F6509A"/>
    <w:rsid w:val="00F6608E"/>
    <w:rsid w:val="00F6620B"/>
    <w:rsid w:val="00F6625F"/>
    <w:rsid w:val="00F66631"/>
    <w:rsid w:val="00F66722"/>
    <w:rsid w:val="00F66B82"/>
    <w:rsid w:val="00F66C8A"/>
    <w:rsid w:val="00F676F9"/>
    <w:rsid w:val="00F6775D"/>
    <w:rsid w:val="00F677EA"/>
    <w:rsid w:val="00F679DE"/>
    <w:rsid w:val="00F67D52"/>
    <w:rsid w:val="00F67DD2"/>
    <w:rsid w:val="00F70308"/>
    <w:rsid w:val="00F703BD"/>
    <w:rsid w:val="00F705EC"/>
    <w:rsid w:val="00F70602"/>
    <w:rsid w:val="00F70669"/>
    <w:rsid w:val="00F70F5B"/>
    <w:rsid w:val="00F7165F"/>
    <w:rsid w:val="00F71A12"/>
    <w:rsid w:val="00F71B1C"/>
    <w:rsid w:val="00F71B30"/>
    <w:rsid w:val="00F721F0"/>
    <w:rsid w:val="00F72482"/>
    <w:rsid w:val="00F72977"/>
    <w:rsid w:val="00F73476"/>
    <w:rsid w:val="00F7348B"/>
    <w:rsid w:val="00F73E97"/>
    <w:rsid w:val="00F73FA8"/>
    <w:rsid w:val="00F740C0"/>
    <w:rsid w:val="00F74539"/>
    <w:rsid w:val="00F74863"/>
    <w:rsid w:val="00F748AA"/>
    <w:rsid w:val="00F74E51"/>
    <w:rsid w:val="00F74F33"/>
    <w:rsid w:val="00F76162"/>
    <w:rsid w:val="00F761D4"/>
    <w:rsid w:val="00F764D0"/>
    <w:rsid w:val="00F764E9"/>
    <w:rsid w:val="00F76590"/>
    <w:rsid w:val="00F7665B"/>
    <w:rsid w:val="00F7688B"/>
    <w:rsid w:val="00F76C10"/>
    <w:rsid w:val="00F77977"/>
    <w:rsid w:val="00F77A4A"/>
    <w:rsid w:val="00F77A59"/>
    <w:rsid w:val="00F77DB5"/>
    <w:rsid w:val="00F80764"/>
    <w:rsid w:val="00F807EB"/>
    <w:rsid w:val="00F808CE"/>
    <w:rsid w:val="00F80A72"/>
    <w:rsid w:val="00F810C3"/>
    <w:rsid w:val="00F81370"/>
    <w:rsid w:val="00F816C4"/>
    <w:rsid w:val="00F81A28"/>
    <w:rsid w:val="00F81E5A"/>
    <w:rsid w:val="00F81FDD"/>
    <w:rsid w:val="00F821E8"/>
    <w:rsid w:val="00F82A66"/>
    <w:rsid w:val="00F82DD4"/>
    <w:rsid w:val="00F838D2"/>
    <w:rsid w:val="00F83BCA"/>
    <w:rsid w:val="00F83BCC"/>
    <w:rsid w:val="00F84160"/>
    <w:rsid w:val="00F844F2"/>
    <w:rsid w:val="00F84799"/>
    <w:rsid w:val="00F84C50"/>
    <w:rsid w:val="00F85925"/>
    <w:rsid w:val="00F85B3C"/>
    <w:rsid w:val="00F85F3E"/>
    <w:rsid w:val="00F865DF"/>
    <w:rsid w:val="00F86F69"/>
    <w:rsid w:val="00F871F7"/>
    <w:rsid w:val="00F8758B"/>
    <w:rsid w:val="00F87700"/>
    <w:rsid w:val="00F87947"/>
    <w:rsid w:val="00F87F06"/>
    <w:rsid w:val="00F900C1"/>
    <w:rsid w:val="00F90649"/>
    <w:rsid w:val="00F9096C"/>
    <w:rsid w:val="00F90AC7"/>
    <w:rsid w:val="00F90CEE"/>
    <w:rsid w:val="00F9153D"/>
    <w:rsid w:val="00F91ADB"/>
    <w:rsid w:val="00F92078"/>
    <w:rsid w:val="00F9219F"/>
    <w:rsid w:val="00F924AD"/>
    <w:rsid w:val="00F92F39"/>
    <w:rsid w:val="00F93032"/>
    <w:rsid w:val="00F930BC"/>
    <w:rsid w:val="00F934ED"/>
    <w:rsid w:val="00F93A88"/>
    <w:rsid w:val="00F93D58"/>
    <w:rsid w:val="00F942DB"/>
    <w:rsid w:val="00F94560"/>
    <w:rsid w:val="00F946C9"/>
    <w:rsid w:val="00F94C1F"/>
    <w:rsid w:val="00F94FCA"/>
    <w:rsid w:val="00F9509C"/>
    <w:rsid w:val="00F95449"/>
    <w:rsid w:val="00F9562F"/>
    <w:rsid w:val="00F956D6"/>
    <w:rsid w:val="00F956F9"/>
    <w:rsid w:val="00F957B7"/>
    <w:rsid w:val="00F95A96"/>
    <w:rsid w:val="00F95B1C"/>
    <w:rsid w:val="00F960CD"/>
    <w:rsid w:val="00F96281"/>
    <w:rsid w:val="00F9680A"/>
    <w:rsid w:val="00F96869"/>
    <w:rsid w:val="00F9686B"/>
    <w:rsid w:val="00F96A38"/>
    <w:rsid w:val="00F96B17"/>
    <w:rsid w:val="00F96CBA"/>
    <w:rsid w:val="00F96E18"/>
    <w:rsid w:val="00F9701E"/>
    <w:rsid w:val="00F9751F"/>
    <w:rsid w:val="00F97943"/>
    <w:rsid w:val="00F97E6C"/>
    <w:rsid w:val="00FA0351"/>
    <w:rsid w:val="00FA0F6F"/>
    <w:rsid w:val="00FA1134"/>
    <w:rsid w:val="00FA16B9"/>
    <w:rsid w:val="00FA1726"/>
    <w:rsid w:val="00FA1980"/>
    <w:rsid w:val="00FA1D87"/>
    <w:rsid w:val="00FA284D"/>
    <w:rsid w:val="00FA296B"/>
    <w:rsid w:val="00FA2FFA"/>
    <w:rsid w:val="00FA3470"/>
    <w:rsid w:val="00FA3B3A"/>
    <w:rsid w:val="00FA42D5"/>
    <w:rsid w:val="00FA45E6"/>
    <w:rsid w:val="00FA4688"/>
    <w:rsid w:val="00FA48B7"/>
    <w:rsid w:val="00FA5060"/>
    <w:rsid w:val="00FA50F9"/>
    <w:rsid w:val="00FA5574"/>
    <w:rsid w:val="00FA5580"/>
    <w:rsid w:val="00FA558C"/>
    <w:rsid w:val="00FA5B47"/>
    <w:rsid w:val="00FA5C3E"/>
    <w:rsid w:val="00FA6138"/>
    <w:rsid w:val="00FA6649"/>
    <w:rsid w:val="00FA66B1"/>
    <w:rsid w:val="00FA6982"/>
    <w:rsid w:val="00FA6FDB"/>
    <w:rsid w:val="00FA7140"/>
    <w:rsid w:val="00FA7211"/>
    <w:rsid w:val="00FA72E3"/>
    <w:rsid w:val="00FA7CC5"/>
    <w:rsid w:val="00FA7D6D"/>
    <w:rsid w:val="00FA7E55"/>
    <w:rsid w:val="00FA7F80"/>
    <w:rsid w:val="00FB01A0"/>
    <w:rsid w:val="00FB08FC"/>
    <w:rsid w:val="00FB0D95"/>
    <w:rsid w:val="00FB23A3"/>
    <w:rsid w:val="00FB26F2"/>
    <w:rsid w:val="00FB270D"/>
    <w:rsid w:val="00FB2909"/>
    <w:rsid w:val="00FB2C62"/>
    <w:rsid w:val="00FB2F0D"/>
    <w:rsid w:val="00FB32B9"/>
    <w:rsid w:val="00FB34E1"/>
    <w:rsid w:val="00FB38F2"/>
    <w:rsid w:val="00FB3B9A"/>
    <w:rsid w:val="00FB435C"/>
    <w:rsid w:val="00FB45F6"/>
    <w:rsid w:val="00FB4B19"/>
    <w:rsid w:val="00FB4CDD"/>
    <w:rsid w:val="00FB5287"/>
    <w:rsid w:val="00FB5789"/>
    <w:rsid w:val="00FB5B35"/>
    <w:rsid w:val="00FB62AA"/>
    <w:rsid w:val="00FB6858"/>
    <w:rsid w:val="00FB6928"/>
    <w:rsid w:val="00FB6AB1"/>
    <w:rsid w:val="00FB6EB9"/>
    <w:rsid w:val="00FB6ECD"/>
    <w:rsid w:val="00FB6F2E"/>
    <w:rsid w:val="00FB6F82"/>
    <w:rsid w:val="00FB7190"/>
    <w:rsid w:val="00FB731C"/>
    <w:rsid w:val="00FB76C8"/>
    <w:rsid w:val="00FB76E5"/>
    <w:rsid w:val="00FB7A17"/>
    <w:rsid w:val="00FC030F"/>
    <w:rsid w:val="00FC092D"/>
    <w:rsid w:val="00FC0D64"/>
    <w:rsid w:val="00FC137A"/>
    <w:rsid w:val="00FC158F"/>
    <w:rsid w:val="00FC1D68"/>
    <w:rsid w:val="00FC1E65"/>
    <w:rsid w:val="00FC2119"/>
    <w:rsid w:val="00FC37C5"/>
    <w:rsid w:val="00FC3893"/>
    <w:rsid w:val="00FC3BC2"/>
    <w:rsid w:val="00FC3D1F"/>
    <w:rsid w:val="00FC426A"/>
    <w:rsid w:val="00FC4326"/>
    <w:rsid w:val="00FC4B88"/>
    <w:rsid w:val="00FC4C25"/>
    <w:rsid w:val="00FC4F30"/>
    <w:rsid w:val="00FC5426"/>
    <w:rsid w:val="00FC5AD5"/>
    <w:rsid w:val="00FC5BF2"/>
    <w:rsid w:val="00FC5D55"/>
    <w:rsid w:val="00FC5E15"/>
    <w:rsid w:val="00FC5F7A"/>
    <w:rsid w:val="00FC6103"/>
    <w:rsid w:val="00FC6371"/>
    <w:rsid w:val="00FC657E"/>
    <w:rsid w:val="00FC6872"/>
    <w:rsid w:val="00FC6B31"/>
    <w:rsid w:val="00FC6C2F"/>
    <w:rsid w:val="00FC6C40"/>
    <w:rsid w:val="00FC6D65"/>
    <w:rsid w:val="00FC736F"/>
    <w:rsid w:val="00FC7D05"/>
    <w:rsid w:val="00FC7E74"/>
    <w:rsid w:val="00FD020F"/>
    <w:rsid w:val="00FD04E9"/>
    <w:rsid w:val="00FD09EE"/>
    <w:rsid w:val="00FD0BD2"/>
    <w:rsid w:val="00FD1304"/>
    <w:rsid w:val="00FD13FA"/>
    <w:rsid w:val="00FD1421"/>
    <w:rsid w:val="00FD19EA"/>
    <w:rsid w:val="00FD1FF2"/>
    <w:rsid w:val="00FD24E5"/>
    <w:rsid w:val="00FD2986"/>
    <w:rsid w:val="00FD31E6"/>
    <w:rsid w:val="00FD3590"/>
    <w:rsid w:val="00FD41D8"/>
    <w:rsid w:val="00FD437B"/>
    <w:rsid w:val="00FD446E"/>
    <w:rsid w:val="00FD4626"/>
    <w:rsid w:val="00FD4881"/>
    <w:rsid w:val="00FD5525"/>
    <w:rsid w:val="00FD5553"/>
    <w:rsid w:val="00FD56F5"/>
    <w:rsid w:val="00FD58D9"/>
    <w:rsid w:val="00FD5B0B"/>
    <w:rsid w:val="00FD5C08"/>
    <w:rsid w:val="00FD5CF6"/>
    <w:rsid w:val="00FD60F3"/>
    <w:rsid w:val="00FD6209"/>
    <w:rsid w:val="00FD6996"/>
    <w:rsid w:val="00FD7798"/>
    <w:rsid w:val="00FD7917"/>
    <w:rsid w:val="00FD7B33"/>
    <w:rsid w:val="00FD7C5B"/>
    <w:rsid w:val="00FD7CC4"/>
    <w:rsid w:val="00FD7EC9"/>
    <w:rsid w:val="00FE036D"/>
    <w:rsid w:val="00FE0B2E"/>
    <w:rsid w:val="00FE14EC"/>
    <w:rsid w:val="00FE1887"/>
    <w:rsid w:val="00FE1ECC"/>
    <w:rsid w:val="00FE2122"/>
    <w:rsid w:val="00FE23B6"/>
    <w:rsid w:val="00FE29AA"/>
    <w:rsid w:val="00FE2D10"/>
    <w:rsid w:val="00FE3067"/>
    <w:rsid w:val="00FE3957"/>
    <w:rsid w:val="00FE3A5A"/>
    <w:rsid w:val="00FE3EC2"/>
    <w:rsid w:val="00FE3F6B"/>
    <w:rsid w:val="00FE4003"/>
    <w:rsid w:val="00FE4E99"/>
    <w:rsid w:val="00FE519B"/>
    <w:rsid w:val="00FE53A1"/>
    <w:rsid w:val="00FE5673"/>
    <w:rsid w:val="00FE5866"/>
    <w:rsid w:val="00FE60CA"/>
    <w:rsid w:val="00FE60D6"/>
    <w:rsid w:val="00FE692B"/>
    <w:rsid w:val="00FE6AC5"/>
    <w:rsid w:val="00FE6D55"/>
    <w:rsid w:val="00FE6E8C"/>
    <w:rsid w:val="00FE6EA1"/>
    <w:rsid w:val="00FE6F14"/>
    <w:rsid w:val="00FE7437"/>
    <w:rsid w:val="00FE799B"/>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F46"/>
    <w:rsid w:val="00FF409C"/>
    <w:rsid w:val="00FF43D5"/>
    <w:rsid w:val="00FF4FEE"/>
    <w:rsid w:val="00FF52F7"/>
    <w:rsid w:val="00FF5417"/>
    <w:rsid w:val="00FF5869"/>
    <w:rsid w:val="00FF5ADC"/>
    <w:rsid w:val="00FF5B3D"/>
    <w:rsid w:val="00FF5C6B"/>
    <w:rsid w:val="00FF5CAC"/>
    <w:rsid w:val="00FF5EEB"/>
    <w:rsid w:val="00FF6186"/>
    <w:rsid w:val="00FF65BC"/>
    <w:rsid w:val="00FF6A62"/>
    <w:rsid w:val="00FF6B1B"/>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59C90AA"/>
  <w15:docId w15:val="{80AE0A7D-F572-4673-95E3-B4441164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 w:type="character" w:styleId="UnresolvedMention">
    <w:name w:val="Unresolved Mention"/>
    <w:basedOn w:val="DefaultParagraphFont"/>
    <w:uiPriority w:val="99"/>
    <w:semiHidden/>
    <w:unhideWhenUsed/>
    <w:rsid w:val="0034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08325105">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Entee\Digital%20Liverpool\Medicines%20Advice%20-%20Horizon%20Scanning\SPS%20HS%20publications\New%20Medicines%20News%20(incl%20Clinical%20Pharmacist)\Admin\New%20Medicines%20News%20template%202025%20new%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3ecb877c8b7cc426ca68cb3cbaafa65f">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c0effaa16b3fe9ce4232a51191173541"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4F6B2-13C0-4835-BE83-75A0D0B4856D}">
  <ds:schemaRefs>
    <ds:schemaRef ds:uri="http://schemas.microsoft.com/office/2006/metadata/properties"/>
    <ds:schemaRef ds:uri="http://schemas.microsoft.com/office/infopath/2007/PartnerControls"/>
    <ds:schemaRef ds:uri="bc6437e3-65b5-4a7b-a123-cc0b1a712dbe"/>
    <ds:schemaRef ds:uri="9930fb2e-2b64-4524-8d19-1f206af19760"/>
  </ds:schemaRefs>
</ds:datastoreItem>
</file>

<file path=customXml/itemProps2.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customXml/itemProps3.xml><?xml version="1.0" encoding="utf-8"?>
<ds:datastoreItem xmlns:ds="http://schemas.openxmlformats.org/officeDocument/2006/customXml" ds:itemID="{A8142215-1418-4C92-9ED7-BAC778335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91869-6A80-4380-B4C8-BDFECDE46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Medicines News template 2025 new logo</Template>
  <TotalTime>542</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9789</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McEntee Joanne (RQ6) RLBUHT</dc:creator>
  <cp:lastModifiedBy>Joanne McEntee</cp:lastModifiedBy>
  <cp:revision>123</cp:revision>
  <cp:lastPrinted>2019-12-09T12:59:00Z</cp:lastPrinted>
  <dcterms:created xsi:type="dcterms:W3CDTF">2025-08-14T11:58:00Z</dcterms:created>
  <dcterms:modified xsi:type="dcterms:W3CDTF">2025-09-04T08:19:00Z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ies>
</file>