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AB6" w:rsidP="00AA5A30" w:rsidRDefault="00E46E97" w14:paraId="71B767E5" w14:textId="77777777">
      <w:pPr>
        <w:pStyle w:val="PGDlogo"/>
        <w:rPr>
          <w:highlight w:val="cyan"/>
        </w:rPr>
      </w:pPr>
      <w:bookmarkStart w:name="_Toc258333614" w:id="0"/>
      <w:bookmarkStart w:name="_Toc263684039" w:id="1"/>
      <w:bookmarkStart w:name="_Toc264471101" w:id="2"/>
      <w:r>
        <w:rPr>
          <w:highlight w:val="cyan"/>
        </w:rPr>
        <w:t>[</w:t>
      </w:r>
      <w:r w:rsidRPr="00DF77C7" w:rsidR="007A1448">
        <w:rPr>
          <w:highlight w:val="cyan"/>
        </w:rPr>
        <w:t xml:space="preserve">Insert </w:t>
      </w:r>
      <w:r w:rsidR="002E0743">
        <w:rPr>
          <w:highlight w:val="cyan"/>
        </w:rPr>
        <w:t xml:space="preserve">the </w:t>
      </w:r>
      <w:r w:rsidRPr="00DF77C7" w:rsidR="007A1448">
        <w:rPr>
          <w:highlight w:val="cyan"/>
        </w:rPr>
        <w:t>logo of</w:t>
      </w:r>
      <w:r w:rsidR="002E0743">
        <w:rPr>
          <w:highlight w:val="cyan"/>
        </w:rPr>
        <w:t xml:space="preserve"> the</w:t>
      </w:r>
      <w:r w:rsidR="001D4AB6">
        <w:rPr>
          <w:highlight w:val="cyan"/>
        </w:rPr>
        <w:t xml:space="preserve"> authorising body here</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1">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Pr="00E15FB4" w:rsidR="006529F3" w:rsidP="00E15FB4" w:rsidRDefault="007A1448" w14:paraId="62D7E2C0" w14:textId="1619694A">
      <w:pPr>
        <w:pStyle w:val="PGDTitle2"/>
      </w:pPr>
      <w:r w:rsidRPr="00DF77C7">
        <w:t xml:space="preserve">for the </w:t>
      </w:r>
      <w:r w:rsidRPr="00DF77C7" w:rsidR="00973131">
        <w:t>administration</w:t>
      </w:r>
      <w:r w:rsidRPr="00DF77C7">
        <w:t xml:space="preserve"> of</w:t>
      </w:r>
      <w:r w:rsidRPr="00DF77C7" w:rsidR="00DA12F7">
        <w:t xml:space="preserve"> </w:t>
      </w:r>
      <w:r w:rsidRPr="007B3B09" w:rsidR="007B3B09">
        <w:t>flumazenil injection by registered Paramedics and Nurses for the complete or partial reversal of the central sedative effects of midazolam used for conscious sedation</w:t>
      </w:r>
    </w:p>
    <w:p w:rsidRPr="00DF77C7" w:rsidR="007A1448" w:rsidP="006529F3" w:rsidRDefault="005C6771" w14:paraId="4799BFF7" w14:textId="2F1960B6">
      <w:pPr>
        <w:pStyle w:val="PGDTitle2"/>
      </w:pPr>
      <w:r w:rsidRPr="00DF77C7">
        <w:t xml:space="preserve">in </w:t>
      </w:r>
      <w:r w:rsidR="00E46E97">
        <w:t>[</w:t>
      </w:r>
      <w:r w:rsidRPr="00DF77C7">
        <w:rPr>
          <w:highlight w:val="cyan"/>
        </w:rPr>
        <w:t>location/service/organisation</w:t>
      </w:r>
      <w:r w:rsidR="00E46E97">
        <w:t>]</w:t>
      </w:r>
    </w:p>
    <w:p w:rsidRPr="00DF77C7" w:rsidR="006529F3" w:rsidP="004C1FDF" w:rsidRDefault="006529F3" w14:paraId="446CEE0D" w14:textId="77777777">
      <w:pPr>
        <w:pStyle w:val="PGDNormal"/>
      </w:pPr>
    </w:p>
    <w:p w:rsidRPr="007F687D" w:rsidR="00813399" w:rsidP="007F687D" w:rsidRDefault="00813399" w14:paraId="70665420" w14:textId="796BA58B">
      <w:pPr>
        <w:rPr>
          <w:rStyle w:val="PGDVersionNumber"/>
        </w:rPr>
      </w:pPr>
      <w:r w:rsidRPr="007F687D">
        <w:rPr>
          <w:rStyle w:val="PGDVersionNumber"/>
        </w:rPr>
        <w:t xml:space="preserve">Version Number </w:t>
      </w:r>
      <w:r w:rsidR="007B3B09">
        <w:rPr>
          <w:rStyle w:val="PGDVersionNumber"/>
        </w:rPr>
        <w:t>3</w:t>
      </w:r>
      <w:r w:rsidR="00DF59C5">
        <w:rPr>
          <w:rStyle w:val="PGDVersionNumber"/>
        </w:rPr>
        <w:t>.0</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6972141C" w14:paraId="1AA21739" w14:textId="77777777">
        <w:trPr>
          <w:trHeight w:val="442"/>
        </w:trPr>
        <w:tc>
          <w:tcPr>
            <w:tcW w:w="1781" w:type="dxa"/>
            <w:tcBorders>
              <w:top w:val="single" w:color="auto" w:sz="4" w:space="0"/>
              <w:left w:val="single" w:color="auto" w:sz="4" w:space="0"/>
              <w:bottom w:val="single" w:color="auto" w:sz="4" w:space="0"/>
              <w:right w:val="single" w:color="auto" w:sz="4" w:space="0"/>
            </w:tcBorders>
            <w:tcMar/>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Mar/>
          </w:tcPr>
          <w:p w:rsidRPr="00DF77C7" w:rsidR="00813399" w:rsidP="006829D5" w:rsidRDefault="00813399" w14:paraId="20E8B630" w14:textId="77777777">
            <w:pPr>
              <w:pStyle w:val="TableHeaderRow"/>
            </w:pPr>
            <w:r w:rsidRPr="00DF77C7">
              <w:t>Change details</w:t>
            </w:r>
          </w:p>
        </w:tc>
      </w:tr>
      <w:tr w:rsidRPr="00C3573D" w:rsidR="007B3B09" w:rsidTr="6972141C" w14:paraId="18A6E721" w14:textId="77777777">
        <w:trPr>
          <w:trHeight w:val="442"/>
        </w:trPr>
        <w:tc>
          <w:tcPr>
            <w:tcW w:w="1781" w:type="dxa"/>
            <w:tcBorders>
              <w:top w:val="single" w:color="auto" w:sz="4" w:space="0"/>
              <w:left w:val="single" w:color="auto" w:sz="4" w:space="0"/>
              <w:bottom w:val="single" w:color="auto" w:sz="4" w:space="0"/>
              <w:right w:val="single" w:color="auto" w:sz="4" w:space="0"/>
            </w:tcBorders>
            <w:tcMar/>
          </w:tcPr>
          <w:p w:rsidRPr="007B3B09" w:rsidR="007B3B09" w:rsidP="007B3B09" w:rsidRDefault="007B3B09" w14:paraId="2AD57B9E" w14:textId="77777777">
            <w:pPr>
              <w:pStyle w:val="Tabletext"/>
            </w:pPr>
            <w:r w:rsidRPr="007B3B09">
              <w:t>Version 2.0</w:t>
            </w:r>
          </w:p>
          <w:p w:rsidRPr="007B3B09" w:rsidR="007B3B09" w:rsidP="007B3B09" w:rsidRDefault="007B3B09" w14:paraId="5AF43291" w14:textId="77777777">
            <w:pPr>
              <w:pStyle w:val="Tabletext"/>
            </w:pPr>
            <w:r w:rsidRPr="007B3B09">
              <w:t>July 2022</w:t>
            </w:r>
          </w:p>
        </w:tc>
        <w:tc>
          <w:tcPr>
            <w:tcW w:w="7020" w:type="dxa"/>
            <w:tcBorders>
              <w:top w:val="single" w:color="auto" w:sz="4" w:space="0"/>
              <w:left w:val="single" w:color="auto" w:sz="4" w:space="0"/>
              <w:bottom w:val="single" w:color="auto" w:sz="4" w:space="0"/>
              <w:right w:val="single" w:color="auto" w:sz="4" w:space="0"/>
            </w:tcBorders>
            <w:tcMar/>
          </w:tcPr>
          <w:p w:rsidRPr="007B3B09" w:rsidR="007B3B09" w:rsidP="007B3B09" w:rsidRDefault="007B3B09" w14:paraId="6544BA2B" w14:textId="77777777">
            <w:pPr>
              <w:pStyle w:val="Tabletext"/>
            </w:pPr>
            <w:r w:rsidRPr="007B3B09">
              <w:t>Updated template</w:t>
            </w:r>
          </w:p>
        </w:tc>
      </w:tr>
      <w:tr w:rsidRPr="00C3573D" w:rsidR="007B3B09" w:rsidTr="6972141C" w14:paraId="34761CB6" w14:textId="77777777">
        <w:trPr>
          <w:trHeight w:val="442"/>
        </w:trPr>
        <w:tc>
          <w:tcPr>
            <w:tcW w:w="1781" w:type="dxa"/>
            <w:tcBorders>
              <w:top w:val="single" w:color="auto" w:sz="4" w:space="0"/>
              <w:left w:val="single" w:color="auto" w:sz="4" w:space="0"/>
              <w:bottom w:val="single" w:color="auto" w:sz="4" w:space="0"/>
              <w:right w:val="single" w:color="auto" w:sz="4" w:space="0"/>
            </w:tcBorders>
            <w:tcMar/>
          </w:tcPr>
          <w:p w:rsidRPr="007B3B09" w:rsidR="007B3B09" w:rsidP="007B3B09" w:rsidRDefault="007B3B09" w14:paraId="55FD98DB" w14:textId="77777777">
            <w:pPr>
              <w:pStyle w:val="Tabletext"/>
            </w:pPr>
            <w:r w:rsidRPr="007B3B09">
              <w:t xml:space="preserve">Version 2.1 </w:t>
            </w:r>
          </w:p>
          <w:p w:rsidRPr="007B3B09" w:rsidR="007B3B09" w:rsidP="007B3B09" w:rsidRDefault="007B3B09" w14:paraId="7CDDE86A" w14:textId="77777777">
            <w:pPr>
              <w:pStyle w:val="Tabletext"/>
            </w:pPr>
            <w:r w:rsidRPr="007B3B09">
              <w:t>May 2023</w:t>
            </w:r>
          </w:p>
        </w:tc>
        <w:tc>
          <w:tcPr>
            <w:tcW w:w="7020" w:type="dxa"/>
            <w:tcBorders>
              <w:top w:val="single" w:color="auto" w:sz="4" w:space="0"/>
              <w:left w:val="single" w:color="auto" w:sz="4" w:space="0"/>
              <w:bottom w:val="single" w:color="auto" w:sz="4" w:space="0"/>
              <w:right w:val="single" w:color="auto" w:sz="4" w:space="0"/>
            </w:tcBorders>
            <w:tcMar/>
          </w:tcPr>
          <w:p w:rsidRPr="007B3B09" w:rsidR="007B3B09" w:rsidP="007B3B09" w:rsidRDefault="007B3B09" w14:paraId="682A290F" w14:textId="77777777">
            <w:pPr>
              <w:pStyle w:val="Tabletext"/>
            </w:pPr>
            <w:r w:rsidRPr="007B3B09">
              <w:t xml:space="preserve">Revision of wording in off label section to align with other SPS PGD templates </w:t>
            </w:r>
          </w:p>
        </w:tc>
      </w:tr>
      <w:tr w:rsidRPr="00C3573D" w:rsidR="007B3B09" w:rsidTr="6972141C" w14:paraId="4F4E3EEC" w14:textId="77777777">
        <w:trPr>
          <w:trHeight w:val="442"/>
        </w:trPr>
        <w:tc>
          <w:tcPr>
            <w:tcW w:w="1781" w:type="dxa"/>
            <w:tcBorders>
              <w:top w:val="single" w:color="auto" w:sz="4" w:space="0"/>
              <w:left w:val="single" w:color="auto" w:sz="4" w:space="0"/>
              <w:bottom w:val="single" w:color="auto" w:sz="4" w:space="0"/>
              <w:right w:val="single" w:color="auto" w:sz="4" w:space="0"/>
            </w:tcBorders>
            <w:tcMar/>
          </w:tcPr>
          <w:p w:rsidRPr="007B3B09" w:rsidR="007B3B09" w:rsidP="007B3B09" w:rsidRDefault="007B3B09" w14:paraId="32383A0D" w14:textId="77777777">
            <w:pPr>
              <w:pStyle w:val="Tabletext"/>
            </w:pPr>
            <w:r w:rsidRPr="007B3B09">
              <w:t xml:space="preserve">Version 3.0 </w:t>
            </w:r>
          </w:p>
          <w:p w:rsidRPr="007B3B09" w:rsidR="007B3B09" w:rsidP="007B3B09" w:rsidRDefault="007B3B09" w14:paraId="3217C696" w14:textId="1B3DD73F">
            <w:pPr>
              <w:pStyle w:val="Tabletext"/>
            </w:pPr>
            <w:r w:rsidR="45429358">
              <w:rPr/>
              <w:t>April</w:t>
            </w:r>
            <w:r w:rsidR="007B3B09">
              <w:rPr/>
              <w:t xml:space="preserve"> 2025</w:t>
            </w:r>
          </w:p>
        </w:tc>
        <w:tc>
          <w:tcPr>
            <w:tcW w:w="7020" w:type="dxa"/>
            <w:tcBorders>
              <w:top w:val="single" w:color="auto" w:sz="4" w:space="0"/>
              <w:left w:val="single" w:color="auto" w:sz="4" w:space="0"/>
              <w:bottom w:val="single" w:color="auto" w:sz="4" w:space="0"/>
              <w:right w:val="single" w:color="auto" w:sz="4" w:space="0"/>
            </w:tcBorders>
            <w:tcMar/>
          </w:tcPr>
          <w:p w:rsidRPr="007B3B09" w:rsidR="007B3B09" w:rsidP="007B3B09" w:rsidRDefault="007B3B09" w14:paraId="552A355E" w14:textId="77777777">
            <w:pPr>
              <w:pStyle w:val="Tabletext"/>
            </w:pPr>
            <w:r w:rsidRPr="007B3B09">
              <w:t>Planned review of PGD. Dose regime now reflects SmPC. Minor formatting changes.</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391B4B37">
      <w:pPr>
        <w:pStyle w:val="Heading1"/>
      </w:pPr>
      <w:r w:rsidRPr="00DF77C7">
        <w:rPr>
          <w:highlight w:val="yellow"/>
        </w:rPr>
        <w:br w:type="page"/>
      </w:r>
      <w:r w:rsidRPr="00DF77C7" w:rsidR="00813399">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E15FB4" w:rsidTr="00043006" w14:paraId="2D1BCEA8" w14:textId="77777777">
        <w:tc>
          <w:tcPr>
            <w:tcW w:w="3969"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DF59C5" w14:paraId="1C02A90B" w14:textId="04DE5087">
            <w:pPr>
              <w:pStyle w:val="Tabletext"/>
              <w:rPr>
                <w:lang w:val="en-GB"/>
              </w:rPr>
            </w:pPr>
            <w:r>
              <w:t>A</w:t>
            </w:r>
            <w:r w:rsidR="007B3B09">
              <w:t>ugust</w:t>
            </w:r>
            <w:r w:rsidRPr="00F82AC9" w:rsidR="00E15FB4">
              <w:t xml:space="preserve"> 2025</w:t>
            </w:r>
          </w:p>
        </w:tc>
      </w:tr>
      <w:tr w:rsidRPr="00DF77C7" w:rsidR="00E15FB4" w:rsidTr="00043006" w14:paraId="18F33630" w14:textId="77777777">
        <w:tc>
          <w:tcPr>
            <w:tcW w:w="3969" w:type="dxa"/>
          </w:tcPr>
          <w:p w:rsidRPr="00DF77C7" w:rsidR="00E15FB4" w:rsidP="00E15FB4" w:rsidRDefault="00E15FB4" w14:paraId="1ED3DDB2" w14:textId="77777777">
            <w:pPr>
              <w:pStyle w:val="Tabletext"/>
              <w:rPr>
                <w:lang w:val="en-GB"/>
              </w:rPr>
            </w:pPr>
            <w:r w:rsidRPr="00DF77C7">
              <w:rPr>
                <w:lang w:val="en-GB"/>
              </w:rPr>
              <w:t>Review date</w:t>
            </w:r>
          </w:p>
          <w:p w:rsidRPr="00DF77C7" w:rsidR="00E15FB4" w:rsidP="00E15FB4" w:rsidRDefault="00E15FB4" w14:paraId="40ECC743" w14:textId="77777777">
            <w:pPr>
              <w:pStyle w:val="Tabletext"/>
              <w:rPr>
                <w:lang w:val="en-GB"/>
              </w:rPr>
            </w:pP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7B3B09" w14:paraId="56A527C3" w14:textId="7A2B978E">
            <w:pPr>
              <w:pStyle w:val="Tabletext"/>
              <w:rPr>
                <w:lang w:val="en-GB"/>
              </w:rPr>
            </w:pPr>
            <w:r>
              <w:t>February 2028</w:t>
            </w:r>
          </w:p>
        </w:tc>
      </w:tr>
      <w:tr w:rsidRPr="00DF77C7" w:rsidR="00E15FB4" w:rsidTr="00043006" w14:paraId="0FB80BBA" w14:textId="77777777">
        <w:tc>
          <w:tcPr>
            <w:tcW w:w="3969"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7B3B09" w14:paraId="58AA136C" w14:textId="2DB316AA">
            <w:pPr>
              <w:pStyle w:val="Tabletext"/>
              <w:rPr>
                <w:lang w:val="en-GB"/>
              </w:rPr>
            </w:pPr>
            <w:r>
              <w:t>July 2028</w:t>
            </w:r>
          </w:p>
        </w:tc>
      </w:tr>
    </w:tbl>
    <w:p w:rsidRPr="00DF77C7" w:rsidR="00050C45" w:rsidP="00F57606" w:rsidRDefault="00050C45" w14:paraId="22A68ADB" w14:textId="77777777">
      <w:pPr>
        <w:pStyle w:val="Tabletext"/>
      </w:pPr>
    </w:p>
    <w:p w:rsidRPr="009A5221" w:rsidR="009531BB" w:rsidP="009531BB" w:rsidRDefault="009531BB" w14:paraId="2B9FC443" w14:textId="77777777">
      <w:pPr>
        <w:pStyle w:val="PGDNormal"/>
      </w:pPr>
      <w:r w:rsidRPr="009A5221">
        <w:t xml:space="preserve">This template was written, peer reviewed and ratified by the </w:t>
      </w:r>
      <w:r>
        <w:t>Radiology</w:t>
      </w:r>
      <w:r w:rsidRPr="009A5221">
        <w:t xml:space="preserve"> PGD Working Group which is supported by the </w:t>
      </w:r>
      <w:r>
        <w:t xml:space="preserve">NHS </w:t>
      </w:r>
      <w:r w:rsidRPr="009A5221">
        <w:t>Specialist Pharmacy Service (SPS), the Royal College of Radiologists (RCR), the Society and College of Radiographers (S</w:t>
      </w:r>
      <w:r>
        <w:t>o</w:t>
      </w:r>
      <w:r w:rsidRPr="009A5221">
        <w:t xml:space="preserve">R) and </w:t>
      </w:r>
      <w:r w:rsidRPr="000D1068">
        <w:rPr>
          <w:bdr w:val="none" w:color="auto" w:sz="0" w:space="0" w:frame="1"/>
        </w:rPr>
        <w:t xml:space="preserve">British Society of GI and Abdominal Radiologists (BSGAR).  </w:t>
      </w:r>
      <w:r w:rsidRPr="009A5221">
        <w:t xml:space="preserve">It has been endorsed by The Faculty of Clinical Radiology of The Royal College of Radiologists, the Society of Radiographers </w:t>
      </w:r>
      <w:r w:rsidRPr="009531BB">
        <w:t>and NHSE National Speciality Adviser for Imaging Dr Richard Goodwin.</w:t>
      </w:r>
    </w:p>
    <w:p w:rsidRPr="00F6120B" w:rsidR="00050C45" w:rsidP="00AD67D4" w:rsidRDefault="00050C45" w14:paraId="58CD625E" w14:textId="4681443F">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F6120B" w:rsidR="006829D5">
          <w:rPr>
            <w:rStyle w:val="Hyperlink"/>
          </w:rPr>
          <w:t>SPS national PGD template webpage</w:t>
        </w:r>
      </w:hyperlink>
      <w:r w:rsidRPr="00F6120B" w:rsidR="006829D5">
        <w:rPr>
          <w:rStyle w:val="Hyperlink"/>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689"/>
        <w:gridCol w:w="6520"/>
      </w:tblGrid>
      <w:tr w:rsidRPr="00DF77C7" w:rsidR="005E6963" w:rsidTr="00481517" w14:paraId="0CD61D6C" w14:textId="77777777">
        <w:trPr>
          <w:trHeight w:val="565"/>
          <w:tblHeader/>
        </w:trPr>
        <w:tc>
          <w:tcPr>
            <w:tcW w:w="2689"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1432670F" w14:textId="77777777">
            <w:pPr>
              <w:pStyle w:val="TableHeaderRow"/>
            </w:pPr>
            <w:r w:rsidRPr="00DF77C7">
              <w:t>Name or Role</w:t>
            </w:r>
          </w:p>
        </w:tc>
        <w:tc>
          <w:tcPr>
            <w:tcW w:w="6520"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6CA85561" w14:textId="77777777">
            <w:pPr>
              <w:pStyle w:val="TableHeaderRow"/>
            </w:pPr>
            <w:r w:rsidRPr="00DF77C7">
              <w:t>Position</w:t>
            </w:r>
          </w:p>
        </w:tc>
      </w:tr>
      <w:tr w:rsidRPr="00DF77C7" w:rsidR="007B3B09" w:rsidTr="00481517" w14:paraId="6D7832C8" w14:textId="77777777">
        <w:trPr>
          <w:trHeight w:val="842"/>
        </w:trPr>
        <w:tc>
          <w:tcPr>
            <w:tcW w:w="2689" w:type="dxa"/>
          </w:tcPr>
          <w:p w:rsidRPr="00DF59C5" w:rsidR="007B3B09" w:rsidP="007B3B09" w:rsidRDefault="007B3B09" w14:paraId="0D33821E" w14:textId="06F08861">
            <w:pPr>
              <w:pStyle w:val="Tabletext"/>
              <w:rPr>
                <w:rFonts w:eastAsia="Calibri"/>
                <w:sz w:val="20"/>
                <w:lang w:val="en-GB"/>
              </w:rPr>
            </w:pPr>
            <w:r w:rsidRPr="00E66818">
              <w:rPr>
                <w:rFonts w:cs="Arial"/>
              </w:rPr>
              <w:t>Sumithra Maheswaran</w:t>
            </w:r>
          </w:p>
        </w:tc>
        <w:tc>
          <w:tcPr>
            <w:tcW w:w="6520" w:type="dxa"/>
          </w:tcPr>
          <w:p w:rsidRPr="002416AD" w:rsidR="007B3B09" w:rsidP="007B3B09" w:rsidRDefault="007B3B09" w14:paraId="0C137020" w14:textId="54ACB725">
            <w:pPr>
              <w:pStyle w:val="Tabletext"/>
              <w:rPr>
                <w:rFonts w:eastAsia="Calibri"/>
                <w:sz w:val="20"/>
                <w:lang w:val="en-GB"/>
              </w:rPr>
            </w:pPr>
            <w:r w:rsidRPr="00E66818">
              <w:rPr>
                <w:rFonts w:cs="Arial"/>
              </w:rPr>
              <w:t>Pharmacist</w:t>
            </w:r>
          </w:p>
        </w:tc>
      </w:tr>
      <w:tr w:rsidRPr="00DF77C7" w:rsidR="007B3B09" w:rsidTr="00481517" w14:paraId="15A217EB" w14:textId="77777777">
        <w:trPr>
          <w:trHeight w:val="692"/>
        </w:trPr>
        <w:tc>
          <w:tcPr>
            <w:tcW w:w="2689" w:type="dxa"/>
          </w:tcPr>
          <w:p w:rsidRPr="00DF59C5" w:rsidR="007B3B09" w:rsidP="007B3B09" w:rsidRDefault="007B3B09" w14:paraId="543479AC" w14:textId="00FAF258">
            <w:pPr>
              <w:pStyle w:val="Tabletext"/>
              <w:rPr>
                <w:rFonts w:eastAsia="Calibri"/>
                <w:sz w:val="20"/>
                <w:lang w:val="en-GB"/>
              </w:rPr>
            </w:pPr>
            <w:r>
              <w:rPr>
                <w:rFonts w:cs="Arial"/>
              </w:rPr>
              <w:t>Dr Elizabeth Miller</w:t>
            </w:r>
          </w:p>
        </w:tc>
        <w:tc>
          <w:tcPr>
            <w:tcW w:w="6520" w:type="dxa"/>
          </w:tcPr>
          <w:p w:rsidRPr="002416AD" w:rsidR="007B3B09" w:rsidP="007B3B09" w:rsidRDefault="007B3B09" w14:paraId="7C2C9AF1" w14:textId="362FBCA9">
            <w:pPr>
              <w:pStyle w:val="Tabletext"/>
              <w:rPr>
                <w:rFonts w:eastAsia="Calibri"/>
                <w:sz w:val="20"/>
                <w:lang w:val="en-GB"/>
              </w:rPr>
            </w:pPr>
            <w:r w:rsidRPr="00E66818">
              <w:rPr>
                <w:rFonts w:cs="Arial"/>
              </w:rPr>
              <w:t>Pharmacist</w:t>
            </w:r>
          </w:p>
        </w:tc>
      </w:tr>
      <w:tr w:rsidRPr="00DF77C7" w:rsidR="007B3B09" w:rsidTr="00481517" w14:paraId="15C69C66" w14:textId="77777777">
        <w:trPr>
          <w:trHeight w:val="638"/>
        </w:trPr>
        <w:tc>
          <w:tcPr>
            <w:tcW w:w="2689" w:type="dxa"/>
          </w:tcPr>
          <w:p w:rsidRPr="00DF59C5" w:rsidR="007B3B09" w:rsidP="007B3B09" w:rsidRDefault="007B3B09" w14:paraId="067C5D4E" w14:textId="60657D0E">
            <w:pPr>
              <w:pStyle w:val="Tabletext"/>
              <w:rPr>
                <w:rFonts w:eastAsia="Calibri"/>
                <w:sz w:val="20"/>
                <w:lang w:val="en-GB"/>
              </w:rPr>
            </w:pPr>
            <w:r w:rsidRPr="00E66818">
              <w:rPr>
                <w:rFonts w:cs="Arial"/>
              </w:rPr>
              <w:t>Tim Edwards</w:t>
            </w:r>
          </w:p>
        </w:tc>
        <w:tc>
          <w:tcPr>
            <w:tcW w:w="6520" w:type="dxa"/>
          </w:tcPr>
          <w:p w:rsidRPr="002416AD" w:rsidR="007B3B09" w:rsidP="007B3B09" w:rsidRDefault="007B3B09" w14:paraId="53553074" w14:textId="307B6957">
            <w:pPr>
              <w:pStyle w:val="Tabletext"/>
              <w:rPr>
                <w:rFonts w:eastAsia="Calibri"/>
                <w:sz w:val="20"/>
                <w:lang w:val="en-GB"/>
              </w:rPr>
            </w:pPr>
            <w:r w:rsidRPr="00E66818">
              <w:rPr>
                <w:rFonts w:cs="Arial"/>
              </w:rPr>
              <w:t>Consultant paramedic</w:t>
            </w:r>
          </w:p>
        </w:tc>
      </w:tr>
      <w:tr w:rsidRPr="00DF77C7" w:rsidR="007B3B09" w:rsidTr="00481517" w14:paraId="2441A89E" w14:textId="77777777">
        <w:trPr>
          <w:trHeight w:val="562"/>
        </w:trPr>
        <w:tc>
          <w:tcPr>
            <w:tcW w:w="2689" w:type="dxa"/>
          </w:tcPr>
          <w:p w:rsidRPr="00DF59C5" w:rsidR="007B3B09" w:rsidP="007B3B09" w:rsidRDefault="007B3B09" w14:paraId="7F6ABB2F" w14:textId="0984EDA0">
            <w:pPr>
              <w:pStyle w:val="Tabletext"/>
              <w:rPr>
                <w:sz w:val="20"/>
                <w:lang w:val="en-GB"/>
              </w:rPr>
            </w:pPr>
            <w:r w:rsidRPr="00E66818">
              <w:rPr>
                <w:rFonts w:cs="Arial"/>
              </w:rPr>
              <w:t>Paul Brennan</w:t>
            </w:r>
          </w:p>
        </w:tc>
        <w:tc>
          <w:tcPr>
            <w:tcW w:w="6520" w:type="dxa"/>
          </w:tcPr>
          <w:p w:rsidRPr="002416AD" w:rsidR="007B3B09" w:rsidP="007B3B09" w:rsidRDefault="007B3B09" w14:paraId="3C9BFAE0" w14:textId="4B9CBD62">
            <w:pPr>
              <w:pStyle w:val="Tabletext"/>
              <w:rPr>
                <w:sz w:val="20"/>
                <w:lang w:val="en-GB"/>
              </w:rPr>
            </w:pPr>
            <w:r w:rsidRPr="00E66818">
              <w:rPr>
                <w:rFonts w:cs="Arial"/>
              </w:rPr>
              <w:t>Advanced Paramedic</w:t>
            </w:r>
          </w:p>
        </w:tc>
      </w:tr>
      <w:tr w:rsidRPr="00DF77C7" w:rsidR="007B3B09" w:rsidTr="00481517" w14:paraId="0E576D53" w14:textId="77777777">
        <w:trPr>
          <w:trHeight w:val="382"/>
        </w:trPr>
        <w:tc>
          <w:tcPr>
            <w:tcW w:w="2689" w:type="dxa"/>
          </w:tcPr>
          <w:p w:rsidRPr="00DF59C5" w:rsidR="007B3B09" w:rsidP="007B3B09" w:rsidRDefault="007B3B09" w14:paraId="05EE8281" w14:textId="571A4386">
            <w:pPr>
              <w:pStyle w:val="Tabletext"/>
              <w:rPr>
                <w:sz w:val="20"/>
                <w:lang w:val="en-GB"/>
              </w:rPr>
            </w:pPr>
            <w:r w:rsidRPr="00E66818">
              <w:rPr>
                <w:rFonts w:cs="Arial"/>
              </w:rPr>
              <w:t>Julie Ormrod</w:t>
            </w:r>
          </w:p>
        </w:tc>
        <w:tc>
          <w:tcPr>
            <w:tcW w:w="6520" w:type="dxa"/>
          </w:tcPr>
          <w:p w:rsidRPr="002416AD" w:rsidR="007B3B09" w:rsidP="007B3B09" w:rsidRDefault="007B3B09" w14:paraId="2A113ED2" w14:textId="259D4D3D">
            <w:pPr>
              <w:pStyle w:val="Tabletext"/>
              <w:rPr>
                <w:sz w:val="20"/>
                <w:lang w:val="en-GB"/>
              </w:rPr>
            </w:pPr>
            <w:r w:rsidRPr="00E66818">
              <w:rPr>
                <w:rFonts w:cs="Arial"/>
              </w:rPr>
              <w:t>Consultant Paramedic</w:t>
            </w:r>
          </w:p>
        </w:tc>
      </w:tr>
      <w:tr w:rsidRPr="00DF77C7" w:rsidR="007B3B09" w:rsidTr="00481517" w14:paraId="06658BE4" w14:textId="77777777">
        <w:trPr>
          <w:trHeight w:val="539"/>
        </w:trPr>
        <w:tc>
          <w:tcPr>
            <w:tcW w:w="2689" w:type="dxa"/>
          </w:tcPr>
          <w:p w:rsidRPr="00DF59C5" w:rsidR="007B3B09" w:rsidP="007B3B09" w:rsidRDefault="007B3B09" w14:paraId="4B09C5EB" w14:textId="1EA8E3AC">
            <w:pPr>
              <w:pStyle w:val="Tabletext"/>
              <w:rPr>
                <w:sz w:val="20"/>
                <w:lang w:val="en-GB"/>
              </w:rPr>
            </w:pPr>
            <w:r w:rsidRPr="00E66818">
              <w:rPr>
                <w:rFonts w:cs="Arial"/>
              </w:rPr>
              <w:t xml:space="preserve">Stuart Cox </w:t>
            </w:r>
          </w:p>
        </w:tc>
        <w:tc>
          <w:tcPr>
            <w:tcW w:w="6520" w:type="dxa"/>
          </w:tcPr>
          <w:p w:rsidRPr="002416AD" w:rsidR="007B3B09" w:rsidP="007B3B09" w:rsidRDefault="007B3B09" w14:paraId="50FAAE1F" w14:textId="5032EE0A">
            <w:pPr>
              <w:pStyle w:val="Tabletext"/>
              <w:rPr>
                <w:sz w:val="20"/>
                <w:lang w:val="en-GB"/>
              </w:rPr>
            </w:pPr>
            <w:r w:rsidRPr="00E66818">
              <w:rPr>
                <w:rFonts w:cs="Arial"/>
              </w:rPr>
              <w:t>Critical Care Nurse</w:t>
            </w:r>
          </w:p>
        </w:tc>
      </w:tr>
      <w:tr w:rsidRPr="00DF77C7" w:rsidR="007B3B09" w:rsidTr="00481517" w14:paraId="3803C8B9" w14:textId="77777777">
        <w:trPr>
          <w:trHeight w:val="580"/>
        </w:trPr>
        <w:tc>
          <w:tcPr>
            <w:tcW w:w="2689" w:type="dxa"/>
          </w:tcPr>
          <w:p w:rsidRPr="00DF59C5" w:rsidR="007B3B09" w:rsidP="007B3B09" w:rsidRDefault="007B3B09" w14:paraId="00B466E6" w14:textId="4CE2C415">
            <w:pPr>
              <w:pStyle w:val="Tabletext"/>
              <w:rPr>
                <w:sz w:val="20"/>
                <w:lang w:val="en-GB"/>
              </w:rPr>
            </w:pPr>
            <w:r>
              <w:rPr>
                <w:rFonts w:cs="Arial"/>
              </w:rPr>
              <w:t xml:space="preserve">Dr Stephen Dykes </w:t>
            </w:r>
          </w:p>
        </w:tc>
        <w:tc>
          <w:tcPr>
            <w:tcW w:w="6520" w:type="dxa"/>
          </w:tcPr>
          <w:p w:rsidRPr="002416AD" w:rsidR="007B3B09" w:rsidP="007B3B09" w:rsidRDefault="007B3B09" w14:paraId="52BB571F" w14:textId="32893A4A">
            <w:pPr>
              <w:pStyle w:val="Tabletext"/>
              <w:rPr>
                <w:sz w:val="20"/>
                <w:lang w:val="en-GB"/>
              </w:rPr>
            </w:pPr>
            <w:r w:rsidRPr="00E66818">
              <w:rPr>
                <w:rFonts w:cs="Arial"/>
              </w:rPr>
              <w:t>Doctor</w:t>
            </w:r>
          </w:p>
        </w:tc>
      </w:tr>
      <w:tr w:rsidRPr="00DF77C7" w:rsidR="007B3B09" w:rsidTr="00481517" w14:paraId="2099D9F1" w14:textId="77777777">
        <w:trPr>
          <w:trHeight w:val="764"/>
        </w:trPr>
        <w:tc>
          <w:tcPr>
            <w:tcW w:w="2689" w:type="dxa"/>
          </w:tcPr>
          <w:p w:rsidRPr="00DF59C5" w:rsidR="007B3B09" w:rsidP="007B3B09" w:rsidRDefault="007B3B09" w14:paraId="784A3A8D" w14:textId="558DE87F">
            <w:pPr>
              <w:pStyle w:val="Tabletext"/>
              <w:rPr>
                <w:sz w:val="20"/>
                <w:lang w:val="en-GB"/>
              </w:rPr>
            </w:pPr>
            <w:r>
              <w:rPr>
                <w:rFonts w:cs="Arial"/>
              </w:rPr>
              <w:t xml:space="preserve">Dr </w:t>
            </w:r>
            <w:r w:rsidRPr="00E66818">
              <w:rPr>
                <w:rFonts w:cs="Arial"/>
              </w:rPr>
              <w:t>Philip Cowburn</w:t>
            </w:r>
          </w:p>
        </w:tc>
        <w:tc>
          <w:tcPr>
            <w:tcW w:w="6520" w:type="dxa"/>
          </w:tcPr>
          <w:p w:rsidRPr="002416AD" w:rsidR="007B3B09" w:rsidP="007B3B09" w:rsidRDefault="007B3B09" w14:paraId="0B5D7B8A" w14:textId="401D3225">
            <w:pPr>
              <w:pStyle w:val="Tabletext"/>
              <w:rPr>
                <w:sz w:val="20"/>
                <w:lang w:val="en-GB"/>
              </w:rPr>
            </w:pPr>
            <w:r w:rsidRPr="00E66818">
              <w:rPr>
                <w:rFonts w:cs="Arial"/>
              </w:rPr>
              <w:t>Doctor</w:t>
            </w:r>
          </w:p>
        </w:tc>
      </w:tr>
      <w:tr w:rsidRPr="00DF77C7" w:rsidR="007B3B09" w:rsidTr="00481517" w14:paraId="4C01E258" w14:textId="77777777">
        <w:trPr>
          <w:trHeight w:val="845"/>
        </w:trPr>
        <w:tc>
          <w:tcPr>
            <w:tcW w:w="2689" w:type="dxa"/>
          </w:tcPr>
          <w:p w:rsidRPr="00DF59C5" w:rsidR="007B3B09" w:rsidP="007B3B09" w:rsidRDefault="007B3B09" w14:paraId="494AA640" w14:textId="0C955D9D">
            <w:pPr>
              <w:pStyle w:val="Tabletext"/>
              <w:rPr>
                <w:rFonts w:eastAsia="Calibri"/>
                <w:sz w:val="20"/>
                <w:szCs w:val="22"/>
                <w:lang w:val="en-GB"/>
              </w:rPr>
            </w:pPr>
            <w:r w:rsidRPr="00E66818">
              <w:rPr>
                <w:rFonts w:cs="Arial"/>
              </w:rPr>
              <w:t>Jo Jenkins (Wo</w:t>
            </w:r>
            <w:r>
              <w:rPr>
                <w:rFonts w:cs="Arial"/>
              </w:rPr>
              <w:t>r</w:t>
            </w:r>
            <w:r w:rsidRPr="00E66818">
              <w:rPr>
                <w:rFonts w:cs="Arial"/>
              </w:rPr>
              <w:t>king Group Co-Ordinator)</w:t>
            </w:r>
          </w:p>
        </w:tc>
        <w:tc>
          <w:tcPr>
            <w:tcW w:w="6520" w:type="dxa"/>
          </w:tcPr>
          <w:p w:rsidRPr="002416AD" w:rsidR="007B3B09" w:rsidP="007B3B09" w:rsidRDefault="007B3B09" w14:paraId="4FD8CBD4" w14:textId="5C392A3E">
            <w:pPr>
              <w:pStyle w:val="Tabletext"/>
              <w:rPr>
                <w:rFonts w:eastAsia="Calibri"/>
                <w:sz w:val="20"/>
                <w:lang w:val="en-GB"/>
              </w:rPr>
            </w:pPr>
            <w:r w:rsidRPr="00E66818">
              <w:rPr>
                <w:rFonts w:cs="Arial"/>
              </w:rPr>
              <w:t>Specialist Pharmacist PGDs Specialist Pharmacy Service</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7B3B09" w:rsidRDefault="00813399" w14:paraId="246E86BC" w14:textId="0F93A119">
            <w:pPr>
              <w:pStyle w:val="Tabletext"/>
              <w:rPr>
                <w:rStyle w:val="TableHeaderColumn"/>
              </w:rPr>
            </w:pPr>
            <w:r w:rsidRPr="00872410">
              <w:rPr>
                <w:rStyle w:val="TableHeaderColumn"/>
              </w:rPr>
              <w:t xml:space="preserve">Senior representative of professional group using the PGD </w:t>
            </w:r>
            <w:r w:rsidRPr="007B3B09" w:rsidR="007B3B09">
              <w:t>(may be more than one signatory if more than one professional group working under the PGD or one signatory on behalf of all professional groups)</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4">
              <w:r w:rsidRPr="00F6120B" w:rsidR="00D0044C">
                <w:rPr>
                  <w:rStyle w:val="Hyperlink"/>
                </w:rPr>
                <w:t>authorising body</w:t>
              </w:r>
              <w:r w:rsidRPr="00F6120B" w:rsidR="009E38CA">
                <w:rPr>
                  <w:rStyle w:val="Hyperlink"/>
                </w:rPr>
                <w:t xml:space="preserve"> as defined by NICE</w:t>
              </w:r>
            </w:hyperlink>
            <w:r w:rsidR="009E38CA">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t>Characteristics of staff</w:t>
      </w:r>
    </w:p>
    <w:p w:rsidR="00BB2C75" w:rsidP="00BB2C75" w:rsidRDefault="00BB2C75" w14:paraId="24B546B6" w14:textId="3CDEF124">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p w:rsidRPr="00A45375" w:rsidR="00A45375" w:rsidP="00A45375" w:rsidRDefault="00A45375" w14:paraId="2A4255A6" w14:textId="17CB797F">
      <w:pPr>
        <w:pStyle w:val="PGDNormal"/>
      </w:pPr>
      <w:r w:rsidRPr="00A45375">
        <w:t>In the context of the clinical scenario described in this PGD the individual being treated may not be able to make an informed choice nor consent to treatment. Therefore, the clinician should act in the best interests of the individual at all times and within their professional competency and code of conduct.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7952B6" w:rsidP="007952B6" w:rsidRDefault="007952B6" w14:paraId="353B372E" w14:textId="77777777">
            <w:pPr>
              <w:pStyle w:val="Tabletext"/>
              <w:spacing w:after="0"/>
            </w:pPr>
            <w:r>
              <w:t xml:space="preserve">Professional registration with HCPC as a paramedic. </w:t>
            </w:r>
          </w:p>
          <w:p w:rsidR="007952B6" w:rsidP="007952B6" w:rsidRDefault="007952B6" w14:paraId="3BC0A76B" w14:textId="77777777">
            <w:pPr>
              <w:pStyle w:val="Tabletext"/>
              <w:spacing w:after="0"/>
            </w:pPr>
            <w:r>
              <w:t>Professional registration with NMC as a nurse.</w:t>
            </w:r>
          </w:p>
          <w:p w:rsidRPr="00DF77C7" w:rsidR="00B81529" w:rsidP="007952B6" w:rsidRDefault="007952B6" w14:paraId="111D2851" w14:textId="68E38730">
            <w:pPr>
              <w:pStyle w:val="Tabletext"/>
              <w:rPr>
                <w:lang w:val="en-GB"/>
              </w:rPr>
            </w:pPr>
            <w:r>
              <w:t>Current contract of employment within an NHS Trust/ organisation or NHS commissioned service as a paramedic or nurse.</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7952B6" w:rsidRDefault="007952B6" w14:paraId="4B43E5B0" w14:textId="24105103">
            <w:pPr>
              <w:pStyle w:val="Tabletext"/>
              <w:rPr>
                <w:lang w:val="en-GB"/>
              </w:rPr>
            </w:pPr>
            <w:r w:rsidRPr="00C64AD7">
              <w:t>The registered healthcare professional authorised to operate under this PGD must have undertaken organisation approved training and successfully completed the competencies to undertake clinical assessment of patients leading to diagnosis of the conditions listed. They must be competent to recognise and manage unintended but expected side effects such as anaphylaxis.</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30C7E4AB" w14:textId="2910BBA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rsidR="00A45375" w:rsidP="00A45375" w:rsidRDefault="00C373F2" w14:paraId="0D35FE26" w14:textId="77777777">
            <w:pPr>
              <w:pStyle w:val="Tabletext"/>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r w:rsidR="00A45375">
              <w:t xml:space="preserve">and to complete the </w:t>
            </w:r>
            <w:hyperlink w:history="1" r:id="rId16">
              <w:proofErr w:type="spellStart"/>
              <w:r w:rsidRPr="00C64AD7" w:rsidR="00A45375">
                <w:rPr>
                  <w:rStyle w:val="Hyperlink"/>
                </w:rPr>
                <w:t>eLfH</w:t>
              </w:r>
              <w:proofErr w:type="spellEnd"/>
              <w:r w:rsidRPr="00C64AD7" w:rsidR="00A45375">
                <w:rPr>
                  <w:rStyle w:val="Hyperlink"/>
                </w:rPr>
                <w:t xml:space="preserve"> PGD </w:t>
              </w:r>
              <w:proofErr w:type="spellStart"/>
              <w:r w:rsidRPr="00C64AD7" w:rsidR="00A45375">
                <w:rPr>
                  <w:rStyle w:val="Hyperlink"/>
                </w:rPr>
                <w:t>elearning</w:t>
              </w:r>
              <w:proofErr w:type="spellEnd"/>
              <w:r w:rsidRPr="00C64AD7" w:rsidR="00A45375">
                <w:rPr>
                  <w:rStyle w:val="Hyperlink"/>
                </w:rPr>
                <w:t xml:space="preserve"> programme</w:t>
              </w:r>
            </w:hyperlink>
            <w:r w:rsidR="00A45375">
              <w:t xml:space="preserve"> </w:t>
            </w:r>
          </w:p>
          <w:p w:rsidRPr="00F6120B" w:rsidR="00B81529" w:rsidP="008762B8" w:rsidRDefault="00B81529" w14:paraId="0D564727" w14:textId="6B63A4E9">
            <w:pPr>
              <w:pStyle w:val="Tabletext"/>
              <w:rPr>
                <w:rStyle w:val="Hyperlink"/>
              </w:rPr>
            </w:pPr>
          </w:p>
          <w:p w:rsidRPr="00DF77C7" w:rsidR="00B81529" w:rsidP="008762B8" w:rsidRDefault="00B154E7" w14:paraId="41F46029" w14:textId="525E20BF">
            <w:pPr>
              <w:pStyle w:val="Tabletext"/>
              <w:rPr>
                <w:lang w:val="en-GB"/>
              </w:rPr>
            </w:pPr>
            <w:r w:rsidRPr="00AC0BE9">
              <w:rPr>
                <w:lang w:val="en-GB"/>
              </w:rPr>
              <w:t>[</w:t>
            </w:r>
            <w:r w:rsidR="003E69CD">
              <w:rPr>
                <w:highlight w:val="cyan"/>
                <w:lang w:val="en-GB"/>
              </w:rPr>
              <w:t xml:space="preserve">Organisational </w:t>
            </w:r>
            <w:r w:rsidRPr="00DF77C7" w:rsidR="00B81529">
              <w:rPr>
                <w:highlight w:val="cyan"/>
                <w:lang w:val="en-GB"/>
              </w:rPr>
              <w:t>PGD</w:t>
            </w:r>
            <w:r w:rsidR="003E69CD">
              <w:rPr>
                <w:highlight w:val="cyan"/>
                <w:lang w:val="en-GB"/>
              </w:rPr>
              <w:t xml:space="preserve"> and/</w:t>
            </w:r>
            <w:r w:rsidRPr="00DF77C7" w:rsidR="00B81529">
              <w:rPr>
                <w:highlight w:val="cyan"/>
                <w:lang w:val="en-GB"/>
              </w:rPr>
              <w:t xml:space="preserve"> or medication training required by </w:t>
            </w:r>
            <w:r w:rsidR="003E69CD">
              <w:rPr>
                <w:highlight w:val="cyan"/>
                <w:lang w:val="en-GB"/>
              </w:rPr>
              <w:t>employing Trust/</w:t>
            </w:r>
            <w:r w:rsidRPr="00DF77C7" w:rsidR="00B81529">
              <w:rPr>
                <w:highlight w:val="cyan"/>
                <w:lang w:val="en-GB"/>
              </w:rPr>
              <w:t>organisation</w:t>
            </w:r>
            <w:r>
              <w:rPr>
                <w:lang w:val="en-GB"/>
              </w:rPr>
              <w:t>]</w:t>
            </w:r>
            <w:r w:rsidRPr="00DF77C7" w:rsidR="00B81529">
              <w:rPr>
                <w:lang w:val="en-GB"/>
              </w:rPr>
              <w:t xml:space="preserve"> </w:t>
            </w:r>
          </w:p>
          <w:p w:rsidRPr="00DF77C7" w:rsidR="00B81529" w:rsidP="008762B8" w:rsidRDefault="00B81529" w14:paraId="5719D930" w14:textId="6B769D7D">
            <w:pPr>
              <w:pStyle w:val="Tabletext"/>
              <w:rPr>
                <w:lang w:val="en-GB"/>
              </w:rPr>
            </w:pP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5599DF98" w14:textId="2757D0F4">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8762B8" w:rsidRDefault="00B154E7" w14:paraId="30964645" w14:textId="08A82BFE">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8B2A57">
              <w:rPr>
                <w:highlight w:val="cyan"/>
                <w:lang w:val="en-GB"/>
              </w:rPr>
              <w:t xml:space="preserve">PGD </w:t>
            </w:r>
            <w:r w:rsidR="00A61B14">
              <w:rPr>
                <w:highlight w:val="cyan"/>
                <w:lang w:val="en-GB"/>
              </w:rPr>
              <w:t xml:space="preserve">intravenous administration </w:t>
            </w:r>
            <w:r w:rsidR="008B2A57">
              <w:rPr>
                <w:highlight w:val="cyan"/>
                <w:lang w:val="en-GB"/>
              </w:rPr>
              <w:t>and/or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p>
          <w:p w:rsidRPr="00DF77C7" w:rsidR="00B81529" w:rsidP="008762B8" w:rsidRDefault="00B81529" w14:paraId="101288E1" w14:textId="2DA5E1A6">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rsidRPr="00DF77C7" w:rsidR="00B81529" w:rsidP="008762B8" w:rsidRDefault="00B81529" w14:paraId="3219E1FA" w14:textId="77777777">
            <w:pPr>
              <w:pStyle w:val="Tabletext"/>
              <w:rPr>
                <w:lang w:val="en-GB"/>
              </w:rPr>
            </w:pPr>
            <w:r w:rsidRPr="00DF77C7">
              <w:rPr>
                <w:lang w:val="en-GB"/>
              </w:rPr>
              <w:t>Completion and submission of Continuous Professional Development (CPD) as required by HCPC.</w:t>
            </w:r>
          </w:p>
        </w:tc>
      </w:tr>
    </w:tbl>
    <w:p w:rsidR="007A1448" w:rsidP="00BB2C75" w:rsidRDefault="007A1448" w14:paraId="2F8A9B4B" w14:textId="72BCB8C7">
      <w:pPr>
        <w:pStyle w:val="Heading1"/>
      </w:pPr>
      <w:r w:rsidRPr="00DF77C7">
        <w:br w:type="page"/>
      </w:r>
      <w:r w:rsidRPr="00DF77C7">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00D36D23" w14:paraId="06FC28D1" w14:textId="77777777">
        <w:tc>
          <w:tcPr>
            <w:tcW w:w="2689" w:type="dxa"/>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806" w:type="dxa"/>
          </w:tcPr>
          <w:p w:rsidR="00D36D23" w:rsidP="0032348B" w:rsidRDefault="00A45375" w14:paraId="622A2C8E" w14:textId="3BE49736">
            <w:pPr>
              <w:pStyle w:val="Tabletext"/>
            </w:pPr>
            <w:r w:rsidRPr="00CE7DCC">
              <w:rPr>
                <w:szCs w:val="22"/>
              </w:rPr>
              <w:t xml:space="preserve">For the complete or partial reversal of the central sedative effects of midazolam </w:t>
            </w:r>
            <w:proofErr w:type="gramStart"/>
            <w:r w:rsidRPr="00CE7DCC">
              <w:rPr>
                <w:szCs w:val="22"/>
              </w:rPr>
              <w:t>in order to</w:t>
            </w:r>
            <w:proofErr w:type="gramEnd"/>
            <w:r w:rsidRPr="00CE7DCC">
              <w:rPr>
                <w:szCs w:val="22"/>
              </w:rPr>
              <w:t xml:space="preserve"> restore adequate spontaneous respiration where the paramedic or nurse has also administered the midazolam under the appropriate PGD.</w:t>
            </w:r>
          </w:p>
        </w:tc>
      </w:tr>
      <w:tr w:rsidR="00AE4F4B" w:rsidTr="00D36D23" w14:paraId="423D958D" w14:textId="77777777">
        <w:tc>
          <w:tcPr>
            <w:tcW w:w="2689" w:type="dxa"/>
          </w:tcPr>
          <w:p w:rsidRPr="005A6168" w:rsidR="00AE4F4B" w:rsidP="00A45375" w:rsidRDefault="003E69CD" w14:paraId="12B69C9D" w14:textId="0A77D3DB">
            <w:pPr>
              <w:rPr>
                <w:rStyle w:val="TableHeaderColumn"/>
              </w:rPr>
            </w:pPr>
            <w:r>
              <w:rPr>
                <w:rStyle w:val="TableHeaderColumn"/>
              </w:rPr>
              <w:t>Criteria for i</w:t>
            </w:r>
            <w:r w:rsidRPr="005A6168" w:rsidR="00CA3998">
              <w:rPr>
                <w:rStyle w:val="TableHeaderColumn"/>
              </w:rPr>
              <w:t xml:space="preserve">nclusion </w:t>
            </w:r>
          </w:p>
        </w:tc>
        <w:tc>
          <w:tcPr>
            <w:tcW w:w="5806" w:type="dxa"/>
          </w:tcPr>
          <w:p w:rsidR="00A45375" w:rsidP="00A45375" w:rsidRDefault="00A45375" w14:paraId="5A2F4B65" w14:textId="77777777">
            <w:pPr>
              <w:pStyle w:val="Bulletindent1"/>
            </w:pPr>
            <w:r>
              <w:t xml:space="preserve">Individual </w:t>
            </w:r>
            <w:r w:rsidRPr="00236B1D">
              <w:t>over 12 months of age.</w:t>
            </w:r>
          </w:p>
          <w:p w:rsidR="00AE4F4B" w:rsidP="00A45375" w:rsidRDefault="00A45375" w14:paraId="02A2FFD7" w14:textId="14C25466">
            <w:pPr>
              <w:pStyle w:val="Bulletindent1"/>
            </w:pPr>
            <w:r w:rsidRPr="00236B1D">
              <w:t>Respiratory arrest or inadequate ventilatory effort following administration of midazolam for conscious sedation (including any situation where midazolam is co-administered with ketamine) by a paramedic or nurse working under the appropriate PGD</w:t>
            </w:r>
            <w:r>
              <w:t xml:space="preserve"> or prescription/Patient Specific Direction</w:t>
            </w:r>
            <w:r w:rsidRPr="00236B1D">
              <w:t>.</w:t>
            </w:r>
            <w:r w:rsidRPr="00D843E4" w:rsidR="00AE4F4B">
              <w:t xml:space="preserve"> </w:t>
            </w:r>
          </w:p>
        </w:tc>
      </w:tr>
      <w:tr w:rsidR="00AE4F4B" w:rsidTr="00D36D23" w14:paraId="6FC007A9" w14:textId="77777777">
        <w:tc>
          <w:tcPr>
            <w:tcW w:w="2689" w:type="dxa"/>
          </w:tcPr>
          <w:p w:rsidRPr="005A6168" w:rsidR="00AE4F4B" w:rsidP="005A6168" w:rsidRDefault="003E69CD" w14:paraId="4F9F0FC6" w14:textId="72CE5320">
            <w:pPr>
              <w:rPr>
                <w:rStyle w:val="TableHeaderColumn"/>
              </w:rPr>
            </w:pPr>
            <w:r>
              <w:rPr>
                <w:rStyle w:val="TableHeaderColumn"/>
              </w:rPr>
              <w:t>Criteria for exclusion</w:t>
            </w:r>
          </w:p>
        </w:tc>
        <w:tc>
          <w:tcPr>
            <w:tcW w:w="5806" w:type="dxa"/>
          </w:tcPr>
          <w:p w:rsidRPr="00236B1D" w:rsidR="00A45375" w:rsidP="00A45375" w:rsidRDefault="00A45375" w14:paraId="502A438E" w14:textId="77777777">
            <w:pPr>
              <w:pStyle w:val="Bulletindent1"/>
            </w:pPr>
            <w:r w:rsidRPr="00236B1D">
              <w:t>Under 12 months of age.</w:t>
            </w:r>
          </w:p>
          <w:p w:rsidRPr="00236B1D" w:rsidR="00A45375" w:rsidP="00A45375" w:rsidRDefault="00A45375" w14:paraId="006E773B" w14:textId="6F7EE430">
            <w:pPr>
              <w:pStyle w:val="Bulletindent1"/>
              <w:rPr>
                <w:rFonts w:eastAsia="Arial"/>
              </w:rPr>
            </w:pPr>
            <w:r w:rsidRPr="00236B1D">
              <w:rPr>
                <w:rFonts w:eastAsia="Arial"/>
              </w:rPr>
              <w:t xml:space="preserve">Known hypersensitivity to the active ingredient or to any component of the product </w:t>
            </w:r>
            <w:r>
              <w:rPr>
                <w:rFonts w:eastAsia="Arial"/>
              </w:rPr>
              <w:t xml:space="preserve">as detailed in the </w:t>
            </w:r>
            <w:hyperlink w:history="1" r:id="rId17">
              <w:r w:rsidRPr="00A45375">
                <w:rPr>
                  <w:rStyle w:val="Hyperlink"/>
                  <w:rFonts w:eastAsia="Arial"/>
                </w:rPr>
                <w:t xml:space="preserve">flumazenil </w:t>
              </w:r>
              <w:r w:rsidRPr="00A45375">
                <w:rPr>
                  <w:rStyle w:val="Hyperlink"/>
                  <w:rFonts w:cs="Arial"/>
                  <w:szCs w:val="22"/>
                </w:rPr>
                <w:t>Summary of Product Characteristics (SmPC) on the EMC website</w:t>
              </w:r>
            </w:hyperlink>
          </w:p>
          <w:p w:rsidRPr="00236B1D" w:rsidR="00A45375" w:rsidP="00A45375" w:rsidRDefault="00A45375" w14:paraId="28E0C157" w14:textId="77777777">
            <w:pPr>
              <w:pStyle w:val="Bulletindent1"/>
            </w:pPr>
            <w:r w:rsidRPr="00236B1D">
              <w:t>Reversal of effects of midazolam administered by any other person.</w:t>
            </w:r>
          </w:p>
          <w:p w:rsidRPr="00236B1D" w:rsidR="00A45375" w:rsidP="00A45375" w:rsidRDefault="00A45375" w14:paraId="5165F535" w14:textId="77777777">
            <w:pPr>
              <w:pStyle w:val="Bulletindent1"/>
            </w:pPr>
            <w:r w:rsidRPr="00236B1D">
              <w:t xml:space="preserve">Reversal of any other benzodiazepine overdoses including in combination.  </w:t>
            </w:r>
          </w:p>
          <w:p w:rsidR="00CB4A2B" w:rsidP="00A45375" w:rsidRDefault="00A45375" w14:paraId="242D0FB3" w14:textId="37C09CE5">
            <w:pPr>
              <w:pStyle w:val="Bulletindent1"/>
            </w:pPr>
            <w:r w:rsidRPr="00236B1D">
              <w:t xml:space="preserve">Status epilepticus </w:t>
            </w:r>
            <w:r w:rsidRPr="00236B1D">
              <w:rPr>
                <w:b/>
              </w:rPr>
              <w:t>or</w:t>
            </w:r>
            <w:r w:rsidRPr="00236B1D">
              <w:t xml:space="preserve"> patients with known epilepsy who have been treated with benzodiazepines for a prolonged </w:t>
            </w:r>
            <w:proofErr w:type="gramStart"/>
            <w:r w:rsidRPr="00236B1D">
              <w:t>period of time</w:t>
            </w:r>
            <w:proofErr w:type="gramEnd"/>
            <w:r w:rsidRPr="00236B1D">
              <w:t xml:space="preserve"> </w:t>
            </w:r>
            <w:r w:rsidRPr="00236B1D">
              <w:rPr>
                <w:b/>
              </w:rPr>
              <w:t xml:space="preserve">or </w:t>
            </w:r>
            <w:r w:rsidRPr="00236B1D">
              <w:t>where a benzodiazepine has been recently used to terminate seizure activity</w:t>
            </w:r>
            <w:r>
              <w:t>.</w:t>
            </w:r>
          </w:p>
        </w:tc>
      </w:tr>
      <w:tr w:rsidR="00AE4F4B" w:rsidTr="00D36D23" w14:paraId="2086F951" w14:textId="77777777">
        <w:tc>
          <w:tcPr>
            <w:tcW w:w="2689" w:type="dxa"/>
          </w:tcPr>
          <w:p w:rsidRPr="005A6168" w:rsidR="00AE4F4B" w:rsidP="005A6168" w:rsidRDefault="00AA150C" w14:paraId="34F2E318" w14:textId="7E1AEDD6">
            <w:pPr>
              <w:rPr>
                <w:rStyle w:val="TableHeaderColumn"/>
              </w:rPr>
            </w:pPr>
            <w:r w:rsidRPr="005A6168">
              <w:rPr>
                <w:rStyle w:val="TableHeaderColumn"/>
              </w:rPr>
              <w:t xml:space="preserve">Cautions </w:t>
            </w:r>
            <w:r w:rsidR="003E69CD">
              <w:rPr>
                <w:rStyle w:val="TableHeaderColumn"/>
              </w:rPr>
              <w:t>including any relevant action to be taken</w:t>
            </w:r>
          </w:p>
        </w:tc>
        <w:tc>
          <w:tcPr>
            <w:tcW w:w="5806" w:type="dxa"/>
          </w:tcPr>
          <w:p w:rsidR="00CB4A2B" w:rsidP="00910C9F" w:rsidRDefault="00910C9F" w14:paraId="64FEDD91" w14:textId="6B2E2B2A">
            <w:pPr>
              <w:pStyle w:val="Tabletext"/>
            </w:pPr>
            <w:r>
              <w:t>None</w:t>
            </w:r>
          </w:p>
        </w:tc>
      </w:tr>
      <w:tr w:rsidR="00AE4F4B" w:rsidTr="00D36D23" w14:paraId="6142EA67" w14:textId="77777777">
        <w:tc>
          <w:tcPr>
            <w:tcW w:w="2689" w:type="dxa"/>
          </w:tcPr>
          <w:p w:rsidRPr="005A6168" w:rsidR="00AE4F4B" w:rsidP="005A6168" w:rsidRDefault="003E69CD" w14:paraId="751752A4" w14:textId="3BF2F402">
            <w:pPr>
              <w:rPr>
                <w:rStyle w:val="TableHeaderColumn"/>
              </w:rPr>
            </w:pPr>
            <w:r>
              <w:rPr>
                <w:rStyle w:val="TableHeaderColumn"/>
              </w:rPr>
              <w:t>Actions to be taken if the individual is excluded or declines treatment</w:t>
            </w:r>
          </w:p>
        </w:tc>
        <w:tc>
          <w:tcPr>
            <w:tcW w:w="5806" w:type="dxa"/>
          </w:tcPr>
          <w:p w:rsidRPr="00B93051" w:rsidR="00B93051" w:rsidP="00B93051" w:rsidRDefault="00B93051" w14:paraId="5EA62400" w14:textId="30CC907B">
            <w:pPr>
              <w:pStyle w:val="Bulletindent1"/>
            </w:pPr>
            <w:r>
              <w:t xml:space="preserve">[ </w:t>
            </w:r>
            <w:r w:rsidRPr="00B93051">
              <w:rPr>
                <w:highlight w:val="cyan"/>
              </w:rPr>
              <w:t>Follow locally agreed pathway.]</w:t>
            </w:r>
          </w:p>
          <w:p w:rsidRPr="00B93051" w:rsidR="00B93051" w:rsidP="00B93051" w:rsidRDefault="00B93051" w14:paraId="26BFFF60" w14:textId="77777777">
            <w:pPr>
              <w:pStyle w:val="Bulletindent1"/>
            </w:pPr>
            <w:r w:rsidRPr="00B93051">
              <w:t xml:space="preserve">Record reasons for exclusion in clinical notes and ensure in handover to receiving hospital. </w:t>
            </w:r>
          </w:p>
          <w:p w:rsidR="00AE4F4B" w:rsidP="00B93051" w:rsidRDefault="00B93051" w14:paraId="1ACA62F4" w14:textId="4740B544">
            <w:pPr>
              <w:pStyle w:val="Bulletindent1"/>
            </w:pPr>
            <w:r w:rsidRPr="00B93051">
              <w:t>Follow locally agreed pathway for transfer to hospital.  If individual regains consciousness and has capacity to consent and refuses hospital transfer then</w:t>
            </w:r>
            <w:r>
              <w:t xml:space="preserve"> [</w:t>
            </w:r>
            <w:r w:rsidRPr="00B93051">
              <w:t xml:space="preserve"> </w:t>
            </w:r>
            <w:r w:rsidRPr="00B93051">
              <w:rPr>
                <w:highlight w:val="cyan"/>
              </w:rPr>
              <w:t>follow locally agreed pathway</w:t>
            </w:r>
            <w:proofErr w:type="gramStart"/>
            <w:r w:rsidRPr="00B93051">
              <w:rPr>
                <w:highlight w:val="cyan"/>
              </w:rPr>
              <w:t>.</w:t>
            </w:r>
            <w:r w:rsidRPr="00B93051">
              <w:t xml:space="preserve"> </w:t>
            </w:r>
            <w:r>
              <w:t>]</w:t>
            </w:r>
            <w:proofErr w:type="gramEnd"/>
            <w:r w:rsidRPr="00B93051">
              <w:t xml:space="preserve"> </w:t>
            </w:r>
          </w:p>
        </w:tc>
      </w:tr>
    </w:tbl>
    <w:p w:rsidR="00BB2599" w:rsidP="005A6168" w:rsidRDefault="00BB2599" w14:paraId="33A25EBD" w14:textId="75A4AEE9">
      <w:pPr>
        <w:pStyle w:val="PGDNormal"/>
      </w:pPr>
    </w:p>
    <w:p w:rsidR="00BB2599" w:rsidP="00F57606" w:rsidRDefault="00BB2599" w14:paraId="49D72199" w14:textId="77777777">
      <w:pPr>
        <w:pStyle w:val="Tabletext"/>
      </w:pPr>
      <w:r>
        <w:br w:type="page"/>
      </w:r>
    </w:p>
    <w:p w:rsidR="007A1448" w:rsidP="00BB2C75" w:rsidRDefault="00C25DE0" w14:paraId="035E86F2" w14:textId="4D5F1530">
      <w:pPr>
        <w:pStyle w:val="Heading1"/>
      </w:pPr>
      <w:r w:rsidRPr="00DF77C7">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medicine included in the PGD"/>
        <w:tblDescription w:val="This table provides details of the treatment included in the PGD template.  It consists of seventeen rows which include the name form and strength of the medicine, legal category, route or method of administration, off-label use, dose and frequency of administration for over 5 years and under 5 years, quantity to be administered, duration of treatment, storage, drug interactions, identification and management of adverse effects, management and reporting of  adverse reactions, required organisational incident reporting, special considerations, written information for the individual or carer, follow-up treatment and records to be kept."/>
      </w:tblPr>
      <w:tblGrid>
        <w:gridCol w:w="3397"/>
        <w:gridCol w:w="5529"/>
      </w:tblGrid>
      <w:tr w:rsidR="00165DD9" w:rsidTr="006A7AF1" w14:paraId="2B351AEC" w14:textId="77777777">
        <w:tc>
          <w:tcPr>
            <w:tcW w:w="3397" w:type="dxa"/>
          </w:tcPr>
          <w:p w:rsidRPr="005A6168" w:rsidR="00165DD9" w:rsidP="005A6168" w:rsidRDefault="00165DD9" w14:paraId="6EB1838B" w14:textId="461B0EDD">
            <w:pPr>
              <w:rPr>
                <w:rStyle w:val="TableHeaderColumn"/>
              </w:rPr>
            </w:pPr>
            <w:r w:rsidRPr="005A6168">
              <w:rPr>
                <w:rStyle w:val="TableHeaderColumn"/>
              </w:rPr>
              <w:t xml:space="preserve">Name, form and strength of </w:t>
            </w:r>
            <w:r w:rsidR="004A295D">
              <w:rPr>
                <w:rStyle w:val="TableHeaderColumn"/>
              </w:rPr>
              <w:t>medicine</w:t>
            </w:r>
          </w:p>
        </w:tc>
        <w:tc>
          <w:tcPr>
            <w:tcW w:w="5529" w:type="dxa"/>
          </w:tcPr>
          <w:p w:rsidR="00910C9F" w:rsidP="00910C9F" w:rsidRDefault="00910C9F" w14:paraId="340B3358" w14:textId="77777777">
            <w:pPr>
              <w:pStyle w:val="Tabletext"/>
            </w:pPr>
            <w:r w:rsidRPr="00140188">
              <w:t xml:space="preserve">Flumazenil injection </w:t>
            </w:r>
            <w:r>
              <w:t>1</w:t>
            </w:r>
            <w:r w:rsidRPr="00140188">
              <w:t xml:space="preserve">00 micrograms in </w:t>
            </w:r>
            <w:r>
              <w:t>1</w:t>
            </w:r>
            <w:r w:rsidRPr="00140188">
              <w:t>ml</w:t>
            </w:r>
          </w:p>
          <w:p w:rsidR="00910C9F" w:rsidP="00910C9F" w:rsidRDefault="00910C9F" w14:paraId="2CBD7383" w14:textId="77777777">
            <w:pPr>
              <w:pStyle w:val="Tabletext"/>
            </w:pPr>
          </w:p>
          <w:p w:rsidRPr="004A295D" w:rsidR="00165DD9" w:rsidP="00910C9F" w:rsidRDefault="00910C9F" w14:paraId="2B104BB5" w14:textId="786592CB">
            <w:pPr>
              <w:pStyle w:val="Tabletext"/>
            </w:pPr>
            <w:r>
              <w:t xml:space="preserve">Supplied as 5ml (500 microgram) </w:t>
            </w:r>
            <w:r>
              <w:br/>
            </w:r>
            <w:r>
              <w:t xml:space="preserve">and 10ml (1000 microgram) ampoules </w:t>
            </w:r>
          </w:p>
        </w:tc>
      </w:tr>
      <w:tr w:rsidR="00165DD9" w:rsidTr="006A7AF1" w14:paraId="6DAA0645" w14:textId="77777777">
        <w:tc>
          <w:tcPr>
            <w:tcW w:w="3397" w:type="dxa"/>
          </w:tcPr>
          <w:p w:rsidRPr="005A6168" w:rsidR="00165DD9" w:rsidP="005A6168" w:rsidRDefault="00165DD9" w14:paraId="2F56A41B" w14:textId="05091A78">
            <w:pPr>
              <w:rPr>
                <w:rStyle w:val="TableHeaderColumn"/>
              </w:rPr>
            </w:pPr>
            <w:r w:rsidRPr="005A6168">
              <w:rPr>
                <w:rStyle w:val="TableHeaderColumn"/>
              </w:rPr>
              <w:t>Legal category</w:t>
            </w:r>
          </w:p>
        </w:tc>
        <w:tc>
          <w:tcPr>
            <w:tcW w:w="5529" w:type="dxa"/>
          </w:tcPr>
          <w:p w:rsidR="00165DD9" w:rsidP="009B62D2" w:rsidRDefault="00165DD9" w14:paraId="29E26784" w14:textId="49492B56">
            <w:pPr>
              <w:pStyle w:val="Tabletext"/>
            </w:pPr>
            <w:r w:rsidRPr="008676A6">
              <w:t>POM</w:t>
            </w:r>
          </w:p>
        </w:tc>
      </w:tr>
      <w:tr w:rsidR="00165DD9" w:rsidTr="006A7AF1" w14:paraId="44E2B1CC" w14:textId="77777777">
        <w:tc>
          <w:tcPr>
            <w:tcW w:w="3397" w:type="dxa"/>
          </w:tcPr>
          <w:p w:rsidR="00165DD9" w:rsidP="005A6168" w:rsidRDefault="00165DD9" w14:paraId="3AD19FA9" w14:textId="77777777">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p w:rsidRPr="004A295D" w:rsidR="004A295D" w:rsidP="005A6168" w:rsidRDefault="004A295D" w14:paraId="2EBF84AC" w14:textId="3E18EEA4">
            <w:pPr>
              <w:rPr>
                <w:rStyle w:val="TableHeaderColumn"/>
              </w:rPr>
            </w:pPr>
          </w:p>
        </w:tc>
        <w:tc>
          <w:tcPr>
            <w:tcW w:w="5529" w:type="dxa"/>
          </w:tcPr>
          <w:p w:rsidR="004A295D" w:rsidP="009B62D2" w:rsidRDefault="00910C9F" w14:paraId="36925E46" w14:textId="228DD569">
            <w:pPr>
              <w:pStyle w:val="Tabletext"/>
            </w:pPr>
            <w:r w:rsidRPr="00C3573D">
              <w:t>Intravenous (IV) or intraosseous (IO)</w:t>
            </w:r>
          </w:p>
          <w:p w:rsidR="004A295D" w:rsidP="004A295D" w:rsidRDefault="004A295D" w14:paraId="04517ADA" w14:textId="56560C0B">
            <w:pPr>
              <w:pStyle w:val="Tabletext"/>
            </w:pPr>
          </w:p>
        </w:tc>
      </w:tr>
      <w:tr w:rsidR="003E69CD" w:rsidTr="006A7AF1" w14:paraId="264CA183" w14:textId="77777777">
        <w:tc>
          <w:tcPr>
            <w:tcW w:w="3397" w:type="dxa"/>
          </w:tcPr>
          <w:p w:rsidRPr="005A6168" w:rsidR="003E69CD" w:rsidP="005A6168" w:rsidRDefault="003E69CD" w14:paraId="011DED45" w14:textId="0D334062">
            <w:pPr>
              <w:rPr>
                <w:rStyle w:val="TableHeaderColumn"/>
              </w:rPr>
            </w:pPr>
            <w:r>
              <w:rPr>
                <w:rStyle w:val="TableHeaderColumn"/>
              </w:rPr>
              <w:t>Off label use</w:t>
            </w:r>
          </w:p>
        </w:tc>
        <w:tc>
          <w:tcPr>
            <w:tcW w:w="5529" w:type="dxa"/>
          </w:tcPr>
          <w:p w:rsidRPr="005A6885" w:rsidR="005F17C5" w:rsidP="005A6885" w:rsidRDefault="005F17C5" w14:paraId="2B5A6675" w14:textId="77777777">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003E69CD" w:rsidP="005F17C5" w:rsidRDefault="005F17C5" w14:paraId="248ABD6E" w14:textId="77777777">
            <w:pPr>
              <w:pStyle w:val="Tabletext"/>
            </w:pPr>
            <w:r w:rsidRPr="005A6885">
              <w:t>Where a medicine is recommended off-label consider, as part of the consent process, informing the individual/parent/carer that the drug is being offered in accordance with national guidance but that this is outside the product licence.</w:t>
            </w:r>
          </w:p>
          <w:p w:rsidR="00910C9F" w:rsidP="00910C9F" w:rsidRDefault="00910C9F" w14:paraId="4C280F34" w14:textId="4C2E8E9F">
            <w:pPr>
              <w:pStyle w:val="Tabletext"/>
            </w:pPr>
            <w:r w:rsidRPr="00C3573D">
              <w:rPr>
                <w:rFonts w:eastAsia="Calibri" w:cs="Arial"/>
                <w:szCs w:val="22"/>
              </w:rPr>
              <w:t xml:space="preserve">Best practice advice is given by JRCALC and is used for guidance in this PGD and this may vary from the </w:t>
            </w:r>
            <w:hyperlink w:history="1" r:id="rId18">
              <w:r w:rsidRPr="00910C9F">
                <w:rPr>
                  <w:rStyle w:val="Hyperlink"/>
                  <w:rFonts w:eastAsia="Arial"/>
                </w:rPr>
                <w:t xml:space="preserve">flumazenil </w:t>
              </w:r>
              <w:r w:rsidRPr="00910C9F">
                <w:rPr>
                  <w:rStyle w:val="Hyperlink"/>
                </w:rPr>
                <w:t>Summary of Product Characteristics (SmPC) on the EMC website</w:t>
              </w:r>
            </w:hyperlink>
          </w:p>
          <w:p w:rsidRPr="00C3573D" w:rsidR="00B93051" w:rsidP="00910C9F" w:rsidRDefault="00B93051" w14:paraId="7D842C85" w14:textId="77777777">
            <w:pPr>
              <w:pStyle w:val="Tabletext"/>
              <w:rPr>
                <w:rFonts w:eastAsia="Calibri" w:cs="Arial"/>
                <w:szCs w:val="22"/>
              </w:rPr>
            </w:pPr>
          </w:p>
          <w:p w:rsidRPr="00C3573D" w:rsidR="00910C9F" w:rsidP="00910C9F" w:rsidRDefault="00910C9F" w14:paraId="37DC2BF6" w14:textId="77777777">
            <w:pPr>
              <w:overflowPunct w:val="0"/>
              <w:autoSpaceDE w:val="0"/>
              <w:autoSpaceDN w:val="0"/>
              <w:adjustRightInd w:val="0"/>
              <w:textAlignment w:val="baseline"/>
              <w:rPr>
                <w:rFonts w:ascii="Arial" w:hAnsi="Arial" w:eastAsia="Calibri" w:cs="Arial"/>
                <w:sz w:val="22"/>
                <w:szCs w:val="22"/>
              </w:rPr>
            </w:pPr>
            <w:r w:rsidRPr="00C3573D">
              <w:rPr>
                <w:rFonts w:ascii="Arial" w:hAnsi="Arial" w:eastAsia="Calibri" w:cs="Arial"/>
                <w:sz w:val="22"/>
                <w:szCs w:val="22"/>
              </w:rPr>
              <w:t xml:space="preserve">The intraosseous route is </w:t>
            </w:r>
            <w:proofErr w:type="gramStart"/>
            <w:r w:rsidRPr="00C3573D">
              <w:rPr>
                <w:rFonts w:ascii="Arial" w:hAnsi="Arial" w:eastAsia="Calibri" w:cs="Arial"/>
                <w:sz w:val="22"/>
                <w:szCs w:val="22"/>
              </w:rPr>
              <w:t>off-label</w:t>
            </w:r>
            <w:proofErr w:type="gramEnd"/>
            <w:r w:rsidRPr="00C3573D">
              <w:rPr>
                <w:rFonts w:ascii="Arial" w:hAnsi="Arial" w:eastAsia="Calibri" w:cs="Arial"/>
                <w:sz w:val="22"/>
                <w:szCs w:val="22"/>
              </w:rPr>
              <w:t>.</w:t>
            </w:r>
          </w:p>
          <w:p w:rsidRPr="00C3573D" w:rsidR="00910C9F" w:rsidP="00910C9F" w:rsidRDefault="00910C9F" w14:paraId="148F4FB1" w14:textId="77777777">
            <w:pPr>
              <w:overflowPunct w:val="0"/>
              <w:autoSpaceDE w:val="0"/>
              <w:autoSpaceDN w:val="0"/>
              <w:adjustRightInd w:val="0"/>
              <w:textAlignment w:val="baseline"/>
              <w:rPr>
                <w:rFonts w:ascii="Arial" w:hAnsi="Arial" w:eastAsia="Calibri" w:cs="Arial"/>
                <w:sz w:val="22"/>
                <w:szCs w:val="22"/>
              </w:rPr>
            </w:pPr>
          </w:p>
          <w:p w:rsidR="00910C9F" w:rsidP="00910C9F" w:rsidRDefault="00910C9F" w14:paraId="75C61BDE" w14:textId="58F0EC2D">
            <w:pPr>
              <w:pStyle w:val="Tabletext"/>
              <w:rPr>
                <w:szCs w:val="22"/>
              </w:rPr>
            </w:pPr>
            <w:r w:rsidRPr="00C3573D">
              <w:rPr>
                <w:szCs w:val="22"/>
              </w:rPr>
              <w:t>Administration by a nurse or paramedic may be outside the product licence.</w:t>
            </w:r>
          </w:p>
          <w:p w:rsidRPr="003B61FD" w:rsidR="00910C9F" w:rsidP="005F17C5" w:rsidRDefault="00910C9F" w14:paraId="74240E7C" w14:textId="587EF712">
            <w:pPr>
              <w:pStyle w:val="Tabletext"/>
              <w:rPr>
                <w:szCs w:val="22"/>
              </w:rPr>
            </w:pPr>
          </w:p>
        </w:tc>
      </w:tr>
      <w:tr w:rsidR="00165DD9" w:rsidTr="006A7AF1" w14:paraId="27DDC201" w14:textId="77777777">
        <w:tc>
          <w:tcPr>
            <w:tcW w:w="3397" w:type="dxa"/>
          </w:tcPr>
          <w:p w:rsidRPr="005A6168" w:rsidR="00165DD9" w:rsidP="005A6168" w:rsidRDefault="00165DD9" w14:paraId="47CBA637" w14:textId="4565E1A1">
            <w:pPr>
              <w:rPr>
                <w:rStyle w:val="TableHeaderColumn"/>
              </w:rPr>
            </w:pPr>
            <w:r w:rsidRPr="005A6168">
              <w:rPr>
                <w:rStyle w:val="TableHeaderColumn"/>
              </w:rPr>
              <w:t>Dose and frequency</w:t>
            </w:r>
            <w:r w:rsidR="005F17C5">
              <w:rPr>
                <w:rStyle w:val="TableHeaderColumn"/>
              </w:rPr>
              <w:t xml:space="preserve"> of administration</w:t>
            </w:r>
            <w:r w:rsidR="00372EBC">
              <w:rPr>
                <w:rStyle w:val="TableHeaderColumn"/>
              </w:rPr>
              <w:t xml:space="preserve"> – over 5 years</w:t>
            </w:r>
          </w:p>
        </w:tc>
        <w:tc>
          <w:tcPr>
            <w:tcW w:w="5529" w:type="dxa"/>
          </w:tcPr>
          <w:p w:rsidRPr="00C3573D" w:rsidR="00910C9F" w:rsidP="00910C9F" w:rsidRDefault="00910C9F" w14:paraId="0B939352" w14:textId="77777777">
            <w:pPr>
              <w:pStyle w:val="Tabletext"/>
              <w:rPr>
                <w:szCs w:val="22"/>
              </w:rPr>
            </w:pPr>
            <w:r w:rsidRPr="004D0D2B">
              <w:rPr>
                <w:bCs/>
                <w:szCs w:val="22"/>
              </w:rPr>
              <w:t xml:space="preserve">Adults and children aged 5 years and over (or who weigh </w:t>
            </w:r>
            <w:r w:rsidRPr="004D0D2B">
              <w:rPr>
                <w:b/>
                <w:szCs w:val="22"/>
              </w:rPr>
              <w:t>19kg or over</w:t>
            </w:r>
            <w:r w:rsidRPr="004D0D2B">
              <w:rPr>
                <w:bCs/>
                <w:szCs w:val="22"/>
              </w:rPr>
              <w:t>):</w:t>
            </w:r>
            <w:r w:rsidRPr="00C3573D">
              <w:rPr>
                <w:szCs w:val="22"/>
              </w:rPr>
              <w:t xml:space="preserve">  200 micrograms in 2ml given over 15 seconds. </w:t>
            </w:r>
          </w:p>
          <w:p w:rsidRPr="00C3573D" w:rsidR="00910C9F" w:rsidP="00910C9F" w:rsidRDefault="00910C9F" w14:paraId="37876072" w14:textId="77777777">
            <w:pPr>
              <w:pStyle w:val="Tabletext"/>
              <w:rPr>
                <w:szCs w:val="22"/>
              </w:rPr>
            </w:pPr>
            <w:r w:rsidRPr="00C3573D">
              <w:rPr>
                <w:szCs w:val="22"/>
              </w:rPr>
              <w:t>Further doses may be administered – see duration of treatment for detail.</w:t>
            </w:r>
          </w:p>
          <w:p w:rsidR="00165DD9" w:rsidP="00910C9F" w:rsidRDefault="00165DD9" w14:paraId="6AB47447" w14:textId="7E44D1E4">
            <w:pPr>
              <w:pStyle w:val="Tabletext"/>
            </w:pPr>
          </w:p>
        </w:tc>
      </w:tr>
      <w:tr w:rsidR="00372EBC" w:rsidTr="006A7AF1" w14:paraId="61740698" w14:textId="77777777">
        <w:tc>
          <w:tcPr>
            <w:tcW w:w="3397" w:type="dxa"/>
          </w:tcPr>
          <w:p w:rsidRPr="005A6168" w:rsidR="00372EBC" w:rsidP="005A6168" w:rsidRDefault="00372EBC" w14:paraId="1428E14B" w14:textId="62C764CA">
            <w:pPr>
              <w:rPr>
                <w:rStyle w:val="TableHeaderColumn"/>
              </w:rPr>
            </w:pPr>
            <w:r w:rsidRPr="005A6168">
              <w:rPr>
                <w:rStyle w:val="TableHeaderColumn"/>
              </w:rPr>
              <w:t>Dose and frequency</w:t>
            </w:r>
            <w:r>
              <w:rPr>
                <w:rStyle w:val="TableHeaderColumn"/>
              </w:rPr>
              <w:t xml:space="preserve"> of administration – </w:t>
            </w:r>
            <w:r>
              <w:rPr>
                <w:rStyle w:val="TableHeaderColumn"/>
              </w:rPr>
              <w:t>under</w:t>
            </w:r>
            <w:r>
              <w:rPr>
                <w:rStyle w:val="TableHeaderColumn"/>
              </w:rPr>
              <w:t xml:space="preserve"> 5 years</w:t>
            </w:r>
          </w:p>
        </w:tc>
        <w:tc>
          <w:tcPr>
            <w:tcW w:w="5529" w:type="dxa"/>
          </w:tcPr>
          <w:p w:rsidRPr="004D0D2B" w:rsidR="00372EBC" w:rsidP="00372EBC" w:rsidRDefault="00372EBC" w14:paraId="2719211B" w14:textId="77777777">
            <w:pPr>
              <w:pStyle w:val="Tabletext"/>
              <w:rPr>
                <w:bCs/>
                <w:szCs w:val="22"/>
              </w:rPr>
            </w:pPr>
            <w:r w:rsidRPr="004D0D2B">
              <w:rPr>
                <w:bCs/>
                <w:szCs w:val="22"/>
              </w:rPr>
              <w:t>Children aged from 12 months to 4 years or who weigh under 19kg (use JRCALC weight for age below if actual weight not known):</w:t>
            </w:r>
          </w:p>
          <w:p w:rsidRPr="004D0D2B" w:rsidR="00372EBC" w:rsidP="004D0D2B" w:rsidRDefault="004D0D2B" w14:paraId="529971D0" w14:textId="3E535C32">
            <w:pPr>
              <w:pStyle w:val="Tabletext"/>
              <w:rPr>
                <w:b/>
                <w:bCs/>
              </w:rPr>
            </w:pPr>
            <w:r w:rsidRPr="004D0D2B">
              <w:rPr>
                <w:b/>
                <w:bCs/>
              </w:rPr>
              <w:t xml:space="preserve">Age                 Weight      Dose     </w:t>
            </w:r>
            <w:r>
              <w:rPr>
                <w:b/>
                <w:bCs/>
              </w:rPr>
              <w:t xml:space="preserve">               </w:t>
            </w:r>
            <w:r w:rsidRPr="004D0D2B">
              <w:rPr>
                <w:b/>
                <w:bCs/>
              </w:rPr>
              <w:t>Volume</w:t>
            </w:r>
          </w:p>
          <w:p w:rsidR="004D0D2B" w:rsidP="00372EBC" w:rsidRDefault="004D0D2B" w14:paraId="59F02DEF" w14:textId="0BD4792C">
            <w:pPr>
              <w:pStyle w:val="Tabletext"/>
              <w:rPr>
                <w:bCs/>
                <w:szCs w:val="22"/>
              </w:rPr>
            </w:pPr>
            <w:r>
              <w:rPr>
                <w:bCs/>
                <w:szCs w:val="22"/>
              </w:rPr>
              <w:t>12 months        9-10kg       100micrograms     1ml</w:t>
            </w:r>
          </w:p>
          <w:p w:rsidR="004D0D2B" w:rsidP="00372EBC" w:rsidRDefault="004D0D2B" w14:paraId="139898B8" w14:textId="114CC385">
            <w:pPr>
              <w:pStyle w:val="Tabletext"/>
              <w:rPr>
                <w:bCs/>
                <w:szCs w:val="22"/>
              </w:rPr>
            </w:pPr>
            <w:r>
              <w:rPr>
                <w:bCs/>
                <w:szCs w:val="22"/>
              </w:rPr>
              <w:t>18 months        11kg          110micrograms     1.1ml</w:t>
            </w:r>
          </w:p>
          <w:p w:rsidR="004D0D2B" w:rsidP="00372EBC" w:rsidRDefault="004D0D2B" w14:paraId="4D9F6AFF" w14:textId="011966C4">
            <w:pPr>
              <w:pStyle w:val="Tabletext"/>
              <w:rPr>
                <w:bCs/>
                <w:szCs w:val="22"/>
              </w:rPr>
            </w:pPr>
            <w:r>
              <w:rPr>
                <w:bCs/>
                <w:szCs w:val="22"/>
              </w:rPr>
              <w:t>2 years             12kg          120micrograms     1.2ml</w:t>
            </w:r>
          </w:p>
          <w:p w:rsidR="004D0D2B" w:rsidP="00372EBC" w:rsidRDefault="004D0D2B" w14:paraId="3D0319AF" w14:textId="6F63247E">
            <w:pPr>
              <w:pStyle w:val="Tabletext"/>
              <w:rPr>
                <w:bCs/>
                <w:szCs w:val="22"/>
              </w:rPr>
            </w:pPr>
            <w:r>
              <w:rPr>
                <w:bCs/>
                <w:szCs w:val="22"/>
              </w:rPr>
              <w:t>3 years             14kg          140micrograms     1.4ml</w:t>
            </w:r>
          </w:p>
          <w:p w:rsidR="004D0D2B" w:rsidP="00372EBC" w:rsidRDefault="004D0D2B" w14:paraId="33648BE5" w14:textId="0698E67A">
            <w:pPr>
              <w:pStyle w:val="Tabletext"/>
              <w:rPr>
                <w:bCs/>
                <w:szCs w:val="22"/>
              </w:rPr>
            </w:pPr>
            <w:r>
              <w:rPr>
                <w:bCs/>
                <w:szCs w:val="22"/>
              </w:rPr>
              <w:t>4 years             16kg          160micrograms     1.6ml</w:t>
            </w:r>
          </w:p>
          <w:p w:rsidRPr="004D0D2B" w:rsidR="004D0D2B" w:rsidP="00372EBC" w:rsidRDefault="004D0D2B" w14:paraId="4E3D1795" w14:textId="78B18745">
            <w:pPr>
              <w:pStyle w:val="Tabletext"/>
              <w:rPr>
                <w:bCs/>
                <w:szCs w:val="22"/>
              </w:rPr>
            </w:pPr>
            <w:r>
              <w:rPr>
                <w:bCs/>
                <w:szCs w:val="22"/>
              </w:rPr>
              <w:t xml:space="preserve">  </w:t>
            </w:r>
          </w:p>
          <w:p w:rsidRPr="004D0D2B" w:rsidR="00372EBC" w:rsidP="00B93051" w:rsidRDefault="00372EBC" w14:paraId="7F57AC25" w14:textId="31352691">
            <w:pPr>
              <w:pStyle w:val="Tabletext"/>
            </w:pPr>
            <w:r w:rsidRPr="00B93051">
              <w:rPr>
                <w:b/>
                <w:bCs/>
              </w:rPr>
              <w:t>All</w:t>
            </w:r>
            <w:r w:rsidRPr="004D0D2B">
              <w:t xml:space="preserve"> </w:t>
            </w:r>
            <w:r w:rsidRPr="00B93051">
              <w:rPr>
                <w:b/>
                <w:bCs/>
              </w:rPr>
              <w:t>doses administered over 15 seconds.</w:t>
            </w:r>
          </w:p>
        </w:tc>
      </w:tr>
      <w:tr w:rsidR="00165DD9" w:rsidTr="006A7AF1" w14:paraId="25154B5D" w14:textId="77777777">
        <w:tc>
          <w:tcPr>
            <w:tcW w:w="3397" w:type="dxa"/>
          </w:tcPr>
          <w:p w:rsidRPr="005A6168" w:rsidR="00165DD9" w:rsidP="005A6168" w:rsidRDefault="00165DD9" w14:paraId="01685DA9" w14:textId="38F39E7A">
            <w:pPr>
              <w:rPr>
                <w:rStyle w:val="TableHeaderColumn"/>
              </w:rPr>
            </w:pPr>
            <w:r w:rsidRPr="005A6168">
              <w:rPr>
                <w:rStyle w:val="TableHeaderColumn"/>
              </w:rPr>
              <w:t xml:space="preserve">Quantity to be administered </w:t>
            </w:r>
          </w:p>
        </w:tc>
        <w:tc>
          <w:tcPr>
            <w:tcW w:w="5529" w:type="dxa"/>
          </w:tcPr>
          <w:p w:rsidR="00165DD9" w:rsidP="009B62D2" w:rsidRDefault="00C30646" w14:paraId="1BDDBFD7" w14:textId="76F0DEF1">
            <w:pPr>
              <w:pStyle w:val="Tabletext"/>
            </w:pPr>
            <w:r w:rsidRPr="00C3573D">
              <w:rPr>
                <w:szCs w:val="22"/>
              </w:rPr>
              <w:t>Further doses may be administered – see duration of treatment for detail</w:t>
            </w:r>
          </w:p>
        </w:tc>
      </w:tr>
      <w:tr w:rsidR="006A7AF1" w:rsidTr="006A7AF1" w14:paraId="073231F9" w14:textId="77777777">
        <w:tc>
          <w:tcPr>
            <w:tcW w:w="3397" w:type="dxa"/>
            <w:tcBorders>
              <w:top w:val="single" w:color="auto" w:sz="4" w:space="0"/>
              <w:left w:val="single" w:color="auto" w:sz="4" w:space="0"/>
              <w:bottom w:val="single" w:color="auto" w:sz="4" w:space="0"/>
              <w:right w:val="single" w:color="auto" w:sz="4" w:space="0"/>
            </w:tcBorders>
            <w:shd w:val="clear" w:color="auto" w:fill="auto"/>
          </w:tcPr>
          <w:p w:rsidRPr="005A6168" w:rsidR="006A7AF1" w:rsidP="005A6168" w:rsidRDefault="005F17C5" w14:paraId="3CF8ECDD" w14:textId="525F8E89">
            <w:pPr>
              <w:rPr>
                <w:rStyle w:val="TableHeaderColumn"/>
              </w:rPr>
            </w:pPr>
            <w:r>
              <w:rPr>
                <w:rStyle w:val="TableHeaderColumn"/>
              </w:rPr>
              <w:t>Duration of treatment</w:t>
            </w:r>
          </w:p>
        </w:tc>
        <w:tc>
          <w:tcPr>
            <w:tcW w:w="5529" w:type="dxa"/>
            <w:tcBorders>
              <w:top w:val="single" w:color="auto" w:sz="4" w:space="0"/>
              <w:left w:val="single" w:color="auto" w:sz="4" w:space="0"/>
              <w:bottom w:val="single" w:color="auto" w:sz="4" w:space="0"/>
              <w:right w:val="single" w:color="auto" w:sz="4" w:space="0"/>
            </w:tcBorders>
            <w:shd w:val="clear" w:color="auto" w:fill="auto"/>
          </w:tcPr>
          <w:p w:rsidRPr="00C3573D" w:rsidR="00C30646" w:rsidP="00C30646" w:rsidRDefault="00C30646" w14:paraId="456AF914" w14:textId="77777777">
            <w:pPr>
              <w:pStyle w:val="Tabletext"/>
              <w:rPr>
                <w:szCs w:val="22"/>
              </w:rPr>
            </w:pPr>
            <w:r w:rsidRPr="00C3573D">
              <w:rPr>
                <w:szCs w:val="22"/>
              </w:rPr>
              <w:t xml:space="preserve">After the first dose wait for 45 seconds.  </w:t>
            </w:r>
          </w:p>
          <w:p w:rsidRPr="00C3573D" w:rsidR="00C30646" w:rsidP="00C30646" w:rsidRDefault="00C30646" w14:paraId="33E24E08" w14:textId="77777777">
            <w:pPr>
              <w:pStyle w:val="Tabletext"/>
              <w:rPr>
                <w:szCs w:val="22"/>
              </w:rPr>
            </w:pPr>
            <w:r w:rsidRPr="00C3573D">
              <w:rPr>
                <w:szCs w:val="22"/>
              </w:rPr>
              <w:t xml:space="preserve">Adults: If adequate oxygenation and ventilation is not restored administer a further dose of 100 microgram and then where necessary repeat doses of 100 microgram at 60 second intervals </w:t>
            </w:r>
            <w:r w:rsidRPr="00C3573D">
              <w:rPr>
                <w:b/>
                <w:szCs w:val="22"/>
              </w:rPr>
              <w:t>to a maximum of 1000 microgram.</w:t>
            </w:r>
            <w:r w:rsidRPr="00C3573D">
              <w:rPr>
                <w:szCs w:val="22"/>
              </w:rPr>
              <w:t xml:space="preserve">  </w:t>
            </w:r>
          </w:p>
          <w:p w:rsidR="006A7AF1" w:rsidP="00C30646" w:rsidRDefault="00C30646" w14:paraId="34A3B3B7" w14:textId="0BD8539D">
            <w:pPr>
              <w:pStyle w:val="Tabletext"/>
            </w:pPr>
            <w:r w:rsidRPr="00C3573D">
              <w:rPr>
                <w:szCs w:val="22"/>
              </w:rPr>
              <w:t xml:space="preserve">For children from 12 months of age the repeat dose is 10 microgram/kg (up to 200 microgram) </w:t>
            </w:r>
            <w:r w:rsidRPr="00C3573D">
              <w:rPr>
                <w:b/>
                <w:bCs/>
                <w:szCs w:val="22"/>
              </w:rPr>
              <w:t>to a maximum of 50 microgram/kg or 1000 microgram.</w:t>
            </w:r>
          </w:p>
        </w:tc>
      </w:tr>
      <w:tr w:rsidR="005F17C5" w:rsidTr="006A7AF1"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Pr>
          <w:p w:rsidR="005F17C5" w:rsidP="005A6168" w:rsidRDefault="005F17C5" w14:paraId="69119C98" w14:textId="4AFD6B1F">
            <w:pPr>
              <w:rPr>
                <w:rStyle w:val="TableHeaderColumn"/>
              </w:rPr>
            </w:pPr>
            <w:r>
              <w:rPr>
                <w:rStyle w:val="TableHeaderColumn"/>
              </w:rPr>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Pr>
          <w:p w:rsidRPr="007D1E21" w:rsidR="005F17C5" w:rsidP="00C30646" w:rsidRDefault="006E59C8" w14:paraId="63B16DBA" w14:textId="167333D8">
            <w:pPr>
              <w:pStyle w:val="Tabletext"/>
              <w:rPr>
                <w:rFonts w:cs="Arial"/>
              </w:rPr>
            </w:pPr>
            <w:r>
              <w:rPr>
                <w:rFonts w:cs="Arial"/>
              </w:rPr>
              <w:t xml:space="preserve">Stock </w:t>
            </w:r>
            <w:r w:rsidRPr="005A6885" w:rsidR="005F17C5">
              <w:rPr>
                <w:rFonts w:cs="Arial"/>
              </w:rPr>
              <w:t xml:space="preserve">must be stored securely according to </w:t>
            </w:r>
            <w:r w:rsidR="00C30646">
              <w:rPr>
                <w:rFonts w:cs="Arial"/>
              </w:rPr>
              <w:t xml:space="preserve">[ </w:t>
            </w:r>
            <w:r w:rsidRPr="00C30646" w:rsidR="00C30646">
              <w:rPr>
                <w:rFonts w:cs="Arial"/>
                <w:highlight w:val="cyan"/>
              </w:rPr>
              <w:t>organisation medicines policy</w:t>
            </w:r>
            <w:r w:rsidR="00C30646">
              <w:rPr>
                <w:rFonts w:cs="Arial"/>
              </w:rPr>
              <w:t xml:space="preserve"> ]</w:t>
            </w:r>
            <w:r w:rsidRPr="005A6885" w:rsidR="005F17C5">
              <w:rPr>
                <w:rFonts w:cs="Arial"/>
              </w:rPr>
              <w:t xml:space="preserve"> and in accordance with </w:t>
            </w:r>
            <w:r w:rsidR="00C30646">
              <w:rPr>
                <w:rFonts w:cs="Arial"/>
              </w:rPr>
              <w:t xml:space="preserve">the </w:t>
            </w:r>
            <w:hyperlink w:history="1" r:id="rId19">
              <w:r w:rsidRPr="00C30646" w:rsidR="00C30646">
                <w:rPr>
                  <w:rStyle w:val="Hyperlink"/>
                  <w:rFonts w:eastAsia="Arial"/>
                </w:rPr>
                <w:t xml:space="preserve">flumazenil </w:t>
              </w:r>
              <w:r w:rsidRPr="00C30646" w:rsidR="00C30646">
                <w:rPr>
                  <w:rStyle w:val="Hyperlink"/>
                </w:rPr>
                <w:t>Summary of Product Characteristics (SmPC) on the EMC website</w:t>
              </w:r>
            </w:hyperlink>
          </w:p>
        </w:tc>
      </w:tr>
      <w:tr w:rsidR="00700627" w:rsidTr="00AA03B9" w14:paraId="2CD9E9DF" w14:textId="77777777">
        <w:tc>
          <w:tcPr>
            <w:tcW w:w="3397" w:type="dxa"/>
            <w:tcBorders>
              <w:top w:val="single" w:color="auto" w:sz="4" w:space="0"/>
              <w:left w:val="single" w:color="auto" w:sz="4" w:space="0"/>
              <w:bottom w:val="single" w:color="auto" w:sz="4" w:space="0"/>
              <w:right w:val="single" w:color="auto" w:sz="4" w:space="0"/>
            </w:tcBorders>
          </w:tcPr>
          <w:p w:rsidRPr="005A6168" w:rsidR="00700627" w:rsidP="005A6168" w:rsidRDefault="00700627" w14:paraId="580D0647" w14:textId="706B8F3C">
            <w:pPr>
              <w:rPr>
                <w:rStyle w:val="TableHeaderColumn"/>
              </w:rPr>
            </w:pPr>
            <w:r w:rsidRPr="005A6168">
              <w:rPr>
                <w:rStyle w:val="TableHeaderColumn"/>
              </w:rPr>
              <w:t>Drug interactions</w:t>
            </w:r>
          </w:p>
        </w:tc>
        <w:tc>
          <w:tcPr>
            <w:tcW w:w="5529" w:type="dxa"/>
            <w:tcBorders>
              <w:top w:val="single" w:color="auto" w:sz="4" w:space="0"/>
              <w:left w:val="single" w:color="auto" w:sz="4" w:space="0"/>
              <w:bottom w:val="single" w:color="auto" w:sz="4" w:space="0"/>
              <w:right w:val="single" w:color="auto" w:sz="4" w:space="0"/>
            </w:tcBorders>
          </w:tcPr>
          <w:p w:rsidR="00C30646" w:rsidP="00C30646" w:rsidRDefault="00C30646" w14:paraId="52297F3B" w14:textId="77777777">
            <w:pPr>
              <w:pStyle w:val="Tabletext"/>
              <w:rPr>
                <w:szCs w:val="22"/>
                <w:lang w:val="en-GB"/>
              </w:rPr>
            </w:pPr>
            <w:r>
              <w:rPr>
                <w:szCs w:val="22"/>
                <w:lang w:val="en-GB"/>
              </w:rPr>
              <w:t xml:space="preserve">None of clinical relevance in </w:t>
            </w:r>
            <w:proofErr w:type="gramStart"/>
            <w:r>
              <w:rPr>
                <w:szCs w:val="22"/>
                <w:lang w:val="en-GB"/>
              </w:rPr>
              <w:t>emergency situation</w:t>
            </w:r>
            <w:proofErr w:type="gramEnd"/>
            <w:r>
              <w:rPr>
                <w:szCs w:val="22"/>
                <w:lang w:val="en-GB"/>
              </w:rPr>
              <w:t>.</w:t>
            </w:r>
          </w:p>
          <w:p w:rsidR="00C30646" w:rsidP="009B62D2" w:rsidRDefault="00C30646" w14:paraId="1D1BE4E9" w14:textId="77777777">
            <w:pPr>
              <w:pStyle w:val="Tabletext"/>
              <w:rPr>
                <w:rFonts w:cs="Arial"/>
                <w:color w:val="000000"/>
                <w:lang w:val="en-GB"/>
              </w:rPr>
            </w:pPr>
          </w:p>
          <w:p w:rsidR="00EF69F8" w:rsidP="009B62D2" w:rsidRDefault="00EF69F8" w14:paraId="6EC4A8D3" w14:textId="28676CB6">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20">
              <w:r w:rsidRPr="00C30646" w:rsidR="00C30646">
                <w:rPr>
                  <w:rStyle w:val="Hyperlink"/>
                  <w:rFonts w:eastAsia="Arial"/>
                </w:rPr>
                <w:t xml:space="preserve">flumazenil </w:t>
              </w:r>
              <w:r w:rsidRPr="00C30646" w:rsidR="00C30646">
                <w:rPr>
                  <w:rStyle w:val="Hyperlink"/>
                </w:rPr>
                <w:t>Summary of Product Characteristics (SmPC) on the EMC website</w:t>
              </w:r>
            </w:hyperlink>
            <w:r w:rsidR="00B93051">
              <w:t xml:space="preserve"> or </w:t>
            </w:r>
            <w:hyperlink w:history="1" r:id="rId21">
              <w:r w:rsidRPr="00B93051" w:rsidR="00B93051">
                <w:rPr>
                  <w:rStyle w:val="Hyperlink"/>
                </w:rPr>
                <w:t>the BNF</w:t>
              </w:r>
            </w:hyperlink>
          </w:p>
          <w:p w:rsidR="00700627" w:rsidP="009C2699" w:rsidRDefault="00700627" w14:paraId="06B6C616" w14:textId="48B7B956">
            <w:pPr>
              <w:pStyle w:val="Tabletext"/>
            </w:pPr>
          </w:p>
        </w:tc>
      </w:tr>
      <w:tr w:rsidR="00700627" w:rsidTr="00AA03B9"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Pr>
          <w:p w:rsidRPr="005A6168" w:rsidR="00700627" w:rsidP="005A6168" w:rsidRDefault="00AE7448" w14:paraId="338D9536" w14:textId="7100B09A">
            <w:pPr>
              <w:rPr>
                <w:rStyle w:val="TableHeaderColumn"/>
              </w:rPr>
            </w:pPr>
            <w:r>
              <w:rPr>
                <w:rStyle w:val="TableHeaderColumn"/>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Pr>
          <w:p w:rsidR="00700627" w:rsidP="009B62D2" w:rsidRDefault="00700627" w14:paraId="4E800F41" w14:textId="047F7E51">
            <w:pPr>
              <w:pStyle w:val="Tabletext"/>
              <w:rPr>
                <w:szCs w:val="22"/>
              </w:rPr>
            </w:pPr>
            <w:r>
              <w:rPr>
                <w:szCs w:val="22"/>
              </w:rPr>
              <w:t xml:space="preserve">Refer </w:t>
            </w:r>
            <w:r w:rsidR="00802041">
              <w:rPr>
                <w:szCs w:val="22"/>
              </w:rPr>
              <w:t>to</w:t>
            </w:r>
            <w:r w:rsidR="004D0D2B">
              <w:rPr>
                <w:szCs w:val="22"/>
              </w:rPr>
              <w:t xml:space="preserve"> the </w:t>
            </w:r>
            <w:hyperlink w:history="1" r:id="rId22">
              <w:r w:rsidRPr="00C30646" w:rsidR="00C30646">
                <w:rPr>
                  <w:rStyle w:val="Hyperlink"/>
                  <w:rFonts w:eastAsia="Arial"/>
                </w:rPr>
                <w:t xml:space="preserve">flumazenil </w:t>
              </w:r>
              <w:r w:rsidRPr="00C30646" w:rsidR="00C30646">
                <w:rPr>
                  <w:rStyle w:val="Hyperlink"/>
                </w:rPr>
                <w:t>Summary of Product Characteristics (SmPC) on the EMC website</w:t>
              </w:r>
            </w:hyperlink>
            <w:r w:rsidRPr="005A6885" w:rsidR="005A6885">
              <w:rPr>
                <w:szCs w:val="22"/>
                <w:lang w:val="en-GB"/>
              </w:rPr>
              <w:t xml:space="preserve"> </w:t>
            </w:r>
            <w:r>
              <w:rPr>
                <w:szCs w:val="22"/>
              </w:rPr>
              <w:t>for full details of known adverse effects.</w:t>
            </w:r>
          </w:p>
          <w:p w:rsidR="00C30646" w:rsidP="00C30646" w:rsidRDefault="00C30646" w14:paraId="361BE8F1" w14:textId="77777777">
            <w:pPr>
              <w:pStyle w:val="Tabletext"/>
              <w:spacing w:after="0"/>
              <w:rPr>
                <w:szCs w:val="22"/>
              </w:rPr>
            </w:pPr>
            <w:r w:rsidRPr="00805E92">
              <w:rPr>
                <w:szCs w:val="22"/>
              </w:rPr>
              <w:t xml:space="preserve">The below list details only very </w:t>
            </w:r>
            <w:proofErr w:type="gramStart"/>
            <w:r w:rsidRPr="00805E92">
              <w:rPr>
                <w:szCs w:val="22"/>
              </w:rPr>
              <w:t>common(</w:t>
            </w:r>
            <w:proofErr w:type="gramEnd"/>
            <w:r w:rsidRPr="00805E92">
              <w:rPr>
                <w:szCs w:val="22"/>
              </w:rPr>
              <w:t>≥1/10)/ commonly reported adverse effects (&gt;1 in 100) detailed in the BNF/SPC but does not represent all the product’s known adverse effects:</w:t>
            </w:r>
          </w:p>
          <w:p w:rsidRPr="00805E92" w:rsidR="00C30646" w:rsidP="00C30646" w:rsidRDefault="00C30646" w14:paraId="472FE761" w14:textId="77777777">
            <w:pPr>
              <w:pStyle w:val="Tabletext"/>
              <w:spacing w:after="0"/>
              <w:rPr>
                <w:szCs w:val="22"/>
              </w:rPr>
            </w:pPr>
          </w:p>
          <w:p w:rsidRPr="00805E92" w:rsidR="00C30646" w:rsidP="00C30646" w:rsidRDefault="00C30646" w14:paraId="04E53F62" w14:textId="77777777">
            <w:pPr>
              <w:pStyle w:val="Bulletindent1"/>
            </w:pPr>
            <w:r w:rsidRPr="00805E92">
              <w:t>Immune systems disorders</w:t>
            </w:r>
          </w:p>
          <w:p w:rsidRPr="00805E92" w:rsidR="00C30646" w:rsidP="006E59C8" w:rsidRDefault="00C30646" w14:paraId="69BD57C2" w14:textId="77777777">
            <w:pPr>
              <w:pStyle w:val="Bulletindent1"/>
              <w:numPr>
                <w:ilvl w:val="1"/>
                <w:numId w:val="15"/>
              </w:numPr>
            </w:pPr>
            <w:r w:rsidRPr="00805E92">
              <w:t>Allergic reactions</w:t>
            </w:r>
          </w:p>
          <w:p w:rsidRPr="00805E92" w:rsidR="00C30646" w:rsidP="00C30646" w:rsidRDefault="00C30646" w14:paraId="1FDCA06B" w14:textId="77777777">
            <w:pPr>
              <w:pStyle w:val="Bulletindent1"/>
            </w:pPr>
            <w:r w:rsidRPr="00805E92">
              <w:t>Psychiatric disorders</w:t>
            </w:r>
          </w:p>
          <w:p w:rsidRPr="00805E92" w:rsidR="00C30646" w:rsidP="006E59C8" w:rsidRDefault="00C30646" w14:paraId="6E02F4C5" w14:textId="77777777">
            <w:pPr>
              <w:pStyle w:val="Bulletindent1"/>
              <w:numPr>
                <w:ilvl w:val="1"/>
                <w:numId w:val="15"/>
              </w:numPr>
            </w:pPr>
            <w:r w:rsidRPr="00805E92">
              <w:t>Anxiety (following rapid injection)</w:t>
            </w:r>
          </w:p>
          <w:p w:rsidRPr="00805E92" w:rsidR="00C30646" w:rsidP="006E59C8" w:rsidRDefault="00C30646" w14:paraId="027529D9" w14:textId="77777777">
            <w:pPr>
              <w:pStyle w:val="Bulletindent1"/>
              <w:numPr>
                <w:ilvl w:val="1"/>
                <w:numId w:val="15"/>
              </w:numPr>
            </w:pPr>
            <w:r w:rsidRPr="00805E92">
              <w:t>Emotional lability</w:t>
            </w:r>
          </w:p>
          <w:p w:rsidRPr="00805E92" w:rsidR="00C30646" w:rsidP="006E59C8" w:rsidRDefault="00C30646" w14:paraId="63D31C1B" w14:textId="77777777">
            <w:pPr>
              <w:pStyle w:val="Bulletindent1"/>
              <w:numPr>
                <w:ilvl w:val="1"/>
                <w:numId w:val="15"/>
              </w:numPr>
            </w:pPr>
            <w:r w:rsidRPr="00805E92">
              <w:t>Insomnia</w:t>
            </w:r>
          </w:p>
          <w:p w:rsidRPr="00805E92" w:rsidR="00C30646" w:rsidP="006E59C8" w:rsidRDefault="00C30646" w14:paraId="34EA3372" w14:textId="77777777">
            <w:pPr>
              <w:pStyle w:val="Bulletindent1"/>
              <w:numPr>
                <w:ilvl w:val="1"/>
                <w:numId w:val="15"/>
              </w:numPr>
            </w:pPr>
            <w:r w:rsidRPr="00805E92">
              <w:t>Somnolence</w:t>
            </w:r>
          </w:p>
          <w:p w:rsidRPr="00805E92" w:rsidR="00C30646" w:rsidP="00C30646" w:rsidRDefault="00C30646" w14:paraId="17C45BA8" w14:textId="77777777">
            <w:pPr>
              <w:pStyle w:val="Bulletindent1"/>
            </w:pPr>
            <w:r w:rsidRPr="00805E92">
              <w:t>Nervous system disorders</w:t>
            </w:r>
          </w:p>
          <w:p w:rsidRPr="00805E92" w:rsidR="00C30646" w:rsidP="006E59C8" w:rsidRDefault="00C30646" w14:paraId="62FCFB32" w14:textId="77777777">
            <w:pPr>
              <w:pStyle w:val="Bulletindent1"/>
              <w:numPr>
                <w:ilvl w:val="1"/>
                <w:numId w:val="15"/>
              </w:numPr>
            </w:pPr>
            <w:r w:rsidRPr="00805E92">
              <w:t>Agitation (following rapid injection)</w:t>
            </w:r>
          </w:p>
          <w:p w:rsidRPr="00805E92" w:rsidR="00C30646" w:rsidP="006E59C8" w:rsidRDefault="00C30646" w14:paraId="1E3D8BBA" w14:textId="77777777">
            <w:pPr>
              <w:pStyle w:val="Bulletindent1"/>
              <w:numPr>
                <w:ilvl w:val="1"/>
                <w:numId w:val="15"/>
              </w:numPr>
            </w:pPr>
            <w:r w:rsidRPr="00805E92">
              <w:t>Vertigo</w:t>
            </w:r>
          </w:p>
          <w:p w:rsidRPr="00805E92" w:rsidR="00C30646" w:rsidP="006E59C8" w:rsidRDefault="00C30646" w14:paraId="3A261AE3" w14:textId="77777777">
            <w:pPr>
              <w:pStyle w:val="Bulletindent1"/>
              <w:numPr>
                <w:ilvl w:val="1"/>
                <w:numId w:val="15"/>
              </w:numPr>
            </w:pPr>
            <w:r w:rsidRPr="00805E92">
              <w:t>Headache</w:t>
            </w:r>
          </w:p>
          <w:p w:rsidRPr="00805E92" w:rsidR="00C30646" w:rsidP="006E59C8" w:rsidRDefault="00C30646" w14:paraId="62E258C5" w14:textId="77777777">
            <w:pPr>
              <w:pStyle w:val="Bulletindent1"/>
              <w:numPr>
                <w:ilvl w:val="1"/>
                <w:numId w:val="15"/>
              </w:numPr>
            </w:pPr>
            <w:r w:rsidRPr="00805E92">
              <w:t>Tremor</w:t>
            </w:r>
          </w:p>
          <w:p w:rsidRPr="00805E92" w:rsidR="00C30646" w:rsidP="006E59C8" w:rsidRDefault="00C30646" w14:paraId="20746365" w14:textId="77777777">
            <w:pPr>
              <w:pStyle w:val="Bulletindent1"/>
              <w:numPr>
                <w:ilvl w:val="1"/>
                <w:numId w:val="15"/>
              </w:numPr>
            </w:pPr>
            <w:r w:rsidRPr="00805E92">
              <w:t>Dry mouth</w:t>
            </w:r>
          </w:p>
          <w:p w:rsidRPr="00805E92" w:rsidR="00C30646" w:rsidP="006E59C8" w:rsidRDefault="00C30646" w14:paraId="2C15EDC3" w14:textId="77777777">
            <w:pPr>
              <w:pStyle w:val="Bulletindent1"/>
              <w:numPr>
                <w:ilvl w:val="1"/>
                <w:numId w:val="15"/>
              </w:numPr>
            </w:pPr>
            <w:r w:rsidRPr="00805E92">
              <w:t>Hyperventilation</w:t>
            </w:r>
          </w:p>
          <w:p w:rsidRPr="00805E92" w:rsidR="00C30646" w:rsidP="006E59C8" w:rsidRDefault="00C30646" w14:paraId="604F2409" w14:textId="77777777">
            <w:pPr>
              <w:pStyle w:val="Bulletindent1"/>
              <w:numPr>
                <w:ilvl w:val="1"/>
                <w:numId w:val="15"/>
              </w:numPr>
            </w:pPr>
            <w:r w:rsidRPr="00805E92">
              <w:t>Speech disorder</w:t>
            </w:r>
          </w:p>
          <w:p w:rsidRPr="00805E92" w:rsidR="00C30646" w:rsidP="006E59C8" w:rsidRDefault="00C30646" w14:paraId="57265113" w14:textId="77777777">
            <w:pPr>
              <w:pStyle w:val="Bulletindent1"/>
              <w:numPr>
                <w:ilvl w:val="1"/>
                <w:numId w:val="15"/>
              </w:numPr>
            </w:pPr>
            <w:r w:rsidRPr="00805E92">
              <w:t>Paraesthesia</w:t>
            </w:r>
          </w:p>
          <w:p w:rsidRPr="00805E92" w:rsidR="00C30646" w:rsidP="00C30646" w:rsidRDefault="00C30646" w14:paraId="74011DA4" w14:textId="77777777">
            <w:pPr>
              <w:pStyle w:val="Bulletindent1"/>
            </w:pPr>
            <w:r w:rsidRPr="00805E92">
              <w:t>Eye disorders</w:t>
            </w:r>
          </w:p>
          <w:p w:rsidRPr="00805E92" w:rsidR="00C30646" w:rsidP="006E59C8" w:rsidRDefault="00C30646" w14:paraId="69DB1150" w14:textId="77777777">
            <w:pPr>
              <w:pStyle w:val="Bulletindent1"/>
              <w:numPr>
                <w:ilvl w:val="1"/>
                <w:numId w:val="15"/>
              </w:numPr>
            </w:pPr>
            <w:r w:rsidRPr="00805E92">
              <w:t>Diplopia</w:t>
            </w:r>
          </w:p>
          <w:p w:rsidRPr="00805E92" w:rsidR="00C30646" w:rsidP="006E59C8" w:rsidRDefault="00C30646" w14:paraId="14342A45" w14:textId="77777777">
            <w:pPr>
              <w:pStyle w:val="Bulletindent1"/>
              <w:numPr>
                <w:ilvl w:val="1"/>
                <w:numId w:val="15"/>
              </w:numPr>
            </w:pPr>
            <w:r w:rsidRPr="00805E92">
              <w:t>Lacrimation increased</w:t>
            </w:r>
          </w:p>
          <w:p w:rsidRPr="00805E92" w:rsidR="00C30646" w:rsidP="006E59C8" w:rsidRDefault="00C30646" w14:paraId="30464460" w14:textId="77777777">
            <w:pPr>
              <w:pStyle w:val="Bulletindent1"/>
              <w:numPr>
                <w:ilvl w:val="1"/>
                <w:numId w:val="15"/>
              </w:numPr>
            </w:pPr>
            <w:r w:rsidRPr="00805E92">
              <w:t>Strabismus</w:t>
            </w:r>
          </w:p>
          <w:p w:rsidRPr="00805E92" w:rsidR="00C30646" w:rsidP="00C30646" w:rsidRDefault="00C30646" w14:paraId="12B9F044" w14:textId="77777777">
            <w:pPr>
              <w:pStyle w:val="Bulletindent1"/>
            </w:pPr>
            <w:r w:rsidRPr="00805E92">
              <w:t>Cardiac disorders</w:t>
            </w:r>
          </w:p>
          <w:p w:rsidRPr="00805E92" w:rsidR="00C30646" w:rsidP="006E59C8" w:rsidRDefault="00C30646" w14:paraId="02432EEF" w14:textId="77777777">
            <w:pPr>
              <w:pStyle w:val="Bulletindent1"/>
              <w:numPr>
                <w:ilvl w:val="1"/>
                <w:numId w:val="15"/>
              </w:numPr>
            </w:pPr>
            <w:r w:rsidRPr="00805E92">
              <w:t>Palpitations (following rapid injection)</w:t>
            </w:r>
          </w:p>
          <w:p w:rsidRPr="00805E92" w:rsidR="00C30646" w:rsidP="008C54DC" w:rsidRDefault="00C30646" w14:paraId="666C2C36" w14:textId="77777777">
            <w:pPr>
              <w:pStyle w:val="Bulletindent1"/>
            </w:pPr>
            <w:r w:rsidRPr="00805E92">
              <w:t>Vascular disorders</w:t>
            </w:r>
          </w:p>
          <w:p w:rsidRPr="00805E92" w:rsidR="00C30646" w:rsidP="006E59C8" w:rsidRDefault="00C30646" w14:paraId="5EE905F5" w14:textId="77777777">
            <w:pPr>
              <w:pStyle w:val="Bulletindent1"/>
              <w:numPr>
                <w:ilvl w:val="1"/>
                <w:numId w:val="15"/>
              </w:numPr>
            </w:pPr>
            <w:r w:rsidRPr="00805E92">
              <w:t>Flushing</w:t>
            </w:r>
          </w:p>
          <w:p w:rsidRPr="00805E92" w:rsidR="00C30646" w:rsidP="006E59C8" w:rsidRDefault="00C30646" w14:paraId="2C967FE4" w14:textId="77777777">
            <w:pPr>
              <w:pStyle w:val="Bulletindent1"/>
              <w:numPr>
                <w:ilvl w:val="1"/>
                <w:numId w:val="15"/>
              </w:numPr>
            </w:pPr>
            <w:r w:rsidRPr="00805E92">
              <w:t>Hypotension including orthostatic hypotension</w:t>
            </w:r>
          </w:p>
          <w:p w:rsidRPr="00805E92" w:rsidR="00C30646" w:rsidP="006E59C8" w:rsidRDefault="00C30646" w14:paraId="24B51948" w14:textId="77777777">
            <w:pPr>
              <w:pStyle w:val="Bulletindent1"/>
              <w:numPr>
                <w:ilvl w:val="1"/>
                <w:numId w:val="15"/>
              </w:numPr>
            </w:pPr>
            <w:r w:rsidRPr="00805E92">
              <w:t>Increased blood pressure on awakening (transient)</w:t>
            </w:r>
          </w:p>
          <w:p w:rsidRPr="00805E92" w:rsidR="00C30646" w:rsidP="008C54DC" w:rsidRDefault="00C30646" w14:paraId="5297B59F" w14:textId="77777777">
            <w:pPr>
              <w:pStyle w:val="Bulletindent1"/>
            </w:pPr>
            <w:r w:rsidRPr="00805E92">
              <w:t>GI disorders</w:t>
            </w:r>
          </w:p>
          <w:p w:rsidRPr="00805E92" w:rsidR="00C30646" w:rsidP="006E59C8" w:rsidRDefault="00C30646" w14:paraId="211F8621" w14:textId="77777777">
            <w:pPr>
              <w:pStyle w:val="Bulletindent1"/>
              <w:numPr>
                <w:ilvl w:val="1"/>
                <w:numId w:val="15"/>
              </w:numPr>
            </w:pPr>
            <w:r w:rsidRPr="00805E92">
              <w:t>Nausea (during anaesthesia)</w:t>
            </w:r>
          </w:p>
          <w:p w:rsidRPr="00805E92" w:rsidR="00C30646" w:rsidP="006E59C8" w:rsidRDefault="00C30646" w14:paraId="51697302" w14:textId="77777777">
            <w:pPr>
              <w:pStyle w:val="Bulletindent1"/>
              <w:numPr>
                <w:ilvl w:val="1"/>
                <w:numId w:val="15"/>
              </w:numPr>
            </w:pPr>
            <w:r w:rsidRPr="00805E92">
              <w:t>Vomiting (during anaesthesia)</w:t>
            </w:r>
          </w:p>
          <w:p w:rsidRPr="00805E92" w:rsidR="00C30646" w:rsidP="006E59C8" w:rsidRDefault="00C30646" w14:paraId="556DF775" w14:textId="77777777">
            <w:pPr>
              <w:pStyle w:val="Bulletindent1"/>
              <w:numPr>
                <w:ilvl w:val="1"/>
                <w:numId w:val="15"/>
              </w:numPr>
            </w:pPr>
            <w:r w:rsidRPr="00805E92">
              <w:t>Hiccups</w:t>
            </w:r>
          </w:p>
          <w:p w:rsidRPr="00805E92" w:rsidR="00C30646" w:rsidP="008C54DC" w:rsidRDefault="00C30646" w14:paraId="76BB1446" w14:textId="77777777">
            <w:pPr>
              <w:pStyle w:val="Bulletindent1"/>
            </w:pPr>
            <w:r w:rsidRPr="00805E92">
              <w:t>Skin disorders</w:t>
            </w:r>
          </w:p>
          <w:p w:rsidRPr="00805E92" w:rsidR="00C30646" w:rsidP="006E59C8" w:rsidRDefault="00C30646" w14:paraId="0205BA4B" w14:textId="77777777">
            <w:pPr>
              <w:pStyle w:val="Bulletindent1"/>
              <w:numPr>
                <w:ilvl w:val="1"/>
                <w:numId w:val="15"/>
              </w:numPr>
            </w:pPr>
            <w:r w:rsidRPr="00805E92">
              <w:t xml:space="preserve">Sweating </w:t>
            </w:r>
          </w:p>
          <w:p w:rsidRPr="00805E92" w:rsidR="00C30646" w:rsidP="008C54DC" w:rsidRDefault="00C30646" w14:paraId="30C88246" w14:textId="77777777">
            <w:pPr>
              <w:pStyle w:val="Bulletindent1"/>
            </w:pPr>
            <w:r w:rsidRPr="00805E92">
              <w:t>Local effects</w:t>
            </w:r>
          </w:p>
          <w:p w:rsidR="00700627" w:rsidP="006E59C8" w:rsidRDefault="00C30646" w14:paraId="59A213F4" w14:textId="600391E8">
            <w:pPr>
              <w:pStyle w:val="Bulletindent1"/>
              <w:numPr>
                <w:ilvl w:val="1"/>
                <w:numId w:val="15"/>
              </w:numPr>
            </w:pPr>
            <w:r w:rsidRPr="00805E92">
              <w:t>Injection site pain</w:t>
            </w:r>
          </w:p>
        </w:tc>
      </w:tr>
      <w:tr w:rsidR="00700627" w:rsidTr="006A7AF1" w14:paraId="08C3469A" w14:textId="77777777">
        <w:tc>
          <w:tcPr>
            <w:tcW w:w="3397" w:type="dxa"/>
          </w:tcPr>
          <w:p w:rsidRPr="005A6168" w:rsidR="00700627" w:rsidP="005A6168" w:rsidRDefault="00AE7448" w14:paraId="0980B18E" w14:textId="77777777">
            <w:pPr>
              <w:rPr>
                <w:rStyle w:val="TableHeaderColumn"/>
              </w:rPr>
            </w:pPr>
            <w:r>
              <w:rPr>
                <w:rStyle w:val="TableHeaderColumn"/>
              </w:rPr>
              <w:t>Management of and reporting procedures for adverse reactions</w:t>
            </w:r>
          </w:p>
        </w:tc>
        <w:tc>
          <w:tcPr>
            <w:tcW w:w="5529" w:type="dxa"/>
          </w:tcPr>
          <w:p w:rsidRPr="00781511" w:rsidR="008C54DC" w:rsidP="008C54DC" w:rsidRDefault="008C54DC" w14:paraId="26260A04" w14:textId="77777777">
            <w:pPr>
              <w:pStyle w:val="Bulletindent1"/>
            </w:pPr>
            <w:r w:rsidRPr="00781511">
              <w:t>The practitioner acting under this PGD mus</w:t>
            </w:r>
            <w:r>
              <w:t>t ensure that all necessary medicine</w:t>
            </w:r>
            <w:r w:rsidRPr="00781511">
              <w:t xml:space="preserve">s and equipment are available for immediate treatment should a hypersensitivity reaction occur and must be trained to manage anaphylaxis.  </w:t>
            </w:r>
          </w:p>
          <w:p w:rsidR="008C54DC" w:rsidP="008C54DC" w:rsidRDefault="008C54DC" w14:paraId="1EB1AFF7" w14:textId="5B7868CF">
            <w:pPr>
              <w:pStyle w:val="Bulletindent1"/>
            </w:pPr>
            <w:r w:rsidRPr="00781511">
              <w:rPr>
                <w:rFonts w:eastAsia="Arial"/>
              </w:rPr>
              <w:t>Healthcare</w:t>
            </w:r>
            <w:r w:rsidRPr="00781511">
              <w:rPr>
                <w:rFonts w:eastAsia="Arial"/>
                <w:spacing w:val="26"/>
              </w:rPr>
              <w:t xml:space="preserve"> </w:t>
            </w:r>
            <w:r w:rsidRPr="00781511">
              <w:rPr>
                <w:rFonts w:eastAsia="Arial"/>
              </w:rPr>
              <w:t>professionals</w:t>
            </w:r>
            <w:r w:rsidRPr="00781511">
              <w:rPr>
                <w:rFonts w:eastAsia="Arial"/>
                <w:spacing w:val="24"/>
              </w:rPr>
              <w:t xml:space="preserve"> </w:t>
            </w:r>
            <w:r w:rsidRPr="00781511">
              <w:rPr>
                <w:rFonts w:eastAsia="Arial"/>
              </w:rPr>
              <w:t>and</w:t>
            </w:r>
            <w:r w:rsidRPr="00781511">
              <w:rPr>
                <w:rFonts w:eastAsia="Arial"/>
                <w:spacing w:val="14"/>
              </w:rPr>
              <w:t xml:space="preserve"> </w:t>
            </w:r>
            <w:r w:rsidRPr="00781511">
              <w:rPr>
                <w:rFonts w:eastAsia="Arial"/>
              </w:rPr>
              <w:t>patients/carers are</w:t>
            </w:r>
            <w:r w:rsidRPr="00781511">
              <w:rPr>
                <w:rFonts w:eastAsia="Arial"/>
                <w:spacing w:val="10"/>
              </w:rPr>
              <w:t xml:space="preserve"> </w:t>
            </w:r>
            <w:r w:rsidRPr="00781511">
              <w:rPr>
                <w:rFonts w:eastAsia="Arial"/>
              </w:rPr>
              <w:t>encouraged</w:t>
            </w:r>
            <w:r w:rsidRPr="00781511">
              <w:rPr>
                <w:rFonts w:eastAsia="Arial"/>
                <w:spacing w:val="25"/>
              </w:rPr>
              <w:t xml:space="preserve"> </w:t>
            </w:r>
            <w:r w:rsidRPr="00781511">
              <w:rPr>
                <w:rFonts w:eastAsia="Arial"/>
              </w:rPr>
              <w:t>to</w:t>
            </w:r>
            <w:r w:rsidRPr="00781511">
              <w:rPr>
                <w:rFonts w:eastAsia="Arial"/>
                <w:spacing w:val="21"/>
              </w:rPr>
              <w:t xml:space="preserve"> </w:t>
            </w:r>
            <w:r w:rsidRPr="00781511">
              <w:rPr>
                <w:rFonts w:eastAsia="Arial"/>
              </w:rPr>
              <w:t>report</w:t>
            </w:r>
            <w:r w:rsidRPr="00781511">
              <w:rPr>
                <w:rFonts w:eastAsia="Arial"/>
                <w:spacing w:val="13"/>
              </w:rPr>
              <w:t xml:space="preserve"> </w:t>
            </w:r>
            <w:r w:rsidRPr="00781511">
              <w:rPr>
                <w:rFonts w:eastAsia="Arial"/>
              </w:rPr>
              <w:t>suspected</w:t>
            </w:r>
            <w:r w:rsidRPr="00781511">
              <w:rPr>
                <w:rFonts w:eastAsia="Arial"/>
                <w:spacing w:val="18"/>
              </w:rPr>
              <w:t xml:space="preserve"> </w:t>
            </w:r>
            <w:r w:rsidRPr="00781511">
              <w:rPr>
                <w:rFonts w:eastAsia="Arial"/>
              </w:rPr>
              <w:t>adverse</w:t>
            </w:r>
            <w:r w:rsidRPr="00781511">
              <w:rPr>
                <w:rFonts w:eastAsia="Arial"/>
                <w:spacing w:val="29"/>
              </w:rPr>
              <w:t xml:space="preserve"> </w:t>
            </w:r>
            <w:r w:rsidRPr="00781511">
              <w:rPr>
                <w:rFonts w:eastAsia="Arial"/>
              </w:rPr>
              <w:t>reactions</w:t>
            </w:r>
            <w:r w:rsidRPr="00781511">
              <w:rPr>
                <w:rFonts w:eastAsia="Arial"/>
                <w:spacing w:val="10"/>
              </w:rPr>
              <w:t xml:space="preserve"> </w:t>
            </w:r>
            <w:r w:rsidR="004D0D2B">
              <w:rPr>
                <w:rFonts w:eastAsia="Arial"/>
                <w:spacing w:val="10"/>
              </w:rPr>
              <w:t>using</w:t>
            </w:r>
            <w:r w:rsidRPr="00781511">
              <w:rPr>
                <w:rFonts w:eastAsia="Arial"/>
                <w:spacing w:val="14"/>
              </w:rPr>
              <w:t xml:space="preserve"> </w:t>
            </w:r>
            <w:r w:rsidRPr="00781511">
              <w:rPr>
                <w:rFonts w:eastAsia="Arial"/>
              </w:rPr>
              <w:t>the</w:t>
            </w:r>
            <w:r w:rsidRPr="00781511">
              <w:rPr>
                <w:rFonts w:eastAsia="Arial"/>
                <w:w w:val="98"/>
              </w:rPr>
              <w:t xml:space="preserve"> </w:t>
            </w:r>
            <w:hyperlink w:history="1" r:id="rId23">
              <w:r w:rsidRPr="00F6120B">
                <w:rPr>
                  <w:rStyle w:val="Hyperlink"/>
                </w:rPr>
                <w:t>MHRA's Yellow Card Scheme</w:t>
              </w:r>
            </w:hyperlink>
          </w:p>
          <w:p w:rsidR="008C54DC" w:rsidP="008C54DC" w:rsidRDefault="008C54DC" w14:paraId="1B2AC35F" w14:textId="77777777">
            <w:pPr>
              <w:pStyle w:val="Bulletindent1"/>
            </w:pPr>
            <w:r w:rsidRPr="00781511">
              <w:t xml:space="preserve">Record all ADRs </w:t>
            </w:r>
            <w:r>
              <w:t>in the individual’s clinical record.</w:t>
            </w:r>
          </w:p>
          <w:p w:rsidRPr="005A6885" w:rsidR="00C5216A" w:rsidP="008C54DC" w:rsidRDefault="00B154E7" w14:paraId="411463D3" w14:textId="6430F658">
            <w:pPr>
              <w:pStyle w:val="Bulletindent1"/>
            </w:pPr>
            <w:r w:rsidRPr="00AC0BE9">
              <w:t>[</w:t>
            </w:r>
            <w:r w:rsidRPr="00802041" w:rsidR="00C5216A">
              <w:rPr>
                <w:highlight w:val="cyan"/>
              </w:rPr>
              <w:t>Report via organisation incident policy (include link and any further detail required)</w:t>
            </w:r>
            <w:r w:rsidRPr="00AC0BE9">
              <w:t>]</w:t>
            </w:r>
          </w:p>
          <w:p w:rsidRPr="00504FB7" w:rsidR="00700627" w:rsidP="008C54DC" w:rsidRDefault="00700627" w14:paraId="292843F1" w14:textId="5D546817">
            <w:pPr>
              <w:pStyle w:val="Bulletindent1"/>
              <w:numPr>
                <w:ilvl w:val="0"/>
                <w:numId w:val="0"/>
              </w:numPr>
              <w:ind w:left="720"/>
            </w:pPr>
          </w:p>
        </w:tc>
      </w:tr>
      <w:tr w:rsidR="008C54DC" w:rsidTr="006A7AF1" w14:paraId="1F392B6A" w14:textId="77777777">
        <w:tc>
          <w:tcPr>
            <w:tcW w:w="3397" w:type="dxa"/>
          </w:tcPr>
          <w:p w:rsidRPr="008C54DC" w:rsidR="008C54DC" w:rsidP="005A6168" w:rsidRDefault="008C54DC" w14:paraId="3472F7C6" w14:textId="3F9295CB">
            <w:pPr>
              <w:rPr>
                <w:rStyle w:val="TableHeaderColumn"/>
              </w:rPr>
            </w:pPr>
            <w:r w:rsidRPr="008C54DC">
              <w:rPr>
                <w:rStyle w:val="TableHeaderColumn"/>
              </w:rPr>
              <w:t>Required organisational incident reporting</w:t>
            </w:r>
          </w:p>
        </w:tc>
        <w:tc>
          <w:tcPr>
            <w:tcW w:w="5529" w:type="dxa"/>
          </w:tcPr>
          <w:p w:rsidRPr="009A5221" w:rsidR="008C54DC" w:rsidP="00D2643E" w:rsidRDefault="008C54DC" w14:paraId="39983515" w14:textId="1848EB7D">
            <w:pPr>
              <w:pStyle w:val="Bulletindent1"/>
              <w:rPr>
                <w:lang w:val="en-US"/>
              </w:rPr>
            </w:pPr>
            <w:r w:rsidRPr="00A677F0">
              <w:t xml:space="preserve">Report all use of flumazenil under this PGD via </w:t>
            </w:r>
            <w:r>
              <w:t>[</w:t>
            </w:r>
            <w:r w:rsidRPr="00A677F0">
              <w:rPr>
                <w:highlight w:val="cyan"/>
              </w:rPr>
              <w:t>organisation incident policy</w:t>
            </w:r>
            <w:r>
              <w:t>]</w:t>
            </w:r>
            <w:r w:rsidRPr="00A677F0">
              <w:t xml:space="preserve"> to alert organisation to any incident of iatrogenic over sedation.</w:t>
            </w:r>
          </w:p>
        </w:tc>
      </w:tr>
      <w:tr w:rsidR="00700627" w:rsidTr="006A7AF1" w14:paraId="2A29C951" w14:textId="77777777">
        <w:tc>
          <w:tcPr>
            <w:tcW w:w="3397" w:type="dxa"/>
          </w:tcPr>
          <w:p w:rsidRPr="00527774" w:rsidR="00700627" w:rsidP="005A6168" w:rsidRDefault="00527774" w14:paraId="0CA74E78" w14:textId="482DB72C">
            <w:pPr>
              <w:rPr>
                <w:rStyle w:val="TableHeaderColumn"/>
              </w:rPr>
            </w:pPr>
            <w:r w:rsidRPr="00527774">
              <w:rPr>
                <w:rStyle w:val="TableHeaderColumn"/>
              </w:rPr>
              <w:t>Special considerations / additional information</w:t>
            </w:r>
          </w:p>
        </w:tc>
        <w:tc>
          <w:tcPr>
            <w:tcW w:w="5529" w:type="dxa"/>
          </w:tcPr>
          <w:p w:rsidRPr="00A677F0" w:rsidR="008C54DC" w:rsidP="008C54DC" w:rsidRDefault="008C54DC" w14:paraId="110376F4" w14:textId="77777777">
            <w:pPr>
              <w:pStyle w:val="Bulletindent1"/>
            </w:pPr>
            <w:r w:rsidRPr="00A677F0">
              <w:t>Monitor during and after treatment: ECG (electrocardiogram), EtCO</w:t>
            </w:r>
            <w:r w:rsidRPr="00A677F0">
              <w:rPr>
                <w:vertAlign w:val="subscript"/>
              </w:rPr>
              <w:t xml:space="preserve">2 </w:t>
            </w:r>
            <w:r w:rsidRPr="00A677F0">
              <w:t>(end-tidal CO</w:t>
            </w:r>
            <w:r w:rsidRPr="00A677F0">
              <w:rPr>
                <w:vertAlign w:val="subscript"/>
              </w:rPr>
              <w:t>2</w:t>
            </w:r>
            <w:r w:rsidRPr="00A677F0">
              <w:t>), pulse, oximetry, SpO</w:t>
            </w:r>
            <w:r w:rsidRPr="00A677F0">
              <w:rPr>
                <w:vertAlign w:val="subscript"/>
              </w:rPr>
              <w:t>2</w:t>
            </w:r>
            <w:r w:rsidRPr="00A677F0">
              <w:t xml:space="preserve"> (peripheral capillary oxygen saturation) patient alertness and other vital signs such as heart rate, respiratory rate and blood pressure. </w:t>
            </w:r>
          </w:p>
          <w:p w:rsidRPr="00A677F0" w:rsidR="008C54DC" w:rsidP="008C54DC" w:rsidRDefault="008C54DC" w14:paraId="4CF72EC7" w14:textId="77777777">
            <w:pPr>
              <w:pStyle w:val="Bulletindent1"/>
            </w:pPr>
            <w:r>
              <w:t xml:space="preserve">Individuals </w:t>
            </w:r>
            <w:r w:rsidRPr="00A677F0">
              <w:t>should be monitored for seizures during flumazenil administration.</w:t>
            </w:r>
          </w:p>
          <w:p w:rsidRPr="00C26FC6" w:rsidR="008C54DC" w:rsidP="008C54DC" w:rsidRDefault="008C54DC" w14:paraId="41CA74B7" w14:textId="77777777">
            <w:pPr>
              <w:pStyle w:val="Bulletindent1"/>
            </w:pPr>
            <w:r w:rsidRPr="00C26FC6">
              <w:t>If reversed too quickly individuals may become agitated or anxious.</w:t>
            </w:r>
          </w:p>
          <w:p w:rsidRPr="00A677F0" w:rsidR="008C54DC" w:rsidP="008C54DC" w:rsidRDefault="008C54DC" w14:paraId="0EEC63F4" w14:textId="3A6CC107">
            <w:pPr>
              <w:pStyle w:val="Bulletindent1"/>
            </w:pPr>
            <w:r w:rsidRPr="00C26FC6">
              <w:t xml:space="preserve">Flumazenil specifically reverses benzodiazepines. </w:t>
            </w:r>
            <w:r w:rsidRPr="00C26FC6" w:rsidR="00527774">
              <w:t>Therefore,</w:t>
            </w:r>
            <w:r w:rsidRPr="00C26FC6">
              <w:t xml:space="preserve"> if the individual does not wake up, another aetiology or cause should be considered.</w:t>
            </w:r>
          </w:p>
          <w:p w:rsidR="00700627" w:rsidP="008C54DC" w:rsidRDefault="008C54DC" w14:paraId="097A0BF7" w14:textId="1DC34875">
            <w:pPr>
              <w:pStyle w:val="Bulletindent1"/>
            </w:pPr>
            <w:r>
              <w:t>Individual</w:t>
            </w:r>
            <w:r w:rsidRPr="00A677F0">
              <w:t>s who have received flumazenil for the reversal of midazolam effects should be monitored for re-sedation, respiratory depression or other residual midazolam effects for an appropriate period based on the dose and duration of effect of the midazolam employed.</w:t>
            </w:r>
          </w:p>
        </w:tc>
      </w:tr>
      <w:tr w:rsidR="00700627" w:rsidTr="006A7AF1" w14:paraId="2D254ACF" w14:textId="77777777">
        <w:tc>
          <w:tcPr>
            <w:tcW w:w="3397" w:type="dxa"/>
          </w:tcPr>
          <w:p w:rsidRPr="005A6168" w:rsidR="00700627" w:rsidP="005A6168" w:rsidRDefault="008B3958" w14:paraId="4807EA10" w14:textId="15F96C63">
            <w:pPr>
              <w:rPr>
                <w:rStyle w:val="TableHeaderColumn"/>
              </w:rPr>
            </w:pPr>
            <w:r w:rsidRPr="005A6168">
              <w:rPr>
                <w:rStyle w:val="TableHeaderColumn"/>
              </w:rPr>
              <w:t>Written information</w:t>
            </w:r>
            <w:r w:rsidR="006245F7">
              <w:rPr>
                <w:rStyle w:val="TableHeaderColumn"/>
              </w:rPr>
              <w:t xml:space="preserve"> and further advice </w:t>
            </w:r>
            <w:r w:rsidRPr="005A6168" w:rsidR="006245F7">
              <w:rPr>
                <w:rStyle w:val="TableHeaderColumn"/>
              </w:rPr>
              <w:t>to</w:t>
            </w:r>
            <w:r w:rsidRPr="005A6168">
              <w:rPr>
                <w:rStyle w:val="TableHeaderColumn"/>
              </w:rPr>
              <w:t xml:space="preserve"> be given to individual or carer</w:t>
            </w:r>
          </w:p>
        </w:tc>
        <w:tc>
          <w:tcPr>
            <w:tcW w:w="5529" w:type="dxa"/>
          </w:tcPr>
          <w:p w:rsidR="00700627" w:rsidP="008C54DC" w:rsidRDefault="008C54DC" w14:paraId="72AB3536" w14:textId="4A5A99E8">
            <w:pPr>
              <w:pStyle w:val="Tabletext"/>
            </w:pPr>
            <w:r>
              <w:t>None</w:t>
            </w:r>
          </w:p>
        </w:tc>
      </w:tr>
      <w:tr w:rsidR="00700627" w:rsidTr="006A7AF1" w14:paraId="09A371CA" w14:textId="77777777">
        <w:tc>
          <w:tcPr>
            <w:tcW w:w="3397" w:type="dxa"/>
          </w:tcPr>
          <w:p w:rsidRPr="005A6168" w:rsidR="00700627" w:rsidP="005A6168" w:rsidRDefault="00742444" w14:paraId="0AB3BA26" w14:textId="4DA8AED8">
            <w:pPr>
              <w:rPr>
                <w:rStyle w:val="TableHeaderColumn"/>
              </w:rPr>
            </w:pPr>
            <w:r w:rsidRPr="005A6168">
              <w:rPr>
                <w:rStyle w:val="TableHeaderColumn"/>
              </w:rPr>
              <w:t xml:space="preserve">Follow-up </w:t>
            </w:r>
            <w:r w:rsidR="006245F7">
              <w:rPr>
                <w:rStyle w:val="TableHeaderColumn"/>
              </w:rPr>
              <w:t>treatment</w:t>
            </w:r>
          </w:p>
        </w:tc>
        <w:tc>
          <w:tcPr>
            <w:tcW w:w="5529" w:type="dxa"/>
          </w:tcPr>
          <w:p w:rsidR="00700627" w:rsidP="008C54DC" w:rsidRDefault="008C54DC" w14:paraId="2BF8FA34" w14:textId="7EE6BB7B">
            <w:pPr>
              <w:pStyle w:val="Bulletindent1"/>
              <w:numPr>
                <w:ilvl w:val="0"/>
                <w:numId w:val="0"/>
              </w:numPr>
            </w:pPr>
            <w:r>
              <w:t>None</w:t>
            </w:r>
          </w:p>
        </w:tc>
      </w:tr>
      <w:tr w:rsidR="00700627" w:rsidTr="006A7AF1" w14:paraId="589EF44D" w14:textId="77777777">
        <w:tc>
          <w:tcPr>
            <w:tcW w:w="3397" w:type="dxa"/>
          </w:tcPr>
          <w:p w:rsidRPr="005A6168" w:rsidR="00700627" w:rsidP="005A6168" w:rsidRDefault="0097352C" w14:paraId="0194F7E0" w14:textId="7E52FBD6">
            <w:pPr>
              <w:rPr>
                <w:rStyle w:val="TableHeaderColumn"/>
              </w:rPr>
            </w:pPr>
            <w:r w:rsidRPr="005A6168">
              <w:rPr>
                <w:rStyle w:val="TableHeaderColumn"/>
              </w:rPr>
              <w:t>Records to be kept</w:t>
            </w:r>
          </w:p>
        </w:tc>
        <w:tc>
          <w:tcPr>
            <w:tcW w:w="5529" w:type="dxa"/>
          </w:tcPr>
          <w:p w:rsidR="00572A06" w:rsidP="009B62D2" w:rsidRDefault="005D65E1" w14:paraId="5727EFDE" w14:textId="4829DAD9">
            <w:pPr>
              <w:pStyle w:val="Tabletext"/>
              <w:rPr>
                <w:lang w:val="en-GB"/>
              </w:rPr>
            </w:pPr>
            <w:r>
              <w:t xml:space="preserve">The following must be recorded in relation to the </w:t>
            </w:r>
            <w:r w:rsidR="006E59C8">
              <w:rPr>
                <w:lang w:val="en-GB"/>
              </w:rPr>
              <w:t>individual:</w:t>
            </w:r>
            <w:r w:rsidRPr="008D60AD" w:rsidR="008C54DC">
              <w:rPr>
                <w:highlight w:val="cyan"/>
              </w:rPr>
              <w:t xml:space="preserve"> </w:t>
            </w:r>
            <w:r w:rsidR="008C54DC">
              <w:rPr>
                <w:highlight w:val="cyan"/>
              </w:rPr>
              <w:t>[</w:t>
            </w:r>
            <w:r w:rsidRPr="008D60AD" w:rsidR="008C54DC">
              <w:rPr>
                <w:highlight w:val="cyan"/>
              </w:rPr>
              <w:t>in line with local procedures for recording clinical records</w:t>
            </w:r>
            <w:r w:rsidR="008C54DC">
              <w:t>]</w:t>
            </w:r>
          </w:p>
          <w:p w:rsidRPr="00C3573D" w:rsidR="000B64DF" w:rsidP="000B64DF" w:rsidRDefault="000B64DF" w14:paraId="18BEB58A" w14:textId="77777777">
            <w:pPr>
              <w:pStyle w:val="Bulletindent1"/>
            </w:pPr>
            <w:r>
              <w:t>name of individual, address, date of birth and GP with whom the individual is registered (if relevant and/</w:t>
            </w:r>
            <w:r w:rsidRPr="00C3573D">
              <w:t xml:space="preserve">or available)  </w:t>
            </w:r>
          </w:p>
          <w:p w:rsidRPr="00C3573D" w:rsidR="000B64DF" w:rsidP="000B64DF" w:rsidRDefault="000B64DF" w14:paraId="67473886" w14:textId="77777777">
            <w:pPr>
              <w:pStyle w:val="Bulletindent1"/>
            </w:pPr>
            <w:r w:rsidRPr="00C3573D">
              <w:t>name and profession of practitioner</w:t>
            </w:r>
          </w:p>
          <w:p w:rsidRPr="00C3573D" w:rsidR="000B64DF" w:rsidP="000B64DF" w:rsidRDefault="000B64DF" w14:paraId="32505684" w14:textId="77777777">
            <w:pPr>
              <w:pStyle w:val="Bulletindent1"/>
            </w:pPr>
            <w:r w:rsidRPr="00C3573D">
              <w:t xml:space="preserve">name of medication administered </w:t>
            </w:r>
          </w:p>
          <w:p w:rsidRPr="00C3573D" w:rsidR="000B64DF" w:rsidP="000B64DF" w:rsidRDefault="000B64DF" w14:paraId="4F13E26A" w14:textId="77777777">
            <w:pPr>
              <w:pStyle w:val="Bulletindent1"/>
            </w:pPr>
            <w:r w:rsidRPr="00C3573D">
              <w:t>date of administration</w:t>
            </w:r>
          </w:p>
          <w:p w:rsidR="000B64DF" w:rsidP="000B64DF" w:rsidRDefault="000B64DF" w14:paraId="48E1DBE4" w14:textId="77777777">
            <w:pPr>
              <w:pStyle w:val="Bulletindent1"/>
            </w:pPr>
            <w:r>
              <w:t xml:space="preserve">dose, form and route of administration </w:t>
            </w:r>
          </w:p>
          <w:p w:rsidR="000B64DF" w:rsidP="000B64DF" w:rsidRDefault="000B64DF" w14:paraId="1BBD9C70" w14:textId="77777777">
            <w:pPr>
              <w:pStyle w:val="Bulletindent1"/>
            </w:pPr>
            <w:r>
              <w:t xml:space="preserve">batch number and expiry date </w:t>
            </w:r>
          </w:p>
          <w:p w:rsidR="000B64DF" w:rsidP="000B64DF" w:rsidRDefault="000B64DF" w14:paraId="542729A9" w14:textId="77777777">
            <w:pPr>
              <w:pStyle w:val="Bulletindent1"/>
            </w:pPr>
            <w:r>
              <w:t>quantity administered</w:t>
            </w:r>
          </w:p>
          <w:p w:rsidR="000B64DF" w:rsidP="000B64DF" w:rsidRDefault="000B64DF" w14:paraId="7D762257" w14:textId="77777777">
            <w:pPr>
              <w:pStyle w:val="Bulletindent1"/>
            </w:pPr>
            <w:r>
              <w:t xml:space="preserve">anatomical site of administration </w:t>
            </w:r>
          </w:p>
          <w:p w:rsidR="000B64DF" w:rsidP="000B64DF" w:rsidRDefault="000B64DF" w14:paraId="38105DAA" w14:textId="77777777">
            <w:pPr>
              <w:pStyle w:val="Bulletindent1"/>
            </w:pPr>
            <w:r>
              <w:t>advice given, including advice given if excluded or declines treatment</w:t>
            </w:r>
          </w:p>
          <w:p w:rsidRPr="00805E92" w:rsidR="000B64DF" w:rsidP="000B64DF" w:rsidRDefault="000B64DF" w14:paraId="66E6188C" w14:textId="77777777">
            <w:pPr>
              <w:pStyle w:val="Bulletindent1"/>
            </w:pPr>
            <w:r>
              <w:t>details of any adverse drug reactions and actions taken</w:t>
            </w:r>
          </w:p>
          <w:p w:rsidRPr="00805E92" w:rsidR="000B64DF" w:rsidP="000B64DF" w:rsidRDefault="000B64DF" w14:paraId="2448B23D" w14:textId="77777777">
            <w:pPr>
              <w:pStyle w:val="Bulletindent1"/>
            </w:pPr>
            <w:r w:rsidRPr="00805E92">
              <w:t>administered via Patient Group Direction (PGD)</w:t>
            </w:r>
          </w:p>
          <w:p w:rsidRPr="00490073" w:rsidR="000B64DF" w:rsidP="000B64DF" w:rsidRDefault="000B64DF" w14:paraId="13EA9FE9" w14:textId="77777777">
            <w:pPr>
              <w:pStyle w:val="Bulletindent1"/>
            </w:pPr>
            <w:r w:rsidRPr="00805E92">
              <w:t>Record that consent refused</w:t>
            </w:r>
            <w:r w:rsidRPr="00490073">
              <w:t xml:space="preserve"> – if consent refused record actions taken. </w:t>
            </w:r>
          </w:p>
          <w:p w:rsidR="00700627" w:rsidP="000B64DF" w:rsidRDefault="000B64DF" w14:paraId="4F806252" w14:textId="77777777">
            <w:pPr>
              <w:pStyle w:val="Bulletindent1"/>
            </w:pPr>
            <w:r>
              <w:t>Record details of and outcomes to any discussion with clinician/s under Cautions section of the PGD</w:t>
            </w:r>
          </w:p>
          <w:p w:rsidR="000B64DF" w:rsidP="000B64DF" w:rsidRDefault="000B64DF" w14:paraId="5616CAB5" w14:textId="6E6365A0">
            <w:pPr>
              <w:pStyle w:val="Tabletext"/>
            </w:pPr>
            <w:r>
              <w:t xml:space="preserve">Records should be signed and dated (or </w:t>
            </w:r>
            <w:r w:rsidR="006E59C8">
              <w:t>password-controlled</w:t>
            </w:r>
            <w:r>
              <w:t xml:space="preserve"> e-records). </w:t>
            </w:r>
          </w:p>
          <w:p w:rsidR="000B64DF" w:rsidP="000B64DF" w:rsidRDefault="000B64DF" w14:paraId="436B60B0" w14:textId="77777777">
            <w:pPr>
              <w:pStyle w:val="Tabletext"/>
            </w:pPr>
            <w:r>
              <w:t>All records should be clear, legible and contemporaneous.</w:t>
            </w:r>
          </w:p>
          <w:p w:rsidR="000B64DF" w:rsidP="000B64DF" w:rsidRDefault="000B64DF" w14:paraId="4AF5F403" w14:textId="2A45A344">
            <w:pPr>
              <w:pStyle w:val="Tabletext"/>
            </w:pPr>
            <w:r>
              <w:t>A record of all individuals receiving treatment under this PGD should also be kept for audit purposes [</w:t>
            </w:r>
            <w:r w:rsidRPr="00A677F0">
              <w:rPr>
                <w:highlight w:val="cyan"/>
              </w:rPr>
              <w:t>in accordance with local policy.</w:t>
            </w:r>
            <w:r>
              <w:t>]</w:t>
            </w:r>
          </w:p>
        </w:tc>
      </w:tr>
    </w:tbl>
    <w:p w:rsidRPr="00BB2599" w:rsidR="00BB2599" w:rsidP="005A6168" w:rsidRDefault="00BB2599" w14:paraId="53B0192F" w14:textId="77777777">
      <w:pPr>
        <w:pStyle w:val="PGDNormal"/>
      </w:pPr>
    </w:p>
    <w:bookmarkEnd w:id="3"/>
    <w:p w:rsidR="00725927" w:rsidP="00BB2C75" w:rsidRDefault="00725927" w14:paraId="74DEDA30" w14:textId="4461B307">
      <w:pPr>
        <w:pStyle w:val="Heading1"/>
      </w:pPr>
      <w:r w:rsidRPr="00DF77C7">
        <w:t xml:space="preserve">Key references </w:t>
      </w:r>
      <w:r w:rsidRPr="00DF77C7" w:rsidR="00510425">
        <w:t>(accessed</w:t>
      </w:r>
      <w:r w:rsidRPr="00DF77C7" w:rsidR="00D0044C">
        <w:t xml:space="preserve"> </w:t>
      </w:r>
      <w:r w:rsidR="00527774">
        <w:t>January 2025</w:t>
      </w:r>
      <w:r w:rsidRPr="00DF77C7" w:rsidR="00510425">
        <w:t>)</w:t>
      </w:r>
    </w:p>
    <w:p w:rsidRPr="00527774" w:rsidR="00CE7FFC" w:rsidP="00877396" w:rsidRDefault="005D2EA4" w14:paraId="50E4146D" w14:textId="6111DFFC">
      <w:pPr>
        <w:pStyle w:val="Bulletindent1"/>
      </w:pPr>
      <w:hyperlink w:history="1" r:id="rId24">
        <w:r w:rsidRPr="005D2EA4">
          <w:rPr>
            <w:rStyle w:val="Hyperlink"/>
          </w:rPr>
          <w:t>EMC Summary of Characteristics (SmPC)</w:t>
        </w:r>
      </w:hyperlink>
    </w:p>
    <w:p w:rsidRPr="00A24468" w:rsidR="00CE7FFC" w:rsidP="00877396" w:rsidRDefault="00CE7FFC" w14:paraId="78F36D10" w14:textId="04E83611">
      <w:pPr>
        <w:pStyle w:val="Bulletindent1"/>
        <w:rPr>
          <w:color w:val="0000FF"/>
          <w:u w:val="single"/>
        </w:rPr>
      </w:pPr>
      <w:hyperlink w:history="1" r:id="rId25">
        <w:r w:rsidRPr="00CE7FFC">
          <w:rPr>
            <w:rStyle w:val="Hyperlink"/>
          </w:rPr>
          <w:t>Current editio</w:t>
        </w:r>
        <w:r w:rsidRPr="00CE7FFC">
          <w:rPr>
            <w:rStyle w:val="Hyperlink"/>
          </w:rPr>
          <w:t>n</w:t>
        </w:r>
        <w:r w:rsidRPr="00CE7FFC">
          <w:rPr>
            <w:rStyle w:val="Hyperlink"/>
          </w:rPr>
          <w:t xml:space="preserve"> of British National Formulary</w:t>
        </w:r>
      </w:hyperlink>
    </w:p>
    <w:p w:rsidRPr="00A24468" w:rsidR="00A24468" w:rsidP="00877396" w:rsidRDefault="00A24468" w14:paraId="0E9E95CD" w14:textId="2D3135F0">
      <w:pPr>
        <w:pStyle w:val="Bulletindent1"/>
        <w:rPr>
          <w:color w:val="0000FF"/>
          <w:u w:val="single"/>
        </w:rPr>
      </w:pPr>
      <w:hyperlink w:history="1" r:id="rId26">
        <w:r w:rsidRPr="00A24468">
          <w:rPr>
            <w:rStyle w:val="Hyperlink"/>
            <w:rFonts w:cs="Arial"/>
            <w:szCs w:val="22"/>
          </w:rPr>
          <w:t>Reference guide to consent for examination or treatment</w:t>
        </w:r>
      </w:hyperlink>
    </w:p>
    <w:p w:rsidR="007D0D15" w:rsidP="00A24468" w:rsidRDefault="00A24468" w14:paraId="486FBEC6" w14:textId="5ECC3E6F">
      <w:pPr>
        <w:pStyle w:val="Bulletindent1"/>
      </w:pPr>
      <w:hyperlink w:history="1" r:id="rId27">
        <w:r>
          <w:rPr>
            <w:rStyle w:val="Hyperlink"/>
          </w:rPr>
          <w:t>NICE Patient group directions, Medicines practice guideline MPG2 Last updated 27 March 2017</w:t>
        </w:r>
      </w:hyperlink>
    </w:p>
    <w:p w:rsidRPr="007D0D15" w:rsidR="00A24468" w:rsidP="00A24468" w:rsidRDefault="00742369" w14:paraId="11994365" w14:textId="3FC44363">
      <w:pPr>
        <w:pStyle w:val="Bulletindent1"/>
        <w:rPr>
          <w:rStyle w:val="Hyperlink"/>
        </w:rPr>
      </w:pPr>
      <w:hyperlink w:history="1" r:id="rId28">
        <w:r w:rsidRPr="00742369" w:rsidR="00A24468">
          <w:rPr>
            <w:rStyle w:val="Hyperlink"/>
          </w:rPr>
          <w:t>JRCALC guideline</w:t>
        </w:r>
        <w:r w:rsidRPr="00742369">
          <w:rPr>
            <w:rStyle w:val="Hyperlink"/>
          </w:rPr>
          <w:t>s</w:t>
        </w:r>
      </w:hyperlink>
    </w:p>
    <w:p w:rsidRPr="00533F89" w:rsidR="00533F89" w:rsidP="00877396" w:rsidRDefault="00742369" w14:paraId="068AB94A" w14:textId="19FD8BB4">
      <w:pPr>
        <w:pStyle w:val="Bulletindent1"/>
      </w:pPr>
      <w:hyperlink w:history="1" r:id="rId29">
        <w:r w:rsidRPr="00742369" w:rsidR="00A24468">
          <w:rPr>
            <w:rStyle w:val="Hyperlink"/>
            <w:rFonts w:cs="Arial"/>
            <w:szCs w:val="22"/>
          </w:rPr>
          <w:t>Resuscitation Council (UK)</w:t>
        </w:r>
      </w:hyperlink>
      <w:r w:rsidRPr="00A677F0" w:rsidR="00A24468">
        <w:rPr>
          <w:rFonts w:cs="Arial"/>
          <w:szCs w:val="22"/>
        </w:rPr>
        <w:t xml:space="preserve"> </w:t>
      </w:r>
      <w:r w:rsidRPr="00877396" w:rsidR="007A1448">
        <w:rPr>
          <w:rStyle w:val="Hyperlink"/>
        </w:rPr>
        <w:br w:type="page"/>
      </w:r>
      <w:bookmarkEnd w:id="0"/>
      <w:bookmarkEnd w:id="1"/>
      <w:bookmarkEnd w:id="2"/>
      <w:r w:rsidRPr="00533F89" w:rsidR="00510425">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0"/>
      <w:headerReference w:type="default" r:id="rId31"/>
      <w:footerReference w:type="default" r:id="rId32"/>
      <w:headerReference w:type="first" r:id="rId33"/>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C23AA3"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C23AA3"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C23AA3"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14"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15"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16"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1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1"/>
  </w:num>
  <w:num w:numId="2" w16cid:durableId="460340545">
    <w:abstractNumId w:val="6"/>
  </w:num>
  <w:num w:numId="3" w16cid:durableId="862549155">
    <w:abstractNumId w:val="14"/>
  </w:num>
  <w:num w:numId="4" w16cid:durableId="1902785077">
    <w:abstractNumId w:val="15"/>
  </w:num>
  <w:num w:numId="5" w16cid:durableId="1400252542">
    <w:abstractNumId w:val="9"/>
  </w:num>
  <w:num w:numId="6" w16cid:durableId="585113440">
    <w:abstractNumId w:val="5"/>
  </w:num>
  <w:num w:numId="7" w16cid:durableId="1512915418">
    <w:abstractNumId w:val="13"/>
  </w:num>
  <w:num w:numId="8" w16cid:durableId="759831936">
    <w:abstractNumId w:val="17"/>
  </w:num>
  <w:num w:numId="9" w16cid:durableId="1747412429">
    <w:abstractNumId w:val="1"/>
  </w:num>
  <w:num w:numId="10" w16cid:durableId="1297833641">
    <w:abstractNumId w:val="0"/>
  </w:num>
  <w:num w:numId="11" w16cid:durableId="1684160055">
    <w:abstractNumId w:val="16"/>
  </w:num>
  <w:num w:numId="12" w16cid:durableId="1610894224">
    <w:abstractNumId w:val="18"/>
  </w:num>
  <w:num w:numId="13" w16cid:durableId="1880973297">
    <w:abstractNumId w:val="8"/>
  </w:num>
  <w:num w:numId="14" w16cid:durableId="77676389">
    <w:abstractNumId w:val="2"/>
  </w:num>
  <w:num w:numId="15" w16cid:durableId="1496384920">
    <w:abstractNumId w:val="7"/>
  </w:num>
  <w:num w:numId="16" w16cid:durableId="441388192">
    <w:abstractNumId w:val="12"/>
    <w:lvlOverride w:ilvl="0">
      <w:startOverride w:val="1"/>
    </w:lvlOverride>
  </w:num>
  <w:num w:numId="17" w16cid:durableId="73867840">
    <w:abstractNumId w:val="3"/>
    <w:lvlOverride w:ilvl="0">
      <w:startOverride w:val="1"/>
    </w:lvlOverride>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4DF"/>
    <w:rsid w:val="000B6CB9"/>
    <w:rsid w:val="000C2D31"/>
    <w:rsid w:val="000D7704"/>
    <w:rsid w:val="000E2765"/>
    <w:rsid w:val="000E2E30"/>
    <w:rsid w:val="000E2E96"/>
    <w:rsid w:val="000E4DDA"/>
    <w:rsid w:val="000E6EC0"/>
    <w:rsid w:val="000E71C7"/>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166EB"/>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2EBC"/>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5FD0"/>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1517"/>
    <w:rsid w:val="0048223A"/>
    <w:rsid w:val="004826F5"/>
    <w:rsid w:val="00482D75"/>
    <w:rsid w:val="004870F8"/>
    <w:rsid w:val="00490B13"/>
    <w:rsid w:val="00490E24"/>
    <w:rsid w:val="00492064"/>
    <w:rsid w:val="004921B6"/>
    <w:rsid w:val="004A295D"/>
    <w:rsid w:val="004A34E1"/>
    <w:rsid w:val="004A6A7F"/>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0D2B"/>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27774"/>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2EA4"/>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9C8"/>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36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52B6"/>
    <w:rsid w:val="00797CA6"/>
    <w:rsid w:val="007A04E2"/>
    <w:rsid w:val="007A06E9"/>
    <w:rsid w:val="007A1448"/>
    <w:rsid w:val="007A1BBB"/>
    <w:rsid w:val="007A276C"/>
    <w:rsid w:val="007B3B09"/>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54DC"/>
    <w:rsid w:val="008C6AC3"/>
    <w:rsid w:val="008D186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C9F"/>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038A"/>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4468"/>
    <w:rsid w:val="00A2599A"/>
    <w:rsid w:val="00A30EAB"/>
    <w:rsid w:val="00A31113"/>
    <w:rsid w:val="00A32FA7"/>
    <w:rsid w:val="00A33B77"/>
    <w:rsid w:val="00A420AE"/>
    <w:rsid w:val="00A430E9"/>
    <w:rsid w:val="00A4438D"/>
    <w:rsid w:val="00A45230"/>
    <w:rsid w:val="00A45375"/>
    <w:rsid w:val="00A45923"/>
    <w:rsid w:val="00A45A11"/>
    <w:rsid w:val="00A45CE9"/>
    <w:rsid w:val="00A5060A"/>
    <w:rsid w:val="00A50DD9"/>
    <w:rsid w:val="00A51727"/>
    <w:rsid w:val="00A548D5"/>
    <w:rsid w:val="00A55ADE"/>
    <w:rsid w:val="00A6013E"/>
    <w:rsid w:val="00A61B1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93051"/>
    <w:rsid w:val="00BA19CD"/>
    <w:rsid w:val="00BA4095"/>
    <w:rsid w:val="00BA57B1"/>
    <w:rsid w:val="00BA6AF1"/>
    <w:rsid w:val="00BB2599"/>
    <w:rsid w:val="00BB2C75"/>
    <w:rsid w:val="00BB3155"/>
    <w:rsid w:val="00BB4BE8"/>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6536"/>
    <w:rsid w:val="00C17411"/>
    <w:rsid w:val="00C22683"/>
    <w:rsid w:val="00C22834"/>
    <w:rsid w:val="00C23AA3"/>
    <w:rsid w:val="00C25DE0"/>
    <w:rsid w:val="00C25F31"/>
    <w:rsid w:val="00C2654A"/>
    <w:rsid w:val="00C30646"/>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A56F8"/>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 w:val="45429358"/>
    <w:rsid w:val="69721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1517"/>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481517"/>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4815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481517"/>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481517"/>
    <w:pPr>
      <w:spacing w:before="200"/>
      <w:outlineLvl w:val="3"/>
    </w:pPr>
    <w:rPr>
      <w:rFonts w:ascii="Cambria" w:hAnsi="Cambria"/>
      <w:b/>
      <w:bCs/>
      <w:i/>
      <w:iCs/>
    </w:rPr>
  </w:style>
  <w:style w:type="paragraph" w:styleId="Heading5">
    <w:name w:val="heading 5"/>
    <w:basedOn w:val="Normal"/>
    <w:next w:val="Normal"/>
    <w:link w:val="Heading5Char"/>
    <w:uiPriority w:val="9"/>
    <w:qFormat/>
    <w:rsid w:val="0048151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48151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481517"/>
    <w:pPr>
      <w:outlineLvl w:val="6"/>
    </w:pPr>
    <w:rPr>
      <w:rFonts w:ascii="Cambria" w:hAnsi="Cambria"/>
      <w:i/>
      <w:iCs/>
    </w:rPr>
  </w:style>
  <w:style w:type="paragraph" w:styleId="Heading8">
    <w:name w:val="heading 8"/>
    <w:basedOn w:val="Normal"/>
    <w:next w:val="Normal"/>
    <w:link w:val="Heading8Char"/>
    <w:uiPriority w:val="9"/>
    <w:qFormat/>
    <w:rsid w:val="00481517"/>
    <w:pPr>
      <w:outlineLvl w:val="7"/>
    </w:pPr>
    <w:rPr>
      <w:rFonts w:ascii="Cambria" w:hAnsi="Cambria"/>
    </w:rPr>
  </w:style>
  <w:style w:type="paragraph" w:styleId="Heading9">
    <w:name w:val="heading 9"/>
    <w:basedOn w:val="Normal"/>
    <w:next w:val="Normal"/>
    <w:link w:val="Heading9Char"/>
    <w:uiPriority w:val="9"/>
    <w:qFormat/>
    <w:rsid w:val="00481517"/>
    <w:pPr>
      <w:outlineLvl w:val="8"/>
    </w:pPr>
    <w:rPr>
      <w:rFonts w:ascii="Cambria" w:hAnsi="Cambria"/>
      <w:i/>
      <w:iCs/>
      <w:spacing w:val="5"/>
    </w:rPr>
  </w:style>
  <w:style w:type="character" w:styleId="DefaultParagraphFont" w:default="1">
    <w:name w:val="Default Paragraph Font"/>
    <w:uiPriority w:val="1"/>
    <w:unhideWhenUsed/>
    <w:rsid w:val="00481517"/>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481517"/>
  </w:style>
  <w:style w:type="paragraph" w:styleId="NICEnormal" w:customStyle="1">
    <w:name w:val="NICE normal"/>
    <w:rsid w:val="00481517"/>
    <w:pPr>
      <w:spacing w:after="240" w:line="360" w:lineRule="auto"/>
    </w:pPr>
    <w:rPr>
      <w:rFonts w:ascii="Arial" w:hAnsi="Arial" w:eastAsia="Times New Roman"/>
      <w:lang w:val="en-US" w:eastAsia="en-US"/>
    </w:rPr>
  </w:style>
  <w:style w:type="character" w:styleId="NICEnormalChar" w:customStyle="1">
    <w:name w:val="NICE normal Char"/>
    <w:rsid w:val="00481517"/>
    <w:rPr>
      <w:rFonts w:ascii="Arial" w:hAnsi="Arial" w:eastAsia="Times New Roman"/>
      <w:sz w:val="24"/>
      <w:szCs w:val="24"/>
      <w:lang w:val="en-GB" w:eastAsia="en-US" w:bidi="ar-SA"/>
    </w:rPr>
  </w:style>
  <w:style w:type="character" w:styleId="Heading1Char" w:customStyle="1">
    <w:name w:val="Heading 1 Char"/>
    <w:link w:val="Heading1"/>
    <w:uiPriority w:val="1"/>
    <w:rsid w:val="00481517"/>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481517"/>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481517"/>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481517"/>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481517"/>
    <w:pPr>
      <w:ind w:left="720"/>
      <w:contextualSpacing/>
    </w:pPr>
    <w:rPr>
      <w:rFonts w:eastAsia="Calibri"/>
    </w:rPr>
  </w:style>
  <w:style w:type="character" w:styleId="Hyperlink">
    <w:name w:val="Hyperlink"/>
    <w:uiPriority w:val="99"/>
    <w:rsid w:val="00481517"/>
    <w:rPr>
      <w:color w:val="0000FF"/>
      <w:u w:val="single"/>
    </w:rPr>
  </w:style>
  <w:style w:type="paragraph" w:styleId="Header">
    <w:name w:val="header"/>
    <w:basedOn w:val="Normal"/>
    <w:link w:val="HeaderChar"/>
    <w:uiPriority w:val="99"/>
    <w:rsid w:val="00481517"/>
    <w:pPr>
      <w:tabs>
        <w:tab w:val="center" w:pos="4513"/>
        <w:tab w:val="right" w:pos="9026"/>
      </w:tabs>
    </w:pPr>
    <w:rPr>
      <w:rFonts w:ascii="Arial" w:hAnsi="Arial"/>
    </w:rPr>
  </w:style>
  <w:style w:type="paragraph" w:styleId="NICEnormaldoublespacing" w:customStyle="1">
    <w:name w:val="NICE normal double spacing"/>
    <w:basedOn w:val="NICEnormal"/>
    <w:rsid w:val="00481517"/>
  </w:style>
  <w:style w:type="character" w:styleId="HeaderChar" w:customStyle="1">
    <w:name w:val="Header Char"/>
    <w:link w:val="Header"/>
    <w:uiPriority w:val="99"/>
    <w:rsid w:val="00481517"/>
    <w:rPr>
      <w:rFonts w:ascii="Arial" w:hAnsi="Arial" w:eastAsiaTheme="minorHAnsi"/>
      <w:kern w:val="2"/>
      <w:lang w:eastAsia="en-US"/>
      <w14:ligatures w14:val="standardContextual"/>
    </w:rPr>
  </w:style>
  <w:style w:type="paragraph" w:styleId="Footer">
    <w:name w:val="footer"/>
    <w:basedOn w:val="Normal"/>
    <w:link w:val="FooterChar"/>
    <w:uiPriority w:val="99"/>
    <w:rsid w:val="00481517"/>
    <w:pPr>
      <w:tabs>
        <w:tab w:val="center" w:pos="4513"/>
        <w:tab w:val="right" w:pos="9026"/>
      </w:tabs>
    </w:pPr>
    <w:rPr>
      <w:rFonts w:ascii="Arial" w:hAnsi="Arial"/>
    </w:rPr>
  </w:style>
  <w:style w:type="character" w:styleId="FooterChar" w:customStyle="1">
    <w:name w:val="Footer Char"/>
    <w:link w:val="Footer"/>
    <w:uiPriority w:val="99"/>
    <w:rsid w:val="00481517"/>
    <w:rPr>
      <w:rFonts w:ascii="Arial" w:hAnsi="Arial" w:eastAsiaTheme="minorHAnsi"/>
      <w:kern w:val="2"/>
      <w:lang w:eastAsia="en-US"/>
      <w14:ligatures w14:val="standardContextual"/>
    </w:rPr>
  </w:style>
  <w:style w:type="paragraph" w:styleId="Style1" w:customStyle="1">
    <w:name w:val="Style1"/>
    <w:basedOn w:val="Normal"/>
    <w:autoRedefine/>
    <w:rsid w:val="00481517"/>
    <w:pPr>
      <w:keepNext/>
      <w:spacing w:line="360" w:lineRule="auto"/>
      <w:ind w:left="567"/>
    </w:pPr>
    <w:rPr>
      <w:rFonts w:ascii="Arial" w:hAnsi="Arial" w:cs="Arial"/>
      <w:szCs w:val="16"/>
    </w:rPr>
  </w:style>
  <w:style w:type="paragraph" w:styleId="Unnumberedboldheading" w:customStyle="1">
    <w:name w:val="Unnumbered bold heading"/>
    <w:next w:val="NICEnormal"/>
    <w:rsid w:val="00481517"/>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481517"/>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48151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81517"/>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481517"/>
  </w:style>
  <w:style w:type="paragraph" w:styleId="Introtext" w:customStyle="1">
    <w:name w:val="Intro text"/>
    <w:basedOn w:val="PGDNormal"/>
    <w:rsid w:val="00481517"/>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481517"/>
    <w:pPr>
      <w:tabs>
        <w:tab w:val="num" w:pos="360"/>
      </w:tabs>
    </w:pPr>
    <w:rPr>
      <w:szCs w:val="24"/>
    </w:rPr>
  </w:style>
  <w:style w:type="character" w:styleId="Numberedheading1CharChar" w:customStyle="1">
    <w:name w:val="Numbered heading 1 Char Char"/>
    <w:link w:val="Numberedheading1"/>
    <w:rsid w:val="00481517"/>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481517"/>
    <w:pPr>
      <w:tabs>
        <w:tab w:val="num" w:pos="360"/>
      </w:tabs>
    </w:pPr>
  </w:style>
  <w:style w:type="character" w:styleId="Numberedheading2Char" w:customStyle="1">
    <w:name w:val="Numbered heading 2 Char"/>
    <w:basedOn w:val="Heading2Char"/>
    <w:link w:val="Numberedheading2"/>
    <w:rsid w:val="00481517"/>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481517"/>
    <w:pPr>
      <w:tabs>
        <w:tab w:val="num" w:pos="360"/>
      </w:tabs>
    </w:pPr>
    <w:rPr>
      <w:sz w:val="26"/>
    </w:rPr>
  </w:style>
  <w:style w:type="paragraph" w:styleId="Numberedlevel4text" w:customStyle="1">
    <w:name w:val="Numbered level 4 text"/>
    <w:basedOn w:val="NICEnormal"/>
    <w:next w:val="NICEnormal"/>
    <w:rsid w:val="00481517"/>
    <w:pPr>
      <w:tabs>
        <w:tab w:val="num" w:pos="360"/>
      </w:tabs>
    </w:pPr>
  </w:style>
  <w:style w:type="paragraph" w:styleId="Numberedlevel3text" w:customStyle="1">
    <w:name w:val="Numbered level 3 text"/>
    <w:basedOn w:val="Numberedheading3"/>
    <w:rsid w:val="00481517"/>
    <w:pPr>
      <w:spacing w:after="240"/>
    </w:pPr>
    <w:rPr>
      <w:b w:val="0"/>
      <w:sz w:val="24"/>
    </w:rPr>
  </w:style>
  <w:style w:type="paragraph" w:styleId="Bulletindent2" w:customStyle="1">
    <w:name w:val="Bullet indent 2"/>
    <w:basedOn w:val="NICEnormal"/>
    <w:rsid w:val="00481517"/>
    <w:pPr>
      <w:tabs>
        <w:tab w:val="num" w:pos="360"/>
      </w:tabs>
      <w:spacing w:after="0"/>
      <w:ind w:left="1702" w:hanging="284"/>
    </w:pPr>
  </w:style>
  <w:style w:type="paragraph" w:styleId="Title16ptleft" w:customStyle="1">
    <w:name w:val="Title 16 pt left"/>
    <w:basedOn w:val="Title16pt"/>
    <w:rsid w:val="00481517"/>
  </w:style>
  <w:style w:type="paragraph" w:styleId="Bulletleft1" w:customStyle="1">
    <w:name w:val="Bullet left 1"/>
    <w:basedOn w:val="NICEnormal"/>
    <w:rsid w:val="00481517"/>
    <w:pPr>
      <w:tabs>
        <w:tab w:val="num" w:pos="360"/>
      </w:tabs>
      <w:spacing w:after="0"/>
    </w:pPr>
  </w:style>
  <w:style w:type="character" w:styleId="Bulletleft1Char" w:customStyle="1">
    <w:name w:val="Bullet left 1 Char"/>
    <w:basedOn w:val="NICEnormalChar"/>
    <w:rsid w:val="00481517"/>
    <w:rPr>
      <w:rFonts w:ascii="Arial" w:hAnsi="Arial" w:eastAsia="Times New Roman"/>
      <w:sz w:val="24"/>
      <w:szCs w:val="24"/>
      <w:lang w:val="en-GB" w:eastAsia="en-US" w:bidi="ar-SA"/>
    </w:rPr>
  </w:style>
  <w:style w:type="paragraph" w:styleId="Bulletleft2" w:customStyle="1">
    <w:name w:val="Bullet left 2"/>
    <w:basedOn w:val="NICEnormal"/>
    <w:rsid w:val="00481517"/>
    <w:pPr>
      <w:tabs>
        <w:tab w:val="num" w:pos="360"/>
      </w:tabs>
      <w:spacing w:after="0"/>
      <w:ind w:left="568" w:hanging="284"/>
    </w:pPr>
  </w:style>
  <w:style w:type="paragraph" w:styleId="Bulletleft3" w:customStyle="1">
    <w:name w:val="Bullet left 3"/>
    <w:basedOn w:val="NICEnormal"/>
    <w:rsid w:val="00481517"/>
    <w:pPr>
      <w:tabs>
        <w:tab w:val="num" w:pos="360"/>
      </w:tabs>
      <w:spacing w:after="0"/>
    </w:pPr>
  </w:style>
  <w:style w:type="paragraph" w:styleId="Bulletindent1" w:customStyle="1">
    <w:name w:val="Bullet indent 1"/>
    <w:basedOn w:val="NICEnormal"/>
    <w:rsid w:val="00481517"/>
    <w:pPr>
      <w:numPr>
        <w:numId w:val="15"/>
      </w:numPr>
      <w:spacing w:before="120" w:after="120" w:line="240" w:lineRule="auto"/>
    </w:pPr>
    <w:rPr>
      <w:sz w:val="22"/>
      <w:lang w:val="en-GB"/>
    </w:rPr>
  </w:style>
  <w:style w:type="paragraph" w:styleId="Bulletindent3" w:customStyle="1">
    <w:name w:val="Bullet indent 3"/>
    <w:basedOn w:val="NICEnormal"/>
    <w:rsid w:val="00481517"/>
    <w:pPr>
      <w:tabs>
        <w:tab w:val="num" w:pos="360"/>
      </w:tabs>
      <w:spacing w:after="0"/>
    </w:pPr>
  </w:style>
  <w:style w:type="paragraph" w:styleId="Numberedlevel2text" w:customStyle="1">
    <w:name w:val="Numbered level 2 text"/>
    <w:basedOn w:val="Numberedheading2"/>
    <w:rsid w:val="00481517"/>
    <w:pPr>
      <w:spacing w:after="240"/>
    </w:pPr>
    <w:rPr>
      <w:b/>
      <w:i/>
    </w:rPr>
  </w:style>
  <w:style w:type="paragraph" w:styleId="Bulletleft1last" w:customStyle="1">
    <w:name w:val="Bullet left 1 last"/>
    <w:basedOn w:val="NICEnormal"/>
    <w:rsid w:val="00481517"/>
    <w:pPr>
      <w:tabs>
        <w:tab w:val="num" w:pos="360"/>
      </w:tabs>
    </w:pPr>
    <w:rPr>
      <w:rFonts w:cs="Arial"/>
    </w:rPr>
  </w:style>
  <w:style w:type="character" w:styleId="Bulletleft1lastChar" w:customStyle="1">
    <w:name w:val="Bullet left 1 last Char"/>
    <w:rsid w:val="00481517"/>
    <w:rPr>
      <w:rFonts w:ascii="Arial" w:hAnsi="Arial" w:eastAsia="Times New Roman" w:cs="Arial"/>
      <w:sz w:val="24"/>
      <w:szCs w:val="24"/>
      <w:lang w:eastAsia="en-US"/>
    </w:rPr>
  </w:style>
  <w:style w:type="paragraph" w:styleId="boxedtext" w:customStyle="1">
    <w:name w:val="boxed text"/>
    <w:basedOn w:val="NICEnormal"/>
    <w:rsid w:val="00481517"/>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481517"/>
    <w:rPr>
      <w:rFonts w:ascii="Arial" w:hAnsi="Arial"/>
      <w:sz w:val="24"/>
    </w:rPr>
  </w:style>
  <w:style w:type="paragraph" w:styleId="Bulletindent1last" w:customStyle="1">
    <w:name w:val="Bullet indent 1 last"/>
    <w:basedOn w:val="NICEnormal"/>
    <w:next w:val="NICEnormal"/>
    <w:rsid w:val="00481517"/>
    <w:pPr>
      <w:numPr>
        <w:numId w:val="11"/>
      </w:numPr>
    </w:pPr>
    <w:rPr>
      <w:sz w:val="22"/>
      <w:lang w:val="en-GB"/>
    </w:rPr>
  </w:style>
  <w:style w:type="paragraph" w:styleId="NICEnormalindented" w:customStyle="1">
    <w:name w:val="NICE normal indented"/>
    <w:basedOn w:val="NICEnormal"/>
    <w:rsid w:val="00481517"/>
    <w:pPr>
      <w:tabs>
        <w:tab w:val="left" w:pos="1134"/>
      </w:tabs>
      <w:ind w:left="1134"/>
    </w:pPr>
  </w:style>
  <w:style w:type="paragraph" w:styleId="Tabletitle" w:customStyle="1">
    <w:name w:val="Table title"/>
    <w:basedOn w:val="NICEnormal"/>
    <w:next w:val="NICEnormal"/>
    <w:rsid w:val="00481517"/>
    <w:pPr>
      <w:keepNext/>
      <w:spacing w:after="60" w:line="240" w:lineRule="auto"/>
    </w:pPr>
    <w:rPr>
      <w:b/>
    </w:rPr>
  </w:style>
  <w:style w:type="paragraph" w:styleId="Tabletext" w:customStyle="1">
    <w:name w:val="Table text"/>
    <w:basedOn w:val="PGDNormal"/>
    <w:rsid w:val="00481517"/>
    <w:pPr>
      <w:keepNext/>
      <w:spacing w:after="60"/>
    </w:pPr>
  </w:style>
  <w:style w:type="paragraph" w:styleId="Section2paragraphs" w:customStyle="1">
    <w:name w:val="Section 2 paragraphs"/>
    <w:basedOn w:val="NICEnormal"/>
    <w:rsid w:val="00481517"/>
    <w:pPr>
      <w:tabs>
        <w:tab w:val="num" w:pos="360"/>
      </w:tabs>
    </w:pPr>
  </w:style>
  <w:style w:type="paragraph" w:styleId="Section3paragraphs" w:customStyle="1">
    <w:name w:val="Section 3 paragraphs"/>
    <w:basedOn w:val="NICEnormal"/>
    <w:rsid w:val="00481517"/>
    <w:pPr>
      <w:tabs>
        <w:tab w:val="num" w:pos="360"/>
      </w:tabs>
    </w:pPr>
  </w:style>
  <w:style w:type="paragraph" w:styleId="Section411paragraphs" w:customStyle="1">
    <w:name w:val="Section 4.1.1 paragraphs"/>
    <w:basedOn w:val="NICEnormal"/>
    <w:rsid w:val="00481517"/>
    <w:pPr>
      <w:tabs>
        <w:tab w:val="num" w:pos="360"/>
      </w:tabs>
    </w:pPr>
  </w:style>
  <w:style w:type="paragraph" w:styleId="Section412paragraphs" w:customStyle="1">
    <w:name w:val="Section 4.1.2 paragraphs"/>
    <w:basedOn w:val="NICEnormal"/>
    <w:rsid w:val="00481517"/>
    <w:pPr>
      <w:tabs>
        <w:tab w:val="num" w:pos="360"/>
      </w:tabs>
    </w:pPr>
  </w:style>
  <w:style w:type="paragraph" w:styleId="Section42paragraphs" w:customStyle="1">
    <w:name w:val="Section 4.2 paragraphs"/>
    <w:basedOn w:val="NICEnormal"/>
    <w:rsid w:val="00481517"/>
    <w:pPr>
      <w:tabs>
        <w:tab w:val="num" w:pos="360"/>
      </w:tabs>
    </w:pPr>
  </w:style>
  <w:style w:type="paragraph" w:styleId="Section43paragraphs" w:customStyle="1">
    <w:name w:val="Section 4.3 paragraphs"/>
    <w:basedOn w:val="NICEnormal"/>
    <w:rsid w:val="00481517"/>
    <w:pPr>
      <w:tabs>
        <w:tab w:val="num" w:pos="360"/>
      </w:tabs>
    </w:pPr>
  </w:style>
  <w:style w:type="paragraph" w:styleId="Appendixlevel1" w:customStyle="1">
    <w:name w:val="Appendix level 1"/>
    <w:basedOn w:val="NICEnormal"/>
    <w:autoRedefine/>
    <w:rsid w:val="00481517"/>
    <w:pPr>
      <w:tabs>
        <w:tab w:val="num" w:pos="360"/>
      </w:tabs>
      <w:spacing w:before="240"/>
    </w:pPr>
  </w:style>
  <w:style w:type="paragraph" w:styleId="Appendixlevel2" w:customStyle="1">
    <w:name w:val="Appendix level 2"/>
    <w:basedOn w:val="NICEnormal"/>
    <w:rsid w:val="00481517"/>
    <w:pPr>
      <w:tabs>
        <w:tab w:val="num" w:pos="360"/>
      </w:tabs>
      <w:spacing w:before="240"/>
    </w:pPr>
  </w:style>
  <w:style w:type="paragraph" w:styleId="Appendixbullet" w:customStyle="1">
    <w:name w:val="Appendix bullet"/>
    <w:basedOn w:val="NICEnormal"/>
    <w:rsid w:val="00481517"/>
    <w:pPr>
      <w:tabs>
        <w:tab w:val="num" w:pos="360"/>
      </w:tabs>
      <w:spacing w:after="0" w:line="240" w:lineRule="auto"/>
    </w:pPr>
  </w:style>
  <w:style w:type="paragraph" w:styleId="Appendixreferences" w:customStyle="1">
    <w:name w:val="Appendix references"/>
    <w:basedOn w:val="NICEnormal"/>
    <w:rsid w:val="00481517"/>
    <w:pPr>
      <w:tabs>
        <w:tab w:val="left" w:pos="567"/>
      </w:tabs>
      <w:spacing w:after="120" w:line="240" w:lineRule="auto"/>
      <w:ind w:left="567"/>
    </w:pPr>
  </w:style>
  <w:style w:type="paragraph" w:styleId="References" w:customStyle="1">
    <w:name w:val="References"/>
    <w:basedOn w:val="PGDNormal"/>
    <w:rsid w:val="00481517"/>
    <w:pPr>
      <w:tabs>
        <w:tab w:val="num" w:pos="360"/>
      </w:tabs>
      <w:spacing w:after="120"/>
    </w:pPr>
  </w:style>
  <w:style w:type="paragraph" w:styleId="BalloonText">
    <w:name w:val="Balloon Text"/>
    <w:basedOn w:val="Normal"/>
    <w:link w:val="BalloonTextChar"/>
    <w:semiHidden/>
    <w:rsid w:val="00481517"/>
    <w:rPr>
      <w:rFonts w:ascii="Tahoma" w:hAnsi="Tahoma" w:cs="Tahoma"/>
      <w:sz w:val="16"/>
      <w:szCs w:val="16"/>
    </w:rPr>
  </w:style>
  <w:style w:type="character" w:styleId="BalloonTextChar" w:customStyle="1">
    <w:name w:val="Balloon Text Char"/>
    <w:link w:val="BalloonText"/>
    <w:semiHidden/>
    <w:rsid w:val="00481517"/>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481517"/>
    <w:rPr>
      <w:sz w:val="16"/>
      <w:szCs w:val="16"/>
    </w:rPr>
  </w:style>
  <w:style w:type="paragraph" w:styleId="CommentText">
    <w:name w:val="annotation text"/>
    <w:basedOn w:val="Normal"/>
    <w:link w:val="CommentTextChar1"/>
    <w:uiPriority w:val="99"/>
    <w:unhideWhenUsed/>
    <w:rsid w:val="00481517"/>
  </w:style>
  <w:style w:type="character" w:styleId="CommentTextChar" w:customStyle="1">
    <w:name w:val="Comment Text Char"/>
    <w:uiPriority w:val="99"/>
    <w:rsid w:val="00481517"/>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481517"/>
    <w:rPr>
      <w:b/>
      <w:bCs/>
    </w:rPr>
  </w:style>
  <w:style w:type="character" w:styleId="CommentSubjectChar" w:customStyle="1">
    <w:name w:val="Comment Subject Char"/>
    <w:semiHidden/>
    <w:rsid w:val="00481517"/>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481517"/>
    <w:pPr>
      <w:spacing w:before="100" w:beforeAutospacing="1" w:after="100" w:afterAutospacing="1"/>
    </w:pPr>
  </w:style>
  <w:style w:type="paragraph" w:styleId="TOC1">
    <w:name w:val="toc 1"/>
    <w:basedOn w:val="Normal"/>
    <w:next w:val="Normal"/>
    <w:autoRedefine/>
    <w:rsid w:val="00481517"/>
    <w:rPr>
      <w:rFonts w:ascii="Arial" w:hAnsi="Arial"/>
    </w:rPr>
  </w:style>
  <w:style w:type="paragraph" w:styleId="TOC2">
    <w:name w:val="toc 2"/>
    <w:basedOn w:val="Normal"/>
    <w:next w:val="Normal"/>
    <w:autoRedefine/>
    <w:rsid w:val="00481517"/>
    <w:pPr>
      <w:ind w:left="240"/>
    </w:pPr>
    <w:rPr>
      <w:rFonts w:ascii="Arial" w:hAnsi="Arial"/>
    </w:rPr>
  </w:style>
  <w:style w:type="paragraph" w:styleId="Frontpagetitle" w:customStyle="1">
    <w:name w:val="Front page title"/>
    <w:basedOn w:val="Normal"/>
    <w:rsid w:val="00481517"/>
    <w:pPr>
      <w:spacing w:after="240"/>
      <w:jc w:val="center"/>
    </w:pPr>
    <w:rPr>
      <w:rFonts w:ascii="Arial" w:hAnsi="Arial" w:cs="Arial"/>
      <w:sz w:val="48"/>
      <w:szCs w:val="48"/>
      <w:lang w:val="en-US"/>
    </w:rPr>
  </w:style>
  <w:style w:type="paragraph" w:styleId="Frontpagedate" w:customStyle="1">
    <w:name w:val="Front page date"/>
    <w:basedOn w:val="Normal"/>
    <w:rsid w:val="00481517"/>
    <w:pPr>
      <w:spacing w:after="240"/>
    </w:pPr>
    <w:rPr>
      <w:rFonts w:ascii="Arial" w:hAnsi="Arial" w:cs="Arial"/>
      <w:sz w:val="32"/>
      <w:szCs w:val="32"/>
      <w:lang w:val="en-US"/>
    </w:rPr>
  </w:style>
  <w:style w:type="paragraph" w:styleId="Frontpageguidelinenumber" w:customStyle="1">
    <w:name w:val="Front page guideline number"/>
    <w:basedOn w:val="Normal"/>
    <w:rsid w:val="00481517"/>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481517"/>
    <w:pPr>
      <w:outlineLvl w:val="9"/>
    </w:pPr>
    <w:rPr>
      <w:lang w:bidi="en-US"/>
    </w:rPr>
  </w:style>
  <w:style w:type="paragraph" w:styleId="TOC3">
    <w:name w:val="toc 3"/>
    <w:basedOn w:val="Normal"/>
    <w:next w:val="Normal"/>
    <w:autoRedefine/>
    <w:semiHidden/>
    <w:rsid w:val="00481517"/>
    <w:pPr>
      <w:ind w:left="480"/>
    </w:pPr>
    <w:rPr>
      <w:rFonts w:ascii="Arial" w:hAnsi="Arial"/>
    </w:rPr>
  </w:style>
  <w:style w:type="character" w:styleId="FollowedHyperlink">
    <w:name w:val="FollowedHyperlink"/>
    <w:unhideWhenUsed/>
    <w:rsid w:val="00481517"/>
    <w:rPr>
      <w:color w:val="800080"/>
      <w:u w:val="single"/>
    </w:rPr>
  </w:style>
  <w:style w:type="paragraph" w:styleId="Level2text" w:customStyle="1">
    <w:name w:val="Level 2 text"/>
    <w:basedOn w:val="Numberedheading2"/>
    <w:locked/>
    <w:rsid w:val="00481517"/>
    <w:pPr>
      <w:numPr>
        <w:ilvl w:val="1"/>
        <w:numId w:val="1"/>
      </w:numPr>
    </w:pPr>
    <w:rPr>
      <w:b/>
      <w:i/>
    </w:rPr>
  </w:style>
  <w:style w:type="paragraph" w:styleId="FootnoteText">
    <w:name w:val="footnote text"/>
    <w:basedOn w:val="Normal"/>
    <w:link w:val="FootnoteTextChar1"/>
    <w:semiHidden/>
    <w:rsid w:val="00481517"/>
    <w:rPr>
      <w:rFonts w:ascii="Arial" w:hAnsi="Arial" w:eastAsia="Calibri"/>
    </w:rPr>
  </w:style>
  <w:style w:type="character" w:styleId="FootnoteTextChar" w:customStyle="1">
    <w:name w:val="Footnote Text Char"/>
    <w:rsid w:val="00481517"/>
    <w:rPr>
      <w:rFonts w:ascii="Arial" w:hAnsi="Arial" w:eastAsia="Times New Roman"/>
    </w:rPr>
  </w:style>
  <w:style w:type="character" w:styleId="FootnoteReference">
    <w:name w:val="footnote reference"/>
    <w:rsid w:val="00481517"/>
    <w:rPr>
      <w:vertAlign w:val="superscript"/>
    </w:rPr>
  </w:style>
  <w:style w:type="paragraph" w:styleId="Paragraph" w:customStyle="1">
    <w:name w:val="Paragraph"/>
    <w:basedOn w:val="Paragraphnonumbers"/>
    <w:uiPriority w:val="4"/>
    <w:qFormat/>
    <w:rsid w:val="00481517"/>
    <w:pPr>
      <w:numPr>
        <w:numId w:val="9"/>
      </w:numPr>
      <w:tabs>
        <w:tab w:val="left" w:pos="567"/>
      </w:tabs>
    </w:pPr>
  </w:style>
  <w:style w:type="paragraph" w:styleId="Bullets" w:customStyle="1">
    <w:name w:val="Bullets"/>
    <w:basedOn w:val="Normal"/>
    <w:uiPriority w:val="5"/>
    <w:qFormat/>
    <w:rsid w:val="00481517"/>
    <w:pPr>
      <w:numPr>
        <w:numId w:val="16"/>
      </w:numPr>
      <w:spacing w:after="120" w:line="276" w:lineRule="auto"/>
    </w:pPr>
    <w:rPr>
      <w:rFonts w:ascii="Arial" w:hAnsi="Arial"/>
    </w:rPr>
  </w:style>
  <w:style w:type="paragraph" w:styleId="Subbullets" w:customStyle="1">
    <w:name w:val="Sub bullets"/>
    <w:basedOn w:val="Normal"/>
    <w:uiPriority w:val="6"/>
    <w:qFormat/>
    <w:rsid w:val="00481517"/>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481517"/>
    <w:pPr>
      <w:spacing w:after="240" w:line="276" w:lineRule="auto"/>
    </w:pPr>
    <w:rPr>
      <w:rFonts w:ascii="Arial" w:hAnsi="Arial"/>
    </w:rPr>
  </w:style>
  <w:style w:type="paragraph" w:styleId="TOAHeading">
    <w:name w:val="toa heading"/>
    <w:basedOn w:val="Normal"/>
    <w:next w:val="Normal"/>
    <w:semiHidden/>
    <w:rsid w:val="00481517"/>
    <w:pPr>
      <w:spacing w:before="120"/>
    </w:pPr>
    <w:rPr>
      <w:rFonts w:ascii="Arial" w:hAnsi="Arial"/>
      <w:b/>
      <w:bCs/>
    </w:rPr>
  </w:style>
  <w:style w:type="paragraph" w:styleId="TOC4">
    <w:name w:val="toc 4"/>
    <w:basedOn w:val="Normal"/>
    <w:next w:val="Normal"/>
    <w:autoRedefine/>
    <w:semiHidden/>
    <w:rsid w:val="00481517"/>
    <w:pPr>
      <w:ind w:left="720"/>
    </w:pPr>
    <w:rPr>
      <w:rFonts w:ascii="Arial" w:hAnsi="Arial"/>
    </w:rPr>
  </w:style>
  <w:style w:type="paragraph" w:styleId="Bulletindent1alast" w:customStyle="1">
    <w:name w:val="Bullet indent 1a last"/>
    <w:basedOn w:val="Bulletindent1last"/>
    <w:qFormat/>
    <w:rsid w:val="00481517"/>
    <w:pPr>
      <w:ind w:left="2552"/>
    </w:pPr>
  </w:style>
  <w:style w:type="paragraph" w:styleId="Bulletindent2a" w:customStyle="1">
    <w:name w:val="Bullet indent 2a"/>
    <w:basedOn w:val="Normal"/>
    <w:qFormat/>
    <w:rsid w:val="00481517"/>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481517"/>
    <w:pPr>
      <w:tabs>
        <w:tab w:val="num" w:pos="2552"/>
      </w:tabs>
      <w:ind w:left="2552"/>
    </w:pPr>
  </w:style>
  <w:style w:type="paragraph" w:styleId="Frontpagegreentitle" w:customStyle="1">
    <w:name w:val="Front page green title"/>
    <w:basedOn w:val="Normal"/>
    <w:rsid w:val="00481517"/>
    <w:pPr>
      <w:jc w:val="center"/>
    </w:pPr>
    <w:rPr>
      <w:rFonts w:ascii="Arial" w:hAnsi="Arial" w:cs="Arial"/>
      <w:b/>
      <w:color w:val="009999"/>
      <w:sz w:val="64"/>
      <w:szCs w:val="64"/>
    </w:rPr>
  </w:style>
  <w:style w:type="paragraph" w:styleId="TOC5">
    <w:name w:val="toc 5"/>
    <w:basedOn w:val="Normal"/>
    <w:next w:val="Normal"/>
    <w:autoRedefine/>
    <w:semiHidden/>
    <w:unhideWhenUsed/>
    <w:rsid w:val="00481517"/>
    <w:pPr>
      <w:spacing w:after="100" w:line="276" w:lineRule="auto"/>
      <w:ind w:left="880"/>
    </w:pPr>
  </w:style>
  <w:style w:type="paragraph" w:styleId="TOC6">
    <w:name w:val="toc 6"/>
    <w:basedOn w:val="Normal"/>
    <w:next w:val="Normal"/>
    <w:autoRedefine/>
    <w:semiHidden/>
    <w:unhideWhenUsed/>
    <w:rsid w:val="00481517"/>
    <w:pPr>
      <w:spacing w:after="100" w:line="276" w:lineRule="auto"/>
      <w:ind w:left="1100"/>
    </w:pPr>
  </w:style>
  <w:style w:type="paragraph" w:styleId="TOC7">
    <w:name w:val="toc 7"/>
    <w:basedOn w:val="Normal"/>
    <w:next w:val="Normal"/>
    <w:autoRedefine/>
    <w:semiHidden/>
    <w:unhideWhenUsed/>
    <w:rsid w:val="00481517"/>
    <w:pPr>
      <w:spacing w:after="100" w:line="276" w:lineRule="auto"/>
      <w:ind w:left="1320"/>
    </w:pPr>
  </w:style>
  <w:style w:type="paragraph" w:styleId="TOC8">
    <w:name w:val="toc 8"/>
    <w:basedOn w:val="Normal"/>
    <w:next w:val="Normal"/>
    <w:autoRedefine/>
    <w:semiHidden/>
    <w:unhideWhenUsed/>
    <w:rsid w:val="00481517"/>
    <w:pPr>
      <w:spacing w:after="100" w:line="276" w:lineRule="auto"/>
      <w:ind w:left="1540"/>
    </w:pPr>
  </w:style>
  <w:style w:type="paragraph" w:styleId="TOC9">
    <w:name w:val="toc 9"/>
    <w:basedOn w:val="Normal"/>
    <w:next w:val="Normal"/>
    <w:autoRedefine/>
    <w:semiHidden/>
    <w:unhideWhenUsed/>
    <w:rsid w:val="00481517"/>
    <w:pPr>
      <w:spacing w:after="100" w:line="276" w:lineRule="auto"/>
      <w:ind w:left="1760"/>
    </w:pPr>
  </w:style>
  <w:style w:type="paragraph" w:styleId="Question" w:customStyle="1">
    <w:name w:val="Question"/>
    <w:basedOn w:val="References"/>
    <w:qFormat/>
    <w:rsid w:val="00481517"/>
    <w:pPr>
      <w:keepNext/>
      <w:numPr>
        <w:numId w:val="2"/>
      </w:numPr>
    </w:pPr>
    <w:rPr>
      <w:b/>
    </w:rPr>
  </w:style>
  <w:style w:type="paragraph" w:styleId="EndnoteText">
    <w:name w:val="endnote text"/>
    <w:basedOn w:val="Normal"/>
    <w:link w:val="EndnoteTextChar1"/>
    <w:semiHidden/>
    <w:unhideWhenUsed/>
    <w:rsid w:val="00481517"/>
  </w:style>
  <w:style w:type="character" w:styleId="EndnoteTextChar" w:customStyle="1">
    <w:name w:val="Endnote Text Char"/>
    <w:semiHidden/>
    <w:rsid w:val="00481517"/>
    <w:rPr>
      <w:rFonts w:ascii="Times New Roman" w:hAnsi="Times New Roman" w:eastAsia="Times New Roman"/>
    </w:rPr>
  </w:style>
  <w:style w:type="character" w:styleId="EndnoteReference">
    <w:name w:val="endnote reference"/>
    <w:semiHidden/>
    <w:unhideWhenUsed/>
    <w:rsid w:val="00481517"/>
    <w:rPr>
      <w:vertAlign w:val="superscript"/>
    </w:rPr>
  </w:style>
  <w:style w:type="paragraph" w:styleId="Style4" w:customStyle="1">
    <w:name w:val="Style4"/>
    <w:basedOn w:val="Normal"/>
    <w:autoRedefine/>
    <w:rsid w:val="00481517"/>
    <w:pPr>
      <w:keepNext/>
      <w:spacing w:line="360" w:lineRule="auto"/>
      <w:ind w:left="567"/>
    </w:pPr>
    <w:rPr>
      <w:rFonts w:ascii="Arial" w:hAnsi="Arial" w:cs="Arial"/>
    </w:rPr>
  </w:style>
  <w:style w:type="paragraph" w:styleId="Bodytextosteo" w:customStyle="1">
    <w:name w:val="Body text osteo"/>
    <w:basedOn w:val="BodyText"/>
    <w:autoRedefine/>
    <w:rsid w:val="00481517"/>
    <w:pPr>
      <w:spacing w:after="0" w:line="360" w:lineRule="auto"/>
      <w:ind w:left="567"/>
    </w:pPr>
    <w:rPr>
      <w:rFonts w:ascii="Arial" w:hAnsi="Arial" w:cs="Arial"/>
    </w:rPr>
  </w:style>
  <w:style w:type="paragraph" w:styleId="BodyText">
    <w:name w:val="Body Text"/>
    <w:basedOn w:val="Normal"/>
    <w:link w:val="BodyTextChar"/>
    <w:rsid w:val="00481517"/>
    <w:pPr>
      <w:spacing w:after="120"/>
    </w:pPr>
  </w:style>
  <w:style w:type="paragraph" w:styleId="bulletdoubleindent" w:customStyle="1">
    <w:name w:val="bullet double indent"/>
    <w:basedOn w:val="Normal"/>
    <w:autoRedefine/>
    <w:rsid w:val="00481517"/>
    <w:pPr>
      <w:numPr>
        <w:numId w:val="3"/>
      </w:numPr>
      <w:spacing w:line="360" w:lineRule="auto"/>
    </w:pPr>
    <w:rPr>
      <w:rFonts w:ascii="Arial" w:hAnsi="Arial" w:eastAsia="Calibri"/>
    </w:rPr>
  </w:style>
  <w:style w:type="paragraph" w:styleId="bulletindentosteo" w:customStyle="1">
    <w:name w:val="bullet indent osteo"/>
    <w:basedOn w:val="Normal"/>
    <w:autoRedefine/>
    <w:rsid w:val="00481517"/>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481517"/>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481517"/>
    <w:pPr>
      <w:spacing w:after="0" w:line="360" w:lineRule="auto"/>
      <w:ind w:left="567"/>
    </w:pPr>
  </w:style>
  <w:style w:type="paragraph" w:styleId="subheadingosteo" w:customStyle="1">
    <w:name w:val="subheading osteo"/>
    <w:basedOn w:val="Heading6"/>
    <w:autoRedefine/>
    <w:rsid w:val="00481517"/>
    <w:pPr>
      <w:keepNext/>
      <w:spacing w:line="360" w:lineRule="auto"/>
      <w:ind w:left="539"/>
    </w:pPr>
    <w:rPr>
      <w:rFonts w:ascii="Arial" w:hAnsi="Arial"/>
    </w:rPr>
  </w:style>
  <w:style w:type="paragraph" w:styleId="bulletdoubleindentosteo" w:customStyle="1">
    <w:name w:val="bullet double indent osteo"/>
    <w:basedOn w:val="bulletindentosteo"/>
    <w:autoRedefine/>
    <w:rsid w:val="00481517"/>
    <w:pPr>
      <w:numPr>
        <w:numId w:val="5"/>
      </w:numPr>
    </w:pPr>
    <w:rPr>
      <w:rFonts w:eastAsia="Times New Roman"/>
      <w:lang w:eastAsia="en-GB"/>
    </w:rPr>
  </w:style>
  <w:style w:type="paragraph" w:styleId="ListBullet3">
    <w:name w:val="List Bullet 3"/>
    <w:basedOn w:val="Normal"/>
    <w:autoRedefine/>
    <w:rsid w:val="00481517"/>
  </w:style>
  <w:style w:type="paragraph" w:styleId="Bulletosteotable" w:customStyle="1">
    <w:name w:val="Bullet osteo table"/>
    <w:basedOn w:val="bulletosteoporosis"/>
    <w:autoRedefine/>
    <w:rsid w:val="00481517"/>
    <w:pPr>
      <w:numPr>
        <w:numId w:val="6"/>
      </w:numPr>
    </w:pPr>
  </w:style>
  <w:style w:type="paragraph" w:styleId="StyleHeading2Before0ptAfter0ptLinespacing15l" w:customStyle="1">
    <w:name w:val="Style Heading 2 + Before:  0 pt After:  0 pt Line spacing:  1.5 l..."/>
    <w:basedOn w:val="Heading2"/>
    <w:autoRedefine/>
    <w:rsid w:val="00481517"/>
    <w:pPr>
      <w:spacing w:after="0" w:line="360" w:lineRule="auto"/>
    </w:pPr>
    <w:rPr>
      <w:szCs w:val="20"/>
      <w:lang w:val="en-US"/>
    </w:rPr>
  </w:style>
  <w:style w:type="paragraph" w:styleId="NCC-ACChaptertitle" w:customStyle="1">
    <w:name w:val="NCC-AC Chapter title"/>
    <w:basedOn w:val="Numberedheading1"/>
    <w:next w:val="Normal"/>
    <w:autoRedefine/>
    <w:rsid w:val="00481517"/>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481517"/>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481517"/>
    <w:pPr>
      <w:numPr>
        <w:ilvl w:val="3"/>
        <w:numId w:val="8"/>
      </w:numPr>
    </w:pPr>
    <w:rPr>
      <w:b w:val="0"/>
    </w:rPr>
  </w:style>
  <w:style w:type="numbering" w:styleId="NiceNumbering" w:customStyle="1">
    <w:name w:val="Nice Numbering"/>
    <w:rsid w:val="00481517"/>
    <w:pPr>
      <w:numPr>
        <w:numId w:val="8"/>
      </w:numPr>
    </w:pPr>
  </w:style>
  <w:style w:type="character" w:styleId="FootnoteTextChar1" w:customStyle="1">
    <w:name w:val="Footnote Text Char1"/>
    <w:link w:val="FootnoteText"/>
    <w:semiHidden/>
    <w:rsid w:val="00481517"/>
    <w:rPr>
      <w:rFonts w:ascii="Arial" w:hAnsi="Arial"/>
      <w:kern w:val="2"/>
      <w:lang w:eastAsia="en-US"/>
      <w14:ligatures w14:val="standardContextual"/>
    </w:rPr>
  </w:style>
  <w:style w:type="table" w:styleId="TableGrid">
    <w:name w:val="Table Grid"/>
    <w:basedOn w:val="TableNormal"/>
    <w:rsid w:val="00481517"/>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481517"/>
    <w:rPr>
      <w:rFonts w:ascii="Arial" w:hAnsi="Arial" w:cs="Arial"/>
      <w:color w:val="FFFFFF"/>
      <w:sz w:val="32"/>
      <w:szCs w:val="32"/>
    </w:rPr>
  </w:style>
  <w:style w:type="paragraph" w:styleId="Default" w:customStyle="1">
    <w:name w:val="Default"/>
    <w:rsid w:val="00481517"/>
    <w:pPr>
      <w:autoSpaceDE w:val="0"/>
      <w:autoSpaceDN w:val="0"/>
      <w:adjustRightInd w:val="0"/>
    </w:pPr>
    <w:rPr>
      <w:rFonts w:eastAsia="Times New Roman" w:cs="Calibri"/>
      <w:color w:val="000000"/>
    </w:rPr>
  </w:style>
  <w:style w:type="paragraph" w:styleId="PGDNormal" w:customStyle="1">
    <w:name w:val="PGD Normal"/>
    <w:basedOn w:val="NICEnormal"/>
    <w:rsid w:val="00481517"/>
    <w:pPr>
      <w:spacing w:line="240" w:lineRule="auto"/>
    </w:pPr>
    <w:rPr>
      <w:sz w:val="22"/>
    </w:rPr>
  </w:style>
  <w:style w:type="paragraph" w:styleId="TabletextIPoverviewevidence" w:customStyle="1">
    <w:name w:val="Table text IP overview evidence"/>
    <w:basedOn w:val="Tabletext"/>
    <w:rsid w:val="00481517"/>
    <w:rPr>
      <w:sz w:val="18"/>
    </w:rPr>
  </w:style>
  <w:style w:type="character" w:styleId="Heading5Char" w:customStyle="1">
    <w:name w:val="Heading 5 Char"/>
    <w:link w:val="Heading5"/>
    <w:uiPriority w:val="9"/>
    <w:rsid w:val="00481517"/>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481517"/>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481517"/>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481517"/>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481517"/>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481517"/>
    <w:pPr>
      <w:spacing w:after="600"/>
    </w:pPr>
    <w:rPr>
      <w:rFonts w:ascii="Cambria" w:hAnsi="Cambria"/>
      <w:i/>
      <w:iCs/>
      <w:spacing w:val="13"/>
    </w:rPr>
  </w:style>
  <w:style w:type="character" w:styleId="SubtitleChar" w:customStyle="1">
    <w:name w:val="Subtitle Char"/>
    <w:link w:val="Subtitle"/>
    <w:uiPriority w:val="11"/>
    <w:rsid w:val="00481517"/>
    <w:rPr>
      <w:rFonts w:ascii="Cambria" w:hAnsi="Cambria" w:eastAsiaTheme="minorHAnsi"/>
      <w:i/>
      <w:iCs/>
      <w:spacing w:val="13"/>
      <w:kern w:val="2"/>
      <w:lang w:eastAsia="en-US"/>
      <w14:ligatures w14:val="standardContextual"/>
    </w:rPr>
  </w:style>
  <w:style w:type="character" w:styleId="Strong">
    <w:name w:val="Strong"/>
    <w:uiPriority w:val="22"/>
    <w:qFormat/>
    <w:rsid w:val="00481517"/>
    <w:rPr>
      <w:b/>
      <w:bCs/>
    </w:rPr>
  </w:style>
  <w:style w:type="character" w:styleId="Emphasis">
    <w:name w:val="Emphasis"/>
    <w:uiPriority w:val="20"/>
    <w:qFormat/>
    <w:rsid w:val="00481517"/>
    <w:rPr>
      <w:b/>
      <w:bCs/>
      <w:i/>
      <w:iCs/>
      <w:spacing w:val="10"/>
      <w:bdr w:val="none" w:color="auto" w:sz="0" w:space="0"/>
      <w:shd w:val="clear" w:color="auto" w:fill="auto"/>
    </w:rPr>
  </w:style>
  <w:style w:type="paragraph" w:styleId="NoSpacing">
    <w:name w:val="No Spacing"/>
    <w:basedOn w:val="Normal"/>
    <w:uiPriority w:val="1"/>
    <w:qFormat/>
    <w:rsid w:val="00481517"/>
    <w:rPr>
      <w:rFonts w:eastAsia="Calibri"/>
    </w:rPr>
  </w:style>
  <w:style w:type="paragraph" w:styleId="Quote">
    <w:name w:val="Quote"/>
    <w:basedOn w:val="Normal"/>
    <w:next w:val="Normal"/>
    <w:link w:val="QuoteChar"/>
    <w:uiPriority w:val="29"/>
    <w:qFormat/>
    <w:rsid w:val="00481517"/>
    <w:pPr>
      <w:spacing w:before="200"/>
      <w:ind w:left="360" w:right="360"/>
    </w:pPr>
    <w:rPr>
      <w:i/>
      <w:iCs/>
    </w:rPr>
  </w:style>
  <w:style w:type="character" w:styleId="QuoteChar" w:customStyle="1">
    <w:name w:val="Quote Char"/>
    <w:link w:val="Quote"/>
    <w:uiPriority w:val="29"/>
    <w:rsid w:val="00481517"/>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481517"/>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481517"/>
    <w:rPr>
      <w:rFonts w:eastAsiaTheme="minorHAnsi"/>
      <w:b/>
      <w:bCs/>
      <w:i/>
      <w:iCs/>
      <w:kern w:val="2"/>
      <w:lang w:eastAsia="en-US"/>
      <w14:ligatures w14:val="standardContextual"/>
    </w:rPr>
  </w:style>
  <w:style w:type="character" w:styleId="SubtleEmphasis">
    <w:name w:val="Subtle Emphasis"/>
    <w:uiPriority w:val="19"/>
    <w:qFormat/>
    <w:rsid w:val="00481517"/>
    <w:rPr>
      <w:i/>
      <w:iCs/>
    </w:rPr>
  </w:style>
  <w:style w:type="character" w:styleId="IntenseEmphasis">
    <w:name w:val="Intense Emphasis"/>
    <w:uiPriority w:val="21"/>
    <w:qFormat/>
    <w:rsid w:val="00481517"/>
    <w:rPr>
      <w:b/>
      <w:bCs/>
    </w:rPr>
  </w:style>
  <w:style w:type="character" w:styleId="SubtleReference">
    <w:name w:val="Subtle Reference"/>
    <w:uiPriority w:val="31"/>
    <w:qFormat/>
    <w:rsid w:val="00481517"/>
    <w:rPr>
      <w:smallCaps/>
    </w:rPr>
  </w:style>
  <w:style w:type="character" w:styleId="IntenseReference">
    <w:name w:val="Intense Reference"/>
    <w:uiPriority w:val="32"/>
    <w:qFormat/>
    <w:rsid w:val="00481517"/>
    <w:rPr>
      <w:smallCaps/>
      <w:spacing w:val="5"/>
      <w:u w:val="single"/>
    </w:rPr>
  </w:style>
  <w:style w:type="character" w:styleId="BookTitle">
    <w:name w:val="Book Title"/>
    <w:uiPriority w:val="33"/>
    <w:qFormat/>
    <w:rsid w:val="00481517"/>
    <w:rPr>
      <w:i/>
      <w:iCs/>
      <w:smallCaps/>
      <w:spacing w:val="5"/>
    </w:rPr>
  </w:style>
  <w:style w:type="paragraph" w:styleId="NICETitle2" w:customStyle="1">
    <w:name w:val="NICE Title 2"/>
    <w:basedOn w:val="Normal"/>
    <w:qFormat/>
    <w:rsid w:val="00481517"/>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481517"/>
    <w:pPr>
      <w:spacing w:after="120" w:line="480" w:lineRule="auto"/>
    </w:pPr>
  </w:style>
  <w:style w:type="character" w:styleId="BodyText2Char" w:customStyle="1">
    <w:name w:val="Body Text 2 Char"/>
    <w:link w:val="BodyText2"/>
    <w:uiPriority w:val="99"/>
    <w:semiHidden/>
    <w:rsid w:val="00481517"/>
    <w:rPr>
      <w:rFonts w:eastAsiaTheme="minorHAnsi"/>
      <w:kern w:val="2"/>
      <w:lang w:eastAsia="en-US"/>
      <w14:ligatures w14:val="standardContextual"/>
    </w:rPr>
  </w:style>
  <w:style w:type="character" w:styleId="UnresolvedMention">
    <w:name w:val="Unresolved Mention"/>
    <w:uiPriority w:val="99"/>
    <w:semiHidden/>
    <w:unhideWhenUsed/>
    <w:rsid w:val="00481517"/>
    <w:rPr>
      <w:color w:val="605E5C"/>
      <w:shd w:val="clear" w:color="auto" w:fill="E1DFDD"/>
    </w:rPr>
  </w:style>
  <w:style w:type="paragraph" w:styleId="PGDTitle2" w:customStyle="1">
    <w:name w:val="PGD Title 2"/>
    <w:basedOn w:val="Normal"/>
    <w:rsid w:val="00481517"/>
    <w:pPr>
      <w:jc w:val="center"/>
    </w:pPr>
    <w:rPr>
      <w:rFonts w:ascii="Arial" w:hAnsi="Arial"/>
      <w:b/>
      <w:sz w:val="36"/>
      <w:szCs w:val="36"/>
    </w:rPr>
  </w:style>
  <w:style w:type="paragraph" w:styleId="PGDTitle1" w:customStyle="1">
    <w:name w:val="PGD Title 1"/>
    <w:basedOn w:val="Normal"/>
    <w:rsid w:val="00481517"/>
    <w:pPr>
      <w:jc w:val="center"/>
    </w:pPr>
    <w:rPr>
      <w:rFonts w:ascii="Arial" w:hAnsi="Arial"/>
      <w:b/>
      <w:bCs/>
      <w:sz w:val="44"/>
    </w:rPr>
  </w:style>
  <w:style w:type="character" w:styleId="PGDVersionNumber" w:customStyle="1">
    <w:name w:val="PGD Version Number"/>
    <w:basedOn w:val="DefaultParagraphFont"/>
    <w:qFormat/>
    <w:rsid w:val="00481517"/>
    <w:rPr>
      <w:rFonts w:ascii="Arial" w:hAnsi="Arial"/>
      <w:sz w:val="28"/>
    </w:rPr>
  </w:style>
  <w:style w:type="paragraph" w:styleId="TableHeaderRow" w:customStyle="1">
    <w:name w:val="Table Header Row"/>
    <w:basedOn w:val="Normal"/>
    <w:rsid w:val="00481517"/>
    <w:rPr>
      <w:rFonts w:ascii="Arial" w:hAnsi="Arial"/>
      <w:b/>
      <w:bCs/>
    </w:rPr>
  </w:style>
  <w:style w:type="character" w:styleId="PGDNormalBold" w:customStyle="1">
    <w:name w:val="PGD Normal Bold"/>
    <w:basedOn w:val="DefaultParagraphFont"/>
    <w:rsid w:val="00481517"/>
    <w:rPr>
      <w:rFonts w:ascii="Arial" w:hAnsi="Arial"/>
      <w:b/>
      <w:bCs/>
    </w:rPr>
  </w:style>
  <w:style w:type="character" w:styleId="TableHeaderColumn" w:customStyle="1">
    <w:name w:val="Table Header Column"/>
    <w:basedOn w:val="DefaultParagraphFont"/>
    <w:rsid w:val="00481517"/>
    <w:rPr>
      <w:rFonts w:ascii="Arial" w:hAnsi="Arial"/>
      <w:b/>
      <w:bCs/>
      <w:sz w:val="20"/>
    </w:rPr>
  </w:style>
  <w:style w:type="paragraph" w:styleId="Title1" w:customStyle="1">
    <w:name w:val="Title 1"/>
    <w:basedOn w:val="Title"/>
    <w:qFormat/>
    <w:rsid w:val="00481517"/>
    <w:rPr>
      <w:rFonts w:ascii="Arial" w:hAnsi="Arial" w:cs="Arial"/>
      <w:sz w:val="44"/>
      <w:szCs w:val="44"/>
    </w:rPr>
  </w:style>
  <w:style w:type="paragraph" w:styleId="Title2" w:customStyle="1">
    <w:name w:val="Title 2"/>
    <w:basedOn w:val="Title"/>
    <w:qFormat/>
    <w:rsid w:val="00481517"/>
    <w:rPr>
      <w:rFonts w:ascii="Arial" w:hAnsi="Arial" w:cs="Arial"/>
      <w:sz w:val="40"/>
      <w:szCs w:val="40"/>
    </w:rPr>
  </w:style>
  <w:style w:type="paragraph" w:styleId="PGDHeading2" w:customStyle="1">
    <w:name w:val="PGD Heading 2"/>
    <w:basedOn w:val="Heading2"/>
    <w:qFormat/>
    <w:rsid w:val="00481517"/>
    <w:rPr>
      <w:rFonts w:ascii="Arial" w:hAnsi="Arial" w:cs="Arial"/>
      <w:color w:val="auto"/>
      <w:sz w:val="28"/>
      <w:szCs w:val="28"/>
    </w:rPr>
  </w:style>
  <w:style w:type="table" w:styleId="Tableheading" w:customStyle="1">
    <w:name w:val="Table heading"/>
    <w:basedOn w:val="TableNormal"/>
    <w:uiPriority w:val="99"/>
    <w:rsid w:val="00481517"/>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481517"/>
    <w:pPr>
      <w:spacing w:line="240" w:lineRule="auto"/>
    </w:pPr>
  </w:style>
  <w:style w:type="paragraph" w:styleId="PGDtablebullet0" w:customStyle="1">
    <w:name w:val="PGD table bullet"/>
    <w:basedOn w:val="Normal"/>
    <w:rsid w:val="00481517"/>
    <w:rPr>
      <w:rFonts w:ascii="Arial" w:hAnsi="Arial" w:eastAsia="Times New Roman"/>
    </w:rPr>
  </w:style>
  <w:style w:type="numbering" w:styleId="PGDTableBullet" w:customStyle="1">
    <w:name w:val="PGD Table Bullet"/>
    <w:basedOn w:val="NoList"/>
    <w:uiPriority w:val="99"/>
    <w:rsid w:val="00481517"/>
    <w:pPr>
      <w:numPr>
        <w:numId w:val="10"/>
      </w:numPr>
    </w:pPr>
  </w:style>
  <w:style w:type="paragraph" w:styleId="StyleLatinArialAfter0ptLinespacingsingle" w:customStyle="1">
    <w:name w:val="Style (Latin) Arial After:  0 pt Line spacing:  single"/>
    <w:basedOn w:val="Normal"/>
    <w:rsid w:val="00481517"/>
    <w:rPr>
      <w:rFonts w:ascii="Arial" w:hAnsi="Arial" w:eastAsia="Times New Roman"/>
    </w:rPr>
  </w:style>
  <w:style w:type="paragraph" w:styleId="PGDlogo" w:customStyle="1">
    <w:name w:val="PGD logo"/>
    <w:basedOn w:val="NICEnormal"/>
    <w:rsid w:val="00481517"/>
    <w:pPr>
      <w:jc w:val="right"/>
    </w:pPr>
  </w:style>
  <w:style w:type="paragraph" w:styleId="PGDLogo0" w:customStyle="1">
    <w:name w:val="PGD Logo"/>
    <w:basedOn w:val="PGDNormal"/>
    <w:rsid w:val="00481517"/>
    <w:pPr>
      <w:jc w:val="right"/>
    </w:pPr>
  </w:style>
  <w:style w:type="paragraph" w:styleId="PGDVersion" w:customStyle="1">
    <w:name w:val="PGD Version"/>
    <w:basedOn w:val="Normal"/>
    <w:rsid w:val="00481517"/>
    <w:pPr>
      <w:jc w:val="center"/>
    </w:pPr>
    <w:rPr>
      <w:rFonts w:ascii="Arial" w:hAnsi="Arial" w:eastAsia="Times New Roman"/>
      <w:sz w:val="28"/>
    </w:rPr>
  </w:style>
  <w:style w:type="numbering" w:styleId="PGDtablebullet2" w:customStyle="1">
    <w:name w:val="PGD table bullet 2"/>
    <w:basedOn w:val="NoList"/>
    <w:rsid w:val="00481517"/>
    <w:pPr>
      <w:numPr>
        <w:numId w:val="12"/>
      </w:numPr>
    </w:pPr>
  </w:style>
  <w:style w:type="numbering" w:styleId="PGDbullet2" w:customStyle="1">
    <w:name w:val="PGD bullet 2"/>
    <w:basedOn w:val="NoList"/>
    <w:rsid w:val="00481517"/>
    <w:pPr>
      <w:numPr>
        <w:numId w:val="13"/>
      </w:numPr>
    </w:pPr>
  </w:style>
  <w:style w:type="numbering" w:styleId="PGDtablebullet1" w:customStyle="1">
    <w:name w:val="PGD table bullet 1"/>
    <w:basedOn w:val="NoList"/>
    <w:rsid w:val="00481517"/>
    <w:pPr>
      <w:numPr>
        <w:numId w:val="14"/>
      </w:numPr>
    </w:pPr>
  </w:style>
  <w:style w:type="character" w:styleId="BodyTextChar" w:customStyle="1">
    <w:name w:val="Body Text Char"/>
    <w:basedOn w:val="DefaultParagraphFont"/>
    <w:link w:val="BodyText"/>
    <w:rsid w:val="00481517"/>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481517"/>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481517"/>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481517"/>
    <w:rPr>
      <w:rFonts w:eastAsiaTheme="minorHAnsi"/>
      <w:b/>
      <w:bCs/>
      <w:kern w:val="2"/>
      <w:lang w:eastAsia="en-US"/>
      <w14:ligatures w14:val="standardContextual"/>
    </w:rPr>
  </w:style>
  <w:style w:type="paragraph" w:styleId="TableParagraph" w:customStyle="1">
    <w:name w:val="Table Paragraph"/>
    <w:basedOn w:val="Normal"/>
    <w:uiPriority w:val="1"/>
    <w:qFormat/>
    <w:rsid w:val="008C54DC"/>
    <w:pPr>
      <w:widowControl w:val="0"/>
    </w:pPr>
    <w:rPr>
      <w:rFonts w:eastAsia="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18987179">
      <w:bodyDiv w:val="1"/>
      <w:marLeft w:val="0"/>
      <w:marRight w:val="0"/>
      <w:marTop w:val="0"/>
      <w:marBottom w:val="0"/>
      <w:divBdr>
        <w:top w:val="none" w:sz="0" w:space="0" w:color="auto"/>
        <w:left w:val="none" w:sz="0" w:space="0" w:color="auto"/>
        <w:bottom w:val="none" w:sz="0" w:space="0" w:color="auto"/>
        <w:right w:val="none" w:sz="0" w:space="0" w:color="auto"/>
      </w:divBdr>
      <w:divsChild>
        <w:div w:id="1382098342">
          <w:marLeft w:val="0"/>
          <w:marRight w:val="0"/>
          <w:marTop w:val="100"/>
          <w:marBottom w:val="100"/>
          <w:divBdr>
            <w:top w:val="none" w:sz="0" w:space="0" w:color="auto"/>
            <w:left w:val="none" w:sz="0" w:space="0" w:color="auto"/>
            <w:bottom w:val="none" w:sz="0" w:space="0" w:color="auto"/>
            <w:right w:val="none" w:sz="0" w:space="0" w:color="auto"/>
          </w:divBdr>
          <w:divsChild>
            <w:div w:id="1589920791">
              <w:marLeft w:val="0"/>
              <w:marRight w:val="0"/>
              <w:marTop w:val="0"/>
              <w:marBottom w:val="0"/>
              <w:divBdr>
                <w:top w:val="none" w:sz="0" w:space="0" w:color="auto"/>
                <w:left w:val="none" w:sz="0" w:space="0" w:color="auto"/>
                <w:bottom w:val="none" w:sz="0" w:space="0" w:color="auto"/>
                <w:right w:val="none" w:sz="0" w:space="0" w:color="auto"/>
              </w:divBdr>
            </w:div>
          </w:divsChild>
        </w:div>
        <w:div w:id="645470453">
          <w:marLeft w:val="0"/>
          <w:marRight w:val="0"/>
          <w:marTop w:val="0"/>
          <w:marBottom w:val="0"/>
          <w:divBdr>
            <w:top w:val="none" w:sz="0" w:space="0" w:color="auto"/>
            <w:left w:val="none" w:sz="0" w:space="0" w:color="auto"/>
            <w:bottom w:val="none" w:sz="0" w:space="0" w:color="auto"/>
            <w:right w:val="none" w:sz="0" w:space="0" w:color="auto"/>
          </w:divBdr>
          <w:divsChild>
            <w:div w:id="467936136">
              <w:marLeft w:val="0"/>
              <w:marRight w:val="0"/>
              <w:marTop w:val="0"/>
              <w:marBottom w:val="0"/>
              <w:divBdr>
                <w:top w:val="none" w:sz="0" w:space="0" w:color="auto"/>
                <w:left w:val="none" w:sz="0" w:space="0" w:color="auto"/>
                <w:bottom w:val="none" w:sz="0" w:space="0" w:color="auto"/>
                <w:right w:val="none" w:sz="0" w:space="0" w:color="auto"/>
              </w:divBdr>
              <w:divsChild>
                <w:div w:id="395132159">
                  <w:marLeft w:val="0"/>
                  <w:marRight w:val="0"/>
                  <w:marTop w:val="0"/>
                  <w:marBottom w:val="0"/>
                  <w:divBdr>
                    <w:top w:val="none" w:sz="0" w:space="0" w:color="auto"/>
                    <w:left w:val="none" w:sz="0" w:space="0" w:color="auto"/>
                    <w:bottom w:val="none" w:sz="0" w:space="0" w:color="auto"/>
                    <w:right w:val="none" w:sz="0" w:space="0" w:color="auto"/>
                  </w:divBdr>
                  <w:divsChild>
                    <w:div w:id="2100446874">
                      <w:marLeft w:val="0"/>
                      <w:marRight w:val="0"/>
                      <w:marTop w:val="0"/>
                      <w:marBottom w:val="0"/>
                      <w:divBdr>
                        <w:top w:val="none" w:sz="0" w:space="0" w:color="auto"/>
                        <w:left w:val="none" w:sz="0" w:space="0" w:color="auto"/>
                        <w:bottom w:val="none" w:sz="0" w:space="0" w:color="auto"/>
                        <w:right w:val="none" w:sz="0" w:space="0" w:color="auto"/>
                      </w:divBdr>
                      <w:divsChild>
                        <w:div w:id="20191147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www.medicines.org.uk/emc/product/6300/smpc" TargetMode="External" Id="rId18" /><Relationship Type="http://schemas.openxmlformats.org/officeDocument/2006/relationships/hyperlink" Target="https://assets.publishing.service.gov.uk/government/uploads/system/uploads/attachment_data/file/138296/dh_103653__1_.pdf" TargetMode="External" Id="rId26" /><Relationship Type="http://schemas.openxmlformats.org/officeDocument/2006/relationships/customXml" Target="../customXml/item3.xml" Id="rId3" /><Relationship Type="http://schemas.openxmlformats.org/officeDocument/2006/relationships/hyperlink" Target="https://www.pharmaceuticalpress.com/bnf-and-bnfc/"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www.sps.nhs.uk/home/guidance/patient-group-directions/templates/" TargetMode="External" Id="rId12" /><Relationship Type="http://schemas.openxmlformats.org/officeDocument/2006/relationships/hyperlink" Target="https://www.medicines.org.uk/emc/product/6300/smpc" TargetMode="External" Id="rId17" /><Relationship Type="http://schemas.openxmlformats.org/officeDocument/2006/relationships/hyperlink" Target="https://www.pharmaceuticalpress.com/bnf-and-bnfc/" TargetMode="External" Id="rId25" /><Relationship Type="http://schemas.openxmlformats.org/officeDocument/2006/relationships/header" Target="header3.xml" Id="rId33" /><Relationship Type="http://schemas.openxmlformats.org/officeDocument/2006/relationships/customXml" Target="../customXml/item2.xml" Id="rId2" /><Relationship Type="http://schemas.openxmlformats.org/officeDocument/2006/relationships/hyperlink" Target="https://www.e-lfh.org.uk/programmes/patient-group-directions/" TargetMode="External" Id="rId16" /><Relationship Type="http://schemas.openxmlformats.org/officeDocument/2006/relationships/hyperlink" Target="https://www.medicines.org.uk/emc/product/6300/smpc" TargetMode="External" Id="rId20" /><Relationship Type="http://schemas.openxmlformats.org/officeDocument/2006/relationships/hyperlink" Target="https://www.resus.org.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www.medicines.org.uk/emc/product/6300/smpc"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s://www.nice.org.uk/guidance/mpg2/resources" TargetMode="External" Id="rId15" /><Relationship Type="http://schemas.openxmlformats.org/officeDocument/2006/relationships/hyperlink" Target="https://yellowcard.mhra.gov.uk/" TargetMode="External" Id="rId23" /><Relationship Type="http://schemas.openxmlformats.org/officeDocument/2006/relationships/hyperlink" Target="https://jrcalc.org.uk/guidelines/" TargetMode="External" Id="rId28" /><Relationship Type="http://schemas.openxmlformats.org/officeDocument/2006/relationships/endnotes" Target="endnotes.xml" Id="rId10" /><Relationship Type="http://schemas.openxmlformats.org/officeDocument/2006/relationships/hyperlink" Target="https://www.medicines.org.uk/emc/product/6300/smpc" TargetMode="Externa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www.medicines.org.uk/emc/product/6300/smpc" TargetMode="External" Id="rId22" /><Relationship Type="http://schemas.openxmlformats.org/officeDocument/2006/relationships/hyperlink" Target="https://www.nice.org.uk/guidance/mpg2" TargetMode="External" Id="rId27" /><Relationship Type="http://schemas.openxmlformats.org/officeDocument/2006/relationships/header" Target="header1.xml" Id="rId30" /><Relationship Type="http://schemas.openxmlformats.org/officeDocument/2006/relationships/theme" Target="theme/theme1.xml" Id="rId35"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Ambulance</Workstream>
    <ReviewDate xmlns="f161132f-3af4-47f5-b28f-8075dccddbe8">2028-02-01T00:00:00+00:00</ReviewDate>
    <Versionnumber xmlns="f161132f-3af4-47f5-b28f-8075dccddbe8">3</Versionnumber>
    <ProgrammeBoardMeeting xmlns="f161132f-3af4-47f5-b28f-8075dccddbe8">2028-04-19T23:00:00+00:00</ProgrammeBoardMeeting>
    <PublishedDate xmlns="f161132f-3af4-47f5-b28f-8075dccddbe8" xsi:nil="true"/>
    <Effectivefromdate xmlns="f161132f-3af4-47f5-b28f-8075dccddbe8">2025-07-31T23:00:00+00:00</Effectivefromdate>
    <RAGrating xmlns="f161132f-3af4-47f5-b28f-8075dccddbe8" xsi:nil="true"/>
    <ExpiryDate xmlns="f161132f-3af4-47f5-b28f-8075dccddbe8">2028-07-30T23:00:00+00:00</ExpiryDate>
  </documentManagement>
</p:properties>
</file>

<file path=customXml/itemProps1.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50C1A3C4-16F7-4272-B992-4AF90BE2A330}"/>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NICE Administrator</dc:creator>
  <keywords/>
  <lastModifiedBy>PARKINSON, Barbara (LIVERPOOL UNIVERSITY HOSPITALS NHS FOUNDATION TRUST)</lastModifiedBy>
  <revision>43</revision>
  <lastPrinted>2017-03-27T13:58:00.0000000Z</lastPrinted>
  <dcterms:created xsi:type="dcterms:W3CDTF">2025-07-31T16:34:00.0000000Z</dcterms:created>
  <dcterms:modified xsi:type="dcterms:W3CDTF">2025-09-09T15:46:34.7312943Z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