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AADF" w14:textId="5FA9B706" w:rsidR="00A90344" w:rsidRPr="008E0FAC" w:rsidRDefault="00F051E0" w:rsidP="2BA16438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08B8D7B7">
        <w:rPr>
          <w:rFonts w:eastAsia="Arial Nova"/>
          <w:b/>
          <w:bCs/>
          <w:sz w:val="32"/>
          <w:szCs w:val="32"/>
        </w:rPr>
        <w:t>Aflibercept</w:t>
      </w:r>
      <w:r w:rsidR="00A90344" w:rsidRPr="08B8D7B7">
        <w:rPr>
          <w:rFonts w:eastAsia="Arial Nova"/>
          <w:b/>
          <w:bCs/>
          <w:sz w:val="32"/>
          <w:szCs w:val="32"/>
        </w:rPr>
        <w:t xml:space="preserve"> </w:t>
      </w:r>
      <w:r w:rsidR="1ECEDE55" w:rsidRPr="08B8D7B7">
        <w:rPr>
          <w:rFonts w:eastAsia="Arial Nova"/>
          <w:b/>
          <w:bCs/>
          <w:sz w:val="32"/>
          <w:szCs w:val="32"/>
        </w:rPr>
        <w:t xml:space="preserve">biosimilar </w:t>
      </w:r>
      <w:r w:rsidR="006A0F83" w:rsidRPr="08B8D7B7">
        <w:rPr>
          <w:rFonts w:eastAsia="Arial Nova"/>
          <w:b/>
          <w:bCs/>
          <w:sz w:val="32"/>
          <w:szCs w:val="32"/>
        </w:rPr>
        <w:t xml:space="preserve">Post Award </w:t>
      </w:r>
      <w:r w:rsidR="00A90344" w:rsidRPr="08B8D7B7">
        <w:rPr>
          <w:rFonts w:eastAsia="Arial Nova"/>
          <w:b/>
          <w:bCs/>
          <w:sz w:val="32"/>
          <w:szCs w:val="32"/>
        </w:rPr>
        <w:t>Implementation Checklist</w:t>
      </w:r>
    </w:p>
    <w:p w14:paraId="65BFC001" w14:textId="19AEBF90" w:rsidR="00ED1037" w:rsidRPr="008E0FAC" w:rsidRDefault="00CF465D" w:rsidP="00A90344">
      <w:pPr>
        <w:pStyle w:val="NoSpacing"/>
        <w:ind w:left="360"/>
        <w:rPr>
          <w:rFonts w:eastAsia="Arial Nova" w:cstheme="minorHAnsi"/>
          <w:b/>
          <w:sz w:val="28"/>
          <w:szCs w:val="28"/>
        </w:rPr>
      </w:pPr>
      <w:r>
        <w:rPr>
          <w:rFonts w:eastAsia="Arial Nova"/>
          <w:b/>
          <w:bCs/>
          <w:sz w:val="32"/>
          <w:szCs w:val="32"/>
        </w:rPr>
        <w:t>2mg prefilled syringe</w:t>
      </w:r>
    </w:p>
    <w:p w14:paraId="11381B46" w14:textId="727FE524" w:rsidR="00ED1037" w:rsidRPr="008E0FAC" w:rsidRDefault="3B8CA69B" w:rsidP="4B8D2E22">
      <w:pPr>
        <w:pStyle w:val="NoSpacing"/>
        <w:ind w:left="360"/>
        <w:rPr>
          <w:rFonts w:eastAsia="Arial Nova"/>
          <w:sz w:val="18"/>
          <w:szCs w:val="18"/>
        </w:rPr>
      </w:pPr>
      <w:r w:rsidRPr="1A7BC9B9">
        <w:rPr>
          <w:rFonts w:eastAsia="Arial Nova"/>
          <w:b/>
          <w:bCs/>
          <w:sz w:val="18"/>
          <w:szCs w:val="18"/>
        </w:rPr>
        <w:t xml:space="preserve">Phase </w:t>
      </w:r>
      <w:r w:rsidR="006A0F83">
        <w:rPr>
          <w:rFonts w:eastAsia="Arial Nova"/>
          <w:b/>
          <w:bCs/>
          <w:sz w:val="18"/>
          <w:szCs w:val="18"/>
        </w:rPr>
        <w:t>2</w:t>
      </w:r>
      <w:r w:rsidRPr="1A7BC9B9">
        <w:rPr>
          <w:rFonts w:eastAsia="Arial Nova"/>
          <w:b/>
          <w:bCs/>
          <w:sz w:val="18"/>
          <w:szCs w:val="18"/>
        </w:rPr>
        <w:t xml:space="preserve"> </w:t>
      </w:r>
      <w:r w:rsidR="51DD9041" w:rsidRPr="1A7BC9B9">
        <w:rPr>
          <w:rFonts w:eastAsia="Arial Nova"/>
          <w:b/>
          <w:bCs/>
          <w:sz w:val="18"/>
          <w:szCs w:val="18"/>
        </w:rPr>
        <w:t>Purpose</w:t>
      </w:r>
      <w:r w:rsidR="51DD9041" w:rsidRPr="1A7BC9B9">
        <w:rPr>
          <w:rFonts w:eastAsia="Arial Nova"/>
          <w:sz w:val="18"/>
          <w:szCs w:val="18"/>
        </w:rPr>
        <w:t xml:space="preserve">: </w:t>
      </w:r>
      <w:r w:rsidR="20A72AF1" w:rsidRPr="1A7BC9B9">
        <w:rPr>
          <w:rFonts w:eastAsia="Arial Nova"/>
          <w:sz w:val="18"/>
          <w:szCs w:val="18"/>
        </w:rPr>
        <w:t>This p</w:t>
      </w:r>
      <w:r w:rsidR="66C0DCB9" w:rsidRPr="1A7BC9B9">
        <w:rPr>
          <w:rFonts w:eastAsia="Arial Nova"/>
          <w:sz w:val="18"/>
          <w:szCs w:val="18"/>
        </w:rPr>
        <w:t xml:space="preserve">hase of the </w:t>
      </w:r>
      <w:r w:rsidR="7BA5E8E4" w:rsidRPr="1A7BC9B9">
        <w:rPr>
          <w:rFonts w:eastAsia="Arial Nova"/>
          <w:sz w:val="18"/>
          <w:szCs w:val="18"/>
        </w:rPr>
        <w:t>checklist is design</w:t>
      </w:r>
      <w:r w:rsidR="7BF0F96B" w:rsidRPr="1A7BC9B9">
        <w:rPr>
          <w:rFonts w:eastAsia="Arial Nova"/>
          <w:sz w:val="18"/>
          <w:szCs w:val="18"/>
        </w:rPr>
        <w:t>ed</w:t>
      </w:r>
      <w:r w:rsidR="7BA5E8E4" w:rsidRPr="1A7BC9B9">
        <w:rPr>
          <w:rFonts w:eastAsia="Arial Nova"/>
          <w:sz w:val="18"/>
          <w:szCs w:val="18"/>
        </w:rPr>
        <w:t xml:space="preserve"> to suppo</w:t>
      </w:r>
      <w:r w:rsidR="00F57D83" w:rsidRPr="1A7BC9B9">
        <w:rPr>
          <w:rFonts w:eastAsia="Arial Nova"/>
          <w:sz w:val="18"/>
          <w:szCs w:val="18"/>
        </w:rPr>
        <w:t xml:space="preserve">rt </w:t>
      </w:r>
      <w:r w:rsidR="7BA5E8E4" w:rsidRPr="1A7BC9B9">
        <w:rPr>
          <w:rFonts w:eastAsia="Arial Nova"/>
          <w:sz w:val="18"/>
          <w:szCs w:val="18"/>
        </w:rPr>
        <w:t xml:space="preserve">planning </w:t>
      </w:r>
      <w:r w:rsidR="006A0F83">
        <w:rPr>
          <w:rFonts w:eastAsia="Arial Nova"/>
          <w:sz w:val="18"/>
          <w:szCs w:val="18"/>
        </w:rPr>
        <w:t>3-4</w:t>
      </w:r>
      <w:r w:rsidR="3483A9CE" w:rsidRPr="1A7BC9B9">
        <w:rPr>
          <w:rFonts w:eastAsia="Arial Nova"/>
          <w:sz w:val="18"/>
          <w:szCs w:val="18"/>
        </w:rPr>
        <w:t xml:space="preserve"> </w:t>
      </w:r>
      <w:r w:rsidR="00F57D83" w:rsidRPr="1A7BC9B9">
        <w:rPr>
          <w:rFonts w:eastAsia="Arial Nova"/>
          <w:sz w:val="18"/>
          <w:szCs w:val="18"/>
        </w:rPr>
        <w:t xml:space="preserve">months prior to MPSC framework </w:t>
      </w:r>
      <w:r w:rsidR="4ABBFBD6" w:rsidRPr="1A7BC9B9">
        <w:rPr>
          <w:rFonts w:eastAsia="Arial Nova"/>
          <w:sz w:val="18"/>
          <w:szCs w:val="18"/>
        </w:rPr>
        <w:t>start date</w:t>
      </w:r>
      <w:r w:rsidR="006A0F83">
        <w:rPr>
          <w:rFonts w:eastAsia="Arial Nova"/>
          <w:sz w:val="18"/>
          <w:szCs w:val="18"/>
        </w:rPr>
        <w:t xml:space="preserve"> following issuing of the framework award details</w:t>
      </w:r>
      <w:r w:rsidR="00F57D83" w:rsidRPr="1A7BC9B9">
        <w:rPr>
          <w:rFonts w:eastAsia="Arial Nova"/>
          <w:sz w:val="18"/>
          <w:szCs w:val="18"/>
        </w:rPr>
        <w:t xml:space="preserve">.  </w:t>
      </w:r>
      <w:r w:rsidR="51DF1BFC" w:rsidRPr="1A7BC9B9">
        <w:rPr>
          <w:rFonts w:eastAsia="Arial Nova"/>
          <w:sz w:val="18"/>
          <w:szCs w:val="18"/>
        </w:rPr>
        <w:t>Pharmacy teams</w:t>
      </w:r>
      <w:r w:rsidR="7BEAD1B8" w:rsidRPr="1A7BC9B9">
        <w:rPr>
          <w:rFonts w:eastAsia="Arial Nova"/>
          <w:sz w:val="18"/>
          <w:szCs w:val="18"/>
        </w:rPr>
        <w:t xml:space="preserve"> </w:t>
      </w:r>
      <w:r w:rsidR="008B0C3F">
        <w:rPr>
          <w:rFonts w:eastAsia="Arial Nova"/>
          <w:sz w:val="18"/>
          <w:szCs w:val="18"/>
        </w:rPr>
        <w:t>should continue</w:t>
      </w:r>
      <w:r w:rsidR="351BCDBC" w:rsidRPr="1A7BC9B9">
        <w:rPr>
          <w:rFonts w:eastAsia="Arial Nova"/>
          <w:sz w:val="18"/>
          <w:szCs w:val="18"/>
        </w:rPr>
        <w:t xml:space="preserve"> to engage with clinical leads </w:t>
      </w:r>
      <w:r w:rsidR="7C94B5FA" w:rsidRPr="1A7BC9B9">
        <w:rPr>
          <w:rFonts w:eastAsia="Arial Nova"/>
          <w:sz w:val="18"/>
          <w:szCs w:val="18"/>
        </w:rPr>
        <w:t xml:space="preserve">to </w:t>
      </w:r>
      <w:r w:rsidR="008B0C3F">
        <w:rPr>
          <w:rFonts w:eastAsia="Arial Nova"/>
          <w:sz w:val="18"/>
          <w:szCs w:val="18"/>
        </w:rPr>
        <w:t>further</w:t>
      </w:r>
      <w:r w:rsidR="7C94B5FA" w:rsidRPr="1A7BC9B9">
        <w:rPr>
          <w:rFonts w:eastAsia="Arial Nova"/>
          <w:sz w:val="18"/>
          <w:szCs w:val="18"/>
        </w:rPr>
        <w:t xml:space="preserve"> discussions regarding </w:t>
      </w:r>
      <w:r w:rsidR="0F3A3453" w:rsidRPr="1A7BC9B9">
        <w:rPr>
          <w:rFonts w:eastAsia="Arial Nova"/>
          <w:sz w:val="18"/>
          <w:szCs w:val="18"/>
        </w:rPr>
        <w:t>moving to best value medicines</w:t>
      </w:r>
      <w:r w:rsidR="008B0C3F">
        <w:rPr>
          <w:rFonts w:eastAsia="Arial Nova"/>
          <w:sz w:val="18"/>
          <w:szCs w:val="18"/>
        </w:rPr>
        <w:t>,</w:t>
      </w:r>
      <w:r w:rsidR="3483A9CE" w:rsidRPr="1A7BC9B9">
        <w:rPr>
          <w:rFonts w:eastAsia="Arial Nova"/>
          <w:sz w:val="18"/>
          <w:szCs w:val="18"/>
        </w:rPr>
        <w:t xml:space="preserve"> </w:t>
      </w:r>
      <w:r w:rsidR="006A0F83">
        <w:rPr>
          <w:rFonts w:eastAsia="Arial Nova"/>
          <w:sz w:val="18"/>
          <w:szCs w:val="18"/>
        </w:rPr>
        <w:t>involving commissioner and finance teams in these discussions</w:t>
      </w:r>
      <w:r w:rsidR="3483A9CE" w:rsidRPr="1A7BC9B9">
        <w:rPr>
          <w:rFonts w:eastAsia="Arial Nova"/>
          <w:sz w:val="18"/>
          <w:szCs w:val="18"/>
        </w:rPr>
        <w:t>.</w:t>
      </w:r>
      <w:r w:rsidR="58B8DB99" w:rsidRPr="1A7BC9B9">
        <w:rPr>
          <w:rFonts w:eastAsia="Arial Nova"/>
          <w:sz w:val="18"/>
          <w:szCs w:val="18"/>
        </w:rPr>
        <w:t xml:space="preserve">  </w:t>
      </w:r>
    </w:p>
    <w:p w14:paraId="18A7AAE0" w14:textId="77777777" w:rsidR="00A90344" w:rsidRPr="008E0FAC" w:rsidRDefault="00A90344" w:rsidP="4B8D2E22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6300"/>
        <w:gridCol w:w="1499"/>
        <w:gridCol w:w="1542"/>
        <w:gridCol w:w="3303"/>
        <w:gridCol w:w="1701"/>
      </w:tblGrid>
      <w:tr w:rsidR="00A90344" w:rsidRPr="008E0FAC" w14:paraId="18A7AAE2" w14:textId="77777777" w:rsidTr="7641C0EB">
        <w:tc>
          <w:tcPr>
            <w:tcW w:w="14944" w:type="dxa"/>
            <w:gridSpan w:val="6"/>
            <w:shd w:val="clear" w:color="auto" w:fill="CCFFCC"/>
          </w:tcPr>
          <w:p w14:paraId="18A7AAE1" w14:textId="143A1C62" w:rsidR="00A90344" w:rsidRPr="008E0FAC" w:rsidRDefault="00A90344" w:rsidP="4B8D2E22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 xml:space="preserve">Phase </w:t>
            </w:r>
            <w:r w:rsidR="004B131F">
              <w:rPr>
                <w:rFonts w:eastAsia="Arial Nova"/>
                <w:b/>
                <w:bCs/>
                <w:sz w:val="18"/>
                <w:szCs w:val="18"/>
              </w:rPr>
              <w:t>2</w:t>
            </w:r>
            <w:r w:rsidRPr="4B8D2E22">
              <w:rPr>
                <w:rFonts w:eastAsia="Arial Nova"/>
                <w:b/>
                <w:bCs/>
                <w:sz w:val="18"/>
                <w:szCs w:val="18"/>
              </w:rPr>
              <w:t>: P</w:t>
            </w:r>
            <w:r w:rsidR="004B131F">
              <w:rPr>
                <w:rFonts w:eastAsia="Arial Nova"/>
                <w:b/>
                <w:bCs/>
                <w:sz w:val="18"/>
                <w:szCs w:val="18"/>
              </w:rPr>
              <w:t>ost</w:t>
            </w:r>
            <w:r w:rsidRPr="4B8D2E22">
              <w:rPr>
                <w:rFonts w:eastAsia="Arial Nova"/>
                <w:b/>
                <w:bCs/>
                <w:sz w:val="18"/>
                <w:szCs w:val="18"/>
              </w:rPr>
              <w:t>-Framework Award</w:t>
            </w:r>
          </w:p>
        </w:tc>
      </w:tr>
      <w:tr w:rsidR="00A90344" w:rsidRPr="008E0FAC" w14:paraId="18A7AAE9" w14:textId="77777777" w:rsidTr="071CA0E8">
        <w:tc>
          <w:tcPr>
            <w:tcW w:w="599" w:type="dxa"/>
            <w:shd w:val="clear" w:color="auto" w:fill="CCFFCC"/>
          </w:tcPr>
          <w:p w14:paraId="18A7AAE3" w14:textId="77777777" w:rsidR="00A90344" w:rsidRPr="008E0FAC" w:rsidRDefault="00A90344" w:rsidP="4B8D2E22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No.</w:t>
            </w:r>
          </w:p>
        </w:tc>
        <w:tc>
          <w:tcPr>
            <w:tcW w:w="6300" w:type="dxa"/>
          </w:tcPr>
          <w:p w14:paraId="18A7AAE4" w14:textId="77777777" w:rsidR="00A90344" w:rsidRPr="008E0FAC" w:rsidRDefault="00A90344" w:rsidP="4B8D2E22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Task/Action</w:t>
            </w:r>
          </w:p>
        </w:tc>
        <w:tc>
          <w:tcPr>
            <w:tcW w:w="1499" w:type="dxa"/>
          </w:tcPr>
          <w:p w14:paraId="18A7AAE5" w14:textId="77777777" w:rsidR="00A90344" w:rsidRPr="008E0FAC" w:rsidRDefault="00A90344" w:rsidP="4B8D2E22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Person/Team Responsible</w:t>
            </w:r>
          </w:p>
        </w:tc>
        <w:tc>
          <w:tcPr>
            <w:tcW w:w="1542" w:type="dxa"/>
          </w:tcPr>
          <w:p w14:paraId="18A7AAE6" w14:textId="77777777" w:rsidR="00A90344" w:rsidRPr="008E0FAC" w:rsidRDefault="00A90344" w:rsidP="4B8D2E22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In Progress (Date)</w:t>
            </w:r>
          </w:p>
        </w:tc>
        <w:tc>
          <w:tcPr>
            <w:tcW w:w="3303" w:type="dxa"/>
          </w:tcPr>
          <w:p w14:paraId="18A7AAE7" w14:textId="77777777" w:rsidR="00A90344" w:rsidRPr="008E0FAC" w:rsidRDefault="00A90344" w:rsidP="4B8D2E22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Comments/Updates/Decisions</w:t>
            </w:r>
          </w:p>
        </w:tc>
        <w:tc>
          <w:tcPr>
            <w:tcW w:w="1701" w:type="dxa"/>
          </w:tcPr>
          <w:p w14:paraId="18A7AAE8" w14:textId="77777777" w:rsidR="00A90344" w:rsidRPr="008E0FAC" w:rsidRDefault="00A90344" w:rsidP="4B8D2E22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Completed (Date)</w:t>
            </w:r>
          </w:p>
        </w:tc>
      </w:tr>
      <w:tr w:rsidR="008B0C3F" w:rsidRPr="008E0FAC" w14:paraId="18A7AAF0" w14:textId="77777777" w:rsidTr="071CA0E8">
        <w:tc>
          <w:tcPr>
            <w:tcW w:w="599" w:type="dxa"/>
            <w:shd w:val="clear" w:color="auto" w:fill="CCFFCC"/>
          </w:tcPr>
          <w:p w14:paraId="18A7AAEA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AEB" w14:textId="5868B58A" w:rsidR="008B0C3F" w:rsidRPr="008B0C3F" w:rsidRDefault="008B0C3F" w:rsidP="008B0C3F">
            <w:pPr>
              <w:rPr>
                <w:rFonts w:eastAsia="Arial Nova"/>
                <w:sz w:val="18"/>
                <w:szCs w:val="18"/>
              </w:rPr>
            </w:pPr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Review opportunities for savings/cost-avoidance. Start developing CIP proposal/action plan. Consider any Formulary implications and necessary actions.</w:t>
            </w:r>
          </w:p>
        </w:tc>
        <w:tc>
          <w:tcPr>
            <w:tcW w:w="1499" w:type="dxa"/>
          </w:tcPr>
          <w:p w14:paraId="18A7AAEC" w14:textId="1E29E8B9" w:rsidR="008B0C3F" w:rsidRPr="008E0FAC" w:rsidRDefault="008B0C3F" w:rsidP="00DC165D"/>
        </w:tc>
        <w:tc>
          <w:tcPr>
            <w:tcW w:w="1542" w:type="dxa"/>
          </w:tcPr>
          <w:p w14:paraId="18A7AAED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AEE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AEF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8B0C3F" w:rsidRPr="008E0FAC" w14:paraId="18A7AAF7" w14:textId="77777777" w:rsidTr="071CA0E8">
        <w:tc>
          <w:tcPr>
            <w:tcW w:w="599" w:type="dxa"/>
            <w:shd w:val="clear" w:color="auto" w:fill="CCFFCC"/>
          </w:tcPr>
          <w:p w14:paraId="18A7AAF1" w14:textId="77777777" w:rsidR="008B0C3F" w:rsidRPr="00DC165D" w:rsidRDefault="008B0C3F" w:rsidP="008B0C3F">
            <w:pPr>
              <w:rPr>
                <w:rFonts w:eastAsia="Arial Nova"/>
                <w:sz w:val="18"/>
                <w:szCs w:val="18"/>
              </w:rPr>
            </w:pPr>
            <w:r w:rsidRPr="00DC165D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AF2" w14:textId="6DF8C3C2" w:rsidR="008B0C3F" w:rsidRPr="00DC165D" w:rsidRDefault="008B0C3F" w:rsidP="008B0C3F">
            <w:pPr>
              <w:rPr>
                <w:rFonts w:eastAsia="Arial Nova"/>
                <w:sz w:val="18"/>
                <w:szCs w:val="18"/>
              </w:rPr>
            </w:pPr>
            <w:r w:rsidRPr="00DC16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Link with commissioner and finance teams to identify and agree resource and timescale plans to support implementation of biosimilar into current pathways, aligning with </w:t>
            </w:r>
            <w:r w:rsidRPr="00DC165D">
              <w:rPr>
                <w:rFonts w:eastAsia="Arial Nova"/>
                <w:sz w:val="18"/>
                <w:szCs w:val="18"/>
              </w:rPr>
              <w:t>the National pathway guidance (</w:t>
            </w:r>
            <w:hyperlink r:id="rId10" w:history="1">
              <w:r w:rsidRPr="00DC165D">
                <w:rPr>
                  <w:rStyle w:val="Hyperlink"/>
                  <w:rFonts w:eastAsia="Arial Nova"/>
                  <w:sz w:val="18"/>
                  <w:szCs w:val="18"/>
                </w:rPr>
                <w:t>Wet age-related macular degeneration - The NHS Biosimilar Hub - Futures</w:t>
              </w:r>
            </w:hyperlink>
          </w:p>
        </w:tc>
        <w:tc>
          <w:tcPr>
            <w:tcW w:w="1499" w:type="dxa"/>
          </w:tcPr>
          <w:p w14:paraId="18A7AAF3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AF4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AF5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AF6" w14:textId="77777777" w:rsidR="008B0C3F" w:rsidRPr="008E0FAC" w:rsidRDefault="008B0C3F" w:rsidP="008B0C3F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333FAAA5" w14:textId="77777777" w:rsidTr="071CA0E8">
        <w:tc>
          <w:tcPr>
            <w:tcW w:w="599" w:type="dxa"/>
            <w:shd w:val="clear" w:color="auto" w:fill="CCFFCC"/>
          </w:tcPr>
          <w:p w14:paraId="60866B9B" w14:textId="0E00DAE1" w:rsidR="00AE0427" w:rsidRPr="00DC165D" w:rsidRDefault="00AE0427" w:rsidP="00AE0427">
            <w:pPr>
              <w:rPr>
                <w:rFonts w:eastAsia="Arial Nova"/>
                <w:sz w:val="18"/>
                <w:szCs w:val="18"/>
              </w:rPr>
            </w:pPr>
            <w:r w:rsidRPr="00DC165D">
              <w:rPr>
                <w:rFonts w:eastAsia="Arial Nova"/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EE0" w14:textId="4D169628" w:rsidR="00AE0427" w:rsidRPr="008B0C3F" w:rsidRDefault="008918C5" w:rsidP="00AE0427">
            <w:pPr>
              <w:rPr>
                <w:rFonts w:eastAsia="Arial Nova"/>
                <w:sz w:val="18"/>
                <w:szCs w:val="18"/>
              </w:rPr>
            </w:pPr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Create new suppliers on systems (to include supplier approval/validation).</w:t>
            </w:r>
          </w:p>
        </w:tc>
        <w:tc>
          <w:tcPr>
            <w:tcW w:w="1499" w:type="dxa"/>
          </w:tcPr>
          <w:p w14:paraId="31D65AA1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75F8F42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  <w:vAlign w:val="center"/>
          </w:tcPr>
          <w:p w14:paraId="7807965D" w14:textId="6FF0DFD1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06140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5924598E" w14:textId="77777777" w:rsidTr="071CA0E8">
        <w:tc>
          <w:tcPr>
            <w:tcW w:w="599" w:type="dxa"/>
            <w:shd w:val="clear" w:color="auto" w:fill="CCFFCC"/>
          </w:tcPr>
          <w:p w14:paraId="77FB1184" w14:textId="4D069C2E" w:rsidR="00AE0427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4</w:t>
            </w:r>
          </w:p>
          <w:p w14:paraId="4CB7EB41" w14:textId="5E0536FC" w:rsidR="00AE0427" w:rsidRPr="4B8D2E22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3F0" w14:textId="23D27616" w:rsidR="00AE0427" w:rsidRPr="008B0C3F" w:rsidRDefault="008918C5" w:rsidP="00AE0427">
            <w:pPr>
              <w:rPr>
                <w:rFonts w:eastAsia="Arial Nova"/>
                <w:sz w:val="18"/>
                <w:szCs w:val="18"/>
              </w:rPr>
            </w:pPr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Create new products on systems (including System Support requests for new products or pack sizes, </w:t>
            </w:r>
            <w:proofErr w:type="spellStart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dm+d</w:t>
            </w:r>
            <w:proofErr w:type="spellEnd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codes etc.)</w:t>
            </w:r>
          </w:p>
        </w:tc>
        <w:tc>
          <w:tcPr>
            <w:tcW w:w="1499" w:type="dxa"/>
          </w:tcPr>
          <w:p w14:paraId="28A8FA89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5A02645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BE9105E" w14:textId="3A0540D3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259DD2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AFE" w14:textId="77777777" w:rsidTr="071CA0E8">
        <w:tc>
          <w:tcPr>
            <w:tcW w:w="599" w:type="dxa"/>
            <w:shd w:val="clear" w:color="auto" w:fill="CCFFCC"/>
          </w:tcPr>
          <w:p w14:paraId="18A7AAF8" w14:textId="2849D21A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AF9" w14:textId="165AB07C" w:rsidR="00AE0427" w:rsidRPr="008B0C3F" w:rsidRDefault="00AE0427" w:rsidP="00AE0427">
            <w:pPr>
              <w:rPr>
                <w:rFonts w:eastAsia="Arial Nova"/>
                <w:sz w:val="18"/>
                <w:szCs w:val="18"/>
              </w:rPr>
            </w:pPr>
            <w:r w:rsidRPr="7641C0E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Load framework detail to each pharmacy system location (e.g. Stores, multiple hospital sites</w:t>
            </w:r>
            <w:r w:rsidR="00FE1E3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/clinics</w:t>
            </w:r>
            <w:r w:rsidRPr="7641C0E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): manually for each line on each location or using automated framework upload functionality.</w:t>
            </w:r>
          </w:p>
        </w:tc>
        <w:tc>
          <w:tcPr>
            <w:tcW w:w="1499" w:type="dxa"/>
          </w:tcPr>
          <w:p w14:paraId="18A7AAFA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AFB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AFC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AFD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B05" w14:textId="77777777" w:rsidTr="6FF9FE98">
        <w:tc>
          <w:tcPr>
            <w:tcW w:w="599" w:type="dxa"/>
            <w:shd w:val="clear" w:color="auto" w:fill="CCFFCC"/>
          </w:tcPr>
          <w:p w14:paraId="18A7AAFF" w14:textId="330DE911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B00" w14:textId="678FE6FF" w:rsidR="00AE0427" w:rsidRPr="008B0C3F" w:rsidRDefault="00AE0427" w:rsidP="00E80428">
            <w:pPr>
              <w:jc w:val="both"/>
              <w:rPr>
                <w:rFonts w:eastAsia="Arial Nova"/>
                <w:sz w:val="18"/>
                <w:szCs w:val="18"/>
              </w:rPr>
            </w:pPr>
            <w:r w:rsidRPr="7641C0E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For products to be replaced (e.g. originator stock) develop plan to transition to new and exhaust old products</w:t>
            </w:r>
            <w:r w:rsidR="00DC165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204D6CFF" w:rsidRPr="6FF9FE9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and update systems to stop/reduce reordering levels of originator.</w:t>
            </w:r>
            <w:r w:rsidR="204D6CFF" w:rsidRPr="6FF9FE9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660B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5E2FA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[</w:t>
            </w:r>
            <w:r w:rsidR="009F73C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Note</w:t>
            </w:r>
            <w:r w:rsidR="00914C9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- only applies to </w:t>
            </w:r>
            <w:r w:rsidR="000A076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syringes</w:t>
            </w:r>
            <w:r w:rsidR="001E68B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- see </w:t>
            </w:r>
            <w:r w:rsidR="00C238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action/task 7</w:t>
            </w:r>
            <w:r w:rsidR="001E68B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499" w:type="dxa"/>
          </w:tcPr>
          <w:p w14:paraId="18A7AB01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B02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B03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B04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C238D3" w:rsidRPr="008E0FAC" w14:paraId="15D21571" w14:textId="77777777" w:rsidTr="071CA0E8">
        <w:tc>
          <w:tcPr>
            <w:tcW w:w="599" w:type="dxa"/>
            <w:shd w:val="clear" w:color="auto" w:fill="CCFFCC"/>
          </w:tcPr>
          <w:p w14:paraId="1D8CADED" w14:textId="48F0EAD1" w:rsidR="00C238D3" w:rsidRDefault="00C238D3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1119" w14:textId="4D3CE5ED" w:rsidR="00C238D3" w:rsidRPr="008B0C3F" w:rsidRDefault="0069756C" w:rsidP="00AE04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Review any current vial use - </w:t>
            </w:r>
            <w:r w:rsidR="00570CBF">
              <w:rPr>
                <w:rFonts w:ascii="Calibri" w:hAnsi="Calibri" w:cs="Calibri"/>
                <w:color w:val="000000"/>
                <w:sz w:val="18"/>
                <w:szCs w:val="18"/>
              </w:rPr>
              <w:t>only originator Eylea will be available in vial presentation</w:t>
            </w:r>
            <w:r w:rsidR="00484A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r w:rsidR="006A267C">
              <w:rPr>
                <w:rFonts w:ascii="Calibri" w:hAnsi="Calibri" w:cs="Calibri"/>
                <w:color w:val="000000"/>
                <w:sz w:val="18"/>
                <w:szCs w:val="18"/>
              </w:rPr>
              <w:t>to replace as much as possible with pre-filled syringes.</w:t>
            </w:r>
          </w:p>
        </w:tc>
        <w:tc>
          <w:tcPr>
            <w:tcW w:w="1499" w:type="dxa"/>
          </w:tcPr>
          <w:p w14:paraId="4611C82B" w14:textId="77777777" w:rsidR="00C238D3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338FC87" w14:textId="77777777" w:rsidR="00C238D3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2C3C97E4" w14:textId="77777777" w:rsidR="00C238D3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9BDF4B" w14:textId="77777777" w:rsidR="00C238D3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B0C" w14:textId="77777777" w:rsidTr="00C45299">
        <w:trPr>
          <w:trHeight w:val="482"/>
        </w:trPr>
        <w:tc>
          <w:tcPr>
            <w:tcW w:w="599" w:type="dxa"/>
            <w:shd w:val="clear" w:color="auto" w:fill="CCFFCC"/>
          </w:tcPr>
          <w:p w14:paraId="18A7AB06" w14:textId="425614CC" w:rsidR="00AE0427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07" w14:textId="5DCEB85E" w:rsidR="00AE0427" w:rsidRPr="008B0C3F" w:rsidRDefault="00AE0427" w:rsidP="00AE04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RANGE!B8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Complete product risk assessments. Plan any risk mitigation actions.</w:t>
            </w:r>
            <w:bookmarkEnd w:id="0"/>
          </w:p>
        </w:tc>
        <w:tc>
          <w:tcPr>
            <w:tcW w:w="1499" w:type="dxa"/>
          </w:tcPr>
          <w:p w14:paraId="18A7AB08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B09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B0A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B0B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B1A" w14:textId="77777777" w:rsidTr="071CA0E8">
        <w:tc>
          <w:tcPr>
            <w:tcW w:w="599" w:type="dxa"/>
            <w:shd w:val="clear" w:color="auto" w:fill="CCFFCC"/>
          </w:tcPr>
          <w:p w14:paraId="18A7AB14" w14:textId="7733517A" w:rsidR="00AE0427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15" w14:textId="68E7FDCF" w:rsidR="00AE0427" w:rsidRPr="008B0C3F" w:rsidRDefault="00AE0427" w:rsidP="00AE0427">
            <w:pPr>
              <w:rPr>
                <w:rFonts w:eastAsia="Arial Nova"/>
                <w:sz w:val="18"/>
                <w:szCs w:val="18"/>
              </w:rPr>
            </w:pPr>
            <w:bookmarkStart w:id="1" w:name="RANGE!B12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Prepare/issue any communications necessary for </w:t>
            </w:r>
            <w:r w:rsidRPr="000F6FEF">
              <w:rPr>
                <w:rFonts w:ascii="Calibri" w:hAnsi="Calibri" w:cs="Calibri"/>
                <w:sz w:val="18"/>
                <w:szCs w:val="18"/>
              </w:rPr>
              <w:t>pharmacy and clinical staff and patients.</w:t>
            </w:r>
            <w:bookmarkEnd w:id="1"/>
          </w:p>
        </w:tc>
        <w:tc>
          <w:tcPr>
            <w:tcW w:w="1499" w:type="dxa"/>
          </w:tcPr>
          <w:p w14:paraId="18A7AB16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B17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B18" w14:textId="055CD125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B19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B21" w14:textId="77777777" w:rsidTr="071CA0E8">
        <w:tc>
          <w:tcPr>
            <w:tcW w:w="599" w:type="dxa"/>
            <w:shd w:val="clear" w:color="auto" w:fill="CCFFCC"/>
          </w:tcPr>
          <w:p w14:paraId="18A7AB1B" w14:textId="43FF6353" w:rsidR="00AE0427" w:rsidRPr="008E0FAC" w:rsidRDefault="00C238D3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1C" w14:textId="545773E0" w:rsidR="00AE0427" w:rsidRPr="008B0C3F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 xml:space="preserve">Update systems currently used to prescribe aflibercept (these are often separate to the main paper-based and electronic systems in use in trusts) and </w:t>
            </w:r>
            <w:r w:rsidRPr="77CD37F1">
              <w:rPr>
                <w:rFonts w:eastAsia="Arial Nova"/>
                <w:sz w:val="18"/>
                <w:szCs w:val="18"/>
              </w:rPr>
              <w:t xml:space="preserve">engage with system provider to request </w:t>
            </w:r>
            <w:r>
              <w:rPr>
                <w:rFonts w:eastAsia="Arial Nova"/>
                <w:sz w:val="18"/>
                <w:szCs w:val="18"/>
              </w:rPr>
              <w:t>updates to support the awarded biosimilar use.</w:t>
            </w:r>
          </w:p>
        </w:tc>
        <w:tc>
          <w:tcPr>
            <w:tcW w:w="1499" w:type="dxa"/>
          </w:tcPr>
          <w:p w14:paraId="18A7AB1D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B1E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B1F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B20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18A7AB28" w14:textId="77777777" w:rsidTr="071CA0E8">
        <w:tc>
          <w:tcPr>
            <w:tcW w:w="599" w:type="dxa"/>
            <w:shd w:val="clear" w:color="auto" w:fill="CCFFCC"/>
          </w:tcPr>
          <w:p w14:paraId="18A7AB22" w14:textId="008970C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1</w:t>
            </w:r>
            <w:r w:rsidR="00C238D3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23" w14:textId="1E7E4B65" w:rsidR="00AE0427" w:rsidRPr="008B0C3F" w:rsidRDefault="00AE0427" w:rsidP="00AE0427">
            <w:pPr>
              <w:rPr>
                <w:rFonts w:eastAsia="Arial Nova"/>
                <w:sz w:val="18"/>
                <w:szCs w:val="18"/>
              </w:rPr>
            </w:pPr>
            <w:bookmarkStart w:id="2" w:name="RANGE!B14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Upload MPSC expiry date matching file to </w:t>
            </w:r>
            <w:proofErr w:type="spellStart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PowerGate</w:t>
            </w:r>
            <w:proofErr w:type="spellEnd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; resolve exceptions / Map frameworks on </w:t>
            </w:r>
            <w:proofErr w:type="spellStart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Medecator</w:t>
            </w:r>
            <w:proofErr w:type="spellEnd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bookmarkEnd w:id="2"/>
          </w:p>
        </w:tc>
        <w:tc>
          <w:tcPr>
            <w:tcW w:w="1499" w:type="dxa"/>
          </w:tcPr>
          <w:p w14:paraId="18A7AB24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8A7AB25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18A7AB26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7AB27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00AE0427" w:rsidRPr="008E0FAC" w14:paraId="5960E8EA" w14:textId="77777777" w:rsidTr="071CA0E8">
        <w:tc>
          <w:tcPr>
            <w:tcW w:w="599" w:type="dxa"/>
            <w:shd w:val="clear" w:color="auto" w:fill="CCFFCC"/>
          </w:tcPr>
          <w:p w14:paraId="0600AD08" w14:textId="11E7AB00" w:rsidR="00AE0427" w:rsidRDefault="00AE0427" w:rsidP="00AE0427">
            <w:pPr>
              <w:rPr>
                <w:rFonts w:eastAsia="Arial Nova"/>
                <w:sz w:val="18"/>
                <w:szCs w:val="18"/>
              </w:rPr>
            </w:pPr>
            <w:r>
              <w:rPr>
                <w:rFonts w:eastAsia="Arial Nova"/>
                <w:sz w:val="18"/>
                <w:szCs w:val="18"/>
              </w:rPr>
              <w:t>1</w:t>
            </w:r>
            <w:r w:rsidR="00C238D3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C9A5" w14:textId="66F4AB1C" w:rsidR="00AE0427" w:rsidRPr="008B0C3F" w:rsidRDefault="00AE0427" w:rsidP="00AE042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Advise any outsourced providers of new </w:t>
            </w:r>
            <w:r w:rsidRPr="00DC165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prices and supply chain details </w:t>
            </w:r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e.g. </w:t>
            </w:r>
            <w:proofErr w:type="spellStart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off site</w:t>
            </w:r>
            <w:proofErr w:type="spellEnd"/>
            <w:r w:rsidRPr="008B0C3F">
              <w:rPr>
                <w:rFonts w:ascii="Calibri" w:hAnsi="Calibri" w:cs="Calibri"/>
                <w:color w:val="000000"/>
                <w:sz w:val="18"/>
                <w:szCs w:val="18"/>
              </w:rPr>
              <w:t>/3rd party injection clinics.</w:t>
            </w:r>
          </w:p>
        </w:tc>
        <w:tc>
          <w:tcPr>
            <w:tcW w:w="1499" w:type="dxa"/>
          </w:tcPr>
          <w:p w14:paraId="4A16B28E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3CCD5D7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303" w:type="dxa"/>
          </w:tcPr>
          <w:p w14:paraId="4434744B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5E3D42" w14:textId="77777777" w:rsidR="00AE0427" w:rsidRPr="008E0FAC" w:rsidRDefault="00AE0427" w:rsidP="00AE0427">
            <w:pPr>
              <w:rPr>
                <w:rFonts w:eastAsia="Arial Nova"/>
                <w:sz w:val="18"/>
                <w:szCs w:val="18"/>
              </w:rPr>
            </w:pPr>
          </w:p>
        </w:tc>
      </w:tr>
    </w:tbl>
    <w:p w14:paraId="18A7ABC9" w14:textId="77777777" w:rsidR="007D3A2D" w:rsidRPr="008E0FAC" w:rsidRDefault="007D3A2D">
      <w:pPr>
        <w:rPr>
          <w:rFonts w:cstheme="minorHAnsi"/>
        </w:rPr>
      </w:pPr>
    </w:p>
    <w:sectPr w:rsidR="007D3A2D" w:rsidRPr="008E0FAC" w:rsidSect="00D33493">
      <w:headerReference w:type="default" r:id="rId11"/>
      <w:footerReference w:type="default" r:id="rId12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C1AB" w14:textId="77777777" w:rsidR="002E1A6B" w:rsidRDefault="002E1A6B" w:rsidP="00EB4B75">
      <w:pPr>
        <w:spacing w:after="0" w:line="240" w:lineRule="auto"/>
      </w:pPr>
      <w:r>
        <w:separator/>
      </w:r>
    </w:p>
  </w:endnote>
  <w:endnote w:type="continuationSeparator" w:id="0">
    <w:p w14:paraId="18A8ECF9" w14:textId="77777777" w:rsidR="002E1A6B" w:rsidRDefault="002E1A6B" w:rsidP="00EB4B75">
      <w:pPr>
        <w:spacing w:after="0" w:line="240" w:lineRule="auto"/>
      </w:pPr>
      <w:r>
        <w:continuationSeparator/>
      </w:r>
    </w:p>
  </w:endnote>
  <w:endnote w:type="continuationNotice" w:id="1">
    <w:p w14:paraId="0F072CDF" w14:textId="77777777" w:rsidR="002E1A6B" w:rsidRDefault="002E1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ABCF" w14:textId="77777777" w:rsidR="00A90344" w:rsidRDefault="00A903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A0D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E93D" w14:textId="77777777" w:rsidR="002E1A6B" w:rsidRDefault="002E1A6B" w:rsidP="00EB4B75">
      <w:pPr>
        <w:spacing w:after="0" w:line="240" w:lineRule="auto"/>
      </w:pPr>
      <w:r>
        <w:separator/>
      </w:r>
    </w:p>
  </w:footnote>
  <w:footnote w:type="continuationSeparator" w:id="0">
    <w:p w14:paraId="5CABE14D" w14:textId="77777777" w:rsidR="002E1A6B" w:rsidRDefault="002E1A6B" w:rsidP="00EB4B75">
      <w:pPr>
        <w:spacing w:after="0" w:line="240" w:lineRule="auto"/>
      </w:pPr>
      <w:r>
        <w:continuationSeparator/>
      </w:r>
    </w:p>
  </w:footnote>
  <w:footnote w:type="continuationNotice" w:id="1">
    <w:p w14:paraId="18044629" w14:textId="77777777" w:rsidR="002E1A6B" w:rsidRDefault="002E1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ABCE" w14:textId="5DA62F2A" w:rsidR="00EB4B75" w:rsidRDefault="00D33493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243112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35EB6"/>
    <w:rsid w:val="00043197"/>
    <w:rsid w:val="0004414F"/>
    <w:rsid w:val="00054B9D"/>
    <w:rsid w:val="00056360"/>
    <w:rsid w:val="00063E57"/>
    <w:rsid w:val="00071B60"/>
    <w:rsid w:val="00083237"/>
    <w:rsid w:val="00084D89"/>
    <w:rsid w:val="000971DF"/>
    <w:rsid w:val="000A0760"/>
    <w:rsid w:val="000C40BB"/>
    <w:rsid w:val="000F2D21"/>
    <w:rsid w:val="000F6FEF"/>
    <w:rsid w:val="0012678B"/>
    <w:rsid w:val="00135992"/>
    <w:rsid w:val="001575ED"/>
    <w:rsid w:val="00174648"/>
    <w:rsid w:val="001919E1"/>
    <w:rsid w:val="0019403E"/>
    <w:rsid w:val="001D3EF5"/>
    <w:rsid w:val="001D5C57"/>
    <w:rsid w:val="001E68B5"/>
    <w:rsid w:val="002063D7"/>
    <w:rsid w:val="00213FD3"/>
    <w:rsid w:val="00217BBC"/>
    <w:rsid w:val="002252D5"/>
    <w:rsid w:val="0022675A"/>
    <w:rsid w:val="00244A7D"/>
    <w:rsid w:val="002509E5"/>
    <w:rsid w:val="0027494F"/>
    <w:rsid w:val="00281681"/>
    <w:rsid w:val="002E1A6B"/>
    <w:rsid w:val="00332934"/>
    <w:rsid w:val="00333845"/>
    <w:rsid w:val="00371BD0"/>
    <w:rsid w:val="003E7891"/>
    <w:rsid w:val="00413F32"/>
    <w:rsid w:val="004564D7"/>
    <w:rsid w:val="0047221A"/>
    <w:rsid w:val="00473F67"/>
    <w:rsid w:val="00484A20"/>
    <w:rsid w:val="004B131F"/>
    <w:rsid w:val="004D2642"/>
    <w:rsid w:val="004D7156"/>
    <w:rsid w:val="004E2FFB"/>
    <w:rsid w:val="004F044F"/>
    <w:rsid w:val="00516E6C"/>
    <w:rsid w:val="00540FA5"/>
    <w:rsid w:val="00550128"/>
    <w:rsid w:val="005557D4"/>
    <w:rsid w:val="00570CBF"/>
    <w:rsid w:val="005828FB"/>
    <w:rsid w:val="005A1F89"/>
    <w:rsid w:val="005C1D32"/>
    <w:rsid w:val="005D3208"/>
    <w:rsid w:val="005E2FAC"/>
    <w:rsid w:val="005F4014"/>
    <w:rsid w:val="00616E0F"/>
    <w:rsid w:val="00626F9A"/>
    <w:rsid w:val="00637937"/>
    <w:rsid w:val="00664245"/>
    <w:rsid w:val="00674257"/>
    <w:rsid w:val="00694ED9"/>
    <w:rsid w:val="00695F0F"/>
    <w:rsid w:val="0069756C"/>
    <w:rsid w:val="006A0F83"/>
    <w:rsid w:val="006A267C"/>
    <w:rsid w:val="006A3ADC"/>
    <w:rsid w:val="006A3F05"/>
    <w:rsid w:val="006A5F9B"/>
    <w:rsid w:val="006D7FAF"/>
    <w:rsid w:val="006E0385"/>
    <w:rsid w:val="006E1FB3"/>
    <w:rsid w:val="006E1FE8"/>
    <w:rsid w:val="006E75FA"/>
    <w:rsid w:val="006F1679"/>
    <w:rsid w:val="0074177E"/>
    <w:rsid w:val="0076587F"/>
    <w:rsid w:val="007B03B8"/>
    <w:rsid w:val="007D3A2D"/>
    <w:rsid w:val="007D6A4A"/>
    <w:rsid w:val="007F4324"/>
    <w:rsid w:val="007F65F1"/>
    <w:rsid w:val="00814426"/>
    <w:rsid w:val="0081667D"/>
    <w:rsid w:val="00830E70"/>
    <w:rsid w:val="00835B1D"/>
    <w:rsid w:val="00844EAE"/>
    <w:rsid w:val="00853D9B"/>
    <w:rsid w:val="00863E29"/>
    <w:rsid w:val="00865E3F"/>
    <w:rsid w:val="00865E6C"/>
    <w:rsid w:val="00870C99"/>
    <w:rsid w:val="008918C5"/>
    <w:rsid w:val="008B0C3F"/>
    <w:rsid w:val="008B41C5"/>
    <w:rsid w:val="008E0FAC"/>
    <w:rsid w:val="008E2C3C"/>
    <w:rsid w:val="008E3B08"/>
    <w:rsid w:val="0090028F"/>
    <w:rsid w:val="00902462"/>
    <w:rsid w:val="00911F73"/>
    <w:rsid w:val="00914C93"/>
    <w:rsid w:val="00965622"/>
    <w:rsid w:val="00981BE9"/>
    <w:rsid w:val="00987244"/>
    <w:rsid w:val="009A14B3"/>
    <w:rsid w:val="009A612C"/>
    <w:rsid w:val="009A61A7"/>
    <w:rsid w:val="009C62D9"/>
    <w:rsid w:val="009E1BE0"/>
    <w:rsid w:val="009F56A9"/>
    <w:rsid w:val="009F73C2"/>
    <w:rsid w:val="00A30121"/>
    <w:rsid w:val="00A40E59"/>
    <w:rsid w:val="00A660BA"/>
    <w:rsid w:val="00A74168"/>
    <w:rsid w:val="00A74B4E"/>
    <w:rsid w:val="00A756B4"/>
    <w:rsid w:val="00A7DF32"/>
    <w:rsid w:val="00A8268B"/>
    <w:rsid w:val="00A90344"/>
    <w:rsid w:val="00A90899"/>
    <w:rsid w:val="00A91CC4"/>
    <w:rsid w:val="00A94366"/>
    <w:rsid w:val="00AA7BAB"/>
    <w:rsid w:val="00AB3AE1"/>
    <w:rsid w:val="00AC0D17"/>
    <w:rsid w:val="00AE0427"/>
    <w:rsid w:val="00B0388B"/>
    <w:rsid w:val="00B204C6"/>
    <w:rsid w:val="00B2436D"/>
    <w:rsid w:val="00B452E8"/>
    <w:rsid w:val="00B77B65"/>
    <w:rsid w:val="00B826DF"/>
    <w:rsid w:val="00BB60CF"/>
    <w:rsid w:val="00BD4ED0"/>
    <w:rsid w:val="00BE30FA"/>
    <w:rsid w:val="00BF0DBE"/>
    <w:rsid w:val="00C01DCB"/>
    <w:rsid w:val="00C15CC6"/>
    <w:rsid w:val="00C238D3"/>
    <w:rsid w:val="00C45299"/>
    <w:rsid w:val="00C5269D"/>
    <w:rsid w:val="00C57C7F"/>
    <w:rsid w:val="00C87073"/>
    <w:rsid w:val="00CB1718"/>
    <w:rsid w:val="00CD2839"/>
    <w:rsid w:val="00CE6187"/>
    <w:rsid w:val="00CF465D"/>
    <w:rsid w:val="00CF61AD"/>
    <w:rsid w:val="00D000FD"/>
    <w:rsid w:val="00D0351F"/>
    <w:rsid w:val="00D23F1F"/>
    <w:rsid w:val="00D266E4"/>
    <w:rsid w:val="00D33493"/>
    <w:rsid w:val="00D34D9B"/>
    <w:rsid w:val="00D674E6"/>
    <w:rsid w:val="00D773AA"/>
    <w:rsid w:val="00D8600C"/>
    <w:rsid w:val="00DA0D4E"/>
    <w:rsid w:val="00DA1DFA"/>
    <w:rsid w:val="00DC165D"/>
    <w:rsid w:val="00DC3798"/>
    <w:rsid w:val="00DC510A"/>
    <w:rsid w:val="00DC7C2F"/>
    <w:rsid w:val="00DF77FE"/>
    <w:rsid w:val="00E23403"/>
    <w:rsid w:val="00E32AF8"/>
    <w:rsid w:val="00E353F8"/>
    <w:rsid w:val="00E41E27"/>
    <w:rsid w:val="00E62103"/>
    <w:rsid w:val="00E7011F"/>
    <w:rsid w:val="00E77AE2"/>
    <w:rsid w:val="00E80428"/>
    <w:rsid w:val="00E97511"/>
    <w:rsid w:val="00EB4B75"/>
    <w:rsid w:val="00ED1037"/>
    <w:rsid w:val="00EE1722"/>
    <w:rsid w:val="00EE56D1"/>
    <w:rsid w:val="00F051E0"/>
    <w:rsid w:val="00F4566B"/>
    <w:rsid w:val="00F57D83"/>
    <w:rsid w:val="00F844D0"/>
    <w:rsid w:val="00FC2714"/>
    <w:rsid w:val="00FD0F54"/>
    <w:rsid w:val="00FD12B7"/>
    <w:rsid w:val="00FD60FD"/>
    <w:rsid w:val="00FE1E33"/>
    <w:rsid w:val="00FF793C"/>
    <w:rsid w:val="03DA2E24"/>
    <w:rsid w:val="0442B921"/>
    <w:rsid w:val="057E3978"/>
    <w:rsid w:val="05A096A6"/>
    <w:rsid w:val="071CA0E8"/>
    <w:rsid w:val="07521B7C"/>
    <w:rsid w:val="08B8D7B7"/>
    <w:rsid w:val="0957698B"/>
    <w:rsid w:val="0A1DE55C"/>
    <w:rsid w:val="0A50708C"/>
    <w:rsid w:val="0A6FF46A"/>
    <w:rsid w:val="0AC2A61C"/>
    <w:rsid w:val="0B5C7C74"/>
    <w:rsid w:val="0D150897"/>
    <w:rsid w:val="0D4E0A80"/>
    <w:rsid w:val="0D72C2A9"/>
    <w:rsid w:val="0E4F21A1"/>
    <w:rsid w:val="0E5CFCCA"/>
    <w:rsid w:val="0E8C9ABC"/>
    <w:rsid w:val="0EB76DCF"/>
    <w:rsid w:val="0F02DF28"/>
    <w:rsid w:val="0F3A3453"/>
    <w:rsid w:val="0F857D83"/>
    <w:rsid w:val="0F8CDCC6"/>
    <w:rsid w:val="0FE30F88"/>
    <w:rsid w:val="10559920"/>
    <w:rsid w:val="1096290E"/>
    <w:rsid w:val="10DADC51"/>
    <w:rsid w:val="116FA6AD"/>
    <w:rsid w:val="1192A763"/>
    <w:rsid w:val="12C8F654"/>
    <w:rsid w:val="138936E3"/>
    <w:rsid w:val="14F969B2"/>
    <w:rsid w:val="15205232"/>
    <w:rsid w:val="1746D775"/>
    <w:rsid w:val="1768BDAA"/>
    <w:rsid w:val="17A6D528"/>
    <w:rsid w:val="18DF97E3"/>
    <w:rsid w:val="18FFFCE5"/>
    <w:rsid w:val="193FF996"/>
    <w:rsid w:val="19AF8687"/>
    <w:rsid w:val="19AFFABE"/>
    <w:rsid w:val="1A7BC9B9"/>
    <w:rsid w:val="1AAD6159"/>
    <w:rsid w:val="1BA4B421"/>
    <w:rsid w:val="1BD47861"/>
    <w:rsid w:val="1C288159"/>
    <w:rsid w:val="1C645A6F"/>
    <w:rsid w:val="1D58EA94"/>
    <w:rsid w:val="1D6D3797"/>
    <w:rsid w:val="1D9E322C"/>
    <w:rsid w:val="1E8B7961"/>
    <w:rsid w:val="1E9215EE"/>
    <w:rsid w:val="1ECEDE55"/>
    <w:rsid w:val="1F607933"/>
    <w:rsid w:val="1F61DB15"/>
    <w:rsid w:val="204D6CFF"/>
    <w:rsid w:val="2052A702"/>
    <w:rsid w:val="20A72AF1"/>
    <w:rsid w:val="2181167D"/>
    <w:rsid w:val="221B9C30"/>
    <w:rsid w:val="24EA9F95"/>
    <w:rsid w:val="25C6C24C"/>
    <w:rsid w:val="26585827"/>
    <w:rsid w:val="26C59A61"/>
    <w:rsid w:val="27730E18"/>
    <w:rsid w:val="284EF90D"/>
    <w:rsid w:val="29400038"/>
    <w:rsid w:val="2A34CE5C"/>
    <w:rsid w:val="2AD67729"/>
    <w:rsid w:val="2BA16438"/>
    <w:rsid w:val="2C0DD543"/>
    <w:rsid w:val="2C8D4443"/>
    <w:rsid w:val="2D645576"/>
    <w:rsid w:val="2E726B62"/>
    <w:rsid w:val="3030EBAB"/>
    <w:rsid w:val="30C30E2D"/>
    <w:rsid w:val="30E023B7"/>
    <w:rsid w:val="32959ED5"/>
    <w:rsid w:val="33397734"/>
    <w:rsid w:val="33D66EC4"/>
    <w:rsid w:val="33F12578"/>
    <w:rsid w:val="3483A9CE"/>
    <w:rsid w:val="351302B1"/>
    <w:rsid w:val="351BCDBC"/>
    <w:rsid w:val="3587032C"/>
    <w:rsid w:val="35B949AB"/>
    <w:rsid w:val="35F09318"/>
    <w:rsid w:val="3694CDF4"/>
    <w:rsid w:val="37247E83"/>
    <w:rsid w:val="377E9D4F"/>
    <w:rsid w:val="394F913B"/>
    <w:rsid w:val="3AD567F5"/>
    <w:rsid w:val="3B144B6A"/>
    <w:rsid w:val="3B56CA0E"/>
    <w:rsid w:val="3B8CA69B"/>
    <w:rsid w:val="3C1F861F"/>
    <w:rsid w:val="3C975F81"/>
    <w:rsid w:val="3CE1BE9F"/>
    <w:rsid w:val="3D187D56"/>
    <w:rsid w:val="3DD3EF82"/>
    <w:rsid w:val="3E055F9E"/>
    <w:rsid w:val="3E29C851"/>
    <w:rsid w:val="3E556197"/>
    <w:rsid w:val="3E7AD35C"/>
    <w:rsid w:val="3EB4A001"/>
    <w:rsid w:val="41AFEB26"/>
    <w:rsid w:val="4203D5E0"/>
    <w:rsid w:val="43A86A2F"/>
    <w:rsid w:val="43D050AB"/>
    <w:rsid w:val="4540460E"/>
    <w:rsid w:val="45DEE2BE"/>
    <w:rsid w:val="4615D4B5"/>
    <w:rsid w:val="46B79C48"/>
    <w:rsid w:val="473E585A"/>
    <w:rsid w:val="47FA90F7"/>
    <w:rsid w:val="480734E3"/>
    <w:rsid w:val="48E3C915"/>
    <w:rsid w:val="49288530"/>
    <w:rsid w:val="49753F1B"/>
    <w:rsid w:val="4ABBFBD6"/>
    <w:rsid w:val="4B37ECB0"/>
    <w:rsid w:val="4B441D42"/>
    <w:rsid w:val="4B8D2E22"/>
    <w:rsid w:val="4BA35AC7"/>
    <w:rsid w:val="4BD0AD92"/>
    <w:rsid w:val="4C308DDA"/>
    <w:rsid w:val="4C4F9D62"/>
    <w:rsid w:val="4CAF1024"/>
    <w:rsid w:val="4D5CC904"/>
    <w:rsid w:val="4D6CB231"/>
    <w:rsid w:val="4DB818B5"/>
    <w:rsid w:val="4E977AD9"/>
    <w:rsid w:val="4FC0AF7F"/>
    <w:rsid w:val="51D38ABF"/>
    <w:rsid w:val="51DD9041"/>
    <w:rsid w:val="51DF1BFC"/>
    <w:rsid w:val="5243F01A"/>
    <w:rsid w:val="52ABED5E"/>
    <w:rsid w:val="54553E24"/>
    <w:rsid w:val="55F684EF"/>
    <w:rsid w:val="58B8DB99"/>
    <w:rsid w:val="597743D8"/>
    <w:rsid w:val="597B4552"/>
    <w:rsid w:val="597F6CB9"/>
    <w:rsid w:val="5AF22D05"/>
    <w:rsid w:val="5AFE2932"/>
    <w:rsid w:val="5B35B052"/>
    <w:rsid w:val="5B5E95F4"/>
    <w:rsid w:val="5BA28666"/>
    <w:rsid w:val="5BC924EF"/>
    <w:rsid w:val="5BD61C82"/>
    <w:rsid w:val="5C6D1279"/>
    <w:rsid w:val="5C9FB374"/>
    <w:rsid w:val="5D767217"/>
    <w:rsid w:val="5E30CC47"/>
    <w:rsid w:val="5F11B3DB"/>
    <w:rsid w:val="6091D268"/>
    <w:rsid w:val="61238671"/>
    <w:rsid w:val="61725528"/>
    <w:rsid w:val="617E1B3C"/>
    <w:rsid w:val="61908BFA"/>
    <w:rsid w:val="6356EDAD"/>
    <w:rsid w:val="64C913C6"/>
    <w:rsid w:val="652206DD"/>
    <w:rsid w:val="652F7664"/>
    <w:rsid w:val="6677C49B"/>
    <w:rsid w:val="66B5F58C"/>
    <w:rsid w:val="66C0DCB9"/>
    <w:rsid w:val="66E0E433"/>
    <w:rsid w:val="6863F5C9"/>
    <w:rsid w:val="6865FEE2"/>
    <w:rsid w:val="6B0FAE78"/>
    <w:rsid w:val="6B5354E2"/>
    <w:rsid w:val="6C89DE66"/>
    <w:rsid w:val="6CBB574E"/>
    <w:rsid w:val="6D16B070"/>
    <w:rsid w:val="6E29CE74"/>
    <w:rsid w:val="6EF1C9D6"/>
    <w:rsid w:val="6F1D6026"/>
    <w:rsid w:val="6FEA5CC1"/>
    <w:rsid w:val="6FF9FE98"/>
    <w:rsid w:val="701C007D"/>
    <w:rsid w:val="70E929A4"/>
    <w:rsid w:val="713A4B41"/>
    <w:rsid w:val="71909F73"/>
    <w:rsid w:val="71CC7D48"/>
    <w:rsid w:val="72C4CC53"/>
    <w:rsid w:val="734456B9"/>
    <w:rsid w:val="74142CD3"/>
    <w:rsid w:val="744C60D7"/>
    <w:rsid w:val="74C99094"/>
    <w:rsid w:val="7554ED1B"/>
    <w:rsid w:val="7641C0EB"/>
    <w:rsid w:val="7790EE53"/>
    <w:rsid w:val="77B080DB"/>
    <w:rsid w:val="77CD37F1"/>
    <w:rsid w:val="78AD0457"/>
    <w:rsid w:val="795B4351"/>
    <w:rsid w:val="79777D9A"/>
    <w:rsid w:val="7ABADBAE"/>
    <w:rsid w:val="7B0650A6"/>
    <w:rsid w:val="7B1E9314"/>
    <w:rsid w:val="7B7566CC"/>
    <w:rsid w:val="7BA5E8E4"/>
    <w:rsid w:val="7BAAE5A9"/>
    <w:rsid w:val="7BBF374F"/>
    <w:rsid w:val="7BEAD1B8"/>
    <w:rsid w:val="7BF0F96B"/>
    <w:rsid w:val="7C94B5FA"/>
    <w:rsid w:val="7C97579B"/>
    <w:rsid w:val="7E9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DA722D5D-A898-40B6-97D8-2007D9B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customStyle="1" w:styleId="TableGrid2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465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F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7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future.nhs.uk/nhsbiosimilarhub/view?objectID=6341073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  <ResourceTitle xmlns="68992351-3470-49a8-a481-12f6b99297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3" ma:contentTypeDescription="Create a new document." ma:contentTypeScope="" ma:versionID="174f8a5e0db21a8ea0013189a5a7a6ae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c4fe79ed0d2cb84fe549b741d09fcaf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42E8F-F073-4ED7-8061-A9BD842B2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a73f3c28-e2de-4142-a8f3-8e7dbea6de5f"/>
    <ds:schemaRef ds:uri="65668e1e-ce1d-47d4-b8eb-c1733aef03ba"/>
  </ds:schemaRefs>
</ds:datastoreItem>
</file>

<file path=customXml/itemProps3.xml><?xml version="1.0" encoding="utf-8"?>
<ds:datastoreItem xmlns:ds="http://schemas.openxmlformats.org/officeDocument/2006/customXml" ds:itemID="{DB7811A9-5CFF-4FB0-BC0C-D1FE22D04C90}"/>
</file>

<file path=customXml/itemProps4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Links>
    <vt:vector size="6" baseType="variant">
      <vt:variant>
        <vt:i4>458772</vt:i4>
      </vt:variant>
      <vt:variant>
        <vt:i4>0</vt:i4>
      </vt:variant>
      <vt:variant>
        <vt:i4>0</vt:i4>
      </vt:variant>
      <vt:variant>
        <vt:i4>5</vt:i4>
      </vt:variant>
      <vt:variant>
        <vt:lpwstr>https://future.nhs.uk/nhsbiosimilarhub/view?objectID=63410736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Natalie</dc:creator>
  <cp:keywords/>
  <cp:lastModifiedBy>ALLWOOD, David (LEEDS TEACHING HOSPITALS NHS TRUST)</cp:lastModifiedBy>
  <cp:revision>2</cp:revision>
  <dcterms:created xsi:type="dcterms:W3CDTF">2025-09-23T14:47:00Z</dcterms:created>
  <dcterms:modified xsi:type="dcterms:W3CDTF">2025-09-23T14:47:00Z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