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3A401606" w14:textId="6274B17A" w:rsidR="007A1448" w:rsidRPr="000F2D3B" w:rsidRDefault="007A1448" w:rsidP="000F2D3B">
      <w:pPr>
        <w:pStyle w:val="PGDTitle2"/>
      </w:pPr>
      <w:r w:rsidRPr="000F2D3B">
        <w:t xml:space="preserve">for the </w:t>
      </w:r>
      <w:r w:rsidR="00251D91" w:rsidRPr="000F2D3B">
        <w:t xml:space="preserve">supply of </w:t>
      </w:r>
      <w:r w:rsidR="00317A97">
        <w:t xml:space="preserve">trimethoprim </w:t>
      </w:r>
      <w:r w:rsidR="00251D91" w:rsidRPr="000F2D3B">
        <w:t>tablets for the treatment of Urinary Tract Infection (UTI)</w:t>
      </w:r>
    </w:p>
    <w:p w14:paraId="62D7E2C0" w14:textId="77777777" w:rsidR="006529F3" w:rsidRPr="00DF77C7" w:rsidRDefault="006529F3" w:rsidP="004C1FDF">
      <w:pPr>
        <w:pStyle w:val="PGDNormal"/>
      </w:pP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3D9C1D5C" w:rsidR="00813399" w:rsidRPr="007F687D" w:rsidRDefault="00813399" w:rsidP="007F687D">
      <w:pPr>
        <w:rPr>
          <w:rStyle w:val="PGDVersionNumber"/>
        </w:rPr>
      </w:pPr>
      <w:r w:rsidRPr="007F687D">
        <w:rPr>
          <w:rStyle w:val="PGDVersionNumber"/>
        </w:rPr>
        <w:t xml:space="preserve">Version Number </w:t>
      </w:r>
      <w:r w:rsidR="00251D91">
        <w:rPr>
          <w:rStyle w:val="PGDVersionNumber"/>
        </w:rPr>
        <w:t>2.0</w:t>
      </w:r>
    </w:p>
    <w:p w14:paraId="20B630F6" w14:textId="7D6EB5A4" w:rsidR="000F2D3B" w:rsidRPr="00581C9E" w:rsidRDefault="000F2D3B">
      <w:pPr>
        <w:rPr>
          <w:rFonts w:ascii="Arial" w:eastAsia="Times New Roman" w:hAnsi="Arial"/>
          <w:b/>
          <w:bCs/>
          <w:lang w:val="en-US"/>
          <w14:ligatures w14:val="none"/>
        </w:rPr>
      </w:pPr>
      <w:r>
        <w:br w:type="page"/>
      </w:r>
    </w:p>
    <w:p w14:paraId="1B3B53BC"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9D4A9A"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9D4F8DB" w14:textId="77777777" w:rsidR="009D4A9A" w:rsidRDefault="009D4A9A" w:rsidP="000F2D3B">
            <w:pPr>
              <w:pStyle w:val="Tabletext"/>
            </w:pPr>
            <w:r w:rsidRPr="00397805">
              <w:t xml:space="preserve">Version </w:t>
            </w:r>
            <w:r w:rsidR="00251D91">
              <w:t>1.0</w:t>
            </w:r>
          </w:p>
          <w:p w14:paraId="564FB0F8" w14:textId="55E3DC1A" w:rsidR="00251D91" w:rsidRPr="00251D91" w:rsidRDefault="00251D91" w:rsidP="000F2D3B">
            <w:pPr>
              <w:pStyle w:val="Tabletext"/>
            </w:pPr>
            <w:r>
              <w:t>January 2023</w:t>
            </w:r>
          </w:p>
        </w:tc>
        <w:tc>
          <w:tcPr>
            <w:tcW w:w="7020" w:type="dxa"/>
            <w:tcBorders>
              <w:top w:val="single" w:sz="4" w:space="0" w:color="auto"/>
              <w:left w:val="single" w:sz="4" w:space="0" w:color="auto"/>
              <w:bottom w:val="single" w:sz="4" w:space="0" w:color="auto"/>
              <w:right w:val="single" w:sz="4" w:space="0" w:color="auto"/>
            </w:tcBorders>
          </w:tcPr>
          <w:p w14:paraId="4A45011F" w14:textId="5BA02CDA" w:rsidR="009D4A9A" w:rsidRPr="00DF77C7" w:rsidRDefault="00251D91" w:rsidP="009D4A9A">
            <w:pPr>
              <w:pStyle w:val="Tabletext"/>
              <w:rPr>
                <w:lang w:val="en-GB"/>
              </w:rPr>
            </w:pPr>
            <w:r>
              <w:t>New</w:t>
            </w:r>
            <w:r w:rsidR="009D4A9A" w:rsidRPr="00397805">
              <w:t xml:space="preserve"> template</w:t>
            </w:r>
          </w:p>
        </w:tc>
      </w:tr>
      <w:tr w:rsidR="009D4A9A" w:rsidRPr="00DF77C7"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4566346" w14:textId="1813658F" w:rsidR="009D4A9A" w:rsidRDefault="009D4A9A" w:rsidP="000F2D3B">
            <w:pPr>
              <w:pStyle w:val="Tabletext"/>
            </w:pPr>
            <w:r w:rsidRPr="00397805">
              <w:t xml:space="preserve">Version </w:t>
            </w:r>
            <w:r w:rsidR="00251D91">
              <w:t>1.</w:t>
            </w:r>
            <w:r w:rsidR="00317A97">
              <w:t>1</w:t>
            </w:r>
          </w:p>
          <w:p w14:paraId="44F808F5" w14:textId="1F9403EC" w:rsidR="00251D91" w:rsidRPr="00397805" w:rsidRDefault="00251D91" w:rsidP="000F2D3B">
            <w:pPr>
              <w:pStyle w:val="Tabletext"/>
            </w:pPr>
            <w:r>
              <w:t>February 2024</w:t>
            </w:r>
          </w:p>
          <w:p w14:paraId="776AB6B6" w14:textId="0C672E95" w:rsidR="009D4A9A" w:rsidRPr="00DF77C7" w:rsidRDefault="009D4A9A" w:rsidP="000F2D3B">
            <w:pPr>
              <w:pStyle w:val="TableHeaderRow"/>
            </w:pPr>
          </w:p>
        </w:tc>
        <w:tc>
          <w:tcPr>
            <w:tcW w:w="7020" w:type="dxa"/>
            <w:tcBorders>
              <w:top w:val="single" w:sz="4" w:space="0" w:color="auto"/>
              <w:left w:val="single" w:sz="4" w:space="0" w:color="auto"/>
              <w:bottom w:val="single" w:sz="4" w:space="0" w:color="auto"/>
              <w:right w:val="single" w:sz="4" w:space="0" w:color="auto"/>
            </w:tcBorders>
          </w:tcPr>
          <w:p w14:paraId="4BD722E3" w14:textId="77777777" w:rsidR="00B906A0" w:rsidRPr="00971C78" w:rsidRDefault="00B906A0" w:rsidP="00B906A0">
            <w:pPr>
              <w:pStyle w:val="Tabletext"/>
            </w:pPr>
            <w:r w:rsidRPr="00971C78">
              <w:t xml:space="preserve">Expansion of the definition of immunosuppressed </w:t>
            </w:r>
          </w:p>
          <w:p w14:paraId="17624771" w14:textId="77777777" w:rsidR="00B906A0" w:rsidRPr="00EF43F4" w:rsidRDefault="00B906A0" w:rsidP="00B906A0">
            <w:pPr>
              <w:pStyle w:val="Tabletext"/>
            </w:pPr>
            <w:r w:rsidRPr="00971C78">
              <w:t xml:space="preserve">Addition of abnormal vaginal discharge, suspected STI and urethritis as exclusions </w:t>
            </w:r>
          </w:p>
          <w:p w14:paraId="305B7FE3" w14:textId="77777777" w:rsidR="00B906A0" w:rsidRPr="00971C78" w:rsidRDefault="00B906A0" w:rsidP="00B906A0">
            <w:pPr>
              <w:pStyle w:val="Tabletext"/>
            </w:pPr>
            <w:r w:rsidRPr="00971C78">
              <w:t>Addition of caution re: rare metabolic conditions and certain excipients</w:t>
            </w:r>
          </w:p>
          <w:p w14:paraId="53F0661E" w14:textId="4145E608" w:rsidR="009D4A9A" w:rsidRPr="00251D91" w:rsidRDefault="00B906A0" w:rsidP="00B906A0">
            <w:pPr>
              <w:pStyle w:val="Tabletext"/>
            </w:pPr>
            <w:r w:rsidRPr="00971C78">
              <w:t>Addition of self-care advice</w:t>
            </w:r>
          </w:p>
        </w:tc>
      </w:tr>
      <w:tr w:rsidR="00251D91" w:rsidRPr="00DF77C7" w14:paraId="78F8FC16"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33D4BD18" w14:textId="3BB1BB63" w:rsidR="00251D91" w:rsidRPr="00251D91" w:rsidRDefault="00251D91" w:rsidP="000F2D3B">
            <w:pPr>
              <w:pStyle w:val="Tabletext"/>
            </w:pPr>
            <w:r w:rsidRPr="00251D91">
              <w:t>Version 1.</w:t>
            </w:r>
            <w:r w:rsidR="00B906A0">
              <w:t>2</w:t>
            </w:r>
          </w:p>
          <w:p w14:paraId="502B2579" w14:textId="036718DD" w:rsidR="00251D91" w:rsidRPr="00251D91" w:rsidRDefault="00251D91" w:rsidP="000F2D3B">
            <w:pPr>
              <w:pStyle w:val="Tabletext"/>
              <w:rPr>
                <w:szCs w:val="22"/>
              </w:rPr>
            </w:pPr>
            <w:r w:rsidRPr="00251D91">
              <w:rPr>
                <w:szCs w:val="22"/>
              </w:rPr>
              <w:t>April 2024</w:t>
            </w:r>
          </w:p>
        </w:tc>
        <w:tc>
          <w:tcPr>
            <w:tcW w:w="7020" w:type="dxa"/>
            <w:tcBorders>
              <w:top w:val="single" w:sz="4" w:space="0" w:color="auto"/>
              <w:left w:val="single" w:sz="4" w:space="0" w:color="auto"/>
              <w:bottom w:val="single" w:sz="4" w:space="0" w:color="auto"/>
              <w:right w:val="single" w:sz="4" w:space="0" w:color="auto"/>
            </w:tcBorders>
          </w:tcPr>
          <w:p w14:paraId="39C39D93" w14:textId="77777777" w:rsidR="00251D91" w:rsidRPr="00251D91" w:rsidRDefault="00251D91" w:rsidP="00DD3AFB">
            <w:pPr>
              <w:pStyle w:val="Tabletext"/>
            </w:pPr>
            <w:r w:rsidRPr="00251D91">
              <w:t>Glossary added</w:t>
            </w:r>
          </w:p>
          <w:p w14:paraId="4812E0DA" w14:textId="77777777" w:rsidR="00251D91" w:rsidRPr="002F652F" w:rsidRDefault="00251D91" w:rsidP="002F652F">
            <w:pPr>
              <w:pStyle w:val="Tabletext"/>
            </w:pPr>
            <w:r w:rsidRPr="002F652F">
              <w:t>Inclusion criterion amended from “females” to “cisgender women, non-binary people assigned female at birth, transgender men (with no structural alteration to their urethra)”</w:t>
            </w:r>
          </w:p>
          <w:p w14:paraId="2A7BBA43" w14:textId="77777777" w:rsidR="00251D91" w:rsidRDefault="00251D91" w:rsidP="002F652F">
            <w:pPr>
              <w:pStyle w:val="Tabletext"/>
            </w:pPr>
            <w:r w:rsidRPr="002F652F">
              <w:t>Exclusion criterion amended from “males” to “cisgender men, non-binary people assigned male at birth, transgender women (including those who have had structural alteration to their urethra)”</w:t>
            </w:r>
          </w:p>
          <w:p w14:paraId="2249817A" w14:textId="0AAD851B" w:rsidR="00B906A0" w:rsidRPr="00251D91" w:rsidRDefault="00B906A0" w:rsidP="00B906A0">
            <w:pPr>
              <w:pStyle w:val="Tabletext"/>
            </w:pPr>
            <w:r w:rsidRPr="00251D91">
              <w:t>Removal of “flu like illness” from symptoms of pyelonephritis in “Criteria for exclusion” and “Action to</w:t>
            </w:r>
            <w:r>
              <w:t xml:space="preserve"> be</w:t>
            </w:r>
            <w:r w:rsidRPr="00251D91">
              <w:t xml:space="preserve"> taken if individual is excluded”, in line with UKHSA guidance</w:t>
            </w:r>
          </w:p>
        </w:tc>
      </w:tr>
      <w:tr w:rsidR="00251D91" w:rsidRPr="00DF77C7" w14:paraId="515F9D40"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54BA563" w14:textId="77777777" w:rsidR="00251D91" w:rsidRPr="00251D91" w:rsidRDefault="00251D91" w:rsidP="000F2D3B">
            <w:pPr>
              <w:pStyle w:val="Tabletext"/>
            </w:pPr>
            <w:r w:rsidRPr="00251D91">
              <w:t>Version 2.0</w:t>
            </w:r>
          </w:p>
          <w:p w14:paraId="69A0BA74" w14:textId="19D6AE7D" w:rsidR="00251D91" w:rsidRPr="00251D91" w:rsidRDefault="00437F47" w:rsidP="000F2D3B">
            <w:pPr>
              <w:pStyle w:val="Tabletext"/>
            </w:pPr>
            <w:r>
              <w:t>October 2025</w:t>
            </w:r>
          </w:p>
        </w:tc>
        <w:tc>
          <w:tcPr>
            <w:tcW w:w="7020" w:type="dxa"/>
            <w:tcBorders>
              <w:top w:val="single" w:sz="4" w:space="0" w:color="auto"/>
              <w:left w:val="single" w:sz="4" w:space="0" w:color="auto"/>
              <w:bottom w:val="single" w:sz="4" w:space="0" w:color="auto"/>
              <w:right w:val="single" w:sz="4" w:space="0" w:color="auto"/>
            </w:tcBorders>
          </w:tcPr>
          <w:p w14:paraId="05D9DC80" w14:textId="77777777" w:rsidR="00251D91" w:rsidRPr="00251D91" w:rsidRDefault="00251D91" w:rsidP="00DD3AFB">
            <w:pPr>
              <w:pStyle w:val="Tabletext"/>
            </w:pPr>
            <w:r w:rsidRPr="00251D91">
              <w:t>Planned review of PGD template</w:t>
            </w:r>
          </w:p>
          <w:p w14:paraId="11ECC0F1" w14:textId="77777777" w:rsidR="00251D91" w:rsidRDefault="00251D91" w:rsidP="00DD3AFB">
            <w:pPr>
              <w:pStyle w:val="Tabletext"/>
            </w:pPr>
            <w:r w:rsidRPr="00251D91">
              <w:t>Updating of SLWG membership</w:t>
            </w:r>
          </w:p>
          <w:p w14:paraId="46C3F8BB" w14:textId="77777777" w:rsidR="00B906A0" w:rsidRPr="00B906A0" w:rsidRDefault="00B906A0" w:rsidP="00B906A0">
            <w:pPr>
              <w:pStyle w:val="Tabletext"/>
            </w:pPr>
            <w:r w:rsidRPr="00B906A0">
              <w:t>Formatting changes to “Drug Interactions” section</w:t>
            </w:r>
          </w:p>
          <w:p w14:paraId="6729E56A" w14:textId="77777777" w:rsidR="00B906A0" w:rsidRPr="00B906A0" w:rsidRDefault="00B906A0" w:rsidP="00B906A0">
            <w:pPr>
              <w:pStyle w:val="Tabletext"/>
            </w:pPr>
            <w:r w:rsidRPr="00B906A0">
              <w:t>Correction of definition of recurrent UTI</w:t>
            </w:r>
          </w:p>
          <w:p w14:paraId="42B297FF" w14:textId="221C58DC" w:rsidR="00251D91" w:rsidRPr="000F2D3B" w:rsidRDefault="00251D91" w:rsidP="00DD3AFB">
            <w:pPr>
              <w:pStyle w:val="Tabletext"/>
              <w:rPr>
                <w:rStyle w:val="Hyperlink"/>
              </w:rPr>
            </w:pPr>
            <w:r w:rsidRPr="00251D91">
              <w:t xml:space="preserve">Alignment of symptoms of pyelonephritis in “Criteria for exclusion” and “Action to </w:t>
            </w:r>
            <w:r w:rsidR="00DD3AFB">
              <w:t xml:space="preserve">be </w:t>
            </w:r>
            <w:r w:rsidRPr="00251D91">
              <w:t xml:space="preserve">taken if individual is excluded” with </w:t>
            </w:r>
            <w:hyperlink r:id="rId12" w:history="1">
              <w:r w:rsidRPr="000F2D3B">
                <w:rPr>
                  <w:rStyle w:val="Hyperlink"/>
                </w:rPr>
                <w:t>UKHSA UTI guidance</w:t>
              </w:r>
            </w:hyperlink>
          </w:p>
          <w:p w14:paraId="35E8C9DE" w14:textId="64E762AD" w:rsidR="00251D91" w:rsidRPr="00251D91" w:rsidRDefault="00251D91" w:rsidP="00DD3AFB">
            <w:pPr>
              <w:pStyle w:val="Tabletext"/>
              <w:rPr>
                <w:lang w:val="en-GB"/>
              </w:rPr>
            </w:pPr>
            <w:r w:rsidRPr="00251D91">
              <w:t>Addition of “</w:t>
            </w:r>
            <w:r w:rsidRPr="00251D91">
              <w:rPr>
                <w:lang w:val="en-GB"/>
              </w:rPr>
              <w:t xml:space="preserve">Symptoms suggestive of </w:t>
            </w:r>
            <w:hyperlink r:id="rId13" w:history="1">
              <w:r w:rsidRPr="000F2D3B">
                <w:rPr>
                  <w:rStyle w:val="Hyperlink"/>
                  <w:lang w:val="en-GB"/>
                </w:rPr>
                <w:t xml:space="preserve">kidney stones </w:t>
              </w:r>
              <w:r w:rsidR="00DD3AFB" w:rsidRPr="000F2D3B">
                <w:rPr>
                  <w:rStyle w:val="Hyperlink"/>
                  <w:lang w:val="en-GB"/>
                </w:rPr>
                <w:t>as described in the NHS guidance</w:t>
              </w:r>
            </w:hyperlink>
            <w:r w:rsidR="00DD3AFB">
              <w:rPr>
                <w:lang w:val="en-GB"/>
              </w:rPr>
              <w:t xml:space="preserve">   </w:t>
            </w:r>
            <w:r w:rsidRPr="00251D91">
              <w:rPr>
                <w:lang w:val="en-GB"/>
              </w:rPr>
              <w:t xml:space="preserve">or </w:t>
            </w:r>
            <w:hyperlink r:id="rId14" w:history="1">
              <w:r w:rsidRPr="000F2D3B">
                <w:rPr>
                  <w:rStyle w:val="Hyperlink"/>
                  <w:lang w:val="en-GB"/>
                </w:rPr>
                <w:t>renal colic</w:t>
              </w:r>
              <w:r w:rsidR="00DD3AFB" w:rsidRPr="000F2D3B">
                <w:rPr>
                  <w:rStyle w:val="Hyperlink"/>
                </w:rPr>
                <w:t xml:space="preserve"> as described in the NICE CKS</w:t>
              </w:r>
            </w:hyperlink>
            <w:r w:rsidRPr="00251D91">
              <w:rPr>
                <w:lang w:val="en-GB"/>
              </w:rPr>
              <w:t xml:space="preserve"> (including severe abdominal pain)” </w:t>
            </w:r>
            <w:r w:rsidR="00DD3AFB">
              <w:rPr>
                <w:lang w:val="en-GB"/>
              </w:rPr>
              <w:t xml:space="preserve"> </w:t>
            </w:r>
            <w:r w:rsidRPr="00251D91">
              <w:t>to “criteria for exclusion”</w:t>
            </w:r>
          </w:p>
          <w:p w14:paraId="3E952403" w14:textId="59394D77" w:rsidR="00251D91" w:rsidRPr="00251D91" w:rsidRDefault="00251D91" w:rsidP="00DD3AFB">
            <w:pPr>
              <w:pStyle w:val="Tabletext"/>
              <w:rPr>
                <w:lang w:val="en-GB"/>
              </w:rPr>
            </w:pPr>
            <w:r w:rsidRPr="00251D91">
              <w:rPr>
                <w:lang w:val="en-GB"/>
              </w:rPr>
              <w:t xml:space="preserve">Addition of “Symptoms suggestive of </w:t>
            </w:r>
            <w:hyperlink r:id="rId15" w:history="1">
              <w:r w:rsidRPr="000F2D3B">
                <w:rPr>
                  <w:rStyle w:val="Hyperlink"/>
                  <w:lang w:val="en-GB"/>
                </w:rPr>
                <w:t xml:space="preserve">renal colic </w:t>
              </w:r>
              <w:r w:rsidR="00DD3AFB" w:rsidRPr="000F2D3B">
                <w:rPr>
                  <w:rStyle w:val="Hyperlink"/>
                  <w:lang w:val="en-GB"/>
                </w:rPr>
                <w:t>as</w:t>
              </w:r>
              <w:r w:rsidR="000F2D3B" w:rsidRPr="000F2D3B">
                <w:rPr>
                  <w:rStyle w:val="Hyperlink"/>
                  <w:lang w:val="en-GB"/>
                </w:rPr>
                <w:t xml:space="preserve"> described in the NICE CKS</w:t>
              </w:r>
            </w:hyperlink>
            <w:r w:rsidR="000F2D3B">
              <w:rPr>
                <w:lang w:val="en-GB"/>
              </w:rPr>
              <w:t xml:space="preserve"> </w:t>
            </w:r>
            <w:r w:rsidRPr="00251D91">
              <w:rPr>
                <w:lang w:val="en-GB"/>
              </w:rPr>
              <w:t>(including severe abdominal pain) ”to “</w:t>
            </w:r>
            <w:r w:rsidRPr="00251D91">
              <w:t>Action to be taken if the individual is excluded</w:t>
            </w:r>
            <w:r w:rsidRPr="00251D91">
              <w:rPr>
                <w:lang w:val="en-GB"/>
              </w:rPr>
              <w:t>” section</w:t>
            </w:r>
          </w:p>
          <w:p w14:paraId="561DD41F" w14:textId="7A93632C" w:rsidR="00251D91" w:rsidRPr="00251D91" w:rsidRDefault="00251D91" w:rsidP="00DD3AFB">
            <w:pPr>
              <w:pStyle w:val="Tabletext"/>
            </w:pPr>
            <w:r w:rsidRPr="00251D91">
              <w:t>Addition of information re: visible haematuria when UTI equally likely to other diagnosis or less likely and individual not supplied antibiotics to “Cautions including any relevant action to be taken” section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 xml:space="preserve">Each organisation using this PGD must ensure that it is formally signed by a senior pharmacist, a senior doctor and any other professional group representatives involved in its review and that it is reviewed in line with the organisations’ PGD governance </w:t>
      </w:r>
      <w:r w:rsidR="00813399" w:rsidRPr="00DF77C7">
        <w:rPr>
          <w:highlight w:val="yellow"/>
          <w:lang w:val="en-GB"/>
        </w:rPr>
        <w:lastRenderedPageBreak/>
        <w:t>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6109E888" w:rsidR="0017669F" w:rsidRPr="00DF77C7" w:rsidRDefault="00437F47" w:rsidP="00AD67D4">
            <w:pPr>
              <w:pStyle w:val="Tabletext"/>
              <w:rPr>
                <w:lang w:val="en-GB"/>
              </w:rPr>
            </w:pPr>
            <w:r>
              <w:rPr>
                <w:lang w:val="en-GB"/>
              </w:rPr>
              <w:t>1</w:t>
            </w:r>
            <w:r w:rsidRPr="00437F47">
              <w:rPr>
                <w:vertAlign w:val="superscript"/>
                <w:lang w:val="en-GB"/>
              </w:rPr>
              <w:t>st</w:t>
            </w:r>
            <w:r>
              <w:rPr>
                <w:lang w:val="en-GB"/>
              </w:rPr>
              <w:t xml:space="preserve"> </w:t>
            </w:r>
            <w:r w:rsidR="004B7A57">
              <w:rPr>
                <w:lang w:val="en-GB"/>
              </w:rPr>
              <w:t>January 2026</w:t>
            </w:r>
          </w:p>
        </w:tc>
      </w:tr>
      <w:tr w:rsidR="00FC4AA5" w:rsidRPr="00DF77C7" w14:paraId="18F33630" w14:textId="77777777" w:rsidTr="00043006">
        <w:tc>
          <w:tcPr>
            <w:tcW w:w="3969" w:type="dxa"/>
          </w:tcPr>
          <w:p w14:paraId="40ECC743" w14:textId="6A42D3C9" w:rsidR="00FC4AA5" w:rsidRPr="00DF77C7" w:rsidRDefault="00FC4AA5" w:rsidP="00AD67D4">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3668E9F1" w:rsidR="00FC4AA5" w:rsidRPr="00DF77C7" w:rsidRDefault="00437F47" w:rsidP="00AD67D4">
            <w:pPr>
              <w:pStyle w:val="Tabletext"/>
              <w:rPr>
                <w:lang w:val="en-GB"/>
              </w:rPr>
            </w:pPr>
            <w:r>
              <w:rPr>
                <w:lang w:val="en-GB"/>
              </w:rPr>
              <w:t>30</w:t>
            </w:r>
            <w:r w:rsidRPr="00437F47">
              <w:rPr>
                <w:vertAlign w:val="superscript"/>
                <w:lang w:val="en-GB"/>
              </w:rPr>
              <w:t>th</w:t>
            </w:r>
            <w:r>
              <w:rPr>
                <w:lang w:val="en-GB"/>
              </w:rPr>
              <w:t xml:space="preserve"> June 202</w:t>
            </w:r>
            <w:r w:rsidR="005B36CD">
              <w:rPr>
                <w:lang w:val="en-GB"/>
              </w:rPr>
              <w:t>8</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450A4D75" w:rsidR="00FC4AA5" w:rsidRPr="00DF77C7" w:rsidRDefault="00437F47" w:rsidP="00AD67D4">
            <w:pPr>
              <w:pStyle w:val="Tabletext"/>
              <w:rPr>
                <w:lang w:val="en-GB"/>
              </w:rPr>
            </w:pPr>
            <w:r>
              <w:rPr>
                <w:lang w:val="en-GB"/>
              </w:rPr>
              <w:t>3</w:t>
            </w:r>
            <w:r w:rsidR="004B7A57">
              <w:rPr>
                <w:lang w:val="en-GB"/>
              </w:rPr>
              <w:t>1</w:t>
            </w:r>
            <w:r w:rsidR="004B7A57" w:rsidRPr="004B7A57">
              <w:rPr>
                <w:vertAlign w:val="superscript"/>
                <w:lang w:val="en-GB"/>
              </w:rPr>
              <w:t>st</w:t>
            </w:r>
            <w:r w:rsidR="004B7A57">
              <w:rPr>
                <w:lang w:val="en-GB"/>
              </w:rPr>
              <w:t xml:space="preserve"> December 202</w:t>
            </w:r>
            <w:r w:rsidR="005B36CD">
              <w:rPr>
                <w:lang w:val="en-GB"/>
              </w:rPr>
              <w:t>8</w:t>
            </w:r>
          </w:p>
        </w:tc>
      </w:tr>
    </w:tbl>
    <w:p w14:paraId="22A68ADB" w14:textId="77777777" w:rsidR="00050C45" w:rsidRPr="00DF77C7" w:rsidRDefault="00050C45" w:rsidP="00F57606">
      <w:pPr>
        <w:pStyle w:val="Tabletext"/>
      </w:pPr>
    </w:p>
    <w:p w14:paraId="6931C648" w14:textId="41CB8895" w:rsidR="00251D91" w:rsidRDefault="00251D91" w:rsidP="002F652F">
      <w:pPr>
        <w:pStyle w:val="PGDNormal"/>
      </w:pPr>
      <w:r w:rsidRPr="00D10926">
        <w:t xml:space="preserve">This PGD template has been peer reviewed by the </w:t>
      </w:r>
      <w:r>
        <w:t xml:space="preserve">national UTI antimicrobial PGD </w:t>
      </w:r>
      <w:r w:rsidRPr="00D10926">
        <w:t xml:space="preserve">Short Life Working Group in accordance with their Terms of Reference. </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6"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DF77C7" w:rsidRDefault="005E6963" w:rsidP="00160183">
            <w:pPr>
              <w:pStyle w:val="TableHeaderRow"/>
            </w:pPr>
            <w:r w:rsidRPr="00DF77C7">
              <w:t>Position</w:t>
            </w:r>
          </w:p>
        </w:tc>
      </w:tr>
      <w:tr w:rsidR="00251D91" w:rsidRPr="00DF77C7" w14:paraId="6D7832C8" w14:textId="77777777" w:rsidTr="002019B1">
        <w:trPr>
          <w:trHeight w:val="842"/>
        </w:trPr>
        <w:tc>
          <w:tcPr>
            <w:tcW w:w="2297" w:type="dxa"/>
            <w:tcBorders>
              <w:top w:val="single" w:sz="4" w:space="0" w:color="auto"/>
              <w:left w:val="single" w:sz="4" w:space="0" w:color="auto"/>
              <w:bottom w:val="single" w:sz="4" w:space="0" w:color="auto"/>
              <w:right w:val="single" w:sz="4" w:space="0" w:color="auto"/>
            </w:tcBorders>
            <w:vAlign w:val="center"/>
          </w:tcPr>
          <w:p w14:paraId="0D33821E" w14:textId="5D9B381B" w:rsidR="00251D91" w:rsidRPr="00DF77C7" w:rsidRDefault="00251D91" w:rsidP="00251D91">
            <w:pPr>
              <w:pStyle w:val="Tabletext"/>
              <w:rPr>
                <w:rFonts w:eastAsia="Calibri"/>
                <w:lang w:val="en-GB"/>
              </w:rPr>
            </w:pPr>
            <w:r w:rsidRPr="00AC124C">
              <w:rPr>
                <w:rFonts w:cs="Arial"/>
                <w:bCs/>
                <w:szCs w:val="22"/>
              </w:rPr>
              <w:t>Dr Diane Ashiru-Oredope</w:t>
            </w:r>
          </w:p>
        </w:tc>
        <w:tc>
          <w:tcPr>
            <w:tcW w:w="6912" w:type="dxa"/>
            <w:tcBorders>
              <w:top w:val="single" w:sz="4" w:space="0" w:color="auto"/>
              <w:left w:val="single" w:sz="4" w:space="0" w:color="auto"/>
              <w:bottom w:val="single" w:sz="4" w:space="0" w:color="auto"/>
              <w:right w:val="single" w:sz="4" w:space="0" w:color="auto"/>
            </w:tcBorders>
            <w:vAlign w:val="center"/>
          </w:tcPr>
          <w:p w14:paraId="0C137020" w14:textId="26C4552D" w:rsidR="00251D91" w:rsidRPr="00DF77C7" w:rsidRDefault="00251D91" w:rsidP="00251D91">
            <w:pPr>
              <w:pStyle w:val="Tabletext"/>
              <w:rPr>
                <w:rFonts w:eastAsia="Calibri"/>
                <w:lang w:val="en-GB"/>
              </w:rPr>
            </w:pPr>
            <w:r w:rsidRPr="00AC124C">
              <w:rPr>
                <w:rFonts w:cs="Arial"/>
                <w:bCs/>
                <w:szCs w:val="22"/>
              </w:rPr>
              <w:t xml:space="preserve">Lead Pharmacist for UKHSA HCAI &amp; AMR Division </w:t>
            </w:r>
          </w:p>
        </w:tc>
      </w:tr>
      <w:tr w:rsidR="00251D91" w:rsidRPr="00DF77C7" w14:paraId="15A217EB" w14:textId="77777777" w:rsidTr="00B906A0">
        <w:trPr>
          <w:trHeight w:val="549"/>
        </w:trPr>
        <w:tc>
          <w:tcPr>
            <w:tcW w:w="2297" w:type="dxa"/>
            <w:tcBorders>
              <w:top w:val="single" w:sz="4" w:space="0" w:color="auto"/>
              <w:left w:val="single" w:sz="4" w:space="0" w:color="auto"/>
              <w:bottom w:val="single" w:sz="4" w:space="0" w:color="auto"/>
              <w:right w:val="single" w:sz="4" w:space="0" w:color="auto"/>
            </w:tcBorders>
          </w:tcPr>
          <w:p w14:paraId="543479AC" w14:textId="5504725E" w:rsidR="00251D91" w:rsidRPr="00DF77C7" w:rsidRDefault="00251D91" w:rsidP="00251D91">
            <w:pPr>
              <w:pStyle w:val="Tabletext"/>
              <w:rPr>
                <w:rFonts w:eastAsia="Calibri"/>
                <w:lang w:val="en-GB"/>
              </w:rPr>
            </w:pPr>
            <w:r>
              <w:rPr>
                <w:rFonts w:cs="Arial"/>
                <w:szCs w:val="22"/>
              </w:rPr>
              <w:t xml:space="preserve">Dr Imran </w:t>
            </w:r>
            <w:r w:rsidRPr="000D364F">
              <w:rPr>
                <w:rFonts w:cs="Arial"/>
                <w:szCs w:val="22"/>
              </w:rPr>
              <w:t>Jawaid</w:t>
            </w:r>
          </w:p>
        </w:tc>
        <w:tc>
          <w:tcPr>
            <w:tcW w:w="6912" w:type="dxa"/>
            <w:tcBorders>
              <w:top w:val="single" w:sz="4" w:space="0" w:color="auto"/>
              <w:left w:val="single" w:sz="4" w:space="0" w:color="auto"/>
              <w:bottom w:val="single" w:sz="4" w:space="0" w:color="auto"/>
              <w:right w:val="single" w:sz="4" w:space="0" w:color="auto"/>
            </w:tcBorders>
          </w:tcPr>
          <w:p w14:paraId="7C2C9AF1" w14:textId="26A463E1" w:rsidR="00251D91" w:rsidRPr="00DF77C7" w:rsidRDefault="00251D91" w:rsidP="00251D91">
            <w:pPr>
              <w:pStyle w:val="Tabletext"/>
              <w:rPr>
                <w:rFonts w:eastAsia="Calibri"/>
                <w:lang w:val="en-GB"/>
              </w:rPr>
            </w:pPr>
            <w:r w:rsidRPr="000D364F">
              <w:rPr>
                <w:rFonts w:cs="Arial"/>
                <w:szCs w:val="22"/>
              </w:rPr>
              <w:t xml:space="preserve">GP </w:t>
            </w:r>
            <w:r>
              <w:rPr>
                <w:rFonts w:cs="Arial"/>
                <w:szCs w:val="22"/>
              </w:rPr>
              <w:t>and</w:t>
            </w:r>
            <w:r w:rsidRPr="000D364F">
              <w:rPr>
                <w:rFonts w:cs="Arial"/>
                <w:szCs w:val="22"/>
              </w:rPr>
              <w:t xml:space="preserve"> RCGP AMR </w:t>
            </w:r>
            <w:r>
              <w:rPr>
                <w:rFonts w:cs="Arial"/>
                <w:szCs w:val="22"/>
              </w:rPr>
              <w:t>r</w:t>
            </w:r>
            <w:r w:rsidRPr="000D364F">
              <w:rPr>
                <w:rFonts w:cs="Arial"/>
                <w:szCs w:val="22"/>
              </w:rPr>
              <w:t>epresentative</w:t>
            </w:r>
          </w:p>
        </w:tc>
      </w:tr>
      <w:tr w:rsidR="00251D91" w:rsidRPr="00DF77C7" w14:paraId="15C69C66" w14:textId="77777777" w:rsidTr="002019B1">
        <w:trPr>
          <w:trHeight w:val="638"/>
        </w:trPr>
        <w:tc>
          <w:tcPr>
            <w:tcW w:w="2297" w:type="dxa"/>
            <w:tcBorders>
              <w:top w:val="single" w:sz="4" w:space="0" w:color="auto"/>
              <w:left w:val="single" w:sz="4" w:space="0" w:color="auto"/>
              <w:bottom w:val="single" w:sz="4" w:space="0" w:color="auto"/>
              <w:right w:val="single" w:sz="4" w:space="0" w:color="auto"/>
            </w:tcBorders>
            <w:vAlign w:val="center"/>
          </w:tcPr>
          <w:p w14:paraId="067C5D4E" w14:textId="0B987F84" w:rsidR="00251D91" w:rsidRPr="00DF77C7" w:rsidRDefault="00251D91" w:rsidP="00251D91">
            <w:pPr>
              <w:pStyle w:val="Tabletext"/>
              <w:rPr>
                <w:rFonts w:eastAsia="Calibri"/>
                <w:lang w:val="en-GB"/>
              </w:rPr>
            </w:pPr>
            <w:r w:rsidRPr="00AC124C">
              <w:rPr>
                <w:rFonts w:cs="Arial"/>
                <w:bCs/>
                <w:szCs w:val="22"/>
              </w:rPr>
              <w:t>Dr Kiren Collison</w:t>
            </w:r>
          </w:p>
        </w:tc>
        <w:tc>
          <w:tcPr>
            <w:tcW w:w="6912" w:type="dxa"/>
            <w:tcBorders>
              <w:top w:val="single" w:sz="4" w:space="0" w:color="auto"/>
              <w:left w:val="single" w:sz="4" w:space="0" w:color="auto"/>
              <w:bottom w:val="single" w:sz="4" w:space="0" w:color="auto"/>
              <w:right w:val="single" w:sz="4" w:space="0" w:color="auto"/>
            </w:tcBorders>
            <w:vAlign w:val="center"/>
          </w:tcPr>
          <w:p w14:paraId="53553074" w14:textId="74609715" w:rsidR="00251D91" w:rsidRPr="00762BFE" w:rsidRDefault="00251D91" w:rsidP="00251D91">
            <w:pPr>
              <w:pStyle w:val="Tabletext"/>
              <w:rPr>
                <w:rFonts w:eastAsia="Calibri"/>
                <w:lang w:val="en-GB"/>
              </w:rPr>
            </w:pPr>
            <w:r w:rsidRPr="00AC124C">
              <w:rPr>
                <w:rFonts w:cs="Arial"/>
                <w:bCs/>
                <w:szCs w:val="22"/>
              </w:rPr>
              <w:t>GP Oxford, Deputy Medical Director for Primary Care, NHSE</w:t>
            </w:r>
          </w:p>
        </w:tc>
      </w:tr>
      <w:tr w:rsidR="00251D91" w:rsidRPr="00DF77C7" w14:paraId="2441A89E" w14:textId="77777777" w:rsidTr="002019B1">
        <w:trPr>
          <w:trHeight w:val="562"/>
        </w:trPr>
        <w:tc>
          <w:tcPr>
            <w:tcW w:w="2297" w:type="dxa"/>
            <w:tcBorders>
              <w:top w:val="single" w:sz="4" w:space="0" w:color="auto"/>
              <w:left w:val="single" w:sz="4" w:space="0" w:color="auto"/>
              <w:bottom w:val="single" w:sz="4" w:space="0" w:color="auto"/>
              <w:right w:val="single" w:sz="4" w:space="0" w:color="auto"/>
            </w:tcBorders>
            <w:vAlign w:val="center"/>
          </w:tcPr>
          <w:p w14:paraId="7F6ABB2F" w14:textId="3891004F" w:rsidR="00251D91" w:rsidRPr="00DF77C7" w:rsidRDefault="00251D91" w:rsidP="00251D91">
            <w:pPr>
              <w:pStyle w:val="Tabletext"/>
              <w:rPr>
                <w:lang w:val="en-GB"/>
              </w:rPr>
            </w:pPr>
            <w:r>
              <w:rPr>
                <w:rFonts w:cs="Arial"/>
                <w:bCs/>
                <w:szCs w:val="22"/>
              </w:rPr>
              <w:t xml:space="preserve">Dr </w:t>
            </w:r>
            <w:r w:rsidRPr="00AC124C">
              <w:rPr>
                <w:rFonts w:cs="Arial"/>
                <w:bCs/>
                <w:szCs w:val="22"/>
              </w:rPr>
              <w:t>Naomi Fleming</w:t>
            </w:r>
          </w:p>
        </w:tc>
        <w:tc>
          <w:tcPr>
            <w:tcW w:w="6912" w:type="dxa"/>
            <w:tcBorders>
              <w:top w:val="single" w:sz="4" w:space="0" w:color="auto"/>
              <w:left w:val="single" w:sz="4" w:space="0" w:color="auto"/>
              <w:bottom w:val="single" w:sz="4" w:space="0" w:color="auto"/>
              <w:right w:val="single" w:sz="4" w:space="0" w:color="auto"/>
            </w:tcBorders>
            <w:vAlign w:val="center"/>
          </w:tcPr>
          <w:p w14:paraId="3C9BFAE0" w14:textId="2DC59DF5" w:rsidR="00251D91" w:rsidRPr="00DF77C7" w:rsidRDefault="00251D91" w:rsidP="00251D91">
            <w:pPr>
              <w:pStyle w:val="Tabletext"/>
              <w:rPr>
                <w:lang w:val="en-GB"/>
              </w:rPr>
            </w:pPr>
            <w:r w:rsidRPr="00AC124C">
              <w:rPr>
                <w:rFonts w:cs="Arial"/>
                <w:bCs/>
                <w:szCs w:val="22"/>
              </w:rPr>
              <w:t>Regional AMS Lead East of England</w:t>
            </w:r>
          </w:p>
        </w:tc>
      </w:tr>
      <w:tr w:rsidR="00251D91" w:rsidRPr="00DF77C7" w14:paraId="0E576D53" w14:textId="77777777" w:rsidTr="002019B1">
        <w:trPr>
          <w:trHeight w:val="708"/>
        </w:trPr>
        <w:tc>
          <w:tcPr>
            <w:tcW w:w="2297" w:type="dxa"/>
            <w:tcBorders>
              <w:top w:val="single" w:sz="4" w:space="0" w:color="auto"/>
              <w:left w:val="single" w:sz="4" w:space="0" w:color="auto"/>
              <w:bottom w:val="single" w:sz="4" w:space="0" w:color="auto"/>
              <w:right w:val="single" w:sz="4" w:space="0" w:color="auto"/>
            </w:tcBorders>
            <w:vAlign w:val="center"/>
          </w:tcPr>
          <w:p w14:paraId="05EE8281" w14:textId="11498FE1" w:rsidR="00251D91" w:rsidRPr="00DF77C7" w:rsidRDefault="00251D91" w:rsidP="00251D91">
            <w:pPr>
              <w:pStyle w:val="Tabletext"/>
              <w:rPr>
                <w:lang w:val="en-GB"/>
              </w:rPr>
            </w:pPr>
            <w:r>
              <w:rPr>
                <w:rFonts w:cs="Arial"/>
                <w:bCs/>
                <w:szCs w:val="22"/>
              </w:rPr>
              <w:t xml:space="preserve">Mandy Slatter </w:t>
            </w:r>
          </w:p>
        </w:tc>
        <w:tc>
          <w:tcPr>
            <w:tcW w:w="6912" w:type="dxa"/>
            <w:tcBorders>
              <w:top w:val="single" w:sz="4" w:space="0" w:color="auto"/>
              <w:left w:val="single" w:sz="4" w:space="0" w:color="auto"/>
              <w:bottom w:val="single" w:sz="4" w:space="0" w:color="auto"/>
              <w:right w:val="single" w:sz="4" w:space="0" w:color="auto"/>
            </w:tcBorders>
            <w:vAlign w:val="center"/>
          </w:tcPr>
          <w:p w14:paraId="2A113ED2" w14:textId="4E217657" w:rsidR="00251D91" w:rsidRPr="00DF77C7" w:rsidRDefault="00251D91" w:rsidP="00251D91">
            <w:pPr>
              <w:pStyle w:val="Tabletext"/>
              <w:rPr>
                <w:lang w:val="en-GB"/>
              </w:rPr>
            </w:pPr>
            <w:r w:rsidRPr="00016BFD">
              <w:rPr>
                <w:rFonts w:cs="Arial"/>
                <w:bCs/>
                <w:szCs w:val="22"/>
              </w:rPr>
              <w:t>Southwest Regional UTI Improvement Collaborative Lead NHS England</w:t>
            </w:r>
          </w:p>
        </w:tc>
      </w:tr>
      <w:tr w:rsidR="00251D91" w:rsidRPr="00DF77C7" w14:paraId="06658BE4" w14:textId="77777777" w:rsidTr="00251D91">
        <w:trPr>
          <w:trHeight w:val="539"/>
        </w:trPr>
        <w:tc>
          <w:tcPr>
            <w:tcW w:w="2297" w:type="dxa"/>
            <w:tcBorders>
              <w:top w:val="single" w:sz="4" w:space="0" w:color="auto"/>
              <w:left w:val="single" w:sz="4" w:space="0" w:color="auto"/>
              <w:bottom w:val="single" w:sz="4" w:space="0" w:color="auto"/>
              <w:right w:val="single" w:sz="4" w:space="0" w:color="auto"/>
            </w:tcBorders>
          </w:tcPr>
          <w:p w14:paraId="4B09C5EB" w14:textId="74C5CC02" w:rsidR="00251D91" w:rsidRPr="00DF77C7" w:rsidRDefault="00251D91" w:rsidP="00251D91">
            <w:pPr>
              <w:pStyle w:val="Tabletext"/>
              <w:rPr>
                <w:lang w:val="en-GB"/>
              </w:rPr>
            </w:pPr>
            <w:r w:rsidRPr="00D83FBB">
              <w:rPr>
                <w:rFonts w:cs="Arial"/>
                <w:szCs w:val="22"/>
              </w:rPr>
              <w:t>Jo Jenk</w:t>
            </w:r>
            <w:r>
              <w:rPr>
                <w:rFonts w:cs="Arial"/>
                <w:szCs w:val="22"/>
              </w:rPr>
              <w:t xml:space="preserve">ins </w:t>
            </w:r>
          </w:p>
        </w:tc>
        <w:tc>
          <w:tcPr>
            <w:tcW w:w="6912" w:type="dxa"/>
            <w:tcBorders>
              <w:top w:val="single" w:sz="4" w:space="0" w:color="auto"/>
              <w:left w:val="single" w:sz="4" w:space="0" w:color="auto"/>
              <w:bottom w:val="single" w:sz="4" w:space="0" w:color="auto"/>
              <w:right w:val="single" w:sz="4" w:space="0" w:color="auto"/>
            </w:tcBorders>
          </w:tcPr>
          <w:p w14:paraId="50FAAE1F" w14:textId="633051D9" w:rsidR="00251D91" w:rsidRPr="00DF77C7" w:rsidRDefault="00251D91" w:rsidP="00251D91">
            <w:pPr>
              <w:pStyle w:val="Tabletext"/>
              <w:rPr>
                <w:lang w:val="en-GB"/>
              </w:rPr>
            </w:pPr>
            <w:r w:rsidRPr="000D364F">
              <w:rPr>
                <w:rFonts w:cs="Arial"/>
                <w:szCs w:val="22"/>
              </w:rPr>
              <w:t>Lead Pharmacist Patient Group Directions and Medicines Mechanisms</w:t>
            </w:r>
            <w:r>
              <w:rPr>
                <w:rFonts w:cs="Arial"/>
                <w:szCs w:val="22"/>
              </w:rPr>
              <w:t xml:space="preserve">, </w:t>
            </w:r>
            <w:r w:rsidRPr="000D364F">
              <w:rPr>
                <w:rFonts w:cs="Arial"/>
                <w:szCs w:val="22"/>
              </w:rPr>
              <w:t>Medicines Use and Safety Division</w:t>
            </w:r>
            <w:r>
              <w:rPr>
                <w:rFonts w:cs="Arial"/>
                <w:szCs w:val="22"/>
              </w:rPr>
              <w:t xml:space="preserve">, </w:t>
            </w:r>
            <w:r w:rsidRPr="000D364F">
              <w:rPr>
                <w:rFonts w:cs="Arial"/>
                <w:szCs w:val="22"/>
              </w:rPr>
              <w:t>Specialist Pharmacy Service</w:t>
            </w:r>
          </w:p>
        </w:tc>
      </w:tr>
      <w:tr w:rsidR="00251D91" w:rsidRPr="00DF77C7" w14:paraId="3803C8B9" w14:textId="77777777" w:rsidTr="00B906A0">
        <w:trPr>
          <w:trHeight w:val="767"/>
        </w:trPr>
        <w:tc>
          <w:tcPr>
            <w:tcW w:w="2297" w:type="dxa"/>
            <w:tcBorders>
              <w:top w:val="single" w:sz="4" w:space="0" w:color="auto"/>
              <w:left w:val="single" w:sz="4" w:space="0" w:color="auto"/>
              <w:bottom w:val="single" w:sz="4" w:space="0" w:color="auto"/>
              <w:right w:val="single" w:sz="4" w:space="0" w:color="auto"/>
            </w:tcBorders>
          </w:tcPr>
          <w:p w14:paraId="00B466E6" w14:textId="78E40A27" w:rsidR="00251D91" w:rsidRPr="00DF77C7" w:rsidRDefault="00251D91" w:rsidP="00251D91">
            <w:pPr>
              <w:pStyle w:val="Tabletext"/>
              <w:rPr>
                <w:lang w:val="en-GB"/>
              </w:rPr>
            </w:pPr>
            <w:r>
              <w:rPr>
                <w:rFonts w:cs="Arial"/>
                <w:szCs w:val="22"/>
              </w:rPr>
              <w:t>Kieran Reynolds (SLWG co-ordinator)</w:t>
            </w:r>
          </w:p>
        </w:tc>
        <w:tc>
          <w:tcPr>
            <w:tcW w:w="6912" w:type="dxa"/>
            <w:tcBorders>
              <w:top w:val="single" w:sz="4" w:space="0" w:color="auto"/>
              <w:left w:val="single" w:sz="4" w:space="0" w:color="auto"/>
              <w:bottom w:val="single" w:sz="4" w:space="0" w:color="auto"/>
              <w:right w:val="single" w:sz="4" w:space="0" w:color="auto"/>
            </w:tcBorders>
          </w:tcPr>
          <w:p w14:paraId="52BB571F" w14:textId="5F666FF4" w:rsidR="00251D91" w:rsidRPr="00DF77C7" w:rsidRDefault="00251D91" w:rsidP="00251D91">
            <w:pPr>
              <w:pStyle w:val="Tabletext"/>
              <w:rPr>
                <w:lang w:val="en-GB"/>
              </w:rPr>
            </w:pPr>
            <w:r>
              <w:rPr>
                <w:rFonts w:cs="Arial"/>
                <w:szCs w:val="22"/>
              </w:rPr>
              <w:t>Advanced Specialist Pharmacist - Medicines Use and Safety Division, Specialist Pharmacy Service</w:t>
            </w:r>
          </w:p>
        </w:tc>
      </w:tr>
      <w:tr w:rsidR="00251D91" w:rsidRPr="00DF77C7" w14:paraId="2099D9F1" w14:textId="77777777" w:rsidTr="00251D91">
        <w:trPr>
          <w:trHeight w:val="764"/>
        </w:trPr>
        <w:tc>
          <w:tcPr>
            <w:tcW w:w="2297" w:type="dxa"/>
            <w:tcBorders>
              <w:top w:val="single" w:sz="4" w:space="0" w:color="auto"/>
              <w:left w:val="single" w:sz="4" w:space="0" w:color="auto"/>
              <w:bottom w:val="single" w:sz="4" w:space="0" w:color="auto"/>
              <w:right w:val="single" w:sz="4" w:space="0" w:color="auto"/>
            </w:tcBorders>
          </w:tcPr>
          <w:p w14:paraId="784A3A8D" w14:textId="77E1D228" w:rsidR="00251D91" w:rsidRPr="00DF77C7" w:rsidRDefault="00251D91" w:rsidP="00251D91">
            <w:pPr>
              <w:pStyle w:val="Tabletext"/>
              <w:rPr>
                <w:lang w:val="en-GB"/>
              </w:rPr>
            </w:pPr>
            <w:r w:rsidRPr="00AC124C">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tcPr>
          <w:p w14:paraId="2D4845AA" w14:textId="77777777" w:rsidR="00251D91" w:rsidRPr="00AC124C" w:rsidRDefault="00251D91" w:rsidP="002F652F">
            <w:pPr>
              <w:pStyle w:val="Tabletext"/>
            </w:pPr>
            <w:r w:rsidRPr="00AC124C">
              <w:t>Advanced Nurse Practitioner QN</w:t>
            </w:r>
          </w:p>
          <w:p w14:paraId="0B5D7B8A" w14:textId="48A54B6C" w:rsidR="00251D91" w:rsidRPr="00DF77C7" w:rsidRDefault="00251D91" w:rsidP="002F652F">
            <w:pPr>
              <w:pStyle w:val="Tabletext"/>
              <w:rPr>
                <w:lang w:val="en-GB"/>
              </w:rPr>
            </w:pPr>
            <w:r w:rsidRPr="00DA647E">
              <w:rPr>
                <w:szCs w:val="22"/>
              </w:rPr>
              <w:t>Manor View Practice</w:t>
            </w:r>
          </w:p>
        </w:tc>
      </w:tr>
      <w:tr w:rsidR="00251D91" w:rsidRPr="00DF77C7" w14:paraId="4C01E258" w14:textId="77777777" w:rsidTr="00B906A0">
        <w:trPr>
          <w:trHeight w:val="632"/>
        </w:trPr>
        <w:tc>
          <w:tcPr>
            <w:tcW w:w="2297" w:type="dxa"/>
            <w:tcBorders>
              <w:top w:val="single" w:sz="4" w:space="0" w:color="auto"/>
              <w:left w:val="single" w:sz="4" w:space="0" w:color="auto"/>
              <w:bottom w:val="single" w:sz="4" w:space="0" w:color="auto"/>
              <w:right w:val="single" w:sz="4" w:space="0" w:color="auto"/>
            </w:tcBorders>
            <w:vAlign w:val="center"/>
          </w:tcPr>
          <w:p w14:paraId="494AA640" w14:textId="084B3EB6" w:rsidR="00251D91" w:rsidRPr="00DF77C7" w:rsidRDefault="00251D91" w:rsidP="00251D91">
            <w:pPr>
              <w:pStyle w:val="Tabletext"/>
              <w:rPr>
                <w:rFonts w:eastAsia="Calibri"/>
                <w:szCs w:val="22"/>
                <w:lang w:val="en-GB"/>
              </w:rPr>
            </w:pPr>
            <w:r>
              <w:rPr>
                <w:rFonts w:cs="Arial"/>
                <w:bCs/>
                <w:szCs w:val="22"/>
              </w:rPr>
              <w:t>Professor</w:t>
            </w:r>
            <w:r w:rsidRPr="00AC124C">
              <w:rPr>
                <w:rFonts w:cs="Arial"/>
                <w:bCs/>
                <w:szCs w:val="22"/>
              </w:rPr>
              <w:t xml:space="preserve"> Bhaskar Somani</w:t>
            </w:r>
          </w:p>
        </w:tc>
        <w:tc>
          <w:tcPr>
            <w:tcW w:w="6912" w:type="dxa"/>
            <w:tcBorders>
              <w:top w:val="single" w:sz="4" w:space="0" w:color="auto"/>
              <w:left w:val="single" w:sz="4" w:space="0" w:color="auto"/>
              <w:bottom w:val="single" w:sz="4" w:space="0" w:color="auto"/>
              <w:right w:val="single" w:sz="4" w:space="0" w:color="auto"/>
            </w:tcBorders>
            <w:vAlign w:val="center"/>
          </w:tcPr>
          <w:p w14:paraId="4FD8CBD4" w14:textId="49B182BD" w:rsidR="00251D91" w:rsidRPr="00DF77C7" w:rsidRDefault="00251D91" w:rsidP="00251D91">
            <w:pPr>
              <w:pStyle w:val="Tabletext"/>
              <w:rPr>
                <w:rFonts w:eastAsia="Calibri"/>
                <w:lang w:val="en-GB"/>
              </w:rPr>
            </w:pPr>
            <w:r w:rsidRPr="00AC124C">
              <w:rPr>
                <w:rFonts w:cs="Arial"/>
                <w:bCs/>
                <w:szCs w:val="22"/>
              </w:rPr>
              <w:t>Consultant Urologist, University Hospital Southampton</w:t>
            </w:r>
          </w:p>
        </w:tc>
      </w:tr>
      <w:tr w:rsidR="00251D91" w:rsidRPr="00DF77C7" w14:paraId="69FDDB9F" w14:textId="77777777" w:rsidTr="00592EED">
        <w:trPr>
          <w:trHeight w:val="687"/>
        </w:trPr>
        <w:tc>
          <w:tcPr>
            <w:tcW w:w="2297" w:type="dxa"/>
            <w:tcBorders>
              <w:top w:val="single" w:sz="4" w:space="0" w:color="auto"/>
              <w:left w:val="single" w:sz="4" w:space="0" w:color="auto"/>
              <w:bottom w:val="single" w:sz="4" w:space="0" w:color="auto"/>
              <w:right w:val="single" w:sz="4" w:space="0" w:color="auto"/>
            </w:tcBorders>
            <w:vAlign w:val="center"/>
          </w:tcPr>
          <w:p w14:paraId="7F553184" w14:textId="39F17676" w:rsidR="00251D91" w:rsidRPr="00DF77C7" w:rsidRDefault="00251D91" w:rsidP="00251D91">
            <w:pPr>
              <w:pStyle w:val="Tabletext"/>
              <w:rPr>
                <w:rFonts w:eastAsia="Calibri"/>
                <w:lang w:val="en-GB"/>
              </w:rPr>
            </w:pPr>
            <w:r w:rsidRPr="00AC124C">
              <w:rPr>
                <w:rFonts w:cs="Arial"/>
                <w:bCs/>
                <w:szCs w:val="22"/>
              </w:rPr>
              <w:t>Temitope Odetunde</w:t>
            </w:r>
          </w:p>
        </w:tc>
        <w:tc>
          <w:tcPr>
            <w:tcW w:w="6912" w:type="dxa"/>
            <w:tcBorders>
              <w:top w:val="single" w:sz="4" w:space="0" w:color="auto"/>
              <w:left w:val="single" w:sz="4" w:space="0" w:color="auto"/>
              <w:bottom w:val="single" w:sz="4" w:space="0" w:color="auto"/>
              <w:right w:val="single" w:sz="4" w:space="0" w:color="auto"/>
            </w:tcBorders>
            <w:vAlign w:val="center"/>
          </w:tcPr>
          <w:p w14:paraId="02599635" w14:textId="7F5A529F" w:rsidR="00251D91" w:rsidRPr="00DF77C7" w:rsidRDefault="00251D91" w:rsidP="00251D91">
            <w:pPr>
              <w:pStyle w:val="Tabletext"/>
              <w:rPr>
                <w:rFonts w:eastAsia="Calibri"/>
                <w:lang w:val="en-GB"/>
              </w:rPr>
            </w:pPr>
            <w:r w:rsidRPr="00AC124C">
              <w:rPr>
                <w:rFonts w:cs="Arial"/>
                <w:bCs/>
                <w:szCs w:val="22"/>
              </w:rPr>
              <w:t>Head of Meds Management, First and Community Health and Care, Redhill, Surrey</w:t>
            </w:r>
          </w:p>
        </w:tc>
      </w:tr>
      <w:tr w:rsidR="00251D91" w:rsidRPr="00DF77C7" w14:paraId="35233D0C" w14:textId="77777777" w:rsidTr="00251D91">
        <w:trPr>
          <w:trHeight w:val="711"/>
        </w:trPr>
        <w:tc>
          <w:tcPr>
            <w:tcW w:w="2297" w:type="dxa"/>
            <w:tcBorders>
              <w:top w:val="single" w:sz="4" w:space="0" w:color="auto"/>
              <w:left w:val="single" w:sz="4" w:space="0" w:color="auto"/>
              <w:bottom w:val="single" w:sz="4" w:space="0" w:color="auto"/>
              <w:right w:val="single" w:sz="4" w:space="0" w:color="auto"/>
            </w:tcBorders>
          </w:tcPr>
          <w:p w14:paraId="7304BC04" w14:textId="4720A216" w:rsidR="00251D91" w:rsidRPr="00DF77C7" w:rsidRDefault="00251D91" w:rsidP="00251D91">
            <w:pPr>
              <w:pStyle w:val="Tabletext"/>
              <w:rPr>
                <w:rFonts w:eastAsia="Calibri"/>
                <w:lang w:val="en-GB"/>
              </w:rPr>
            </w:pPr>
            <w:r w:rsidRPr="00D83FBB">
              <w:rPr>
                <w:rFonts w:cs="Arial"/>
                <w:szCs w:val="22"/>
              </w:rPr>
              <w:lastRenderedPageBreak/>
              <w:t>Tracy Rogers</w:t>
            </w:r>
          </w:p>
        </w:tc>
        <w:tc>
          <w:tcPr>
            <w:tcW w:w="6912" w:type="dxa"/>
            <w:tcBorders>
              <w:top w:val="single" w:sz="4" w:space="0" w:color="auto"/>
              <w:left w:val="single" w:sz="4" w:space="0" w:color="auto"/>
              <w:bottom w:val="single" w:sz="4" w:space="0" w:color="auto"/>
              <w:right w:val="single" w:sz="4" w:space="0" w:color="auto"/>
            </w:tcBorders>
          </w:tcPr>
          <w:p w14:paraId="17ADE788" w14:textId="49F6F770" w:rsidR="00251D91" w:rsidRPr="00DF77C7" w:rsidRDefault="00251D91" w:rsidP="00251D91">
            <w:pPr>
              <w:pStyle w:val="Tabletext"/>
              <w:rPr>
                <w:rFonts w:eastAsia="Calibri"/>
                <w:lang w:val="en-GB"/>
              </w:rPr>
            </w:pPr>
            <w:r w:rsidRPr="00D83FBB">
              <w:rPr>
                <w:rFonts w:cs="Arial"/>
                <w:szCs w:val="22"/>
              </w:rPr>
              <w:t>Director</w:t>
            </w:r>
            <w:r>
              <w:rPr>
                <w:rFonts w:cs="Arial"/>
                <w:szCs w:val="22"/>
              </w:rPr>
              <w:t>,</w:t>
            </w:r>
            <w:r w:rsidRPr="00D83FBB">
              <w:rPr>
                <w:rFonts w:cs="Arial"/>
                <w:szCs w:val="22"/>
              </w:rPr>
              <w:t xml:space="preserve"> </w:t>
            </w:r>
            <w:r w:rsidRPr="000D364F">
              <w:rPr>
                <w:rFonts w:cs="Arial"/>
                <w:szCs w:val="22"/>
              </w:rPr>
              <w:t>Medicines Use and Safety Division</w:t>
            </w:r>
            <w:r>
              <w:rPr>
                <w:rFonts w:cs="Arial"/>
                <w:szCs w:val="22"/>
              </w:rPr>
              <w:t xml:space="preserve">, </w:t>
            </w:r>
            <w:r w:rsidRPr="000D364F">
              <w:rPr>
                <w:rFonts w:cs="Arial"/>
                <w:szCs w:val="22"/>
              </w:rPr>
              <w:t xml:space="preserve"> Specialist Pharmacy Service</w:t>
            </w:r>
          </w:p>
        </w:tc>
      </w:tr>
    </w:tbl>
    <w:p w14:paraId="4C1B77A1" w14:textId="77777777" w:rsidR="00251D91" w:rsidRPr="00AA0EFC" w:rsidRDefault="00251D91" w:rsidP="00ED232C">
      <w:pPr>
        <w:pStyle w:val="PGDNormal"/>
        <w:rPr>
          <w:rStyle w:val="PGDNormalBold"/>
          <w:highlight w:val="yellow"/>
        </w:rPr>
      </w:pPr>
    </w:p>
    <w:p w14:paraId="47DE745E" w14:textId="1920F3DC" w:rsidR="00251D91" w:rsidRPr="00AA0EFC" w:rsidRDefault="00251D91" w:rsidP="00251D91">
      <w:pPr>
        <w:jc w:val="both"/>
        <w:rPr>
          <w:rStyle w:val="PGDNormalBold"/>
        </w:rPr>
      </w:pPr>
      <w:r w:rsidRPr="00AA0EFC">
        <w:rPr>
          <w:rStyle w:val="PGDNormalBold"/>
        </w:rPr>
        <w:t>Glossary (further information is available from</w:t>
      </w:r>
      <w:r w:rsidR="00AA0EFC">
        <w:rPr>
          <w:rStyle w:val="PGDNormalBold"/>
        </w:rPr>
        <w:t xml:space="preserve"> the</w:t>
      </w:r>
      <w:r w:rsidRPr="00AA0EFC">
        <w:rPr>
          <w:rStyle w:val="PGDNormalBold"/>
        </w:rPr>
        <w:t xml:space="preserve"> </w:t>
      </w:r>
      <w:hyperlink r:id="rId17" w:history="1">
        <w:r w:rsidR="00AA0EFC" w:rsidRPr="00AA0EFC">
          <w:rPr>
            <w:rStyle w:val="Hyperlink"/>
            <w:rFonts w:ascii="Arial" w:hAnsi="Arial"/>
          </w:rPr>
          <w:t>Stonewall List of LGBTQ+ terms):</w:t>
        </w:r>
      </w:hyperlink>
      <w:r w:rsidR="00AA0EFC">
        <w:rPr>
          <w:rStyle w:val="PGDNormalBold"/>
        </w:rPr>
        <w:t xml:space="preserve"> </w:t>
      </w:r>
    </w:p>
    <w:p w14:paraId="25E656A5" w14:textId="77777777" w:rsidR="00581C9E" w:rsidRDefault="00581C9E" w:rsidP="00AA0EFC">
      <w:pPr>
        <w:pStyle w:val="PGDNormal"/>
        <w:rPr>
          <w:rStyle w:val="PGDNormalBold"/>
        </w:rPr>
      </w:pPr>
    </w:p>
    <w:p w14:paraId="3C230839" w14:textId="77E1A0E5" w:rsidR="00251D91" w:rsidRPr="00AA0EFC" w:rsidRDefault="00251D91" w:rsidP="00AA0EFC">
      <w:pPr>
        <w:pStyle w:val="PGDNormal"/>
      </w:pPr>
      <w:r w:rsidRPr="00AA0EFC">
        <w:rPr>
          <w:rStyle w:val="PGDNormalBold"/>
        </w:rPr>
        <w:t>Cisgender or Cis</w:t>
      </w:r>
      <w:r w:rsidRPr="00AA0EFC">
        <w:t>: someone whose gender identity is the same as the sex they were assigned at birth.</w:t>
      </w:r>
    </w:p>
    <w:p w14:paraId="26FF56E3" w14:textId="77777777" w:rsidR="00251D91" w:rsidRPr="00AA0EFC" w:rsidRDefault="00251D91" w:rsidP="00AA0EFC">
      <w:pPr>
        <w:pStyle w:val="PGDNormal"/>
      </w:pPr>
      <w:r w:rsidRPr="00AA0EFC">
        <w:t> </w:t>
      </w:r>
    </w:p>
    <w:p w14:paraId="2CB516B0" w14:textId="77777777" w:rsidR="00251D91" w:rsidRPr="00AA0EFC" w:rsidRDefault="00251D91" w:rsidP="00AA0EFC">
      <w:pPr>
        <w:pStyle w:val="PGDNormal"/>
      </w:pPr>
      <w:r w:rsidRPr="00AA0EFC">
        <w:rPr>
          <w:rStyle w:val="PGDNormalBold"/>
        </w:rPr>
        <w:t>Transgender or Trans</w:t>
      </w:r>
      <w:r w:rsidRPr="00AA0EFC">
        <w:t>: an umbrella term to describe people whose gender is not the same as, or does not sit comfortably with, the sex they were assigned at birth. This can include non-binary people, though not every non-binary person considers themselves to be trans.</w:t>
      </w:r>
    </w:p>
    <w:p w14:paraId="3A3417B5" w14:textId="77777777" w:rsidR="00251D91" w:rsidRPr="00AA0EFC" w:rsidRDefault="00251D91" w:rsidP="00AA0EFC">
      <w:pPr>
        <w:pStyle w:val="PGDNormal"/>
      </w:pPr>
      <w:r w:rsidRPr="00AA0EFC">
        <w:t> </w:t>
      </w:r>
    </w:p>
    <w:p w14:paraId="7B7E5650" w14:textId="77777777" w:rsidR="00251D91" w:rsidRPr="00AA0EFC" w:rsidRDefault="00251D91" w:rsidP="00AA0EFC">
      <w:pPr>
        <w:pStyle w:val="PGDNormal"/>
      </w:pPr>
      <w:r w:rsidRPr="00AA0EFC">
        <w:rPr>
          <w:rStyle w:val="PGDNormalBold"/>
        </w:rPr>
        <w:t>Non-binary</w:t>
      </w:r>
      <w:r w:rsidRPr="00AA0EFC">
        <w:t>: an umbrella term for people whose gender identity doesn’t sit comfortably with ‘man’ or ‘woman’. Non-binary identities are varied and can include people who identify with some aspects of binary identities, while others reject them entirely.</w:t>
      </w:r>
    </w:p>
    <w:p w14:paraId="5D513D47" w14:textId="53FA805E" w:rsidR="0059738E" w:rsidRPr="00251D91" w:rsidRDefault="00FC4AA5" w:rsidP="00ED232C">
      <w:pPr>
        <w:pStyle w:val="PGDNormal"/>
        <w:rPr>
          <w:szCs w:val="22"/>
          <w:highlight w:val="yellow"/>
        </w:rPr>
      </w:pPr>
      <w:r w:rsidRPr="00251D91">
        <w:rPr>
          <w:szCs w:val="22"/>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8"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As the template is for an antibiotic it also includes a clinical specialist in microbiology as reccommended in the NICE PGD guidance.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AA0EFC" w:rsidRPr="00DF77C7" w14:paraId="2487C70A" w14:textId="77777777" w:rsidTr="00A32FA7">
        <w:tc>
          <w:tcPr>
            <w:tcW w:w="3133" w:type="dxa"/>
            <w:tcBorders>
              <w:top w:val="single" w:sz="4" w:space="0" w:color="auto"/>
              <w:left w:val="single" w:sz="4" w:space="0" w:color="auto"/>
              <w:bottom w:val="single" w:sz="4" w:space="0" w:color="auto"/>
              <w:right w:val="single" w:sz="4" w:space="0" w:color="auto"/>
            </w:tcBorders>
          </w:tcPr>
          <w:p w14:paraId="5D1BF409" w14:textId="5938B6DA" w:rsidR="00AA0EFC" w:rsidRPr="00AA0EFC" w:rsidRDefault="00AA0EFC" w:rsidP="00B65003">
            <w:pPr>
              <w:rPr>
                <w:rStyle w:val="TableHeaderColumn"/>
              </w:rPr>
            </w:pPr>
            <w:r w:rsidRPr="00AA0EFC">
              <w:rPr>
                <w:rStyle w:val="TableHeaderColumn"/>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146DD41D" w14:textId="77777777" w:rsidR="00AA0EFC" w:rsidRPr="00DF77C7" w:rsidRDefault="00AA0EFC"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546F2404" w14:textId="77777777" w:rsidR="00AA0EFC" w:rsidRPr="00DF77C7" w:rsidRDefault="00AA0EFC"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46C5923B" w14:textId="77777777" w:rsidR="00AA0EFC" w:rsidRPr="00DF77C7" w:rsidRDefault="00AA0EFC"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9" w:anchor="terms-used-in-the-guideline" w:history="1">
              <w:r w:rsidR="00D0044C" w:rsidRPr="00EC5BB8">
                <w:rPr>
                  <w:rStyle w:val="Hyperlink"/>
                  <w:rFonts w:ascii="Arial" w:hAnsi="Arial"/>
                </w:rPr>
                <w:t>authorising body</w:t>
              </w:r>
              <w:r w:rsidR="009E38CA" w:rsidRPr="00EC5BB8">
                <w:rPr>
                  <w:rStyle w:val="Hyperlink"/>
                </w:rPr>
                <w:t xml:space="preserve"> </w:t>
              </w:r>
              <w:r w:rsidR="009E38CA" w:rsidRPr="00EC5BB8">
                <w:rPr>
                  <w:rStyle w:val="Hyperlink"/>
                  <w:rFonts w:ascii="Arial" w:hAnsi="Arial"/>
                </w:rPr>
                <w:t>as defined by NICE</w:t>
              </w:r>
            </w:hyperlink>
            <w:r w:rsidR="009E38CA">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lastRenderedPageBreak/>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284F636C" w:rsidR="00BB2C75" w:rsidRPr="00DF77C7" w:rsidRDefault="00251D91" w:rsidP="00BB2C75">
      <w:pPr>
        <w:pStyle w:val="PGDNormal"/>
        <w:rPr>
          <w:lang w:val="en-GB"/>
        </w:rPr>
      </w:pPr>
      <w:r w:rsidRPr="00D83FBB">
        <w:t xml:space="preserve">The decision to supply any medication rests with the individual registered health professional who must abide by the PGD and any associated organisational policies.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1C0CA0" w:rsidRDefault="00B81529" w:rsidP="00B81529">
            <w:pPr>
              <w:pStyle w:val="Tabletext"/>
              <w:rPr>
                <w:rStyle w:val="TableHeaderColumn"/>
                <w:sz w:val="22"/>
                <w:szCs w:val="22"/>
                <w:lang w:val="en-GB"/>
              </w:rPr>
            </w:pPr>
            <w:r w:rsidRPr="001C0CA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4A5D6DFA" w14:textId="18032E5B" w:rsidR="00251D91" w:rsidRPr="00361532" w:rsidRDefault="00251D91" w:rsidP="00234E43">
            <w:pPr>
              <w:pStyle w:val="Tabletext"/>
              <w:rPr>
                <w:rFonts w:eastAsia="Arial"/>
              </w:rPr>
            </w:pPr>
            <w:r w:rsidRPr="00361532">
              <w:rPr>
                <w:rFonts w:eastAsia="Arial"/>
              </w:rPr>
              <w:t>Current contract of employment within a Local Authority or NHS commissioned service or an NHS Trust/organisation.</w:t>
            </w:r>
          </w:p>
          <w:p w14:paraId="111D2851" w14:textId="7F32788A" w:rsidR="00B81529" w:rsidRPr="00DF77C7" w:rsidRDefault="00251D91" w:rsidP="00234E43">
            <w:pPr>
              <w:pStyle w:val="Tabletext"/>
              <w:rPr>
                <w:lang w:val="en-GB"/>
              </w:rPr>
            </w:pPr>
            <w:r w:rsidRPr="00361532">
              <w:rPr>
                <w:rFonts w:eastAsia="Arial"/>
                <w:szCs w:val="22"/>
              </w:rPr>
              <w:t>Registered healthcare professional listed in the</w:t>
            </w:r>
            <w:r w:rsidR="002808A9">
              <w:rPr>
                <w:rFonts w:eastAsia="Arial"/>
                <w:szCs w:val="22"/>
              </w:rPr>
              <w:t xml:space="preserve"> </w:t>
            </w:r>
            <w:hyperlink r:id="rId20" w:tgtFrame="_blank" w:tooltip="Original URL: https://www.legislation.gov.uk/uksi/2012/1916/schedule/16. Click or tap if you trust this link." w:history="1">
              <w:r w:rsidR="002808A9" w:rsidRPr="002808A9">
                <w:rPr>
                  <w:rStyle w:val="Hyperlink"/>
                  <w:rFonts w:eastAsia="Arial"/>
                  <w:szCs w:val="22"/>
                  <w:lang w:val="en-GB"/>
                </w:rPr>
                <w:t>The Human Medicines Regulation 2012, Schedule 16 Part 4 legislation</w:t>
              </w:r>
            </w:hyperlink>
            <w:r w:rsidRPr="00361532">
              <w:rPr>
                <w:rFonts w:eastAsia="Arial"/>
                <w:szCs w:val="22"/>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1C0CA0" w:rsidRDefault="00B81529" w:rsidP="00B81529">
            <w:pPr>
              <w:pStyle w:val="Tabletext"/>
              <w:rPr>
                <w:rStyle w:val="TableHeaderColumn"/>
                <w:sz w:val="22"/>
                <w:szCs w:val="22"/>
                <w:lang w:val="en-GB"/>
              </w:rPr>
            </w:pPr>
            <w:r w:rsidRPr="001C0CA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B9AEBA3" w14:textId="59A8024C" w:rsidR="00251D91" w:rsidRDefault="00251D91" w:rsidP="00234E43">
            <w:pPr>
              <w:pStyle w:val="Tabletext"/>
            </w:pPr>
            <w:r w:rsidRPr="00D83FBB">
              <w:t>The registered healthcare professional</w:t>
            </w:r>
            <w:r w:rsidR="004E7E16">
              <w:t xml:space="preserve"> (HCP)</w:t>
            </w:r>
            <w:r w:rsidRPr="00D83FBB">
              <w:t xml:space="preserve"> authorised to operate under this PGD must have</w:t>
            </w:r>
            <w:r>
              <w:t>:</w:t>
            </w:r>
            <w:r w:rsidRPr="00D83FBB">
              <w:t xml:space="preserve"> </w:t>
            </w:r>
          </w:p>
          <w:p w14:paraId="714E98DD" w14:textId="7B28C8C4" w:rsidR="00251D91" w:rsidRDefault="00251D91" w:rsidP="004E7E16">
            <w:pPr>
              <w:pStyle w:val="Tabletext"/>
              <w:rPr>
                <w:color w:val="000000"/>
              </w:rPr>
            </w:pPr>
            <w:r>
              <w:rPr>
                <w:color w:val="000000"/>
              </w:rPr>
              <w:t>U</w:t>
            </w:r>
            <w:r w:rsidRPr="00DB7FA4">
              <w:rPr>
                <w:color w:val="000000"/>
              </w:rPr>
              <w:t>ndertaken appropriate training and successfully completed the competencies to undertake clinical assessm</w:t>
            </w:r>
            <w:r w:rsidRPr="00DB7FA4">
              <w:t xml:space="preserve">ent of individuals leading to diagnosis of the conditions listed.  Minimum recommended training is completion of the </w:t>
            </w:r>
            <w:hyperlink r:id="rId21" w:history="1">
              <w:r w:rsidRPr="00234E43">
                <w:rPr>
                  <w:rStyle w:val="Hyperlink"/>
                  <w:rFonts w:cs="Arial"/>
                </w:rPr>
                <w:t xml:space="preserve">RCGP Urinary Tract Infections </w:t>
              </w:r>
              <w:r w:rsidRPr="00234E43">
                <w:rPr>
                  <w:rStyle w:val="Hyperlink"/>
                </w:rPr>
                <w:t> webinar, presentation, podcast and quiz</w:t>
              </w:r>
            </w:hyperlink>
          </w:p>
          <w:p w14:paraId="6F4B4F84" w14:textId="77777777" w:rsidR="00251D91" w:rsidRPr="00677C74" w:rsidRDefault="00251D91" w:rsidP="004E7E16">
            <w:pPr>
              <w:pStyle w:val="Tabletext"/>
              <w:rPr>
                <w:color w:val="000000"/>
                <w:szCs w:val="23"/>
              </w:rPr>
            </w:pPr>
            <w:r>
              <w:rPr>
                <w:color w:val="000000"/>
                <w:szCs w:val="23"/>
              </w:rPr>
              <w:t>Undertaken appropriate training and successfully completed the competencies for the identification of sepsis</w:t>
            </w:r>
          </w:p>
          <w:p w14:paraId="04EFE8F3" w14:textId="607806C7" w:rsidR="00251D91" w:rsidRPr="00251D91" w:rsidRDefault="00251D91" w:rsidP="004E7E16">
            <w:pPr>
              <w:pStyle w:val="Tabletext"/>
              <w:rPr>
                <w:color w:val="000000"/>
                <w:szCs w:val="23"/>
              </w:rPr>
            </w:pPr>
            <w:r>
              <w:rPr>
                <w:color w:val="000000"/>
                <w:szCs w:val="23"/>
              </w:rPr>
              <w:t>U</w:t>
            </w:r>
            <w:r w:rsidRPr="00677C74">
              <w:rPr>
                <w:color w:val="000000"/>
                <w:szCs w:val="23"/>
              </w:rPr>
              <w:t>ndertaken appropriate training for working under PGDs for the supply and administration of medicine</w:t>
            </w:r>
            <w:r>
              <w:rPr>
                <w:color w:val="000000"/>
                <w:szCs w:val="23"/>
              </w:rPr>
              <w:t>s.  Recommended training</w:t>
            </w:r>
            <w:r w:rsidR="00234E43">
              <w:rPr>
                <w:color w:val="000000"/>
                <w:szCs w:val="23"/>
              </w:rPr>
              <w:t xml:space="preserve"> is the </w:t>
            </w:r>
            <w:r>
              <w:rPr>
                <w:color w:val="000000"/>
                <w:szCs w:val="23"/>
              </w:rPr>
              <w:t xml:space="preserve"> </w:t>
            </w:r>
            <w:hyperlink r:id="rId22" w:history="1">
              <w:r w:rsidRPr="00251D91">
                <w:rPr>
                  <w:rStyle w:val="Hyperlink"/>
                  <w:rFonts w:cs="Arial"/>
                  <w:szCs w:val="23"/>
                </w:rPr>
                <w:t>eLfH PGD elearning programme</w:t>
              </w:r>
            </w:hyperlink>
            <w:r w:rsidRPr="00251D91">
              <w:rPr>
                <w:color w:val="000000"/>
                <w:szCs w:val="23"/>
              </w:rPr>
              <w:t xml:space="preserve"> </w:t>
            </w:r>
          </w:p>
          <w:p w14:paraId="4B43E5B0" w14:textId="21C02E21" w:rsidR="00B81529" w:rsidRPr="00251D91" w:rsidRDefault="00234E43" w:rsidP="004E7E16">
            <w:pPr>
              <w:pStyle w:val="Tabletext"/>
              <w:rPr>
                <w:color w:val="000000"/>
                <w:szCs w:val="23"/>
              </w:rPr>
            </w:pPr>
            <w:r>
              <w:rPr>
                <w:color w:val="000000"/>
                <w:szCs w:val="23"/>
                <w:highlight w:val="cyan"/>
              </w:rPr>
              <w:t>[</w:t>
            </w:r>
            <w:r w:rsidR="00251D91" w:rsidRPr="00234E43">
              <w:rPr>
                <w:color w:val="000000"/>
                <w:szCs w:val="23"/>
                <w:highlight w:val="cyan"/>
              </w:rPr>
              <w:t>Completed locally required training (including updates) in safeguarding vulnerable adults</w:t>
            </w:r>
            <w:r>
              <w:rPr>
                <w:color w:val="000000"/>
                <w:szCs w:val="23"/>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B81529">
            <w:pPr>
              <w:pStyle w:val="Tabletext"/>
              <w:rPr>
                <w:rStyle w:val="TableHeaderColumn"/>
                <w:lang w:val="en-GB"/>
              </w:rPr>
            </w:pPr>
            <w:r w:rsidRPr="001C0CA0">
              <w:rPr>
                <w:rStyle w:val="TableHeaderColumn"/>
                <w:sz w:val="22"/>
                <w:szCs w:val="22"/>
                <w:lang w:val="en-GB"/>
              </w:rPr>
              <w:t>Competency assessment</w:t>
            </w:r>
          </w:p>
        </w:tc>
        <w:tc>
          <w:tcPr>
            <w:tcW w:w="3475" w:type="pct"/>
            <w:tcBorders>
              <w:top w:val="single" w:sz="4" w:space="0" w:color="auto"/>
              <w:left w:val="single" w:sz="4" w:space="0" w:color="auto"/>
              <w:bottom w:val="single" w:sz="4" w:space="0" w:color="auto"/>
              <w:right w:val="single" w:sz="4" w:space="0" w:color="auto"/>
            </w:tcBorders>
          </w:tcPr>
          <w:p w14:paraId="4D7C15B5" w14:textId="16D061C1" w:rsidR="00251D91" w:rsidRPr="00016BFD" w:rsidRDefault="004E7E16" w:rsidP="00234E43">
            <w:pPr>
              <w:pStyle w:val="Tabletext"/>
            </w:pPr>
            <w:r>
              <w:t>Registered HCPs</w:t>
            </w:r>
            <w:r w:rsidR="00251D91" w:rsidRPr="00A3052A">
              <w:t xml:space="preserve"> under this PGD must be assessed as competent or complete a self-declaration of competence to operate under this PGD </w:t>
            </w:r>
            <w:r w:rsidR="00234E43">
              <w:t>[</w:t>
            </w:r>
            <w:r w:rsidR="00251D91" w:rsidRPr="00A3052A">
              <w:rPr>
                <w:highlight w:val="cyan"/>
              </w:rPr>
              <w:t>(see an example authorisation record sheet in Appendix A)</w:t>
            </w:r>
            <w:r w:rsidR="00251D91">
              <w:t>.</w:t>
            </w:r>
            <w:r w:rsidR="00234E43">
              <w:t>]</w:t>
            </w:r>
          </w:p>
          <w:p w14:paraId="2C59A529" w14:textId="77777777" w:rsidR="00251D91" w:rsidRPr="00677C74" w:rsidRDefault="00251D91" w:rsidP="00234E43">
            <w:pPr>
              <w:pStyle w:val="Tabletext"/>
            </w:pPr>
            <w:r w:rsidRPr="00016BFD">
              <w:t>Staff operating under this PGD should review</w:t>
            </w:r>
            <w:r w:rsidRPr="00A3052A">
              <w:t xml:space="preserve"> their competency using the</w:t>
            </w:r>
            <w:hyperlink r:id="rId23" w:history="1">
              <w:r w:rsidRPr="00A3052A">
                <w:rPr>
                  <w:color w:val="0000FF"/>
                  <w:u w:val="single"/>
                </w:rPr>
                <w:t xml:space="preserve"> NICE Competency Framework for health professionals using patient group directions</w:t>
              </w:r>
            </w:hyperlink>
          </w:p>
          <w:p w14:paraId="0621D8A9" w14:textId="35434518" w:rsidR="00251D91" w:rsidRPr="00DA647E" w:rsidRDefault="004E7E16" w:rsidP="00234E43">
            <w:pPr>
              <w:pStyle w:val="Tabletext"/>
            </w:pPr>
            <w:r>
              <w:t>Registered HCPs</w:t>
            </w:r>
            <w:r w:rsidR="00251D91" w:rsidRPr="00677C74">
              <w:t xml:space="preserve"> operating under this PGD </w:t>
            </w:r>
            <w:r w:rsidR="00251D91" w:rsidRPr="00016BFD">
              <w:t xml:space="preserve">should follow </w:t>
            </w:r>
            <w:hyperlink r:id="rId24" w:history="1">
              <w:r w:rsidRPr="004E7E16">
                <w:rPr>
                  <w:rStyle w:val="Hyperlink"/>
                </w:rPr>
                <w:t>UKHSA  national guidance for diagnosis of UTI</w:t>
              </w:r>
            </w:hyperlink>
            <w:r w:rsidR="00251D91" w:rsidRPr="00016BFD">
              <w:t xml:space="preserve"> </w:t>
            </w:r>
            <w:hyperlink r:id="rId25" w:history="1">
              <w:r>
                <w:t>and</w:t>
              </w:r>
              <w:r w:rsidRPr="004E7E16">
                <w:rPr>
                  <w:rStyle w:val="Hyperlink"/>
                </w:rPr>
                <w:t xml:space="preserve"> NICE guidance (NG109) for management  of UTI</w:t>
              </w:r>
            </w:hyperlink>
            <w:r w:rsidR="00251D91" w:rsidRPr="00016BFD">
              <w:t xml:space="preserve"> in the</w:t>
            </w:r>
            <w:r w:rsidR="00251D91" w:rsidRPr="00677C74">
              <w:t xml:space="preserve"> UK</w:t>
            </w:r>
            <w:r w:rsidR="00251D91">
              <w:t xml:space="preserve">. </w:t>
            </w:r>
          </w:p>
          <w:p w14:paraId="509DDFB0" w14:textId="38DF8A17" w:rsidR="00251D91" w:rsidRPr="004E7E16" w:rsidRDefault="00251D91" w:rsidP="004E7E16">
            <w:pPr>
              <w:pStyle w:val="Tabletext"/>
            </w:pPr>
            <w:r w:rsidRPr="004E7E16">
              <w:t xml:space="preserve">Individuals operating under this PGD must be familiar with the product and alert to changes in the </w:t>
            </w:r>
            <w:hyperlink r:id="rId26" w:history="1">
              <w:r w:rsidR="00EB6BDA">
                <w:rPr>
                  <w:rStyle w:val="Hyperlink"/>
                </w:rPr>
                <w:t>trimethoprim Summary of Product Characteristics (SmPC) which can be found on the MHRA website</w:t>
              </w:r>
            </w:hyperlink>
          </w:p>
          <w:p w14:paraId="5719D930" w14:textId="7038DDB2" w:rsidR="00B81529" w:rsidRPr="00251D91" w:rsidRDefault="00251D91" w:rsidP="004E7E16">
            <w:pPr>
              <w:pStyle w:val="Tabletext"/>
              <w:rPr>
                <w:rFonts w:cs="Arial"/>
              </w:rPr>
            </w:pPr>
            <w:r w:rsidRPr="004E7E16">
              <w:t>Individuals operating under this PGD must have access to the PGD and associated online resources.</w:t>
            </w:r>
          </w:p>
        </w:tc>
      </w:tr>
    </w:tbl>
    <w:p w14:paraId="3F1235A9" w14:textId="77777777" w:rsidR="002B1B6E" w:rsidRDefault="002B1B6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althcare professionals to work under this PGD. It includes rows for qualifications and professional registration, initial training, competency assessment and ongoing training and competency."/>
      </w:tblPr>
      <w:tblGrid>
        <w:gridCol w:w="2591"/>
        <w:gridCol w:w="5904"/>
      </w:tblGrid>
      <w:tr w:rsidR="00B81529" w:rsidRPr="00251D91"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B81529">
            <w:pPr>
              <w:pStyle w:val="Tabletext"/>
              <w:rPr>
                <w:rStyle w:val="TableHeaderColumn"/>
                <w:lang w:val="en-GB"/>
              </w:rPr>
            </w:pPr>
            <w:r w:rsidRPr="001C0CA0">
              <w:rPr>
                <w:rStyle w:val="TableHeaderColumn"/>
                <w:sz w:val="22"/>
                <w:szCs w:val="22"/>
                <w:lang w:val="en-GB"/>
              </w:rPr>
              <w:lastRenderedPageBreak/>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1D8C08F3" w14:textId="77777777" w:rsidR="00251D91" w:rsidRPr="00251D91" w:rsidRDefault="00251D91" w:rsidP="004E7E16">
            <w:pPr>
              <w:pStyle w:val="Tabletext"/>
            </w:pPr>
            <w:r w:rsidRPr="00251D91">
              <w:t>Individuals operating under this PGD are personally responsible for ensuring they remain up to date with the use of all medicines and guidance included in the PGD - if any training needs are identified these should be discussed with the senior individual responsible for authorising individuals to act under the PGD and further training provided as required.</w:t>
            </w:r>
          </w:p>
          <w:p w14:paraId="3219E1FA" w14:textId="24675ABF" w:rsidR="00B81529" w:rsidRPr="00251D91" w:rsidRDefault="002A15CA" w:rsidP="004E7E16">
            <w:pPr>
              <w:pStyle w:val="Tabletext"/>
            </w:pPr>
            <w:r>
              <w:t xml:space="preserve">[ </w:t>
            </w:r>
            <w:r w:rsidR="00251D91" w:rsidRPr="002A15CA">
              <w:rPr>
                <w:highlight w:val="cyan"/>
              </w:rPr>
              <w:t>Organisational PGD and/or medication training as required by employing Trust/organisation</w:t>
            </w:r>
            <w:r w:rsidR="00251D91" w:rsidRPr="00251D91">
              <w:t>.</w:t>
            </w:r>
            <w: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eight rows which include the clinical condition or situation applicable, inclusion criteria, exclusion criteria, cautions, specific information for suspected infection, actions to be taken if the individual is excluded,  action to be taken if an individual/career/parent or guardian declines treatment and arrangements for referral for medical advice."/>
      </w:tblPr>
      <w:tblGrid>
        <w:gridCol w:w="3566"/>
        <w:gridCol w:w="4929"/>
      </w:tblGrid>
      <w:tr w:rsidR="00D36D23" w14:paraId="06FC28D1" w14:textId="77777777" w:rsidTr="488F06B8">
        <w:tc>
          <w:tcPr>
            <w:tcW w:w="3262" w:type="dxa"/>
          </w:tcPr>
          <w:p w14:paraId="7ABDE5EA" w14:textId="3B5A4183" w:rsidR="00D36D23" w:rsidRPr="001C0CA0" w:rsidRDefault="00D36D23" w:rsidP="005A6168">
            <w:pPr>
              <w:rPr>
                <w:rStyle w:val="TableHeaderColumn"/>
                <w:sz w:val="22"/>
              </w:rPr>
            </w:pPr>
            <w:r w:rsidRPr="001C0CA0">
              <w:rPr>
                <w:rStyle w:val="TableHeaderColumn"/>
                <w:sz w:val="22"/>
              </w:rPr>
              <w:t>Clinical condition or situation to which this PGD applies</w:t>
            </w:r>
          </w:p>
        </w:tc>
        <w:tc>
          <w:tcPr>
            <w:tcW w:w="5233" w:type="dxa"/>
          </w:tcPr>
          <w:p w14:paraId="622A2C8E" w14:textId="4C3C7B12" w:rsidR="00D36D23" w:rsidRDefault="00251D91" w:rsidP="0032348B">
            <w:pPr>
              <w:pStyle w:val="Tabletext"/>
            </w:pPr>
            <w:r w:rsidRPr="00677C74">
              <w:rPr>
                <w:rFonts w:cs="Arial"/>
                <w:iCs/>
                <w:szCs w:val="22"/>
              </w:rPr>
              <w:t xml:space="preserve">Lower urinary tract infection (UTI) in non-pregnant women aged 16 years to 64 years </w:t>
            </w:r>
            <w:r w:rsidRPr="00251D91">
              <w:rPr>
                <w:rFonts w:cs="Arial"/>
                <w:iCs/>
                <w:szCs w:val="22"/>
              </w:rPr>
              <w:t>in the absence of current or recent fever (within past 48 hours)</w:t>
            </w:r>
          </w:p>
        </w:tc>
      </w:tr>
      <w:tr w:rsidR="00AE4F4B" w14:paraId="423D958D" w14:textId="77777777" w:rsidTr="488F06B8">
        <w:tc>
          <w:tcPr>
            <w:tcW w:w="3262" w:type="dxa"/>
          </w:tcPr>
          <w:p w14:paraId="12B69C9D" w14:textId="0A77D3DB" w:rsidR="00AE4F4B" w:rsidRPr="001C0CA0" w:rsidRDefault="003E69CD" w:rsidP="00251D91">
            <w:pPr>
              <w:rPr>
                <w:rStyle w:val="TableHeaderColumn"/>
                <w:sz w:val="22"/>
              </w:rPr>
            </w:pPr>
            <w:r w:rsidRPr="001C0CA0">
              <w:rPr>
                <w:rStyle w:val="TableHeaderColumn"/>
                <w:sz w:val="22"/>
              </w:rPr>
              <w:t>Criteria for i</w:t>
            </w:r>
            <w:r w:rsidR="00CA3998" w:rsidRPr="001C0CA0">
              <w:rPr>
                <w:rStyle w:val="TableHeaderColumn"/>
                <w:sz w:val="22"/>
              </w:rPr>
              <w:t xml:space="preserve">nclusion </w:t>
            </w:r>
          </w:p>
        </w:tc>
        <w:tc>
          <w:tcPr>
            <w:tcW w:w="5233" w:type="dxa"/>
          </w:tcPr>
          <w:p w14:paraId="45FD8351" w14:textId="77777777" w:rsidR="00F1554F" w:rsidRDefault="00F1554F" w:rsidP="00F1554F">
            <w:pPr>
              <w:pStyle w:val="Tabletext"/>
            </w:pPr>
          </w:p>
          <w:p w14:paraId="4DDE07C6" w14:textId="4A677498" w:rsidR="00F1554F" w:rsidRPr="00B03B59" w:rsidRDefault="00F1554F" w:rsidP="00F1554F">
            <w:pPr>
              <w:pStyle w:val="Tabletext"/>
              <w:rPr>
                <w:highlight w:val="yellow"/>
              </w:rPr>
            </w:pPr>
            <w:r>
              <w:rPr>
                <w:highlight w:val="yellow"/>
              </w:rPr>
              <w:t>[[</w:t>
            </w:r>
            <w:r w:rsidRPr="00B03B59">
              <w:rPr>
                <w:highlight w:val="yellow"/>
              </w:rPr>
              <w:t>Note –</w:t>
            </w:r>
            <w:r>
              <w:rPr>
                <w:highlight w:val="yellow"/>
              </w:rPr>
              <w:t xml:space="preserve"> this</w:t>
            </w:r>
            <w:r w:rsidRPr="00B03B59">
              <w:rPr>
                <w:highlight w:val="yellow"/>
              </w:rPr>
              <w:t xml:space="preserve"> PGD </w:t>
            </w:r>
            <w:r>
              <w:rPr>
                <w:highlight w:val="yellow"/>
              </w:rPr>
              <w:t xml:space="preserve">is only </w:t>
            </w:r>
            <w:r w:rsidRPr="00B03B59">
              <w:rPr>
                <w:highlight w:val="yellow"/>
              </w:rPr>
              <w:t xml:space="preserve">to be used where the risk of </w:t>
            </w:r>
            <w:r>
              <w:rPr>
                <w:highlight w:val="yellow"/>
              </w:rPr>
              <w:t xml:space="preserve">trimethoprim </w:t>
            </w:r>
            <w:r w:rsidRPr="00B03B59">
              <w:rPr>
                <w:highlight w:val="yellow"/>
              </w:rPr>
              <w:t xml:space="preserve">resistance is low based on </w:t>
            </w:r>
            <w:hyperlink r:id="rId27" w:history="1">
              <w:r w:rsidRPr="00C05A7A">
                <w:rPr>
                  <w:rStyle w:val="Hyperlink"/>
                  <w:rFonts w:cs="Arial"/>
                  <w:highlight w:val="yellow"/>
                  <w:lang w:val="en-GB"/>
                </w:rPr>
                <w:t>NICE guidance</w:t>
              </w:r>
            </w:hyperlink>
            <w:r w:rsidRPr="00B03B59">
              <w:rPr>
                <w:highlight w:val="yellow"/>
              </w:rPr>
              <w:t>.  A lower risk of</w:t>
            </w:r>
            <w:r>
              <w:rPr>
                <w:highlight w:val="yellow"/>
              </w:rPr>
              <w:t xml:space="preserve"> trimethoprim</w:t>
            </w:r>
            <w:r w:rsidRPr="00B03B59">
              <w:rPr>
                <w:highlight w:val="yellow"/>
              </w:rPr>
              <w:t xml:space="preserve"> resistance may be more likely if:</w:t>
            </w:r>
          </w:p>
          <w:p w14:paraId="59DD1EB4" w14:textId="77777777" w:rsidR="00F1554F" w:rsidRPr="00B03B59" w:rsidRDefault="00F1554F" w:rsidP="00F1554F">
            <w:pPr>
              <w:pStyle w:val="Bulletindent1"/>
              <w:numPr>
                <w:ilvl w:val="1"/>
                <w:numId w:val="21"/>
              </w:numPr>
              <w:rPr>
                <w:highlight w:val="yellow"/>
              </w:rPr>
            </w:pPr>
            <w:r>
              <w:rPr>
                <w:highlight w:val="yellow"/>
              </w:rPr>
              <w:t xml:space="preserve">Trimethoprim </w:t>
            </w:r>
            <w:r w:rsidRPr="00B03B59">
              <w:rPr>
                <w:highlight w:val="yellow"/>
              </w:rPr>
              <w:t>not used in the past 3 months</w:t>
            </w:r>
          </w:p>
          <w:p w14:paraId="12EFCF30" w14:textId="77777777" w:rsidR="00F1554F" w:rsidRPr="00B03B59" w:rsidRDefault="00F1554F" w:rsidP="00F1554F">
            <w:pPr>
              <w:pStyle w:val="Bulletindent1"/>
              <w:numPr>
                <w:ilvl w:val="1"/>
                <w:numId w:val="21"/>
              </w:numPr>
              <w:rPr>
                <w:highlight w:val="yellow"/>
              </w:rPr>
            </w:pPr>
            <w:r>
              <w:rPr>
                <w:highlight w:val="yellow"/>
              </w:rPr>
              <w:t>P</w:t>
            </w:r>
            <w:r w:rsidRPr="00B03B59">
              <w:rPr>
                <w:highlight w:val="yellow"/>
              </w:rPr>
              <w:t xml:space="preserve">revious urine culture suggests susceptibility </w:t>
            </w:r>
            <w:r>
              <w:rPr>
                <w:highlight w:val="yellow"/>
              </w:rPr>
              <w:t xml:space="preserve">to trimethoprim, </w:t>
            </w:r>
            <w:r w:rsidRPr="00B03B59">
              <w:rPr>
                <w:highlight w:val="yellow"/>
              </w:rPr>
              <w:t>but trimethoprim was not used</w:t>
            </w:r>
          </w:p>
          <w:p w14:paraId="14EC1837" w14:textId="01AE1DAA" w:rsidR="00F1554F" w:rsidRPr="00B03B59" w:rsidRDefault="00F1554F" w:rsidP="00F1554F">
            <w:pPr>
              <w:pStyle w:val="Bulletindent1"/>
              <w:numPr>
                <w:ilvl w:val="1"/>
                <w:numId w:val="21"/>
              </w:numPr>
              <w:rPr>
                <w:highlight w:val="yellow"/>
              </w:rPr>
            </w:pPr>
            <w:r>
              <w:rPr>
                <w:highlight w:val="yellow"/>
              </w:rPr>
              <w:t>I</w:t>
            </w:r>
            <w:r w:rsidRPr="00B03B59">
              <w:rPr>
                <w:highlight w:val="yellow"/>
              </w:rPr>
              <w:t>n younger people</w:t>
            </w:r>
            <w:r>
              <w:rPr>
                <w:highlight w:val="yellow"/>
              </w:rPr>
              <w:t>,</w:t>
            </w:r>
            <w:r w:rsidRPr="00B03B59">
              <w:rPr>
                <w:highlight w:val="yellow"/>
              </w:rPr>
              <w:t xml:space="preserve"> in areas where local epidemiology data suggest resistance</w:t>
            </w:r>
            <w:r>
              <w:rPr>
                <w:highlight w:val="yellow"/>
              </w:rPr>
              <w:t xml:space="preserve"> to trimethoprim</w:t>
            </w:r>
            <w:r w:rsidRPr="00B03B59">
              <w:rPr>
                <w:highlight w:val="yellow"/>
              </w:rPr>
              <w:t xml:space="preserve"> is low</w:t>
            </w:r>
            <w:r>
              <w:rPr>
                <w:highlight w:val="yellow"/>
              </w:rPr>
              <w:t xml:space="preserve"> ]]</w:t>
            </w:r>
          </w:p>
          <w:p w14:paraId="2377D3D9" w14:textId="166F46D8" w:rsidR="00251D91" w:rsidRPr="002561E8" w:rsidRDefault="00251D91" w:rsidP="00F1554F">
            <w:pPr>
              <w:pStyle w:val="Bulletindent1"/>
            </w:pPr>
            <w:r w:rsidRPr="002561E8">
              <w:t>Informed consent</w:t>
            </w:r>
          </w:p>
          <w:p w14:paraId="4706E680" w14:textId="77777777" w:rsidR="00251D91" w:rsidRPr="00442F29" w:rsidRDefault="00251D91" w:rsidP="00F1554F">
            <w:pPr>
              <w:pStyle w:val="Bulletindent1"/>
            </w:pPr>
            <w:r>
              <w:t xml:space="preserve">Non-pregnant </w:t>
            </w:r>
            <w:r w:rsidRPr="00595845">
              <w:rPr>
                <w:bdr w:val="none" w:sz="0" w:space="0" w:color="auto" w:frame="1"/>
                <w:lang w:eastAsia="en-GB"/>
              </w:rPr>
              <w:t>cisgender women, non-binary people registered female at birth, transgender men (with no structural alteration to their urethra)</w:t>
            </w:r>
            <w:r w:rsidRPr="00442F29">
              <w:rPr>
                <w:sz w:val="20"/>
              </w:rPr>
              <w:t xml:space="preserve"> </w:t>
            </w:r>
          </w:p>
          <w:p w14:paraId="6EC59EF4" w14:textId="77777777" w:rsidR="00251D91" w:rsidRPr="00442F29" w:rsidRDefault="00251D91" w:rsidP="00F1554F">
            <w:pPr>
              <w:pStyle w:val="Bulletindent1"/>
            </w:pPr>
            <w:r w:rsidRPr="00442F29">
              <w:t>Individuals</w:t>
            </w:r>
            <w:r>
              <w:rPr>
                <w:sz w:val="20"/>
              </w:rPr>
              <w:t xml:space="preserve"> </w:t>
            </w:r>
            <w:r w:rsidRPr="00442F29">
              <w:t xml:space="preserve">aged 16 years to 64 years  </w:t>
            </w:r>
          </w:p>
          <w:p w14:paraId="2E6FEA68" w14:textId="77777777" w:rsidR="00251D91" w:rsidRPr="002561E8" w:rsidRDefault="00251D91" w:rsidP="00F1554F">
            <w:pPr>
              <w:pStyle w:val="Bulletindent1"/>
            </w:pPr>
            <w:r w:rsidRPr="00016BFD">
              <w:t>Signs and symptoms of UTI using the appropriate</w:t>
            </w:r>
            <w:r w:rsidRPr="006F1D02">
              <w:rPr>
                <w:color w:val="FF0000"/>
              </w:rPr>
              <w:t xml:space="preserve"> </w:t>
            </w:r>
            <w:hyperlink r:id="rId28" w:history="1">
              <w:r w:rsidRPr="002D6AB2">
                <w:rPr>
                  <w:rStyle w:val="Hyperlink"/>
                  <w:rFonts w:cs="Arial"/>
                </w:rPr>
                <w:t>U</w:t>
              </w:r>
              <w:r>
                <w:rPr>
                  <w:rStyle w:val="Hyperlink"/>
                  <w:rFonts w:cs="Arial"/>
                </w:rPr>
                <w:t>KHSA u</w:t>
              </w:r>
              <w:r w:rsidRPr="002D6AB2">
                <w:rPr>
                  <w:rStyle w:val="Hyperlink"/>
                  <w:rFonts w:cs="Arial"/>
                </w:rPr>
                <w:t>rinary tract infection: diagnostic tools for primary care</w:t>
              </w:r>
            </w:hyperlink>
          </w:p>
          <w:p w14:paraId="1B715CF1" w14:textId="77777777" w:rsidR="00251D91" w:rsidRPr="00251D91" w:rsidRDefault="00251D91" w:rsidP="00F1554F">
            <w:pPr>
              <w:pStyle w:val="Bulletindent1"/>
              <w:rPr>
                <w:iCs/>
              </w:rPr>
            </w:pPr>
            <w:r w:rsidRPr="00677C74">
              <w:t>Diagnosis of lower UTI using</w:t>
            </w:r>
            <w:r>
              <w:t xml:space="preserve"> the</w:t>
            </w:r>
            <w:r w:rsidRPr="00677C74">
              <w:t xml:space="preserve"> </w:t>
            </w:r>
            <w:hyperlink r:id="rId29" w:history="1">
              <w:r w:rsidRPr="002D6AB2">
                <w:rPr>
                  <w:rStyle w:val="Hyperlink"/>
                  <w:rFonts w:cs="Arial"/>
                </w:rPr>
                <w:t>U</w:t>
              </w:r>
              <w:r>
                <w:rPr>
                  <w:rStyle w:val="Hyperlink"/>
                  <w:rFonts w:cs="Arial"/>
                </w:rPr>
                <w:t>KHSA u</w:t>
              </w:r>
              <w:r w:rsidRPr="002D6AB2">
                <w:rPr>
                  <w:rStyle w:val="Hyperlink"/>
                  <w:rFonts w:cs="Arial"/>
                </w:rPr>
                <w:t>rinary tract infection: diagnostic tools for primary care</w:t>
              </w:r>
            </w:hyperlink>
            <w:r w:rsidRPr="000B76C4">
              <w:t xml:space="preserve"> including the use of dipsticks where this is identified in the guidance.</w:t>
            </w:r>
          </w:p>
          <w:p w14:paraId="02A2FFD7" w14:textId="4C9799AC" w:rsidR="00AE4F4B" w:rsidRPr="00251D91" w:rsidRDefault="00251D91" w:rsidP="00F1554F">
            <w:pPr>
              <w:pStyle w:val="Bulletindent1"/>
              <w:rPr>
                <w:iCs/>
              </w:rPr>
            </w:pPr>
            <w:r w:rsidRPr="00251D91">
              <w:t xml:space="preserve">No </w:t>
            </w:r>
            <w:r w:rsidR="00F1554F">
              <w:t>trimethoprim</w:t>
            </w:r>
            <w:r w:rsidRPr="00251D91">
              <w:t xml:space="preserve"> use in the past 3 months</w:t>
            </w:r>
          </w:p>
        </w:tc>
      </w:tr>
      <w:tr w:rsidR="00251D91" w14:paraId="6FC007A9" w14:textId="77777777" w:rsidTr="488F06B8">
        <w:tc>
          <w:tcPr>
            <w:tcW w:w="3262" w:type="dxa"/>
          </w:tcPr>
          <w:p w14:paraId="4F9F0FC6" w14:textId="72CE5320" w:rsidR="00251D91" w:rsidRPr="005A6168" w:rsidRDefault="00251D91" w:rsidP="00251D91">
            <w:pPr>
              <w:rPr>
                <w:rStyle w:val="TableHeaderColumn"/>
              </w:rPr>
            </w:pPr>
            <w:r w:rsidRPr="001C0CA0">
              <w:rPr>
                <w:rStyle w:val="TableHeaderColumn"/>
                <w:sz w:val="22"/>
              </w:rPr>
              <w:t>Criteria for exclusion</w:t>
            </w:r>
          </w:p>
        </w:tc>
        <w:tc>
          <w:tcPr>
            <w:tcW w:w="5233" w:type="dxa"/>
          </w:tcPr>
          <w:p w14:paraId="1380CC86" w14:textId="77777777" w:rsidR="00251D91" w:rsidRDefault="00251D91" w:rsidP="009B596C">
            <w:pPr>
              <w:pStyle w:val="Bulletindent1"/>
            </w:pPr>
            <w:r w:rsidRPr="002561E8">
              <w:t xml:space="preserve">Consent refused and documented in the </w:t>
            </w:r>
            <w:r>
              <w:t>individual’</w:t>
            </w:r>
            <w:r w:rsidRPr="002561E8">
              <w:t xml:space="preserve">s medical notes </w:t>
            </w:r>
          </w:p>
          <w:p w14:paraId="4F32E474" w14:textId="77777777" w:rsidR="00251D91" w:rsidRDefault="00251D91" w:rsidP="009B596C">
            <w:pPr>
              <w:pStyle w:val="Bulletindent1"/>
            </w:pPr>
            <w:r>
              <w:t>Individuals a</w:t>
            </w:r>
            <w:r w:rsidRPr="00677C74">
              <w:t>ged 65 years or over or 15 years and younger</w:t>
            </w:r>
          </w:p>
          <w:p w14:paraId="6E7323AF" w14:textId="77777777" w:rsidR="00251D91" w:rsidRPr="00442F29" w:rsidRDefault="00251D91" w:rsidP="009B596C">
            <w:pPr>
              <w:pStyle w:val="Bulletindent1"/>
            </w:pPr>
            <w:r w:rsidRPr="002F652F">
              <w:t>Cisgender men, non-binary people</w:t>
            </w:r>
            <w:r w:rsidRPr="00595845">
              <w:rPr>
                <w:bdr w:val="none" w:sz="0" w:space="0" w:color="auto" w:frame="1"/>
              </w:rPr>
              <w:t xml:space="preserve"> </w:t>
            </w:r>
            <w:r w:rsidRPr="002F652F">
              <w:t xml:space="preserve">registered male at birth, transgender </w:t>
            </w:r>
            <w:r w:rsidRPr="002F652F">
              <w:lastRenderedPageBreak/>
              <w:t>women (including those who have had structural alteration to their urethra)</w:t>
            </w:r>
          </w:p>
          <w:p w14:paraId="522CDFD8" w14:textId="44678D33" w:rsidR="00251D91" w:rsidRDefault="00CE73FB" w:rsidP="009B596C">
            <w:pPr>
              <w:pStyle w:val="Bulletindent1"/>
            </w:pPr>
            <w:r>
              <w:t>Known</w:t>
            </w:r>
            <w:r w:rsidR="00251D91" w:rsidRPr="00677C74">
              <w:t xml:space="preserve"> or suspected pregnancy</w:t>
            </w:r>
          </w:p>
          <w:p w14:paraId="1E943145" w14:textId="77777777" w:rsidR="00251D91" w:rsidRPr="005D461E" w:rsidRDefault="00251D91" w:rsidP="009B596C">
            <w:pPr>
              <w:pStyle w:val="Bulletindent1"/>
            </w:pPr>
            <w:r w:rsidRPr="00677C74">
              <w:t xml:space="preserve">Current breastfeeding </w:t>
            </w:r>
          </w:p>
          <w:p w14:paraId="3632E8B4" w14:textId="071F4F98" w:rsidR="00251D91" w:rsidRPr="002A15CA" w:rsidRDefault="00251D91" w:rsidP="009B596C">
            <w:pPr>
              <w:pStyle w:val="Bulletindent1"/>
              <w:rPr>
                <w:rStyle w:val="Hyperlink"/>
              </w:rPr>
            </w:pPr>
            <w:r w:rsidRPr="00040405">
              <w:t>Severely immunosuppressed individuals as defined in</w:t>
            </w:r>
            <w:r w:rsidRPr="00D953E2">
              <w:t xml:space="preserve"> </w:t>
            </w:r>
            <w:hyperlink r:id="rId30" w:history="1">
              <w:r w:rsidR="002A15CA" w:rsidRPr="002A15CA">
                <w:rPr>
                  <w:rStyle w:val="Hyperlink"/>
                </w:rPr>
                <w:t>Chapter 28a of The Green book which can be accessed on the gov.uk website</w:t>
              </w:r>
            </w:hyperlink>
            <w:r w:rsidRPr="002A15CA">
              <w:rPr>
                <w:rStyle w:val="Hyperlink"/>
              </w:rPr>
              <w:t>:</w:t>
            </w:r>
          </w:p>
          <w:p w14:paraId="5A16038D" w14:textId="77777777" w:rsidR="00251D91" w:rsidRPr="002A15CA" w:rsidRDefault="00251D91" w:rsidP="009B596C">
            <w:pPr>
              <w:pStyle w:val="Bulletindent1"/>
            </w:pPr>
            <w:r w:rsidRPr="002A15CA">
              <w:t xml:space="preserve">Individuals with primary or acquired immunodeficiency states due to conditions including: </w:t>
            </w:r>
          </w:p>
          <w:p w14:paraId="199320FA" w14:textId="77777777" w:rsidR="00251D91" w:rsidRPr="002A15CA" w:rsidRDefault="00251D91" w:rsidP="009B596C">
            <w:pPr>
              <w:pStyle w:val="Bulletindent1"/>
              <w:numPr>
                <w:ilvl w:val="1"/>
                <w:numId w:val="21"/>
              </w:numPr>
            </w:pPr>
            <w:r w:rsidRPr="002A15CA">
              <w:t xml:space="preserve">acute and chronic leukaemias, and clinically aggressive lymphomas (including Hodgkin’s lymphoma) who are less than 12 months since achieving cure </w:t>
            </w:r>
          </w:p>
          <w:p w14:paraId="3C64C7C0" w14:textId="6EEF3BFD" w:rsidR="00251D91" w:rsidRPr="00D953E2" w:rsidRDefault="00251D91" w:rsidP="009B596C">
            <w:pPr>
              <w:pStyle w:val="Bulletindent1"/>
              <w:numPr>
                <w:ilvl w:val="1"/>
                <w:numId w:val="21"/>
              </w:numPr>
              <w:rPr>
                <w:i/>
                <w:sz w:val="20"/>
              </w:rPr>
            </w:pPr>
            <w:r w:rsidRPr="002A15CA">
              <w:t xml:space="preserve">individuals under follow up for  chronic lymphoproliferative disorders including haematological malignancies such as indolent lymphoma, chronic lymphoid leukaemia, myeloma, Waldenstrom’s macroglobulinemia </w:t>
            </w:r>
            <w:r w:rsidRPr="00040405">
              <w:t>and other plasma cell dyscrasias (N.B: this list not exhaustive)</w:t>
            </w:r>
            <w:r w:rsidRPr="00D953E2">
              <w:rPr>
                <w:i/>
                <w:sz w:val="20"/>
              </w:rPr>
              <w:t xml:space="preserve"> </w:t>
            </w:r>
          </w:p>
          <w:p w14:paraId="014FDBAF" w14:textId="77777777" w:rsidR="00251D91" w:rsidRPr="00040405" w:rsidRDefault="00251D91" w:rsidP="009B596C">
            <w:pPr>
              <w:pStyle w:val="Bulletindent1"/>
              <w:numPr>
                <w:ilvl w:val="1"/>
                <w:numId w:val="21"/>
              </w:numPr>
            </w:pPr>
            <w:r w:rsidRPr="00040405">
              <w:t xml:space="preserve">immunosuppression due to HIV/AIDS with a current CD4 count of below 200 cells/μl. </w:t>
            </w:r>
          </w:p>
          <w:p w14:paraId="6FAB6E43" w14:textId="77777777" w:rsidR="00251D91" w:rsidRPr="00040405" w:rsidRDefault="00251D91" w:rsidP="009B596C">
            <w:pPr>
              <w:pStyle w:val="Bulletindent1"/>
              <w:numPr>
                <w:ilvl w:val="1"/>
                <w:numId w:val="21"/>
              </w:numPr>
            </w:pPr>
            <w:r w:rsidRPr="00040405">
              <w:t>primary or acquired cellular and combined immune deficiencies – those with lymphopaenia (&lt;1,000 lymphocytes/ul) or with a functional lymphocyte disorder</w:t>
            </w:r>
          </w:p>
          <w:p w14:paraId="1EB1E832" w14:textId="77777777" w:rsidR="00251D91" w:rsidRPr="00040405" w:rsidRDefault="00251D91" w:rsidP="009B596C">
            <w:pPr>
              <w:pStyle w:val="Bulletindent1"/>
              <w:numPr>
                <w:ilvl w:val="1"/>
                <w:numId w:val="21"/>
              </w:numPr>
            </w:pPr>
            <w:r w:rsidRPr="00040405">
              <w:t xml:space="preserve">those who have received an allogeneic (cells from a donor) or an autologous (using their own cells) stem cell transplant in the previous 24 months </w:t>
            </w:r>
          </w:p>
          <w:p w14:paraId="2A257BBD" w14:textId="77777777" w:rsidR="00251D91" w:rsidRPr="00040405" w:rsidRDefault="00251D91" w:rsidP="009B596C">
            <w:pPr>
              <w:pStyle w:val="Bulletindent1"/>
              <w:numPr>
                <w:ilvl w:val="1"/>
                <w:numId w:val="21"/>
              </w:numPr>
            </w:pPr>
            <w:r w:rsidRPr="00040405">
              <w:t>those who have received a stem cell transplant more than 24 months ago but have ongoing immunosuppression or graft versus host disease (GVHD)</w:t>
            </w:r>
          </w:p>
          <w:p w14:paraId="7B08D6A0" w14:textId="77777777" w:rsidR="00251D91" w:rsidRPr="00040405" w:rsidRDefault="00251D91" w:rsidP="009B596C">
            <w:pPr>
              <w:pStyle w:val="Bulletindent1"/>
            </w:pPr>
            <w:r w:rsidRPr="00040405">
              <w:lastRenderedPageBreak/>
              <w:t xml:space="preserve">Individuals on immunosuppressive or immunomodulating therapy including: </w:t>
            </w:r>
          </w:p>
          <w:p w14:paraId="1D1EB795" w14:textId="77777777" w:rsidR="00251D91" w:rsidRPr="00040405" w:rsidRDefault="00251D91" w:rsidP="009B596C">
            <w:pPr>
              <w:pStyle w:val="Bulletindent1"/>
              <w:numPr>
                <w:ilvl w:val="1"/>
                <w:numId w:val="21"/>
              </w:numPr>
            </w:pPr>
            <w:r w:rsidRPr="00040405">
              <w:t xml:space="preserve">those who are receiving or have received in the past 6 months immunosuppressive chemotherapy or radiotherapy for any indication </w:t>
            </w:r>
          </w:p>
          <w:p w14:paraId="3E75818E" w14:textId="77777777" w:rsidR="00251D91" w:rsidRPr="00040405" w:rsidRDefault="00251D91" w:rsidP="009B596C">
            <w:pPr>
              <w:pStyle w:val="Bulletindent1"/>
              <w:numPr>
                <w:ilvl w:val="1"/>
                <w:numId w:val="21"/>
              </w:numPr>
            </w:pPr>
            <w:r w:rsidRPr="00040405">
              <w:t xml:space="preserve">those who are receiving or have received in the previous 6 months immunosuppressive therapy for a solid organ transplant </w:t>
            </w:r>
          </w:p>
          <w:p w14:paraId="3CF807CB" w14:textId="77777777" w:rsidR="00251D91" w:rsidRPr="00040405" w:rsidRDefault="00251D91" w:rsidP="009B596C">
            <w:pPr>
              <w:pStyle w:val="Bulletindent1"/>
              <w:numPr>
                <w:ilvl w:val="1"/>
                <w:numId w:val="21"/>
              </w:numPr>
            </w:pPr>
            <w:r w:rsidRPr="00040405">
              <w:t>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24FBD1B" w14:textId="77777777" w:rsidR="00251D91" w:rsidRPr="00AC2167" w:rsidRDefault="00251D91" w:rsidP="009B596C">
            <w:pPr>
              <w:pStyle w:val="Bulletindent1"/>
            </w:pPr>
            <w:r w:rsidRPr="00AC2167">
              <w:t xml:space="preserve">Individuals with chronic immune mediated inflammatory disease who are receiving or have received immunosuppressive therapy </w:t>
            </w:r>
          </w:p>
          <w:p w14:paraId="18167DCB" w14:textId="77777777" w:rsidR="00251D91" w:rsidRPr="00AC2167" w:rsidRDefault="00251D91" w:rsidP="009B596C">
            <w:pPr>
              <w:pStyle w:val="Bulletindent1"/>
              <w:numPr>
                <w:ilvl w:val="1"/>
                <w:numId w:val="21"/>
              </w:numPr>
            </w:pPr>
            <w:r w:rsidRPr="00AC2167">
              <w:t xml:space="preserve">moderate to high dose corticosteroids (equivalent ≥20mg prednisolone per day) for more than 10 days in the previous month </w:t>
            </w:r>
          </w:p>
          <w:p w14:paraId="31E48513" w14:textId="77777777" w:rsidR="00251D91" w:rsidRPr="00AC2167" w:rsidRDefault="00251D91" w:rsidP="009B596C">
            <w:pPr>
              <w:pStyle w:val="Bulletindent1"/>
              <w:numPr>
                <w:ilvl w:val="1"/>
                <w:numId w:val="21"/>
              </w:numPr>
            </w:pPr>
            <w:r w:rsidRPr="00AC2167">
              <w:t xml:space="preserve">long term moderate dose corticosteroids (equivalent to ≥10mg prednisolone per day for more than 4 weeks) in the previous 3 months </w:t>
            </w:r>
          </w:p>
          <w:p w14:paraId="26D209D0" w14:textId="77777777" w:rsidR="00251D91" w:rsidRPr="00AC2167" w:rsidRDefault="00251D91" w:rsidP="009B596C">
            <w:pPr>
              <w:pStyle w:val="Bulletindent1"/>
              <w:numPr>
                <w:ilvl w:val="1"/>
                <w:numId w:val="21"/>
              </w:numPr>
            </w:pPr>
            <w:r w:rsidRPr="00AC2167">
              <w:t xml:space="preserve">any non-biological oral immune modulating drugs e.g. methotrexate &gt;20mg per week </w:t>
            </w:r>
            <w:r w:rsidRPr="00AC2167">
              <w:lastRenderedPageBreak/>
              <w:t xml:space="preserve">(oral and subcutaneous), azathioprine &gt;3.0mg/kg/day; 6-mercaptopurine &gt;1.5mg/kg/day, mycophenolate &gt;1g/day) in the previous 3 months </w:t>
            </w:r>
          </w:p>
          <w:p w14:paraId="62CF3738" w14:textId="77777777" w:rsidR="00251D91" w:rsidRPr="00AC2167" w:rsidRDefault="00251D91" w:rsidP="009B596C">
            <w:pPr>
              <w:pStyle w:val="Bulletindent1"/>
              <w:numPr>
                <w:ilvl w:val="1"/>
                <w:numId w:val="21"/>
              </w:numPr>
            </w:pPr>
            <w:r w:rsidRPr="00AC2167">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42864433" w14:textId="77777777" w:rsidR="00251D91" w:rsidRPr="00D953E2" w:rsidRDefault="00251D91" w:rsidP="009B596C">
            <w:pPr>
              <w:pStyle w:val="Bulletindent1"/>
            </w:pPr>
            <w:r w:rsidRPr="00D953E2">
              <w:t>Individuals who have received a short course of high dose steroids (equivalent &gt;40mg prednisolone per day for more than a week) for any reason in the previous month.</w:t>
            </w:r>
          </w:p>
          <w:p w14:paraId="10EEF3B5" w14:textId="06A5411D" w:rsidR="00251D91" w:rsidRPr="00581C9E" w:rsidRDefault="00251D91" w:rsidP="009B596C">
            <w:pPr>
              <w:pStyle w:val="Bulletindent1"/>
            </w:pPr>
            <w:r w:rsidRPr="00581C9E">
              <w:t xml:space="preserve">Immunosuppressed individuals: individuals who are immunosuppressed or are currently taking immunosuppressants (including systemic corticosteroids*) or immune modulators, but who do not meet the definition of severe immunosuppression (see above). * does not include: </w:t>
            </w:r>
          </w:p>
          <w:p w14:paraId="3A081F53" w14:textId="77777777" w:rsidR="00251D91" w:rsidRPr="00903730" w:rsidRDefault="00251D91" w:rsidP="009B596C">
            <w:pPr>
              <w:pStyle w:val="Bulletindent1"/>
              <w:numPr>
                <w:ilvl w:val="1"/>
                <w:numId w:val="21"/>
              </w:numPr>
            </w:pPr>
            <w:r w:rsidRPr="00903730">
              <w:t>replacement corticosteroids for individuals with adrenal insufficiency</w:t>
            </w:r>
          </w:p>
          <w:p w14:paraId="64A6924F" w14:textId="77777777" w:rsidR="00251D91" w:rsidRPr="00372BFB" w:rsidRDefault="00251D91" w:rsidP="009B596C">
            <w:pPr>
              <w:pStyle w:val="Bulletindent1"/>
              <w:numPr>
                <w:ilvl w:val="1"/>
                <w:numId w:val="21"/>
              </w:numPr>
            </w:pPr>
            <w:r w:rsidRPr="00903730">
              <w:t>corticosteroid inhalers or corticosteroids applied topically (e.g. to the skin, ears, eyes, nasal cavity</w:t>
            </w:r>
            <w:r w:rsidRPr="00372BFB">
              <w:t>)</w:t>
            </w:r>
          </w:p>
          <w:p w14:paraId="6547D4C3" w14:textId="77777777" w:rsidR="00251D91" w:rsidRPr="007257C5" w:rsidRDefault="00251D91" w:rsidP="009B596C">
            <w:pPr>
              <w:pStyle w:val="Bulletindent1"/>
              <w:numPr>
                <w:ilvl w:val="1"/>
                <w:numId w:val="21"/>
              </w:numPr>
            </w:pPr>
            <w:r w:rsidRPr="00903730">
              <w:t xml:space="preserve">intra-articular, -bursal or -tendon corticosteroid injections. </w:t>
            </w:r>
          </w:p>
          <w:p w14:paraId="0FBA248B" w14:textId="5F9A1E30" w:rsidR="00251D91" w:rsidRPr="0006470F" w:rsidRDefault="00251D91" w:rsidP="009B596C">
            <w:pPr>
              <w:pStyle w:val="Bulletindent1"/>
            </w:pPr>
            <w:r w:rsidRPr="00677C74">
              <w:t xml:space="preserve">Known hypersensitivity to </w:t>
            </w:r>
            <w:r w:rsidR="00F1554F">
              <w:t>trimethoprim</w:t>
            </w:r>
            <w:r w:rsidRPr="00677C74">
              <w:t xml:space="preserve"> or any of the components within the formulation </w:t>
            </w:r>
            <w:hyperlink r:id="rId31" w:history="1">
              <w:r w:rsidR="009B596C">
                <w:rPr>
                  <w:rStyle w:val="Hyperlink"/>
                  <w:lang w:eastAsia="en-GB"/>
                </w:rPr>
                <w:t>- as detailed in the SmPC on the MHRA website</w:t>
              </w:r>
            </w:hyperlink>
            <w:r w:rsidR="00AC2167">
              <w:rPr>
                <w:lang w:eastAsia="en-GB"/>
              </w:rPr>
              <w:t xml:space="preserve">  (</w:t>
            </w:r>
            <w:r w:rsidR="00AC2167" w:rsidRPr="00AC2167">
              <w:t>accep</w:t>
            </w:r>
            <w:r w:rsidRPr="00AC2167">
              <w:t>table sources of allergy information include individual/carer/parent/guardian or National Care Record</w:t>
            </w:r>
            <w:r w:rsidR="00AC2167" w:rsidRPr="00AC2167">
              <w:t>)</w:t>
            </w:r>
          </w:p>
          <w:p w14:paraId="14635744" w14:textId="429ADDA8" w:rsidR="00251D91" w:rsidRPr="00CE73FB" w:rsidRDefault="00251D91" w:rsidP="00251D91">
            <w:pPr>
              <w:pStyle w:val="Bulletindent1"/>
              <w:rPr>
                <w:rFonts w:eastAsia="Calibri"/>
              </w:rPr>
            </w:pPr>
            <w:r>
              <w:rPr>
                <w:rFonts w:eastAsia="Calibri"/>
              </w:rPr>
              <w:lastRenderedPageBreak/>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(i.e. tablets)</w:t>
            </w:r>
          </w:p>
          <w:p w14:paraId="421792A9" w14:textId="77777777" w:rsidR="00251D91" w:rsidRPr="00B04241" w:rsidRDefault="00251D91" w:rsidP="009B596C">
            <w:pPr>
              <w:pStyle w:val="Bulletindent1"/>
            </w:pPr>
            <w:r w:rsidRPr="00B04241">
              <w:t>Previous UTIs</w:t>
            </w:r>
            <w:r>
              <w:t xml:space="preserve"> (treatment, antibiotic resistance)</w:t>
            </w:r>
            <w:r w:rsidRPr="00B04241">
              <w:t>:</w:t>
            </w:r>
          </w:p>
          <w:p w14:paraId="2D484C8B" w14:textId="77777777" w:rsidR="009B596C" w:rsidRPr="009B596C" w:rsidRDefault="009B596C" w:rsidP="009B596C">
            <w:pPr>
              <w:pStyle w:val="Bulletindent1"/>
              <w:numPr>
                <w:ilvl w:val="1"/>
                <w:numId w:val="21"/>
              </w:numPr>
            </w:pPr>
            <w:r w:rsidRPr="009B596C">
              <w:t>Trimethoprim use in the past 3 months</w:t>
            </w:r>
          </w:p>
          <w:p w14:paraId="1D6237C3" w14:textId="6737DA35" w:rsidR="00251D91" w:rsidRPr="00016BFD" w:rsidRDefault="00251D91" w:rsidP="009B596C">
            <w:pPr>
              <w:pStyle w:val="Bulletindent1"/>
              <w:numPr>
                <w:ilvl w:val="1"/>
                <w:numId w:val="21"/>
              </w:numPr>
            </w:pPr>
            <w:r w:rsidRPr="00016BFD">
              <w:t>Individuals already taking prophylactic antibiotics for UTI</w:t>
            </w:r>
          </w:p>
          <w:p w14:paraId="506A1C38" w14:textId="77777777" w:rsidR="00251D91" w:rsidRDefault="00251D91" w:rsidP="009B596C">
            <w:pPr>
              <w:pStyle w:val="Bulletindent1"/>
              <w:numPr>
                <w:ilvl w:val="1"/>
                <w:numId w:val="21"/>
              </w:numPr>
            </w:pPr>
            <w:r w:rsidRPr="00016BFD">
              <w:t xml:space="preserve">Recurrent UTI </w:t>
            </w:r>
            <w:r w:rsidRPr="00ED0D69">
              <w:t>(2 episodes in last 6 months, 3 episodes in last 12 months</w:t>
            </w:r>
            <w:r w:rsidRPr="00016BFD">
              <w:t>) – requires urine culture</w:t>
            </w:r>
          </w:p>
          <w:p w14:paraId="11C96132" w14:textId="77777777" w:rsidR="00251D91" w:rsidRPr="0030743D" w:rsidRDefault="00251D91" w:rsidP="009B596C">
            <w:pPr>
              <w:pStyle w:val="Bulletindent1"/>
              <w:numPr>
                <w:ilvl w:val="1"/>
                <w:numId w:val="21"/>
              </w:numPr>
              <w:rPr>
                <w:iCs/>
              </w:rPr>
            </w:pPr>
            <w:r w:rsidRPr="00016BFD">
              <w:rPr>
                <w:iCs/>
              </w:rPr>
              <w:t>Failed previous antibiotic for this episode of UTI</w:t>
            </w:r>
          </w:p>
          <w:p w14:paraId="75A26E43" w14:textId="77777777" w:rsidR="00251D91" w:rsidRDefault="00251D91" w:rsidP="009B596C">
            <w:pPr>
              <w:pStyle w:val="Bulletindent1"/>
              <w:numPr>
                <w:ilvl w:val="1"/>
                <w:numId w:val="21"/>
              </w:numPr>
            </w:pPr>
            <w:r w:rsidRPr="00176D3E">
              <w:t>Treatment for UTI with any antimicrobial in the past 3 months.</w:t>
            </w:r>
          </w:p>
          <w:p w14:paraId="26E01621" w14:textId="422960C2" w:rsidR="00251D91" w:rsidRPr="00CE73FB" w:rsidRDefault="00251D91" w:rsidP="00CE73FB">
            <w:pPr>
              <w:pStyle w:val="Bulletindent1"/>
              <w:numPr>
                <w:ilvl w:val="1"/>
                <w:numId w:val="21"/>
              </w:numPr>
            </w:pPr>
            <w:r w:rsidRPr="00176D3E">
              <w:t xml:space="preserve">Known previous </w:t>
            </w:r>
            <w:r w:rsidR="009B596C">
              <w:t xml:space="preserve">trimethoprim </w:t>
            </w:r>
            <w:r w:rsidRPr="00176D3E">
              <w:t xml:space="preserve">resistant UTI (recorded in accessible information e.g. </w:t>
            </w:r>
            <w:r>
              <w:t>National Care Record</w:t>
            </w:r>
            <w:r w:rsidRPr="00176D3E">
              <w:t xml:space="preserve">, clinical record if available) </w:t>
            </w:r>
            <w:r w:rsidRPr="00176D3E">
              <w:rPr>
                <w:b/>
                <w:bCs/>
              </w:rPr>
              <w:t>OR</w:t>
            </w:r>
            <w:r w:rsidRPr="00176D3E">
              <w:t xml:space="preserve"> known previously resistant UTI to</w:t>
            </w:r>
            <w:r w:rsidRPr="00176D3E">
              <w:rPr>
                <w:b/>
                <w:bCs/>
              </w:rPr>
              <w:t xml:space="preserve"> any</w:t>
            </w:r>
            <w:r w:rsidRPr="00176D3E">
              <w:t xml:space="preserve"> antibiotic self-reported by the individual where records not available.</w:t>
            </w:r>
          </w:p>
          <w:p w14:paraId="769825C8" w14:textId="18B70EFC" w:rsidR="00251D91" w:rsidRDefault="4FE8043A" w:rsidP="488F06B8">
            <w:pPr>
              <w:pStyle w:val="Bulletindent1"/>
              <w:rPr>
                <w:rFonts w:eastAsia="Calibri"/>
              </w:rPr>
            </w:pPr>
            <w:r w:rsidRPr="488F06B8">
              <w:rPr>
                <w:rFonts w:eastAsia="Calibri"/>
              </w:rPr>
              <w:t>The individual has a complicated UTI (associated with a structural or functional abnormality, which increases the risk of a more serious outcome or treatment failure – individual reports being under the care of a Urologist)</w:t>
            </w:r>
          </w:p>
          <w:p w14:paraId="452C811E" w14:textId="77777777" w:rsidR="00251D91" w:rsidRDefault="4FE8043A" w:rsidP="488F06B8">
            <w:pPr>
              <w:pStyle w:val="Bulletindent1"/>
              <w:rPr>
                <w:szCs w:val="22"/>
              </w:rPr>
            </w:pPr>
            <w:r>
              <w:t>Individuals currently using urinary catheter devices including indwelling urethral catheters, supra-pubic catheters or intermittent self-catheterisation</w:t>
            </w:r>
          </w:p>
          <w:p w14:paraId="6D650709" w14:textId="77777777" w:rsidR="00251D91" w:rsidRDefault="4FE8043A" w:rsidP="488F06B8">
            <w:pPr>
              <w:pStyle w:val="Bulletindent1"/>
              <w:rPr>
                <w:szCs w:val="22"/>
              </w:rPr>
            </w:pPr>
            <w:r>
              <w:t>Hospitalisation in a foreign country within last 3 months</w:t>
            </w:r>
          </w:p>
          <w:p w14:paraId="73E9F4E1" w14:textId="77777777" w:rsidR="00251D91" w:rsidRDefault="4FE8043A" w:rsidP="488F06B8">
            <w:pPr>
              <w:pStyle w:val="Bulletindent1"/>
              <w:rPr>
                <w:szCs w:val="22"/>
              </w:rPr>
            </w:pPr>
            <w:r>
              <w:t>Care home resident</w:t>
            </w:r>
          </w:p>
          <w:p w14:paraId="522FBCA5" w14:textId="77777777" w:rsidR="00251D91" w:rsidRDefault="4FE8043A" w:rsidP="488F06B8">
            <w:pPr>
              <w:pStyle w:val="Bulletindent1"/>
              <w:rPr>
                <w:szCs w:val="22"/>
              </w:rPr>
            </w:pPr>
            <w:r>
              <w:t>UK hospitalisation for &gt; 7 days in last 6 months</w:t>
            </w:r>
          </w:p>
          <w:p w14:paraId="5296F364" w14:textId="730449F4" w:rsidR="00251D91" w:rsidRDefault="4FE8043A" w:rsidP="009B596C">
            <w:pPr>
              <w:pStyle w:val="Bulletindent1"/>
            </w:pPr>
            <w:r>
              <w:t>History of raised temperature, fever or chills within past 48 hours</w:t>
            </w:r>
          </w:p>
          <w:p w14:paraId="597AD3BC" w14:textId="11362110" w:rsidR="00251D91" w:rsidRDefault="00251D91" w:rsidP="009B596C">
            <w:pPr>
              <w:pStyle w:val="Bulletindent1"/>
            </w:pPr>
            <w:r>
              <w:lastRenderedPageBreak/>
              <w:t>Abnormal vaginal discharge</w:t>
            </w:r>
          </w:p>
          <w:p w14:paraId="5819B381" w14:textId="77777777" w:rsidR="00251D91" w:rsidRDefault="00251D91" w:rsidP="009B596C">
            <w:pPr>
              <w:pStyle w:val="Bulletindent1"/>
            </w:pPr>
            <w:r>
              <w:t>Urethritis (inflammation post sexual intercourse, irritants)</w:t>
            </w:r>
          </w:p>
          <w:p w14:paraId="6D083E64" w14:textId="77777777" w:rsidR="00251D91" w:rsidRDefault="00251D91" w:rsidP="009B596C">
            <w:pPr>
              <w:pStyle w:val="Bulletindent1"/>
            </w:pPr>
            <w:r>
              <w:t xml:space="preserve">Genitourinary symptoms of menopause (e.g. vulvovaginal atrophy)  </w:t>
            </w:r>
          </w:p>
          <w:p w14:paraId="704E7D0F" w14:textId="77777777" w:rsidR="00251D91" w:rsidRDefault="00251D91" w:rsidP="009B596C">
            <w:pPr>
              <w:pStyle w:val="Bulletindent1"/>
            </w:pPr>
            <w:r>
              <w:t xml:space="preserve">Suspected </w:t>
            </w:r>
            <w:r w:rsidRPr="009C5030">
              <w:t xml:space="preserve">sexually transmitted infection </w:t>
            </w:r>
          </w:p>
          <w:p w14:paraId="0E2096AC" w14:textId="781636A8" w:rsidR="00251D91" w:rsidRPr="00683E92" w:rsidRDefault="00251D91" w:rsidP="488F06B8">
            <w:pPr>
              <w:pStyle w:val="Bulletindent1"/>
            </w:pPr>
            <w:r>
              <w:t>Any individual identified with symptoms of pyelonephritis:</w:t>
            </w:r>
          </w:p>
          <w:p w14:paraId="1340FF75" w14:textId="77777777" w:rsidR="00251D91" w:rsidRPr="00677C74" w:rsidRDefault="00251D91" w:rsidP="009B596C">
            <w:pPr>
              <w:pStyle w:val="Bulletindent1"/>
              <w:numPr>
                <w:ilvl w:val="1"/>
                <w:numId w:val="21"/>
              </w:numPr>
            </w:pPr>
            <w:r>
              <w:t>K</w:t>
            </w:r>
            <w:r w:rsidRPr="00677C74">
              <w:t>idney pain/tenderness in back under ribs</w:t>
            </w:r>
          </w:p>
          <w:p w14:paraId="3F94DD1B" w14:textId="77777777" w:rsidR="00251D91" w:rsidRPr="000913BC" w:rsidRDefault="00251D91" w:rsidP="009B596C">
            <w:pPr>
              <w:pStyle w:val="Bulletindent1"/>
              <w:numPr>
                <w:ilvl w:val="1"/>
                <w:numId w:val="21"/>
              </w:numPr>
            </w:pPr>
            <w:r w:rsidRPr="000913BC">
              <w:t>Flu-like illness</w:t>
            </w:r>
          </w:p>
          <w:p w14:paraId="4CF33817" w14:textId="77777777" w:rsidR="00251D91" w:rsidRPr="00016BFD" w:rsidRDefault="00251D91" w:rsidP="009B596C">
            <w:pPr>
              <w:pStyle w:val="Bulletindent1"/>
              <w:numPr>
                <w:ilvl w:val="1"/>
                <w:numId w:val="21"/>
              </w:numPr>
            </w:pPr>
            <w:r>
              <w:t>S</w:t>
            </w:r>
            <w:r w:rsidRPr="00016BFD">
              <w:t>haking chills (rigors) or temperature 37.9°C or above</w:t>
            </w:r>
          </w:p>
          <w:p w14:paraId="29BB97AF" w14:textId="77777777" w:rsidR="00251D91" w:rsidRPr="00016BFD" w:rsidRDefault="00251D91" w:rsidP="009B596C">
            <w:pPr>
              <w:pStyle w:val="Bulletindent1"/>
              <w:numPr>
                <w:ilvl w:val="1"/>
                <w:numId w:val="21"/>
              </w:numPr>
            </w:pPr>
            <w:r>
              <w:t>N</w:t>
            </w:r>
            <w:r w:rsidRPr="00016BFD">
              <w:t>ausea/vomiting</w:t>
            </w:r>
          </w:p>
          <w:p w14:paraId="3D439273" w14:textId="77777777" w:rsidR="00AC2167" w:rsidRDefault="00AC2167" w:rsidP="009B596C">
            <w:pPr>
              <w:pStyle w:val="Bulletindent1"/>
            </w:pPr>
            <w:r>
              <w:t xml:space="preserve">Symptoms suggestive of </w:t>
            </w:r>
            <w:hyperlink r:id="rId32">
              <w:r w:rsidRPr="488F06B8">
                <w:rPr>
                  <w:rStyle w:val="Hyperlink"/>
                  <w:rFonts w:cs="Arial"/>
                </w:rPr>
                <w:t>kidney stones as described in the NHS guidance</w:t>
              </w:r>
            </w:hyperlink>
            <w:r>
              <w:t xml:space="preserve"> or </w:t>
            </w:r>
            <w:hyperlink r:id="rId33">
              <w:r w:rsidRPr="488F06B8">
                <w:rPr>
                  <w:rStyle w:val="Hyperlink"/>
                  <w:rFonts w:cs="Arial"/>
                </w:rPr>
                <w:t>renal colic as described in the NICE CKS</w:t>
              </w:r>
            </w:hyperlink>
            <w:r>
              <w:t xml:space="preserve"> (including severe abdominal pain)</w:t>
            </w:r>
          </w:p>
          <w:p w14:paraId="458C2EB7" w14:textId="143C075D" w:rsidR="00251D91" w:rsidRPr="00CB4699" w:rsidRDefault="00251D91" w:rsidP="009B596C">
            <w:pPr>
              <w:pStyle w:val="Bulletindent1"/>
            </w:pPr>
            <w:r>
              <w:t xml:space="preserve">Any individual identified with symptoms of </w:t>
            </w:r>
            <w:hyperlink r:id="rId34">
              <w:r w:rsidR="006F23FB" w:rsidRPr="488F06B8">
                <w:rPr>
                  <w:rStyle w:val="Hyperlink"/>
                  <w:rFonts w:cs="Arial"/>
                </w:rPr>
                <w:t>severe/life-threatening infection or systemic sepsis as described in the NHS guidance</w:t>
              </w:r>
            </w:hyperlink>
            <w:r w:rsidR="00A95DEB">
              <w:t xml:space="preserve"> </w:t>
            </w:r>
            <w:r>
              <w:t>should be referred urgently to A&amp;E.</w:t>
            </w:r>
          </w:p>
          <w:p w14:paraId="2763180C" w14:textId="77777777" w:rsidR="009B596C" w:rsidRPr="001E7B8C" w:rsidRDefault="009B596C" w:rsidP="009B596C">
            <w:pPr>
              <w:pStyle w:val="Bulletindent1"/>
            </w:pPr>
            <w:r w:rsidRPr="001E7B8C">
              <w:t>Known blood dyscrasias</w:t>
            </w:r>
          </w:p>
          <w:p w14:paraId="697ECDB2" w14:textId="77777777" w:rsidR="00251D91" w:rsidRPr="00677C74" w:rsidRDefault="00251D91" w:rsidP="009B596C">
            <w:pPr>
              <w:pStyle w:val="Bulletindent1"/>
            </w:pPr>
            <w:r w:rsidRPr="00677C74">
              <w:t>Known porphyria</w:t>
            </w:r>
          </w:p>
          <w:p w14:paraId="3CC05898" w14:textId="77777777" w:rsidR="00251D91" w:rsidRPr="00677C74" w:rsidRDefault="00251D91" w:rsidP="009B596C">
            <w:pPr>
              <w:pStyle w:val="Bulletindent1"/>
            </w:pPr>
            <w:r w:rsidRPr="00677C74">
              <w:t>Known anaemia</w:t>
            </w:r>
          </w:p>
          <w:p w14:paraId="3A1395D6" w14:textId="77777777" w:rsidR="00251D91" w:rsidRDefault="00251D91" w:rsidP="009B596C">
            <w:pPr>
              <w:pStyle w:val="Bulletindent1"/>
            </w:pPr>
            <w:r w:rsidRPr="00677C74">
              <w:t>Known diabetes mellitus (Type 1 or 2)</w:t>
            </w:r>
          </w:p>
          <w:p w14:paraId="6C3350DF" w14:textId="77777777" w:rsidR="009B596C" w:rsidRDefault="009B596C" w:rsidP="009B596C">
            <w:pPr>
              <w:pStyle w:val="Bulletindent1"/>
              <w:rPr>
                <w:rFonts w:eastAsia="Calibri"/>
              </w:rPr>
            </w:pPr>
            <w:r w:rsidRPr="00F9104C">
              <w:rPr>
                <w:rFonts w:eastAsia="Calibri"/>
              </w:rPr>
              <w:t>Severe hepatic insufficiency</w:t>
            </w:r>
          </w:p>
          <w:p w14:paraId="1C680BAF" w14:textId="77777777" w:rsidR="00251D91" w:rsidRPr="00F322E3" w:rsidRDefault="00251D91" w:rsidP="009B596C">
            <w:pPr>
              <w:pStyle w:val="Bulletindent1"/>
            </w:pPr>
            <w:r w:rsidRPr="00F322E3">
              <w:t>Known folate deficiency</w:t>
            </w:r>
          </w:p>
          <w:p w14:paraId="57E20ECF" w14:textId="3F412B58" w:rsidR="00251D91" w:rsidRDefault="00251D91" w:rsidP="009B596C">
            <w:pPr>
              <w:pStyle w:val="Bulletindent1"/>
            </w:pPr>
            <w:r w:rsidRPr="00677C74">
              <w:t xml:space="preserve">Known </w:t>
            </w:r>
            <w:r>
              <w:t>Chronic Kidney Disease (CKD) stages 4 or 5 (</w:t>
            </w:r>
            <w:r w:rsidRPr="00677C74">
              <w:t>eGFR &lt;</w:t>
            </w:r>
            <w:r w:rsidR="009B596C">
              <w:t>30</w:t>
            </w:r>
            <w:r w:rsidRPr="00677C74">
              <w:t>ml/min</w:t>
            </w:r>
            <w:r>
              <w:t>)</w:t>
            </w:r>
          </w:p>
          <w:p w14:paraId="41224123" w14:textId="77777777" w:rsidR="009B596C" w:rsidRPr="006C0964" w:rsidRDefault="009B596C" w:rsidP="009B596C">
            <w:pPr>
              <w:pStyle w:val="Bulletindent1"/>
            </w:pPr>
            <w:r w:rsidRPr="00151C32">
              <w:t>Concurrent use of any interacting medicine as listed in</w:t>
            </w:r>
            <w:r w:rsidRPr="009B596C">
              <w:t xml:space="preserve"> </w:t>
            </w:r>
            <w:hyperlink w:anchor="druginteractions" w:history="1">
              <w:r w:rsidRPr="009B596C">
                <w:t>Drug Interactions</w:t>
              </w:r>
            </w:hyperlink>
            <w:r w:rsidRPr="00151C32">
              <w:t xml:space="preserve"> section of this PGD</w:t>
            </w:r>
            <w:r w:rsidRPr="00F9104C" w:rsidDel="00E30276">
              <w:t xml:space="preserve"> </w:t>
            </w:r>
          </w:p>
          <w:p w14:paraId="242D0FB3" w14:textId="09A9F329" w:rsidR="00251D91" w:rsidRPr="00251D91" w:rsidRDefault="00251D91" w:rsidP="009B596C">
            <w:pPr>
              <w:pStyle w:val="Bulletindent1"/>
            </w:pPr>
            <w:r w:rsidRPr="00251D91">
              <w:t>Less than 3 days before receiving, or within 3 days after receiving, oral typhoid vaccine</w:t>
            </w:r>
          </w:p>
        </w:tc>
      </w:tr>
      <w:tr w:rsidR="00251D91" w14:paraId="2086F951" w14:textId="77777777" w:rsidTr="488F06B8">
        <w:tc>
          <w:tcPr>
            <w:tcW w:w="3262" w:type="dxa"/>
          </w:tcPr>
          <w:p w14:paraId="34F2E318" w14:textId="7E1AEDD6" w:rsidR="00251D91" w:rsidRPr="005A6168" w:rsidRDefault="00251D91" w:rsidP="00251D91">
            <w:pPr>
              <w:rPr>
                <w:rStyle w:val="TableHeaderColumn"/>
              </w:rPr>
            </w:pPr>
            <w:r w:rsidRPr="001C0CA0">
              <w:rPr>
                <w:rStyle w:val="TableHeaderColumn"/>
                <w:sz w:val="22"/>
              </w:rPr>
              <w:lastRenderedPageBreak/>
              <w:t>Cautions including any relevant action to be taken</w:t>
            </w:r>
          </w:p>
        </w:tc>
        <w:tc>
          <w:tcPr>
            <w:tcW w:w="5233" w:type="dxa"/>
          </w:tcPr>
          <w:p w14:paraId="3166FD4E" w14:textId="77777777" w:rsidR="00251D91" w:rsidRPr="00251D91" w:rsidRDefault="00251D91" w:rsidP="00453867">
            <w:pPr>
              <w:pStyle w:val="Tabletext"/>
            </w:pPr>
            <w:r w:rsidRPr="00251D91">
              <w:t xml:space="preserve">Visible haematuria (UTI likely and individual supplied antibiotics): treat for UTI but inform individual/carer/parent/guardian to seek medical </w:t>
            </w:r>
            <w:r w:rsidRPr="00251D91">
              <w:lastRenderedPageBreak/>
              <w:t>attention if haematuria continues after treatment.</w:t>
            </w:r>
          </w:p>
          <w:p w14:paraId="571072CD" w14:textId="77777777" w:rsidR="00251D91" w:rsidRPr="00251D91" w:rsidRDefault="00251D91" w:rsidP="00251D91">
            <w:pPr>
              <w:pStyle w:val="TableParagraph"/>
              <w:rPr>
                <w:rFonts w:ascii="Arial" w:hAnsi="Arial" w:cs="Arial"/>
                <w:bCs/>
                <w:lang w:val="en-GB"/>
              </w:rPr>
            </w:pPr>
          </w:p>
          <w:p w14:paraId="2D10F7AB" w14:textId="77777777" w:rsidR="00251D91" w:rsidRPr="00251D91" w:rsidRDefault="00251D91" w:rsidP="00453867">
            <w:pPr>
              <w:pStyle w:val="Tabletext"/>
            </w:pPr>
            <w:r w:rsidRPr="00251D91">
              <w:t xml:space="preserve">Visible haematuria (UTI equally likely to other diagnosis or less likely and individual not supplied antibiotics): manage as per </w:t>
            </w:r>
            <w:hyperlink r:id="rId35" w:history="1">
              <w:r w:rsidRPr="00251D91">
                <w:rPr>
                  <w:rStyle w:val="Hyperlink"/>
                  <w:rFonts w:cs="Arial"/>
                  <w:bCs/>
                </w:rPr>
                <w:t>UKHSA urinary tract infection: diagnostic tools for primary care</w:t>
              </w:r>
            </w:hyperlink>
            <w:r w:rsidRPr="00251D91">
              <w:t>, which may include further assessment or referral for suspected cancer, in line with the </w:t>
            </w:r>
            <w:hyperlink r:id="rId36" w:history="1">
              <w:r w:rsidRPr="00251D91">
                <w:rPr>
                  <w:rStyle w:val="Hyperlink"/>
                  <w:rFonts w:cs="Arial"/>
                  <w:bCs/>
                  <w:lang w:val="en-GB"/>
                </w:rPr>
                <w:t>NICE guideline on suspected cancer: recognition and referral</w:t>
              </w:r>
            </w:hyperlink>
            <w:r w:rsidRPr="00251D91">
              <w:t>.</w:t>
            </w:r>
          </w:p>
          <w:p w14:paraId="7EFA22C0" w14:textId="77777777" w:rsidR="00251D91" w:rsidRPr="00251D91" w:rsidRDefault="00251D91" w:rsidP="00251D91">
            <w:pPr>
              <w:pStyle w:val="TableParagraph"/>
              <w:rPr>
                <w:rFonts w:ascii="Arial" w:hAnsi="Arial" w:cs="Arial"/>
                <w:bCs/>
                <w:lang w:val="en-GB"/>
              </w:rPr>
            </w:pPr>
          </w:p>
          <w:p w14:paraId="5FED728E" w14:textId="060C179B" w:rsidR="00F05D5F" w:rsidRPr="00CE73FB" w:rsidRDefault="00F05D5F" w:rsidP="00F05D5F">
            <w:pPr>
              <w:pStyle w:val="Tabletext"/>
            </w:pPr>
            <w:r w:rsidRPr="00684AC6">
              <w:t>Caution should be exercised when supplying trimethoprim</w:t>
            </w:r>
            <w:r w:rsidRPr="00870315">
              <w:t xml:space="preserve"> </w:t>
            </w:r>
            <w:r>
              <w:t xml:space="preserve">to individuals taking </w:t>
            </w:r>
            <w:r w:rsidR="00CE73FB">
              <w:t>c</w:t>
            </w:r>
            <w:r w:rsidRPr="00CE73FB">
              <w:rPr>
                <w:bCs/>
              </w:rPr>
              <w:t xml:space="preserve">oumarin anticoagulants (e.g. warfarin, acenocoumarol, phenindione): </w:t>
            </w:r>
            <w:r w:rsidRPr="00C96FB4">
              <w:t>Individual must be advised to contact the provider of their anticoagulant service to discuss the timing of their next monitoring.</w:t>
            </w:r>
            <w:r>
              <w:rPr>
                <w:iCs/>
              </w:rPr>
              <w:t xml:space="preserve"> </w:t>
            </w:r>
          </w:p>
          <w:p w14:paraId="6FE159DF" w14:textId="77777777" w:rsidR="001C241E" w:rsidRDefault="001C241E" w:rsidP="00453867">
            <w:pPr>
              <w:pStyle w:val="Tabletext"/>
              <w:rPr>
                <w:lang w:val="en-GB"/>
              </w:rPr>
            </w:pPr>
          </w:p>
          <w:p w14:paraId="1B06861C" w14:textId="259C74A0" w:rsidR="00251D91" w:rsidRPr="00251D91" w:rsidRDefault="00251D91" w:rsidP="00F05D5F">
            <w:pPr>
              <w:pStyle w:val="Tabletext"/>
              <w:rPr>
                <w:rFonts w:cs="Arial"/>
                <w:lang w:val="en-GB"/>
              </w:rPr>
            </w:pPr>
            <w:r w:rsidRPr="00870315">
              <w:rPr>
                <w:lang w:val="en-GB"/>
              </w:rPr>
              <w:t>Caut</w:t>
            </w:r>
            <w:r>
              <w:rPr>
                <w:lang w:val="en-GB"/>
              </w:rPr>
              <w:t xml:space="preserve">ion should be exercised when supplying </w:t>
            </w:r>
            <w:r w:rsidR="00F05D5F">
              <w:rPr>
                <w:lang w:val="en-GB"/>
              </w:rPr>
              <w:t>trimethoprim</w:t>
            </w:r>
            <w:r>
              <w:rPr>
                <w:lang w:val="en-GB"/>
              </w:rPr>
              <w:t xml:space="preserve"> tablets to individuals who should avoid the following excipients:</w:t>
            </w:r>
          </w:p>
          <w:p w14:paraId="7C3B7284" w14:textId="77777777" w:rsidR="001C241E" w:rsidRDefault="00251D91" w:rsidP="001C241E">
            <w:pPr>
              <w:pStyle w:val="Bulletindent1"/>
            </w:pPr>
            <w:r w:rsidRPr="00251D91">
              <w:t>Lactose, sucrose, fructose and sorbitol:</w:t>
            </w:r>
          </w:p>
          <w:p w14:paraId="01321501" w14:textId="35B67604" w:rsidR="00F05D5F" w:rsidRPr="00CE73FB" w:rsidRDefault="00251D91" w:rsidP="00F05D5F">
            <w:pPr>
              <w:pStyle w:val="Bulletindent1"/>
              <w:numPr>
                <w:ilvl w:val="1"/>
                <w:numId w:val="21"/>
              </w:numPr>
              <w:rPr>
                <w:rFonts w:cs="Arial"/>
              </w:rPr>
            </w:pPr>
            <w:r w:rsidRPr="00251D91">
              <w:t>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w:t>
            </w:r>
            <w:r w:rsidR="00F05D5F">
              <w:t xml:space="preserve"> detailed in</w:t>
            </w:r>
            <w:hyperlink r:id="rId37" w:history="1">
              <w:r w:rsidR="00F05D5F">
                <w:rPr>
                  <w:rStyle w:val="Hyperlink"/>
                  <w:lang w:eastAsia="en-GB"/>
                </w:rPr>
                <w:t xml:space="preserve"> the SmPC on the MHRA website</w:t>
              </w:r>
            </w:hyperlink>
            <w:r w:rsidR="00F05D5F">
              <w:t xml:space="preserve"> </w:t>
            </w:r>
            <w:r w:rsidR="001C241E">
              <w:t>before supplying.</w:t>
            </w:r>
          </w:p>
          <w:p w14:paraId="2E6B5669" w14:textId="77777777" w:rsidR="001C241E" w:rsidRPr="001C241E" w:rsidRDefault="00251D91" w:rsidP="001C241E">
            <w:pPr>
              <w:pStyle w:val="Bulletindent1"/>
            </w:pPr>
            <w:r w:rsidRPr="00251D91">
              <w:rPr>
                <w:rFonts w:cs="Arial"/>
              </w:rPr>
              <w:t>Aspartame:</w:t>
            </w:r>
          </w:p>
          <w:p w14:paraId="64FEDD91" w14:textId="51A88E70" w:rsidR="00251D91" w:rsidRDefault="00251D91" w:rsidP="001C241E">
            <w:pPr>
              <w:pStyle w:val="Bulletindent1"/>
              <w:numPr>
                <w:ilvl w:val="1"/>
                <w:numId w:val="21"/>
              </w:numPr>
            </w:pPr>
            <w:r w:rsidRPr="008861EC">
              <w:rPr>
                <w:rFonts w:cs="Arial"/>
              </w:rPr>
              <w:t xml:space="preserve">Individuals with </w:t>
            </w:r>
            <w:r w:rsidRPr="00F05D5F">
              <w:rPr>
                <w:rFonts w:cs="Arial"/>
              </w:rPr>
              <w:t>phenylketonuria</w:t>
            </w:r>
            <w:r w:rsidRPr="008861EC">
              <w:rPr>
                <w:rFonts w:cs="Arial"/>
              </w:rPr>
              <w:t xml:space="preserve"> (PKU) must not use medicines containing aspartame. Check the individual list of excipients</w:t>
            </w:r>
            <w:r w:rsidR="001C241E">
              <w:rPr>
                <w:rFonts w:cs="Arial"/>
              </w:rPr>
              <w:t xml:space="preserve"> detailed in</w:t>
            </w:r>
            <w:hyperlink r:id="rId38" w:history="1">
              <w:r w:rsidR="00F05D5F">
                <w:rPr>
                  <w:rStyle w:val="Hyperlink"/>
                  <w:lang w:eastAsia="en-GB"/>
                </w:rPr>
                <w:t xml:space="preserve"> the SmPC on the MHRA website</w:t>
              </w:r>
            </w:hyperlink>
            <w:r w:rsidR="00F05D5F">
              <w:t xml:space="preserve"> </w:t>
            </w:r>
            <w:r w:rsidRPr="008861EC">
              <w:rPr>
                <w:rFonts w:cs="Arial"/>
              </w:rPr>
              <w:t>before supplying.</w:t>
            </w:r>
          </w:p>
        </w:tc>
      </w:tr>
      <w:tr w:rsidR="00251D91" w14:paraId="1B781212" w14:textId="77777777" w:rsidTr="488F06B8">
        <w:tc>
          <w:tcPr>
            <w:tcW w:w="3262" w:type="dxa"/>
          </w:tcPr>
          <w:p w14:paraId="565314D2" w14:textId="5FFA3CDC" w:rsidR="00251D91" w:rsidRPr="00251D91" w:rsidRDefault="00251D91" w:rsidP="00251D91">
            <w:pPr>
              <w:rPr>
                <w:rStyle w:val="TableHeaderColumn"/>
                <w:rFonts w:cs="Arial"/>
              </w:rPr>
            </w:pPr>
            <w:r w:rsidRPr="001C0CA0">
              <w:rPr>
                <w:rFonts w:ascii="Arial" w:hAnsi="Arial" w:cs="Arial"/>
                <w:b/>
              </w:rPr>
              <w:lastRenderedPageBreak/>
              <w:t>Specific information for suspected infection to be provided</w:t>
            </w:r>
          </w:p>
        </w:tc>
        <w:tc>
          <w:tcPr>
            <w:tcW w:w="5233" w:type="dxa"/>
          </w:tcPr>
          <w:p w14:paraId="4F714961" w14:textId="2873AAA4" w:rsidR="00251D91" w:rsidRDefault="00251D91" w:rsidP="001C241E">
            <w:pPr>
              <w:pStyle w:val="Tabletext"/>
            </w:pPr>
            <w:r w:rsidRPr="00EB00D9">
              <w:t xml:space="preserve">Provide </w:t>
            </w:r>
            <w:r w:rsidR="001C241E">
              <w:t xml:space="preserve">the </w:t>
            </w:r>
            <w:hyperlink r:id="rId39" w:history="1">
              <w:r w:rsidRPr="006F1D02">
                <w:rPr>
                  <w:rStyle w:val="Hyperlink"/>
                  <w:rFonts w:cs="Arial"/>
                  <w:bCs/>
                </w:rPr>
                <w:t xml:space="preserve">TARGET </w:t>
              </w:r>
              <w:r>
                <w:rPr>
                  <w:rStyle w:val="Hyperlink"/>
                  <w:rFonts w:cs="Arial"/>
                  <w:bCs/>
                </w:rPr>
                <w:t xml:space="preserve">Treating Your Infection Urinary Tract Infection (TYI-UTI) patient information </w:t>
              </w:r>
              <w:r w:rsidRPr="006F1D02">
                <w:rPr>
                  <w:rStyle w:val="Hyperlink"/>
                  <w:rFonts w:cs="Arial"/>
                  <w:bCs/>
                </w:rPr>
                <w:t>leaflet</w:t>
              </w:r>
            </w:hyperlink>
          </w:p>
          <w:p w14:paraId="4818DE1D" w14:textId="345F55E4" w:rsidR="00251D91" w:rsidRDefault="00251D91" w:rsidP="001C241E">
            <w:pPr>
              <w:pStyle w:val="Tabletext"/>
              <w:rPr>
                <w:rFonts w:cs="Arial"/>
                <w:bCs/>
              </w:rPr>
            </w:pPr>
            <w:r>
              <w:rPr>
                <w:rFonts w:cs="Arial"/>
                <w:bCs/>
              </w:rPr>
              <w:t xml:space="preserve">Provide </w:t>
            </w:r>
            <w:hyperlink r:id="rId40" w:history="1">
              <w:r w:rsidR="001C241E">
                <w:rPr>
                  <w:rStyle w:val="Hyperlink"/>
                  <w:rFonts w:cs="Arial"/>
                  <w:bCs/>
                </w:rPr>
                <w:t>self-care advice as detailed in the NHS UTI guidance</w:t>
              </w:r>
            </w:hyperlink>
            <w:r>
              <w:rPr>
                <w:rFonts w:cs="Arial"/>
                <w:bCs/>
              </w:rPr>
              <w:t xml:space="preserve"> including:</w:t>
            </w:r>
          </w:p>
          <w:p w14:paraId="777C3DFC" w14:textId="4E7EFDCA" w:rsidR="00251D91" w:rsidRPr="00251D91" w:rsidRDefault="00251D91" w:rsidP="001C241E">
            <w:pPr>
              <w:pStyle w:val="Bulletindent1"/>
              <w:rPr>
                <w:bCs/>
              </w:rPr>
            </w:pPr>
            <w:r>
              <w:rPr>
                <w:bCs/>
              </w:rPr>
              <w:t xml:space="preserve">Paracetamol (or if preferred and suitable, ibuprofen) (over the counter) can be used for pain relief. </w:t>
            </w:r>
            <w:r w:rsidRPr="00062F3D">
              <w:t xml:space="preserve">(For further information see: </w:t>
            </w:r>
            <w:hyperlink r:id="rId41" w:history="1">
              <w:r w:rsidR="001C241E">
                <w:rPr>
                  <w:rStyle w:val="Hyperlink"/>
                  <w:rFonts w:cs="Arial"/>
                </w:rPr>
                <w:t xml:space="preserve"> the NICE CKS - Mild to moderate pain</w:t>
              </w:r>
            </w:hyperlink>
            <w:r w:rsidRPr="00062F3D">
              <w:t xml:space="preserve"> and </w:t>
            </w:r>
            <w:hyperlink r:id="rId42" w:history="1">
              <w:r w:rsidR="001C241E">
                <w:rPr>
                  <w:rStyle w:val="Hyperlink"/>
                  <w:rFonts w:cs="Arial"/>
                </w:rPr>
                <w:t>the NICE CKS - NSAIDs-prescribing issues</w:t>
              </w:r>
            </w:hyperlink>
            <w:r w:rsidRPr="00062F3D">
              <w:t>).</w:t>
            </w:r>
          </w:p>
          <w:p w14:paraId="4C52B1B4" w14:textId="0293B465" w:rsidR="00251D91" w:rsidRPr="00251D91" w:rsidRDefault="00251D91" w:rsidP="00A95DEB">
            <w:pPr>
              <w:pStyle w:val="Bulletindent1"/>
              <w:rPr>
                <w:bCs/>
              </w:rPr>
            </w:pPr>
            <w:r w:rsidRPr="00251D91">
              <w:t>Drink plenty of fluids during the day so urine is pale in colour.</w:t>
            </w:r>
          </w:p>
        </w:tc>
      </w:tr>
      <w:tr w:rsidR="00251D91" w14:paraId="6142EA67" w14:textId="77777777" w:rsidTr="488F06B8">
        <w:tc>
          <w:tcPr>
            <w:tcW w:w="3262" w:type="dxa"/>
          </w:tcPr>
          <w:p w14:paraId="751752A4" w14:textId="7462EEB2" w:rsidR="00251D91" w:rsidRPr="005A6168" w:rsidRDefault="00251D91" w:rsidP="00251D91">
            <w:pPr>
              <w:rPr>
                <w:rStyle w:val="TableHeaderColumn"/>
              </w:rPr>
            </w:pPr>
            <w:r w:rsidRPr="001C0CA0">
              <w:rPr>
                <w:rStyle w:val="TableHeaderColumn"/>
                <w:sz w:val="22"/>
              </w:rPr>
              <w:t xml:space="preserve">Actions to be taken if the individual is excluded </w:t>
            </w:r>
          </w:p>
        </w:tc>
        <w:tc>
          <w:tcPr>
            <w:tcW w:w="5233" w:type="dxa"/>
          </w:tcPr>
          <w:p w14:paraId="068D185E" w14:textId="33DA5484" w:rsidR="00251D91" w:rsidRPr="00CE73FB" w:rsidRDefault="00251D91" w:rsidP="00CE73FB">
            <w:pPr>
              <w:pStyle w:val="Tabletext"/>
              <w:rPr>
                <w:b/>
              </w:rPr>
            </w:pPr>
            <w:r w:rsidRPr="00270F1D">
              <w:t xml:space="preserve">Record </w:t>
            </w:r>
            <w:r w:rsidRPr="004D22EE">
              <w:t xml:space="preserve">reasons for exclusion in </w:t>
            </w:r>
            <w:r>
              <w:t xml:space="preserve">the appropriate clinical </w:t>
            </w:r>
            <w:r w:rsidRPr="00E4157B">
              <w:t>record</w:t>
            </w:r>
            <w:r>
              <w:t>.</w:t>
            </w:r>
            <w:r w:rsidRPr="00E4157B">
              <w:t xml:space="preserve"> </w:t>
            </w:r>
          </w:p>
          <w:p w14:paraId="6DEC7A0E" w14:textId="77777777" w:rsidR="00251D91" w:rsidRPr="00581C9E" w:rsidRDefault="00251D91" w:rsidP="00581C9E">
            <w:pPr>
              <w:pStyle w:val="Tabletext"/>
            </w:pPr>
            <w:r w:rsidRPr="00581C9E">
              <w:t xml:space="preserve">Individuals where treatment is not indicated: </w:t>
            </w:r>
          </w:p>
          <w:p w14:paraId="14D1AC9F" w14:textId="644D4CAC" w:rsidR="00251D91" w:rsidRPr="00CE73FB" w:rsidRDefault="00251D91" w:rsidP="00251D91">
            <w:pPr>
              <w:pStyle w:val="Bulletindent1"/>
            </w:pPr>
            <w:r w:rsidRPr="00A95DEB">
              <w:t xml:space="preserve">Advise individual/carer/parent/guardian of alternative non antibiotic treatment if antibiotic not indicated and provide </w:t>
            </w:r>
            <w:hyperlink r:id="rId43" w:history="1">
              <w:r w:rsidRPr="00025EBC">
                <w:rPr>
                  <w:rStyle w:val="Hyperlink"/>
                </w:rPr>
                <w:t>TARGET UTI leaflet</w:t>
              </w:r>
            </w:hyperlink>
            <w:r w:rsidRPr="00A95DEB">
              <w:t xml:space="preserve"> and safety netting advice.  </w:t>
            </w:r>
          </w:p>
          <w:p w14:paraId="4AD7FF1E" w14:textId="77777777" w:rsidR="00251D91" w:rsidRPr="00251D91" w:rsidRDefault="00251D91" w:rsidP="00A95DEB">
            <w:pPr>
              <w:pStyle w:val="Tabletext"/>
            </w:pPr>
            <w:r w:rsidRPr="00251D91">
              <w:t>Refer to a prescriber for further assessment if:</w:t>
            </w:r>
          </w:p>
          <w:p w14:paraId="5B62F3F2" w14:textId="77777777" w:rsidR="00251D91" w:rsidRPr="00251D91" w:rsidRDefault="00251D91" w:rsidP="00A95DEB">
            <w:pPr>
              <w:pStyle w:val="Bulletindent1"/>
            </w:pPr>
            <w:r w:rsidRPr="00251D91">
              <w:t>Abnormal vaginal discharge (80% do not have UTI)</w:t>
            </w:r>
          </w:p>
          <w:p w14:paraId="7E3560C7" w14:textId="77777777" w:rsidR="00251D91" w:rsidRPr="00251D91" w:rsidRDefault="00251D91" w:rsidP="00A95DEB">
            <w:pPr>
              <w:pStyle w:val="Bulletindent1"/>
            </w:pPr>
            <w:r w:rsidRPr="00251D91">
              <w:t>Urethritis (inflammation post sexual intercourse, irritants)</w:t>
            </w:r>
          </w:p>
          <w:p w14:paraId="60CEB8A3" w14:textId="77777777" w:rsidR="00251D91" w:rsidRPr="00251D91" w:rsidRDefault="00251D91" w:rsidP="00A95DEB">
            <w:pPr>
              <w:pStyle w:val="Bulletindent1"/>
            </w:pPr>
            <w:r w:rsidRPr="00251D91">
              <w:t xml:space="preserve">Genitourinary symptoms of menopause (e.g. vulvovaginal atrophy) </w:t>
            </w:r>
          </w:p>
          <w:p w14:paraId="758E3947" w14:textId="77777777" w:rsidR="00251D91" w:rsidRPr="00251D91" w:rsidRDefault="00251D91" w:rsidP="00A95DEB">
            <w:pPr>
              <w:pStyle w:val="Bulletindent1"/>
            </w:pPr>
            <w:r w:rsidRPr="00251D91">
              <w:t>Individuals where treatment under this PGD is not indicated/permitted but urinary symptoms are present and require further assessment</w:t>
            </w:r>
          </w:p>
          <w:p w14:paraId="6C38407E" w14:textId="77777777" w:rsidR="00251D91" w:rsidRPr="00251D91" w:rsidRDefault="00251D91" w:rsidP="00A95DEB">
            <w:pPr>
              <w:pStyle w:val="Tabletext"/>
            </w:pPr>
            <w:r w:rsidRPr="00251D91">
              <w:t>Refer urgently to a prescriber (e.g. General Practice</w:t>
            </w:r>
            <w:r w:rsidRPr="00A71908">
              <w:rPr>
                <w:b/>
              </w:rPr>
              <w:t xml:space="preserve"> </w:t>
            </w:r>
            <w:r w:rsidRPr="00251D91">
              <w:t>or sexual health service, as appropriate) for further assessment if:</w:t>
            </w:r>
          </w:p>
          <w:p w14:paraId="450F0A99" w14:textId="77777777" w:rsidR="00251D91" w:rsidRPr="00A95DEB" w:rsidRDefault="00251D91" w:rsidP="00A95DEB">
            <w:pPr>
              <w:pStyle w:val="Bulletindent1"/>
            </w:pPr>
            <w:r w:rsidRPr="00A95DEB">
              <w:t>Known or suspected pregnancy</w:t>
            </w:r>
          </w:p>
          <w:p w14:paraId="6D166DEA" w14:textId="77777777" w:rsidR="00251D91" w:rsidRPr="00A95DEB" w:rsidRDefault="00251D91" w:rsidP="00A95DEB">
            <w:pPr>
              <w:pStyle w:val="Bulletindent1"/>
            </w:pPr>
            <w:r w:rsidRPr="00A95DEB">
              <w:t>Individual is severely immunosuppressed or immunosuppressed</w:t>
            </w:r>
          </w:p>
          <w:p w14:paraId="10839E26" w14:textId="77777777" w:rsidR="00251D91" w:rsidRPr="00A95DEB" w:rsidRDefault="00251D91" w:rsidP="00A95DEB">
            <w:pPr>
              <w:pStyle w:val="Bulletindent1"/>
            </w:pPr>
            <w:r w:rsidRPr="00A95DEB">
              <w:t>Suspected sexually transmitted infection</w:t>
            </w:r>
          </w:p>
          <w:p w14:paraId="169FBB7F" w14:textId="77777777" w:rsidR="00581C9E" w:rsidRDefault="00581C9E" w:rsidP="00581C9E">
            <w:pPr>
              <w:pStyle w:val="Tabletext"/>
            </w:pPr>
          </w:p>
          <w:p w14:paraId="33E6369E" w14:textId="307FA765" w:rsidR="00251D91" w:rsidRPr="00A95DEB" w:rsidRDefault="00251D91" w:rsidP="00581C9E">
            <w:pPr>
              <w:pStyle w:val="Tabletext"/>
            </w:pPr>
            <w:r>
              <w:t>Refer urgently to General Practice or out of hours service for same day assessment</w:t>
            </w:r>
            <w:r w:rsidR="0897019A">
              <w:t xml:space="preserve"> (or A&amp;E, depending on local service provisions)</w:t>
            </w:r>
            <w:r>
              <w:t xml:space="preserve"> if:</w:t>
            </w:r>
          </w:p>
          <w:p w14:paraId="21CA21CB" w14:textId="77777777" w:rsidR="00251D91" w:rsidRPr="00A95DEB" w:rsidRDefault="00251D91" w:rsidP="00A95DEB">
            <w:pPr>
              <w:pStyle w:val="Bulletindent1"/>
            </w:pPr>
            <w:r w:rsidRPr="00A95DEB">
              <w:t xml:space="preserve">Systemically unwell, but not showing signs or symptoms of </w:t>
            </w:r>
            <w:hyperlink r:id="rId44" w:history="1">
              <w:r w:rsidRPr="00A95DEB">
                <w:t>sepsis</w:t>
              </w:r>
            </w:hyperlink>
            <w:r w:rsidRPr="00A95DEB">
              <w:t xml:space="preserve">  </w:t>
            </w:r>
          </w:p>
          <w:p w14:paraId="627F2CC7" w14:textId="77777777" w:rsidR="00251D91" w:rsidRPr="00A95DEB" w:rsidRDefault="00251D91" w:rsidP="00A95DEB">
            <w:pPr>
              <w:pStyle w:val="Bulletindent1"/>
            </w:pPr>
            <w:r w:rsidRPr="00A95DEB">
              <w:t>New signs/symptoms of upper UTI or pyelonephritis (kidney pain/tenderness in back under ribs, flu like illness, shaking chills (rigors) or temperature 37.9°C or above, nausea/vomiting)</w:t>
            </w:r>
          </w:p>
          <w:p w14:paraId="61C83476" w14:textId="78E4E96E" w:rsidR="00251D91" w:rsidRPr="00CE73FB" w:rsidRDefault="00251D91" w:rsidP="00CE73FB">
            <w:pPr>
              <w:pStyle w:val="Bulletindent1"/>
            </w:pPr>
            <w:r w:rsidRPr="00A95DEB">
              <w:t xml:space="preserve">Symptoms suggestive of </w:t>
            </w:r>
            <w:hyperlink r:id="rId45" w:history="1">
              <w:r w:rsidR="00A95DEB" w:rsidRPr="00A95DEB">
                <w:rPr>
                  <w:rStyle w:val="Hyperlink"/>
                </w:rPr>
                <w:t>renal colic as described in the NICE CKS</w:t>
              </w:r>
            </w:hyperlink>
            <w:r w:rsidRPr="00A95DEB">
              <w:rPr>
                <w:rStyle w:val="Hyperlink"/>
              </w:rPr>
              <w:t xml:space="preserve"> </w:t>
            </w:r>
            <w:r w:rsidRPr="00A95DEB">
              <w:t>(including severe abdominal pain)</w:t>
            </w:r>
          </w:p>
          <w:p w14:paraId="62EF34C7" w14:textId="249F5902" w:rsidR="00251D91" w:rsidRDefault="00251D91" w:rsidP="00CE73FB">
            <w:pPr>
              <w:pStyle w:val="Tabletext"/>
            </w:pPr>
            <w:r w:rsidRPr="00251D91">
              <w:t xml:space="preserve">If </w:t>
            </w:r>
            <w:hyperlink r:id="rId46" w:history="1">
              <w:r w:rsidR="00A95DEB">
                <w:rPr>
                  <w:rStyle w:val="Hyperlink"/>
                  <w:rFonts w:cs="Arial"/>
                  <w:bCs/>
                </w:rPr>
                <w:t>sepsis as described in the NHS guidance</w:t>
              </w:r>
            </w:hyperlink>
            <w:r w:rsidRPr="00251D91">
              <w:t xml:space="preserve"> is suspected refer the individual urgently to A&amp;E</w:t>
            </w:r>
            <w:r w:rsidR="00CE73FB">
              <w:t>.</w:t>
            </w:r>
            <w:r w:rsidRPr="00251D91">
              <w:t xml:space="preserve"> </w:t>
            </w:r>
          </w:p>
          <w:p w14:paraId="2D797135" w14:textId="77777777" w:rsidR="00CE73FB" w:rsidRPr="00CE73FB" w:rsidRDefault="00CE73FB" w:rsidP="00CE73FB">
            <w:pPr>
              <w:pStyle w:val="Tabletext"/>
            </w:pPr>
          </w:p>
          <w:p w14:paraId="1ACA62F4" w14:textId="0DC8B41A" w:rsidR="00251D91" w:rsidRDefault="00251D91" w:rsidP="00251D91">
            <w:pPr>
              <w:pStyle w:val="Tabletext"/>
            </w:pPr>
            <w:r w:rsidRPr="00176D3E">
              <w:rPr>
                <w:rFonts w:eastAsia="Calibri" w:cs="Arial"/>
                <w:szCs w:val="22"/>
              </w:rPr>
              <w:t>The clinician may advise deferred antibiotic treatment. If the individual agrees to defer treatment the clinician should determine that they could be treated under the service PGDs if they do return. If they are excluded from a PGD supply, they should be advised to see an appropriate prescriber if they need treatment after waiting the agreed timescale agreed in the deferment conversation.  If the individual could be treated via the service PGD and returns after waiting the appropriate amount of time the clinician can then supply the medication once an appropriate assessment under the PGD is undertaken. The clinician making the assessment may refer to the original consultation notes but must fully reassess the individual for suitability for treatment as this clinician is responsible for the assessment and decision to supply.  The supply should be recorded (if using PharmOutcomes in the Deferred Treatment Module which then forms part of the PharmOutcomes clinical record). This ensures that the number of individuals returning for deferred treatment can be monitored.</w:t>
            </w:r>
          </w:p>
        </w:tc>
      </w:tr>
      <w:tr w:rsidR="00251D91" w14:paraId="2948DDD0" w14:textId="77777777" w:rsidTr="488F06B8">
        <w:tc>
          <w:tcPr>
            <w:tcW w:w="3262" w:type="dxa"/>
          </w:tcPr>
          <w:p w14:paraId="483F62D1" w14:textId="16908CA2" w:rsidR="00251D91" w:rsidRPr="001C0CA0" w:rsidRDefault="00251D91" w:rsidP="00251D91">
            <w:pPr>
              <w:rPr>
                <w:rStyle w:val="TableHeaderColumn"/>
                <w:sz w:val="22"/>
              </w:rPr>
            </w:pPr>
            <w:r w:rsidRPr="001C0CA0">
              <w:rPr>
                <w:rStyle w:val="TableHeaderColumn"/>
                <w:sz w:val="22"/>
              </w:rPr>
              <w:lastRenderedPageBreak/>
              <w:t>Action to be taken if the individual/carer/parent/guardian declines treatment</w:t>
            </w:r>
          </w:p>
        </w:tc>
        <w:tc>
          <w:tcPr>
            <w:tcW w:w="5233" w:type="dxa"/>
          </w:tcPr>
          <w:p w14:paraId="1493A91E" w14:textId="77777777" w:rsidR="00251D91" w:rsidRPr="00270F1D" w:rsidRDefault="00251D91" w:rsidP="00A95DEB">
            <w:pPr>
              <w:pStyle w:val="Tabletext"/>
            </w:pPr>
            <w:r w:rsidRPr="00270F1D">
              <w:t>Document advice given</w:t>
            </w:r>
          </w:p>
          <w:p w14:paraId="7FCB992B" w14:textId="77777777" w:rsidR="00251D91" w:rsidRPr="00270F1D" w:rsidRDefault="00251D91" w:rsidP="00A95DEB">
            <w:pPr>
              <w:pStyle w:val="Tabletext"/>
            </w:pPr>
            <w:r w:rsidRPr="00AA5F3F">
              <w:t>Provide safety netting advice</w:t>
            </w:r>
            <w:r>
              <w:t xml:space="preserve"> and a</w:t>
            </w:r>
            <w:r w:rsidRPr="00270F1D">
              <w:t>dvise</w:t>
            </w:r>
            <w:r>
              <w:t xml:space="preserve"> </w:t>
            </w:r>
            <w:r w:rsidRPr="002E149C">
              <w:t>individual/carer</w:t>
            </w:r>
            <w:r>
              <w:t>/parent/guardian</w:t>
            </w:r>
            <w:r w:rsidRPr="002E149C">
              <w:t xml:space="preserve"> </w:t>
            </w:r>
            <w:r w:rsidRPr="00270F1D">
              <w:t xml:space="preserve">on alternative treatment </w:t>
            </w:r>
            <w:r>
              <w:t xml:space="preserve">available using </w:t>
            </w:r>
            <w:hyperlink r:id="rId47" w:history="1">
              <w:r w:rsidRPr="00CB4009">
                <w:rPr>
                  <w:rStyle w:val="Hyperlink"/>
                  <w:rFonts w:cs="Arial"/>
                  <w:bCs/>
                </w:rPr>
                <w:t>TARGET</w:t>
              </w:r>
              <w:r>
                <w:rPr>
                  <w:rStyle w:val="Hyperlink"/>
                  <w:rFonts w:cs="Arial"/>
                  <w:bCs/>
                </w:rPr>
                <w:t xml:space="preserve"> UTI</w:t>
              </w:r>
              <w:r w:rsidRPr="00CB4009">
                <w:rPr>
                  <w:rStyle w:val="Hyperlink"/>
                  <w:rFonts w:cs="Arial"/>
                  <w:bCs/>
                </w:rPr>
                <w:t xml:space="preserve"> leaflet</w:t>
              </w:r>
            </w:hyperlink>
            <w:r>
              <w:rPr>
                <w:bCs/>
                <w:color w:val="FF0000"/>
              </w:rPr>
              <w:t xml:space="preserve"> </w:t>
            </w:r>
            <w:r w:rsidRPr="00EB00D9">
              <w:rPr>
                <w:bCs/>
                <w:color w:val="FF0000"/>
              </w:rPr>
              <w:t xml:space="preserve"> </w:t>
            </w:r>
          </w:p>
          <w:p w14:paraId="42BEB595" w14:textId="40C00C71" w:rsidR="00251D91" w:rsidRPr="00270F1D" w:rsidRDefault="00251D91" w:rsidP="00A95DEB">
            <w:pPr>
              <w:pStyle w:val="Tabletext"/>
            </w:pPr>
            <w:r w:rsidRPr="00270F1D">
              <w:t xml:space="preserve">Refer to a </w:t>
            </w:r>
            <w:r w:rsidRPr="004D22EE">
              <w:t>prescriber if appropriat</w:t>
            </w:r>
            <w:r>
              <w:t>e.</w:t>
            </w:r>
          </w:p>
        </w:tc>
      </w:tr>
      <w:tr w:rsidR="00251D91" w14:paraId="5F7EA723" w14:textId="77777777" w:rsidTr="488F06B8">
        <w:tc>
          <w:tcPr>
            <w:tcW w:w="3262" w:type="dxa"/>
          </w:tcPr>
          <w:p w14:paraId="43300DCD" w14:textId="6DD7E2D4" w:rsidR="00251D91" w:rsidRPr="001C0CA0" w:rsidRDefault="00251D91" w:rsidP="00251D91">
            <w:pPr>
              <w:rPr>
                <w:rStyle w:val="TableHeaderColumn"/>
                <w:sz w:val="22"/>
              </w:rPr>
            </w:pPr>
            <w:r w:rsidRPr="001C0CA0">
              <w:rPr>
                <w:rStyle w:val="TableHeaderColumn"/>
                <w:sz w:val="22"/>
              </w:rPr>
              <w:lastRenderedPageBreak/>
              <w:t>Arrangements for referral for medical advice</w:t>
            </w:r>
          </w:p>
        </w:tc>
        <w:tc>
          <w:tcPr>
            <w:tcW w:w="5233" w:type="dxa"/>
          </w:tcPr>
          <w:p w14:paraId="258E4F23" w14:textId="23F72F35" w:rsidR="00251D91" w:rsidRPr="00270F1D" w:rsidRDefault="00251D91" w:rsidP="00A95DEB">
            <w:pPr>
              <w:pStyle w:val="Tabletext"/>
              <w:rPr>
                <w:rFonts w:cs="Arial"/>
                <w:lang w:val="en-GB"/>
              </w:rPr>
            </w:pPr>
            <w:r w:rsidRPr="00A95DEB">
              <w:t>Refer to a prescriber if antibiotic appropriate but falls outside of this PGD.</w:t>
            </w:r>
          </w:p>
        </w:tc>
      </w:tr>
    </w:tbl>
    <w:p w14:paraId="33A25EBD" w14:textId="75A4AEE9" w:rsidR="00BB2599" w:rsidRPr="002B1B6E" w:rsidRDefault="00BB2599" w:rsidP="005A6168">
      <w:pPr>
        <w:pStyle w:val="PGDNormal"/>
        <w:rPr>
          <w:b/>
          <w:bCs/>
          <w:sz w:val="28"/>
          <w:szCs w:val="28"/>
        </w:rPr>
      </w:pPr>
    </w:p>
    <w:p w14:paraId="035E86F2" w14:textId="7CE0D48E" w:rsidR="007A1448" w:rsidRPr="002B1B6E" w:rsidRDefault="00C25DE0" w:rsidP="00025EBC">
      <w:pPr>
        <w:pStyle w:val="Tabletext"/>
        <w:rPr>
          <w:b/>
          <w:bCs/>
          <w:sz w:val="28"/>
          <w:szCs w:val="28"/>
        </w:rPr>
      </w:pPr>
      <w:r w:rsidRPr="002B1B6E">
        <w:rPr>
          <w:b/>
          <w:bCs/>
          <w:sz w:val="28"/>
          <w:szCs w:val="28"/>
        </w:rPr>
        <w:t>D</w:t>
      </w:r>
      <w:r w:rsidR="007A1448" w:rsidRPr="002B1B6E">
        <w:rPr>
          <w:b/>
          <w:bCs/>
          <w:sz w:val="28"/>
          <w:szCs w:val="28"/>
        </w:rPr>
        <w:t>e</w:t>
      </w:r>
      <w:r w:rsidR="003E69CD" w:rsidRPr="002B1B6E">
        <w:rPr>
          <w:b/>
          <w:bCs/>
          <w:sz w:val="28"/>
          <w:szCs w:val="28"/>
        </w:rPr>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istration, off-label use, dose and frequency of administration, duration of treatment, quantity to be supplied, storage, drug interactions, identification and management of adverse effects, management and reporting of  adverse reactions,  written information for the individual, carer, parent or guardian, follow-up treatment and records to be kept.&#10;"/>
      </w:tblPr>
      <w:tblGrid>
        <w:gridCol w:w="3871"/>
        <w:gridCol w:w="5055"/>
      </w:tblGrid>
      <w:tr w:rsidR="00165DD9" w14:paraId="2B351AEC" w14:textId="77777777" w:rsidTr="006A7AF1">
        <w:tc>
          <w:tcPr>
            <w:tcW w:w="3397" w:type="dxa"/>
          </w:tcPr>
          <w:p w14:paraId="6EB1838B" w14:textId="56417B3C" w:rsidR="00165DD9" w:rsidRPr="001C0CA0" w:rsidRDefault="00165DD9" w:rsidP="005A6168">
            <w:pPr>
              <w:rPr>
                <w:rStyle w:val="TableHeaderColumn"/>
                <w:sz w:val="22"/>
              </w:rPr>
            </w:pPr>
            <w:r w:rsidRPr="001C0CA0">
              <w:rPr>
                <w:rStyle w:val="TableHeaderColumn"/>
                <w:sz w:val="22"/>
              </w:rPr>
              <w:t>Name, form and strength of contrast</w:t>
            </w:r>
          </w:p>
        </w:tc>
        <w:tc>
          <w:tcPr>
            <w:tcW w:w="5529" w:type="dxa"/>
          </w:tcPr>
          <w:p w14:paraId="2B104BB5" w14:textId="46E704CB" w:rsidR="00165DD9" w:rsidRDefault="00025EBC" w:rsidP="00A95DEB">
            <w:pPr>
              <w:pStyle w:val="Tabletext"/>
            </w:pPr>
            <w:r w:rsidRPr="00025EBC">
              <w:t>Trimethoprim 200mg tablets</w:t>
            </w:r>
          </w:p>
        </w:tc>
      </w:tr>
      <w:tr w:rsidR="00165DD9" w14:paraId="6DAA0645" w14:textId="77777777" w:rsidTr="006A7AF1">
        <w:tc>
          <w:tcPr>
            <w:tcW w:w="3397" w:type="dxa"/>
          </w:tcPr>
          <w:p w14:paraId="2F56A41B" w14:textId="05091A78" w:rsidR="00165DD9" w:rsidRPr="001C0CA0" w:rsidRDefault="00165DD9" w:rsidP="005A6168">
            <w:pPr>
              <w:rPr>
                <w:rStyle w:val="TableHeaderColumn"/>
                <w:sz w:val="22"/>
              </w:rPr>
            </w:pPr>
            <w:r w:rsidRPr="001C0CA0">
              <w:rPr>
                <w:rStyle w:val="TableHeaderColumn"/>
                <w:sz w:val="22"/>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1C0CA0" w:rsidRDefault="00165DD9" w:rsidP="005A6168">
            <w:pPr>
              <w:rPr>
                <w:rStyle w:val="TableHeaderColumn"/>
                <w:sz w:val="22"/>
              </w:rPr>
            </w:pPr>
            <w:r w:rsidRPr="001C0CA0">
              <w:rPr>
                <w:rStyle w:val="TableHeaderColumn"/>
                <w:sz w:val="22"/>
              </w:rPr>
              <w:t>Route</w:t>
            </w:r>
            <w:r w:rsidR="009604EE" w:rsidRPr="001C0CA0">
              <w:rPr>
                <w:rStyle w:val="TableHeaderColumn"/>
                <w:sz w:val="22"/>
              </w:rPr>
              <w:t xml:space="preserve"> or </w:t>
            </w:r>
            <w:r w:rsidRPr="001C0CA0">
              <w:rPr>
                <w:rStyle w:val="TableHeaderColumn"/>
                <w:sz w:val="22"/>
              </w:rPr>
              <w:t>method of administration</w:t>
            </w:r>
          </w:p>
        </w:tc>
        <w:tc>
          <w:tcPr>
            <w:tcW w:w="5529" w:type="dxa"/>
          </w:tcPr>
          <w:p w14:paraId="04517ADA" w14:textId="2FE58C84" w:rsidR="00165DD9" w:rsidRPr="00A95DEB" w:rsidRDefault="00393D73" w:rsidP="00A95DEB">
            <w:pPr>
              <w:pStyle w:val="Tabletext"/>
            </w:pPr>
            <w:r w:rsidRPr="00A95DEB">
              <w:t>Oral</w:t>
            </w:r>
          </w:p>
        </w:tc>
      </w:tr>
      <w:tr w:rsidR="003E69CD" w14:paraId="264CA183" w14:textId="77777777" w:rsidTr="006A7AF1">
        <w:tc>
          <w:tcPr>
            <w:tcW w:w="3397" w:type="dxa"/>
          </w:tcPr>
          <w:p w14:paraId="011DED45" w14:textId="0D334062" w:rsidR="003E69CD" w:rsidRPr="001C0CA0" w:rsidRDefault="003E69CD" w:rsidP="005A6168">
            <w:pPr>
              <w:rPr>
                <w:rStyle w:val="TableHeaderColumn"/>
                <w:sz w:val="22"/>
              </w:rPr>
            </w:pPr>
            <w:r w:rsidRPr="001C0CA0">
              <w:rPr>
                <w:rStyle w:val="TableHeaderColumn"/>
                <w:sz w:val="22"/>
              </w:rPr>
              <w:t>Off label use</w:t>
            </w:r>
          </w:p>
        </w:tc>
        <w:tc>
          <w:tcPr>
            <w:tcW w:w="5529" w:type="dxa"/>
          </w:tcPr>
          <w:p w14:paraId="21453689" w14:textId="52AA88D7" w:rsidR="00393D73" w:rsidRPr="00393D73" w:rsidRDefault="00393D73" w:rsidP="00A95DEB">
            <w:pPr>
              <w:pStyle w:val="Tabletext"/>
            </w:pPr>
            <w:r w:rsidRPr="00393D73">
              <w:t>Temperature variations</w:t>
            </w:r>
            <w:r>
              <w:t>:</w:t>
            </w:r>
          </w:p>
          <w:p w14:paraId="7749F21E" w14:textId="77777777" w:rsidR="00393D73" w:rsidRPr="00677C74" w:rsidRDefault="00393D73" w:rsidP="00A95DEB">
            <w:pPr>
              <w:pStyle w:val="Tabletext"/>
            </w:pPr>
            <w:r w:rsidRPr="00677C74">
              <w:t xml:space="preserve">Medicines should be stored according to the conditions detailed in the </w:t>
            </w:r>
            <w:hyperlink w:anchor="Storage" w:history="1">
              <w:r w:rsidRPr="00A95DEB">
                <w:t>Storage</w:t>
              </w:r>
            </w:hyperlink>
            <w:r w:rsidRPr="00677C74">
              <w:t xml:space="preserve"> section below. However, in the event of an inadvertent or unavoidable deviation of these conditions </w:t>
            </w:r>
            <w:r>
              <w:t xml:space="preserve">a </w:t>
            </w:r>
            <w:r w:rsidRPr="00677C74">
              <w:t xml:space="preserve">pharmacist must ensure the medicine remains pharmaceutically stable and appropriate for use if it is to be issued.  </w:t>
            </w:r>
          </w:p>
          <w:p w14:paraId="6ADA6C9F" w14:textId="77777777" w:rsidR="00393D73" w:rsidRPr="00677C74" w:rsidRDefault="00393D73" w:rsidP="00A95DEB">
            <w:pPr>
              <w:pStyle w:val="Tabletext"/>
            </w:pPr>
          </w:p>
          <w:p w14:paraId="5885F630" w14:textId="77777777" w:rsidR="00393D73" w:rsidRPr="00677C74" w:rsidRDefault="00393D73" w:rsidP="00A95DEB">
            <w:pPr>
              <w:pStyle w:val="Tabletext"/>
            </w:pPr>
            <w:r w:rsidRPr="00677C74">
              <w:t xml:space="preserve">Where medicines have been assessed by a pharmacist in accordance with national or specific product recommendations/manufacturer advice as appropriate for continued use this would constitute off-label administration under this PGD. </w:t>
            </w:r>
          </w:p>
          <w:p w14:paraId="264274F8" w14:textId="77777777" w:rsidR="00393D73" w:rsidRPr="00677C74" w:rsidRDefault="00393D73" w:rsidP="00A95DEB">
            <w:pPr>
              <w:pStyle w:val="Tabletext"/>
            </w:pPr>
          </w:p>
          <w:p w14:paraId="5E8E064A" w14:textId="77777777" w:rsidR="00393D73" w:rsidRPr="00677C74" w:rsidRDefault="00393D73" w:rsidP="00A95DEB">
            <w:pPr>
              <w:pStyle w:val="Tabletext"/>
            </w:pPr>
            <w:r w:rsidRPr="00677C74">
              <w:t xml:space="preserve">The responsibility for the decision to release the affected medicines for use lies with the pharmacist. </w:t>
            </w:r>
          </w:p>
          <w:p w14:paraId="09942791" w14:textId="77777777" w:rsidR="00393D73" w:rsidRPr="00677C74" w:rsidRDefault="00393D73" w:rsidP="00A95DEB">
            <w:pPr>
              <w:pStyle w:val="Tabletext"/>
            </w:pPr>
          </w:p>
          <w:p w14:paraId="74240E7C" w14:textId="13BEA19F" w:rsidR="003E69CD" w:rsidRPr="003B61FD" w:rsidRDefault="00393D73" w:rsidP="00A95DEB">
            <w:pPr>
              <w:pStyle w:val="Tabletext"/>
              <w:rPr>
                <w:szCs w:val="22"/>
              </w:rPr>
            </w:pPr>
            <w:r w:rsidRPr="00677C74">
              <w:t>Where a drug is recommended off-label consider, as part of the consent process, informing the individual</w:t>
            </w:r>
            <w:r>
              <w:t>/</w:t>
            </w:r>
            <w:r w:rsidRPr="00677C74">
              <w:t>carer</w:t>
            </w:r>
            <w:r>
              <w:t xml:space="preserve">/parent/guardian </w:t>
            </w:r>
            <w:r w:rsidRPr="00677C74">
              <w:t>that the drug is being offered in accordance with national guidance but that this is outside the product licen</w:t>
            </w:r>
            <w:r>
              <w:t>s</w:t>
            </w:r>
            <w:r w:rsidRPr="00677C74">
              <w:t>e.</w:t>
            </w:r>
          </w:p>
        </w:tc>
      </w:tr>
      <w:tr w:rsidR="00165DD9" w14:paraId="27DDC201" w14:textId="77777777" w:rsidTr="006A7AF1">
        <w:tc>
          <w:tcPr>
            <w:tcW w:w="3397" w:type="dxa"/>
          </w:tcPr>
          <w:p w14:paraId="47CBA637" w14:textId="26C43375" w:rsidR="00165DD9" w:rsidRPr="001C0CA0" w:rsidRDefault="00165DD9" w:rsidP="005A6168">
            <w:pPr>
              <w:rPr>
                <w:rStyle w:val="TableHeaderColumn"/>
                <w:sz w:val="22"/>
              </w:rPr>
            </w:pPr>
            <w:r w:rsidRPr="001C0CA0">
              <w:rPr>
                <w:rStyle w:val="TableHeaderColumn"/>
                <w:sz w:val="22"/>
              </w:rPr>
              <w:t>Dose and frequency</w:t>
            </w:r>
            <w:r w:rsidR="005F17C5" w:rsidRPr="001C0CA0">
              <w:rPr>
                <w:rStyle w:val="TableHeaderColumn"/>
                <w:sz w:val="22"/>
              </w:rPr>
              <w:t xml:space="preserve"> of administration</w:t>
            </w:r>
          </w:p>
        </w:tc>
        <w:tc>
          <w:tcPr>
            <w:tcW w:w="5529" w:type="dxa"/>
          </w:tcPr>
          <w:p w14:paraId="6AB47447" w14:textId="4875D4C4" w:rsidR="00165DD9" w:rsidRPr="00393D73" w:rsidRDefault="00025EBC" w:rsidP="00BD1D91">
            <w:pPr>
              <w:pStyle w:val="Tabletext"/>
            </w:pPr>
            <w:r w:rsidRPr="00025EBC">
              <w:rPr>
                <w:rFonts w:eastAsia="Calibri"/>
              </w:rPr>
              <w:t>200mg twice a day (every 12 hours)</w:t>
            </w:r>
          </w:p>
        </w:tc>
      </w:tr>
      <w:tr w:rsidR="00393D73" w14:paraId="25154B5D" w14:textId="77777777" w:rsidTr="006A7AF1">
        <w:tc>
          <w:tcPr>
            <w:tcW w:w="3397" w:type="dxa"/>
          </w:tcPr>
          <w:p w14:paraId="7C60F676" w14:textId="77777777" w:rsidR="00393D73" w:rsidRPr="001C0CA0" w:rsidRDefault="00393D73" w:rsidP="00393D73">
            <w:pPr>
              <w:rPr>
                <w:rStyle w:val="TableHeaderColumn"/>
                <w:sz w:val="22"/>
              </w:rPr>
            </w:pPr>
            <w:r w:rsidRPr="001C0CA0">
              <w:rPr>
                <w:rStyle w:val="TableHeaderColumn"/>
                <w:sz w:val="22"/>
              </w:rPr>
              <w:t xml:space="preserve">Duration of treatment </w:t>
            </w:r>
          </w:p>
          <w:p w14:paraId="01685DA9" w14:textId="4AAB1F66" w:rsidR="00393D73" w:rsidRPr="001C0CA0" w:rsidRDefault="00393D73" w:rsidP="00393D73">
            <w:pPr>
              <w:rPr>
                <w:rStyle w:val="TableHeaderColumn"/>
                <w:sz w:val="22"/>
              </w:rPr>
            </w:pPr>
          </w:p>
        </w:tc>
        <w:tc>
          <w:tcPr>
            <w:tcW w:w="5529" w:type="dxa"/>
          </w:tcPr>
          <w:p w14:paraId="01C0C2C0" w14:textId="0E01F8E7" w:rsidR="00393D73" w:rsidRPr="00BD1D91" w:rsidRDefault="00393D73" w:rsidP="00BD1D91">
            <w:pPr>
              <w:pStyle w:val="Tabletext"/>
              <w:rPr>
                <w:rFonts w:eastAsia="Calibri"/>
              </w:rPr>
            </w:pPr>
            <w:r w:rsidRPr="00BD1D91">
              <w:rPr>
                <w:rFonts w:eastAsia="Calibri"/>
              </w:rPr>
              <w:t>3 days</w:t>
            </w:r>
          </w:p>
          <w:p w14:paraId="1BDDBFD7" w14:textId="5AFBF7B8" w:rsidR="00393D73" w:rsidRPr="00393D73" w:rsidRDefault="00393D73" w:rsidP="00393D73">
            <w:pPr>
              <w:pStyle w:val="Tabletext"/>
              <w:rPr>
                <w:bCs/>
              </w:rPr>
            </w:pPr>
            <w:r w:rsidRPr="00BD1D91">
              <w:rPr>
                <w:rFonts w:eastAsia="Calibri"/>
              </w:rPr>
              <w:t>Treatment should be started immediately and 3 days of treatment completed.</w:t>
            </w:r>
          </w:p>
        </w:tc>
      </w:tr>
      <w:tr w:rsidR="00393D73" w14:paraId="073231F9" w14:textId="77777777" w:rsidTr="006A7AF1">
        <w:tc>
          <w:tcPr>
            <w:tcW w:w="3397" w:type="dxa"/>
            <w:tcBorders>
              <w:top w:val="single" w:sz="4" w:space="0" w:color="auto"/>
              <w:left w:val="single" w:sz="4" w:space="0" w:color="auto"/>
              <w:bottom w:val="single" w:sz="4" w:space="0" w:color="auto"/>
              <w:right w:val="single" w:sz="4" w:space="0" w:color="auto"/>
            </w:tcBorders>
          </w:tcPr>
          <w:p w14:paraId="3CF8ECDD" w14:textId="0AB526F0" w:rsidR="00393D73" w:rsidRPr="001C0CA0" w:rsidRDefault="00393D73" w:rsidP="00393D73">
            <w:pPr>
              <w:rPr>
                <w:rStyle w:val="TableHeaderColumn"/>
                <w:sz w:val="22"/>
              </w:rPr>
            </w:pPr>
            <w:r w:rsidRPr="001C0CA0">
              <w:rPr>
                <w:rStyle w:val="TableHeaderColumn"/>
                <w:sz w:val="22"/>
              </w:rPr>
              <w:t>Quantity to be supplied</w:t>
            </w:r>
          </w:p>
        </w:tc>
        <w:tc>
          <w:tcPr>
            <w:tcW w:w="5529" w:type="dxa"/>
            <w:tcBorders>
              <w:top w:val="single" w:sz="4" w:space="0" w:color="auto"/>
              <w:left w:val="single" w:sz="4" w:space="0" w:color="auto"/>
              <w:bottom w:val="single" w:sz="4" w:space="0" w:color="auto"/>
              <w:right w:val="single" w:sz="4" w:space="0" w:color="auto"/>
            </w:tcBorders>
          </w:tcPr>
          <w:p w14:paraId="34A3B3B7" w14:textId="0FB5D6F2" w:rsidR="00393D73" w:rsidRDefault="00025EBC" w:rsidP="00393D73">
            <w:pPr>
              <w:pStyle w:val="Tabletext"/>
            </w:pPr>
            <w:r w:rsidRPr="00025EBC">
              <w:rPr>
                <w:rFonts w:cs="Arial"/>
                <w:bCs/>
                <w:iCs/>
              </w:rPr>
              <w:t>Appropriately labelled pack of 6 x 200mg tablets</w:t>
            </w:r>
          </w:p>
        </w:tc>
      </w:tr>
      <w:tr w:rsidR="00393D73" w14:paraId="28CB51BD" w14:textId="77777777" w:rsidTr="006A7AF1">
        <w:tc>
          <w:tcPr>
            <w:tcW w:w="3397" w:type="dxa"/>
            <w:tcBorders>
              <w:top w:val="single" w:sz="4" w:space="0" w:color="auto"/>
              <w:left w:val="single" w:sz="4" w:space="0" w:color="auto"/>
              <w:bottom w:val="single" w:sz="4" w:space="0" w:color="auto"/>
              <w:right w:val="single" w:sz="4" w:space="0" w:color="auto"/>
            </w:tcBorders>
          </w:tcPr>
          <w:p w14:paraId="69119C98" w14:textId="4AFD6B1F" w:rsidR="00393D73" w:rsidRPr="001C0CA0" w:rsidRDefault="00393D73" w:rsidP="00393D73">
            <w:pPr>
              <w:rPr>
                <w:rStyle w:val="TableHeaderColumn"/>
                <w:sz w:val="22"/>
              </w:rPr>
            </w:pPr>
            <w:r w:rsidRPr="001C0CA0">
              <w:rPr>
                <w:rStyle w:val="TableHeaderColumn"/>
                <w:sz w:val="22"/>
              </w:rPr>
              <w:lastRenderedPageBreak/>
              <w:t>Storage</w:t>
            </w:r>
          </w:p>
        </w:tc>
        <w:tc>
          <w:tcPr>
            <w:tcW w:w="5529" w:type="dxa"/>
            <w:tcBorders>
              <w:top w:val="single" w:sz="4" w:space="0" w:color="auto"/>
              <w:left w:val="single" w:sz="4" w:space="0" w:color="auto"/>
              <w:bottom w:val="single" w:sz="4" w:space="0" w:color="auto"/>
              <w:right w:val="single" w:sz="4" w:space="0" w:color="auto"/>
            </w:tcBorders>
          </w:tcPr>
          <w:p w14:paraId="63B16DBA" w14:textId="4E433454" w:rsidR="00393D73" w:rsidRPr="007D1E21" w:rsidRDefault="00393D73" w:rsidP="00581C9E">
            <w:pPr>
              <w:pStyle w:val="Tabletext"/>
              <w:rPr>
                <w:rFonts w:cs="Arial"/>
              </w:rPr>
            </w:pPr>
            <w:r w:rsidRPr="00BD1D91">
              <w:rPr>
                <w:rFonts w:eastAsia="Calibri"/>
              </w:rPr>
              <w:t xml:space="preserve">Stock </w:t>
            </w:r>
            <w:r w:rsidRPr="00581C9E">
              <w:rPr>
                <w:rFonts w:eastAsia="Calibri"/>
              </w:rPr>
              <w:t>must be securely stored according to organisation m</w:t>
            </w:r>
            <w:r w:rsidRPr="00BD1D91">
              <w:rPr>
                <w:rFonts w:eastAsia="Calibri"/>
              </w:rPr>
              <w:t xml:space="preserve">edicines policy and in conditions in line with </w:t>
            </w:r>
            <w:hyperlink r:id="rId48" w:history="1">
              <w:r w:rsidR="00025EBC">
                <w:rPr>
                  <w:rStyle w:val="Hyperlink"/>
                  <w:lang w:eastAsia="en-GB"/>
                </w:rPr>
                <w:t xml:space="preserve"> the SmPC which is available on the MHRA website</w:t>
              </w:r>
            </w:hyperlink>
          </w:p>
        </w:tc>
      </w:tr>
      <w:tr w:rsidR="00393D73"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393D73" w:rsidRPr="001C0CA0" w:rsidRDefault="00393D73" w:rsidP="00393D73">
            <w:pPr>
              <w:rPr>
                <w:rStyle w:val="TableHeaderColumn"/>
                <w:sz w:val="22"/>
              </w:rPr>
            </w:pPr>
            <w:r w:rsidRPr="001C0CA0">
              <w:rPr>
                <w:rStyle w:val="TableHeaderColumn"/>
                <w:sz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042B2A4F" w14:textId="77777777" w:rsidR="00025EBC" w:rsidRDefault="00025EBC" w:rsidP="00025EBC">
            <w:pPr>
              <w:pStyle w:val="Tabletext"/>
            </w:pPr>
            <w:r w:rsidRPr="00025EBC">
              <w:t>Where it is known an individual is concurrently taking one of the following medicines trimethoprim must not be supplied under this PGD and the individual referred to a prescriber:</w:t>
            </w:r>
          </w:p>
          <w:p w14:paraId="4B651B2E" w14:textId="77777777" w:rsidR="0064522D" w:rsidRDefault="0064522D" w:rsidP="0064522D">
            <w:pPr>
              <w:pStyle w:val="Bulletindent1"/>
            </w:pPr>
            <w:r>
              <w:t>Azathioprine, 6-mercaptopurine</w:t>
            </w:r>
          </w:p>
          <w:p w14:paraId="00D09D4A" w14:textId="77777777" w:rsidR="0064522D" w:rsidRPr="0092393B" w:rsidRDefault="0064522D" w:rsidP="0064522D">
            <w:pPr>
              <w:pStyle w:val="Bulletindent1"/>
            </w:pPr>
            <w:r w:rsidRPr="0092393B">
              <w:t>Ciclosporin</w:t>
            </w:r>
          </w:p>
          <w:p w14:paraId="5E2ED0BC" w14:textId="77777777" w:rsidR="0064522D" w:rsidRDefault="0064522D" w:rsidP="0064522D">
            <w:pPr>
              <w:pStyle w:val="Bulletindent1"/>
            </w:pPr>
            <w:r>
              <w:t>Clozapine</w:t>
            </w:r>
          </w:p>
          <w:p w14:paraId="450AA69F" w14:textId="77777777" w:rsidR="0064522D" w:rsidRDefault="0064522D" w:rsidP="0064522D">
            <w:pPr>
              <w:pStyle w:val="Bulletindent1"/>
            </w:pPr>
            <w:r>
              <w:t>Dapsone</w:t>
            </w:r>
          </w:p>
          <w:p w14:paraId="44A6FD66" w14:textId="77777777" w:rsidR="0064522D" w:rsidRDefault="0064522D" w:rsidP="0064522D">
            <w:pPr>
              <w:pStyle w:val="Bulletindent1"/>
            </w:pPr>
            <w:r>
              <w:t xml:space="preserve">Digoxin </w:t>
            </w:r>
          </w:p>
          <w:p w14:paraId="55541183" w14:textId="77777777" w:rsidR="0064522D" w:rsidRDefault="0064522D" w:rsidP="0064522D">
            <w:pPr>
              <w:pStyle w:val="Bulletindent1"/>
            </w:pPr>
            <w:r>
              <w:t xml:space="preserve">Methotrexate </w:t>
            </w:r>
          </w:p>
          <w:p w14:paraId="1530B82B" w14:textId="77777777" w:rsidR="0064522D" w:rsidRDefault="0064522D" w:rsidP="0064522D">
            <w:pPr>
              <w:pStyle w:val="Bulletindent1"/>
            </w:pPr>
            <w:r>
              <w:t>Pyrimethamine</w:t>
            </w:r>
          </w:p>
          <w:p w14:paraId="0915FA7A" w14:textId="77777777" w:rsidR="0064522D" w:rsidRDefault="0064522D" w:rsidP="0064522D">
            <w:pPr>
              <w:pStyle w:val="Bulletindent1"/>
            </w:pPr>
            <w:r w:rsidRPr="00F148B1">
              <w:t xml:space="preserve">Phenytoin, fosphenytoin </w:t>
            </w:r>
          </w:p>
          <w:p w14:paraId="2B36DE48" w14:textId="77777777" w:rsidR="0064522D" w:rsidRDefault="0064522D" w:rsidP="0064522D">
            <w:pPr>
              <w:pStyle w:val="Bulletindent1"/>
            </w:pPr>
            <w:r>
              <w:t>Procainamide</w:t>
            </w:r>
          </w:p>
          <w:p w14:paraId="72FA4054" w14:textId="77777777" w:rsidR="0064522D" w:rsidRPr="00B45ECC" w:rsidRDefault="0064522D" w:rsidP="0064522D">
            <w:pPr>
              <w:pStyle w:val="Bulletindent1"/>
            </w:pPr>
            <w:r>
              <w:t>R</w:t>
            </w:r>
            <w:r w:rsidRPr="00B45ECC">
              <w:t>epaglinide</w:t>
            </w:r>
          </w:p>
          <w:p w14:paraId="0582BDFF" w14:textId="77777777" w:rsidR="0064522D" w:rsidRPr="00B45ECC" w:rsidRDefault="0064522D" w:rsidP="0064522D">
            <w:pPr>
              <w:pStyle w:val="Bulletindent1"/>
            </w:pPr>
            <w:r>
              <w:t>R</w:t>
            </w:r>
            <w:r w:rsidRPr="00B45ECC">
              <w:t>ifampicin</w:t>
            </w:r>
          </w:p>
          <w:p w14:paraId="03BF8D46" w14:textId="77777777" w:rsidR="0064522D" w:rsidRDefault="0064522D" w:rsidP="0064522D">
            <w:pPr>
              <w:pStyle w:val="Bulletindent1"/>
            </w:pPr>
            <w:r>
              <w:t>D</w:t>
            </w:r>
            <w:r w:rsidRPr="00B45ECC">
              <w:t xml:space="preserve">rugs known to cause hyperkalaemia </w:t>
            </w:r>
            <w:r>
              <w:t>(</w:t>
            </w:r>
            <w:r w:rsidRPr="00B45ECC">
              <w:t xml:space="preserve">e.g. </w:t>
            </w:r>
            <w:r>
              <w:t>potassium sparing</w:t>
            </w:r>
            <w:r w:rsidRPr="00B45ECC">
              <w:t xml:space="preserve"> diuretics</w:t>
            </w:r>
            <w:r>
              <w:t>, potassium supplements, ACE inhibitors, renin angiotensin receptor blockers)</w:t>
            </w:r>
            <w:r w:rsidRPr="00B45ECC">
              <w:t>.</w:t>
            </w:r>
          </w:p>
          <w:p w14:paraId="430EDBAE" w14:textId="59649EC1" w:rsidR="00393D73" w:rsidRPr="00680DA5" w:rsidRDefault="00393D73" w:rsidP="0064522D">
            <w:pPr>
              <w:pStyle w:val="Bulletindent1"/>
            </w:pPr>
            <w:r w:rsidRPr="00680DA5">
              <w:t xml:space="preserve">Typhoid vaccine (oral): see </w:t>
            </w:r>
            <w:hyperlink w:anchor="Exclusion" w:history="1">
              <w:bookmarkStart w:id="4" w:name="Excluded"/>
              <w:r>
                <w:rPr>
                  <w:rStyle w:val="Hyperlink"/>
                  <w:rFonts w:cs="Arial"/>
                </w:rPr>
                <w:t>C</w:t>
              </w:r>
              <w:r w:rsidRPr="00680DA5">
                <w:rPr>
                  <w:rStyle w:val="Hyperlink"/>
                  <w:rFonts w:cs="Arial"/>
                </w:rPr>
                <w:t>riteria for exclusion</w:t>
              </w:r>
              <w:bookmarkEnd w:id="4"/>
            </w:hyperlink>
          </w:p>
          <w:p w14:paraId="06B6C616" w14:textId="4B28F48E" w:rsidR="00393D73" w:rsidRDefault="00393D73" w:rsidP="00581C9E">
            <w:pPr>
              <w:pStyle w:val="Tabletext"/>
            </w:pPr>
            <w:r w:rsidRPr="00677C74">
              <w:rPr>
                <w:color w:val="000000"/>
              </w:rPr>
              <w:t xml:space="preserve">A detailed list of drug interactions is available in the </w:t>
            </w:r>
            <w:hyperlink r:id="rId49" w:history="1">
              <w:r w:rsidR="0064522D">
                <w:rPr>
                  <w:rStyle w:val="Hyperlink"/>
                  <w:lang w:eastAsia="en-GB"/>
                </w:rPr>
                <w:t xml:space="preserve"> the SmPC which is available on the MHRA website</w:t>
              </w:r>
            </w:hyperlink>
          </w:p>
        </w:tc>
      </w:tr>
      <w:tr w:rsidR="00393D73" w14:paraId="39E46197" w14:textId="77777777" w:rsidTr="00AA03B9">
        <w:tc>
          <w:tcPr>
            <w:tcW w:w="3397" w:type="dxa"/>
            <w:tcBorders>
              <w:top w:val="single" w:sz="4" w:space="0" w:color="auto"/>
              <w:left w:val="single" w:sz="4" w:space="0" w:color="auto"/>
              <w:bottom w:val="single" w:sz="4" w:space="0" w:color="auto"/>
              <w:right w:val="single" w:sz="4" w:space="0" w:color="auto"/>
            </w:tcBorders>
          </w:tcPr>
          <w:p w14:paraId="338D9536" w14:textId="7100B09A" w:rsidR="00393D73" w:rsidRPr="005A6168" w:rsidRDefault="00393D73" w:rsidP="00393D73">
            <w:pPr>
              <w:rPr>
                <w:rStyle w:val="TableHeaderColumn"/>
              </w:rPr>
            </w:pPr>
            <w:r w:rsidRPr="001C0CA0">
              <w:rPr>
                <w:rStyle w:val="TableHeaderColumn"/>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03C60F2D" w14:textId="628A50B2" w:rsidR="00393D73" w:rsidRPr="00BD1D91" w:rsidRDefault="00393D73" w:rsidP="002F652F">
            <w:pPr>
              <w:pStyle w:val="Tabletext"/>
            </w:pPr>
            <w:r w:rsidRPr="00BD1D91">
              <w:t>A detailed list of adverse reactions is available in</w:t>
            </w:r>
            <w:hyperlink r:id="rId50" w:history="1">
              <w:r w:rsidR="0064522D">
                <w:rPr>
                  <w:rStyle w:val="Hyperlink"/>
                  <w:lang w:eastAsia="en-GB"/>
                </w:rPr>
                <w:t xml:space="preserve"> the SmPC which is available on the MHRA website</w:t>
              </w:r>
            </w:hyperlink>
            <w:r w:rsidR="00BD1D91" w:rsidRPr="00BD1D91">
              <w:t xml:space="preserve"> a</w:t>
            </w:r>
            <w:r w:rsidRPr="00BD1D91">
              <w:t>nd</w:t>
            </w:r>
            <w:r w:rsidR="00BD1D91">
              <w:t xml:space="preserve"> </w:t>
            </w:r>
            <w:hyperlink r:id="rId51" w:history="1">
              <w:r w:rsidR="00BD1D91" w:rsidRPr="00BD1D91">
                <w:rPr>
                  <w:rStyle w:val="Hyperlink"/>
                  <w:rFonts w:cs="Arial"/>
                  <w:bCs/>
                  <w:iCs/>
                </w:rPr>
                <w:t xml:space="preserve">the </w:t>
              </w:r>
              <w:r w:rsidRPr="00BD1D91">
                <w:rPr>
                  <w:rStyle w:val="Hyperlink"/>
                  <w:rFonts w:cs="Arial"/>
                  <w:bCs/>
                  <w:iCs/>
                </w:rPr>
                <w:t>BNF</w:t>
              </w:r>
            </w:hyperlink>
            <w:r w:rsidRPr="00BD1D91">
              <w:t xml:space="preserve"> </w:t>
            </w:r>
          </w:p>
          <w:p w14:paraId="771C1645" w14:textId="77777777" w:rsidR="00581C9E" w:rsidRDefault="00581C9E" w:rsidP="002F652F">
            <w:pPr>
              <w:pStyle w:val="Tabletext"/>
            </w:pPr>
          </w:p>
          <w:p w14:paraId="34C26263" w14:textId="4C678146" w:rsidR="00393D73" w:rsidRPr="00BD1D91" w:rsidRDefault="00393D73" w:rsidP="002F652F">
            <w:pPr>
              <w:pStyle w:val="Tabletext"/>
            </w:pPr>
            <w:r w:rsidRPr="00BD1D91">
              <w:t>The following side effects are listed in the product S</w:t>
            </w:r>
            <w:r w:rsidR="0064522D">
              <w:t>m</w:t>
            </w:r>
            <w:r w:rsidRPr="00BD1D91">
              <w:t xml:space="preserve">PC/BNF as </w:t>
            </w:r>
            <w:r w:rsidR="0064522D" w:rsidRPr="0064522D">
              <w:t>very common or common</w:t>
            </w:r>
            <w:r w:rsidRPr="00BD1D91">
              <w:t xml:space="preserve"> with </w:t>
            </w:r>
            <w:r w:rsidR="0064522D">
              <w:t>trimethoprim</w:t>
            </w:r>
            <w:r w:rsidRPr="00BD1D91">
              <w:t xml:space="preserve"> (but may not reflect all reported side effects):</w:t>
            </w:r>
          </w:p>
          <w:p w14:paraId="141ABF71" w14:textId="77777777" w:rsidR="0064522D" w:rsidRPr="0064522D" w:rsidRDefault="0064522D" w:rsidP="0064522D">
            <w:pPr>
              <w:pStyle w:val="Bulletindent1"/>
              <w:rPr>
                <w:lang w:val="en-US"/>
              </w:rPr>
            </w:pPr>
            <w:r w:rsidRPr="0064522D">
              <w:rPr>
                <w:lang w:val="en-US"/>
              </w:rPr>
              <w:t>Diarrhoea</w:t>
            </w:r>
          </w:p>
          <w:p w14:paraId="612F158F" w14:textId="77777777" w:rsidR="0064522D" w:rsidRPr="0064522D" w:rsidRDefault="0064522D" w:rsidP="0064522D">
            <w:pPr>
              <w:pStyle w:val="Bulletindent1"/>
              <w:rPr>
                <w:lang w:val="en-US"/>
              </w:rPr>
            </w:pPr>
            <w:r w:rsidRPr="0064522D">
              <w:rPr>
                <w:lang w:val="en-US"/>
              </w:rPr>
              <w:t>Vomiting and nausea</w:t>
            </w:r>
          </w:p>
          <w:p w14:paraId="665B0209" w14:textId="77777777" w:rsidR="0064522D" w:rsidRPr="0064522D" w:rsidRDefault="0064522D" w:rsidP="0064522D">
            <w:pPr>
              <w:pStyle w:val="Bulletindent1"/>
              <w:rPr>
                <w:lang w:val="en-US"/>
              </w:rPr>
            </w:pPr>
            <w:r w:rsidRPr="0064522D">
              <w:rPr>
                <w:lang w:val="en-US"/>
              </w:rPr>
              <w:t>Skin rashes/reactions</w:t>
            </w:r>
          </w:p>
          <w:p w14:paraId="4C6A1379" w14:textId="77777777" w:rsidR="0064522D" w:rsidRPr="0064522D" w:rsidRDefault="0064522D" w:rsidP="0064522D">
            <w:pPr>
              <w:pStyle w:val="Bulletindent1"/>
              <w:rPr>
                <w:lang w:val="en-US"/>
              </w:rPr>
            </w:pPr>
            <w:r w:rsidRPr="0064522D">
              <w:rPr>
                <w:lang w:val="en-US"/>
              </w:rPr>
              <w:lastRenderedPageBreak/>
              <w:t>Headache</w:t>
            </w:r>
          </w:p>
          <w:p w14:paraId="1C79DAA2" w14:textId="77777777" w:rsidR="0064522D" w:rsidRPr="0064522D" w:rsidRDefault="0064522D" w:rsidP="0064522D">
            <w:pPr>
              <w:pStyle w:val="Bulletindent1"/>
              <w:rPr>
                <w:lang w:val="en-US"/>
              </w:rPr>
            </w:pPr>
            <w:r w:rsidRPr="0064522D">
              <w:rPr>
                <w:lang w:val="en-US"/>
              </w:rPr>
              <w:t>Electrolyte imbalance (hyperkalaemia)</w:t>
            </w:r>
          </w:p>
          <w:p w14:paraId="09C52BE2" w14:textId="77777777" w:rsidR="0064522D" w:rsidRPr="0064522D" w:rsidRDefault="0064522D" w:rsidP="0064522D">
            <w:pPr>
              <w:pStyle w:val="Bulletindent1"/>
              <w:rPr>
                <w:lang w:val="en-US"/>
              </w:rPr>
            </w:pPr>
            <w:r w:rsidRPr="0064522D">
              <w:rPr>
                <w:lang w:val="en-US"/>
              </w:rPr>
              <w:t xml:space="preserve">Fungal overgrowth </w:t>
            </w:r>
          </w:p>
          <w:p w14:paraId="68E31B75" w14:textId="2846329E" w:rsidR="00393D73" w:rsidRPr="00393D73" w:rsidRDefault="00393D73" w:rsidP="008D52EE">
            <w:pPr>
              <w:pStyle w:val="Tabletext"/>
              <w:rPr>
                <w:rFonts w:eastAsia="Calibri"/>
                <w:b/>
                <w:bCs/>
              </w:rPr>
            </w:pPr>
            <w:r>
              <w:rPr>
                <w:rFonts w:eastAsia="Calibri"/>
              </w:rPr>
              <w:t xml:space="preserve">Severe adverse reactions are rare, but </w:t>
            </w:r>
            <w:r w:rsidRPr="008D52EE">
              <w:rPr>
                <w:rFonts w:eastAsia="Calibri" w:cs="Arial"/>
              </w:rPr>
              <w:t>anaphylaxis</w:t>
            </w:r>
            <w:r>
              <w:rPr>
                <w:rFonts w:eastAsia="Calibri"/>
              </w:rPr>
              <w:t xml:space="preserve"> (delayed or immediate) has been reported an</w:t>
            </w:r>
            <w:r w:rsidRPr="00385387">
              <w:rPr>
                <w:rFonts w:eastAsia="Calibri"/>
              </w:rPr>
              <w:t xml:space="preserve">d </w:t>
            </w:r>
            <w:r w:rsidRPr="00385387">
              <w:rPr>
                <w:rFonts w:eastAsia="Calibri"/>
                <w:bCs/>
              </w:rPr>
              <w:t xml:space="preserve">requires immediate medical treatment. </w:t>
            </w:r>
          </w:p>
          <w:p w14:paraId="59A213F4" w14:textId="74B0391F" w:rsidR="00393D73" w:rsidRDefault="00393D73" w:rsidP="008D52EE">
            <w:pPr>
              <w:pStyle w:val="Tabletext"/>
            </w:pPr>
            <w:r w:rsidRPr="008D52EE">
              <w:rPr>
                <w:rFonts w:eastAsia="Calibri"/>
              </w:rPr>
              <w:t>In the event of a severe adverse reaction, the individual must be advised to stop treatment immediately and seek urgent medical advice.</w:t>
            </w:r>
          </w:p>
        </w:tc>
      </w:tr>
      <w:tr w:rsidR="00393D73" w14:paraId="08C3469A" w14:textId="77777777" w:rsidTr="006A7AF1">
        <w:tc>
          <w:tcPr>
            <w:tcW w:w="3397" w:type="dxa"/>
          </w:tcPr>
          <w:p w14:paraId="0980B18E" w14:textId="77777777" w:rsidR="00393D73" w:rsidRPr="001C0CA0" w:rsidRDefault="00393D73" w:rsidP="00393D73">
            <w:pPr>
              <w:rPr>
                <w:rStyle w:val="TableHeaderColumn"/>
                <w:sz w:val="22"/>
              </w:rPr>
            </w:pPr>
            <w:r w:rsidRPr="001C0CA0">
              <w:rPr>
                <w:rStyle w:val="TableHeaderColumn"/>
                <w:sz w:val="22"/>
              </w:rPr>
              <w:lastRenderedPageBreak/>
              <w:t>Management of and reporting procedures for adverse reactions</w:t>
            </w:r>
          </w:p>
        </w:tc>
        <w:tc>
          <w:tcPr>
            <w:tcW w:w="5529" w:type="dxa"/>
          </w:tcPr>
          <w:p w14:paraId="5B9E6BE1" w14:textId="24E0762F" w:rsidR="00393D73" w:rsidRPr="00677C74" w:rsidRDefault="00393D73" w:rsidP="00393D73">
            <w:pPr>
              <w:pStyle w:val="Bulletindent1"/>
            </w:pPr>
            <w:r w:rsidRPr="00677C74">
              <w:t>Healthcare professionals and individuals/carers</w:t>
            </w:r>
            <w:r>
              <w:t>/parents/guardians</w:t>
            </w:r>
            <w:r w:rsidRPr="00677C74">
              <w:t xml:space="preserve"> are encouraged to report suspected adverse reactions to the </w:t>
            </w:r>
            <w:hyperlink r:id="rId52" w:history="1">
              <w:r w:rsidR="008D52EE" w:rsidRPr="00504FB7">
                <w:rPr>
                  <w:rStyle w:val="Hyperlink"/>
                </w:rPr>
                <w:t>MHRA's Yellow Card Scheme</w:t>
              </w:r>
            </w:hyperlink>
          </w:p>
          <w:p w14:paraId="679D7140" w14:textId="77777777" w:rsidR="00393D73" w:rsidRPr="00677C74" w:rsidRDefault="00393D73" w:rsidP="00393D73">
            <w:pPr>
              <w:pStyle w:val="Bulletindent1"/>
            </w:pPr>
            <w:r w:rsidRPr="00677C74">
              <w:t>Record all adverse drug reactions (ADRs) in the individual’s clinical record.</w:t>
            </w:r>
          </w:p>
          <w:p w14:paraId="1E0E8E47" w14:textId="183C23E7" w:rsidR="00393D73" w:rsidRPr="008D52EE" w:rsidRDefault="008D52EE" w:rsidP="00393D73">
            <w:pPr>
              <w:pStyle w:val="Bulletindent1"/>
              <w:rPr>
                <w:highlight w:val="cyan"/>
              </w:rPr>
            </w:pPr>
            <w:r>
              <w:rPr>
                <w:highlight w:val="cyan"/>
              </w:rPr>
              <w:t>[</w:t>
            </w:r>
            <w:r w:rsidR="00393D73" w:rsidRPr="008D52EE">
              <w:rPr>
                <w:highlight w:val="cyan"/>
              </w:rPr>
              <w:t>Report via organisation incident policy.</w:t>
            </w:r>
            <w:r>
              <w:rPr>
                <w:highlight w:val="cyan"/>
              </w:rPr>
              <w:t>]</w:t>
            </w:r>
          </w:p>
          <w:p w14:paraId="292843F1" w14:textId="2F74EE18" w:rsidR="00393D73" w:rsidRPr="00504FB7" w:rsidRDefault="00393D73" w:rsidP="00393D73">
            <w:pPr>
              <w:pStyle w:val="Bulletindent1"/>
            </w:pPr>
            <w:r w:rsidRPr="00677C74">
              <w:t>It is considered good practice to notify the individual’s GP in the event of an adverse reaction.</w:t>
            </w:r>
          </w:p>
        </w:tc>
      </w:tr>
      <w:tr w:rsidR="00393D73" w14:paraId="243843CD" w14:textId="77777777" w:rsidTr="006A7AF1">
        <w:tc>
          <w:tcPr>
            <w:tcW w:w="3397" w:type="dxa"/>
          </w:tcPr>
          <w:p w14:paraId="5A563D4B" w14:textId="0853BC76" w:rsidR="00393D73" w:rsidRPr="001C0CA0" w:rsidRDefault="00393D73" w:rsidP="00393D73">
            <w:pPr>
              <w:rPr>
                <w:rStyle w:val="TableHeaderColumn"/>
                <w:sz w:val="24"/>
                <w:szCs w:val="28"/>
              </w:rPr>
            </w:pPr>
            <w:r w:rsidRPr="001C0CA0">
              <w:rPr>
                <w:rStyle w:val="TableHeaderColumn"/>
                <w:sz w:val="24"/>
                <w:szCs w:val="28"/>
              </w:rPr>
              <w:t>Written or other information to be given to individual/carer/parent/guardian</w:t>
            </w:r>
          </w:p>
        </w:tc>
        <w:tc>
          <w:tcPr>
            <w:tcW w:w="5529" w:type="dxa"/>
          </w:tcPr>
          <w:p w14:paraId="2897462B" w14:textId="77777777" w:rsidR="00393D73" w:rsidRDefault="00393D73" w:rsidP="00393D73">
            <w:pPr>
              <w:pStyle w:val="Bulletindent1"/>
            </w:pPr>
            <w:r>
              <w:t xml:space="preserve">Provide </w:t>
            </w:r>
            <w:r w:rsidRPr="00073FD5">
              <w:t xml:space="preserve">marketing authorisation holder's information leaflet (PIL) provided with the product.  </w:t>
            </w:r>
          </w:p>
          <w:p w14:paraId="4E6BB7A9" w14:textId="77777777" w:rsidR="00393D73" w:rsidRDefault="00393D73" w:rsidP="00393D73">
            <w:pPr>
              <w:pStyle w:val="Bulletindent1"/>
              <w:rPr>
                <w:iCs/>
              </w:rPr>
            </w:pPr>
            <w:r>
              <w:rPr>
                <w:iCs/>
              </w:rPr>
              <w:t xml:space="preserve">Provide the </w:t>
            </w:r>
            <w:hyperlink r:id="rId53" w:history="1">
              <w:r w:rsidRPr="00E4157B">
                <w:rPr>
                  <w:rStyle w:val="Hyperlink"/>
                  <w:rFonts w:cs="Arial"/>
                  <w:bCs/>
                  <w:color w:val="0066FF"/>
                </w:rPr>
                <w:t xml:space="preserve">TARGET </w:t>
              </w:r>
              <w:r>
                <w:rPr>
                  <w:rStyle w:val="Hyperlink"/>
                  <w:rFonts w:cs="Arial"/>
                  <w:bCs/>
                  <w:color w:val="0066FF"/>
                </w:rPr>
                <w:t xml:space="preserve">UTI </w:t>
              </w:r>
              <w:r w:rsidRPr="00E4157B">
                <w:rPr>
                  <w:rStyle w:val="Hyperlink"/>
                  <w:rFonts w:cs="Arial"/>
                  <w:bCs/>
                  <w:color w:val="0066FF"/>
                </w:rPr>
                <w:t>leaflet</w:t>
              </w:r>
            </w:hyperlink>
          </w:p>
          <w:p w14:paraId="1571B8A5" w14:textId="77777777" w:rsidR="00393D73" w:rsidRPr="000B76C4" w:rsidRDefault="00393D73" w:rsidP="00393D73">
            <w:pPr>
              <w:pStyle w:val="Bulletindent1"/>
            </w:pPr>
            <w:r>
              <w:t xml:space="preserve">Utilise </w:t>
            </w:r>
            <w:hyperlink r:id="rId54" w:history="1">
              <w:r w:rsidRPr="0064522D">
                <w:rPr>
                  <w:rStyle w:val="Hyperlink"/>
                </w:rPr>
                <w:t>TARGET antibiotic checklist</w:t>
              </w:r>
            </w:hyperlink>
            <w:r>
              <w:t xml:space="preserve"> for counselling individuals/carers/parents/guardians. </w:t>
            </w:r>
          </w:p>
          <w:p w14:paraId="397A4F12" w14:textId="0ECAB50D" w:rsidR="00393D73" w:rsidRPr="00677C74" w:rsidRDefault="008D52EE" w:rsidP="00393D73">
            <w:pPr>
              <w:pStyle w:val="Bulletindent1"/>
            </w:pPr>
            <w:r>
              <w:rPr>
                <w:highlight w:val="cyan"/>
              </w:rPr>
              <w:t>[</w:t>
            </w:r>
            <w:r w:rsidR="00393D73" w:rsidRPr="008D52EE">
              <w:rPr>
                <w:highlight w:val="cyan"/>
              </w:rPr>
              <w:t>Give any additional information in accordance with the local service specification</w:t>
            </w:r>
            <w:r w:rsidR="00393D73" w:rsidRPr="00073FD5">
              <w:t>.</w:t>
            </w:r>
            <w:r>
              <w:t>]</w:t>
            </w:r>
          </w:p>
        </w:tc>
      </w:tr>
      <w:tr w:rsidR="00393D73" w14:paraId="09A371CA" w14:textId="77777777" w:rsidTr="006A7AF1">
        <w:tc>
          <w:tcPr>
            <w:tcW w:w="3397" w:type="dxa"/>
          </w:tcPr>
          <w:p w14:paraId="0AB3BA26" w14:textId="6ED31042" w:rsidR="00393D73" w:rsidRPr="001C0CA0" w:rsidRDefault="00393D73" w:rsidP="00393D73">
            <w:pPr>
              <w:rPr>
                <w:rStyle w:val="TableHeaderColumn"/>
                <w:sz w:val="24"/>
                <w:szCs w:val="28"/>
              </w:rPr>
            </w:pPr>
            <w:r w:rsidRPr="001C0CA0">
              <w:rPr>
                <w:rStyle w:val="TableHeaderColumn"/>
                <w:kern w:val="0"/>
                <w:sz w:val="24"/>
                <w:szCs w:val="28"/>
              </w:rPr>
              <w:t>Individual</w:t>
            </w:r>
            <w:r w:rsidRPr="001C0CA0">
              <w:rPr>
                <w:rStyle w:val="TableHeaderColumn"/>
                <w:sz w:val="24"/>
                <w:szCs w:val="28"/>
              </w:rPr>
              <w:t xml:space="preserve"> advice / follow up treatment</w:t>
            </w:r>
          </w:p>
        </w:tc>
        <w:tc>
          <w:tcPr>
            <w:tcW w:w="5529" w:type="dxa"/>
          </w:tcPr>
          <w:p w14:paraId="365ACB56" w14:textId="77777777" w:rsidR="00393D73" w:rsidRPr="00F83612" w:rsidRDefault="00393D73" w:rsidP="008D52EE">
            <w:pPr>
              <w:pStyle w:val="Bulletindent1"/>
            </w:pPr>
            <w:bookmarkStart w:id="5" w:name="_Hlk44941506"/>
            <w:r>
              <w:t>Explain the d</w:t>
            </w:r>
            <w:r w:rsidRPr="00073FD5">
              <w:t>ose</w:t>
            </w:r>
            <w:r>
              <w:t>, frequency</w:t>
            </w:r>
            <w:r w:rsidRPr="00073FD5">
              <w:t xml:space="preserve"> and method of administration</w:t>
            </w:r>
            <w:r>
              <w:t>.</w:t>
            </w:r>
          </w:p>
          <w:p w14:paraId="54377650" w14:textId="77777777" w:rsidR="00393D73" w:rsidRPr="00B95CB1" w:rsidRDefault="00393D73" w:rsidP="008D52EE">
            <w:pPr>
              <w:pStyle w:val="Bulletindent1"/>
            </w:pPr>
            <w:r w:rsidRPr="00176D3E">
              <w:t>The individual/carer</w:t>
            </w:r>
            <w:r>
              <w:t>/parent/guardian</w:t>
            </w:r>
            <w:r w:rsidRPr="00176D3E">
              <w:t xml:space="preserve"> should be advised to read PIL</w:t>
            </w:r>
          </w:p>
          <w:p w14:paraId="6EC2AD42" w14:textId="76FC4174" w:rsidR="00393D73" w:rsidRPr="00B95CB1" w:rsidRDefault="00393D73" w:rsidP="008D52EE">
            <w:pPr>
              <w:pStyle w:val="Bulletindent1"/>
            </w:pPr>
            <w:r w:rsidRPr="00E4157B">
              <w:rPr>
                <w:rFonts w:eastAsia="Arial"/>
              </w:rPr>
              <w:t>Advise individual/carer</w:t>
            </w:r>
            <w:r>
              <w:t>/parent/guardian</w:t>
            </w:r>
            <w:r w:rsidRPr="00E4157B">
              <w:rPr>
                <w:rFonts w:eastAsia="Arial"/>
                <w:spacing w:val="12"/>
              </w:rPr>
              <w:t xml:space="preserve"> </w:t>
            </w:r>
            <w:r w:rsidRPr="00E4157B">
              <w:rPr>
                <w:rFonts w:eastAsia="Arial"/>
              </w:rPr>
              <w:t>to take the medication at regular intervals and to finish the course.</w:t>
            </w:r>
          </w:p>
          <w:p w14:paraId="3D7DA0C8" w14:textId="59CE0C91" w:rsidR="00393D73" w:rsidRPr="00F83612" w:rsidRDefault="00393D73" w:rsidP="008D52EE">
            <w:pPr>
              <w:pStyle w:val="Bulletindent1"/>
            </w:pPr>
            <w:r w:rsidRPr="00F83612">
              <w:t xml:space="preserve">Symptoms </w:t>
            </w:r>
            <w:r w:rsidRPr="00E4157B">
              <w:t>should start to improve within 48 hours of taking</w:t>
            </w:r>
            <w:r w:rsidR="0064522D">
              <w:t xml:space="preserve"> trimethoprim</w:t>
            </w:r>
            <w:r w:rsidRPr="00E4157B">
              <w:t>– advise individual</w:t>
            </w:r>
            <w:r>
              <w:t>/carer/parent/guardian</w:t>
            </w:r>
            <w:r w:rsidRPr="00E4157B">
              <w:t xml:space="preserve"> to seek </w:t>
            </w:r>
            <w:r w:rsidRPr="00E4157B">
              <w:lastRenderedPageBreak/>
              <w:t>medical advice if no improvement within this time.</w:t>
            </w:r>
            <w:r w:rsidRPr="006F1D02">
              <w:rPr>
                <w:color w:val="FF0000"/>
              </w:rPr>
              <w:t xml:space="preserve"> </w:t>
            </w:r>
          </w:p>
          <w:p w14:paraId="178DF066" w14:textId="3474D229" w:rsidR="00393D73" w:rsidRPr="00B95CB1" w:rsidRDefault="00393D73" w:rsidP="008D52EE">
            <w:pPr>
              <w:pStyle w:val="Bulletindent1"/>
            </w:pPr>
            <w:r w:rsidRPr="00FF7E56">
              <w:rPr>
                <w:rFonts w:eastAsia="Arial"/>
              </w:rPr>
              <w:t>Inform individual/carer</w:t>
            </w:r>
            <w:r>
              <w:t>/parent/guardian</w:t>
            </w:r>
            <w:r w:rsidRPr="00FF7E56">
              <w:rPr>
                <w:rFonts w:eastAsia="Arial"/>
                <w:spacing w:val="12"/>
              </w:rPr>
              <w:t xml:space="preserve"> </w:t>
            </w:r>
            <w:r w:rsidRPr="00FF7E56">
              <w:rPr>
                <w:rFonts w:eastAsia="Arial"/>
              </w:rPr>
              <w:t xml:space="preserve">of </w:t>
            </w:r>
            <w:r w:rsidRPr="00677C74">
              <w:rPr>
                <w:rFonts w:eastAsia="Arial"/>
              </w:rPr>
              <w:t>possible side effects and their management</w:t>
            </w:r>
            <w:r w:rsidR="0064522D">
              <w:rPr>
                <w:rFonts w:eastAsia="Arial"/>
              </w:rPr>
              <w:t>.</w:t>
            </w:r>
          </w:p>
          <w:p w14:paraId="3B4C476E" w14:textId="6115DEF5" w:rsidR="00393D73" w:rsidRDefault="00393D73" w:rsidP="008D52EE">
            <w:pPr>
              <w:pStyle w:val="Bulletindent1"/>
            </w:pPr>
            <w:r w:rsidRPr="00E4157B">
              <w:rPr>
                <w:rFonts w:eastAsia="Arial"/>
              </w:rPr>
              <w:t xml:space="preserve">Advise that </w:t>
            </w:r>
            <w:r w:rsidR="0064522D">
              <w:rPr>
                <w:rFonts w:eastAsia="Arial"/>
              </w:rPr>
              <w:t>trimethoprim</w:t>
            </w:r>
            <w:r w:rsidRPr="00E4157B">
              <w:rPr>
                <w:rFonts w:eastAsia="Arial"/>
              </w:rPr>
              <w:t xml:space="preserve"> is not a penicillin related antibiotic</w:t>
            </w:r>
          </w:p>
          <w:p w14:paraId="0FFD6734" w14:textId="77777777" w:rsidR="00393D73" w:rsidRPr="00176D3E" w:rsidRDefault="00393D73" w:rsidP="008D52EE">
            <w:pPr>
              <w:pStyle w:val="Bulletindent1"/>
            </w:pPr>
            <w:r w:rsidRPr="00E4157B">
              <w:t>The individual/carer</w:t>
            </w:r>
            <w:r>
              <w:t>/parent/guardian</w:t>
            </w:r>
            <w:r w:rsidRPr="00E4157B">
              <w:t xml:space="preserve"> should be advised to seek medical advice in the event of an adverse reaction or if any other new symptoms develop.</w:t>
            </w:r>
          </w:p>
          <w:p w14:paraId="076CE254" w14:textId="77777777" w:rsidR="00393D73" w:rsidRPr="00E4157B" w:rsidRDefault="00393D73" w:rsidP="008D52EE">
            <w:pPr>
              <w:pStyle w:val="Bulletindent1"/>
            </w:pPr>
            <w:r w:rsidRPr="00176D3E">
              <w:t>If dose is missed advise to refer</w:t>
            </w:r>
            <w:r w:rsidRPr="00E4157B">
              <w:t xml:space="preserve"> to PIL supplied with the product</w:t>
            </w:r>
          </w:p>
          <w:p w14:paraId="773358F9" w14:textId="77777777" w:rsidR="00393D73" w:rsidRPr="000110F4" w:rsidRDefault="00393D73" w:rsidP="008D52EE">
            <w:pPr>
              <w:pStyle w:val="Bulletindent1"/>
            </w:pPr>
            <w:r w:rsidRPr="00E4157B">
              <w:t>Advise individual</w:t>
            </w:r>
            <w:r>
              <w:t>/carer/parent/guardian</w:t>
            </w:r>
            <w:r w:rsidRPr="00E4157B">
              <w:t xml:space="preserve"> to complete the full course even if symptoms improve.</w:t>
            </w:r>
          </w:p>
          <w:p w14:paraId="07E94BF6" w14:textId="77777777" w:rsidR="00393D73" w:rsidRDefault="00393D73" w:rsidP="008D52EE">
            <w:pPr>
              <w:pStyle w:val="Bulletindent1"/>
            </w:pPr>
            <w:r>
              <w:t>Advise individual/carer/parent/guardian to seek medical attention if symptoms worsen rapidly or significantly at any time.</w:t>
            </w:r>
          </w:p>
          <w:p w14:paraId="1C13C774" w14:textId="77777777" w:rsidR="00393D73" w:rsidRPr="00B95CB1" w:rsidRDefault="00393D73" w:rsidP="008D52EE">
            <w:pPr>
              <w:pStyle w:val="Bulletindent1"/>
            </w:pPr>
            <w:r>
              <w:t>Advise individual/carer/parent/guardian to seek medical attention if symptoms do not improve after completion of antibiotic treatment course.</w:t>
            </w:r>
          </w:p>
          <w:p w14:paraId="46355A45" w14:textId="7C672C10" w:rsidR="008D52EE" w:rsidRDefault="00393D73" w:rsidP="008D52EE">
            <w:pPr>
              <w:pStyle w:val="Bulletindent1"/>
            </w:pPr>
            <w:r>
              <w:t xml:space="preserve">Advise individual/carer/parent/guardian to seek </w:t>
            </w:r>
            <w:r w:rsidRPr="00546B2E">
              <w:t>immediate medical attentio</w:t>
            </w:r>
            <w:r>
              <w:t>n (by calling 999 or going to A&amp;E) if the individual</w:t>
            </w:r>
            <w:r w:rsidRPr="00546B2E">
              <w:t xml:space="preserve"> develop</w:t>
            </w:r>
            <w:r>
              <w:t>s</w:t>
            </w:r>
            <w:r w:rsidRPr="00546B2E">
              <w:t xml:space="preserve"> </w:t>
            </w:r>
            <w:hyperlink r:id="rId55" w:history="1">
              <w:r w:rsidR="008D52EE">
                <w:rPr>
                  <w:rStyle w:val="Hyperlink"/>
                  <w:rFonts w:cs="Arial"/>
                  <w:bCs/>
                </w:rPr>
                <w:t>signs or symptoms of sepsis as described in the NHS guidance</w:t>
              </w:r>
            </w:hyperlink>
            <w:r w:rsidR="008D52EE">
              <w:t xml:space="preserve"> </w:t>
            </w:r>
          </w:p>
          <w:p w14:paraId="28B30F8C" w14:textId="38B65706" w:rsidR="00393D73" w:rsidRDefault="00393D73" w:rsidP="008D52EE">
            <w:pPr>
              <w:pStyle w:val="Bulletindent1"/>
            </w:pPr>
            <w:r w:rsidRPr="00411D32">
              <w:t>Advise individual</w:t>
            </w:r>
            <w:r>
              <w:t>/carer/parent/guardian</w:t>
            </w:r>
            <w:r w:rsidRPr="00411D32">
              <w:t xml:space="preserve"> to return any </w:t>
            </w:r>
            <w:r>
              <w:t>un</w:t>
            </w:r>
            <w:r w:rsidRPr="00411D32">
              <w:t>used medicines to a pharmacy for disposal</w:t>
            </w:r>
            <w:r>
              <w:t>: do not dispose of medicines in the bin, down the sink or toilet.</w:t>
            </w:r>
          </w:p>
          <w:p w14:paraId="2BF8FA34" w14:textId="0CE691E5" w:rsidR="00393D73" w:rsidRPr="00393D73" w:rsidRDefault="00393D73" w:rsidP="008D52EE">
            <w:pPr>
              <w:pStyle w:val="Bulletindent1"/>
            </w:pPr>
            <w:r w:rsidRPr="00393D73">
              <w:t xml:space="preserve">Individuals will be contacted </w:t>
            </w:r>
            <w:r w:rsidR="008D52EE">
              <w:t>[</w:t>
            </w:r>
            <w:r w:rsidRPr="00393D73">
              <w:rPr>
                <w:highlight w:val="cyan"/>
              </w:rPr>
              <w:t>X days (amended to reflect service specification requirement)</w:t>
            </w:r>
            <w:r w:rsidR="008D52EE">
              <w:t>]</w:t>
            </w:r>
            <w:r w:rsidRPr="00393D73">
              <w:t xml:space="preserve"> after medication supply to ascertain success of treatment and arrange referral to appropriate </w:t>
            </w:r>
            <w:r w:rsidRPr="002F652F">
              <w:rPr>
                <w:kern w:val="2"/>
                <w:sz w:val="20"/>
              </w:rPr>
              <w:t>practitioner</w:t>
            </w:r>
            <w:r w:rsidRPr="00393D73">
              <w:t xml:space="preserve"> if symptoms have not resolved. This can be done face to face, over the telephone or by AccuRx ensuring outcome is documented including whether symptoms resolved, partially resolved, ongoing, any further healthcare contact already happened or recommended.</w:t>
            </w:r>
            <w:bookmarkEnd w:id="5"/>
          </w:p>
        </w:tc>
      </w:tr>
      <w:tr w:rsidR="00393D73" w14:paraId="589EF44D" w14:textId="77777777" w:rsidTr="006A7AF1">
        <w:tc>
          <w:tcPr>
            <w:tcW w:w="3397" w:type="dxa"/>
          </w:tcPr>
          <w:p w14:paraId="0194F7E0" w14:textId="7E52FBD6" w:rsidR="00393D73" w:rsidRPr="005A6168" w:rsidRDefault="00393D73" w:rsidP="00393D73">
            <w:pPr>
              <w:rPr>
                <w:rStyle w:val="TableHeaderColumn"/>
              </w:rPr>
            </w:pPr>
            <w:r w:rsidRPr="001C0CA0">
              <w:rPr>
                <w:rStyle w:val="TableHeaderColumn"/>
                <w:sz w:val="22"/>
              </w:rPr>
              <w:lastRenderedPageBreak/>
              <w:t>Records to be kept</w:t>
            </w:r>
          </w:p>
        </w:tc>
        <w:tc>
          <w:tcPr>
            <w:tcW w:w="5529" w:type="dxa"/>
          </w:tcPr>
          <w:p w14:paraId="09C8E253" w14:textId="00DC1A93" w:rsidR="00393D73" w:rsidRPr="00CE73FB" w:rsidRDefault="00393D73" w:rsidP="00CE73FB">
            <w:pPr>
              <w:pStyle w:val="Tabletext"/>
              <w:rPr>
                <w:rFonts w:eastAsia="Arial"/>
              </w:rPr>
            </w:pPr>
            <w:r w:rsidRPr="00073FD5">
              <w:rPr>
                <w:rFonts w:eastAsia="Arial"/>
              </w:rPr>
              <w:t>Appropriate records must include the following:</w:t>
            </w:r>
          </w:p>
          <w:p w14:paraId="7A9F45CB" w14:textId="77777777" w:rsidR="00393D73" w:rsidRPr="00073FD5" w:rsidRDefault="00393D73" w:rsidP="008D52EE">
            <w:pPr>
              <w:pStyle w:val="Bulletindent1"/>
            </w:pPr>
            <w:r w:rsidRPr="00073FD5">
              <w:t>That valid informed consent has been given</w:t>
            </w:r>
          </w:p>
          <w:p w14:paraId="4B456D10" w14:textId="77777777" w:rsidR="00393D73" w:rsidRPr="00073FD5" w:rsidRDefault="00393D73" w:rsidP="008D52EE">
            <w:pPr>
              <w:pStyle w:val="Bulletindent1"/>
            </w:pPr>
            <w:r>
              <w:t>Individua</w:t>
            </w:r>
            <w:r w:rsidRPr="00073FD5">
              <w:t>l’s name, address and date of birth</w:t>
            </w:r>
          </w:p>
          <w:p w14:paraId="4175E371" w14:textId="77777777" w:rsidR="00393D73" w:rsidRPr="00073FD5" w:rsidRDefault="00393D73" w:rsidP="008D52EE">
            <w:pPr>
              <w:pStyle w:val="Bulletindent1"/>
            </w:pPr>
            <w:r w:rsidRPr="00073FD5">
              <w:t>Name of GP</w:t>
            </w:r>
            <w:r>
              <w:t xml:space="preserve"> individual is registered with </w:t>
            </w:r>
            <w:r w:rsidRPr="00476F11">
              <w:t>or record where an individ</w:t>
            </w:r>
            <w:r>
              <w:t>ual is not registered with a GP</w:t>
            </w:r>
          </w:p>
          <w:p w14:paraId="62A33DB7" w14:textId="77777777" w:rsidR="00393D73" w:rsidRDefault="00393D73" w:rsidP="008D52EE">
            <w:pPr>
              <w:pStyle w:val="Bulletindent1"/>
            </w:pPr>
            <w:r>
              <w:t>Name and registration number of registered healthcare professional operating under this PGD</w:t>
            </w:r>
          </w:p>
          <w:p w14:paraId="2B838341" w14:textId="77777777" w:rsidR="00393D73" w:rsidRDefault="00393D73" w:rsidP="008D52EE">
            <w:pPr>
              <w:pStyle w:val="Bulletindent1"/>
            </w:pPr>
            <w:r w:rsidRPr="00073FD5">
              <w:t>Specify how the</w:t>
            </w:r>
            <w:r>
              <w:t xml:space="preserve"> individual </w:t>
            </w:r>
            <w:r w:rsidRPr="00073FD5">
              <w:t>has/has not met the criteria of the PGD</w:t>
            </w:r>
          </w:p>
          <w:p w14:paraId="6F4F0C0F" w14:textId="77777777" w:rsidR="00393D73" w:rsidRDefault="00393D73" w:rsidP="008D52EE">
            <w:pPr>
              <w:pStyle w:val="Bulletindent1"/>
            </w:pPr>
            <w:r w:rsidRPr="00A61C8E">
              <w:t>Relevant past and present medical history and medication history</w:t>
            </w:r>
          </w:p>
          <w:p w14:paraId="468E852C" w14:textId="77777777" w:rsidR="00393D73" w:rsidRPr="00A61C8E" w:rsidRDefault="00393D73" w:rsidP="008D52EE">
            <w:pPr>
              <w:pStyle w:val="Bulletindent1"/>
            </w:pPr>
            <w:r>
              <w:t>Any known allergies and nature of reaction(s)</w:t>
            </w:r>
          </w:p>
          <w:p w14:paraId="6497CE36" w14:textId="77777777" w:rsidR="00393D73" w:rsidRPr="00073FD5" w:rsidRDefault="00393D73" w:rsidP="008D52EE">
            <w:pPr>
              <w:pStyle w:val="Bulletindent1"/>
            </w:pPr>
            <w:r>
              <w:t>Name/d</w:t>
            </w:r>
            <w:r w:rsidRPr="00073FD5">
              <w:t>ose</w:t>
            </w:r>
            <w:r>
              <w:t>/form/quantity of medicine supplied</w:t>
            </w:r>
          </w:p>
          <w:p w14:paraId="2ECED6AB" w14:textId="77777777" w:rsidR="00393D73" w:rsidRPr="00073FD5" w:rsidRDefault="00393D73" w:rsidP="008D52EE">
            <w:pPr>
              <w:pStyle w:val="Bulletindent1"/>
            </w:pPr>
            <w:r w:rsidRPr="00073FD5">
              <w:t>Date and time of supply</w:t>
            </w:r>
          </w:p>
          <w:p w14:paraId="500E2AEC" w14:textId="77777777" w:rsidR="00393D73" w:rsidRPr="00073FD5" w:rsidRDefault="00393D73" w:rsidP="008D52EE">
            <w:pPr>
              <w:pStyle w:val="Bulletindent1"/>
            </w:pPr>
            <w:r w:rsidRPr="00073FD5">
              <w:t>Documentation of cautions as appropriate</w:t>
            </w:r>
          </w:p>
          <w:p w14:paraId="4A91808B" w14:textId="77777777" w:rsidR="00393D73" w:rsidRPr="00073FD5" w:rsidRDefault="00393D73" w:rsidP="008D52EE">
            <w:pPr>
              <w:pStyle w:val="Bulletindent1"/>
            </w:pPr>
            <w:r w:rsidRPr="00073FD5">
              <w:t>Advice given</w:t>
            </w:r>
            <w:r>
              <w:t>, including advice given</w:t>
            </w:r>
            <w:r w:rsidRPr="00073FD5">
              <w:t xml:space="preserve"> if </w:t>
            </w:r>
            <w:r>
              <w:t xml:space="preserve">individual </w:t>
            </w:r>
            <w:r w:rsidRPr="00073FD5">
              <w:t>excluded or declines treatment</w:t>
            </w:r>
          </w:p>
          <w:p w14:paraId="4AFD220C" w14:textId="77777777" w:rsidR="00393D73" w:rsidRPr="00073FD5" w:rsidRDefault="00393D73" w:rsidP="008D52EE">
            <w:pPr>
              <w:pStyle w:val="Bulletindent1"/>
            </w:pPr>
            <w:r>
              <w:t xml:space="preserve">Details of any adverse drug reactions </w:t>
            </w:r>
            <w:r w:rsidRPr="00073FD5">
              <w:t>and actions taken</w:t>
            </w:r>
          </w:p>
          <w:p w14:paraId="6C10001F" w14:textId="77777777" w:rsidR="00393D73" w:rsidRPr="000110F4" w:rsidRDefault="00393D73" w:rsidP="008D52EE">
            <w:pPr>
              <w:pStyle w:val="Bulletindent1"/>
            </w:pPr>
            <w:r w:rsidRPr="000110F4">
              <w:rPr>
                <w:color w:val="000000"/>
              </w:rPr>
              <w:t xml:space="preserve">Advice given about the medication including side effects, </w:t>
            </w:r>
            <w:r w:rsidRPr="000110F4">
              <w:t xml:space="preserve">benefits, and when and what to do if any concerns. </w:t>
            </w:r>
          </w:p>
          <w:p w14:paraId="3CE19654" w14:textId="77777777" w:rsidR="00393D73" w:rsidRPr="000110F4" w:rsidRDefault="00393D73" w:rsidP="008D52EE">
            <w:pPr>
              <w:pStyle w:val="Bulletindent1"/>
            </w:pPr>
            <w:r w:rsidRPr="000110F4">
              <w:t>Any follow up and/or referral arrangements made.</w:t>
            </w:r>
          </w:p>
          <w:p w14:paraId="3550F21A" w14:textId="77777777" w:rsidR="00393D73" w:rsidRPr="00E06B7C" w:rsidRDefault="00393D73" w:rsidP="008D52EE">
            <w:pPr>
              <w:pStyle w:val="Bulletindent1"/>
            </w:pPr>
            <w:r w:rsidRPr="000110F4">
              <w:t>Any supply outside the terms of the product marketing authorisation</w:t>
            </w:r>
          </w:p>
          <w:p w14:paraId="7D64A443" w14:textId="77777777" w:rsidR="00393D73" w:rsidRDefault="00393D73" w:rsidP="008D52EE">
            <w:pPr>
              <w:pStyle w:val="Bulletindent1"/>
            </w:pPr>
            <w:r w:rsidRPr="00073FD5">
              <w:t>The supply must be entered in the Patient Medication Record (PMR)</w:t>
            </w:r>
            <w:r>
              <w:t xml:space="preserve"> </w:t>
            </w:r>
          </w:p>
          <w:p w14:paraId="18FE8FDC" w14:textId="77777777" w:rsidR="00393D73" w:rsidRPr="00073FD5" w:rsidRDefault="00393D73" w:rsidP="008D52EE">
            <w:pPr>
              <w:pStyle w:val="Bulletindent1"/>
            </w:pPr>
            <w:r>
              <w:t>That supply was made under a PGD</w:t>
            </w:r>
          </w:p>
          <w:p w14:paraId="78E1A596" w14:textId="77777777" w:rsidR="00393D73" w:rsidRPr="00073FD5" w:rsidRDefault="00393D73" w:rsidP="008D52EE">
            <w:pPr>
              <w:pStyle w:val="Bulletindent1"/>
            </w:pPr>
            <w:r>
              <w:t>Any</w:t>
            </w:r>
            <w:r w:rsidRPr="00073FD5">
              <w:t xml:space="preserve"> safety incidents, such as medication errors, near misses and suspected adverse events</w:t>
            </w:r>
          </w:p>
          <w:p w14:paraId="576CEE9D" w14:textId="7DC0A8CA" w:rsidR="00393D73" w:rsidRPr="00990BEC" w:rsidRDefault="008D52EE" w:rsidP="008D52EE">
            <w:pPr>
              <w:pStyle w:val="Bulletindent1"/>
              <w:rPr>
                <w:highlight w:val="cyan"/>
              </w:rPr>
            </w:pPr>
            <w:r>
              <w:rPr>
                <w:highlight w:val="cyan"/>
              </w:rPr>
              <w:t>[</w:t>
            </w:r>
            <w:r w:rsidR="00393D73" w:rsidRPr="00990BEC">
              <w:rPr>
                <w:highlight w:val="cyan"/>
              </w:rPr>
              <w:t xml:space="preserve">GP to be notified within XXX of supply via usual communication channels (to be </w:t>
            </w:r>
            <w:r w:rsidR="00393D73" w:rsidRPr="00990BEC">
              <w:rPr>
                <w:highlight w:val="cyan"/>
              </w:rPr>
              <w:lastRenderedPageBreak/>
              <w:t>locally adapted depending on location of PGD use/local agreements etc)</w:t>
            </w:r>
            <w:r>
              <w:rPr>
                <w:highlight w:val="cyan"/>
              </w:rPr>
              <w:t>]</w:t>
            </w:r>
          </w:p>
          <w:p w14:paraId="090AD6CE" w14:textId="04620FFA" w:rsidR="00393D73" w:rsidRDefault="00393D73" w:rsidP="008D52EE">
            <w:pPr>
              <w:pStyle w:val="Bulletindent1"/>
            </w:pPr>
            <w:r>
              <w:t>All</w:t>
            </w:r>
            <w:r w:rsidRPr="00F01E1A">
              <w:t xml:space="preserve"> records should be kept </w:t>
            </w:r>
            <w:r>
              <w:t xml:space="preserve">in line with </w:t>
            </w:r>
            <w:hyperlink r:id="rId56" w:history="1">
              <w:r w:rsidR="00E139D7">
                <w:rPr>
                  <w:rStyle w:val="Hyperlink"/>
                  <w:rFonts w:cs="Arial"/>
                  <w:iCs/>
                </w:rPr>
                <w:t>NHS England Records Management Code of Practice</w:t>
              </w:r>
            </w:hyperlink>
            <w:r w:rsidRPr="00F01E1A">
              <w:t xml:space="preserve">. This includes </w:t>
            </w:r>
            <w:r>
              <w:t xml:space="preserve">individual </w:t>
            </w:r>
            <w:r w:rsidRPr="00F01E1A">
              <w:t>data, master copies of the PGD and lists of authorised practitioners.</w:t>
            </w:r>
          </w:p>
          <w:p w14:paraId="7FDF412C" w14:textId="77777777" w:rsidR="00393D73" w:rsidRPr="00F01E1A" w:rsidRDefault="00393D73" w:rsidP="00393D73">
            <w:pPr>
              <w:pStyle w:val="TableParagraph"/>
              <w:ind w:left="321"/>
              <w:rPr>
                <w:rFonts w:ascii="Arial" w:hAnsi="Arial" w:cs="Arial"/>
                <w:iCs/>
                <w:lang w:val="en-GB"/>
              </w:rPr>
            </w:pPr>
          </w:p>
          <w:p w14:paraId="32D438DC" w14:textId="191A876D" w:rsidR="00393D73" w:rsidRPr="00677C74" w:rsidRDefault="00393D73" w:rsidP="00E139D7">
            <w:pPr>
              <w:pStyle w:val="Tabletext"/>
            </w:pPr>
            <w:r w:rsidRPr="00677C74">
              <w:t xml:space="preserve">Records </w:t>
            </w:r>
            <w:r>
              <w:t>must</w:t>
            </w:r>
            <w:r w:rsidRPr="00677C74">
              <w:t xml:space="preserve"> be signed and dated (or password controlled e-records). </w:t>
            </w:r>
          </w:p>
          <w:p w14:paraId="12961DC7" w14:textId="77777777" w:rsidR="00393D73" w:rsidRPr="00677C74" w:rsidRDefault="00393D73" w:rsidP="00E139D7">
            <w:pPr>
              <w:pStyle w:val="Tabletext"/>
            </w:pPr>
          </w:p>
          <w:p w14:paraId="24010435" w14:textId="77777777" w:rsidR="00393D73" w:rsidRPr="00677C74" w:rsidRDefault="00393D73" w:rsidP="00E139D7">
            <w:pPr>
              <w:pStyle w:val="Tabletext"/>
            </w:pPr>
            <w:r w:rsidRPr="00677C74">
              <w:t xml:space="preserve">All records </w:t>
            </w:r>
            <w:r>
              <w:t>must</w:t>
            </w:r>
            <w:r w:rsidRPr="00677C74">
              <w:t xml:space="preserve"> be clear, legible and contemporaneous.</w:t>
            </w:r>
          </w:p>
          <w:p w14:paraId="560B1F79" w14:textId="77777777" w:rsidR="00393D73" w:rsidRPr="00677C74" w:rsidRDefault="00393D73" w:rsidP="00E139D7">
            <w:pPr>
              <w:pStyle w:val="Tabletext"/>
            </w:pPr>
          </w:p>
          <w:p w14:paraId="751340DB" w14:textId="77E019E8" w:rsidR="00393D73" w:rsidRDefault="00393D73" w:rsidP="00581C9E">
            <w:pPr>
              <w:pStyle w:val="Tabletext"/>
              <w:rPr>
                <w:bCs/>
              </w:rPr>
            </w:pPr>
            <w:r w:rsidRPr="00677C74">
              <w:t>A record of all individuals receiving treatment under this PGD should also be kept for audit purposes in accordance with local policy.</w:t>
            </w:r>
            <w:r w:rsidRPr="000E585A">
              <w:rPr>
                <w:bCs/>
              </w:rPr>
              <w:t xml:space="preserve"> </w:t>
            </w:r>
          </w:p>
          <w:p w14:paraId="47F21EB6" w14:textId="77777777" w:rsidR="00581C9E" w:rsidRPr="00581C9E" w:rsidRDefault="00581C9E" w:rsidP="00581C9E">
            <w:pPr>
              <w:pStyle w:val="Tabletext"/>
              <w:rPr>
                <w:rFonts w:cs="Arial"/>
                <w:kern w:val="2"/>
                <w:sz w:val="20"/>
              </w:rPr>
            </w:pPr>
          </w:p>
          <w:p w14:paraId="7EAC017F" w14:textId="567DD318" w:rsidR="00393D73" w:rsidRPr="00902BDA" w:rsidRDefault="00E139D7" w:rsidP="00E139D7">
            <w:pPr>
              <w:pStyle w:val="Tabletext"/>
              <w:rPr>
                <w:highlight w:val="cyan"/>
              </w:rPr>
            </w:pPr>
            <w:r w:rsidRPr="00454638">
              <w:t>[</w:t>
            </w:r>
            <w:r w:rsidR="00393D73" w:rsidRPr="00902BDA">
              <w:rPr>
                <w:highlight w:val="cyan"/>
              </w:rPr>
              <w:t xml:space="preserve">Aspects of the service to be audited should include (but are not limited to): </w:t>
            </w:r>
          </w:p>
          <w:p w14:paraId="27C273BA" w14:textId="77777777" w:rsidR="00393D73" w:rsidRPr="00902BDA" w:rsidRDefault="00393D73" w:rsidP="00E139D7">
            <w:pPr>
              <w:pStyle w:val="Bulletindent1"/>
              <w:rPr>
                <w:highlight w:val="cyan"/>
              </w:rPr>
            </w:pPr>
            <w:r w:rsidRPr="00902BDA">
              <w:rPr>
                <w:highlight w:val="cyan"/>
              </w:rPr>
              <w:t>The volume of individuals assessed using the PGD</w:t>
            </w:r>
          </w:p>
          <w:p w14:paraId="69DE7385" w14:textId="77777777" w:rsidR="00393D73" w:rsidRPr="00902BDA" w:rsidRDefault="00393D73" w:rsidP="00E139D7">
            <w:pPr>
              <w:pStyle w:val="Bulletindent1"/>
              <w:rPr>
                <w:highlight w:val="cyan"/>
              </w:rPr>
            </w:pPr>
            <w:r w:rsidRPr="00902BDA">
              <w:rPr>
                <w:highlight w:val="cyan"/>
              </w:rPr>
              <w:t xml:space="preserve">The population demographics of patients using the service. </w:t>
            </w:r>
          </w:p>
          <w:p w14:paraId="1602A410" w14:textId="77777777" w:rsidR="00393D73" w:rsidRPr="00902BDA" w:rsidRDefault="00393D73" w:rsidP="00E139D7">
            <w:pPr>
              <w:pStyle w:val="Bulletindent1"/>
              <w:rPr>
                <w:highlight w:val="cyan"/>
              </w:rPr>
            </w:pPr>
            <w:r w:rsidRPr="00902BDA">
              <w:rPr>
                <w:highlight w:val="cyan"/>
              </w:rPr>
              <w:t>The volume supplied medication via PGD</w:t>
            </w:r>
          </w:p>
          <w:p w14:paraId="7E5CBF1E" w14:textId="77777777" w:rsidR="00393D73" w:rsidRPr="00902BDA" w:rsidRDefault="00393D73" w:rsidP="00E139D7">
            <w:pPr>
              <w:pStyle w:val="Bulletindent1"/>
              <w:rPr>
                <w:highlight w:val="cyan"/>
              </w:rPr>
            </w:pPr>
            <w:r w:rsidRPr="00902BDA">
              <w:rPr>
                <w:highlight w:val="cyan"/>
              </w:rPr>
              <w:t>The volume receiving TARGET information</w:t>
            </w:r>
          </w:p>
          <w:p w14:paraId="471CE2C6" w14:textId="77777777" w:rsidR="00393D73" w:rsidRPr="00902BDA" w:rsidRDefault="00393D73" w:rsidP="00E139D7">
            <w:pPr>
              <w:pStyle w:val="Bulletindent1"/>
              <w:rPr>
                <w:highlight w:val="cyan"/>
              </w:rPr>
            </w:pPr>
            <w:r w:rsidRPr="00902BDA">
              <w:rPr>
                <w:highlight w:val="cyan"/>
              </w:rPr>
              <w:t xml:space="preserve">Individual outcome at day </w:t>
            </w:r>
            <w:r>
              <w:rPr>
                <w:highlight w:val="cyan"/>
              </w:rPr>
              <w:t>X,</w:t>
            </w:r>
            <w:r w:rsidRPr="00902BDA">
              <w:rPr>
                <w:highlight w:val="cyan"/>
              </w:rPr>
              <w:t xml:space="preserve"> as per service specification</w:t>
            </w:r>
          </w:p>
          <w:p w14:paraId="3A34AFF4" w14:textId="77777777" w:rsidR="00393D73" w:rsidRPr="00902BDA" w:rsidRDefault="00393D73" w:rsidP="00E139D7">
            <w:pPr>
              <w:pStyle w:val="Bulletindent1"/>
              <w:rPr>
                <w:highlight w:val="cyan"/>
              </w:rPr>
            </w:pPr>
            <w:r w:rsidRPr="00902BDA">
              <w:rPr>
                <w:highlight w:val="cyan"/>
              </w:rPr>
              <w:t xml:space="preserve">The number of escalations to other clinicians </w:t>
            </w:r>
          </w:p>
          <w:p w14:paraId="124EFE4F" w14:textId="77777777" w:rsidR="00393D73" w:rsidRPr="00902BDA" w:rsidRDefault="00393D73" w:rsidP="00E139D7">
            <w:pPr>
              <w:pStyle w:val="Bulletindent1"/>
              <w:rPr>
                <w:highlight w:val="cyan"/>
              </w:rPr>
            </w:pPr>
            <w:r w:rsidRPr="00902BDA">
              <w:rPr>
                <w:highlight w:val="cyan"/>
              </w:rPr>
              <w:t xml:space="preserve">Any reported clinical incidents and the findings from their subsequent investigation. </w:t>
            </w:r>
          </w:p>
          <w:p w14:paraId="7B7EC7EE" w14:textId="77777777" w:rsidR="00393D73" w:rsidRPr="00902BDA" w:rsidRDefault="00393D73" w:rsidP="00E139D7">
            <w:pPr>
              <w:pStyle w:val="Bulletindent1"/>
              <w:rPr>
                <w:highlight w:val="cyan"/>
              </w:rPr>
            </w:pPr>
            <w:r w:rsidRPr="00902BDA">
              <w:rPr>
                <w:highlight w:val="cyan"/>
              </w:rPr>
              <w:t xml:space="preserve">The types and effectiveness of secure digital referral routes deployed. </w:t>
            </w:r>
          </w:p>
          <w:p w14:paraId="49C8EE3F" w14:textId="77777777" w:rsidR="00393D73" w:rsidRPr="00902BDA" w:rsidRDefault="00393D73" w:rsidP="00E139D7">
            <w:pPr>
              <w:pStyle w:val="Bulletindent1"/>
              <w:rPr>
                <w:highlight w:val="cyan"/>
              </w:rPr>
            </w:pPr>
            <w:r w:rsidRPr="00902BDA">
              <w:rPr>
                <w:highlight w:val="cyan"/>
              </w:rPr>
              <w:t>Impact on health inequalities (linking to post codes of those diagnosed)</w:t>
            </w:r>
          </w:p>
          <w:p w14:paraId="3C68B93C" w14:textId="77777777" w:rsidR="00393D73" w:rsidRPr="00902BDA" w:rsidRDefault="00393D73" w:rsidP="00E139D7">
            <w:pPr>
              <w:pStyle w:val="Bulletindent1"/>
              <w:rPr>
                <w:highlight w:val="cyan"/>
              </w:rPr>
            </w:pPr>
            <w:r w:rsidRPr="00902BDA">
              <w:rPr>
                <w:highlight w:val="cyan"/>
              </w:rPr>
              <w:t>Service user experience / satisfaction</w:t>
            </w:r>
          </w:p>
          <w:p w14:paraId="1896FE2D" w14:textId="77777777" w:rsidR="00393D73" w:rsidRPr="00902BDA" w:rsidRDefault="00393D73" w:rsidP="00E139D7">
            <w:pPr>
              <w:pStyle w:val="Bulletindent1"/>
              <w:rPr>
                <w:highlight w:val="cyan"/>
              </w:rPr>
            </w:pPr>
            <w:r w:rsidRPr="00902BDA">
              <w:rPr>
                <w:highlight w:val="cyan"/>
              </w:rPr>
              <w:t xml:space="preserve">Operational efficiency and identified issues with the running of the service, </w:t>
            </w:r>
            <w:r w:rsidRPr="00902BDA">
              <w:rPr>
                <w:highlight w:val="cyan"/>
              </w:rPr>
              <w:lastRenderedPageBreak/>
              <w:t>which may prompt changes to its design/future development</w:t>
            </w:r>
          </w:p>
          <w:p w14:paraId="73A1D3D8" w14:textId="77777777" w:rsidR="00393D73" w:rsidRPr="00902BDA" w:rsidRDefault="00393D73" w:rsidP="00E139D7">
            <w:pPr>
              <w:pStyle w:val="Bulletindent1"/>
              <w:rPr>
                <w:rFonts w:eastAsia="Calibri"/>
                <w:b/>
                <w:i/>
                <w:highlight w:val="cyan"/>
              </w:rPr>
            </w:pPr>
            <w:r w:rsidRPr="00902BDA">
              <w:rPr>
                <w:highlight w:val="cyan"/>
              </w:rPr>
              <w:t>The cost of implementation including time and resource(s) required.</w:t>
            </w:r>
          </w:p>
          <w:p w14:paraId="4AF5F403" w14:textId="341830C9" w:rsidR="00393D73" w:rsidRDefault="00393D73" w:rsidP="00E139D7">
            <w:pPr>
              <w:pStyle w:val="Bulletindent1"/>
            </w:pPr>
            <w:r w:rsidRPr="00902BDA">
              <w:rPr>
                <w:highlight w:val="cyan"/>
              </w:rPr>
              <w:t>Impact on antibiotic use</w:t>
            </w:r>
            <w:r w:rsidR="00E139D7">
              <w:t>]</w:t>
            </w:r>
          </w:p>
        </w:tc>
      </w:tr>
    </w:tbl>
    <w:p w14:paraId="53B0192F" w14:textId="77777777" w:rsidR="00BB2599" w:rsidRPr="00BB2599" w:rsidRDefault="00BB2599" w:rsidP="005A6168">
      <w:pPr>
        <w:pStyle w:val="PGDNormal"/>
      </w:pPr>
    </w:p>
    <w:bookmarkEnd w:id="3"/>
    <w:p w14:paraId="74DEDA30" w14:textId="55E84898" w:rsidR="00725927" w:rsidRDefault="00725927" w:rsidP="00BB2C75">
      <w:pPr>
        <w:pStyle w:val="Heading1"/>
      </w:pPr>
      <w:r w:rsidRPr="00DF77C7">
        <w:t xml:space="preserve">Key references </w:t>
      </w:r>
      <w:r w:rsidR="00510425" w:rsidRPr="00DF77C7">
        <w:t>(</w:t>
      </w:r>
      <w:r w:rsidR="00393D73">
        <w:t xml:space="preserve">last </w:t>
      </w:r>
      <w:r w:rsidR="00510425" w:rsidRPr="00DF77C7">
        <w:t>accessed</w:t>
      </w:r>
      <w:r w:rsidR="00D0044C" w:rsidRPr="00DF77C7">
        <w:t xml:space="preserve"> </w:t>
      </w:r>
      <w:r w:rsidR="00393D73">
        <w:t>July 2025</w:t>
      </w:r>
      <w:r w:rsidR="00510425" w:rsidRPr="00DF77C7">
        <w:t>)</w:t>
      </w:r>
    </w:p>
    <w:p w14:paraId="6C602359" w14:textId="7877C7F1" w:rsidR="00393D73" w:rsidRPr="00393D73" w:rsidRDefault="00355BB4" w:rsidP="00393D73">
      <w:pPr>
        <w:pStyle w:val="Bulletindent1"/>
        <w:rPr>
          <w:szCs w:val="22"/>
          <w:lang w:eastAsia="en-GB"/>
        </w:rPr>
      </w:pPr>
      <w:hyperlink r:id="rId57" w:history="1">
        <w:r>
          <w:rPr>
            <w:rStyle w:val="Hyperlink"/>
            <w:szCs w:val="22"/>
            <w:lang w:eastAsia="en-GB"/>
          </w:rPr>
          <w:t>SmPC on MHRA website</w:t>
        </w:r>
      </w:hyperlink>
    </w:p>
    <w:p w14:paraId="3F390465" w14:textId="4F2738A6" w:rsidR="00393D73" w:rsidRPr="00393D73" w:rsidRDefault="00393D73" w:rsidP="00393D73">
      <w:pPr>
        <w:pStyle w:val="Bulletindent1"/>
        <w:rPr>
          <w:szCs w:val="22"/>
          <w:lang w:eastAsia="en-GB"/>
        </w:rPr>
      </w:pPr>
      <w:hyperlink r:id="rId58" w:history="1">
        <w:r w:rsidRPr="00487448">
          <w:rPr>
            <w:rStyle w:val="Hyperlink"/>
            <w:szCs w:val="22"/>
            <w:lang w:eastAsia="en-GB"/>
          </w:rPr>
          <w:t>Electronic BNF</w:t>
        </w:r>
      </w:hyperlink>
    </w:p>
    <w:p w14:paraId="096A624C" w14:textId="5BD2DCCA" w:rsidR="00393D73" w:rsidRPr="00393D73" w:rsidRDefault="00393D73" w:rsidP="00393D73">
      <w:pPr>
        <w:pStyle w:val="Bulletindent1"/>
        <w:rPr>
          <w:rFonts w:cs="Arial"/>
          <w:szCs w:val="22"/>
          <w:lang w:eastAsia="en-GB"/>
        </w:rPr>
      </w:pPr>
      <w:hyperlink r:id="rId59" w:history="1">
        <w:r w:rsidRPr="00454638">
          <w:rPr>
            <w:rStyle w:val="Hyperlink"/>
            <w:rFonts w:cs="Arial"/>
            <w:szCs w:val="22"/>
            <w:lang w:eastAsia="en-GB"/>
          </w:rPr>
          <w:t>Reference guide to consent for examination or treatment</w:t>
        </w:r>
      </w:hyperlink>
      <w:r w:rsidRPr="00393D73">
        <w:rPr>
          <w:rFonts w:cs="Arial"/>
          <w:szCs w:val="22"/>
          <w:lang w:eastAsia="en-GB"/>
        </w:rPr>
        <w:t xml:space="preserve"> </w:t>
      </w:r>
    </w:p>
    <w:p w14:paraId="5149BBA6" w14:textId="784E4B83" w:rsidR="00393D73" w:rsidRPr="00393D73" w:rsidRDefault="00454638" w:rsidP="00393D73">
      <w:pPr>
        <w:pStyle w:val="Bulletindent1"/>
        <w:rPr>
          <w:szCs w:val="22"/>
          <w:lang w:eastAsia="en-GB"/>
        </w:rPr>
      </w:pPr>
      <w:hyperlink r:id="rId60" w:history="1">
        <w:r>
          <w:rPr>
            <w:rStyle w:val="Hyperlink"/>
            <w:szCs w:val="22"/>
            <w:lang w:eastAsia="en-GB"/>
          </w:rPr>
          <w:t>NICE Medicines practice guideline MPG2 - Patient Group Directions - Last Updated 27 March 2017</w:t>
        </w:r>
      </w:hyperlink>
    </w:p>
    <w:p w14:paraId="14B0B86F" w14:textId="5AE089F1" w:rsidR="00393D73" w:rsidRPr="00393D73" w:rsidRDefault="00454638" w:rsidP="00393D73">
      <w:pPr>
        <w:pStyle w:val="Bulletindent1"/>
        <w:rPr>
          <w:szCs w:val="22"/>
          <w:lang w:eastAsia="en-GB"/>
        </w:rPr>
      </w:pPr>
      <w:hyperlink r:id="rId61" w:history="1">
        <w:r w:rsidRPr="00454638">
          <w:rPr>
            <w:rStyle w:val="Hyperlink"/>
            <w:szCs w:val="22"/>
            <w:lang w:eastAsia="en-GB"/>
          </w:rPr>
          <w:t xml:space="preserve">NICE Guideline </w:t>
        </w:r>
        <w:r w:rsidR="00393D73" w:rsidRPr="00454638">
          <w:rPr>
            <w:rStyle w:val="Hyperlink"/>
            <w:szCs w:val="22"/>
            <w:lang w:eastAsia="en-GB"/>
          </w:rPr>
          <w:t>Urinary tract infection (lower): antimicrobial prescribing NG109</w:t>
        </w:r>
      </w:hyperlink>
    </w:p>
    <w:p w14:paraId="5AA027BB" w14:textId="06FF7044" w:rsidR="00393D73" w:rsidRPr="00393D73" w:rsidRDefault="00393D73" w:rsidP="00393D73">
      <w:pPr>
        <w:pStyle w:val="Bulletindent1"/>
        <w:rPr>
          <w:szCs w:val="22"/>
          <w:lang w:eastAsia="en-GB"/>
        </w:rPr>
      </w:pPr>
      <w:hyperlink r:id="rId62" w:history="1">
        <w:r w:rsidRPr="00454638">
          <w:rPr>
            <w:rStyle w:val="Hyperlink"/>
            <w:szCs w:val="22"/>
            <w:lang w:eastAsia="en-GB"/>
          </w:rPr>
          <w:t>Diagnosis of urinary tract infections Quick reference tool for primary care</w:t>
        </w:r>
      </w:hyperlink>
      <w:r w:rsidRPr="00393D73">
        <w:rPr>
          <w:szCs w:val="22"/>
          <w:lang w:eastAsia="en-GB"/>
        </w:rPr>
        <w:t xml:space="preserve"> </w:t>
      </w:r>
    </w:p>
    <w:p w14:paraId="068AB94A" w14:textId="720321C9" w:rsidR="00533F89" w:rsidRPr="00533F89" w:rsidRDefault="00393D73" w:rsidP="00393D73">
      <w:pPr>
        <w:pStyle w:val="Bulletindent1"/>
        <w:rPr>
          <w:lang w:eastAsia="en-GB"/>
        </w:rPr>
      </w:pPr>
      <w:hyperlink r:id="rId63" w:history="1">
        <w:r w:rsidRPr="00454638">
          <w:rPr>
            <w:rStyle w:val="Hyperlink"/>
            <w:rFonts w:cs="Arial"/>
            <w:szCs w:val="22"/>
          </w:rPr>
          <w:t>TARGET Treating your infection - URINARY TRACT INFECTION (TYI-UTI) leaflet</w:t>
        </w:r>
      </w:hyperlink>
      <w:r w:rsidRPr="00393D73">
        <w:rPr>
          <w:rFonts w:cs="Arial"/>
          <w:szCs w:val="22"/>
        </w:rPr>
        <w:t xml:space="preserve"> </w:t>
      </w:r>
      <w:r w:rsidR="007A1448"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49C6FE57" w14:textId="16F42563" w:rsidR="00510425" w:rsidRPr="00DF77C7" w:rsidRDefault="00510425" w:rsidP="00510425">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0F70E5AF"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 </w:t>
      </w:r>
      <w:r w:rsidRPr="00825B58">
        <w:rPr>
          <w:rFonts w:cs="Arial"/>
        </w:rPr>
        <w:t xml:space="preserve"> </w:t>
      </w:r>
      <w:r w:rsidRPr="001A11C9">
        <w:rPr>
          <w:rFonts w:cs="Arial"/>
          <w:highlight w:val="cyan"/>
        </w:rPr>
        <w:t>insert name 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64"/>
      <w:headerReference w:type="default" r:id="rId65"/>
      <w:footerReference w:type="default" r:id="rId66"/>
      <w:headerReference w:type="first" r:id="rId67"/>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5B36CD">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5B36CD"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5B36CD">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6061D"/>
    <w:multiLevelType w:val="hybridMultilevel"/>
    <w:tmpl w:val="70304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25ED3"/>
    <w:multiLevelType w:val="multilevel"/>
    <w:tmpl w:val="EE409148"/>
    <w:numStyleLink w:val="PGDtablebullet2"/>
  </w:abstractNum>
  <w:abstractNum w:abstractNumId="5" w15:restartNumberingAfterBreak="0">
    <w:nsid w:val="1774774D"/>
    <w:multiLevelType w:val="hybridMultilevel"/>
    <w:tmpl w:val="2C18F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E43843"/>
    <w:multiLevelType w:val="hybridMultilevel"/>
    <w:tmpl w:val="1E341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A147243"/>
    <w:multiLevelType w:val="hybridMultilevel"/>
    <w:tmpl w:val="ADC6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56E76"/>
    <w:multiLevelType w:val="multilevel"/>
    <w:tmpl w:val="EE409148"/>
    <w:numStyleLink w:val="PGDtablebullet2"/>
  </w:abstractNum>
  <w:abstractNum w:abstractNumId="13"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7762BD"/>
    <w:multiLevelType w:val="hybridMultilevel"/>
    <w:tmpl w:val="95EAC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037090"/>
    <w:multiLevelType w:val="hybridMultilevel"/>
    <w:tmpl w:val="13A4E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CD2425"/>
    <w:multiLevelType w:val="hybridMultilevel"/>
    <w:tmpl w:val="BA2E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9DA4E56"/>
    <w:multiLevelType w:val="hybridMultilevel"/>
    <w:tmpl w:val="10AAA49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24" w15:restartNumberingAfterBreak="0">
    <w:nsid w:val="5A1762B8"/>
    <w:multiLevelType w:val="hybridMultilevel"/>
    <w:tmpl w:val="14F2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954009"/>
    <w:multiLevelType w:val="multilevel"/>
    <w:tmpl w:val="6C8A4D2A"/>
    <w:numStyleLink w:val="PGDbullet2"/>
  </w:abstractNum>
  <w:abstractNum w:abstractNumId="26"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C4F0F"/>
    <w:multiLevelType w:val="hybridMultilevel"/>
    <w:tmpl w:val="5972D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2" w15:restartNumberingAfterBreak="0">
    <w:nsid w:val="770133B3"/>
    <w:multiLevelType w:val="hybridMultilevel"/>
    <w:tmpl w:val="1122C6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AF4AB3"/>
    <w:multiLevelType w:val="hybridMultilevel"/>
    <w:tmpl w:val="0F7C6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5"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6" w15:restartNumberingAfterBreak="0">
    <w:nsid w:val="78BE70D9"/>
    <w:multiLevelType w:val="hybridMultilevel"/>
    <w:tmpl w:val="F1F00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4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7"/>
  </w:num>
  <w:num w:numId="2" w16cid:durableId="160244081">
    <w:abstractNumId w:val="29"/>
    <w:lvlOverride w:ilvl="0">
      <w:startOverride w:val="1"/>
    </w:lvlOverride>
  </w:num>
  <w:num w:numId="3" w16cid:durableId="559678070">
    <w:abstractNumId w:val="8"/>
    <w:lvlOverride w:ilvl="0">
      <w:startOverride w:val="1"/>
    </w:lvlOverride>
  </w:num>
  <w:num w:numId="4" w16cid:durableId="460340545">
    <w:abstractNumId w:val="13"/>
  </w:num>
  <w:num w:numId="5" w16cid:durableId="862549155">
    <w:abstractNumId w:val="34"/>
  </w:num>
  <w:num w:numId="6" w16cid:durableId="1902785077">
    <w:abstractNumId w:val="35"/>
  </w:num>
  <w:num w:numId="7" w16cid:durableId="1400252542">
    <w:abstractNumId w:val="18"/>
  </w:num>
  <w:num w:numId="8" w16cid:durableId="585113440">
    <w:abstractNumId w:val="11"/>
  </w:num>
  <w:num w:numId="9" w16cid:durableId="1512915418">
    <w:abstractNumId w:val="31"/>
  </w:num>
  <w:num w:numId="10" w16cid:durableId="759831936">
    <w:abstractNumId w:val="39"/>
  </w:num>
  <w:num w:numId="11" w16cid:durableId="1747412429">
    <w:abstractNumId w:val="3"/>
  </w:num>
  <w:num w:numId="12" w16cid:durableId="843521227">
    <w:abstractNumId w:val="26"/>
  </w:num>
  <w:num w:numId="13" w16cid:durableId="1297833641">
    <w:abstractNumId w:val="1"/>
  </w:num>
  <w:num w:numId="14" w16cid:durableId="1684160055">
    <w:abstractNumId w:val="38"/>
  </w:num>
  <w:num w:numId="15" w16cid:durableId="1610894224">
    <w:abstractNumId w:val="40"/>
  </w:num>
  <w:num w:numId="16" w16cid:durableId="1355812959">
    <w:abstractNumId w:val="12"/>
  </w:num>
  <w:num w:numId="17" w16cid:durableId="1708602711">
    <w:abstractNumId w:val="4"/>
  </w:num>
  <w:num w:numId="18" w16cid:durableId="1880973297">
    <w:abstractNumId w:val="16"/>
  </w:num>
  <w:num w:numId="19" w16cid:durableId="1760910594">
    <w:abstractNumId w:val="25"/>
  </w:num>
  <w:num w:numId="20" w16cid:durableId="77676389">
    <w:abstractNumId w:val="6"/>
  </w:num>
  <w:num w:numId="21" w16cid:durableId="1496384920">
    <w:abstractNumId w:val="15"/>
  </w:num>
  <w:num w:numId="22" w16cid:durableId="373623662">
    <w:abstractNumId w:val="0"/>
  </w:num>
  <w:num w:numId="23" w16cid:durableId="441388192">
    <w:abstractNumId w:val="29"/>
    <w:lvlOverride w:ilvl="0">
      <w:startOverride w:val="1"/>
    </w:lvlOverride>
  </w:num>
  <w:num w:numId="24" w16cid:durableId="73867840">
    <w:abstractNumId w:val="8"/>
    <w:lvlOverride w:ilvl="0">
      <w:startOverride w:val="1"/>
    </w:lvlOverride>
  </w:num>
  <w:num w:numId="25" w16cid:durableId="1312711915">
    <w:abstractNumId w:val="28"/>
  </w:num>
  <w:num w:numId="26" w16cid:durableId="1683317119">
    <w:abstractNumId w:val="37"/>
  </w:num>
  <w:num w:numId="27" w16cid:durableId="688217773">
    <w:abstractNumId w:val="17"/>
  </w:num>
  <w:num w:numId="28" w16cid:durableId="774253955">
    <w:abstractNumId w:val="5"/>
  </w:num>
  <w:num w:numId="29" w16cid:durableId="1000040365">
    <w:abstractNumId w:val="36"/>
  </w:num>
  <w:num w:numId="30" w16cid:durableId="1286080383">
    <w:abstractNumId w:val="20"/>
  </w:num>
  <w:num w:numId="31" w16cid:durableId="615988728">
    <w:abstractNumId w:val="30"/>
  </w:num>
  <w:num w:numId="32" w16cid:durableId="1634482091">
    <w:abstractNumId w:val="2"/>
  </w:num>
  <w:num w:numId="33" w16cid:durableId="977884414">
    <w:abstractNumId w:val="23"/>
  </w:num>
  <w:num w:numId="34" w16cid:durableId="1705473014">
    <w:abstractNumId w:val="14"/>
  </w:num>
  <w:num w:numId="35" w16cid:durableId="1261990627">
    <w:abstractNumId w:val="19"/>
  </w:num>
  <w:num w:numId="36" w16cid:durableId="1884294453">
    <w:abstractNumId w:val="24"/>
  </w:num>
  <w:num w:numId="37" w16cid:durableId="136144957">
    <w:abstractNumId w:val="10"/>
  </w:num>
  <w:num w:numId="38" w16cid:durableId="1246649518">
    <w:abstractNumId w:val="21"/>
  </w:num>
  <w:num w:numId="39" w16cid:durableId="1059087533">
    <w:abstractNumId w:val="14"/>
  </w:num>
  <w:num w:numId="40" w16cid:durableId="695040364">
    <w:abstractNumId w:val="33"/>
  </w:num>
  <w:num w:numId="41" w16cid:durableId="2045517566">
    <w:abstractNumId w:val="15"/>
  </w:num>
  <w:num w:numId="42" w16cid:durableId="465853442">
    <w:abstractNumId w:val="15"/>
  </w:num>
  <w:num w:numId="43" w16cid:durableId="725567817">
    <w:abstractNumId w:val="7"/>
  </w:num>
  <w:num w:numId="44" w16cid:durableId="841625084">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5EBC"/>
    <w:rsid w:val="00026393"/>
    <w:rsid w:val="00031DE4"/>
    <w:rsid w:val="0003249A"/>
    <w:rsid w:val="0003670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367A"/>
    <w:rsid w:val="000661B3"/>
    <w:rsid w:val="00071312"/>
    <w:rsid w:val="00072490"/>
    <w:rsid w:val="0007357B"/>
    <w:rsid w:val="00073A2D"/>
    <w:rsid w:val="00073B6D"/>
    <w:rsid w:val="0007473C"/>
    <w:rsid w:val="00076494"/>
    <w:rsid w:val="00081B91"/>
    <w:rsid w:val="000856ED"/>
    <w:rsid w:val="000912CD"/>
    <w:rsid w:val="00091E6A"/>
    <w:rsid w:val="00094700"/>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3B"/>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67BB"/>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0CA0"/>
    <w:rsid w:val="001C241E"/>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4E43"/>
    <w:rsid w:val="00235023"/>
    <w:rsid w:val="00237A35"/>
    <w:rsid w:val="002406C4"/>
    <w:rsid w:val="00243191"/>
    <w:rsid w:val="00244593"/>
    <w:rsid w:val="00244F1F"/>
    <w:rsid w:val="0025085E"/>
    <w:rsid w:val="00251D91"/>
    <w:rsid w:val="002529F3"/>
    <w:rsid w:val="002606E1"/>
    <w:rsid w:val="002651BA"/>
    <w:rsid w:val="00265C0F"/>
    <w:rsid w:val="0026660B"/>
    <w:rsid w:val="0027153F"/>
    <w:rsid w:val="00272136"/>
    <w:rsid w:val="002740D9"/>
    <w:rsid w:val="00274956"/>
    <w:rsid w:val="002759EC"/>
    <w:rsid w:val="00276789"/>
    <w:rsid w:val="002808A9"/>
    <w:rsid w:val="00285B42"/>
    <w:rsid w:val="00290FAB"/>
    <w:rsid w:val="00293756"/>
    <w:rsid w:val="00294355"/>
    <w:rsid w:val="00295278"/>
    <w:rsid w:val="00296701"/>
    <w:rsid w:val="002A15CA"/>
    <w:rsid w:val="002A26DA"/>
    <w:rsid w:val="002A6CB8"/>
    <w:rsid w:val="002A7D61"/>
    <w:rsid w:val="002B1479"/>
    <w:rsid w:val="002B1B6E"/>
    <w:rsid w:val="002B4181"/>
    <w:rsid w:val="002B5BAC"/>
    <w:rsid w:val="002B5E5D"/>
    <w:rsid w:val="002B62CC"/>
    <w:rsid w:val="002B6400"/>
    <w:rsid w:val="002C19DC"/>
    <w:rsid w:val="002C1F27"/>
    <w:rsid w:val="002C24CE"/>
    <w:rsid w:val="002C5736"/>
    <w:rsid w:val="002D4185"/>
    <w:rsid w:val="002E0743"/>
    <w:rsid w:val="002F134E"/>
    <w:rsid w:val="002F4DEC"/>
    <w:rsid w:val="002F5864"/>
    <w:rsid w:val="002F652F"/>
    <w:rsid w:val="00301008"/>
    <w:rsid w:val="00301650"/>
    <w:rsid w:val="00302939"/>
    <w:rsid w:val="003111B2"/>
    <w:rsid w:val="00315465"/>
    <w:rsid w:val="003156DC"/>
    <w:rsid w:val="00317A97"/>
    <w:rsid w:val="00317C16"/>
    <w:rsid w:val="003203A2"/>
    <w:rsid w:val="003225C3"/>
    <w:rsid w:val="00323120"/>
    <w:rsid w:val="00323184"/>
    <w:rsid w:val="0032348B"/>
    <w:rsid w:val="0032462A"/>
    <w:rsid w:val="0032598F"/>
    <w:rsid w:val="00330081"/>
    <w:rsid w:val="00334B40"/>
    <w:rsid w:val="0033580B"/>
    <w:rsid w:val="00335913"/>
    <w:rsid w:val="00337E0A"/>
    <w:rsid w:val="00341D83"/>
    <w:rsid w:val="00351BBC"/>
    <w:rsid w:val="00355735"/>
    <w:rsid w:val="00355BB4"/>
    <w:rsid w:val="00356794"/>
    <w:rsid w:val="00361290"/>
    <w:rsid w:val="0036186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D73"/>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32289"/>
    <w:rsid w:val="00433897"/>
    <w:rsid w:val="004340EF"/>
    <w:rsid w:val="00434610"/>
    <w:rsid w:val="00437F47"/>
    <w:rsid w:val="00440E43"/>
    <w:rsid w:val="0044281C"/>
    <w:rsid w:val="00447D9C"/>
    <w:rsid w:val="0045127E"/>
    <w:rsid w:val="00453867"/>
    <w:rsid w:val="00453B8C"/>
    <w:rsid w:val="00454638"/>
    <w:rsid w:val="004554AB"/>
    <w:rsid w:val="004564FB"/>
    <w:rsid w:val="0045723E"/>
    <w:rsid w:val="00463FF5"/>
    <w:rsid w:val="00467940"/>
    <w:rsid w:val="00473E4D"/>
    <w:rsid w:val="004748CA"/>
    <w:rsid w:val="00476876"/>
    <w:rsid w:val="0048006E"/>
    <w:rsid w:val="00480581"/>
    <w:rsid w:val="0048223A"/>
    <w:rsid w:val="004826F5"/>
    <w:rsid w:val="00482D75"/>
    <w:rsid w:val="004870F8"/>
    <w:rsid w:val="0048744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B7A57"/>
    <w:rsid w:val="004C0BD9"/>
    <w:rsid w:val="004C18D1"/>
    <w:rsid w:val="004C1FDF"/>
    <w:rsid w:val="004C243F"/>
    <w:rsid w:val="004C39C3"/>
    <w:rsid w:val="004C51BE"/>
    <w:rsid w:val="004C67A9"/>
    <w:rsid w:val="004C74E5"/>
    <w:rsid w:val="004C78B4"/>
    <w:rsid w:val="004D11DE"/>
    <w:rsid w:val="004D1C74"/>
    <w:rsid w:val="004D30C0"/>
    <w:rsid w:val="004D3649"/>
    <w:rsid w:val="004D4FB3"/>
    <w:rsid w:val="004D6E41"/>
    <w:rsid w:val="004E044C"/>
    <w:rsid w:val="004E48B7"/>
    <w:rsid w:val="004E59D9"/>
    <w:rsid w:val="004E7E16"/>
    <w:rsid w:val="004F55B1"/>
    <w:rsid w:val="005001FC"/>
    <w:rsid w:val="00501566"/>
    <w:rsid w:val="00501FBD"/>
    <w:rsid w:val="00502626"/>
    <w:rsid w:val="00504FB7"/>
    <w:rsid w:val="00510425"/>
    <w:rsid w:val="00510803"/>
    <w:rsid w:val="00520D02"/>
    <w:rsid w:val="0052670D"/>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1C9E"/>
    <w:rsid w:val="00583011"/>
    <w:rsid w:val="005903AC"/>
    <w:rsid w:val="00592D87"/>
    <w:rsid w:val="00593089"/>
    <w:rsid w:val="005949EA"/>
    <w:rsid w:val="0059738E"/>
    <w:rsid w:val="005A0BCC"/>
    <w:rsid w:val="005A11C4"/>
    <w:rsid w:val="005A16B8"/>
    <w:rsid w:val="005A2C55"/>
    <w:rsid w:val="005A3C13"/>
    <w:rsid w:val="005A5897"/>
    <w:rsid w:val="005A6168"/>
    <w:rsid w:val="005A61E9"/>
    <w:rsid w:val="005A6885"/>
    <w:rsid w:val="005A7D8A"/>
    <w:rsid w:val="005B36CD"/>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173"/>
    <w:rsid w:val="005F4864"/>
    <w:rsid w:val="005F4940"/>
    <w:rsid w:val="00600F2A"/>
    <w:rsid w:val="00602CB0"/>
    <w:rsid w:val="00604707"/>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4522D"/>
    <w:rsid w:val="0065050E"/>
    <w:rsid w:val="0065215A"/>
    <w:rsid w:val="006529F3"/>
    <w:rsid w:val="00654491"/>
    <w:rsid w:val="006565AD"/>
    <w:rsid w:val="00660106"/>
    <w:rsid w:val="006604BA"/>
    <w:rsid w:val="006610ED"/>
    <w:rsid w:val="00665687"/>
    <w:rsid w:val="00665D0E"/>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555A"/>
    <w:rsid w:val="006F6E18"/>
    <w:rsid w:val="00700627"/>
    <w:rsid w:val="00700A9C"/>
    <w:rsid w:val="0070211B"/>
    <w:rsid w:val="00702A95"/>
    <w:rsid w:val="00711452"/>
    <w:rsid w:val="0071246D"/>
    <w:rsid w:val="00713AB2"/>
    <w:rsid w:val="0071562D"/>
    <w:rsid w:val="00716DE0"/>
    <w:rsid w:val="00724859"/>
    <w:rsid w:val="00725927"/>
    <w:rsid w:val="007335A9"/>
    <w:rsid w:val="007338E6"/>
    <w:rsid w:val="00735292"/>
    <w:rsid w:val="00737FD6"/>
    <w:rsid w:val="00740F19"/>
    <w:rsid w:val="00742444"/>
    <w:rsid w:val="00743222"/>
    <w:rsid w:val="0074695F"/>
    <w:rsid w:val="00746C50"/>
    <w:rsid w:val="00754053"/>
    <w:rsid w:val="0075421A"/>
    <w:rsid w:val="0075472D"/>
    <w:rsid w:val="00757946"/>
    <w:rsid w:val="00762BFE"/>
    <w:rsid w:val="007635D1"/>
    <w:rsid w:val="00763E7A"/>
    <w:rsid w:val="007644BC"/>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2A93"/>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3AD3"/>
    <w:rsid w:val="00883EDC"/>
    <w:rsid w:val="0088563D"/>
    <w:rsid w:val="00886211"/>
    <w:rsid w:val="00886FD6"/>
    <w:rsid w:val="008956F5"/>
    <w:rsid w:val="00895776"/>
    <w:rsid w:val="00895961"/>
    <w:rsid w:val="0089661B"/>
    <w:rsid w:val="008A24EB"/>
    <w:rsid w:val="008A5671"/>
    <w:rsid w:val="008A6198"/>
    <w:rsid w:val="008B2A57"/>
    <w:rsid w:val="008B30AB"/>
    <w:rsid w:val="008B3958"/>
    <w:rsid w:val="008B4145"/>
    <w:rsid w:val="008C121C"/>
    <w:rsid w:val="008C2F75"/>
    <w:rsid w:val="008C3DAE"/>
    <w:rsid w:val="008C6AC3"/>
    <w:rsid w:val="008D186B"/>
    <w:rsid w:val="008D3327"/>
    <w:rsid w:val="008D4441"/>
    <w:rsid w:val="008D4727"/>
    <w:rsid w:val="008D4866"/>
    <w:rsid w:val="008D52EE"/>
    <w:rsid w:val="008D5E28"/>
    <w:rsid w:val="008D6D14"/>
    <w:rsid w:val="008D75CF"/>
    <w:rsid w:val="008D7606"/>
    <w:rsid w:val="008E42BC"/>
    <w:rsid w:val="008E511A"/>
    <w:rsid w:val="008E64FB"/>
    <w:rsid w:val="008F09E1"/>
    <w:rsid w:val="008F30A1"/>
    <w:rsid w:val="008F6FF7"/>
    <w:rsid w:val="0090096D"/>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4FCB"/>
    <w:rsid w:val="00976054"/>
    <w:rsid w:val="00980479"/>
    <w:rsid w:val="00980CE6"/>
    <w:rsid w:val="009811EA"/>
    <w:rsid w:val="009826DD"/>
    <w:rsid w:val="00984482"/>
    <w:rsid w:val="00985C7C"/>
    <w:rsid w:val="009876F3"/>
    <w:rsid w:val="0099097B"/>
    <w:rsid w:val="00991A23"/>
    <w:rsid w:val="009950F3"/>
    <w:rsid w:val="00996AFB"/>
    <w:rsid w:val="009A2D6C"/>
    <w:rsid w:val="009A3A3E"/>
    <w:rsid w:val="009B0179"/>
    <w:rsid w:val="009B05E9"/>
    <w:rsid w:val="009B195D"/>
    <w:rsid w:val="009B444E"/>
    <w:rsid w:val="009B4905"/>
    <w:rsid w:val="009B4E98"/>
    <w:rsid w:val="009B596C"/>
    <w:rsid w:val="009B6239"/>
    <w:rsid w:val="009B62D2"/>
    <w:rsid w:val="009B6FA5"/>
    <w:rsid w:val="009B7A66"/>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95DEB"/>
    <w:rsid w:val="00AA0666"/>
    <w:rsid w:val="00AA0EFC"/>
    <w:rsid w:val="00AA150C"/>
    <w:rsid w:val="00AA16A5"/>
    <w:rsid w:val="00AA18EC"/>
    <w:rsid w:val="00AA200A"/>
    <w:rsid w:val="00AA2DC6"/>
    <w:rsid w:val="00AA4332"/>
    <w:rsid w:val="00AA5A30"/>
    <w:rsid w:val="00AB2F4B"/>
    <w:rsid w:val="00AB40E4"/>
    <w:rsid w:val="00AB5D04"/>
    <w:rsid w:val="00AC0BE9"/>
    <w:rsid w:val="00AC2167"/>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065AA"/>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06A0"/>
    <w:rsid w:val="00B912CD"/>
    <w:rsid w:val="00B922C4"/>
    <w:rsid w:val="00B92435"/>
    <w:rsid w:val="00BA19CD"/>
    <w:rsid w:val="00BA4095"/>
    <w:rsid w:val="00BA57B1"/>
    <w:rsid w:val="00BA6AF1"/>
    <w:rsid w:val="00BB2599"/>
    <w:rsid w:val="00BB2C75"/>
    <w:rsid w:val="00BB3155"/>
    <w:rsid w:val="00BC2FFD"/>
    <w:rsid w:val="00BC445E"/>
    <w:rsid w:val="00BD1D91"/>
    <w:rsid w:val="00BE0E22"/>
    <w:rsid w:val="00BE6C68"/>
    <w:rsid w:val="00BE7661"/>
    <w:rsid w:val="00BE7810"/>
    <w:rsid w:val="00BF09D0"/>
    <w:rsid w:val="00BF1BB5"/>
    <w:rsid w:val="00BF711A"/>
    <w:rsid w:val="00C005D8"/>
    <w:rsid w:val="00C02400"/>
    <w:rsid w:val="00C06E05"/>
    <w:rsid w:val="00C10DAE"/>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71A"/>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D8A"/>
    <w:rsid w:val="00CC4F69"/>
    <w:rsid w:val="00CC5763"/>
    <w:rsid w:val="00CC6054"/>
    <w:rsid w:val="00CC658D"/>
    <w:rsid w:val="00CC6F35"/>
    <w:rsid w:val="00CD1FE9"/>
    <w:rsid w:val="00CD207C"/>
    <w:rsid w:val="00CD7B61"/>
    <w:rsid w:val="00CE176B"/>
    <w:rsid w:val="00CE50C2"/>
    <w:rsid w:val="00CE527F"/>
    <w:rsid w:val="00CE73FB"/>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63D44"/>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3AFB"/>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39D7"/>
    <w:rsid w:val="00E155DA"/>
    <w:rsid w:val="00E16CB2"/>
    <w:rsid w:val="00E24D2F"/>
    <w:rsid w:val="00E27083"/>
    <w:rsid w:val="00E27D26"/>
    <w:rsid w:val="00E30A2D"/>
    <w:rsid w:val="00E334E6"/>
    <w:rsid w:val="00E437E5"/>
    <w:rsid w:val="00E4552C"/>
    <w:rsid w:val="00E45889"/>
    <w:rsid w:val="00E45954"/>
    <w:rsid w:val="00E46E97"/>
    <w:rsid w:val="00E511F5"/>
    <w:rsid w:val="00E513E3"/>
    <w:rsid w:val="00E57A07"/>
    <w:rsid w:val="00E60C36"/>
    <w:rsid w:val="00E6166A"/>
    <w:rsid w:val="00E64981"/>
    <w:rsid w:val="00E66383"/>
    <w:rsid w:val="00E66580"/>
    <w:rsid w:val="00E71C5C"/>
    <w:rsid w:val="00E72C41"/>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B6BDA"/>
    <w:rsid w:val="00EC5BB8"/>
    <w:rsid w:val="00ED232C"/>
    <w:rsid w:val="00ED4BF7"/>
    <w:rsid w:val="00EE2FE2"/>
    <w:rsid w:val="00EE5261"/>
    <w:rsid w:val="00EE659F"/>
    <w:rsid w:val="00EF09E0"/>
    <w:rsid w:val="00EF146C"/>
    <w:rsid w:val="00EF380B"/>
    <w:rsid w:val="00EF3BB2"/>
    <w:rsid w:val="00EF69F8"/>
    <w:rsid w:val="00EF6A7F"/>
    <w:rsid w:val="00F02A57"/>
    <w:rsid w:val="00F05D5F"/>
    <w:rsid w:val="00F074B1"/>
    <w:rsid w:val="00F136BE"/>
    <w:rsid w:val="00F141C0"/>
    <w:rsid w:val="00F14FA7"/>
    <w:rsid w:val="00F1554F"/>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1E03"/>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 w:val="00FF2E93"/>
    <w:rsid w:val="0897019A"/>
    <w:rsid w:val="488F06B8"/>
    <w:rsid w:val="4FE8043A"/>
    <w:rsid w:val="60E3F258"/>
    <w:rsid w:val="65CFD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6CD"/>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D63D44"/>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D63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D63D44"/>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63D44"/>
    <w:pPr>
      <w:spacing w:before="200"/>
      <w:outlineLvl w:val="3"/>
    </w:pPr>
    <w:rPr>
      <w:rFonts w:ascii="Cambria" w:hAnsi="Cambria"/>
      <w:b/>
      <w:bCs/>
      <w:i/>
      <w:iCs/>
    </w:rPr>
  </w:style>
  <w:style w:type="paragraph" w:styleId="Heading5">
    <w:name w:val="heading 5"/>
    <w:basedOn w:val="Normal"/>
    <w:next w:val="Normal"/>
    <w:link w:val="Heading5Char"/>
    <w:uiPriority w:val="9"/>
    <w:qFormat/>
    <w:rsid w:val="00D63D44"/>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63D44"/>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63D44"/>
    <w:pPr>
      <w:outlineLvl w:val="6"/>
    </w:pPr>
    <w:rPr>
      <w:rFonts w:ascii="Cambria" w:hAnsi="Cambria"/>
      <w:i/>
      <w:iCs/>
    </w:rPr>
  </w:style>
  <w:style w:type="paragraph" w:styleId="Heading8">
    <w:name w:val="heading 8"/>
    <w:basedOn w:val="Normal"/>
    <w:next w:val="Normal"/>
    <w:link w:val="Heading8Char"/>
    <w:uiPriority w:val="9"/>
    <w:qFormat/>
    <w:rsid w:val="00D63D44"/>
    <w:pPr>
      <w:outlineLvl w:val="7"/>
    </w:pPr>
    <w:rPr>
      <w:rFonts w:ascii="Cambria" w:hAnsi="Cambria"/>
    </w:rPr>
  </w:style>
  <w:style w:type="paragraph" w:styleId="Heading9">
    <w:name w:val="heading 9"/>
    <w:basedOn w:val="Normal"/>
    <w:next w:val="Normal"/>
    <w:link w:val="Heading9Char"/>
    <w:uiPriority w:val="9"/>
    <w:qFormat/>
    <w:rsid w:val="00D63D44"/>
    <w:pPr>
      <w:outlineLvl w:val="8"/>
    </w:pPr>
    <w:rPr>
      <w:rFonts w:ascii="Cambria" w:hAnsi="Cambria"/>
      <w:i/>
      <w:iCs/>
      <w:spacing w:val="5"/>
    </w:rPr>
  </w:style>
  <w:style w:type="character" w:default="1" w:styleId="DefaultParagraphFont">
    <w:name w:val="Default Paragraph Font"/>
    <w:uiPriority w:val="1"/>
    <w:semiHidden/>
    <w:unhideWhenUsed/>
    <w:rsid w:val="005B36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36CD"/>
  </w:style>
  <w:style w:type="paragraph" w:customStyle="1" w:styleId="NICEnormal">
    <w:name w:val="NICE normal"/>
    <w:rsid w:val="00D63D44"/>
    <w:pPr>
      <w:spacing w:after="240" w:line="360" w:lineRule="auto"/>
    </w:pPr>
    <w:rPr>
      <w:rFonts w:ascii="Arial" w:eastAsia="Times New Roman" w:hAnsi="Arial"/>
      <w:lang w:val="en-US" w:eastAsia="en-US"/>
    </w:rPr>
  </w:style>
  <w:style w:type="character" w:customStyle="1" w:styleId="NICEnormalChar">
    <w:name w:val="NICE normal Char"/>
    <w:rsid w:val="00D63D44"/>
    <w:rPr>
      <w:rFonts w:ascii="Arial" w:eastAsia="Times New Roman" w:hAnsi="Arial"/>
      <w:sz w:val="24"/>
      <w:szCs w:val="24"/>
      <w:lang w:val="en-GB" w:eastAsia="en-US" w:bidi="ar-SA"/>
    </w:rPr>
  </w:style>
  <w:style w:type="character" w:customStyle="1" w:styleId="Heading1Char">
    <w:name w:val="Heading 1 Char"/>
    <w:link w:val="Heading1"/>
    <w:uiPriority w:val="1"/>
    <w:rsid w:val="00D63D44"/>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D63D44"/>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D63D44"/>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D63D44"/>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D63D44"/>
    <w:pPr>
      <w:ind w:left="720"/>
      <w:contextualSpacing/>
    </w:pPr>
    <w:rPr>
      <w:rFonts w:eastAsia="Calibri"/>
    </w:rPr>
  </w:style>
  <w:style w:type="character" w:styleId="Hyperlink">
    <w:name w:val="Hyperlink"/>
    <w:uiPriority w:val="99"/>
    <w:rsid w:val="00D63D44"/>
    <w:rPr>
      <w:color w:val="0000FF"/>
      <w:u w:val="single"/>
    </w:rPr>
  </w:style>
  <w:style w:type="paragraph" w:styleId="Header">
    <w:name w:val="header"/>
    <w:basedOn w:val="Normal"/>
    <w:link w:val="HeaderChar"/>
    <w:uiPriority w:val="99"/>
    <w:rsid w:val="00D63D44"/>
    <w:pPr>
      <w:tabs>
        <w:tab w:val="center" w:pos="4513"/>
        <w:tab w:val="right" w:pos="9026"/>
      </w:tabs>
    </w:pPr>
    <w:rPr>
      <w:rFonts w:ascii="Arial" w:hAnsi="Arial"/>
    </w:rPr>
  </w:style>
  <w:style w:type="paragraph" w:customStyle="1" w:styleId="NICEnormaldoublespacing">
    <w:name w:val="NICE normal double spacing"/>
    <w:basedOn w:val="NICEnormal"/>
    <w:rsid w:val="00D63D44"/>
  </w:style>
  <w:style w:type="character" w:customStyle="1" w:styleId="HeaderChar">
    <w:name w:val="Header Char"/>
    <w:link w:val="Header"/>
    <w:uiPriority w:val="99"/>
    <w:rsid w:val="00D63D44"/>
    <w:rPr>
      <w:rFonts w:ascii="Arial" w:eastAsiaTheme="minorHAnsi" w:hAnsi="Arial"/>
      <w:kern w:val="2"/>
      <w:lang w:eastAsia="en-US"/>
      <w14:ligatures w14:val="standardContextual"/>
    </w:rPr>
  </w:style>
  <w:style w:type="paragraph" w:styleId="Footer">
    <w:name w:val="footer"/>
    <w:basedOn w:val="Normal"/>
    <w:link w:val="FooterChar"/>
    <w:uiPriority w:val="99"/>
    <w:rsid w:val="00D63D44"/>
    <w:pPr>
      <w:tabs>
        <w:tab w:val="center" w:pos="4513"/>
        <w:tab w:val="right" w:pos="9026"/>
      </w:tabs>
    </w:pPr>
    <w:rPr>
      <w:rFonts w:ascii="Arial" w:hAnsi="Arial"/>
    </w:rPr>
  </w:style>
  <w:style w:type="character" w:customStyle="1" w:styleId="FooterChar">
    <w:name w:val="Footer Char"/>
    <w:link w:val="Footer"/>
    <w:uiPriority w:val="99"/>
    <w:rsid w:val="00D63D44"/>
    <w:rPr>
      <w:rFonts w:ascii="Arial" w:eastAsiaTheme="minorHAnsi" w:hAnsi="Arial"/>
      <w:kern w:val="2"/>
      <w:lang w:eastAsia="en-US"/>
      <w14:ligatures w14:val="standardContextual"/>
    </w:rPr>
  </w:style>
  <w:style w:type="paragraph" w:customStyle="1" w:styleId="Style1">
    <w:name w:val="Style1"/>
    <w:basedOn w:val="Normal"/>
    <w:autoRedefine/>
    <w:rsid w:val="00D63D44"/>
    <w:pPr>
      <w:keepNext/>
      <w:spacing w:line="360" w:lineRule="auto"/>
      <w:ind w:left="567"/>
    </w:pPr>
    <w:rPr>
      <w:rFonts w:ascii="Arial" w:hAnsi="Arial" w:cs="Arial"/>
      <w:szCs w:val="16"/>
    </w:rPr>
  </w:style>
  <w:style w:type="paragraph" w:customStyle="1" w:styleId="Unnumberedboldheading">
    <w:name w:val="Unnumbered bold heading"/>
    <w:next w:val="NICEnormal"/>
    <w:rsid w:val="00D63D44"/>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D63D44"/>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D63D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D44"/>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D63D44"/>
  </w:style>
  <w:style w:type="paragraph" w:customStyle="1" w:styleId="Introtext">
    <w:name w:val="Intro text"/>
    <w:basedOn w:val="PGDNormal"/>
    <w:rsid w:val="00D63D44"/>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D63D44"/>
    <w:pPr>
      <w:tabs>
        <w:tab w:val="num" w:pos="360"/>
      </w:tabs>
    </w:pPr>
    <w:rPr>
      <w:szCs w:val="24"/>
    </w:rPr>
  </w:style>
  <w:style w:type="character" w:customStyle="1" w:styleId="Numberedheading1CharChar">
    <w:name w:val="Numbered heading 1 Char Char"/>
    <w:link w:val="Numberedheading1"/>
    <w:rsid w:val="00D63D44"/>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D63D44"/>
    <w:pPr>
      <w:tabs>
        <w:tab w:val="num" w:pos="360"/>
      </w:tabs>
    </w:pPr>
  </w:style>
  <w:style w:type="character" w:customStyle="1" w:styleId="Numberedheading2Char">
    <w:name w:val="Numbered heading 2 Char"/>
    <w:basedOn w:val="Heading2Char"/>
    <w:link w:val="Numberedheading2"/>
    <w:rsid w:val="00D63D44"/>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D63D44"/>
    <w:pPr>
      <w:tabs>
        <w:tab w:val="num" w:pos="360"/>
      </w:tabs>
    </w:pPr>
    <w:rPr>
      <w:sz w:val="26"/>
    </w:rPr>
  </w:style>
  <w:style w:type="paragraph" w:customStyle="1" w:styleId="Numberedlevel4text">
    <w:name w:val="Numbered level 4 text"/>
    <w:basedOn w:val="NICEnormal"/>
    <w:next w:val="NICEnormal"/>
    <w:rsid w:val="00D63D44"/>
    <w:pPr>
      <w:tabs>
        <w:tab w:val="num" w:pos="360"/>
      </w:tabs>
    </w:pPr>
  </w:style>
  <w:style w:type="paragraph" w:customStyle="1" w:styleId="Numberedlevel3text">
    <w:name w:val="Numbered level 3 text"/>
    <w:basedOn w:val="Numberedheading3"/>
    <w:rsid w:val="00D63D44"/>
    <w:pPr>
      <w:spacing w:after="240"/>
    </w:pPr>
    <w:rPr>
      <w:b w:val="0"/>
      <w:sz w:val="24"/>
    </w:rPr>
  </w:style>
  <w:style w:type="paragraph" w:customStyle="1" w:styleId="Bulletindent2">
    <w:name w:val="Bullet indent 2"/>
    <w:basedOn w:val="NICEnormal"/>
    <w:rsid w:val="00D63D44"/>
    <w:pPr>
      <w:tabs>
        <w:tab w:val="num" w:pos="360"/>
      </w:tabs>
      <w:spacing w:after="0"/>
      <w:ind w:left="1702" w:hanging="284"/>
    </w:pPr>
  </w:style>
  <w:style w:type="paragraph" w:customStyle="1" w:styleId="Title16ptleft">
    <w:name w:val="Title 16 pt left"/>
    <w:basedOn w:val="Title16pt"/>
    <w:rsid w:val="00D63D44"/>
  </w:style>
  <w:style w:type="paragraph" w:customStyle="1" w:styleId="Bulletleft1">
    <w:name w:val="Bullet left 1"/>
    <w:basedOn w:val="NICEnormal"/>
    <w:rsid w:val="00D63D44"/>
    <w:pPr>
      <w:tabs>
        <w:tab w:val="num" w:pos="360"/>
      </w:tabs>
      <w:spacing w:after="0"/>
    </w:pPr>
  </w:style>
  <w:style w:type="character" w:customStyle="1" w:styleId="Bulletleft1Char">
    <w:name w:val="Bullet left 1 Char"/>
    <w:basedOn w:val="NICEnormalChar"/>
    <w:rsid w:val="00D63D44"/>
    <w:rPr>
      <w:rFonts w:ascii="Arial" w:eastAsia="Times New Roman" w:hAnsi="Arial"/>
      <w:sz w:val="24"/>
      <w:szCs w:val="24"/>
      <w:lang w:val="en-GB" w:eastAsia="en-US" w:bidi="ar-SA"/>
    </w:rPr>
  </w:style>
  <w:style w:type="paragraph" w:customStyle="1" w:styleId="Bulletleft2">
    <w:name w:val="Bullet left 2"/>
    <w:basedOn w:val="NICEnormal"/>
    <w:rsid w:val="00D63D44"/>
    <w:pPr>
      <w:tabs>
        <w:tab w:val="num" w:pos="360"/>
      </w:tabs>
      <w:spacing w:after="0"/>
      <w:ind w:left="568" w:hanging="284"/>
    </w:pPr>
  </w:style>
  <w:style w:type="paragraph" w:customStyle="1" w:styleId="Bulletleft3">
    <w:name w:val="Bullet left 3"/>
    <w:basedOn w:val="NICEnormal"/>
    <w:rsid w:val="00D63D44"/>
    <w:pPr>
      <w:tabs>
        <w:tab w:val="num" w:pos="360"/>
      </w:tabs>
      <w:spacing w:after="0"/>
    </w:pPr>
  </w:style>
  <w:style w:type="paragraph" w:customStyle="1" w:styleId="Bulletindent1">
    <w:name w:val="Bullet indent 1"/>
    <w:basedOn w:val="NICEnormal"/>
    <w:rsid w:val="00D63D44"/>
    <w:pPr>
      <w:numPr>
        <w:numId w:val="21"/>
      </w:numPr>
      <w:spacing w:before="120" w:after="120" w:line="240" w:lineRule="auto"/>
    </w:pPr>
    <w:rPr>
      <w:sz w:val="22"/>
      <w:lang w:val="en-GB"/>
    </w:rPr>
  </w:style>
  <w:style w:type="paragraph" w:customStyle="1" w:styleId="Bulletindent3">
    <w:name w:val="Bullet indent 3"/>
    <w:basedOn w:val="NICEnormal"/>
    <w:rsid w:val="00D63D44"/>
    <w:pPr>
      <w:tabs>
        <w:tab w:val="num" w:pos="360"/>
      </w:tabs>
      <w:spacing w:after="0"/>
    </w:pPr>
  </w:style>
  <w:style w:type="paragraph" w:customStyle="1" w:styleId="Numberedlevel2text">
    <w:name w:val="Numbered level 2 text"/>
    <w:basedOn w:val="Numberedheading2"/>
    <w:rsid w:val="00D63D44"/>
    <w:pPr>
      <w:spacing w:after="240"/>
    </w:pPr>
    <w:rPr>
      <w:b/>
      <w:i/>
    </w:rPr>
  </w:style>
  <w:style w:type="paragraph" w:customStyle="1" w:styleId="Bulletleft1last">
    <w:name w:val="Bullet left 1 last"/>
    <w:basedOn w:val="NICEnormal"/>
    <w:rsid w:val="00D63D44"/>
    <w:pPr>
      <w:tabs>
        <w:tab w:val="num" w:pos="360"/>
      </w:tabs>
    </w:pPr>
    <w:rPr>
      <w:rFonts w:cs="Arial"/>
    </w:rPr>
  </w:style>
  <w:style w:type="character" w:customStyle="1" w:styleId="Bulletleft1lastChar">
    <w:name w:val="Bullet left 1 last Char"/>
    <w:rsid w:val="00D63D44"/>
    <w:rPr>
      <w:rFonts w:ascii="Arial" w:eastAsia="Times New Roman" w:hAnsi="Arial" w:cs="Arial"/>
      <w:sz w:val="24"/>
      <w:szCs w:val="24"/>
      <w:lang w:eastAsia="en-US"/>
    </w:rPr>
  </w:style>
  <w:style w:type="paragraph" w:customStyle="1" w:styleId="boxedtext">
    <w:name w:val="boxed text"/>
    <w:basedOn w:val="NICEnormal"/>
    <w:rsid w:val="00D63D44"/>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D63D44"/>
    <w:rPr>
      <w:rFonts w:ascii="Arial" w:hAnsi="Arial"/>
      <w:sz w:val="24"/>
    </w:rPr>
  </w:style>
  <w:style w:type="paragraph" w:customStyle="1" w:styleId="Bulletindent1last">
    <w:name w:val="Bullet indent 1 last"/>
    <w:basedOn w:val="NICEnormal"/>
    <w:next w:val="NICEnormal"/>
    <w:rsid w:val="00D63D44"/>
    <w:pPr>
      <w:numPr>
        <w:numId w:val="14"/>
      </w:numPr>
    </w:pPr>
    <w:rPr>
      <w:sz w:val="22"/>
      <w:lang w:val="en-GB"/>
    </w:rPr>
  </w:style>
  <w:style w:type="paragraph" w:customStyle="1" w:styleId="NICEnormalindented">
    <w:name w:val="NICE normal indented"/>
    <w:basedOn w:val="NICEnormal"/>
    <w:rsid w:val="00D63D44"/>
    <w:pPr>
      <w:tabs>
        <w:tab w:val="left" w:pos="1134"/>
      </w:tabs>
      <w:ind w:left="1134"/>
    </w:pPr>
  </w:style>
  <w:style w:type="paragraph" w:customStyle="1" w:styleId="Tabletitle">
    <w:name w:val="Table title"/>
    <w:basedOn w:val="NICEnormal"/>
    <w:next w:val="NICEnormal"/>
    <w:rsid w:val="00D63D44"/>
    <w:pPr>
      <w:keepNext/>
      <w:spacing w:after="60" w:line="240" w:lineRule="auto"/>
    </w:pPr>
    <w:rPr>
      <w:b/>
    </w:rPr>
  </w:style>
  <w:style w:type="paragraph" w:customStyle="1" w:styleId="Tabletext">
    <w:name w:val="Table text"/>
    <w:basedOn w:val="PGDNormal"/>
    <w:rsid w:val="00D63D44"/>
    <w:pPr>
      <w:keepNext/>
      <w:spacing w:after="60"/>
    </w:pPr>
  </w:style>
  <w:style w:type="paragraph" w:customStyle="1" w:styleId="Section2paragraphs">
    <w:name w:val="Section 2 paragraphs"/>
    <w:basedOn w:val="NICEnormal"/>
    <w:rsid w:val="00D63D44"/>
    <w:pPr>
      <w:tabs>
        <w:tab w:val="num" w:pos="360"/>
      </w:tabs>
    </w:pPr>
  </w:style>
  <w:style w:type="paragraph" w:customStyle="1" w:styleId="Section3paragraphs">
    <w:name w:val="Section 3 paragraphs"/>
    <w:basedOn w:val="NICEnormal"/>
    <w:rsid w:val="00D63D44"/>
    <w:pPr>
      <w:tabs>
        <w:tab w:val="num" w:pos="360"/>
      </w:tabs>
    </w:pPr>
  </w:style>
  <w:style w:type="paragraph" w:customStyle="1" w:styleId="Section411paragraphs">
    <w:name w:val="Section 4.1.1 paragraphs"/>
    <w:basedOn w:val="NICEnormal"/>
    <w:rsid w:val="00D63D44"/>
    <w:pPr>
      <w:tabs>
        <w:tab w:val="num" w:pos="360"/>
      </w:tabs>
    </w:pPr>
  </w:style>
  <w:style w:type="paragraph" w:customStyle="1" w:styleId="Section412paragraphs">
    <w:name w:val="Section 4.1.2 paragraphs"/>
    <w:basedOn w:val="NICEnormal"/>
    <w:rsid w:val="00D63D44"/>
    <w:pPr>
      <w:tabs>
        <w:tab w:val="num" w:pos="360"/>
      </w:tabs>
    </w:pPr>
  </w:style>
  <w:style w:type="paragraph" w:customStyle="1" w:styleId="Section42paragraphs">
    <w:name w:val="Section 4.2 paragraphs"/>
    <w:basedOn w:val="NICEnormal"/>
    <w:rsid w:val="00D63D44"/>
    <w:pPr>
      <w:tabs>
        <w:tab w:val="num" w:pos="360"/>
      </w:tabs>
    </w:pPr>
  </w:style>
  <w:style w:type="paragraph" w:customStyle="1" w:styleId="Section43paragraphs">
    <w:name w:val="Section 4.3 paragraphs"/>
    <w:basedOn w:val="NICEnormal"/>
    <w:rsid w:val="00D63D44"/>
    <w:pPr>
      <w:tabs>
        <w:tab w:val="num" w:pos="360"/>
      </w:tabs>
    </w:pPr>
  </w:style>
  <w:style w:type="paragraph" w:customStyle="1" w:styleId="Appendixlevel1">
    <w:name w:val="Appendix level 1"/>
    <w:basedOn w:val="NICEnormal"/>
    <w:autoRedefine/>
    <w:rsid w:val="00D63D44"/>
    <w:pPr>
      <w:tabs>
        <w:tab w:val="num" w:pos="360"/>
      </w:tabs>
      <w:spacing w:before="240"/>
    </w:pPr>
  </w:style>
  <w:style w:type="paragraph" w:customStyle="1" w:styleId="Appendixlevel2">
    <w:name w:val="Appendix level 2"/>
    <w:basedOn w:val="NICEnormal"/>
    <w:rsid w:val="00D63D44"/>
    <w:pPr>
      <w:tabs>
        <w:tab w:val="num" w:pos="360"/>
      </w:tabs>
      <w:spacing w:before="240"/>
    </w:pPr>
  </w:style>
  <w:style w:type="paragraph" w:customStyle="1" w:styleId="Appendixbullet">
    <w:name w:val="Appendix bullet"/>
    <w:basedOn w:val="NICEnormal"/>
    <w:rsid w:val="00D63D44"/>
    <w:pPr>
      <w:tabs>
        <w:tab w:val="num" w:pos="360"/>
      </w:tabs>
      <w:spacing w:after="0" w:line="240" w:lineRule="auto"/>
    </w:pPr>
  </w:style>
  <w:style w:type="paragraph" w:customStyle="1" w:styleId="Appendixreferences">
    <w:name w:val="Appendix references"/>
    <w:basedOn w:val="NICEnormal"/>
    <w:rsid w:val="00D63D44"/>
    <w:pPr>
      <w:tabs>
        <w:tab w:val="left" w:pos="567"/>
      </w:tabs>
      <w:spacing w:after="120" w:line="240" w:lineRule="auto"/>
      <w:ind w:left="567"/>
    </w:pPr>
  </w:style>
  <w:style w:type="paragraph" w:customStyle="1" w:styleId="References">
    <w:name w:val="References"/>
    <w:basedOn w:val="PGDNormal"/>
    <w:rsid w:val="00D63D44"/>
    <w:pPr>
      <w:tabs>
        <w:tab w:val="num" w:pos="360"/>
      </w:tabs>
      <w:spacing w:after="120"/>
    </w:pPr>
  </w:style>
  <w:style w:type="paragraph" w:styleId="BalloonText">
    <w:name w:val="Balloon Text"/>
    <w:basedOn w:val="Normal"/>
    <w:link w:val="BalloonTextChar"/>
    <w:semiHidden/>
    <w:rsid w:val="00D63D44"/>
    <w:rPr>
      <w:rFonts w:ascii="Tahoma" w:hAnsi="Tahoma" w:cs="Tahoma"/>
      <w:sz w:val="16"/>
      <w:szCs w:val="16"/>
    </w:rPr>
  </w:style>
  <w:style w:type="character" w:customStyle="1" w:styleId="BalloonTextChar">
    <w:name w:val="Balloon Text Char"/>
    <w:link w:val="BalloonText"/>
    <w:semiHidden/>
    <w:rsid w:val="00D63D44"/>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D63D44"/>
    <w:rPr>
      <w:sz w:val="16"/>
      <w:szCs w:val="16"/>
    </w:rPr>
  </w:style>
  <w:style w:type="paragraph" w:styleId="CommentText">
    <w:name w:val="annotation text"/>
    <w:basedOn w:val="Normal"/>
    <w:link w:val="CommentTextChar1"/>
    <w:uiPriority w:val="99"/>
    <w:unhideWhenUsed/>
    <w:rsid w:val="00D63D44"/>
  </w:style>
  <w:style w:type="character" w:customStyle="1" w:styleId="CommentTextChar">
    <w:name w:val="Comment Text Char"/>
    <w:uiPriority w:val="99"/>
    <w:rsid w:val="00D63D44"/>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D63D44"/>
    <w:rPr>
      <w:b/>
      <w:bCs/>
    </w:rPr>
  </w:style>
  <w:style w:type="character" w:customStyle="1" w:styleId="CommentSubjectChar">
    <w:name w:val="Comment Subject Char"/>
    <w:semiHidden/>
    <w:rsid w:val="00D63D44"/>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D63D44"/>
    <w:pPr>
      <w:spacing w:before="100" w:beforeAutospacing="1" w:after="100" w:afterAutospacing="1"/>
    </w:pPr>
  </w:style>
  <w:style w:type="paragraph" w:styleId="TOC1">
    <w:name w:val="toc 1"/>
    <w:basedOn w:val="Normal"/>
    <w:next w:val="Normal"/>
    <w:autoRedefine/>
    <w:rsid w:val="00D63D44"/>
    <w:rPr>
      <w:rFonts w:ascii="Arial" w:hAnsi="Arial"/>
    </w:rPr>
  </w:style>
  <w:style w:type="paragraph" w:styleId="TOC2">
    <w:name w:val="toc 2"/>
    <w:basedOn w:val="Normal"/>
    <w:next w:val="Normal"/>
    <w:autoRedefine/>
    <w:rsid w:val="00D63D44"/>
    <w:pPr>
      <w:ind w:left="240"/>
    </w:pPr>
    <w:rPr>
      <w:rFonts w:ascii="Arial" w:hAnsi="Arial"/>
    </w:rPr>
  </w:style>
  <w:style w:type="paragraph" w:customStyle="1" w:styleId="Frontpagetitle">
    <w:name w:val="Front page title"/>
    <w:basedOn w:val="Normal"/>
    <w:rsid w:val="00D63D44"/>
    <w:pPr>
      <w:spacing w:after="240"/>
      <w:jc w:val="center"/>
    </w:pPr>
    <w:rPr>
      <w:rFonts w:ascii="Arial" w:hAnsi="Arial" w:cs="Arial"/>
      <w:sz w:val="48"/>
      <w:szCs w:val="48"/>
      <w:lang w:val="en-US"/>
    </w:rPr>
  </w:style>
  <w:style w:type="paragraph" w:customStyle="1" w:styleId="Frontpagedate">
    <w:name w:val="Front page date"/>
    <w:basedOn w:val="Normal"/>
    <w:rsid w:val="00D63D44"/>
    <w:pPr>
      <w:spacing w:after="240"/>
    </w:pPr>
    <w:rPr>
      <w:rFonts w:ascii="Arial" w:hAnsi="Arial" w:cs="Arial"/>
      <w:sz w:val="32"/>
      <w:szCs w:val="32"/>
      <w:lang w:val="en-US"/>
    </w:rPr>
  </w:style>
  <w:style w:type="paragraph" w:customStyle="1" w:styleId="Frontpageguidelinenumber">
    <w:name w:val="Front page guideline number"/>
    <w:basedOn w:val="Normal"/>
    <w:rsid w:val="00D63D44"/>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63D44"/>
    <w:pPr>
      <w:outlineLvl w:val="9"/>
    </w:pPr>
    <w:rPr>
      <w:lang w:bidi="en-US"/>
    </w:rPr>
  </w:style>
  <w:style w:type="paragraph" w:styleId="TOC3">
    <w:name w:val="toc 3"/>
    <w:basedOn w:val="Normal"/>
    <w:next w:val="Normal"/>
    <w:autoRedefine/>
    <w:semiHidden/>
    <w:rsid w:val="00D63D44"/>
    <w:pPr>
      <w:ind w:left="480"/>
    </w:pPr>
    <w:rPr>
      <w:rFonts w:ascii="Arial" w:hAnsi="Arial"/>
    </w:rPr>
  </w:style>
  <w:style w:type="character" w:styleId="FollowedHyperlink">
    <w:name w:val="FollowedHyperlink"/>
    <w:unhideWhenUsed/>
    <w:rsid w:val="00D63D44"/>
    <w:rPr>
      <w:color w:val="800080"/>
      <w:u w:val="single"/>
    </w:rPr>
  </w:style>
  <w:style w:type="paragraph" w:customStyle="1" w:styleId="Level2text">
    <w:name w:val="Level 2 text"/>
    <w:basedOn w:val="Numberedheading2"/>
    <w:locked/>
    <w:rsid w:val="00D63D44"/>
    <w:pPr>
      <w:numPr>
        <w:ilvl w:val="1"/>
        <w:numId w:val="1"/>
      </w:numPr>
    </w:pPr>
    <w:rPr>
      <w:b/>
      <w:i/>
    </w:rPr>
  </w:style>
  <w:style w:type="paragraph" w:styleId="FootnoteText">
    <w:name w:val="footnote text"/>
    <w:basedOn w:val="Normal"/>
    <w:link w:val="FootnoteTextChar1"/>
    <w:semiHidden/>
    <w:rsid w:val="00D63D44"/>
    <w:rPr>
      <w:rFonts w:ascii="Arial" w:eastAsia="Calibri" w:hAnsi="Arial"/>
    </w:rPr>
  </w:style>
  <w:style w:type="character" w:customStyle="1" w:styleId="FootnoteTextChar">
    <w:name w:val="Footnote Text Char"/>
    <w:rsid w:val="00D63D44"/>
    <w:rPr>
      <w:rFonts w:ascii="Arial" w:eastAsia="Times New Roman" w:hAnsi="Arial"/>
    </w:rPr>
  </w:style>
  <w:style w:type="character" w:styleId="FootnoteReference">
    <w:name w:val="footnote reference"/>
    <w:rsid w:val="00D63D44"/>
    <w:rPr>
      <w:vertAlign w:val="superscript"/>
    </w:rPr>
  </w:style>
  <w:style w:type="paragraph" w:customStyle="1" w:styleId="Paragraph">
    <w:name w:val="Paragraph"/>
    <w:basedOn w:val="Paragraphnonumbers"/>
    <w:uiPriority w:val="4"/>
    <w:qFormat/>
    <w:rsid w:val="00D63D44"/>
    <w:pPr>
      <w:numPr>
        <w:numId w:val="11"/>
      </w:numPr>
      <w:tabs>
        <w:tab w:val="left" w:pos="567"/>
      </w:tabs>
    </w:pPr>
  </w:style>
  <w:style w:type="paragraph" w:customStyle="1" w:styleId="Bullets">
    <w:name w:val="Bullets"/>
    <w:basedOn w:val="Normal"/>
    <w:uiPriority w:val="5"/>
    <w:qFormat/>
    <w:rsid w:val="00D63D44"/>
    <w:pPr>
      <w:numPr>
        <w:numId w:val="23"/>
      </w:numPr>
      <w:spacing w:after="120" w:line="276" w:lineRule="auto"/>
    </w:pPr>
    <w:rPr>
      <w:rFonts w:ascii="Arial" w:hAnsi="Arial"/>
    </w:rPr>
  </w:style>
  <w:style w:type="paragraph" w:customStyle="1" w:styleId="Subbullets">
    <w:name w:val="Sub bullets"/>
    <w:basedOn w:val="Normal"/>
    <w:uiPriority w:val="6"/>
    <w:qFormat/>
    <w:rsid w:val="00D63D44"/>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D63D44"/>
    <w:pPr>
      <w:spacing w:after="240" w:line="276" w:lineRule="auto"/>
    </w:pPr>
    <w:rPr>
      <w:rFonts w:ascii="Arial" w:hAnsi="Arial"/>
    </w:rPr>
  </w:style>
  <w:style w:type="paragraph" w:styleId="TOAHeading">
    <w:name w:val="toa heading"/>
    <w:basedOn w:val="Normal"/>
    <w:next w:val="Normal"/>
    <w:semiHidden/>
    <w:rsid w:val="00D63D44"/>
    <w:pPr>
      <w:spacing w:before="120"/>
    </w:pPr>
    <w:rPr>
      <w:rFonts w:ascii="Arial" w:hAnsi="Arial"/>
      <w:b/>
      <w:bCs/>
    </w:rPr>
  </w:style>
  <w:style w:type="paragraph" w:styleId="TOC4">
    <w:name w:val="toc 4"/>
    <w:basedOn w:val="Normal"/>
    <w:next w:val="Normal"/>
    <w:autoRedefine/>
    <w:semiHidden/>
    <w:rsid w:val="00D63D44"/>
    <w:pPr>
      <w:ind w:left="720"/>
    </w:pPr>
    <w:rPr>
      <w:rFonts w:ascii="Arial" w:hAnsi="Arial"/>
    </w:rPr>
  </w:style>
  <w:style w:type="paragraph" w:customStyle="1" w:styleId="Bulletindent1alast">
    <w:name w:val="Bullet indent 1a last"/>
    <w:basedOn w:val="Bulletindent1last"/>
    <w:qFormat/>
    <w:rsid w:val="00D63D44"/>
    <w:pPr>
      <w:ind w:left="2552"/>
    </w:pPr>
  </w:style>
  <w:style w:type="paragraph" w:customStyle="1" w:styleId="Bulletindent2a">
    <w:name w:val="Bullet indent 2a"/>
    <w:basedOn w:val="Normal"/>
    <w:qFormat/>
    <w:rsid w:val="00D63D44"/>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D63D44"/>
    <w:pPr>
      <w:tabs>
        <w:tab w:val="num" w:pos="2552"/>
      </w:tabs>
      <w:ind w:left="2552"/>
    </w:pPr>
  </w:style>
  <w:style w:type="paragraph" w:customStyle="1" w:styleId="Frontpagegreentitle">
    <w:name w:val="Front page green title"/>
    <w:basedOn w:val="Normal"/>
    <w:rsid w:val="00D63D44"/>
    <w:pPr>
      <w:jc w:val="center"/>
    </w:pPr>
    <w:rPr>
      <w:rFonts w:ascii="Arial" w:hAnsi="Arial" w:cs="Arial"/>
      <w:b/>
      <w:color w:val="009999"/>
      <w:sz w:val="64"/>
      <w:szCs w:val="64"/>
    </w:rPr>
  </w:style>
  <w:style w:type="paragraph" w:styleId="TOC5">
    <w:name w:val="toc 5"/>
    <w:basedOn w:val="Normal"/>
    <w:next w:val="Normal"/>
    <w:autoRedefine/>
    <w:semiHidden/>
    <w:unhideWhenUsed/>
    <w:rsid w:val="00D63D44"/>
    <w:pPr>
      <w:spacing w:after="100" w:line="276" w:lineRule="auto"/>
      <w:ind w:left="880"/>
    </w:pPr>
  </w:style>
  <w:style w:type="paragraph" w:styleId="TOC6">
    <w:name w:val="toc 6"/>
    <w:basedOn w:val="Normal"/>
    <w:next w:val="Normal"/>
    <w:autoRedefine/>
    <w:semiHidden/>
    <w:unhideWhenUsed/>
    <w:rsid w:val="00D63D44"/>
    <w:pPr>
      <w:spacing w:after="100" w:line="276" w:lineRule="auto"/>
      <w:ind w:left="1100"/>
    </w:pPr>
  </w:style>
  <w:style w:type="paragraph" w:styleId="TOC7">
    <w:name w:val="toc 7"/>
    <w:basedOn w:val="Normal"/>
    <w:next w:val="Normal"/>
    <w:autoRedefine/>
    <w:semiHidden/>
    <w:unhideWhenUsed/>
    <w:rsid w:val="00D63D44"/>
    <w:pPr>
      <w:spacing w:after="100" w:line="276" w:lineRule="auto"/>
      <w:ind w:left="1320"/>
    </w:pPr>
  </w:style>
  <w:style w:type="paragraph" w:styleId="TOC8">
    <w:name w:val="toc 8"/>
    <w:basedOn w:val="Normal"/>
    <w:next w:val="Normal"/>
    <w:autoRedefine/>
    <w:semiHidden/>
    <w:unhideWhenUsed/>
    <w:rsid w:val="00D63D44"/>
    <w:pPr>
      <w:spacing w:after="100" w:line="276" w:lineRule="auto"/>
      <w:ind w:left="1540"/>
    </w:pPr>
  </w:style>
  <w:style w:type="paragraph" w:styleId="TOC9">
    <w:name w:val="toc 9"/>
    <w:basedOn w:val="Normal"/>
    <w:next w:val="Normal"/>
    <w:autoRedefine/>
    <w:semiHidden/>
    <w:unhideWhenUsed/>
    <w:rsid w:val="00D63D44"/>
    <w:pPr>
      <w:spacing w:after="100" w:line="276" w:lineRule="auto"/>
      <w:ind w:left="1760"/>
    </w:pPr>
  </w:style>
  <w:style w:type="paragraph" w:customStyle="1" w:styleId="Question">
    <w:name w:val="Question"/>
    <w:basedOn w:val="References"/>
    <w:qFormat/>
    <w:rsid w:val="00D63D44"/>
    <w:pPr>
      <w:keepNext/>
      <w:numPr>
        <w:numId w:val="4"/>
      </w:numPr>
    </w:pPr>
    <w:rPr>
      <w:b/>
    </w:rPr>
  </w:style>
  <w:style w:type="paragraph" w:styleId="EndnoteText">
    <w:name w:val="endnote text"/>
    <w:basedOn w:val="Normal"/>
    <w:link w:val="EndnoteTextChar1"/>
    <w:semiHidden/>
    <w:unhideWhenUsed/>
    <w:rsid w:val="00D63D44"/>
  </w:style>
  <w:style w:type="character" w:customStyle="1" w:styleId="EndnoteTextChar">
    <w:name w:val="Endnote Text Char"/>
    <w:semiHidden/>
    <w:rsid w:val="00D63D44"/>
    <w:rPr>
      <w:rFonts w:ascii="Times New Roman" w:eastAsia="Times New Roman" w:hAnsi="Times New Roman"/>
    </w:rPr>
  </w:style>
  <w:style w:type="character" w:styleId="EndnoteReference">
    <w:name w:val="endnote reference"/>
    <w:semiHidden/>
    <w:unhideWhenUsed/>
    <w:rsid w:val="00D63D44"/>
    <w:rPr>
      <w:vertAlign w:val="superscript"/>
    </w:rPr>
  </w:style>
  <w:style w:type="paragraph" w:customStyle="1" w:styleId="Style4">
    <w:name w:val="Style4"/>
    <w:basedOn w:val="Normal"/>
    <w:autoRedefine/>
    <w:rsid w:val="00D63D44"/>
    <w:pPr>
      <w:keepNext/>
      <w:spacing w:line="360" w:lineRule="auto"/>
      <w:ind w:left="567"/>
    </w:pPr>
    <w:rPr>
      <w:rFonts w:ascii="Arial" w:hAnsi="Arial" w:cs="Arial"/>
    </w:rPr>
  </w:style>
  <w:style w:type="paragraph" w:customStyle="1" w:styleId="Bodytextosteo">
    <w:name w:val="Body text osteo"/>
    <w:basedOn w:val="BodyText"/>
    <w:autoRedefine/>
    <w:rsid w:val="00D63D44"/>
    <w:pPr>
      <w:spacing w:after="0" w:line="360" w:lineRule="auto"/>
      <w:ind w:left="567"/>
    </w:pPr>
    <w:rPr>
      <w:rFonts w:ascii="Arial" w:hAnsi="Arial" w:cs="Arial"/>
    </w:rPr>
  </w:style>
  <w:style w:type="paragraph" w:styleId="BodyText">
    <w:name w:val="Body Text"/>
    <w:basedOn w:val="Normal"/>
    <w:link w:val="BodyTextChar"/>
    <w:rsid w:val="00D63D44"/>
    <w:pPr>
      <w:spacing w:after="120"/>
    </w:pPr>
  </w:style>
  <w:style w:type="paragraph" w:customStyle="1" w:styleId="bulletdoubleindent">
    <w:name w:val="bullet double indent"/>
    <w:basedOn w:val="Normal"/>
    <w:autoRedefine/>
    <w:rsid w:val="00D63D44"/>
    <w:pPr>
      <w:numPr>
        <w:numId w:val="5"/>
      </w:numPr>
      <w:spacing w:line="360" w:lineRule="auto"/>
    </w:pPr>
    <w:rPr>
      <w:rFonts w:ascii="Arial" w:eastAsia="Calibri" w:hAnsi="Arial"/>
    </w:rPr>
  </w:style>
  <w:style w:type="paragraph" w:customStyle="1" w:styleId="bulletindentosteo">
    <w:name w:val="bullet indent osteo"/>
    <w:basedOn w:val="Normal"/>
    <w:autoRedefine/>
    <w:rsid w:val="00D63D44"/>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D63D44"/>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D63D44"/>
    <w:pPr>
      <w:spacing w:after="0" w:line="360" w:lineRule="auto"/>
      <w:ind w:left="567"/>
    </w:pPr>
  </w:style>
  <w:style w:type="paragraph" w:customStyle="1" w:styleId="subheadingosteo">
    <w:name w:val="subheading osteo"/>
    <w:basedOn w:val="Heading6"/>
    <w:autoRedefine/>
    <w:rsid w:val="00D63D44"/>
    <w:pPr>
      <w:keepNext/>
      <w:spacing w:line="360" w:lineRule="auto"/>
      <w:ind w:left="539"/>
    </w:pPr>
    <w:rPr>
      <w:rFonts w:ascii="Arial" w:hAnsi="Arial"/>
    </w:rPr>
  </w:style>
  <w:style w:type="paragraph" w:customStyle="1" w:styleId="bulletdoubleindentosteo">
    <w:name w:val="bullet double indent osteo"/>
    <w:basedOn w:val="bulletindentosteo"/>
    <w:autoRedefine/>
    <w:rsid w:val="00D63D44"/>
    <w:pPr>
      <w:numPr>
        <w:numId w:val="7"/>
      </w:numPr>
    </w:pPr>
    <w:rPr>
      <w:rFonts w:eastAsia="Times New Roman"/>
      <w:lang w:eastAsia="en-GB"/>
    </w:rPr>
  </w:style>
  <w:style w:type="paragraph" w:styleId="ListBullet3">
    <w:name w:val="List Bullet 3"/>
    <w:basedOn w:val="Normal"/>
    <w:autoRedefine/>
    <w:rsid w:val="00D63D44"/>
  </w:style>
  <w:style w:type="paragraph" w:customStyle="1" w:styleId="Bulletosteotable">
    <w:name w:val="Bullet osteo table"/>
    <w:basedOn w:val="bulletosteoporosis"/>
    <w:autoRedefine/>
    <w:rsid w:val="00D63D44"/>
    <w:pPr>
      <w:numPr>
        <w:numId w:val="8"/>
      </w:numPr>
    </w:pPr>
  </w:style>
  <w:style w:type="paragraph" w:customStyle="1" w:styleId="StyleHeading2Before0ptAfter0ptLinespacing15l">
    <w:name w:val="Style Heading 2 + Before:  0 pt After:  0 pt Line spacing:  1.5 l..."/>
    <w:basedOn w:val="Heading2"/>
    <w:autoRedefine/>
    <w:rsid w:val="00D63D44"/>
    <w:pPr>
      <w:spacing w:after="0" w:line="360" w:lineRule="auto"/>
    </w:pPr>
    <w:rPr>
      <w:szCs w:val="20"/>
      <w:lang w:val="en-US"/>
    </w:rPr>
  </w:style>
  <w:style w:type="paragraph" w:customStyle="1" w:styleId="NCC-ACChaptertitle">
    <w:name w:val="NCC-AC Chapter title"/>
    <w:basedOn w:val="Numberedheading1"/>
    <w:next w:val="Normal"/>
    <w:autoRedefine/>
    <w:rsid w:val="00D63D44"/>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D63D44"/>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D63D44"/>
    <w:pPr>
      <w:numPr>
        <w:ilvl w:val="3"/>
        <w:numId w:val="10"/>
      </w:numPr>
    </w:pPr>
    <w:rPr>
      <w:b w:val="0"/>
    </w:rPr>
  </w:style>
  <w:style w:type="numbering" w:customStyle="1" w:styleId="NiceNumbering">
    <w:name w:val="Nice Numbering"/>
    <w:rsid w:val="00D63D44"/>
    <w:pPr>
      <w:numPr>
        <w:numId w:val="10"/>
      </w:numPr>
    </w:pPr>
  </w:style>
  <w:style w:type="character" w:customStyle="1" w:styleId="FootnoteTextChar1">
    <w:name w:val="Footnote Text Char1"/>
    <w:link w:val="FootnoteText"/>
    <w:semiHidden/>
    <w:rsid w:val="00D63D44"/>
    <w:rPr>
      <w:rFonts w:ascii="Arial" w:hAnsi="Arial"/>
      <w:kern w:val="2"/>
      <w:lang w:eastAsia="en-US"/>
      <w14:ligatures w14:val="standardContextual"/>
    </w:rPr>
  </w:style>
  <w:style w:type="table" w:styleId="TableGrid">
    <w:name w:val="Table Grid"/>
    <w:basedOn w:val="TableNormal"/>
    <w:rsid w:val="00D63D4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D63D44"/>
    <w:rPr>
      <w:rFonts w:ascii="Arial" w:hAnsi="Arial" w:cs="Arial"/>
      <w:color w:val="FFFFFF"/>
      <w:sz w:val="32"/>
      <w:szCs w:val="32"/>
    </w:rPr>
  </w:style>
  <w:style w:type="paragraph" w:customStyle="1" w:styleId="Default">
    <w:name w:val="Default"/>
    <w:rsid w:val="00D63D44"/>
    <w:pPr>
      <w:autoSpaceDE w:val="0"/>
      <w:autoSpaceDN w:val="0"/>
      <w:adjustRightInd w:val="0"/>
    </w:pPr>
    <w:rPr>
      <w:rFonts w:eastAsia="Times New Roman" w:cs="Calibri"/>
      <w:color w:val="000000"/>
    </w:rPr>
  </w:style>
  <w:style w:type="paragraph" w:customStyle="1" w:styleId="PGDNormal">
    <w:name w:val="PGD Normal"/>
    <w:basedOn w:val="NICEnormal"/>
    <w:rsid w:val="00D63D44"/>
    <w:pPr>
      <w:spacing w:line="240" w:lineRule="auto"/>
    </w:pPr>
    <w:rPr>
      <w:sz w:val="22"/>
    </w:rPr>
  </w:style>
  <w:style w:type="paragraph" w:customStyle="1" w:styleId="TabletextIPoverviewevidence">
    <w:name w:val="Table text IP overview evidence"/>
    <w:basedOn w:val="Tabletext"/>
    <w:rsid w:val="00D63D44"/>
    <w:rPr>
      <w:sz w:val="18"/>
    </w:rPr>
  </w:style>
  <w:style w:type="character" w:customStyle="1" w:styleId="Heading5Char">
    <w:name w:val="Heading 5 Char"/>
    <w:link w:val="Heading5"/>
    <w:uiPriority w:val="9"/>
    <w:rsid w:val="00D63D44"/>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D63D44"/>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D63D44"/>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D63D44"/>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D63D44"/>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D63D44"/>
    <w:pPr>
      <w:spacing w:after="600"/>
    </w:pPr>
    <w:rPr>
      <w:rFonts w:ascii="Cambria" w:hAnsi="Cambria"/>
      <w:i/>
      <w:iCs/>
      <w:spacing w:val="13"/>
    </w:rPr>
  </w:style>
  <w:style w:type="character" w:customStyle="1" w:styleId="SubtitleChar">
    <w:name w:val="Subtitle Char"/>
    <w:link w:val="Subtitle"/>
    <w:uiPriority w:val="11"/>
    <w:rsid w:val="00D63D44"/>
    <w:rPr>
      <w:rFonts w:ascii="Cambria" w:eastAsiaTheme="minorHAnsi" w:hAnsi="Cambria"/>
      <w:i/>
      <w:iCs/>
      <w:spacing w:val="13"/>
      <w:kern w:val="2"/>
      <w:lang w:eastAsia="en-US"/>
      <w14:ligatures w14:val="standardContextual"/>
    </w:rPr>
  </w:style>
  <w:style w:type="character" w:styleId="Strong">
    <w:name w:val="Strong"/>
    <w:uiPriority w:val="22"/>
    <w:qFormat/>
    <w:rsid w:val="00D63D44"/>
    <w:rPr>
      <w:b/>
      <w:bCs/>
    </w:rPr>
  </w:style>
  <w:style w:type="character" w:styleId="Emphasis">
    <w:name w:val="Emphasis"/>
    <w:uiPriority w:val="20"/>
    <w:qFormat/>
    <w:rsid w:val="00D63D44"/>
    <w:rPr>
      <w:b/>
      <w:bCs/>
      <w:i/>
      <w:iCs/>
      <w:spacing w:val="10"/>
      <w:bdr w:val="none" w:sz="0" w:space="0" w:color="auto"/>
      <w:shd w:val="clear" w:color="auto" w:fill="auto"/>
    </w:rPr>
  </w:style>
  <w:style w:type="paragraph" w:styleId="NoSpacing">
    <w:name w:val="No Spacing"/>
    <w:basedOn w:val="Normal"/>
    <w:uiPriority w:val="1"/>
    <w:qFormat/>
    <w:rsid w:val="00D63D44"/>
    <w:rPr>
      <w:rFonts w:eastAsia="Calibri"/>
    </w:rPr>
  </w:style>
  <w:style w:type="paragraph" w:styleId="Quote">
    <w:name w:val="Quote"/>
    <w:basedOn w:val="Normal"/>
    <w:next w:val="Normal"/>
    <w:link w:val="QuoteChar"/>
    <w:uiPriority w:val="29"/>
    <w:qFormat/>
    <w:rsid w:val="00D63D44"/>
    <w:pPr>
      <w:spacing w:before="200"/>
      <w:ind w:left="360" w:right="360"/>
    </w:pPr>
    <w:rPr>
      <w:i/>
      <w:iCs/>
    </w:rPr>
  </w:style>
  <w:style w:type="character" w:customStyle="1" w:styleId="QuoteChar">
    <w:name w:val="Quote Char"/>
    <w:link w:val="Quote"/>
    <w:uiPriority w:val="29"/>
    <w:rsid w:val="00D63D44"/>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D63D4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63D44"/>
    <w:rPr>
      <w:rFonts w:eastAsiaTheme="minorHAnsi"/>
      <w:b/>
      <w:bCs/>
      <w:i/>
      <w:iCs/>
      <w:kern w:val="2"/>
      <w:lang w:eastAsia="en-US"/>
      <w14:ligatures w14:val="standardContextual"/>
    </w:rPr>
  </w:style>
  <w:style w:type="character" w:styleId="SubtleEmphasis">
    <w:name w:val="Subtle Emphasis"/>
    <w:uiPriority w:val="19"/>
    <w:qFormat/>
    <w:rsid w:val="00D63D44"/>
    <w:rPr>
      <w:i/>
      <w:iCs/>
    </w:rPr>
  </w:style>
  <w:style w:type="character" w:styleId="IntenseEmphasis">
    <w:name w:val="Intense Emphasis"/>
    <w:uiPriority w:val="21"/>
    <w:qFormat/>
    <w:rsid w:val="00D63D44"/>
    <w:rPr>
      <w:b/>
      <w:bCs/>
    </w:rPr>
  </w:style>
  <w:style w:type="character" w:styleId="SubtleReference">
    <w:name w:val="Subtle Reference"/>
    <w:uiPriority w:val="31"/>
    <w:qFormat/>
    <w:rsid w:val="00D63D44"/>
    <w:rPr>
      <w:smallCaps/>
    </w:rPr>
  </w:style>
  <w:style w:type="character" w:styleId="IntenseReference">
    <w:name w:val="Intense Reference"/>
    <w:uiPriority w:val="32"/>
    <w:qFormat/>
    <w:rsid w:val="00D63D44"/>
    <w:rPr>
      <w:smallCaps/>
      <w:spacing w:val="5"/>
      <w:u w:val="single"/>
    </w:rPr>
  </w:style>
  <w:style w:type="character" w:styleId="BookTitle">
    <w:name w:val="Book Title"/>
    <w:uiPriority w:val="33"/>
    <w:qFormat/>
    <w:rsid w:val="00D63D44"/>
    <w:rPr>
      <w:i/>
      <w:iCs/>
      <w:smallCaps/>
      <w:spacing w:val="5"/>
    </w:rPr>
  </w:style>
  <w:style w:type="paragraph" w:customStyle="1" w:styleId="NICETitle2">
    <w:name w:val="NICE Title 2"/>
    <w:basedOn w:val="Normal"/>
    <w:qFormat/>
    <w:rsid w:val="00D63D44"/>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D63D44"/>
    <w:pPr>
      <w:spacing w:after="120" w:line="480" w:lineRule="auto"/>
    </w:pPr>
  </w:style>
  <w:style w:type="character" w:customStyle="1" w:styleId="BodyText2Char">
    <w:name w:val="Body Text 2 Char"/>
    <w:link w:val="BodyText2"/>
    <w:uiPriority w:val="99"/>
    <w:semiHidden/>
    <w:rsid w:val="00D63D44"/>
    <w:rPr>
      <w:rFonts w:eastAsiaTheme="minorHAnsi"/>
      <w:kern w:val="2"/>
      <w:lang w:eastAsia="en-US"/>
      <w14:ligatures w14:val="standardContextual"/>
    </w:rPr>
  </w:style>
  <w:style w:type="character" w:styleId="UnresolvedMention">
    <w:name w:val="Unresolved Mention"/>
    <w:uiPriority w:val="99"/>
    <w:semiHidden/>
    <w:unhideWhenUsed/>
    <w:rsid w:val="00D63D44"/>
    <w:rPr>
      <w:color w:val="605E5C"/>
      <w:shd w:val="clear" w:color="auto" w:fill="E1DFDD"/>
    </w:rPr>
  </w:style>
  <w:style w:type="paragraph" w:customStyle="1" w:styleId="PGDTitle2">
    <w:name w:val="PGD Title 2"/>
    <w:basedOn w:val="Normal"/>
    <w:rsid w:val="00D63D44"/>
    <w:pPr>
      <w:jc w:val="center"/>
    </w:pPr>
    <w:rPr>
      <w:rFonts w:ascii="Arial" w:hAnsi="Arial"/>
      <w:b/>
      <w:sz w:val="36"/>
      <w:szCs w:val="36"/>
    </w:rPr>
  </w:style>
  <w:style w:type="paragraph" w:customStyle="1" w:styleId="PGDTitle1">
    <w:name w:val="PGD Title 1"/>
    <w:basedOn w:val="Normal"/>
    <w:rsid w:val="00D63D44"/>
    <w:pPr>
      <w:jc w:val="center"/>
    </w:pPr>
    <w:rPr>
      <w:rFonts w:ascii="Arial" w:hAnsi="Arial"/>
      <w:b/>
      <w:bCs/>
      <w:sz w:val="44"/>
    </w:rPr>
  </w:style>
  <w:style w:type="character" w:customStyle="1" w:styleId="PGDVersionNumber">
    <w:name w:val="PGD Version Number"/>
    <w:basedOn w:val="DefaultParagraphFont"/>
    <w:qFormat/>
    <w:rsid w:val="00D63D44"/>
    <w:rPr>
      <w:rFonts w:ascii="Arial" w:hAnsi="Arial"/>
      <w:sz w:val="28"/>
    </w:rPr>
  </w:style>
  <w:style w:type="paragraph" w:customStyle="1" w:styleId="TableHeaderRow">
    <w:name w:val="Table Header Row"/>
    <w:basedOn w:val="Normal"/>
    <w:rsid w:val="00D63D44"/>
    <w:rPr>
      <w:rFonts w:ascii="Arial" w:hAnsi="Arial"/>
      <w:b/>
      <w:bCs/>
    </w:rPr>
  </w:style>
  <w:style w:type="character" w:customStyle="1" w:styleId="PGDNormalBold">
    <w:name w:val="PGD Normal Bold"/>
    <w:basedOn w:val="DefaultParagraphFont"/>
    <w:rsid w:val="00D63D44"/>
    <w:rPr>
      <w:rFonts w:ascii="Arial" w:hAnsi="Arial"/>
      <w:b/>
      <w:bCs/>
    </w:rPr>
  </w:style>
  <w:style w:type="character" w:customStyle="1" w:styleId="TableHeaderColumn">
    <w:name w:val="Table Header Column"/>
    <w:basedOn w:val="DefaultParagraphFont"/>
    <w:rsid w:val="00D63D44"/>
    <w:rPr>
      <w:rFonts w:ascii="Arial" w:hAnsi="Arial"/>
      <w:b/>
      <w:bCs/>
      <w:sz w:val="20"/>
    </w:rPr>
  </w:style>
  <w:style w:type="paragraph" w:customStyle="1" w:styleId="Title1">
    <w:name w:val="Title 1"/>
    <w:basedOn w:val="Title"/>
    <w:qFormat/>
    <w:rsid w:val="00D63D44"/>
    <w:rPr>
      <w:rFonts w:ascii="Arial" w:hAnsi="Arial" w:cs="Arial"/>
      <w:sz w:val="44"/>
      <w:szCs w:val="44"/>
    </w:rPr>
  </w:style>
  <w:style w:type="paragraph" w:customStyle="1" w:styleId="Title2">
    <w:name w:val="Title 2"/>
    <w:basedOn w:val="Title"/>
    <w:qFormat/>
    <w:rsid w:val="00D63D44"/>
    <w:rPr>
      <w:rFonts w:ascii="Arial" w:hAnsi="Arial" w:cs="Arial"/>
      <w:sz w:val="40"/>
      <w:szCs w:val="40"/>
    </w:rPr>
  </w:style>
  <w:style w:type="paragraph" w:customStyle="1" w:styleId="PGDHeading2">
    <w:name w:val="PGD Heading 2"/>
    <w:basedOn w:val="Heading2"/>
    <w:qFormat/>
    <w:rsid w:val="00D63D44"/>
    <w:rPr>
      <w:rFonts w:ascii="Arial" w:hAnsi="Arial" w:cs="Arial"/>
      <w:color w:val="auto"/>
      <w:sz w:val="28"/>
      <w:szCs w:val="28"/>
    </w:rPr>
  </w:style>
  <w:style w:type="table" w:customStyle="1" w:styleId="Tableheading">
    <w:name w:val="Table heading"/>
    <w:basedOn w:val="TableNormal"/>
    <w:uiPriority w:val="99"/>
    <w:rsid w:val="00D63D44"/>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D63D44"/>
    <w:pPr>
      <w:spacing w:line="240" w:lineRule="auto"/>
    </w:pPr>
  </w:style>
  <w:style w:type="paragraph" w:customStyle="1" w:styleId="PGDtablebullet0">
    <w:name w:val="PGD table bullet"/>
    <w:basedOn w:val="Normal"/>
    <w:rsid w:val="00D63D44"/>
    <w:rPr>
      <w:rFonts w:ascii="Arial" w:eastAsia="Times New Roman" w:hAnsi="Arial"/>
    </w:rPr>
  </w:style>
  <w:style w:type="numbering" w:customStyle="1" w:styleId="PGDTableBullet">
    <w:name w:val="PGD Table Bullet"/>
    <w:basedOn w:val="NoList"/>
    <w:uiPriority w:val="99"/>
    <w:rsid w:val="00D63D44"/>
    <w:pPr>
      <w:numPr>
        <w:numId w:val="13"/>
      </w:numPr>
    </w:pPr>
  </w:style>
  <w:style w:type="paragraph" w:customStyle="1" w:styleId="StyleLatinArialAfter0ptLinespacingsingle">
    <w:name w:val="Style (Latin) Arial After:  0 pt Line spacing:  single"/>
    <w:basedOn w:val="Normal"/>
    <w:rsid w:val="00D63D44"/>
    <w:rPr>
      <w:rFonts w:ascii="Arial" w:eastAsia="Times New Roman" w:hAnsi="Arial"/>
    </w:rPr>
  </w:style>
  <w:style w:type="paragraph" w:customStyle="1" w:styleId="PGDlogo">
    <w:name w:val="PGD logo"/>
    <w:basedOn w:val="NICEnormal"/>
    <w:rsid w:val="00D63D44"/>
    <w:pPr>
      <w:jc w:val="right"/>
    </w:pPr>
  </w:style>
  <w:style w:type="paragraph" w:customStyle="1" w:styleId="PGDLogo0">
    <w:name w:val="PGD Logo"/>
    <w:basedOn w:val="PGDNormal"/>
    <w:rsid w:val="00D63D44"/>
    <w:pPr>
      <w:jc w:val="right"/>
    </w:pPr>
  </w:style>
  <w:style w:type="paragraph" w:customStyle="1" w:styleId="PGDVersion">
    <w:name w:val="PGD Version"/>
    <w:basedOn w:val="Normal"/>
    <w:rsid w:val="00D63D44"/>
    <w:pPr>
      <w:jc w:val="center"/>
    </w:pPr>
    <w:rPr>
      <w:rFonts w:ascii="Arial" w:eastAsia="Times New Roman" w:hAnsi="Arial"/>
      <w:sz w:val="28"/>
    </w:rPr>
  </w:style>
  <w:style w:type="numbering" w:customStyle="1" w:styleId="PGDtablebullet2">
    <w:name w:val="PGD table bullet 2"/>
    <w:basedOn w:val="NoList"/>
    <w:rsid w:val="00D63D44"/>
    <w:pPr>
      <w:numPr>
        <w:numId w:val="15"/>
      </w:numPr>
    </w:pPr>
  </w:style>
  <w:style w:type="numbering" w:customStyle="1" w:styleId="PGDbullet2">
    <w:name w:val="PGD bullet 2"/>
    <w:basedOn w:val="NoList"/>
    <w:rsid w:val="00D63D44"/>
    <w:pPr>
      <w:numPr>
        <w:numId w:val="18"/>
      </w:numPr>
    </w:pPr>
  </w:style>
  <w:style w:type="numbering" w:customStyle="1" w:styleId="PGDtablebullet1">
    <w:name w:val="PGD table bullet 1"/>
    <w:basedOn w:val="NoList"/>
    <w:rsid w:val="00D63D44"/>
    <w:pPr>
      <w:numPr>
        <w:numId w:val="20"/>
      </w:numPr>
    </w:pPr>
  </w:style>
  <w:style w:type="character" w:customStyle="1" w:styleId="BodyTextChar">
    <w:name w:val="Body Text Char"/>
    <w:basedOn w:val="DefaultParagraphFont"/>
    <w:link w:val="BodyText"/>
    <w:rsid w:val="00D63D44"/>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D63D44"/>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D63D44"/>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D63D44"/>
    <w:rPr>
      <w:rFonts w:eastAsiaTheme="minorHAnsi"/>
      <w:b/>
      <w:bCs/>
      <w:kern w:val="2"/>
      <w:lang w:eastAsia="en-US"/>
      <w14:ligatures w14:val="standardContextual"/>
    </w:rPr>
  </w:style>
  <w:style w:type="paragraph" w:customStyle="1" w:styleId="TableParagraph">
    <w:name w:val="Table Paragraph"/>
    <w:basedOn w:val="Normal"/>
    <w:uiPriority w:val="1"/>
    <w:qFormat/>
    <w:rsid w:val="00251D91"/>
    <w:pPr>
      <w:widowControl w:val="0"/>
    </w:pPr>
    <w:rPr>
      <w:rFonts w:eastAsia="Calibri"/>
      <w:kern w:val="0"/>
      <w:lang w:val="en-US"/>
      <w14:ligatures w14:val="none"/>
    </w:rPr>
  </w:style>
  <w:style w:type="paragraph" w:customStyle="1" w:styleId="xmsonormal">
    <w:name w:val="x_msonormal"/>
    <w:basedOn w:val="Normal"/>
    <w:rsid w:val="00251D91"/>
    <w:pPr>
      <w:spacing w:before="100" w:beforeAutospacing="1" w:after="100" w:afterAutospacing="1"/>
    </w:pPr>
    <w:rPr>
      <w:rFonts w:ascii="Times New Roman" w:eastAsia="Times New Roman" w:hAnsi="Times New Roman"/>
      <w:kern w:val="0"/>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customStyle="1" w:styleId="CM13">
    <w:name w:val="CM13"/>
    <w:basedOn w:val="Default"/>
    <w:next w:val="Default"/>
    <w:uiPriority w:val="99"/>
    <w:rsid w:val="00251D91"/>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roducts.mhra.gov.uk/search/?search=trimethoprim&amp;page=1" TargetMode="External"/><Relationship Id="rId21" Type="http://schemas.openxmlformats.org/officeDocument/2006/relationships/hyperlink" Target="https://gbr01.safelinks.protection.outlook.com/?url=https%3A%2F%2Felearning.rcgp.org.uk%2Fmod%2Fbook%2Ftool%2Fprint%2Findex.php%3Fid%3D12652%23ch468&amp;data=05%7C01%7Cjo.jenkins2%40nhs.net%7C870be34c9c024be051c708db13405aa6%7C37c354b285b047f5b22207b48d774ee3%7C0%7C0%7C638124939332051513%7CUnknown%7CTWFpbGZsb3d8eyJWIjoiMC4wLjAwMDAiLCJQIjoiV2luMzIiLCJBTiI6Ik1haWwiLCJXVCI6Mn0%3D%7C3000%7C%7C%7C&amp;sdata=gA8lZNkWF9RoWJApTT3cLE4hn3rNZjgq49XscIfrA6Q%3D&amp;reserved=0" TargetMode="External"/><Relationship Id="rId42" Type="http://schemas.openxmlformats.org/officeDocument/2006/relationships/hyperlink" Target="https://cks.nice.org.uk/topics/nsaids-prescribing-issues/" TargetMode="External"/><Relationship Id="rId47" Type="http://schemas.openxmlformats.org/officeDocument/2006/relationships/hyperlink" Target="https://elearning.rcgp.org.uk/mod/book/view.php?id=12647" TargetMode="External"/><Relationship Id="rId63" Type="http://schemas.openxmlformats.org/officeDocument/2006/relationships/hyperlink" Target="https://elearning.rcgp.org.uk/mod/book/view.php?id=12647&amp;chapterid=441"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ps.nhs.uk/home/guidance/patient-group-directions/templates/" TargetMode="External"/><Relationship Id="rId29" Type="http://schemas.openxmlformats.org/officeDocument/2006/relationships/hyperlink" Target="https://www.gov.uk/government/publications/urinary-tract-infection-diagnosis"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www.gov.uk/government/publications/urinary-tract-infection-diagnosis" TargetMode="External"/><Relationship Id="rId32" Type="http://schemas.openxmlformats.org/officeDocument/2006/relationships/hyperlink" Target="https://www.nhs.uk/conditions/kidney-stones/" TargetMode="External"/><Relationship Id="rId37" Type="http://schemas.openxmlformats.org/officeDocument/2006/relationships/hyperlink" Target="https://products.mhra.gov.uk/search/?search=trimethoprim&amp;page=1" TargetMode="External"/><Relationship Id="rId40" Type="http://schemas.openxmlformats.org/officeDocument/2006/relationships/hyperlink" Target="https://www.nhs.uk/conditions/urinary-tract-infections-utis/" TargetMode="External"/><Relationship Id="rId45" Type="http://schemas.openxmlformats.org/officeDocument/2006/relationships/hyperlink" Target="https://cks.nice.org.uk/topics/renal-or-ureteric-colic-acute/" TargetMode="External"/><Relationship Id="rId53" Type="http://schemas.openxmlformats.org/officeDocument/2006/relationships/hyperlink" Target="https://elearning.rcgp.org.uk/mod/book/view.php?id=12647&amp;chapterid=441" TargetMode="External"/><Relationship Id="rId58" Type="http://schemas.openxmlformats.org/officeDocument/2006/relationships/hyperlink" Target="https://www.pharmaceuticalpress.com/bnf-and-bnfc/"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nice.org.uk/guidance/ng109" TargetMode="External"/><Relationship Id="rId19" Type="http://schemas.openxmlformats.org/officeDocument/2006/relationships/hyperlink" Target="https://www.nice.org.uk/guidance/mpg2/chapter/Recommendations" TargetMode="External"/><Relationship Id="rId14" Type="http://schemas.openxmlformats.org/officeDocument/2006/relationships/hyperlink" Target="https://cks.nice.org.uk/topics/renal-or-ureteric-colic-acute/" TargetMode="External"/><Relationship Id="rId22" Type="http://schemas.openxmlformats.org/officeDocument/2006/relationships/hyperlink" Target="https://www.e-lfh.org.uk/programmes/patient-group-directions/" TargetMode="External"/><Relationship Id="rId27" Type="http://schemas.openxmlformats.org/officeDocument/2006/relationships/hyperlink" Target="https://www.nice.org.uk/guidance/ng109" TargetMode="External"/><Relationship Id="rId30" Type="http://schemas.openxmlformats.org/officeDocument/2006/relationships/hyperlink" Target="https://assets.publishing.service.gov.uk/media/689cba1b1c63de6de5bb12a9/Green-book-chapter-Shingles_12_8_24.pdf" TargetMode="External"/><Relationship Id="rId35" Type="http://schemas.openxmlformats.org/officeDocument/2006/relationships/hyperlink" Target="https://www.gov.uk/government/publications/urinary-tract-infection-diagnosis" TargetMode="External"/><Relationship Id="rId43" Type="http://schemas.openxmlformats.org/officeDocument/2006/relationships/hyperlink" Target="https://elearning.rcgp.org.uk/mod/book/view.php?id=12647&amp;chapterid=441" TargetMode="External"/><Relationship Id="rId48" Type="http://schemas.openxmlformats.org/officeDocument/2006/relationships/hyperlink" Target="https://products.mhra.gov.uk/search/?search=trimethoprim&amp;page=1" TargetMode="External"/><Relationship Id="rId56" Type="http://schemas.openxmlformats.org/officeDocument/2006/relationships/hyperlink" Target="https://transform.england.nhs.uk/information-governance/guidance/records-management-code/"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pharmaceuticalpress.com/bnf-and-bnfc/" TargetMode="External"/><Relationship Id="rId3" Type="http://schemas.openxmlformats.org/officeDocument/2006/relationships/customXml" Target="../customXml/item3.xml"/><Relationship Id="rId12" Type="http://schemas.openxmlformats.org/officeDocument/2006/relationships/hyperlink" Target="https://www.gov.uk/government/publications/urinary-tract-infection-diagnosis" TargetMode="External"/><Relationship Id="rId17" Type="http://schemas.openxmlformats.org/officeDocument/2006/relationships/hyperlink" Target="https://www.stonewall.org.uk/list-lgbtq-terms" TargetMode="External"/><Relationship Id="rId25" Type="http://schemas.openxmlformats.org/officeDocument/2006/relationships/hyperlink" Target="https://www.nice.org.uk/guidance/ng109" TargetMode="External"/><Relationship Id="rId33" Type="http://schemas.openxmlformats.org/officeDocument/2006/relationships/hyperlink" Target="https://cks.nice.org.uk/topics/renal-or-ureteric-colic-acute/" TargetMode="External"/><Relationship Id="rId38" Type="http://schemas.openxmlformats.org/officeDocument/2006/relationships/hyperlink" Target="https://products.mhra.gov.uk/search/?search=trimethoprim&amp;page=1" TargetMode="External"/><Relationship Id="rId46" Type="http://schemas.openxmlformats.org/officeDocument/2006/relationships/hyperlink" Target="https://www.nhs.uk/conditions/sepsis/" TargetMode="External"/><Relationship Id="rId59" Type="http://schemas.openxmlformats.org/officeDocument/2006/relationships/hyperlink" Target="https://assets.publishing.service.gov.uk/government/uploads/system/uploads/attachment_data/file/138296/dh_103653__1_.pdf" TargetMode="External"/><Relationship Id="rId67" Type="http://schemas.openxmlformats.org/officeDocument/2006/relationships/header" Target="header3.xml"/><Relationship Id="rId20"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41" Type="http://schemas.openxmlformats.org/officeDocument/2006/relationships/hyperlink" Target="https://cks.nice.org.uk/topics/analgesia-mild-to-moderate-pain/" TargetMode="External"/><Relationship Id="rId54" Type="http://schemas.openxmlformats.org/officeDocument/2006/relationships/hyperlink" Target="https://elearning.rcgp.org.uk/mod/book/view.php?id=13511&amp;chapterid=784" TargetMode="External"/><Relationship Id="rId62" Type="http://schemas.openxmlformats.org/officeDocument/2006/relationships/hyperlink" Target="https://www.gov.uk/government/publications/urinary-tract-infection-diagnosis/diagnosis-of-urinary-tract-infections-quick-reference-tools-for-primary-ca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ks.nice.org.uk/topics/renal-or-ureteric-colic-acute/" TargetMode="External"/><Relationship Id="rId23" Type="http://schemas.openxmlformats.org/officeDocument/2006/relationships/hyperlink" Target="https://www.nice.org.uk/guidance/mpg2/resources" TargetMode="External"/><Relationship Id="rId28" Type="http://schemas.openxmlformats.org/officeDocument/2006/relationships/hyperlink" Target="https://www.gov.uk/government/publications/urinary-tract-infection-diagnosis" TargetMode="External"/><Relationship Id="rId36" Type="http://schemas.openxmlformats.org/officeDocument/2006/relationships/hyperlink" Target="https://www.nice.org.uk/guidance/ng12" TargetMode="External"/><Relationship Id="rId49" Type="http://schemas.openxmlformats.org/officeDocument/2006/relationships/hyperlink" Target="https://products.mhra.gov.uk/search/?search=trimethoprim&amp;page=1" TargetMode="External"/><Relationship Id="rId57" Type="http://schemas.openxmlformats.org/officeDocument/2006/relationships/hyperlink" Target="https://products.mhra.gov.uk/search/?search=trimethoprim&amp;page=1" TargetMode="External"/><Relationship Id="rId10" Type="http://schemas.openxmlformats.org/officeDocument/2006/relationships/endnotes" Target="endnotes.xml"/><Relationship Id="rId31" Type="http://schemas.openxmlformats.org/officeDocument/2006/relationships/hyperlink" Target="https://products.mhra.gov.uk/search/?search=trimethoprim&amp;page=1" TargetMode="External"/><Relationship Id="rId44" Type="http://schemas.openxmlformats.org/officeDocument/2006/relationships/hyperlink" Target="https://www.nhs.uk/conditions/sepsis/" TargetMode="External"/><Relationship Id="rId52" Type="http://schemas.openxmlformats.org/officeDocument/2006/relationships/hyperlink" Target="https://yellowcard.mhra.gov.uk/" TargetMode="External"/><Relationship Id="rId60" Type="http://schemas.openxmlformats.org/officeDocument/2006/relationships/hyperlink" Target="https://www.nice.org.uk/guidance/mpg2"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hs.uk/conditions/kidney-stones/" TargetMode="External"/><Relationship Id="rId18" Type="http://schemas.openxmlformats.org/officeDocument/2006/relationships/hyperlink" Target="https://www.nice.org.uk/Guidance/MPG2" TargetMode="External"/><Relationship Id="rId39" Type="http://schemas.openxmlformats.org/officeDocument/2006/relationships/hyperlink" Target="https://elearning.rcgp.org.uk/mod/book/view.php?id=12647&amp;chapterid=441" TargetMode="External"/><Relationship Id="rId34" Type="http://schemas.openxmlformats.org/officeDocument/2006/relationships/hyperlink" Target="https://www.nhs.uk/conditions/sepsis/" TargetMode="External"/><Relationship Id="rId50" Type="http://schemas.openxmlformats.org/officeDocument/2006/relationships/hyperlink" Target="https://products.mhra.gov.uk/search/?search=trimethoprim&amp;page=1" TargetMode="External"/><Relationship Id="rId55" Type="http://schemas.openxmlformats.org/officeDocument/2006/relationships/hyperlink" Target="https://www.nhs.uk/conditions/se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Infection &amp; Infectious Diseases</Workstream>
    <ReviewDate xmlns="f161132f-3af4-47f5-b28f-8075dccddbe8" xsi:nil="true"/>
    <Versionnumber xmlns="f161132f-3af4-47f5-b28f-8075dccddbe8">2</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documentManagement>
</p:properties>
</file>

<file path=customXml/itemProps1.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2.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3.xml><?xml version="1.0" encoding="utf-8"?>
<ds:datastoreItem xmlns:ds="http://schemas.openxmlformats.org/officeDocument/2006/customXml" ds:itemID="{8883E78B-74D5-424F-B4FD-33AEEFCFD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6CB9F-8EA7-4303-9C7D-6AA9E03E0ED0}">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f161132f-3af4-47f5-b28f-8075dccddb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5809</Words>
  <Characters>33113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 Administrator</dc:creator>
  <cp:keywords/>
  <cp:lastModifiedBy>JENKINS, Jo (NHS ENGLAND)</cp:lastModifiedBy>
  <cp:revision>3</cp:revision>
  <cp:lastPrinted>2017-03-27T13:58:00Z</cp:lastPrinted>
  <dcterms:created xsi:type="dcterms:W3CDTF">2025-10-14T06:03:00Z</dcterms:created>
  <dcterms:modified xsi:type="dcterms:W3CDTF">2025-10-14T12:25:00Z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