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4FD30E66" w:rsidR="007A1448" w:rsidRPr="00DF77C7" w:rsidRDefault="00C1149F" w:rsidP="006529F3">
      <w:pPr>
        <w:pStyle w:val="PGDTitle2"/>
      </w:pPr>
      <w:r w:rsidRPr="00D83FBB">
        <w:rPr>
          <w:bCs/>
          <w:kern w:val="28"/>
          <w:sz w:val="40"/>
          <w:szCs w:val="32"/>
        </w:rPr>
        <w:t xml:space="preserve">Supply of doxycycline for the treatment of uncomplicated </w:t>
      </w:r>
      <w:r w:rsidRPr="006A59D0">
        <w:rPr>
          <w:bCs/>
          <w:i/>
          <w:kern w:val="28"/>
          <w:sz w:val="40"/>
          <w:szCs w:val="32"/>
        </w:rPr>
        <w:t>Chlamydia trachomatis</w:t>
      </w:r>
      <w:r>
        <w:rPr>
          <w:bCs/>
          <w:i/>
          <w:kern w:val="28"/>
          <w:sz w:val="40"/>
          <w:szCs w:val="32"/>
        </w:rPr>
        <w:t xml:space="preserve"> </w:t>
      </w:r>
      <w:r>
        <w:rPr>
          <w:bCs/>
          <w:kern w:val="28"/>
          <w:sz w:val="40"/>
          <w:szCs w:val="32"/>
        </w:rPr>
        <w:t xml:space="preserve">confirmed </w:t>
      </w:r>
      <w:r w:rsidRPr="005D7A6A">
        <w:rPr>
          <w:rFonts w:cs="Arial"/>
          <w:bCs/>
          <w:sz w:val="40"/>
          <w:szCs w:val="40"/>
        </w:rPr>
        <w:t>lymphogranuloma venereum,</w:t>
      </w:r>
      <w:r w:rsidRPr="00EF2A78">
        <w:rPr>
          <w:bCs/>
          <w:kern w:val="28"/>
          <w:sz w:val="40"/>
          <w:szCs w:val="40"/>
        </w:rPr>
        <w:t xml:space="preserve"> uncomplicated</w:t>
      </w:r>
      <w:r w:rsidRPr="005D7A6A">
        <w:rPr>
          <w:bCs/>
          <w:kern w:val="28"/>
          <w:sz w:val="44"/>
        </w:rPr>
        <w:t xml:space="preserve"> </w:t>
      </w:r>
      <w:r w:rsidRPr="006A59D0">
        <w:rPr>
          <w:bCs/>
          <w:i/>
          <w:kern w:val="28"/>
          <w:sz w:val="40"/>
          <w:szCs w:val="32"/>
        </w:rPr>
        <w:t>Mycoplasma genitalium</w:t>
      </w:r>
      <w:r>
        <w:rPr>
          <w:bCs/>
          <w:kern w:val="28"/>
          <w:sz w:val="40"/>
          <w:szCs w:val="32"/>
        </w:rPr>
        <w:t xml:space="preserve"> or</w:t>
      </w:r>
      <w:r w:rsidRPr="00D83FBB">
        <w:rPr>
          <w:bCs/>
          <w:kern w:val="28"/>
          <w:sz w:val="40"/>
          <w:szCs w:val="32"/>
        </w:rPr>
        <w:t xml:space="preserve"> non-gonococcal/non-specific urethritis</w:t>
      </w:r>
      <w:r>
        <w:rPr>
          <w:bCs/>
          <w:kern w:val="28"/>
          <w:sz w:val="40"/>
          <w:szCs w:val="32"/>
        </w:rPr>
        <w:t xml:space="preserve"> </w:t>
      </w:r>
      <w:r w:rsidR="005C6771" w:rsidRPr="00DF77C7">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1B3B53BC" w14:textId="771746B3" w:rsidR="00813399" w:rsidRPr="00DF77C7" w:rsidRDefault="00813399" w:rsidP="00E97A6D">
      <w:r w:rsidRPr="007F687D">
        <w:rPr>
          <w:rStyle w:val="PGDVersionNumber"/>
        </w:rPr>
        <w:t xml:space="preserve">Version Number </w:t>
      </w:r>
      <w:r w:rsidR="00E97A6D">
        <w:rPr>
          <w:rStyle w:val="PGDVersionNumber"/>
        </w:rPr>
        <w:t>3</w:t>
      </w:r>
      <w:r w:rsidR="00251D91">
        <w:rPr>
          <w:rStyle w:val="PGDVersionNumber"/>
        </w:rPr>
        <w:t>.0</w:t>
      </w:r>
    </w:p>
    <w:p w14:paraId="4B28C630" w14:textId="1C130391" w:rsidR="00763E7A" w:rsidRPr="00DF77C7" w:rsidRDefault="00763E7A" w:rsidP="00AD67D4">
      <w:pPr>
        <w:pStyle w:val="Tabletitle"/>
        <w:rPr>
          <w:lang w:val="en-GB"/>
        </w:rPr>
      </w:pPr>
      <w:r w:rsidRPr="00DF77C7">
        <w:rPr>
          <w:lang w:val="en-GB"/>
        </w:rPr>
        <w:lastRenderedPageBreak/>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45B0D" w:rsidRPr="00945B0D"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C44DF93" w14:textId="77777777" w:rsidR="00945B0D" w:rsidRPr="00C1149F" w:rsidRDefault="00945B0D" w:rsidP="00C1149F">
            <w:pPr>
              <w:pStyle w:val="Tabletext"/>
              <w:rPr>
                <w:sz w:val="20"/>
              </w:rPr>
            </w:pPr>
            <w:r w:rsidRPr="00C1149F">
              <w:rPr>
                <w:sz w:val="20"/>
              </w:rPr>
              <w:t>Version 1</w:t>
            </w:r>
          </w:p>
          <w:p w14:paraId="564FB0F8" w14:textId="594201FD" w:rsidR="00945B0D" w:rsidRPr="00C1149F" w:rsidRDefault="00945B0D" w:rsidP="00C1149F">
            <w:pPr>
              <w:pStyle w:val="Tabletext"/>
              <w:rPr>
                <w:sz w:val="20"/>
              </w:rPr>
            </w:pPr>
            <w:r w:rsidRPr="00C1149F">
              <w:rPr>
                <w:sz w:val="20"/>
              </w:rPr>
              <w:t>April 2020</w:t>
            </w:r>
          </w:p>
        </w:tc>
        <w:tc>
          <w:tcPr>
            <w:tcW w:w="7020" w:type="dxa"/>
            <w:tcBorders>
              <w:top w:val="single" w:sz="4" w:space="0" w:color="auto"/>
              <w:left w:val="single" w:sz="4" w:space="0" w:color="auto"/>
              <w:bottom w:val="single" w:sz="4" w:space="0" w:color="auto"/>
              <w:right w:val="single" w:sz="4" w:space="0" w:color="auto"/>
            </w:tcBorders>
          </w:tcPr>
          <w:p w14:paraId="4A45011F" w14:textId="1386BE26" w:rsidR="00945B0D" w:rsidRPr="00C1149F" w:rsidRDefault="00945B0D" w:rsidP="00C1149F">
            <w:pPr>
              <w:pStyle w:val="Tabletext"/>
              <w:rPr>
                <w:sz w:val="20"/>
              </w:rPr>
            </w:pPr>
            <w:r w:rsidRPr="00C1149F">
              <w:rPr>
                <w:sz w:val="20"/>
              </w:rPr>
              <w:t>New template</w:t>
            </w:r>
          </w:p>
        </w:tc>
      </w:tr>
      <w:tr w:rsidR="00945B0D" w:rsidRPr="00945B0D"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02294CE" w14:textId="77777777" w:rsidR="00945B0D" w:rsidRPr="00C1149F" w:rsidRDefault="00945B0D" w:rsidP="00C1149F">
            <w:pPr>
              <w:pStyle w:val="Tabletext"/>
              <w:rPr>
                <w:sz w:val="20"/>
              </w:rPr>
            </w:pPr>
            <w:r w:rsidRPr="00C1149F">
              <w:rPr>
                <w:sz w:val="20"/>
              </w:rPr>
              <w:t>Version 1.1</w:t>
            </w:r>
          </w:p>
          <w:p w14:paraId="2E8CDAF5" w14:textId="09B38C44" w:rsidR="00945B0D" w:rsidRPr="00C1149F" w:rsidRDefault="00945B0D" w:rsidP="00C1149F">
            <w:pPr>
              <w:pStyle w:val="Tabletext"/>
              <w:rPr>
                <w:sz w:val="20"/>
              </w:rPr>
            </w:pPr>
            <w:r w:rsidRPr="00C1149F">
              <w:rPr>
                <w:sz w:val="20"/>
              </w:rPr>
              <w:t>May 2020</w:t>
            </w:r>
          </w:p>
        </w:tc>
        <w:tc>
          <w:tcPr>
            <w:tcW w:w="7020" w:type="dxa"/>
            <w:tcBorders>
              <w:top w:val="single" w:sz="4" w:space="0" w:color="auto"/>
              <w:left w:val="single" w:sz="4" w:space="0" w:color="auto"/>
              <w:bottom w:val="single" w:sz="4" w:space="0" w:color="auto"/>
              <w:right w:val="single" w:sz="4" w:space="0" w:color="auto"/>
            </w:tcBorders>
          </w:tcPr>
          <w:p w14:paraId="6CB8AEC2" w14:textId="761632F6" w:rsidR="00945B0D" w:rsidRPr="00C1149F" w:rsidRDefault="00945B0D" w:rsidP="00C1149F">
            <w:pPr>
              <w:pStyle w:val="Tabletext"/>
              <w:rPr>
                <w:sz w:val="20"/>
              </w:rPr>
            </w:pPr>
            <w:r w:rsidRPr="00C1149F">
              <w:rPr>
                <w:sz w:val="20"/>
              </w:rPr>
              <w:t>Minor reordering (content unchanged)</w:t>
            </w:r>
          </w:p>
        </w:tc>
      </w:tr>
      <w:tr w:rsidR="00945B0D" w:rsidRPr="00945B0D"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ADFD27" w14:textId="77777777" w:rsidR="00945B0D" w:rsidRPr="00C1149F" w:rsidRDefault="00945B0D" w:rsidP="00C1149F">
            <w:pPr>
              <w:pStyle w:val="Tabletext"/>
              <w:rPr>
                <w:sz w:val="20"/>
              </w:rPr>
            </w:pPr>
            <w:r w:rsidRPr="00C1149F">
              <w:rPr>
                <w:sz w:val="20"/>
              </w:rPr>
              <w:t>Version 1.2</w:t>
            </w:r>
          </w:p>
          <w:p w14:paraId="776AB6B6" w14:textId="49D5AFB0" w:rsidR="00945B0D" w:rsidRPr="00C1149F" w:rsidRDefault="00945B0D" w:rsidP="00C1149F">
            <w:pPr>
              <w:pStyle w:val="Tabletext"/>
              <w:rPr>
                <w:sz w:val="20"/>
              </w:rPr>
            </w:pPr>
            <w:r w:rsidRPr="00C1149F">
              <w:rPr>
                <w:sz w:val="20"/>
              </w:rPr>
              <w:t>October 2020</w:t>
            </w:r>
          </w:p>
        </w:tc>
        <w:tc>
          <w:tcPr>
            <w:tcW w:w="7020" w:type="dxa"/>
            <w:tcBorders>
              <w:top w:val="single" w:sz="4" w:space="0" w:color="auto"/>
              <w:left w:val="single" w:sz="4" w:space="0" w:color="auto"/>
              <w:bottom w:val="single" w:sz="4" w:space="0" w:color="auto"/>
              <w:right w:val="single" w:sz="4" w:space="0" w:color="auto"/>
            </w:tcBorders>
          </w:tcPr>
          <w:p w14:paraId="008620F1" w14:textId="77777777" w:rsidR="00945B0D" w:rsidRPr="00C1149F" w:rsidRDefault="00C1149F" w:rsidP="00C1149F">
            <w:pPr>
              <w:pStyle w:val="Tabletext"/>
              <w:rPr>
                <w:sz w:val="20"/>
              </w:rPr>
            </w:pPr>
            <w:r w:rsidRPr="00C1149F">
              <w:rPr>
                <w:sz w:val="20"/>
              </w:rPr>
              <w:t>Removed from criteria for inclusion: Clinical epididymo-orchitis (where the practitioner is competent in management of men with testicular pain) and   individuals who present with clear penile discharge where there is no access to microscopy facilities to diagnose NSU/NGU</w:t>
            </w:r>
          </w:p>
          <w:p w14:paraId="53F0661E" w14:textId="230031CF" w:rsidR="00C1149F" w:rsidRPr="00C1149F" w:rsidRDefault="00C1149F" w:rsidP="00C1149F">
            <w:pPr>
              <w:pStyle w:val="Tabletext"/>
              <w:rPr>
                <w:sz w:val="20"/>
              </w:rPr>
            </w:pPr>
            <w:r w:rsidRPr="00C1149F">
              <w:rPr>
                <w:sz w:val="20"/>
              </w:rPr>
              <w:t xml:space="preserve">Advisory wording added to inclusion criteria section: NOTE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  </w:t>
            </w:r>
          </w:p>
        </w:tc>
      </w:tr>
      <w:tr w:rsidR="00945B0D" w:rsidRPr="00945B0D" w14:paraId="78F8FC16"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02B2579" w14:textId="5F3EF0D1" w:rsidR="00945B0D" w:rsidRPr="00C1149F" w:rsidRDefault="00C1149F" w:rsidP="00C1149F">
            <w:pPr>
              <w:pStyle w:val="Tabletext"/>
              <w:rPr>
                <w:sz w:val="20"/>
              </w:rPr>
            </w:pPr>
            <w:r w:rsidRPr="00C1149F">
              <w:rPr>
                <w:sz w:val="20"/>
              </w:rPr>
              <w:t>Minor amendments May 2021</w:t>
            </w:r>
          </w:p>
        </w:tc>
        <w:tc>
          <w:tcPr>
            <w:tcW w:w="7020" w:type="dxa"/>
            <w:tcBorders>
              <w:top w:val="single" w:sz="4" w:space="0" w:color="auto"/>
              <w:left w:val="single" w:sz="4" w:space="0" w:color="auto"/>
              <w:bottom w:val="single" w:sz="4" w:space="0" w:color="auto"/>
              <w:right w:val="single" w:sz="4" w:space="0" w:color="auto"/>
            </w:tcBorders>
          </w:tcPr>
          <w:p w14:paraId="4319135C" w14:textId="77777777" w:rsidR="00C1149F" w:rsidRPr="00C1149F" w:rsidRDefault="00C1149F" w:rsidP="00C1149F">
            <w:pPr>
              <w:pStyle w:val="Tabletext"/>
              <w:rPr>
                <w:sz w:val="20"/>
              </w:rPr>
            </w:pPr>
            <w:r w:rsidRPr="00C1149F">
              <w:rPr>
                <w:sz w:val="20"/>
              </w:rPr>
              <w:t>Correction of spelling in interactions section – acretin amended to acitretin</w:t>
            </w:r>
          </w:p>
          <w:p w14:paraId="34089880" w14:textId="77777777" w:rsidR="00C1149F" w:rsidRPr="00C1149F" w:rsidRDefault="00C1149F" w:rsidP="00C1149F">
            <w:pPr>
              <w:pStyle w:val="Tabletext"/>
              <w:rPr>
                <w:sz w:val="20"/>
              </w:rPr>
            </w:pPr>
            <w:r w:rsidRPr="00C1149F">
              <w:rPr>
                <w:sz w:val="20"/>
              </w:rPr>
              <w:t>Exclusion criteria - Glucose galactose intolerance amended to Glucose galactose malabsorption</w:t>
            </w:r>
          </w:p>
          <w:p w14:paraId="2249817A" w14:textId="48CF2571" w:rsidR="00945B0D" w:rsidRPr="00C1149F" w:rsidRDefault="00C1149F" w:rsidP="00C1149F">
            <w:pPr>
              <w:pStyle w:val="Tabletext"/>
              <w:rPr>
                <w:sz w:val="20"/>
              </w:rPr>
            </w:pPr>
            <w:r w:rsidRPr="00C1149F">
              <w:rPr>
                <w:sz w:val="20"/>
              </w:rPr>
              <w:t>Removed from Clinical condition or situation to which this PGD applies and PGD title - clinical epididymo-orchitis</w:t>
            </w:r>
            <w:r w:rsidR="00945B0D" w:rsidRPr="00C1149F">
              <w:rPr>
                <w:sz w:val="20"/>
              </w:rPr>
              <w:t xml:space="preserve">.  </w:t>
            </w:r>
          </w:p>
        </w:tc>
      </w:tr>
      <w:tr w:rsidR="00945B0D" w:rsidRPr="00945B0D" w14:paraId="5F1C2B5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A2C0CEE" w14:textId="77777777" w:rsidR="00C1149F" w:rsidRPr="00C1149F" w:rsidRDefault="00C1149F" w:rsidP="00C1149F">
            <w:pPr>
              <w:pStyle w:val="Tabletext"/>
              <w:rPr>
                <w:sz w:val="20"/>
              </w:rPr>
            </w:pPr>
            <w:r w:rsidRPr="00C1149F">
              <w:rPr>
                <w:sz w:val="20"/>
              </w:rPr>
              <w:t>Version 2.0</w:t>
            </w:r>
          </w:p>
          <w:p w14:paraId="5E39A1D9" w14:textId="16F8F429" w:rsidR="00945B0D" w:rsidRPr="00C1149F" w:rsidRDefault="00C1149F" w:rsidP="00C1149F">
            <w:pPr>
              <w:pStyle w:val="Tabletext"/>
              <w:rPr>
                <w:sz w:val="20"/>
              </w:rPr>
            </w:pPr>
            <w:r w:rsidRPr="00C1149F">
              <w:rPr>
                <w:sz w:val="20"/>
              </w:rPr>
              <w:t>April 2023</w:t>
            </w:r>
          </w:p>
        </w:tc>
        <w:tc>
          <w:tcPr>
            <w:tcW w:w="7020" w:type="dxa"/>
            <w:tcBorders>
              <w:top w:val="single" w:sz="4" w:space="0" w:color="auto"/>
              <w:left w:val="single" w:sz="4" w:space="0" w:color="auto"/>
              <w:bottom w:val="single" w:sz="4" w:space="0" w:color="auto"/>
              <w:right w:val="single" w:sz="4" w:space="0" w:color="auto"/>
            </w:tcBorders>
          </w:tcPr>
          <w:p w14:paraId="6402EBC7" w14:textId="521CE839" w:rsidR="00945B0D" w:rsidRPr="00C1149F" w:rsidRDefault="00C1149F" w:rsidP="00C1149F">
            <w:pPr>
              <w:pStyle w:val="Tabletext"/>
              <w:rPr>
                <w:sz w:val="20"/>
              </w:rPr>
            </w:pPr>
            <w:r w:rsidRPr="00C1149F">
              <w:rPr>
                <w:sz w:val="20"/>
              </w:rPr>
              <w:t>Updated template due to expiry – no significant changes to clinical content</w:t>
            </w:r>
            <w:r w:rsidR="00945B0D" w:rsidRPr="00C1149F">
              <w:rPr>
                <w:sz w:val="20"/>
              </w:rPr>
              <w:t>.</w:t>
            </w:r>
          </w:p>
        </w:tc>
      </w:tr>
      <w:tr w:rsidR="00945B0D" w:rsidRPr="00945B0D" w14:paraId="515F9D40"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E56A0F8" w14:textId="77777777" w:rsidR="00C1149F" w:rsidRPr="00C1149F" w:rsidRDefault="00C1149F" w:rsidP="00C1149F">
            <w:pPr>
              <w:pStyle w:val="Tabletext"/>
              <w:rPr>
                <w:sz w:val="20"/>
              </w:rPr>
            </w:pPr>
            <w:r w:rsidRPr="00C1149F">
              <w:rPr>
                <w:sz w:val="20"/>
              </w:rPr>
              <w:t>Version 2.1</w:t>
            </w:r>
          </w:p>
          <w:p w14:paraId="3C6A29A1" w14:textId="77777777" w:rsidR="00C1149F" w:rsidRPr="00C1149F" w:rsidRDefault="00C1149F" w:rsidP="00C1149F">
            <w:pPr>
              <w:pStyle w:val="Tabletext"/>
              <w:rPr>
                <w:sz w:val="20"/>
              </w:rPr>
            </w:pPr>
            <w:r w:rsidRPr="00C1149F">
              <w:rPr>
                <w:sz w:val="20"/>
              </w:rPr>
              <w:t>July 2023</w:t>
            </w:r>
          </w:p>
          <w:p w14:paraId="69A0BA74" w14:textId="36D32C48" w:rsidR="00945B0D" w:rsidRPr="00C1149F" w:rsidRDefault="00945B0D" w:rsidP="00C1149F">
            <w:pPr>
              <w:pStyle w:val="Tabletext"/>
              <w:rPr>
                <w:sz w:val="20"/>
              </w:rPr>
            </w:pPr>
          </w:p>
        </w:tc>
        <w:tc>
          <w:tcPr>
            <w:tcW w:w="7020" w:type="dxa"/>
            <w:tcBorders>
              <w:top w:val="single" w:sz="4" w:space="0" w:color="auto"/>
              <w:left w:val="single" w:sz="4" w:space="0" w:color="auto"/>
              <w:bottom w:val="single" w:sz="4" w:space="0" w:color="auto"/>
              <w:right w:val="single" w:sz="4" w:space="0" w:color="auto"/>
            </w:tcBorders>
          </w:tcPr>
          <w:p w14:paraId="1A15DA2A" w14:textId="77777777" w:rsidR="00C1149F" w:rsidRPr="00C1149F" w:rsidRDefault="00C1149F" w:rsidP="00C1149F">
            <w:pPr>
              <w:pStyle w:val="Tabletext"/>
              <w:rPr>
                <w:sz w:val="20"/>
              </w:rPr>
            </w:pPr>
            <w:r w:rsidRPr="00C1149F">
              <w:rPr>
                <w:sz w:val="20"/>
              </w:rPr>
              <w:t>Updated exclusion criteria – removed “Sucrose or fructose intolerance, glucose galactose malabsorption, sucrose-isomaltase insufficiency”.</w:t>
            </w:r>
          </w:p>
          <w:p w14:paraId="561DD41F" w14:textId="535F3784" w:rsidR="00945B0D" w:rsidRPr="00C1149F" w:rsidRDefault="00C1149F" w:rsidP="00C1149F">
            <w:pPr>
              <w:pStyle w:val="Tabletext"/>
              <w:rPr>
                <w:sz w:val="20"/>
              </w:rPr>
            </w:pPr>
            <w:r w:rsidRPr="00C1149F">
              <w:rPr>
                <w:sz w:val="20"/>
              </w:rPr>
              <w:t>Removed any reference to treatment of epididymo-orchitis.</w:t>
            </w:r>
          </w:p>
        </w:tc>
      </w:tr>
      <w:tr w:rsidR="00C1149F" w:rsidRPr="00945B0D" w14:paraId="7242D221"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CA9E0EE" w14:textId="77777777" w:rsidR="00C1149F" w:rsidRPr="00C1149F" w:rsidRDefault="00C1149F" w:rsidP="00C1149F">
            <w:pPr>
              <w:pStyle w:val="Tabletext"/>
              <w:rPr>
                <w:sz w:val="20"/>
              </w:rPr>
            </w:pPr>
            <w:r w:rsidRPr="00C1149F">
              <w:rPr>
                <w:sz w:val="20"/>
              </w:rPr>
              <w:t>Version 3.0</w:t>
            </w:r>
          </w:p>
          <w:p w14:paraId="35D6FC31" w14:textId="7C26FAB3" w:rsidR="00C1149F" w:rsidRPr="00C1149F" w:rsidRDefault="00C1149F" w:rsidP="00C1149F">
            <w:pPr>
              <w:pStyle w:val="Tabletext"/>
              <w:rPr>
                <w:sz w:val="20"/>
              </w:rPr>
            </w:pPr>
            <w:r w:rsidRPr="00C1149F">
              <w:rPr>
                <w:sz w:val="20"/>
              </w:rPr>
              <w:t>October 2025</w:t>
            </w:r>
          </w:p>
        </w:tc>
        <w:tc>
          <w:tcPr>
            <w:tcW w:w="7020" w:type="dxa"/>
            <w:tcBorders>
              <w:top w:val="single" w:sz="4" w:space="0" w:color="auto"/>
              <w:left w:val="single" w:sz="4" w:space="0" w:color="auto"/>
              <w:bottom w:val="single" w:sz="4" w:space="0" w:color="auto"/>
              <w:right w:val="single" w:sz="4" w:space="0" w:color="auto"/>
            </w:tcBorders>
          </w:tcPr>
          <w:p w14:paraId="3E412EE3" w14:textId="136D5AE2" w:rsidR="00C1149F" w:rsidRPr="00C1149F" w:rsidRDefault="00C1149F" w:rsidP="00C1149F">
            <w:pPr>
              <w:pStyle w:val="Tabletext"/>
              <w:rPr>
                <w:sz w:val="20"/>
              </w:rPr>
            </w:pPr>
            <w:r w:rsidRPr="00C1149F">
              <w:rPr>
                <w:sz w:val="20"/>
              </w:rPr>
              <w:t>Alignment with other SPS antimicrobial PGD templates</w:t>
            </w:r>
          </w:p>
          <w:p w14:paraId="65B088B0" w14:textId="65444380" w:rsidR="00C1149F" w:rsidRPr="00C1149F" w:rsidRDefault="00C1149F" w:rsidP="00C1149F">
            <w:pPr>
              <w:pStyle w:val="Tabletext"/>
              <w:rPr>
                <w:sz w:val="20"/>
              </w:rPr>
            </w:pPr>
            <w:r w:rsidRPr="00C1149F">
              <w:rPr>
                <w:sz w:val="20"/>
              </w:rPr>
              <w:t xml:space="preserve">Addition of lymphogranuloma venereum (LGV) as a treatment option in “Criteria for inclusion” section </w:t>
            </w:r>
          </w:p>
          <w:p w14:paraId="4078BA0E" w14:textId="3110E87C" w:rsidR="00C1149F" w:rsidRPr="00C1149F" w:rsidRDefault="00C1149F" w:rsidP="00C1149F">
            <w:pPr>
              <w:pStyle w:val="Tabletext"/>
              <w:rPr>
                <w:sz w:val="20"/>
              </w:rPr>
            </w:pPr>
            <w:r w:rsidRPr="00C1149F">
              <w:rPr>
                <w:sz w:val="20"/>
              </w:rPr>
              <w:t xml:space="preserve">Removal of “A single repeat treatment course for individuals who have had sexual intercourse within 7 days of receiving treatment or who have had sex with partner untreated for the above conditions” from “Criteria for inclusion” section </w:t>
            </w:r>
          </w:p>
          <w:p w14:paraId="7286770F" w14:textId="70B3AD4B" w:rsidR="00C1149F" w:rsidRPr="00C1149F" w:rsidRDefault="00C1149F" w:rsidP="00C1149F">
            <w:pPr>
              <w:pStyle w:val="Tabletext"/>
              <w:rPr>
                <w:sz w:val="20"/>
              </w:rPr>
            </w:pPr>
            <w:r w:rsidRPr="00C1149F">
              <w:rPr>
                <w:sz w:val="20"/>
              </w:rPr>
              <w:t>Addition of “Individuals with recurrent (recurrence of symptoms 30-90 days following treatment of initial episode of NGU) or persistent NGU” to “Criteria for exclusion” section</w:t>
            </w:r>
          </w:p>
          <w:p w14:paraId="2B9281B2" w14:textId="380C04B1" w:rsidR="00C1149F" w:rsidRPr="00C1149F" w:rsidRDefault="00C1149F" w:rsidP="00C1149F">
            <w:pPr>
              <w:pStyle w:val="Tabletext"/>
              <w:rPr>
                <w:sz w:val="20"/>
              </w:rPr>
            </w:pPr>
            <w:r w:rsidRPr="00C1149F">
              <w:rPr>
                <w:sz w:val="20"/>
              </w:rPr>
              <w:t>Addition of “Individuals who are systemically unwell” to “Criteria for exclusion” section</w:t>
            </w:r>
          </w:p>
          <w:p w14:paraId="1395BB65" w14:textId="2448ED35" w:rsidR="00C1149F" w:rsidRPr="00C1149F" w:rsidRDefault="00C1149F" w:rsidP="00C1149F">
            <w:pPr>
              <w:pStyle w:val="Tabletext"/>
              <w:rPr>
                <w:sz w:val="20"/>
              </w:rPr>
            </w:pPr>
            <w:r w:rsidRPr="00C1149F">
              <w:rPr>
                <w:sz w:val="20"/>
              </w:rPr>
              <w:t>Addition of information regarding management of users of doxycycline post exposure prophylaxis (doxyPEP) to “Action to be taken if the individual is excluded or declines treatment” section</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0A138EDA" w:rsidR="0017669F" w:rsidRPr="00DF77C7" w:rsidRDefault="00157031" w:rsidP="00AD67D4">
            <w:pPr>
              <w:pStyle w:val="Tabletext"/>
              <w:rPr>
                <w:lang w:val="en-GB"/>
              </w:rPr>
            </w:pPr>
            <w:r>
              <w:rPr>
                <w:lang w:val="en-GB"/>
              </w:rPr>
              <w:t>1</w:t>
            </w:r>
            <w:r w:rsidRPr="00157031">
              <w:rPr>
                <w:vertAlign w:val="superscript"/>
                <w:lang w:val="en-GB"/>
              </w:rPr>
              <w:t>st</w:t>
            </w:r>
            <w:r>
              <w:rPr>
                <w:lang w:val="en-GB"/>
              </w:rPr>
              <w:t xml:space="preserve"> April 2026</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0014189B" w:rsidR="00FC4AA5" w:rsidRPr="00DF77C7" w:rsidRDefault="00157031" w:rsidP="00AD67D4">
            <w:pPr>
              <w:pStyle w:val="Tabletext"/>
              <w:rPr>
                <w:lang w:val="en-GB"/>
              </w:rPr>
            </w:pPr>
            <w:r>
              <w:rPr>
                <w:lang w:val="en-GB"/>
              </w:rPr>
              <w:t>1</w:t>
            </w:r>
            <w:r w:rsidRPr="00157031">
              <w:rPr>
                <w:vertAlign w:val="superscript"/>
                <w:lang w:val="en-GB"/>
              </w:rPr>
              <w:t>st</w:t>
            </w:r>
            <w:r>
              <w:rPr>
                <w:lang w:val="en-GB"/>
              </w:rPr>
              <w:t xml:space="preserve"> October 2028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874EA57" w:rsidR="00FC4AA5" w:rsidRPr="00DF77C7" w:rsidRDefault="00157031" w:rsidP="00AD67D4">
            <w:pPr>
              <w:pStyle w:val="Tabletext"/>
              <w:rPr>
                <w:lang w:val="en-GB"/>
              </w:rPr>
            </w:pPr>
            <w:r>
              <w:rPr>
                <w:lang w:val="en-GB"/>
              </w:rPr>
              <w:t>31</w:t>
            </w:r>
            <w:r w:rsidRPr="00157031">
              <w:rPr>
                <w:vertAlign w:val="superscript"/>
                <w:lang w:val="en-GB"/>
              </w:rPr>
              <w:t>st</w:t>
            </w:r>
            <w:r>
              <w:rPr>
                <w:lang w:val="en-GB"/>
              </w:rPr>
              <w:t xml:space="preserve"> March 2029</w:t>
            </w:r>
          </w:p>
        </w:tc>
      </w:tr>
    </w:tbl>
    <w:p w14:paraId="22A68ADB" w14:textId="77777777" w:rsidR="00050C45" w:rsidRPr="00DF77C7" w:rsidRDefault="00050C45" w:rsidP="00F57606">
      <w:pPr>
        <w:pStyle w:val="Tabletext"/>
      </w:pPr>
    </w:p>
    <w:p w14:paraId="6931C648" w14:textId="2103A626" w:rsidR="00251D91" w:rsidRDefault="00251D91" w:rsidP="002F652F">
      <w:pPr>
        <w:pStyle w:val="PGDNormal"/>
      </w:pPr>
      <w:r w:rsidRPr="00D10926">
        <w:t xml:space="preserve">This PGD template has been peer reviewed by the </w:t>
      </w:r>
      <w:r>
        <w:t xml:space="preserve">national UTI antimicrobial PGD </w:t>
      </w:r>
      <w:r w:rsidRPr="00D10926">
        <w:t xml:space="preserve">Short Life Working Group in accordance with their Terms of Reference. </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97EB6">
        <w:trPr>
          <w:trHeight w:val="274"/>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2B6CED">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2B6CED">
            <w:pPr>
              <w:pStyle w:val="TableHeaderRow"/>
            </w:pPr>
            <w:r w:rsidRPr="00DF77C7">
              <w:t>Position</w:t>
            </w:r>
          </w:p>
        </w:tc>
      </w:tr>
      <w:tr w:rsidR="00BD28D4" w:rsidRPr="00DF77C7" w14:paraId="6D7832C8" w14:textId="77777777" w:rsidTr="00BD28D4">
        <w:trPr>
          <w:trHeight w:val="420"/>
        </w:trPr>
        <w:tc>
          <w:tcPr>
            <w:tcW w:w="2297" w:type="dxa"/>
          </w:tcPr>
          <w:p w14:paraId="0D33821E" w14:textId="4463F8B9" w:rsidR="00BD28D4" w:rsidRPr="003356D6" w:rsidRDefault="00BD28D4" w:rsidP="002B6CED">
            <w:pPr>
              <w:pStyle w:val="Tabletext"/>
              <w:spacing w:after="0"/>
              <w:rPr>
                <w:rFonts w:eastAsia="Calibri"/>
                <w:sz w:val="20"/>
                <w:lang w:val="en-GB"/>
              </w:rPr>
            </w:pPr>
            <w:r w:rsidRPr="003356D6">
              <w:rPr>
                <w:rFonts w:cs="Arial"/>
                <w:sz w:val="20"/>
              </w:rPr>
              <w:t>Ali Grant</w:t>
            </w:r>
          </w:p>
        </w:tc>
        <w:tc>
          <w:tcPr>
            <w:tcW w:w="6912" w:type="dxa"/>
          </w:tcPr>
          <w:p w14:paraId="0C137020" w14:textId="07E03547" w:rsidR="00BD28D4" w:rsidRPr="003356D6" w:rsidRDefault="00BD28D4" w:rsidP="002B6CED">
            <w:pPr>
              <w:pStyle w:val="Tabletext"/>
              <w:spacing w:after="0"/>
              <w:rPr>
                <w:rFonts w:eastAsia="Calibri"/>
                <w:sz w:val="20"/>
                <w:lang w:val="en-GB"/>
              </w:rPr>
            </w:pPr>
            <w:r w:rsidRPr="003356D6">
              <w:rPr>
                <w:rFonts w:cs="Arial"/>
                <w:sz w:val="20"/>
              </w:rPr>
              <w:t>Lead Pharmacist: HIV, Sexual and Reproductive Health</w:t>
            </w:r>
          </w:p>
        </w:tc>
      </w:tr>
      <w:tr w:rsidR="00BD28D4" w:rsidRPr="00DF77C7" w14:paraId="15A217EB" w14:textId="77777777" w:rsidTr="00BD28D4">
        <w:trPr>
          <w:trHeight w:val="414"/>
        </w:trPr>
        <w:tc>
          <w:tcPr>
            <w:tcW w:w="2297" w:type="dxa"/>
          </w:tcPr>
          <w:p w14:paraId="543479AC" w14:textId="2805BF01" w:rsidR="00BD28D4" w:rsidRPr="003356D6" w:rsidRDefault="00BD28D4" w:rsidP="002B6CED">
            <w:pPr>
              <w:pStyle w:val="Tabletext"/>
              <w:spacing w:after="0"/>
              <w:rPr>
                <w:rFonts w:eastAsia="Calibri"/>
                <w:sz w:val="20"/>
                <w:lang w:val="en-GB"/>
              </w:rPr>
            </w:pPr>
            <w:r w:rsidRPr="003356D6">
              <w:rPr>
                <w:rFonts w:cs="Arial"/>
                <w:sz w:val="20"/>
              </w:rPr>
              <w:t>Alison Crompton</w:t>
            </w:r>
          </w:p>
        </w:tc>
        <w:tc>
          <w:tcPr>
            <w:tcW w:w="6912" w:type="dxa"/>
          </w:tcPr>
          <w:p w14:paraId="7C2C9AF1" w14:textId="034BCD81" w:rsidR="00BD28D4" w:rsidRPr="003356D6" w:rsidRDefault="00BD28D4" w:rsidP="002B6CED">
            <w:pPr>
              <w:pStyle w:val="Tabletext"/>
              <w:spacing w:after="0"/>
              <w:rPr>
                <w:rFonts w:eastAsia="Calibri"/>
                <w:sz w:val="20"/>
                <w:lang w:val="en-GB"/>
              </w:rPr>
            </w:pPr>
            <w:r w:rsidRPr="003356D6">
              <w:rPr>
                <w:rFonts w:cs="Arial"/>
                <w:sz w:val="20"/>
              </w:rPr>
              <w:t>Community pharmacy</w:t>
            </w:r>
          </w:p>
        </w:tc>
      </w:tr>
      <w:tr w:rsidR="00BD28D4" w:rsidRPr="00DF77C7" w14:paraId="15C69C66" w14:textId="77777777" w:rsidTr="00BD28D4">
        <w:trPr>
          <w:trHeight w:val="408"/>
        </w:trPr>
        <w:tc>
          <w:tcPr>
            <w:tcW w:w="2297" w:type="dxa"/>
          </w:tcPr>
          <w:p w14:paraId="067C5D4E" w14:textId="37763085" w:rsidR="00BD28D4" w:rsidRPr="003356D6" w:rsidRDefault="00BD28D4" w:rsidP="002B6CED">
            <w:pPr>
              <w:pStyle w:val="Tabletext"/>
              <w:spacing w:after="0"/>
              <w:rPr>
                <w:rFonts w:eastAsia="Calibri"/>
                <w:sz w:val="20"/>
                <w:lang w:val="en-GB"/>
              </w:rPr>
            </w:pPr>
            <w:r w:rsidRPr="003356D6">
              <w:rPr>
                <w:rFonts w:cs="Arial"/>
                <w:sz w:val="20"/>
              </w:rPr>
              <w:t>Dipti Patel</w:t>
            </w:r>
          </w:p>
        </w:tc>
        <w:tc>
          <w:tcPr>
            <w:tcW w:w="6912" w:type="dxa"/>
          </w:tcPr>
          <w:p w14:paraId="53553074" w14:textId="71B8FEC2" w:rsidR="00BD28D4" w:rsidRPr="003356D6" w:rsidRDefault="00BD28D4" w:rsidP="002B6CED">
            <w:pPr>
              <w:pStyle w:val="Tabletext"/>
              <w:spacing w:after="0"/>
              <w:rPr>
                <w:rFonts w:eastAsia="Calibri"/>
                <w:sz w:val="20"/>
                <w:lang w:val="en-GB"/>
              </w:rPr>
            </w:pPr>
            <w:r w:rsidRPr="003356D6">
              <w:rPr>
                <w:rFonts w:cs="Arial"/>
                <w:sz w:val="20"/>
              </w:rPr>
              <w:t xml:space="preserve">Local authority pharmacist </w:t>
            </w:r>
          </w:p>
        </w:tc>
      </w:tr>
      <w:tr w:rsidR="00BD28D4" w:rsidRPr="00DF77C7" w14:paraId="2441A89E" w14:textId="77777777" w:rsidTr="002F17DB">
        <w:trPr>
          <w:trHeight w:val="562"/>
        </w:trPr>
        <w:tc>
          <w:tcPr>
            <w:tcW w:w="2297" w:type="dxa"/>
          </w:tcPr>
          <w:p w14:paraId="7F6ABB2F" w14:textId="18B87356" w:rsidR="00BD28D4" w:rsidRPr="003356D6" w:rsidRDefault="00BD28D4" w:rsidP="002B6CED">
            <w:pPr>
              <w:pStyle w:val="Tabletext"/>
              <w:spacing w:after="0"/>
              <w:rPr>
                <w:sz w:val="20"/>
                <w:lang w:val="en-GB"/>
              </w:rPr>
            </w:pPr>
            <w:r w:rsidRPr="003356D6">
              <w:rPr>
                <w:rFonts w:cs="Arial"/>
                <w:sz w:val="20"/>
                <w:lang w:val="en"/>
              </w:rPr>
              <w:t>Dr Cindy Farmer</w:t>
            </w:r>
          </w:p>
        </w:tc>
        <w:tc>
          <w:tcPr>
            <w:tcW w:w="6912" w:type="dxa"/>
          </w:tcPr>
          <w:p w14:paraId="3C9BFAE0" w14:textId="3599C18A" w:rsidR="00BD28D4" w:rsidRPr="003356D6" w:rsidRDefault="00BD28D4" w:rsidP="002B6CED">
            <w:pPr>
              <w:rPr>
                <w:rFonts w:ascii="Arial" w:hAnsi="Arial" w:cs="Arial"/>
              </w:rPr>
            </w:pPr>
            <w:r w:rsidRPr="003356D6">
              <w:rPr>
                <w:rFonts w:ascii="Arial" w:hAnsi="Arial" w:cs="Arial"/>
              </w:rPr>
              <w:t>Vice President, General Training</w:t>
            </w:r>
            <w:r w:rsidR="003356D6" w:rsidRPr="003356D6">
              <w:rPr>
                <w:rFonts w:ascii="Arial" w:hAnsi="Arial" w:cs="Arial"/>
              </w:rPr>
              <w:t>, The College of Sexual and Reproductive Healthcare (CoSRH)</w:t>
            </w:r>
          </w:p>
        </w:tc>
      </w:tr>
      <w:tr w:rsidR="00BD28D4" w:rsidRPr="00DF77C7" w14:paraId="0E576D53" w14:textId="77777777" w:rsidTr="00BD28D4">
        <w:trPr>
          <w:trHeight w:val="453"/>
        </w:trPr>
        <w:tc>
          <w:tcPr>
            <w:tcW w:w="2297" w:type="dxa"/>
          </w:tcPr>
          <w:p w14:paraId="05EE8281" w14:textId="57384C86" w:rsidR="00BD28D4" w:rsidRPr="003356D6" w:rsidRDefault="00BD28D4" w:rsidP="002B6CED">
            <w:pPr>
              <w:pStyle w:val="Tabletext"/>
              <w:spacing w:after="0"/>
              <w:rPr>
                <w:sz w:val="20"/>
                <w:lang w:val="en-GB"/>
              </w:rPr>
            </w:pPr>
            <w:r w:rsidRPr="003356D6">
              <w:rPr>
                <w:rFonts w:cs="Arial"/>
                <w:sz w:val="20"/>
              </w:rPr>
              <w:t>Dr Kathy French</w:t>
            </w:r>
          </w:p>
        </w:tc>
        <w:tc>
          <w:tcPr>
            <w:tcW w:w="6912" w:type="dxa"/>
          </w:tcPr>
          <w:p w14:paraId="2A113ED2" w14:textId="1BDFBDC8" w:rsidR="00BD28D4" w:rsidRPr="003356D6" w:rsidRDefault="00BD28D4" w:rsidP="002B6CED">
            <w:pPr>
              <w:pStyle w:val="Tabletext"/>
              <w:spacing w:after="0"/>
              <w:rPr>
                <w:sz w:val="20"/>
                <w:lang w:val="en-GB"/>
              </w:rPr>
            </w:pPr>
            <w:r w:rsidRPr="003356D6">
              <w:rPr>
                <w:rFonts w:cs="Arial"/>
                <w:sz w:val="20"/>
              </w:rPr>
              <w:t>Pan London PGD working group</w:t>
            </w:r>
          </w:p>
        </w:tc>
      </w:tr>
      <w:tr w:rsidR="00BD28D4" w:rsidRPr="00DF77C7" w14:paraId="06658BE4" w14:textId="77777777" w:rsidTr="002F17DB">
        <w:trPr>
          <w:trHeight w:val="539"/>
        </w:trPr>
        <w:tc>
          <w:tcPr>
            <w:tcW w:w="2297" w:type="dxa"/>
          </w:tcPr>
          <w:p w14:paraId="4B09C5EB" w14:textId="62CA90F8" w:rsidR="00BD28D4" w:rsidRPr="003356D6" w:rsidRDefault="00BD28D4" w:rsidP="002B6CED">
            <w:pPr>
              <w:pStyle w:val="Tabletext"/>
              <w:spacing w:after="0"/>
              <w:rPr>
                <w:sz w:val="20"/>
                <w:lang w:val="en-GB"/>
              </w:rPr>
            </w:pPr>
            <w:r w:rsidRPr="003356D6">
              <w:rPr>
                <w:rFonts w:cs="Arial"/>
                <w:sz w:val="20"/>
              </w:rPr>
              <w:t>Dr Rachael</w:t>
            </w:r>
            <w:r w:rsidRPr="003356D6">
              <w:rPr>
                <w:sz w:val="20"/>
              </w:rPr>
              <w:t xml:space="preserve"> </w:t>
            </w:r>
            <w:r w:rsidRPr="003356D6">
              <w:rPr>
                <w:rFonts w:cs="Arial"/>
                <w:sz w:val="20"/>
              </w:rPr>
              <w:t>Jones</w:t>
            </w:r>
          </w:p>
        </w:tc>
        <w:tc>
          <w:tcPr>
            <w:tcW w:w="6912" w:type="dxa"/>
          </w:tcPr>
          <w:p w14:paraId="50FAAE1F" w14:textId="7B810BEF" w:rsidR="00BD28D4" w:rsidRPr="003356D6" w:rsidRDefault="00BD28D4" w:rsidP="002B6CED">
            <w:pPr>
              <w:pStyle w:val="Tabletext"/>
              <w:spacing w:after="0"/>
              <w:rPr>
                <w:sz w:val="20"/>
                <w:lang w:val="en-GB"/>
              </w:rPr>
            </w:pPr>
            <w:r w:rsidRPr="003356D6">
              <w:rPr>
                <w:rFonts w:cs="Arial"/>
                <w:sz w:val="20"/>
              </w:rPr>
              <w:t>Consultant in HIV and Sexual Health, Chelsea and Westminster NHS Foundation Trust</w:t>
            </w:r>
          </w:p>
        </w:tc>
      </w:tr>
      <w:tr w:rsidR="00BD28D4" w:rsidRPr="00DF77C7" w14:paraId="3803C8B9" w14:textId="77777777" w:rsidTr="00BD28D4">
        <w:trPr>
          <w:trHeight w:val="412"/>
        </w:trPr>
        <w:tc>
          <w:tcPr>
            <w:tcW w:w="2297" w:type="dxa"/>
          </w:tcPr>
          <w:p w14:paraId="00B466E6" w14:textId="2C6BB7DD" w:rsidR="00BD28D4" w:rsidRPr="003356D6" w:rsidRDefault="00BD28D4" w:rsidP="002B6CED">
            <w:pPr>
              <w:pStyle w:val="Tabletext"/>
              <w:spacing w:after="0"/>
              <w:rPr>
                <w:sz w:val="20"/>
                <w:lang w:val="en-GB"/>
              </w:rPr>
            </w:pPr>
            <w:r w:rsidRPr="003356D6">
              <w:rPr>
                <w:rFonts w:cs="Arial"/>
                <w:sz w:val="20"/>
              </w:rPr>
              <w:t>Dr Rita Browne</w:t>
            </w:r>
          </w:p>
        </w:tc>
        <w:tc>
          <w:tcPr>
            <w:tcW w:w="6912" w:type="dxa"/>
          </w:tcPr>
          <w:p w14:paraId="52BB571F" w14:textId="3831FEA0" w:rsidR="00BD28D4" w:rsidRPr="003356D6" w:rsidRDefault="00BD28D4" w:rsidP="002B6CED">
            <w:pPr>
              <w:pStyle w:val="Tabletext"/>
              <w:spacing w:after="0"/>
              <w:rPr>
                <w:sz w:val="20"/>
                <w:lang w:val="en-GB"/>
              </w:rPr>
            </w:pPr>
            <w:r w:rsidRPr="003356D6">
              <w:rPr>
                <w:rFonts w:cs="Arial"/>
                <w:sz w:val="20"/>
              </w:rPr>
              <w:t>Consultant in Sexual Health and HIV</w:t>
            </w:r>
          </w:p>
        </w:tc>
      </w:tr>
      <w:tr w:rsidR="00BD28D4" w:rsidRPr="00DF77C7" w14:paraId="2099D9F1" w14:textId="77777777" w:rsidTr="00BD28D4">
        <w:trPr>
          <w:trHeight w:val="417"/>
        </w:trPr>
        <w:tc>
          <w:tcPr>
            <w:tcW w:w="2297" w:type="dxa"/>
          </w:tcPr>
          <w:p w14:paraId="784A3A8D" w14:textId="756C2FC6" w:rsidR="00BD28D4" w:rsidRPr="003356D6" w:rsidRDefault="00BD28D4" w:rsidP="002B6CED">
            <w:pPr>
              <w:pStyle w:val="Tabletext"/>
              <w:spacing w:after="0"/>
              <w:rPr>
                <w:sz w:val="20"/>
                <w:lang w:val="en-GB"/>
              </w:rPr>
            </w:pPr>
            <w:r w:rsidRPr="003356D6">
              <w:rPr>
                <w:rFonts w:cs="Arial"/>
                <w:sz w:val="20"/>
              </w:rPr>
              <w:t>Emma Anderson</w:t>
            </w:r>
          </w:p>
        </w:tc>
        <w:tc>
          <w:tcPr>
            <w:tcW w:w="6912" w:type="dxa"/>
          </w:tcPr>
          <w:p w14:paraId="0B5D7B8A" w14:textId="70F20AC5" w:rsidR="00BD28D4" w:rsidRPr="003356D6" w:rsidRDefault="00BD28D4" w:rsidP="002B6CED">
            <w:pPr>
              <w:pStyle w:val="Tabletext"/>
              <w:spacing w:after="0"/>
              <w:rPr>
                <w:sz w:val="20"/>
                <w:lang w:val="en-GB"/>
              </w:rPr>
            </w:pPr>
            <w:r w:rsidRPr="003356D6">
              <w:rPr>
                <w:rFonts w:cs="Arial"/>
                <w:sz w:val="20"/>
              </w:rPr>
              <w:t>Centre for Pharmacy Postgraduate Education (CPPE)</w:t>
            </w:r>
          </w:p>
        </w:tc>
      </w:tr>
      <w:tr w:rsidR="00BD28D4" w:rsidRPr="00DF77C7" w14:paraId="4C01E258" w14:textId="77777777" w:rsidTr="00BD28D4">
        <w:trPr>
          <w:trHeight w:val="503"/>
        </w:trPr>
        <w:tc>
          <w:tcPr>
            <w:tcW w:w="2297" w:type="dxa"/>
          </w:tcPr>
          <w:p w14:paraId="494AA640" w14:textId="1A6294CF" w:rsidR="00BD28D4" w:rsidRPr="003356D6" w:rsidRDefault="00BD28D4" w:rsidP="002B6CED">
            <w:pPr>
              <w:pStyle w:val="Tabletext"/>
              <w:spacing w:after="0"/>
              <w:rPr>
                <w:rFonts w:eastAsia="Calibri"/>
                <w:sz w:val="20"/>
                <w:lang w:val="en-GB"/>
              </w:rPr>
            </w:pPr>
            <w:r w:rsidRPr="003356D6">
              <w:rPr>
                <w:rFonts w:cs="Arial"/>
                <w:sz w:val="20"/>
              </w:rPr>
              <w:t xml:space="preserve">Heather Randle </w:t>
            </w:r>
          </w:p>
        </w:tc>
        <w:tc>
          <w:tcPr>
            <w:tcW w:w="6912" w:type="dxa"/>
          </w:tcPr>
          <w:p w14:paraId="4FD8CBD4" w14:textId="61F46B2A" w:rsidR="00BD28D4" w:rsidRPr="003356D6" w:rsidRDefault="00BD28D4" w:rsidP="002B6CED">
            <w:pPr>
              <w:pStyle w:val="Tabletext"/>
              <w:spacing w:after="0"/>
              <w:rPr>
                <w:rFonts w:eastAsia="Calibri"/>
                <w:sz w:val="20"/>
                <w:lang w:val="en-GB"/>
              </w:rPr>
            </w:pPr>
            <w:r w:rsidRPr="003356D6">
              <w:rPr>
                <w:rFonts w:cs="Arial"/>
                <w:sz w:val="20"/>
              </w:rPr>
              <w:t xml:space="preserve">Royal College of Nursing </w:t>
            </w:r>
          </w:p>
        </w:tc>
      </w:tr>
      <w:tr w:rsidR="00BD28D4" w:rsidRPr="00DF77C7" w14:paraId="69FDDB9F" w14:textId="77777777" w:rsidTr="002F17DB">
        <w:trPr>
          <w:trHeight w:val="687"/>
        </w:trPr>
        <w:tc>
          <w:tcPr>
            <w:tcW w:w="2297" w:type="dxa"/>
          </w:tcPr>
          <w:p w14:paraId="7F553184" w14:textId="7C6F41F6" w:rsidR="00BD28D4" w:rsidRPr="003356D6" w:rsidRDefault="00BD28D4" w:rsidP="002B6CED">
            <w:pPr>
              <w:pStyle w:val="Tabletext"/>
              <w:spacing w:after="0"/>
              <w:rPr>
                <w:rFonts w:eastAsia="Calibri"/>
                <w:sz w:val="20"/>
                <w:lang w:val="en-GB"/>
              </w:rPr>
            </w:pPr>
            <w:r w:rsidRPr="003356D6">
              <w:rPr>
                <w:rFonts w:cs="Arial"/>
                <w:sz w:val="20"/>
              </w:rPr>
              <w:t>Jo Jenkins (Working Group Co-ordinator to Version 2.0)</w:t>
            </w:r>
          </w:p>
        </w:tc>
        <w:tc>
          <w:tcPr>
            <w:tcW w:w="6912" w:type="dxa"/>
          </w:tcPr>
          <w:p w14:paraId="02599635" w14:textId="38EEFE94" w:rsidR="00BD28D4" w:rsidRPr="003356D6" w:rsidRDefault="00BD28D4" w:rsidP="002B6CED">
            <w:pPr>
              <w:pStyle w:val="Tabletext"/>
              <w:spacing w:after="0"/>
              <w:rPr>
                <w:rFonts w:eastAsia="Calibri"/>
                <w:sz w:val="20"/>
                <w:lang w:val="en-GB"/>
              </w:rPr>
            </w:pPr>
            <w:r w:rsidRPr="003356D6">
              <w:rPr>
                <w:rFonts w:cs="Arial"/>
                <w:sz w:val="20"/>
              </w:rPr>
              <w:t>Associate Director – Medicines Governance, Medicines Use and Safety Division, Specialist Pharmacy Service</w:t>
            </w:r>
          </w:p>
        </w:tc>
      </w:tr>
      <w:tr w:rsidR="00BD28D4" w:rsidRPr="00DF77C7" w14:paraId="35233D0C" w14:textId="77777777" w:rsidTr="00BD28D4">
        <w:trPr>
          <w:trHeight w:val="579"/>
        </w:trPr>
        <w:tc>
          <w:tcPr>
            <w:tcW w:w="2297" w:type="dxa"/>
            <w:tcBorders>
              <w:top w:val="single" w:sz="4" w:space="0" w:color="auto"/>
              <w:left w:val="single" w:sz="4" w:space="0" w:color="auto"/>
              <w:bottom w:val="single" w:sz="4" w:space="0" w:color="auto"/>
              <w:right w:val="single" w:sz="4" w:space="0" w:color="auto"/>
            </w:tcBorders>
          </w:tcPr>
          <w:p w14:paraId="7304BC04" w14:textId="156749B2" w:rsidR="00BD28D4" w:rsidRPr="003356D6" w:rsidRDefault="00BD28D4" w:rsidP="002B6CED">
            <w:pPr>
              <w:pStyle w:val="Tabletext"/>
              <w:spacing w:after="0"/>
              <w:rPr>
                <w:rFonts w:eastAsia="Calibri"/>
                <w:sz w:val="20"/>
                <w:lang w:val="en-GB"/>
              </w:rPr>
            </w:pPr>
            <w:r w:rsidRPr="003356D6">
              <w:rPr>
                <w:sz w:val="20"/>
              </w:rPr>
              <w:t>Jodie Crossman</w:t>
            </w:r>
          </w:p>
        </w:tc>
        <w:tc>
          <w:tcPr>
            <w:tcW w:w="6912" w:type="dxa"/>
            <w:tcBorders>
              <w:top w:val="single" w:sz="4" w:space="0" w:color="auto"/>
              <w:left w:val="single" w:sz="4" w:space="0" w:color="auto"/>
              <w:bottom w:val="single" w:sz="4" w:space="0" w:color="auto"/>
              <w:right w:val="single" w:sz="4" w:space="0" w:color="auto"/>
            </w:tcBorders>
          </w:tcPr>
          <w:p w14:paraId="17ADE788" w14:textId="585DD393" w:rsidR="00BD28D4" w:rsidRPr="003356D6" w:rsidRDefault="00BD28D4" w:rsidP="002B6CED">
            <w:pPr>
              <w:pStyle w:val="Tabletext"/>
              <w:spacing w:after="0"/>
              <w:rPr>
                <w:rFonts w:eastAsia="Calibri"/>
                <w:sz w:val="20"/>
                <w:lang w:val="en-GB"/>
              </w:rPr>
            </w:pPr>
            <w:r w:rsidRPr="003356D6">
              <w:rPr>
                <w:sz w:val="20"/>
              </w:rPr>
              <w:t>Clinical Nurse Specialist, BASHH Nurse representative, STI Foundation Chair</w:t>
            </w:r>
          </w:p>
        </w:tc>
      </w:tr>
      <w:tr w:rsidR="00BD28D4" w:rsidRPr="00DF77C7" w14:paraId="1521C102" w14:textId="77777777" w:rsidTr="00BD28D4">
        <w:trPr>
          <w:trHeight w:val="432"/>
        </w:trPr>
        <w:tc>
          <w:tcPr>
            <w:tcW w:w="2297" w:type="dxa"/>
            <w:tcBorders>
              <w:top w:val="single" w:sz="4" w:space="0" w:color="auto"/>
              <w:left w:val="single" w:sz="4" w:space="0" w:color="auto"/>
              <w:bottom w:val="single" w:sz="4" w:space="0" w:color="auto"/>
              <w:right w:val="single" w:sz="4" w:space="0" w:color="auto"/>
            </w:tcBorders>
          </w:tcPr>
          <w:p w14:paraId="6BE61AA6" w14:textId="21F26383" w:rsidR="00BD28D4" w:rsidRPr="003356D6" w:rsidRDefault="00BD28D4" w:rsidP="002B6CED">
            <w:pPr>
              <w:pStyle w:val="Tabletext"/>
              <w:spacing w:after="0"/>
              <w:rPr>
                <w:sz w:val="20"/>
              </w:rPr>
            </w:pPr>
            <w:r w:rsidRPr="003356D6">
              <w:rPr>
                <w:sz w:val="20"/>
              </w:rPr>
              <w:t>Portia Jackson</w:t>
            </w:r>
          </w:p>
        </w:tc>
        <w:tc>
          <w:tcPr>
            <w:tcW w:w="6912" w:type="dxa"/>
            <w:tcBorders>
              <w:top w:val="single" w:sz="4" w:space="0" w:color="auto"/>
              <w:left w:val="single" w:sz="4" w:space="0" w:color="auto"/>
              <w:bottom w:val="single" w:sz="4" w:space="0" w:color="auto"/>
              <w:right w:val="single" w:sz="4" w:space="0" w:color="auto"/>
            </w:tcBorders>
          </w:tcPr>
          <w:p w14:paraId="75994CBC" w14:textId="6AE05761" w:rsidR="00BD28D4" w:rsidRPr="003356D6" w:rsidRDefault="00BD28D4" w:rsidP="002B6CED">
            <w:pPr>
              <w:pStyle w:val="Tabletext"/>
              <w:spacing w:after="0"/>
              <w:rPr>
                <w:sz w:val="20"/>
              </w:rPr>
            </w:pPr>
            <w:r w:rsidRPr="003356D6">
              <w:rPr>
                <w:sz w:val="20"/>
              </w:rPr>
              <w:t>Lead Pharmacist, iCaSH</w:t>
            </w:r>
          </w:p>
        </w:tc>
      </w:tr>
      <w:tr w:rsidR="00BD28D4" w:rsidRPr="00DF77C7" w14:paraId="749C3D51" w14:textId="77777777" w:rsidTr="00BD28D4">
        <w:trPr>
          <w:trHeight w:val="396"/>
        </w:trPr>
        <w:tc>
          <w:tcPr>
            <w:tcW w:w="2297" w:type="dxa"/>
            <w:tcBorders>
              <w:top w:val="single" w:sz="4" w:space="0" w:color="auto"/>
              <w:left w:val="single" w:sz="4" w:space="0" w:color="auto"/>
              <w:bottom w:val="single" w:sz="4" w:space="0" w:color="auto"/>
              <w:right w:val="single" w:sz="4" w:space="0" w:color="auto"/>
            </w:tcBorders>
          </w:tcPr>
          <w:p w14:paraId="70111EF9" w14:textId="3B850652" w:rsidR="00BD28D4" w:rsidRPr="003356D6" w:rsidRDefault="00BD28D4" w:rsidP="002B6CED">
            <w:pPr>
              <w:pStyle w:val="Tabletext"/>
              <w:spacing w:after="0"/>
              <w:rPr>
                <w:sz w:val="20"/>
              </w:rPr>
            </w:pPr>
            <w:r w:rsidRPr="003356D6">
              <w:rPr>
                <w:sz w:val="20"/>
              </w:rPr>
              <w:t>Sandra Wolper</w:t>
            </w:r>
          </w:p>
        </w:tc>
        <w:tc>
          <w:tcPr>
            <w:tcW w:w="6912" w:type="dxa"/>
            <w:tcBorders>
              <w:top w:val="single" w:sz="4" w:space="0" w:color="auto"/>
              <w:left w:val="single" w:sz="4" w:space="0" w:color="auto"/>
              <w:bottom w:val="single" w:sz="4" w:space="0" w:color="auto"/>
              <w:right w:val="single" w:sz="4" w:space="0" w:color="auto"/>
            </w:tcBorders>
          </w:tcPr>
          <w:p w14:paraId="5BDE2773" w14:textId="7A9FF1CE" w:rsidR="00BD28D4" w:rsidRPr="003356D6" w:rsidRDefault="00BD28D4" w:rsidP="002B6CED">
            <w:pPr>
              <w:pStyle w:val="Tabletext"/>
              <w:spacing w:after="0"/>
              <w:rPr>
                <w:sz w:val="20"/>
              </w:rPr>
            </w:pPr>
            <w:r w:rsidRPr="003356D6">
              <w:rPr>
                <w:sz w:val="20"/>
              </w:rPr>
              <w:t>Associate Director</w:t>
            </w:r>
            <w:r w:rsidR="003356D6" w:rsidRPr="003356D6">
              <w:rPr>
                <w:sz w:val="20"/>
              </w:rPr>
              <w:t>,</w:t>
            </w:r>
            <w:r w:rsidRPr="003356D6">
              <w:rPr>
                <w:sz w:val="20"/>
              </w:rPr>
              <w:t xml:space="preserve"> Specialist Pharmacy Service</w:t>
            </w:r>
          </w:p>
        </w:tc>
      </w:tr>
      <w:tr w:rsidR="00BD28D4" w:rsidRPr="00DF77C7" w14:paraId="0FFEA69D" w14:textId="77777777" w:rsidTr="00BD28D4">
        <w:trPr>
          <w:trHeight w:val="559"/>
        </w:trPr>
        <w:tc>
          <w:tcPr>
            <w:tcW w:w="2297" w:type="dxa"/>
            <w:tcBorders>
              <w:top w:val="single" w:sz="4" w:space="0" w:color="auto"/>
              <w:left w:val="single" w:sz="4" w:space="0" w:color="auto"/>
              <w:bottom w:val="single" w:sz="4" w:space="0" w:color="auto"/>
              <w:right w:val="single" w:sz="4" w:space="0" w:color="auto"/>
            </w:tcBorders>
          </w:tcPr>
          <w:p w14:paraId="6BE2BE52" w14:textId="18052E6C" w:rsidR="00BD28D4" w:rsidRPr="003356D6" w:rsidRDefault="00BD28D4" w:rsidP="002B6CED">
            <w:pPr>
              <w:pStyle w:val="Tabletext"/>
              <w:spacing w:after="0"/>
              <w:rPr>
                <w:sz w:val="20"/>
              </w:rPr>
            </w:pPr>
            <w:r w:rsidRPr="003356D6">
              <w:rPr>
                <w:sz w:val="20"/>
              </w:rPr>
              <w:t>Tracy Rogers</w:t>
            </w:r>
          </w:p>
        </w:tc>
        <w:tc>
          <w:tcPr>
            <w:tcW w:w="6912" w:type="dxa"/>
            <w:tcBorders>
              <w:top w:val="single" w:sz="4" w:space="0" w:color="auto"/>
              <w:left w:val="single" w:sz="4" w:space="0" w:color="auto"/>
              <w:bottom w:val="single" w:sz="4" w:space="0" w:color="auto"/>
              <w:right w:val="single" w:sz="4" w:space="0" w:color="auto"/>
            </w:tcBorders>
          </w:tcPr>
          <w:p w14:paraId="74AC45CC" w14:textId="19D2B230" w:rsidR="00BD28D4" w:rsidRPr="003356D6" w:rsidRDefault="00BD28D4" w:rsidP="002B6CED">
            <w:pPr>
              <w:pStyle w:val="Tabletext"/>
              <w:spacing w:after="0"/>
              <w:rPr>
                <w:sz w:val="20"/>
              </w:rPr>
            </w:pPr>
            <w:r w:rsidRPr="003356D6">
              <w:rPr>
                <w:sz w:val="20"/>
              </w:rPr>
              <w:t xml:space="preserve">Director - Medicines Use and Safety, Specialist Pharmacy Service </w:t>
            </w:r>
          </w:p>
        </w:tc>
      </w:tr>
      <w:tr w:rsidR="00BD28D4" w:rsidRPr="00DF77C7" w14:paraId="789D0F32" w14:textId="77777777" w:rsidTr="00251D91">
        <w:trPr>
          <w:trHeight w:val="711"/>
        </w:trPr>
        <w:tc>
          <w:tcPr>
            <w:tcW w:w="2297" w:type="dxa"/>
            <w:tcBorders>
              <w:top w:val="single" w:sz="4" w:space="0" w:color="auto"/>
              <w:left w:val="single" w:sz="4" w:space="0" w:color="auto"/>
              <w:bottom w:val="single" w:sz="4" w:space="0" w:color="auto"/>
              <w:right w:val="single" w:sz="4" w:space="0" w:color="auto"/>
            </w:tcBorders>
          </w:tcPr>
          <w:p w14:paraId="34BBC611" w14:textId="66356336" w:rsidR="00BD28D4" w:rsidRPr="003356D6" w:rsidRDefault="00BD28D4" w:rsidP="002B6CED">
            <w:pPr>
              <w:pStyle w:val="Tabletext"/>
              <w:spacing w:after="0"/>
              <w:rPr>
                <w:sz w:val="20"/>
                <w:szCs w:val="18"/>
              </w:rPr>
            </w:pPr>
            <w:r w:rsidRPr="003356D6">
              <w:rPr>
                <w:sz w:val="20"/>
                <w:szCs w:val="18"/>
              </w:rPr>
              <w:t>Rosie Furner (Working Group Co-ordinator from Version 2.1)</w:t>
            </w:r>
          </w:p>
        </w:tc>
        <w:tc>
          <w:tcPr>
            <w:tcW w:w="6912" w:type="dxa"/>
            <w:tcBorders>
              <w:top w:val="single" w:sz="4" w:space="0" w:color="auto"/>
              <w:left w:val="single" w:sz="4" w:space="0" w:color="auto"/>
              <w:bottom w:val="single" w:sz="4" w:space="0" w:color="auto"/>
              <w:right w:val="single" w:sz="4" w:space="0" w:color="auto"/>
            </w:tcBorders>
          </w:tcPr>
          <w:p w14:paraId="22AA416F" w14:textId="292BFB0A" w:rsidR="00BD28D4" w:rsidRPr="003356D6" w:rsidRDefault="00BD28D4" w:rsidP="002B6CED">
            <w:pPr>
              <w:pStyle w:val="Tabletext"/>
              <w:spacing w:after="0"/>
              <w:rPr>
                <w:sz w:val="20"/>
                <w:szCs w:val="18"/>
              </w:rPr>
            </w:pPr>
            <w:r w:rsidRPr="003356D6">
              <w:rPr>
                <w:sz w:val="20"/>
                <w:szCs w:val="18"/>
              </w:rPr>
              <w:t>Advanced Specialist Pharmacist – Medicines Governance, Medicines Use and Safety Division, Specialist Pharmacy Service</w:t>
            </w:r>
          </w:p>
        </w:tc>
      </w:tr>
      <w:tr w:rsidR="00BD28D4" w:rsidRPr="00DF77C7" w14:paraId="428F483B" w14:textId="77777777" w:rsidTr="00251D91">
        <w:trPr>
          <w:trHeight w:val="711"/>
        </w:trPr>
        <w:tc>
          <w:tcPr>
            <w:tcW w:w="2297" w:type="dxa"/>
            <w:tcBorders>
              <w:top w:val="single" w:sz="4" w:space="0" w:color="auto"/>
              <w:left w:val="single" w:sz="4" w:space="0" w:color="auto"/>
              <w:bottom w:val="single" w:sz="4" w:space="0" w:color="auto"/>
              <w:right w:val="single" w:sz="4" w:space="0" w:color="auto"/>
            </w:tcBorders>
          </w:tcPr>
          <w:p w14:paraId="0A713BB8" w14:textId="2BD751C1" w:rsidR="00BD28D4" w:rsidRPr="003356D6" w:rsidRDefault="00BD28D4" w:rsidP="002B6CED">
            <w:pPr>
              <w:pStyle w:val="Tabletext"/>
              <w:spacing w:after="0"/>
              <w:rPr>
                <w:sz w:val="20"/>
                <w:szCs w:val="18"/>
              </w:rPr>
            </w:pPr>
            <w:r w:rsidRPr="003356D6">
              <w:rPr>
                <w:sz w:val="20"/>
                <w:szCs w:val="18"/>
              </w:rPr>
              <w:t>Kieran Reynolds (Working Group Co-ordinator from Version 3.0)</w:t>
            </w:r>
          </w:p>
        </w:tc>
        <w:tc>
          <w:tcPr>
            <w:tcW w:w="6912" w:type="dxa"/>
            <w:tcBorders>
              <w:top w:val="single" w:sz="4" w:space="0" w:color="auto"/>
              <w:left w:val="single" w:sz="4" w:space="0" w:color="auto"/>
              <w:bottom w:val="single" w:sz="4" w:space="0" w:color="auto"/>
              <w:right w:val="single" w:sz="4" w:space="0" w:color="auto"/>
            </w:tcBorders>
          </w:tcPr>
          <w:p w14:paraId="350CAE81" w14:textId="7E6814E8" w:rsidR="00BD28D4" w:rsidRPr="003356D6" w:rsidRDefault="00BD28D4" w:rsidP="002B6CED">
            <w:pPr>
              <w:pStyle w:val="Tabletext"/>
              <w:spacing w:after="0"/>
              <w:rPr>
                <w:sz w:val="20"/>
                <w:szCs w:val="18"/>
              </w:rPr>
            </w:pPr>
            <w:r w:rsidRPr="003356D6">
              <w:rPr>
                <w:sz w:val="20"/>
                <w:szCs w:val="18"/>
              </w:rPr>
              <w:t>Advanced Specialist Pharmacist – Medicines Governance, Medicines Use and Safety Division, Specialist Pharmacy Service</w:t>
            </w:r>
          </w:p>
        </w:tc>
      </w:tr>
    </w:tbl>
    <w:p w14:paraId="5D513D47" w14:textId="1643AF7A" w:rsidR="0059738E" w:rsidRPr="00251D91" w:rsidRDefault="0059738E" w:rsidP="00ED232C">
      <w:pPr>
        <w:pStyle w:val="PGDNormal"/>
        <w:rPr>
          <w:szCs w:val="22"/>
          <w:highlight w:val="yellow"/>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3356D6" w:rsidRDefault="00813399" w:rsidP="00B65003">
            <w:pPr>
              <w:rPr>
                <w:rStyle w:val="TableHeaderColumn"/>
                <w:rFonts w:cs="Arial"/>
              </w:rPr>
            </w:pPr>
            <w:r w:rsidRPr="003356D6">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3356D6" w:rsidRDefault="00813399" w:rsidP="00B65003">
            <w:pPr>
              <w:rPr>
                <w:rStyle w:val="TableHeaderColumn"/>
                <w:rFonts w:cs="Arial"/>
              </w:rPr>
            </w:pPr>
            <w:r w:rsidRPr="003356D6">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3356D6" w:rsidRDefault="00AA0EFC" w:rsidP="00B65003">
            <w:pPr>
              <w:rPr>
                <w:rStyle w:val="TableHeaderColumn"/>
                <w:rFonts w:cs="Arial"/>
              </w:rPr>
            </w:pPr>
            <w:r w:rsidRPr="003356D6">
              <w:rPr>
                <w:rStyle w:val="TableHeaderColumn"/>
                <w:rFonts w:cs="Arial"/>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3356D6" w:rsidRDefault="00813399" w:rsidP="00B65003">
            <w:pPr>
              <w:rPr>
                <w:rStyle w:val="TableHeaderColumn"/>
                <w:rFonts w:cs="Arial"/>
              </w:rPr>
            </w:pPr>
            <w:r w:rsidRPr="003356D6">
              <w:rPr>
                <w:rStyle w:val="TableHeaderColumn"/>
                <w:rFonts w:cs="Arial"/>
              </w:rPr>
              <w:t xml:space="preserve">Person signing on behalf of </w:t>
            </w:r>
            <w:r w:rsidR="009E38CA" w:rsidRPr="003356D6">
              <w:rPr>
                <w:rStyle w:val="TableHeaderColumn"/>
                <w:rFonts w:cs="Arial"/>
              </w:rPr>
              <w:t xml:space="preserve">the </w:t>
            </w:r>
            <w:hyperlink r:id="rId14" w:anchor="terms-used-in-the-guideline" w:history="1">
              <w:r w:rsidR="00D0044C" w:rsidRPr="003356D6">
                <w:rPr>
                  <w:rStyle w:val="Hyperlink"/>
                  <w:rFonts w:ascii="Arial" w:hAnsi="Arial" w:cs="Arial"/>
                </w:rPr>
                <w:t>authorising body</w:t>
              </w:r>
              <w:r w:rsidR="009E38CA" w:rsidRPr="003356D6">
                <w:rPr>
                  <w:rStyle w:val="Hyperlink"/>
                  <w:rFonts w:ascii="Arial" w:hAnsi="Arial" w:cs="Arial"/>
                </w:rPr>
                <w:t xml:space="preserve"> as defined by NICE</w:t>
              </w:r>
            </w:hyperlink>
            <w:r w:rsidR="009E38CA" w:rsidRPr="003356D6">
              <w:rPr>
                <w:rFonts w:ascii="Arial" w:hAnsi="Arial" w:cs="Arial"/>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80669F8" w14:textId="77777777" w:rsidR="00552D61" w:rsidRDefault="007A1448" w:rsidP="008762B8">
      <w:pPr>
        <w:pStyle w:val="Heading1"/>
      </w:pPr>
      <w:r w:rsidRPr="00DF77C7">
        <w:br w:type="page"/>
      </w:r>
    </w:p>
    <w:p w14:paraId="41A13A1A" w14:textId="09E732E0" w:rsidR="007A1448" w:rsidRPr="00DF77C7" w:rsidRDefault="004C39C3" w:rsidP="008762B8">
      <w:pPr>
        <w:pStyle w:val="Heading1"/>
      </w:pPr>
      <w:r>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113FBBBE" w:rsidR="00B81529" w:rsidRPr="00DF77C7" w:rsidRDefault="00251D91" w:rsidP="00234E43">
            <w:pPr>
              <w:pStyle w:val="Tabletext"/>
              <w:rPr>
                <w:lang w:val="en-GB"/>
              </w:rPr>
            </w:pPr>
            <w:r w:rsidRPr="00361532">
              <w:rPr>
                <w:rFonts w:eastAsia="Arial"/>
                <w:szCs w:val="22"/>
              </w:rPr>
              <w:t xml:space="preserve">Registered healthcare professional listed in the </w:t>
            </w:r>
            <w:hyperlink r:id="rId15"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14:paraId="61CB3C5B" w14:textId="77777777" w:rsidR="00480E06" w:rsidRPr="00480E06" w:rsidRDefault="00251D91" w:rsidP="00480E06">
            <w:pPr>
              <w:pStyle w:val="Tabletext"/>
            </w:pPr>
            <w:r w:rsidRPr="00480E06">
              <w:t>Undertaken appropriate training and successfully completed the competencies to undertake clinical assessment of individuals leading to diagnosis of the conditions listed</w:t>
            </w:r>
            <w:r w:rsidR="00480E06" w:rsidRPr="00480E06">
              <w:t>.</w:t>
            </w:r>
          </w:p>
          <w:p w14:paraId="714E98DD" w14:textId="7F8392DC" w:rsidR="00251D91" w:rsidRPr="00480E06" w:rsidRDefault="00480E06" w:rsidP="00480E06">
            <w:pPr>
              <w:pStyle w:val="Tabletext"/>
            </w:pPr>
            <w:r w:rsidRPr="00480E06">
              <w:t>Recommended requirement for training would be successful completion of a relevant sexual health module/course accredited or endorsed by the BASHH, CPPE, RCN or a university or as advised in the RCN Sexual Health Education directory, or a locally developed and delivered training programme.</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16" w:history="1">
              <w:r w:rsidRPr="00251D91">
                <w:rPr>
                  <w:rStyle w:val="Hyperlink"/>
                  <w:rFonts w:cs="Arial"/>
                  <w:szCs w:val="23"/>
                </w:rPr>
                <w:t>eLfH PGD elearning programme</w:t>
              </w:r>
            </w:hyperlink>
            <w:r w:rsidRPr="00251D91">
              <w:rPr>
                <w:color w:val="000000"/>
                <w:szCs w:val="23"/>
              </w:rPr>
              <w:t xml:space="preserve"> </w:t>
            </w:r>
          </w:p>
          <w:p w14:paraId="4B43E5B0" w14:textId="5C381BBC"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 xml:space="preserve">Completed locally required training (including updates) in safeguarding </w:t>
            </w:r>
            <w:r w:rsidR="00480E06">
              <w:rPr>
                <w:color w:val="000000"/>
                <w:szCs w:val="23"/>
                <w:highlight w:val="cyan"/>
              </w:rPr>
              <w:t xml:space="preserve">children and </w:t>
            </w:r>
            <w:r w:rsidR="00251D91" w:rsidRPr="00234E43">
              <w:rPr>
                <w:color w:val="000000"/>
                <w:szCs w:val="23"/>
                <w:highlight w:val="cyan"/>
              </w:rPr>
              <w:t>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D7C15B5" w14:textId="01878A31" w:rsidR="00251D91" w:rsidRPr="00016BFD" w:rsidRDefault="004E7E16" w:rsidP="00234E43">
            <w:pPr>
              <w:pStyle w:val="Tabletext"/>
            </w:pPr>
            <w:r>
              <w:t>Registered HCPs</w:t>
            </w:r>
            <w:r w:rsidR="00251D91" w:rsidRPr="00A3052A">
              <w:t xml:space="preserve"> under this PGD must be assessed as competent </w:t>
            </w:r>
            <w:r w:rsidR="00480E06" w:rsidRPr="00480E06">
              <w:rPr>
                <w:lang w:val="en-GB"/>
              </w:rPr>
              <w:t xml:space="preserve">or complete a self-declaration of competence for Chlamydia testing and/or treatment. </w:t>
            </w:r>
            <w:r w:rsidR="00234E43">
              <w:t>[</w:t>
            </w:r>
            <w:r w:rsidR="00251D91" w:rsidRPr="00A3052A">
              <w:rPr>
                <w:highlight w:val="cyan"/>
              </w:rPr>
              <w:t>(see an example authorisation record sheet in Appendix A)</w:t>
            </w:r>
            <w:r w:rsidR="00251D91">
              <w:t>.</w:t>
            </w:r>
            <w:r w:rsidR="00234E43">
              <w:t>]</w:t>
            </w:r>
          </w:p>
          <w:p w14:paraId="5719D930" w14:textId="755293D7" w:rsidR="00B81529" w:rsidRPr="00251D91" w:rsidRDefault="00251D91" w:rsidP="00606A8A">
            <w:pPr>
              <w:pStyle w:val="Tabletext"/>
              <w:rPr>
                <w:rFonts w:cs="Arial"/>
              </w:rPr>
            </w:pPr>
            <w:r w:rsidRPr="00016BFD">
              <w:t xml:space="preserve">Staff operating under this PGD </w:t>
            </w:r>
            <w:r w:rsidR="00480E06">
              <w:t>are encouraged to</w:t>
            </w:r>
            <w:r w:rsidRPr="00016BFD">
              <w:t xml:space="preserve"> review</w:t>
            </w:r>
            <w:r w:rsidRPr="00A3052A">
              <w:t xml:space="preserve"> their competency using the</w:t>
            </w:r>
            <w:hyperlink r:id="rId17" w:history="1">
              <w:r w:rsidRPr="00A3052A">
                <w:rPr>
                  <w:color w:val="0000FF"/>
                  <w:u w:val="single"/>
                </w:rPr>
                <w:t xml:space="preserve"> NICE Competency Framework for health professionals using patient group directions</w:t>
              </w:r>
            </w:hyperlink>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77777777" w:rsidR="00251D91" w:rsidRPr="00251D91" w:rsidRDefault="00251D91" w:rsidP="004E7E16">
            <w:pPr>
              <w:pStyle w:val="Tabletext"/>
            </w:pPr>
            <w:r w:rsidRPr="00251D91">
              <w:t>Individuals operating under this PGD are personally responsible for ensuring they remain up to date with the use of all medicines and guidance included in the PGD - if any training needs are identified these should be discussed with the senior individual responsible for authorising individuals to act under the PGD and further training provided as required.</w:t>
            </w:r>
          </w:p>
          <w:p w14:paraId="3219E1FA" w14:textId="24675ABF" w:rsidR="00B81529" w:rsidRPr="00251D91" w:rsidRDefault="002A15CA" w:rsidP="004E7E16">
            <w:pPr>
              <w:pStyle w:val="Tabletext"/>
            </w:pPr>
            <w:r>
              <w:t xml:space="preserve">[ </w:t>
            </w:r>
            <w:r w:rsidR="00251D91" w:rsidRPr="002A15CA">
              <w:rPr>
                <w:highlight w:val="cyan"/>
              </w:rPr>
              <w:t>Organisational PGD and/or medication training as required by employing Trust/organisation</w:t>
            </w:r>
            <w:r w:rsidR="00251D91" w:rsidRPr="00251D91">
              <w:t>.</w:t>
            </w:r>
            <w:r>
              <w:t>]</w:t>
            </w:r>
          </w:p>
        </w:tc>
      </w:tr>
    </w:tbl>
    <w:p w14:paraId="2F8A9B4B" w14:textId="72BCB8C7" w:rsidR="007A1448" w:rsidRDefault="007A1448" w:rsidP="00BB2C75">
      <w:pPr>
        <w:pStyle w:val="Heading1"/>
      </w:pPr>
      <w:r w:rsidRPr="00DF77C7">
        <w:br w:type="page"/>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ion or situation applicable, inclusion criteria, exclusion criteria, cautions and actions to be taken if the individual is excluded or declines treatment."/>
      </w:tblPr>
      <w:tblGrid>
        <w:gridCol w:w="2839"/>
        <w:gridCol w:w="5656"/>
      </w:tblGrid>
      <w:tr w:rsidR="00D36D23" w14:paraId="06FC28D1" w14:textId="77777777" w:rsidTr="003F22B7">
        <w:tc>
          <w:tcPr>
            <w:tcW w:w="3566"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4929" w:type="dxa"/>
          </w:tcPr>
          <w:p w14:paraId="050C3427" w14:textId="77777777" w:rsidR="001D6784" w:rsidRDefault="001D6784" w:rsidP="001D6784">
            <w:pPr>
              <w:pStyle w:val="Bulletindent1"/>
            </w:pPr>
            <w:r>
              <w:t>Uncomplicated g</w:t>
            </w:r>
            <w:r w:rsidRPr="00D83FBB">
              <w:t xml:space="preserve">enital, pharyngeal and/or rectal </w:t>
            </w:r>
            <w:r w:rsidRPr="00A018E6">
              <w:rPr>
                <w:i/>
                <w:iCs/>
              </w:rPr>
              <w:t>Chlamydia trachomatis</w:t>
            </w:r>
            <w:r w:rsidRPr="00D83FBB">
              <w:t xml:space="preserve"> infection</w:t>
            </w:r>
          </w:p>
          <w:p w14:paraId="40397557" w14:textId="77777777" w:rsidR="001D6784" w:rsidRPr="00D83FBB" w:rsidRDefault="001D6784" w:rsidP="001D6784">
            <w:pPr>
              <w:pStyle w:val="Bulletindent1"/>
            </w:pPr>
            <w:r w:rsidRPr="00D83FBB">
              <w:t xml:space="preserve">Uncomplicated </w:t>
            </w:r>
            <w:r w:rsidRPr="00D83FBB">
              <w:rPr>
                <w:i/>
              </w:rPr>
              <w:t>Mycoplasma genitalium</w:t>
            </w:r>
            <w:r w:rsidRPr="00D83FBB">
              <w:t xml:space="preserve"> infection</w:t>
            </w:r>
            <w:r>
              <w:t>.</w:t>
            </w:r>
          </w:p>
          <w:p w14:paraId="775754C8" w14:textId="77777777" w:rsidR="001D6784" w:rsidRDefault="001D6784" w:rsidP="001D6784">
            <w:pPr>
              <w:pStyle w:val="Bulletindent1"/>
            </w:pPr>
            <w:r w:rsidRPr="00D83FBB">
              <w:t>Non-gonococcal or non-specific urethritis (NGU, NSU).</w:t>
            </w:r>
          </w:p>
          <w:p w14:paraId="6C5C761D" w14:textId="77777777" w:rsidR="001D6784" w:rsidRPr="00EA5401" w:rsidRDefault="001D6784" w:rsidP="001D6784">
            <w:pPr>
              <w:pStyle w:val="Bulletindent1"/>
            </w:pPr>
            <w:r>
              <w:t>Confirm</w:t>
            </w:r>
            <w:r w:rsidRPr="00EA5401">
              <w:t>ed lymphogranuloma venereum (LGV) infection</w:t>
            </w:r>
          </w:p>
          <w:p w14:paraId="622A2C8E" w14:textId="33BBD0B7" w:rsidR="00D36D23" w:rsidRDefault="001D6784" w:rsidP="001D6784">
            <w:pPr>
              <w:pStyle w:val="Bulletindent1"/>
            </w:pPr>
            <w:r w:rsidRPr="001D6784">
              <w:t>Asymptomatic individuals presenting within 2 weeks of sexual contact with an individual with a confirmed diagnosis of any of the conditions detailed below</w:t>
            </w:r>
          </w:p>
        </w:tc>
      </w:tr>
      <w:tr w:rsidR="00AE4F4B" w14:paraId="423D958D" w14:textId="77777777" w:rsidTr="003F22B7">
        <w:tc>
          <w:tcPr>
            <w:tcW w:w="3566" w:type="dxa"/>
          </w:tcPr>
          <w:p w14:paraId="12B69C9D" w14:textId="0A77D3DB" w:rsidR="00AE4F4B" w:rsidRPr="00544444" w:rsidRDefault="003E69CD" w:rsidP="00251D91">
            <w:pPr>
              <w:rPr>
                <w:rStyle w:val="TableHeaderColumn"/>
                <w:sz w:val="22"/>
              </w:rPr>
            </w:pPr>
            <w:r w:rsidRPr="00544444">
              <w:rPr>
                <w:rStyle w:val="TableHeaderColumn"/>
                <w:sz w:val="22"/>
              </w:rPr>
              <w:t>Criteria for i</w:t>
            </w:r>
            <w:r w:rsidR="00CA3998" w:rsidRPr="00544444">
              <w:rPr>
                <w:rStyle w:val="TableHeaderColumn"/>
                <w:sz w:val="22"/>
              </w:rPr>
              <w:t xml:space="preserve">nclusion </w:t>
            </w:r>
          </w:p>
        </w:tc>
        <w:tc>
          <w:tcPr>
            <w:tcW w:w="4929" w:type="dxa"/>
          </w:tcPr>
          <w:p w14:paraId="67E45207" w14:textId="77777777" w:rsidR="00606A8A" w:rsidRPr="00641039" w:rsidRDefault="00606A8A" w:rsidP="001D6784">
            <w:pPr>
              <w:pStyle w:val="Bulletindent1"/>
            </w:pPr>
            <w:r w:rsidRPr="00641039">
              <w:t>Consent given.</w:t>
            </w:r>
          </w:p>
          <w:p w14:paraId="3D2BD82B" w14:textId="2B67B5DF" w:rsidR="00606A8A" w:rsidRDefault="00606A8A" w:rsidP="001D6784">
            <w:pPr>
              <w:pStyle w:val="Bulletindent1"/>
            </w:pPr>
            <w:r w:rsidRPr="00641039">
              <w:t>Aged 13 years and over. All individual</w:t>
            </w:r>
            <w:r>
              <w:t>s</w:t>
            </w:r>
            <w:r w:rsidRPr="00641039">
              <w:t xml:space="preserve"> under the age of 19 years </w:t>
            </w:r>
            <w:r>
              <w:t>–</w:t>
            </w:r>
            <w:r w:rsidRPr="00641039">
              <w:t xml:space="preserve"> </w:t>
            </w:r>
            <w:r>
              <w:t>[</w:t>
            </w:r>
            <w:r w:rsidRPr="00641039">
              <w:rPr>
                <w:highlight w:val="cyan"/>
              </w:rPr>
              <w:t>follow local young person’s risk assessment or equivalent local process.</w:t>
            </w:r>
            <w:r>
              <w:t>]</w:t>
            </w:r>
          </w:p>
          <w:p w14:paraId="33E8B11D" w14:textId="77777777" w:rsidR="001D6784" w:rsidRPr="00314ED1" w:rsidRDefault="001D6784" w:rsidP="001D6784">
            <w:pPr>
              <w:pStyle w:val="Bulletindent1"/>
            </w:pPr>
            <w:r w:rsidRPr="004C546E">
              <w:t xml:space="preserve">Individuals with a positive test for </w:t>
            </w:r>
            <w:r w:rsidRPr="004C546E">
              <w:rPr>
                <w:i/>
                <w:iCs/>
              </w:rPr>
              <w:t>Chlamydia trachomatis</w:t>
            </w:r>
            <w:r w:rsidRPr="004C546E">
              <w:t xml:space="preserve"> infection in the genitals, rectum or pharynx.</w:t>
            </w:r>
          </w:p>
          <w:p w14:paraId="00DF6E4B" w14:textId="77777777" w:rsidR="001D6784" w:rsidRPr="00314ED1" w:rsidRDefault="001D6784" w:rsidP="001D6784">
            <w:pPr>
              <w:pStyle w:val="Bulletindent1"/>
            </w:pPr>
            <w:r>
              <w:t xml:space="preserve">Individuals with a positive test for (lymphogranuloma venereum) LGV (with no evidence of lymphadenopathy or proctocolitis) </w:t>
            </w:r>
          </w:p>
          <w:p w14:paraId="1696F509" w14:textId="77777777" w:rsidR="001D6784" w:rsidRPr="004C546E" w:rsidRDefault="001D6784" w:rsidP="001D6784">
            <w:pPr>
              <w:pStyle w:val="Bulletindent1"/>
            </w:pPr>
            <w:r w:rsidRPr="004C546E">
              <w:t xml:space="preserve">Individuals with a positive test for </w:t>
            </w:r>
            <w:r w:rsidRPr="004C546E">
              <w:rPr>
                <w:i/>
              </w:rPr>
              <w:t>Mycoplasma genitalium</w:t>
            </w:r>
            <w:r w:rsidRPr="004C546E">
              <w:t xml:space="preserve"> (without a clinical diagnosis of pelvic inflammatory disease (PID) in women) as </w:t>
            </w:r>
            <w:r>
              <w:t xml:space="preserve">initial </w:t>
            </w:r>
            <w:r w:rsidRPr="004C546E">
              <w:t xml:space="preserve">treatment </w:t>
            </w:r>
            <w:r>
              <w:t>(</w:t>
            </w:r>
            <w:r w:rsidRPr="004C546E">
              <w:t xml:space="preserve">prior to </w:t>
            </w:r>
            <w:r>
              <w:t>further antimicrobial therapy</w:t>
            </w:r>
            <w:r w:rsidRPr="004C546E">
              <w:t xml:space="preserve"> where </w:t>
            </w:r>
            <w:r w:rsidRPr="004C546E">
              <w:rPr>
                <w:i/>
              </w:rPr>
              <w:t>Mycoplasma genitalium</w:t>
            </w:r>
            <w:r w:rsidRPr="004C546E">
              <w:t xml:space="preserve"> is known to be </w:t>
            </w:r>
            <w:r>
              <w:t>macrolide-</w:t>
            </w:r>
            <w:r w:rsidRPr="004C546E">
              <w:t xml:space="preserve">sensitive </w:t>
            </w:r>
            <w:r>
              <w:t xml:space="preserve">or where resistance status is unknown: </w:t>
            </w:r>
            <w:hyperlink r:id="rId18" w:history="1">
              <w:r w:rsidRPr="00955DD5">
                <w:rPr>
                  <w:rStyle w:val="Hyperlink"/>
                  <w:rFonts w:cs="Arial"/>
                </w:rPr>
                <w:t>see BASHH guidance</w:t>
              </w:r>
            </w:hyperlink>
            <w:r>
              <w:t>)</w:t>
            </w:r>
          </w:p>
          <w:p w14:paraId="3843202E" w14:textId="77777777" w:rsidR="001D6784" w:rsidRPr="004C546E" w:rsidRDefault="001D6784" w:rsidP="001D6784">
            <w:pPr>
              <w:pStyle w:val="Bulletindent1"/>
            </w:pPr>
            <w:r w:rsidRPr="004C546E">
              <w:t>Individuals with a microscopic diagnosis of NGU or NSU.</w:t>
            </w:r>
          </w:p>
          <w:p w14:paraId="050EFF34" w14:textId="3FCD9B7A" w:rsidR="00606A8A" w:rsidRPr="00641039" w:rsidRDefault="001D6784" w:rsidP="001D6784">
            <w:pPr>
              <w:pStyle w:val="Bulletindent1"/>
            </w:pPr>
            <w:r w:rsidRPr="004C546E">
              <w:t>Asymptomatic individuals presenting within 2 weeks of sexual contact with an individual with a confirmed diagnosis of chlamydia, NSU/NGU</w:t>
            </w:r>
            <w:r>
              <w:t>,</w:t>
            </w:r>
            <w:r w:rsidRPr="004C546E">
              <w:t xml:space="preserve"> </w:t>
            </w:r>
            <w:r>
              <w:t xml:space="preserve">or </w:t>
            </w:r>
            <w:r w:rsidRPr="004C546E">
              <w:t>PID</w:t>
            </w:r>
            <w:r>
              <w:t xml:space="preserve"> </w:t>
            </w:r>
            <w:r w:rsidRPr="004C546E">
              <w:t>who are unwilling/unable to defer testing after the 2-week window period.</w:t>
            </w:r>
          </w:p>
          <w:p w14:paraId="4F8EDF49" w14:textId="77777777" w:rsidR="001D6784" w:rsidRDefault="00606A8A" w:rsidP="00606A8A">
            <w:pPr>
              <w:pStyle w:val="Tabletext"/>
              <w:rPr>
                <w:lang w:val="en-GB"/>
              </w:rPr>
            </w:pPr>
            <w:r w:rsidRPr="00606A8A">
              <w:rPr>
                <w:bCs/>
                <w:highlight w:val="yellow"/>
                <w:lang w:val="en-GB"/>
              </w:rPr>
              <w:t>[[</w:t>
            </w:r>
            <w:r w:rsidRPr="00606A8A">
              <w:rPr>
                <w:b/>
                <w:highlight w:val="yellow"/>
                <w:lang w:val="en-GB"/>
              </w:rPr>
              <w:t>NOTE</w:t>
            </w:r>
            <w:r w:rsidRPr="00606A8A">
              <w:rPr>
                <w:highlight w:val="yellow"/>
                <w:lang w:val="en-GB"/>
              </w:rPr>
              <w:t xml:space="preserv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14:paraId="63996DB8" w14:textId="5FA6AC84" w:rsidR="001D6784" w:rsidRPr="001D6784" w:rsidRDefault="001D6784" w:rsidP="001D6784">
            <w:pPr>
              <w:pStyle w:val="Tabletext"/>
              <w:rPr>
                <w:highlight w:val="yellow"/>
              </w:rPr>
            </w:pPr>
            <w:r w:rsidRPr="001D6784">
              <w:rPr>
                <w:highlight w:val="yellow"/>
              </w:rPr>
              <w:t>For example in this PGD template the following may be considered:</w:t>
            </w:r>
          </w:p>
          <w:p w14:paraId="02A2FFD7" w14:textId="10131BFA" w:rsidR="00AE4F4B" w:rsidRPr="00251D91" w:rsidRDefault="001D6784" w:rsidP="001D6784">
            <w:pPr>
              <w:pStyle w:val="Bulletindent1"/>
            </w:pPr>
            <w:r w:rsidRPr="001D6784">
              <w:rPr>
                <w:highlight w:val="yellow"/>
              </w:rPr>
              <w:t>Individuals who present with clear penile discharge where there is no access to microscopy facilities to diagnose NSU/NGU</w:t>
            </w:r>
            <w:r w:rsidR="00606A8A">
              <w:t>]]</w:t>
            </w:r>
            <w:r w:rsidR="00606A8A" w:rsidRPr="00606A8A">
              <w:t xml:space="preserve"> </w:t>
            </w:r>
          </w:p>
        </w:tc>
      </w:tr>
      <w:tr w:rsidR="00251D91" w14:paraId="6FC007A9" w14:textId="77777777" w:rsidTr="003F22B7">
        <w:tc>
          <w:tcPr>
            <w:tcW w:w="3566" w:type="dxa"/>
          </w:tcPr>
          <w:p w14:paraId="4F9F0FC6" w14:textId="72CE5320" w:rsidR="00251D91" w:rsidRPr="005A6168" w:rsidRDefault="00251D91" w:rsidP="00251D91">
            <w:pPr>
              <w:rPr>
                <w:rStyle w:val="TableHeaderColumn"/>
              </w:rPr>
            </w:pPr>
            <w:bookmarkStart w:id="3" w:name="Exclusions"/>
            <w:bookmarkEnd w:id="3"/>
            <w:r w:rsidRPr="00544444">
              <w:rPr>
                <w:rStyle w:val="TableHeaderColumn"/>
                <w:sz w:val="22"/>
              </w:rPr>
              <w:t>Criteria for exclusion</w:t>
            </w:r>
          </w:p>
        </w:tc>
        <w:tc>
          <w:tcPr>
            <w:tcW w:w="4929" w:type="dxa"/>
          </w:tcPr>
          <w:p w14:paraId="3D0F07B6" w14:textId="77777777" w:rsidR="001D6784" w:rsidRDefault="001D6784" w:rsidP="001D6784">
            <w:pPr>
              <w:pStyle w:val="Bulletindent1"/>
            </w:pPr>
            <w:r w:rsidRPr="008131FE">
              <w:t>Consent not given</w:t>
            </w:r>
            <w:r>
              <w:t xml:space="preserve"> </w:t>
            </w:r>
            <w:r w:rsidRPr="00CC1B72">
              <w:t xml:space="preserve">and documented in the individual’s </w:t>
            </w:r>
            <w:r>
              <w:t>clinical</w:t>
            </w:r>
            <w:r w:rsidRPr="00CC1B72">
              <w:t xml:space="preserve"> notes</w:t>
            </w:r>
          </w:p>
          <w:p w14:paraId="04A7A32B" w14:textId="77777777" w:rsidR="001D6784" w:rsidRPr="008131FE" w:rsidRDefault="001D6784" w:rsidP="001D6784">
            <w:pPr>
              <w:pStyle w:val="Bulletindent1"/>
            </w:pPr>
            <w:r w:rsidRPr="008131FE">
              <w:t>Individuals under 13 years of age.</w:t>
            </w:r>
          </w:p>
          <w:p w14:paraId="2E2B5821" w14:textId="77777777" w:rsidR="001D6784" w:rsidRPr="00D83FBB" w:rsidRDefault="001D6784" w:rsidP="001D6784">
            <w:pPr>
              <w:pStyle w:val="Bulletindent1"/>
            </w:pPr>
            <w:r w:rsidRPr="00D83FBB">
              <w:t xml:space="preserve">Individuals under 16 years old and assessed as lacking capacity to consent using the Fraser Guidelines. </w:t>
            </w:r>
          </w:p>
          <w:p w14:paraId="4FE0A39C" w14:textId="77777777" w:rsidR="001D6784" w:rsidRDefault="001D6784" w:rsidP="001D6784">
            <w:pPr>
              <w:pStyle w:val="Bulletindent1"/>
            </w:pPr>
            <w:r w:rsidRPr="00D83FBB">
              <w:t>Individuals 16 years of age and over and assessed as lacking capacity to consent.</w:t>
            </w:r>
          </w:p>
          <w:p w14:paraId="6B29F42B" w14:textId="21DE93A4" w:rsidR="00606A8A" w:rsidRDefault="00606A8A" w:rsidP="00606A8A">
            <w:pPr>
              <w:pStyle w:val="Tabletext"/>
              <w:rPr>
                <w:b/>
                <w:bCs/>
              </w:rPr>
            </w:pPr>
            <w:r w:rsidRPr="00606A8A">
              <w:rPr>
                <w:b/>
                <w:bCs/>
              </w:rPr>
              <w:t>Medical history</w:t>
            </w:r>
          </w:p>
          <w:p w14:paraId="3C5D409F" w14:textId="4061BCC8" w:rsidR="001D6784" w:rsidRPr="001D6784" w:rsidRDefault="001D6784" w:rsidP="001D6784">
            <w:pPr>
              <w:pStyle w:val="Bulletindent1"/>
              <w:rPr>
                <w:rFonts w:eastAsia="Calibri"/>
              </w:rPr>
            </w:pPr>
            <w:r w:rsidRPr="001D6784">
              <w:rPr>
                <w:rFonts w:eastAsia="Calibri"/>
              </w:rPr>
              <w:t xml:space="preserve">Individuals with complicated </w:t>
            </w:r>
            <w:r w:rsidRPr="001D6784">
              <w:rPr>
                <w:rFonts w:eastAsia="Calibri"/>
                <w:i/>
                <w:iCs/>
              </w:rPr>
              <w:t>Mycobacterium genitalium</w:t>
            </w:r>
            <w:r w:rsidR="003356D6">
              <w:rPr>
                <w:rFonts w:eastAsia="Calibri"/>
                <w:i/>
                <w:iCs/>
              </w:rPr>
              <w:t xml:space="preserve">, </w:t>
            </w:r>
            <w:r w:rsidRPr="001D6784">
              <w:rPr>
                <w:rFonts w:eastAsia="Calibri"/>
              </w:rPr>
              <w:t xml:space="preserve">NGU or complicated </w:t>
            </w:r>
            <w:r w:rsidRPr="001D6784">
              <w:rPr>
                <w:rFonts w:eastAsia="Calibri"/>
                <w:i/>
              </w:rPr>
              <w:t>Chlamydia trachomatis</w:t>
            </w:r>
            <w:r w:rsidRPr="001D6784">
              <w:rPr>
                <w:rFonts w:eastAsia="Calibri"/>
              </w:rPr>
              <w:t xml:space="preserve"> infection such as epididymitis and/or testicular pain or a clinical diagnosis of proctitis or Pelvic Inflammatory Disease (PID)</w:t>
            </w:r>
          </w:p>
          <w:p w14:paraId="6084EB80" w14:textId="77777777" w:rsidR="001D6784" w:rsidRPr="001D6784" w:rsidRDefault="001D6784" w:rsidP="001D6784">
            <w:pPr>
              <w:pStyle w:val="Bulletindent1"/>
              <w:rPr>
                <w:rFonts w:eastAsia="Calibri"/>
              </w:rPr>
            </w:pPr>
            <w:r w:rsidRPr="001D6784">
              <w:rPr>
                <w:rFonts w:eastAsia="Calibri"/>
              </w:rPr>
              <w:t>Presence of concomitant conjunctivitis and/or joint pain/swelling</w:t>
            </w:r>
          </w:p>
          <w:p w14:paraId="664B823C" w14:textId="77777777" w:rsidR="001D6784" w:rsidRPr="001D6784" w:rsidRDefault="001D6784" w:rsidP="001D6784">
            <w:pPr>
              <w:pStyle w:val="Bulletindent1"/>
              <w:rPr>
                <w:rFonts w:eastAsia="Calibri"/>
              </w:rPr>
            </w:pPr>
            <w:r w:rsidRPr="001D6784">
              <w:rPr>
                <w:rFonts w:eastAsia="Calibri"/>
              </w:rPr>
              <w:t xml:space="preserve">Individuals with suspected complicated lymphogranuloma venereum (LGV) infection (e.g. evidence of lymphadenopathy or proctocolitis).  </w:t>
            </w:r>
          </w:p>
          <w:p w14:paraId="79D037D9" w14:textId="77777777" w:rsidR="001D6784" w:rsidRPr="001D6784" w:rsidRDefault="001D6784" w:rsidP="001D6784">
            <w:pPr>
              <w:pStyle w:val="Bulletindent1"/>
              <w:rPr>
                <w:rFonts w:eastAsia="Calibri"/>
              </w:rPr>
            </w:pPr>
            <w:r w:rsidRPr="001D6784">
              <w:rPr>
                <w:rFonts w:eastAsia="Calibri"/>
              </w:rPr>
              <w:t>Individuals with recurrent (recurrence of symptoms 30-90 days following treatment of initial episode of NGU) or persistent NGU</w:t>
            </w:r>
          </w:p>
          <w:p w14:paraId="43FB69EE" w14:textId="77777777" w:rsidR="001D6784" w:rsidRPr="001D6784" w:rsidRDefault="001D6784" w:rsidP="001D6784">
            <w:pPr>
              <w:pStyle w:val="Bulletindent1"/>
              <w:rPr>
                <w:rFonts w:eastAsia="Calibri"/>
              </w:rPr>
            </w:pPr>
            <w:r w:rsidRPr="001D6784">
              <w:rPr>
                <w:rFonts w:eastAsia="Calibri"/>
              </w:rPr>
              <w:t>Individuals who are systemically unwell</w:t>
            </w:r>
          </w:p>
          <w:p w14:paraId="1F1BB118" w14:textId="77777777" w:rsidR="001D6784" w:rsidRPr="001D6784" w:rsidRDefault="001D6784" w:rsidP="001D6784">
            <w:pPr>
              <w:pStyle w:val="Bulletindent1"/>
              <w:rPr>
                <w:rFonts w:eastAsia="Calibri"/>
              </w:rPr>
            </w:pPr>
            <w:r w:rsidRPr="001D6784">
              <w:rPr>
                <w:rFonts w:eastAsia="Calibri"/>
              </w:rPr>
              <w:t>Inability to absorb oral medications and/or inability to swallow oral dosage formulations (i.e. capsules or tablets)</w:t>
            </w:r>
          </w:p>
          <w:p w14:paraId="0465B333" w14:textId="77777777" w:rsidR="001D6784" w:rsidRPr="001D6784" w:rsidRDefault="001D6784" w:rsidP="001D6784">
            <w:pPr>
              <w:pStyle w:val="Bulletindent1"/>
              <w:rPr>
                <w:rFonts w:eastAsia="Calibri"/>
              </w:rPr>
            </w:pPr>
            <w:r w:rsidRPr="001D6784">
              <w:rPr>
                <w:rFonts w:eastAsia="Calibri"/>
              </w:rPr>
              <w:t>Currently breastfeeding</w:t>
            </w:r>
          </w:p>
          <w:p w14:paraId="4C9857F6" w14:textId="77777777" w:rsidR="001D6784" w:rsidRPr="001D6784" w:rsidRDefault="001D6784" w:rsidP="001D6784">
            <w:pPr>
              <w:pStyle w:val="Bulletindent1"/>
              <w:rPr>
                <w:rFonts w:eastAsia="Calibri"/>
              </w:rPr>
            </w:pPr>
            <w:r w:rsidRPr="001D6784">
              <w:rPr>
                <w:rFonts w:eastAsia="Calibri"/>
              </w:rPr>
              <w:t>Known or suspected pregnancy</w:t>
            </w:r>
          </w:p>
          <w:p w14:paraId="0B734732" w14:textId="77777777" w:rsidR="001D6784" w:rsidRPr="001D6784" w:rsidRDefault="001D6784" w:rsidP="001D6784">
            <w:pPr>
              <w:pStyle w:val="Bulletindent1"/>
              <w:rPr>
                <w:rFonts w:eastAsia="Calibri"/>
              </w:rPr>
            </w:pPr>
            <w:r w:rsidRPr="001D6784">
              <w:rPr>
                <w:rFonts w:eastAsia="Calibri"/>
              </w:rPr>
              <w:t xml:space="preserve">Known myasthenia gravis  </w:t>
            </w:r>
          </w:p>
          <w:p w14:paraId="607EFFEF" w14:textId="4E0C582E" w:rsidR="001D6784" w:rsidRPr="001D6784" w:rsidRDefault="001D6784" w:rsidP="001D6784">
            <w:pPr>
              <w:pStyle w:val="Bulletindent1"/>
              <w:rPr>
                <w:rFonts w:eastAsia="Calibri"/>
              </w:rPr>
            </w:pPr>
            <w:r w:rsidRPr="001D6784">
              <w:rPr>
                <w:rFonts w:eastAsia="Calibri"/>
              </w:rPr>
              <w:t xml:space="preserve">Known </w:t>
            </w:r>
            <w:r w:rsidR="003356D6">
              <w:rPr>
                <w:rFonts w:eastAsia="Calibri"/>
              </w:rPr>
              <w:t>S</w:t>
            </w:r>
            <w:r w:rsidRPr="001D6784">
              <w:rPr>
                <w:rFonts w:eastAsia="Calibri"/>
              </w:rPr>
              <w:t>ystemic Lupus Erythematosus (SLE)</w:t>
            </w:r>
          </w:p>
          <w:p w14:paraId="032D6B90" w14:textId="77777777" w:rsidR="001D6784" w:rsidRDefault="001D6784" w:rsidP="001D6784">
            <w:pPr>
              <w:pStyle w:val="Bulletindent1"/>
              <w:rPr>
                <w:rFonts w:eastAsia="Calibri"/>
              </w:rPr>
            </w:pPr>
            <w:r w:rsidRPr="001D6784">
              <w:rPr>
                <w:rFonts w:eastAsia="Calibri"/>
              </w:rPr>
              <w:t>Known oesophagitis or oesophageal ulceration</w:t>
            </w:r>
          </w:p>
          <w:p w14:paraId="7A599F16" w14:textId="77777777" w:rsidR="001D6784" w:rsidRPr="00280219" w:rsidRDefault="001D6784" w:rsidP="001D6784">
            <w:pPr>
              <w:pStyle w:val="Bulletindent1"/>
              <w:rPr>
                <w:strike/>
              </w:rPr>
            </w:pPr>
            <w:r>
              <w:t>Known porphyria</w:t>
            </w:r>
            <w:r w:rsidRPr="00D83FBB">
              <w:t xml:space="preserve"> </w:t>
            </w:r>
          </w:p>
          <w:p w14:paraId="5B390D52" w14:textId="77777777" w:rsidR="001D6784" w:rsidRPr="005D649B" w:rsidRDefault="001D6784" w:rsidP="001D6784">
            <w:pPr>
              <w:pStyle w:val="Bulletindent1"/>
              <w:rPr>
                <w:strike/>
              </w:rPr>
            </w:pPr>
            <w:r w:rsidRPr="005D649B">
              <w:t xml:space="preserve">Known </w:t>
            </w:r>
            <w:r>
              <w:t xml:space="preserve">or suspected </w:t>
            </w:r>
            <w:r w:rsidRPr="005D649B">
              <w:t>hepatic impairment</w:t>
            </w:r>
          </w:p>
          <w:p w14:paraId="1D1C0A88" w14:textId="77777777" w:rsidR="001D6784" w:rsidRPr="00606A8A" w:rsidRDefault="001D6784" w:rsidP="00606A8A">
            <w:pPr>
              <w:pStyle w:val="Tabletext"/>
              <w:rPr>
                <w:b/>
                <w:bCs/>
              </w:rPr>
            </w:pPr>
          </w:p>
          <w:p w14:paraId="4EC01E9F" w14:textId="557CD428" w:rsidR="00606A8A" w:rsidRPr="00606A8A" w:rsidRDefault="00606A8A" w:rsidP="00606A8A">
            <w:pPr>
              <w:pStyle w:val="Tabletext"/>
              <w:rPr>
                <w:b/>
                <w:bCs/>
              </w:rPr>
            </w:pPr>
            <w:r w:rsidRPr="00606A8A">
              <w:rPr>
                <w:b/>
                <w:bCs/>
              </w:rPr>
              <w:t>Medication history</w:t>
            </w:r>
          </w:p>
          <w:p w14:paraId="2F6A5CA1" w14:textId="72EC8B23" w:rsidR="001D6784" w:rsidRPr="009919B5" w:rsidRDefault="001D6784" w:rsidP="001D6784">
            <w:pPr>
              <w:pStyle w:val="Bulletindent1"/>
              <w:rPr>
                <w:iCs/>
              </w:rPr>
            </w:pPr>
            <w:r w:rsidRPr="00D83FBB">
              <w:t xml:space="preserve">Known allergy or </w:t>
            </w:r>
            <w:r w:rsidRPr="00362294">
              <w:t xml:space="preserve">hypersensitivity to doxycycline, </w:t>
            </w:r>
            <w:r>
              <w:t xml:space="preserve">any </w:t>
            </w:r>
            <w:r w:rsidRPr="00362294">
              <w:t xml:space="preserve">tetracycline or </w:t>
            </w:r>
            <w:r w:rsidRPr="00362294">
              <w:rPr>
                <w:rFonts w:eastAsia="Arial"/>
              </w:rPr>
              <w:t xml:space="preserve">any </w:t>
            </w:r>
            <w:r>
              <w:rPr>
                <w:rFonts w:eastAsia="Arial"/>
              </w:rPr>
              <w:t xml:space="preserve">of the </w:t>
            </w:r>
            <w:r w:rsidRPr="00362294">
              <w:rPr>
                <w:rFonts w:eastAsia="Arial"/>
              </w:rPr>
              <w:t>component</w:t>
            </w:r>
            <w:r>
              <w:rPr>
                <w:rFonts w:eastAsia="Arial"/>
              </w:rPr>
              <w:t>s</w:t>
            </w:r>
            <w:r w:rsidRPr="00362294">
              <w:rPr>
                <w:rFonts w:eastAsia="Arial"/>
              </w:rPr>
              <w:t xml:space="preserve"> of the product </w:t>
            </w:r>
            <w:r w:rsidRPr="00362294">
              <w:t>- see</w:t>
            </w:r>
            <w:r w:rsidRPr="00D83FBB">
              <w:t xml:space="preserve"> </w:t>
            </w:r>
            <w:hyperlink r:id="rId19" w:history="1">
              <w:r w:rsidRPr="001D6784">
                <w:rPr>
                  <w:rStyle w:val="Hyperlink"/>
                </w:rPr>
                <w:t>Summary of Product Characteristics (SPC) on the EMC</w:t>
              </w:r>
            </w:hyperlink>
            <w:r>
              <w:rPr>
                <w:color w:val="0000FF"/>
                <w:u w:val="single"/>
              </w:rPr>
              <w:t xml:space="preserve">. </w:t>
            </w:r>
            <w:r w:rsidRPr="00B61AB1">
              <w:rPr>
                <w:b/>
                <w:bCs/>
                <w:iCs/>
              </w:rPr>
              <w:t>Acceptable sources of allergy information include individual or National Care Record</w:t>
            </w:r>
            <w:r w:rsidRPr="00B61AB1">
              <w:rPr>
                <w:iCs/>
              </w:rPr>
              <w:t>.</w:t>
            </w:r>
          </w:p>
          <w:p w14:paraId="1E705373" w14:textId="77777777" w:rsidR="001D6784" w:rsidRPr="00280219" w:rsidRDefault="001D6784" w:rsidP="001D6784">
            <w:pPr>
              <w:pStyle w:val="Bulletindent1"/>
            </w:pPr>
            <w:r w:rsidRPr="00085712">
              <w:t xml:space="preserve">Current long-term use of doxycycline or another tetracycline antibiotic (e.g. treatment of acne vulgaris, prophylaxis of </w:t>
            </w:r>
            <w:r w:rsidRPr="00280219">
              <w:t>malaria etc.)</w:t>
            </w:r>
            <w:r w:rsidRPr="00280219">
              <w:rPr>
                <w:iCs/>
              </w:rPr>
              <w:t xml:space="preserve"> </w:t>
            </w:r>
          </w:p>
          <w:p w14:paraId="563E16C7" w14:textId="44D0C4D6" w:rsidR="001D6784" w:rsidRDefault="001D6784" w:rsidP="001D6784">
            <w:pPr>
              <w:pStyle w:val="Bulletindent1"/>
            </w:pPr>
            <w:r w:rsidRPr="00280219">
              <w:t xml:space="preserve">Concurrent use of any interacting medicine as listed in </w:t>
            </w:r>
            <w:hyperlink w:anchor="Interactions" w:history="1">
              <w:r w:rsidRPr="00F000F8">
                <w:rPr>
                  <w:rStyle w:val="Hyperlink"/>
                </w:rPr>
                <w:t>Drug Interactions</w:t>
              </w:r>
            </w:hyperlink>
            <w:r w:rsidRPr="00280219">
              <w:t xml:space="preserve"> section of this PGD </w:t>
            </w:r>
          </w:p>
          <w:p w14:paraId="26FCAC62" w14:textId="77777777" w:rsidR="001D6784" w:rsidRPr="00280219" w:rsidRDefault="001D6784" w:rsidP="001D6784">
            <w:pPr>
              <w:pStyle w:val="Bulletindent1"/>
              <w:rPr>
                <w:iCs/>
              </w:rPr>
            </w:pPr>
            <w:r w:rsidRPr="00677C74">
              <w:t>Less than 3 days before receiving, or within 3 days after receiving, oral typhoid vaccine</w:t>
            </w:r>
          </w:p>
          <w:p w14:paraId="242D0FB3" w14:textId="00166764" w:rsidR="00251D91" w:rsidRPr="00251D91" w:rsidRDefault="001D6784" w:rsidP="001D6784">
            <w:pPr>
              <w:pStyle w:val="Bulletindent1"/>
            </w:pPr>
            <w:r>
              <w:t>Individual</w:t>
            </w:r>
            <w:r w:rsidRPr="00085712">
              <w:t xml:space="preserve">s unable to separate administration times of interacting medicines </w:t>
            </w:r>
            <w:r>
              <w:t>(</w:t>
            </w:r>
            <w:r w:rsidRPr="0046087C">
              <w:t xml:space="preserve">e.g. oral </w:t>
            </w:r>
            <w:r>
              <w:t>aluminium/</w:t>
            </w:r>
            <w:r w:rsidRPr="0065244C">
              <w:t>calcium/</w:t>
            </w:r>
            <w:r>
              <w:t>magnesium/</w:t>
            </w:r>
            <w:r w:rsidRPr="0065244C">
              <w:t>iron/</w:t>
            </w:r>
            <w:r>
              <w:t xml:space="preserve">zinc/bismuth </w:t>
            </w:r>
            <w:r w:rsidRPr="0065244C">
              <w:t>salts</w:t>
            </w:r>
            <w:r>
              <w:t xml:space="preserve"> (including some over the counter preparations (e.g. antacids))</w:t>
            </w:r>
            <w:r w:rsidRPr="0046087C">
              <w:t>, lanthanum, sucralfate</w:t>
            </w:r>
            <w:r>
              <w:t xml:space="preserve">) </w:t>
            </w:r>
            <w:r w:rsidRPr="00085712">
              <w:t xml:space="preserve">and doxycycline by </w:t>
            </w:r>
            <w:r>
              <w:t xml:space="preserve">at least </w:t>
            </w:r>
            <w:r w:rsidRPr="00085712">
              <w:t>2 hours</w:t>
            </w:r>
            <w:r w:rsidR="00606A8A" w:rsidRPr="001D6784">
              <w:rPr>
                <w:lang w:val="en-US"/>
              </w:rPr>
              <w:t>)</w:t>
            </w:r>
          </w:p>
        </w:tc>
      </w:tr>
      <w:tr w:rsidR="00251D91" w14:paraId="2086F951" w14:textId="77777777" w:rsidTr="003F22B7">
        <w:tc>
          <w:tcPr>
            <w:tcW w:w="3566" w:type="dxa"/>
          </w:tcPr>
          <w:p w14:paraId="34F2E318" w14:textId="7E1AEDD6" w:rsidR="00251D91" w:rsidRPr="005A6168" w:rsidRDefault="00251D91" w:rsidP="00251D91">
            <w:pPr>
              <w:rPr>
                <w:rStyle w:val="TableHeaderColumn"/>
              </w:rPr>
            </w:pPr>
            <w:bookmarkStart w:id="4" w:name="Table2"/>
            <w:bookmarkStart w:id="5" w:name="Cautions"/>
            <w:r w:rsidRPr="00544444">
              <w:rPr>
                <w:rStyle w:val="TableHeaderColumn"/>
                <w:sz w:val="22"/>
              </w:rPr>
              <w:t>Cautions including any relevant action to be taken</w:t>
            </w:r>
            <w:bookmarkEnd w:id="4"/>
            <w:bookmarkEnd w:id="5"/>
          </w:p>
        </w:tc>
        <w:tc>
          <w:tcPr>
            <w:tcW w:w="4929" w:type="dxa"/>
          </w:tcPr>
          <w:p w14:paraId="571072CD" w14:textId="026A0B07" w:rsidR="00251D91" w:rsidRDefault="003F22B7" w:rsidP="000F39F6">
            <w:pPr>
              <w:pStyle w:val="Bulletindent1"/>
            </w:pPr>
            <w:r w:rsidRPr="003F22B7">
              <w:t>If the individual is less than 16 years of age an assessment based on Fraser guidelines must be made and documented</w:t>
            </w:r>
            <w:r>
              <w:t>.</w:t>
            </w:r>
          </w:p>
          <w:p w14:paraId="1B06861C" w14:textId="2976B5B5" w:rsidR="00251D91" w:rsidRDefault="003F22B7" w:rsidP="000F39F6">
            <w:pPr>
              <w:pStyle w:val="Bulletindent1"/>
            </w:pPr>
            <w:r w:rsidRPr="003F22B7">
              <w:t>Discuss with appropriate medical/independent non-medical prescriber any medical condition or medication of which the healthcare professional is unsure or uncertain</w:t>
            </w:r>
          </w:p>
          <w:p w14:paraId="1F77201C" w14:textId="77777777" w:rsidR="000F39F6" w:rsidRDefault="003F22B7" w:rsidP="003F22B7">
            <w:pPr>
              <w:pStyle w:val="Tabletext"/>
              <w:rPr>
                <w:b/>
                <w:bCs/>
              </w:rPr>
            </w:pPr>
            <w:r w:rsidRPr="003F22B7">
              <w:rPr>
                <w:b/>
                <w:bCs/>
              </w:rPr>
              <w:t>Coumarin anticoagulants (e.g. warfarin, acenocoumarol, phenindione):</w:t>
            </w:r>
          </w:p>
          <w:p w14:paraId="5F94CCF9" w14:textId="77777777" w:rsidR="00D07428" w:rsidRPr="00D07428" w:rsidRDefault="00D07428" w:rsidP="00D07428">
            <w:pPr>
              <w:pStyle w:val="Tabletext"/>
              <w:rPr>
                <w:iCs/>
                <w:lang w:val="en-GB"/>
              </w:rPr>
            </w:pPr>
            <w:r w:rsidRPr="00D07428">
              <w:rPr>
                <w:iCs/>
                <w:lang w:val="en-GB"/>
              </w:rPr>
              <w:t>Caution should be exercised when supplying doxycycline to individuals taking coumarin anticoagulants: rises in INR reported. Individuals should be advised to have their INR monitored while on treatment with doxycycline and should be counselled re: seeking medical attention if any episode of bleeding develops while taking.</w:t>
            </w:r>
          </w:p>
          <w:p w14:paraId="4FE83380" w14:textId="1C7E6835" w:rsidR="003F22B7" w:rsidRDefault="003F22B7" w:rsidP="003F22B7">
            <w:pPr>
              <w:pStyle w:val="Tabletext"/>
            </w:pPr>
          </w:p>
          <w:p w14:paraId="364658BA" w14:textId="77777777" w:rsidR="00D07428" w:rsidRPr="00D07428" w:rsidRDefault="003F22B7" w:rsidP="00D07428">
            <w:pPr>
              <w:pStyle w:val="Tabletext"/>
              <w:rPr>
                <w:lang w:val="en-GB"/>
              </w:rPr>
            </w:pPr>
            <w:r w:rsidRPr="003F22B7">
              <w:rPr>
                <w:b/>
                <w:bCs/>
              </w:rPr>
              <w:t>Excipients:</w:t>
            </w:r>
            <w:r>
              <w:t xml:space="preserve"> </w:t>
            </w:r>
            <w:r w:rsidR="00D07428" w:rsidRPr="00D07428">
              <w:rPr>
                <w:lang w:val="en-GB"/>
              </w:rPr>
              <w:t>Caution should be exercised when supplying doxycycline capsules or dispersible tablets to individuals who should avoid the following excipients:</w:t>
            </w:r>
          </w:p>
          <w:p w14:paraId="43C69E3A" w14:textId="77777777" w:rsidR="00D07428" w:rsidRPr="00D07428" w:rsidRDefault="00D07428" w:rsidP="00D07428">
            <w:pPr>
              <w:pStyle w:val="Bulletindent1"/>
            </w:pPr>
            <w:r w:rsidRPr="00D07428">
              <w:rPr>
                <w:b/>
              </w:rPr>
              <w:t xml:space="preserve">Lactose, sucrose, fructose and sorbitol: </w:t>
            </w:r>
            <w:r w:rsidRPr="00D07428">
              <w:t>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SPC before supplying.</w:t>
            </w:r>
          </w:p>
          <w:p w14:paraId="64FEDD91" w14:textId="35B0FBED" w:rsidR="00251D91" w:rsidRDefault="00D07428" w:rsidP="00D07428">
            <w:pPr>
              <w:pStyle w:val="Bulletindent1"/>
            </w:pPr>
            <w:r w:rsidRPr="00D07428">
              <w:rPr>
                <w:b/>
                <w:bCs/>
              </w:rPr>
              <w:t>Aspartame:</w:t>
            </w:r>
            <w:r w:rsidRPr="00D07428">
              <w:t xml:space="preserve"> Individuals with phenylketonuria (PKU) must not use medicines containing aspartame. Check the individual list of excipients available in the SPC before supplying</w:t>
            </w:r>
          </w:p>
        </w:tc>
      </w:tr>
      <w:tr w:rsidR="00251D91" w14:paraId="6142EA67" w14:textId="77777777" w:rsidTr="003F22B7">
        <w:tc>
          <w:tcPr>
            <w:tcW w:w="3566" w:type="dxa"/>
          </w:tcPr>
          <w:p w14:paraId="751752A4" w14:textId="1D0EE306" w:rsidR="00251D91" w:rsidRPr="00544444" w:rsidRDefault="00251D91" w:rsidP="00251D91">
            <w:pPr>
              <w:rPr>
                <w:rStyle w:val="TableHeaderColumn"/>
                <w:sz w:val="22"/>
              </w:rPr>
            </w:pPr>
            <w:r w:rsidRPr="00544444">
              <w:rPr>
                <w:rStyle w:val="TableHeaderColumn"/>
                <w:sz w:val="22"/>
              </w:rPr>
              <w:t xml:space="preserve">Actions to be taken if the individual is </w:t>
            </w:r>
            <w:r w:rsidR="003F22B7" w:rsidRPr="00544444">
              <w:rPr>
                <w:rStyle w:val="TableHeaderColumn"/>
                <w:sz w:val="22"/>
              </w:rPr>
              <w:t xml:space="preserve">excluded </w:t>
            </w:r>
            <w:r w:rsidR="003F22B7">
              <w:rPr>
                <w:rStyle w:val="TableHeaderColumn"/>
                <w:sz w:val="22"/>
              </w:rPr>
              <w:t>or declines treatment</w:t>
            </w:r>
          </w:p>
        </w:tc>
        <w:tc>
          <w:tcPr>
            <w:tcW w:w="4929" w:type="dxa"/>
          </w:tcPr>
          <w:p w14:paraId="260B162D" w14:textId="680025BB" w:rsidR="00D07428" w:rsidRPr="003356D6" w:rsidRDefault="003356D6" w:rsidP="008D525C">
            <w:pPr>
              <w:pStyle w:val="Bulletindent1"/>
              <w:rPr>
                <w:b/>
                <w:bCs/>
              </w:rPr>
            </w:pPr>
            <w:r>
              <w:rPr>
                <w:b/>
                <w:bCs/>
              </w:rPr>
              <w:t>Doxycycline post exposure prophylaxis (d</w:t>
            </w:r>
            <w:r w:rsidR="00D07428" w:rsidRPr="003356D6">
              <w:rPr>
                <w:b/>
                <w:bCs/>
              </w:rPr>
              <w:t>oxyPEP</w:t>
            </w:r>
            <w:r>
              <w:rPr>
                <w:b/>
                <w:bCs/>
              </w:rPr>
              <w:t xml:space="preserve">) </w:t>
            </w:r>
            <w:r w:rsidR="00D07428" w:rsidRPr="003356D6">
              <w:rPr>
                <w:b/>
                <w:bCs/>
              </w:rPr>
              <w:t>users and chlamydia contacts:</w:t>
            </w:r>
          </w:p>
          <w:p w14:paraId="125E942B" w14:textId="77777777" w:rsidR="00D07428" w:rsidRPr="00D07428" w:rsidRDefault="00D07428" w:rsidP="008D525C">
            <w:pPr>
              <w:pStyle w:val="Bulletindent1"/>
              <w:numPr>
                <w:ilvl w:val="1"/>
                <w:numId w:val="15"/>
              </w:numPr>
            </w:pPr>
            <w:r w:rsidRPr="00D07428">
              <w:t xml:space="preserve">Asymptomatic doxyPEP users who are contacts of chlamydia and took doxyPEP within 72 hours of exposure - as per </w:t>
            </w:r>
            <w:hyperlink r:id="rId20" w:history="1">
              <w:r w:rsidRPr="00D07428">
                <w:rPr>
                  <w:rStyle w:val="Hyperlink"/>
                </w:rPr>
                <w:t>BASHH guidance</w:t>
              </w:r>
            </w:hyperlink>
            <w:r w:rsidRPr="00D07428">
              <w:t xml:space="preserve"> </w:t>
            </w:r>
          </w:p>
          <w:p w14:paraId="5166E49A" w14:textId="77777777" w:rsidR="00D07428" w:rsidRPr="00D07428" w:rsidRDefault="00D07428" w:rsidP="008D525C">
            <w:pPr>
              <w:pStyle w:val="Bulletindent1"/>
              <w:numPr>
                <w:ilvl w:val="1"/>
                <w:numId w:val="15"/>
              </w:numPr>
            </w:pPr>
            <w:r w:rsidRPr="00D07428">
              <w:t xml:space="preserve">Asymptomatic doxyPEP users who are contacts of chlamydia and attending within 72 hours of exposure but have not yet taken doxyPEP, should consider taking a dose of doxyPEP instead of being offered standard epidemiological treatment - as per </w:t>
            </w:r>
            <w:hyperlink r:id="rId21" w:history="1">
              <w:r w:rsidRPr="00D07428">
                <w:rPr>
                  <w:rStyle w:val="Hyperlink"/>
                </w:rPr>
                <w:t>BASHH guidance</w:t>
              </w:r>
            </w:hyperlink>
          </w:p>
          <w:p w14:paraId="53A7A598" w14:textId="2EF29C83" w:rsidR="003F22B7" w:rsidRDefault="003F22B7" w:rsidP="008D525C">
            <w:pPr>
              <w:pStyle w:val="Bulletindent1"/>
            </w:pPr>
            <w:r w:rsidRPr="003F22B7">
              <w:t>If the presenting individual is under 13 years of age the healthcare professional should speak to local safeguarding lead and follow the local safeguarding policy (note under 13 years of age excluded from treatment under this PGD).</w:t>
            </w:r>
          </w:p>
          <w:p w14:paraId="6188931B" w14:textId="77777777" w:rsidR="003F22B7" w:rsidRDefault="003F22B7" w:rsidP="008D525C">
            <w:pPr>
              <w:pStyle w:val="Bulletindent1"/>
            </w:pPr>
            <w:r w:rsidRPr="003F22B7">
              <w:t>If declined ensure individual is aware of the need for treatment and the potential consequences of not receiving treatment.</w:t>
            </w:r>
          </w:p>
          <w:p w14:paraId="09EF1820" w14:textId="77777777" w:rsidR="003F22B7" w:rsidRDefault="003F22B7" w:rsidP="008D525C">
            <w:pPr>
              <w:pStyle w:val="Bulletindent1"/>
            </w:pPr>
            <w:r w:rsidRPr="003F22B7">
              <w:t>Explain the reasons for exclusion to the individual and document in the consultation record.</w:t>
            </w:r>
          </w:p>
          <w:p w14:paraId="347D30BC" w14:textId="77777777" w:rsidR="003F22B7" w:rsidRDefault="003F22B7" w:rsidP="008D525C">
            <w:pPr>
              <w:pStyle w:val="Bulletindent1"/>
            </w:pPr>
            <w:r w:rsidRPr="003F22B7">
              <w:t>Record reason for decline in the consultation record.</w:t>
            </w:r>
          </w:p>
          <w:p w14:paraId="44AFDB5F" w14:textId="77777777" w:rsidR="008D525C" w:rsidRDefault="008D525C" w:rsidP="008D525C">
            <w:pPr>
              <w:pStyle w:val="Bulletindent1"/>
            </w:pPr>
            <w:r w:rsidRPr="002B361B">
              <w:t xml:space="preserve">Consider if azithromycin can be used (see separate PGD).  </w:t>
            </w:r>
          </w:p>
          <w:p w14:paraId="1ACA62F4" w14:textId="349CDE43" w:rsidR="00251D91" w:rsidRDefault="003F22B7" w:rsidP="008D525C">
            <w:pPr>
              <w:pStyle w:val="Bulletindent1"/>
            </w:pPr>
            <w:r w:rsidRPr="003F22B7">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66"/>
        <w:gridCol w:w="5656"/>
      </w:tblGrid>
      <w:tr w:rsidR="00165DD9" w14:paraId="2B351AEC" w14:textId="77777777" w:rsidTr="006A7AF1">
        <w:tc>
          <w:tcPr>
            <w:tcW w:w="3397" w:type="dxa"/>
          </w:tcPr>
          <w:p w14:paraId="6EB1838B" w14:textId="6CA45F12" w:rsidR="00165DD9" w:rsidRPr="00544444" w:rsidRDefault="00165DD9" w:rsidP="005A6168">
            <w:pPr>
              <w:rPr>
                <w:rStyle w:val="TableHeaderColumn"/>
                <w:sz w:val="22"/>
              </w:rPr>
            </w:pPr>
            <w:r w:rsidRPr="00544444">
              <w:rPr>
                <w:rStyle w:val="TableHeaderColumn"/>
                <w:sz w:val="22"/>
              </w:rPr>
              <w:t xml:space="preserve">Name, form and strength of </w:t>
            </w:r>
            <w:r w:rsidR="00FF75E7">
              <w:rPr>
                <w:rStyle w:val="TableHeaderColumn"/>
                <w:sz w:val="22"/>
              </w:rPr>
              <w:t>medicine</w:t>
            </w:r>
          </w:p>
        </w:tc>
        <w:tc>
          <w:tcPr>
            <w:tcW w:w="5529" w:type="dxa"/>
          </w:tcPr>
          <w:p w14:paraId="2509B439" w14:textId="77777777" w:rsidR="008D525C" w:rsidRPr="008D525C" w:rsidRDefault="008D525C" w:rsidP="008D525C">
            <w:pPr>
              <w:pStyle w:val="Tabletext"/>
              <w:rPr>
                <w:lang w:val="en-GB"/>
              </w:rPr>
            </w:pPr>
            <w:r w:rsidRPr="008D525C">
              <w:rPr>
                <w:lang w:val="en-GB"/>
              </w:rPr>
              <w:t>Doxycycline 50mg or 100mg capsules or 100mg dispersible tablets.</w:t>
            </w:r>
          </w:p>
          <w:p w14:paraId="3B7520F1" w14:textId="77777777" w:rsidR="000F39F6" w:rsidRDefault="000F39F6" w:rsidP="000F39F6">
            <w:pPr>
              <w:pStyle w:val="Tabletext"/>
            </w:pPr>
          </w:p>
          <w:p w14:paraId="2B104BB5" w14:textId="6F4627F0" w:rsidR="00165DD9" w:rsidRDefault="000F39F6" w:rsidP="000F39F6">
            <w:pPr>
              <w:pStyle w:val="Tabletext"/>
            </w:pPr>
            <w:r>
              <w:rPr>
                <w:highlight w:val="cyan"/>
              </w:rPr>
              <w:t>[</w:t>
            </w:r>
            <w:r w:rsidRPr="000F39F6">
              <w:rPr>
                <w:highlight w:val="cyan"/>
              </w:rPr>
              <w:t>N.B.: The treatments in this PGD are written according to national BASHH guidance, however the healthcare professional should also refer to the local formulary or other local supporting guidance for selection of the most appropriate preparation for the individual.</w:t>
            </w:r>
            <w:r>
              <w:t>]</w:t>
            </w:r>
          </w:p>
        </w:tc>
      </w:tr>
      <w:tr w:rsidR="00165DD9" w14:paraId="6DAA0645" w14:textId="77777777" w:rsidTr="006A7AF1">
        <w:tc>
          <w:tcPr>
            <w:tcW w:w="3397" w:type="dxa"/>
          </w:tcPr>
          <w:p w14:paraId="2F56A41B" w14:textId="05091A78" w:rsidR="00165DD9" w:rsidRPr="00544444" w:rsidRDefault="00165DD9" w:rsidP="005A6168">
            <w:pPr>
              <w:rPr>
                <w:rStyle w:val="TableHeaderColumn"/>
                <w:sz w:val="22"/>
              </w:rPr>
            </w:pPr>
            <w:r w:rsidRPr="00544444">
              <w:rPr>
                <w:rStyle w:val="TableHeaderColumn"/>
                <w:sz w:val="22"/>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44444" w:rsidRDefault="00165DD9" w:rsidP="005A6168">
            <w:pPr>
              <w:rPr>
                <w:rStyle w:val="TableHeaderColumn"/>
                <w:sz w:val="22"/>
              </w:rPr>
            </w:pPr>
            <w:r w:rsidRPr="00544444">
              <w:rPr>
                <w:rStyle w:val="TableHeaderColumn"/>
                <w:sz w:val="22"/>
              </w:rPr>
              <w:t>Route</w:t>
            </w:r>
            <w:r w:rsidR="009604EE" w:rsidRPr="00544444">
              <w:rPr>
                <w:rStyle w:val="TableHeaderColumn"/>
                <w:sz w:val="22"/>
              </w:rPr>
              <w:t xml:space="preserve"> or </w:t>
            </w:r>
            <w:r w:rsidRPr="00544444">
              <w:rPr>
                <w:rStyle w:val="TableHeaderColumn"/>
                <w:sz w:val="22"/>
              </w:rPr>
              <w:t>method of administration</w:t>
            </w:r>
          </w:p>
        </w:tc>
        <w:tc>
          <w:tcPr>
            <w:tcW w:w="5529" w:type="dxa"/>
          </w:tcPr>
          <w:p w14:paraId="6D379B0B" w14:textId="77777777" w:rsidR="008D525C" w:rsidRPr="008D525C" w:rsidRDefault="008D525C" w:rsidP="008D525C">
            <w:pPr>
              <w:pStyle w:val="Tabletext"/>
              <w:rPr>
                <w:iCs/>
                <w:lang w:val="en-GB"/>
              </w:rPr>
            </w:pPr>
            <w:r w:rsidRPr="008D525C">
              <w:rPr>
                <w:iCs/>
                <w:lang w:val="en-GB"/>
              </w:rPr>
              <w:t xml:space="preserve">Orally, swallowed whole with plenty of water while sitting or standing </w:t>
            </w:r>
            <w:r w:rsidRPr="008D525C">
              <w:rPr>
                <w:lang w:val="en-GB"/>
              </w:rPr>
              <w:t xml:space="preserve">and staying </w:t>
            </w:r>
            <w:r w:rsidRPr="008D525C">
              <w:rPr>
                <w:iCs/>
                <w:lang w:val="en-GB"/>
              </w:rPr>
              <w:t xml:space="preserve">upright for at least 30 minutes after taking. </w:t>
            </w:r>
          </w:p>
          <w:p w14:paraId="0943F591" w14:textId="77777777" w:rsidR="008D525C" w:rsidRPr="008D525C" w:rsidRDefault="008D525C" w:rsidP="008D525C">
            <w:pPr>
              <w:pStyle w:val="Tabletext"/>
              <w:rPr>
                <w:iCs/>
                <w:lang w:val="en-GB"/>
              </w:rPr>
            </w:pPr>
          </w:p>
          <w:p w14:paraId="04517ADA" w14:textId="0F307AB2" w:rsidR="000F39F6" w:rsidRPr="00A95DEB" w:rsidRDefault="008D525C" w:rsidP="008D525C">
            <w:pPr>
              <w:pStyle w:val="Tabletext"/>
            </w:pPr>
            <w:r w:rsidRPr="008D525C">
              <w:rPr>
                <w:iCs/>
                <w:lang w:val="en-GB"/>
              </w:rPr>
              <w:t>If gastric irritation occurs, doxycycline can be taken with food or milk</w:t>
            </w:r>
          </w:p>
        </w:tc>
      </w:tr>
      <w:tr w:rsidR="003E69CD" w14:paraId="264CA183" w14:textId="77777777" w:rsidTr="006A7AF1">
        <w:tc>
          <w:tcPr>
            <w:tcW w:w="3397" w:type="dxa"/>
          </w:tcPr>
          <w:p w14:paraId="011DED45" w14:textId="6D59D63F" w:rsidR="003E69CD" w:rsidRPr="00544444" w:rsidRDefault="003E69CD" w:rsidP="005A6168">
            <w:pPr>
              <w:rPr>
                <w:rStyle w:val="TableHeaderColumn"/>
                <w:sz w:val="22"/>
              </w:rPr>
            </w:pPr>
            <w:r w:rsidRPr="00544444">
              <w:rPr>
                <w:rStyle w:val="TableHeaderColumn"/>
                <w:sz w:val="22"/>
              </w:rPr>
              <w:t>Off</w:t>
            </w:r>
            <w:r w:rsidR="003356D6">
              <w:rPr>
                <w:rStyle w:val="TableHeaderColumn"/>
                <w:sz w:val="22"/>
              </w:rPr>
              <w:t>-</w:t>
            </w:r>
            <w:r w:rsidRPr="00544444">
              <w:rPr>
                <w:rStyle w:val="TableHeaderColumn"/>
                <w:sz w:val="22"/>
              </w:rPr>
              <w:t>label use</w:t>
            </w:r>
          </w:p>
        </w:tc>
        <w:tc>
          <w:tcPr>
            <w:tcW w:w="5529" w:type="dxa"/>
          </w:tcPr>
          <w:p w14:paraId="3E48CB5A" w14:textId="69AF05B7" w:rsidR="008A3BEE" w:rsidRDefault="008A3BEE" w:rsidP="008A3BEE">
            <w:pPr>
              <w:pStyle w:val="Tabletext"/>
              <w:rPr>
                <w:b/>
                <w:bCs/>
                <w:lang w:val="en-GB"/>
              </w:rPr>
            </w:pPr>
            <w:r>
              <w:rPr>
                <w:b/>
                <w:bCs/>
                <w:lang w:val="en-GB"/>
              </w:rPr>
              <w:t>Off-label use</w:t>
            </w:r>
          </w:p>
          <w:p w14:paraId="31AF988C" w14:textId="7D5F0094" w:rsidR="008A3BEE" w:rsidRPr="008A3BEE" w:rsidRDefault="008D525C" w:rsidP="008A3BEE">
            <w:pPr>
              <w:pStyle w:val="Tabletext"/>
            </w:pPr>
            <w:r w:rsidRPr="008D525C">
              <w:rPr>
                <w:lang w:val="en-GB"/>
              </w:rPr>
              <w:t xml:space="preserve">Doxycycline is not licensed for the treatment of LGV, but use is supported by national </w:t>
            </w:r>
            <w:hyperlink r:id="rId22" w:history="1">
              <w:r w:rsidRPr="008D525C">
                <w:rPr>
                  <w:rStyle w:val="Hyperlink"/>
                  <w:lang w:val="en-GB"/>
                </w:rPr>
                <w:t>BASHH guidance</w:t>
              </w:r>
            </w:hyperlink>
            <w:r w:rsidR="008A3BEE" w:rsidRPr="008A3BEE">
              <w:t xml:space="preserve">. </w:t>
            </w:r>
          </w:p>
          <w:p w14:paraId="387BF0C0" w14:textId="77777777" w:rsidR="008A3BEE" w:rsidRPr="008A3BEE" w:rsidRDefault="008A3BEE" w:rsidP="008A3BEE">
            <w:pPr>
              <w:pStyle w:val="Tabletext"/>
            </w:pPr>
          </w:p>
          <w:p w14:paraId="21453689" w14:textId="12995F2E" w:rsidR="00393D73" w:rsidRPr="00393D73" w:rsidRDefault="00393D73" w:rsidP="00A95DEB">
            <w:pPr>
              <w:pStyle w:val="Tabletext"/>
            </w:pPr>
            <w:r w:rsidRPr="008A3BEE">
              <w:rPr>
                <w:b/>
                <w:bCs/>
              </w:rPr>
              <w:t>Temperature variations</w:t>
            </w:r>
            <w:r>
              <w:t>:</w:t>
            </w:r>
          </w:p>
          <w:p w14:paraId="216C33A8" w14:textId="0466325C" w:rsidR="008D525C" w:rsidRPr="008D525C" w:rsidRDefault="00393D73" w:rsidP="008D525C">
            <w:pPr>
              <w:pStyle w:val="Tabletext"/>
              <w:rPr>
                <w:b/>
                <w:bCs/>
              </w:rPr>
            </w:pPr>
            <w:r w:rsidRPr="00677C74">
              <w:t xml:space="preserve">Medicines should be stored according to the conditions detailed in the </w:t>
            </w:r>
            <w:hyperlink w:anchor="Storage" w:history="1">
              <w:r w:rsidRPr="008D525C">
                <w:rPr>
                  <w:rStyle w:val="Hyperlink"/>
                </w:rPr>
                <w:t>Storage</w:t>
              </w:r>
            </w:hyperlink>
            <w:r w:rsidRPr="00677C74">
              <w:t xml:space="preserve"> section below.</w:t>
            </w:r>
            <w:r w:rsidR="008D525C" w:rsidRPr="008D525C">
              <w:t xml:space="preserve"> However, in the event of an inadvertent or unavoidable deviation of these conditions the local pharmacy or Medicines Management team must be consulted.  </w:t>
            </w:r>
          </w:p>
          <w:p w14:paraId="5EC9E3C9" w14:textId="023480B9" w:rsidR="008D525C" w:rsidRDefault="008D525C" w:rsidP="008D525C">
            <w:pPr>
              <w:pStyle w:val="Tabletext"/>
            </w:pPr>
          </w:p>
          <w:p w14:paraId="0A958248" w14:textId="19EAC666" w:rsidR="008D525C" w:rsidRPr="008D525C" w:rsidRDefault="008D525C" w:rsidP="008D525C">
            <w:pPr>
              <w:pStyle w:val="Tabletext"/>
              <w:rPr>
                <w:lang w:val="en-GB"/>
              </w:rPr>
            </w:pPr>
            <w:r w:rsidRPr="008D525C">
              <w:rPr>
                <w:lang w:val="en-GB"/>
              </w:rPr>
              <w:t>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5E8E064A" w14:textId="749CDE02" w:rsidR="00393D73" w:rsidRPr="00677C74" w:rsidRDefault="00393D73" w:rsidP="00A95DEB">
            <w:pPr>
              <w:pStyle w:val="Tabletext"/>
            </w:pPr>
            <w:r w:rsidRPr="00677C74">
              <w:t xml:space="preserve"> </w:t>
            </w:r>
          </w:p>
          <w:p w14:paraId="74240E7C" w14:textId="13BEA19F" w:rsidR="003E69CD" w:rsidRPr="003B61FD" w:rsidRDefault="00393D73" w:rsidP="00A95DEB">
            <w:pPr>
              <w:pStyle w:val="Tabletext"/>
              <w:rPr>
                <w:szCs w:val="22"/>
              </w:rPr>
            </w:pPr>
            <w:r w:rsidRPr="00677C74">
              <w:t>Where a drug is recommended off-label consider, as part of the consent process, 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165DD9" w14:paraId="27DDC201" w14:textId="77777777" w:rsidTr="006A7AF1">
        <w:tc>
          <w:tcPr>
            <w:tcW w:w="3397" w:type="dxa"/>
          </w:tcPr>
          <w:p w14:paraId="47CBA637" w14:textId="26C43375" w:rsidR="00165DD9" w:rsidRPr="00544444" w:rsidRDefault="00165DD9" w:rsidP="005A6168">
            <w:pPr>
              <w:rPr>
                <w:rStyle w:val="TableHeaderColumn"/>
                <w:sz w:val="22"/>
              </w:rPr>
            </w:pPr>
            <w:r w:rsidRPr="00544444">
              <w:rPr>
                <w:rStyle w:val="TableHeaderColumn"/>
                <w:sz w:val="22"/>
              </w:rPr>
              <w:t>Dose and frequency</w:t>
            </w:r>
            <w:r w:rsidR="005F17C5" w:rsidRPr="00544444">
              <w:rPr>
                <w:rStyle w:val="TableHeaderColumn"/>
                <w:sz w:val="22"/>
              </w:rPr>
              <w:t xml:space="preserve"> of administration</w:t>
            </w:r>
          </w:p>
        </w:tc>
        <w:tc>
          <w:tcPr>
            <w:tcW w:w="5529" w:type="dxa"/>
          </w:tcPr>
          <w:p w14:paraId="5988ED65" w14:textId="77777777" w:rsidR="008D525C" w:rsidRPr="008D525C" w:rsidRDefault="008D525C" w:rsidP="008D525C">
            <w:pPr>
              <w:pStyle w:val="Tabletext"/>
            </w:pPr>
            <w:r w:rsidRPr="008D525C">
              <w:t>100mg twice daily</w:t>
            </w:r>
          </w:p>
          <w:p w14:paraId="750815D4" w14:textId="77777777" w:rsidR="008D525C" w:rsidRPr="008D525C" w:rsidRDefault="008D525C" w:rsidP="008D525C">
            <w:pPr>
              <w:pStyle w:val="Tabletext"/>
            </w:pPr>
          </w:p>
          <w:p w14:paraId="6AB47447" w14:textId="523A538F" w:rsidR="00165DD9" w:rsidRPr="00393D73" w:rsidRDefault="008D525C" w:rsidP="008D525C">
            <w:pPr>
              <w:pStyle w:val="Tabletext"/>
            </w:pPr>
            <w:r w:rsidRPr="008D525C">
              <w:t xml:space="preserve">Individuals with a diagnosis of uncomplicated Mycoplasma genitalium infection to follow doxycycline course with specific antimicrobial therapy, where the organism is known to be macrolide-sensitive or where resistance status is unknown: </w:t>
            </w:r>
            <w:hyperlink r:id="rId23" w:history="1">
              <w:r w:rsidRPr="008D525C">
                <w:rPr>
                  <w:rStyle w:val="Hyperlink"/>
                </w:rPr>
                <w:t>see BASHH guidance</w:t>
              </w:r>
            </w:hyperlink>
          </w:p>
        </w:tc>
      </w:tr>
      <w:tr w:rsidR="00393D73" w14:paraId="25154B5D" w14:textId="77777777" w:rsidTr="006A7AF1">
        <w:tc>
          <w:tcPr>
            <w:tcW w:w="3397" w:type="dxa"/>
          </w:tcPr>
          <w:p w14:paraId="7C60F676" w14:textId="77777777" w:rsidR="00393D73" w:rsidRPr="00544444" w:rsidRDefault="00393D73" w:rsidP="00393D73">
            <w:pPr>
              <w:rPr>
                <w:rStyle w:val="TableHeaderColumn"/>
                <w:sz w:val="22"/>
              </w:rPr>
            </w:pPr>
            <w:r w:rsidRPr="00544444">
              <w:rPr>
                <w:rStyle w:val="TableHeaderColumn"/>
                <w:sz w:val="22"/>
              </w:rPr>
              <w:t xml:space="preserve">Duration of treatment </w:t>
            </w:r>
          </w:p>
          <w:p w14:paraId="01685DA9" w14:textId="4AAB1F66" w:rsidR="00393D73" w:rsidRPr="00544444" w:rsidRDefault="00393D73" w:rsidP="00393D73">
            <w:pPr>
              <w:rPr>
                <w:rStyle w:val="TableHeaderColumn"/>
                <w:sz w:val="22"/>
              </w:rPr>
            </w:pPr>
          </w:p>
        </w:tc>
        <w:tc>
          <w:tcPr>
            <w:tcW w:w="5529" w:type="dxa"/>
          </w:tcPr>
          <w:p w14:paraId="0532C5AC" w14:textId="77777777" w:rsidR="008D525C" w:rsidRPr="008D525C" w:rsidRDefault="008D525C" w:rsidP="008D525C">
            <w:pPr>
              <w:pStyle w:val="Tabletext"/>
              <w:rPr>
                <w:rFonts w:eastAsia="Calibri"/>
                <w:lang w:val="en-GB"/>
              </w:rPr>
            </w:pPr>
            <w:r w:rsidRPr="008D525C">
              <w:rPr>
                <w:rFonts w:eastAsia="Calibri"/>
                <w:lang w:val="en-GB"/>
              </w:rPr>
              <w:t xml:space="preserve">7 days </w:t>
            </w:r>
          </w:p>
          <w:p w14:paraId="07D60472" w14:textId="77777777" w:rsidR="008D525C" w:rsidRPr="008D525C" w:rsidRDefault="008D525C" w:rsidP="008D525C">
            <w:pPr>
              <w:pStyle w:val="Tabletext"/>
              <w:rPr>
                <w:rFonts w:eastAsia="Calibri"/>
                <w:lang w:val="en-GB"/>
              </w:rPr>
            </w:pPr>
          </w:p>
          <w:p w14:paraId="1BDDBFD7" w14:textId="38753C4B" w:rsidR="00393D73" w:rsidRPr="00393D73" w:rsidRDefault="008D525C" w:rsidP="008D525C">
            <w:pPr>
              <w:pStyle w:val="Tabletext"/>
              <w:rPr>
                <w:bCs/>
              </w:rPr>
            </w:pPr>
            <w:r w:rsidRPr="008D525C">
              <w:rPr>
                <w:rFonts w:eastAsia="Calibri"/>
                <w:b/>
                <w:bCs/>
                <w:lang w:val="en-GB"/>
              </w:rPr>
              <w:t>Confirmed LGV</w:t>
            </w:r>
            <w:r w:rsidRPr="008D525C">
              <w:rPr>
                <w:rFonts w:eastAsia="Calibri"/>
                <w:lang w:val="en-GB"/>
              </w:rPr>
              <w:t>: 21 days (total)</w:t>
            </w:r>
          </w:p>
        </w:tc>
      </w:tr>
      <w:tr w:rsidR="00393D73" w14:paraId="073231F9" w14:textId="77777777" w:rsidTr="006A7AF1">
        <w:tc>
          <w:tcPr>
            <w:tcW w:w="3397" w:type="dxa"/>
            <w:tcBorders>
              <w:top w:val="single" w:sz="4" w:space="0" w:color="auto"/>
              <w:left w:val="single" w:sz="4" w:space="0" w:color="auto"/>
              <w:bottom w:val="single" w:sz="4" w:space="0" w:color="auto"/>
              <w:right w:val="single" w:sz="4" w:space="0" w:color="auto"/>
            </w:tcBorders>
          </w:tcPr>
          <w:p w14:paraId="3CF8ECDD" w14:textId="0AB526F0" w:rsidR="00393D73" w:rsidRPr="00544444" w:rsidRDefault="00393D73" w:rsidP="00393D73">
            <w:pPr>
              <w:rPr>
                <w:rStyle w:val="TableHeaderColumn"/>
                <w:sz w:val="22"/>
              </w:rPr>
            </w:pPr>
            <w:r w:rsidRPr="00544444">
              <w:rPr>
                <w:rStyle w:val="TableHeaderColumn"/>
                <w:sz w:val="22"/>
              </w:rPr>
              <w:t>Quantity to be supplied</w:t>
            </w:r>
          </w:p>
        </w:tc>
        <w:tc>
          <w:tcPr>
            <w:tcW w:w="5529" w:type="dxa"/>
            <w:tcBorders>
              <w:top w:val="single" w:sz="4" w:space="0" w:color="auto"/>
              <w:left w:val="single" w:sz="4" w:space="0" w:color="auto"/>
              <w:bottom w:val="single" w:sz="4" w:space="0" w:color="auto"/>
              <w:right w:val="single" w:sz="4" w:space="0" w:color="auto"/>
            </w:tcBorders>
          </w:tcPr>
          <w:p w14:paraId="309ABD34" w14:textId="77777777" w:rsidR="008D525C" w:rsidRPr="008D525C" w:rsidRDefault="008D525C" w:rsidP="008D525C">
            <w:pPr>
              <w:pStyle w:val="Tabletext"/>
              <w:rPr>
                <w:rFonts w:cs="Arial"/>
                <w:bCs/>
                <w:iCs/>
              </w:rPr>
            </w:pPr>
            <w:r w:rsidRPr="008D525C">
              <w:rPr>
                <w:rFonts w:cs="Arial"/>
                <w:bCs/>
                <w:iCs/>
              </w:rPr>
              <w:t xml:space="preserve">Appropriately labelled pack of: </w:t>
            </w:r>
          </w:p>
          <w:p w14:paraId="3B595021" w14:textId="77777777" w:rsidR="008D525C" w:rsidRPr="008D525C" w:rsidRDefault="008D525C" w:rsidP="008D525C">
            <w:pPr>
              <w:pStyle w:val="Tabletext"/>
              <w:rPr>
                <w:rFonts w:cs="Arial"/>
                <w:bCs/>
                <w:iCs/>
              </w:rPr>
            </w:pPr>
          </w:p>
          <w:p w14:paraId="6C63CC77" w14:textId="77777777" w:rsidR="008D525C" w:rsidRPr="008D525C" w:rsidRDefault="008D525C" w:rsidP="008D525C">
            <w:pPr>
              <w:pStyle w:val="Tabletext"/>
              <w:rPr>
                <w:rFonts w:cs="Arial"/>
                <w:bCs/>
                <w:iCs/>
              </w:rPr>
            </w:pPr>
            <w:r w:rsidRPr="008D525C">
              <w:rPr>
                <w:rFonts w:cs="Arial"/>
                <w:bCs/>
                <w:iCs/>
              </w:rPr>
              <w:t>28 x 50mg capsules OR 14 x 100mg capsules OR 14 x 100mg dispersible tablets.</w:t>
            </w:r>
          </w:p>
          <w:p w14:paraId="4BA7E033" w14:textId="77777777" w:rsidR="008D525C" w:rsidRPr="008D525C" w:rsidRDefault="008D525C" w:rsidP="008D525C">
            <w:pPr>
              <w:pStyle w:val="Tabletext"/>
              <w:rPr>
                <w:rFonts w:cs="Arial"/>
                <w:bCs/>
                <w:iCs/>
              </w:rPr>
            </w:pPr>
          </w:p>
          <w:p w14:paraId="0250DED2" w14:textId="77777777" w:rsidR="008D525C" w:rsidRPr="008D525C" w:rsidRDefault="008D525C" w:rsidP="008D525C">
            <w:pPr>
              <w:pStyle w:val="Tabletext"/>
              <w:rPr>
                <w:rFonts w:cs="Arial"/>
                <w:b/>
                <w:bCs/>
                <w:iCs/>
              </w:rPr>
            </w:pPr>
            <w:r w:rsidRPr="008D525C">
              <w:rPr>
                <w:rFonts w:cs="Arial"/>
                <w:b/>
                <w:bCs/>
                <w:iCs/>
              </w:rPr>
              <w:t xml:space="preserve">Confirmed LGV: </w:t>
            </w:r>
          </w:p>
          <w:p w14:paraId="7380CD0B" w14:textId="77777777" w:rsidR="008D525C" w:rsidRPr="008D525C" w:rsidRDefault="008D525C" w:rsidP="008D525C">
            <w:pPr>
              <w:pStyle w:val="Tabletext"/>
              <w:rPr>
                <w:rFonts w:cs="Arial"/>
                <w:bCs/>
                <w:iCs/>
              </w:rPr>
            </w:pPr>
            <w:r w:rsidRPr="008D525C">
              <w:rPr>
                <w:rFonts w:cs="Arial"/>
                <w:b/>
                <w:bCs/>
                <w:iCs/>
              </w:rPr>
              <w:t xml:space="preserve">Additional* </w:t>
            </w:r>
            <w:r w:rsidRPr="008D525C">
              <w:rPr>
                <w:rFonts w:cs="Arial"/>
                <w:bCs/>
                <w:iCs/>
              </w:rPr>
              <w:t xml:space="preserve">appropriately labelled pack of: </w:t>
            </w:r>
          </w:p>
          <w:p w14:paraId="2F470607" w14:textId="77777777" w:rsidR="008D525C" w:rsidRPr="008D525C" w:rsidRDefault="008D525C" w:rsidP="008D525C">
            <w:pPr>
              <w:pStyle w:val="Tabletext"/>
              <w:rPr>
                <w:rFonts w:cs="Arial"/>
                <w:bCs/>
                <w:iCs/>
              </w:rPr>
            </w:pPr>
          </w:p>
          <w:p w14:paraId="52BEFBA8" w14:textId="77777777" w:rsidR="008D525C" w:rsidRPr="008D525C" w:rsidRDefault="008D525C" w:rsidP="008D525C">
            <w:pPr>
              <w:pStyle w:val="Tabletext"/>
              <w:rPr>
                <w:rFonts w:cs="Arial"/>
                <w:bCs/>
                <w:iCs/>
              </w:rPr>
            </w:pPr>
            <w:r w:rsidRPr="008D525C">
              <w:rPr>
                <w:rFonts w:cs="Arial"/>
                <w:bCs/>
                <w:iCs/>
              </w:rPr>
              <w:t>56 x 50mg capsules OR 28 x 100mg capsules OR 28 x 100mg dispersible tablets.</w:t>
            </w:r>
          </w:p>
          <w:p w14:paraId="03C92FF4" w14:textId="77777777" w:rsidR="008D525C" w:rsidRPr="008D525C" w:rsidRDefault="008D525C" w:rsidP="008D525C">
            <w:pPr>
              <w:pStyle w:val="Tabletext"/>
              <w:rPr>
                <w:rFonts w:cs="Arial"/>
                <w:bCs/>
                <w:iCs/>
              </w:rPr>
            </w:pPr>
          </w:p>
          <w:p w14:paraId="34A3B3B7" w14:textId="584167E6" w:rsidR="00393D73" w:rsidRDefault="008D525C" w:rsidP="008D525C">
            <w:pPr>
              <w:pStyle w:val="Tabletext"/>
            </w:pPr>
            <w:r w:rsidRPr="008D525C">
              <w:rPr>
                <w:rFonts w:cs="Arial"/>
                <w:bCs/>
                <w:i/>
                <w:iCs/>
                <w:lang w:val="en-GB"/>
              </w:rPr>
              <w:t>* Note: when a PGD is used for a further supply of a medicine, each practitioner working under the PGD needs to assess the individual against the PGD for each discrete episode of care and ensure that records are maintained in line with the requirements of the PGD.</w:t>
            </w:r>
          </w:p>
        </w:tc>
      </w:tr>
      <w:tr w:rsidR="00393D73"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393D73" w:rsidRPr="00544444" w:rsidRDefault="00393D73" w:rsidP="00393D73">
            <w:pPr>
              <w:rPr>
                <w:rStyle w:val="TableHeaderColumn"/>
                <w:sz w:val="22"/>
              </w:rPr>
            </w:pPr>
            <w:bookmarkStart w:id="6" w:name="Storage"/>
            <w:r w:rsidRPr="00544444">
              <w:rPr>
                <w:rStyle w:val="TableHeaderColumn"/>
                <w:sz w:val="22"/>
              </w:rPr>
              <w:t>Storag</w:t>
            </w:r>
            <w:bookmarkEnd w:id="6"/>
            <w:r w:rsidRPr="00544444">
              <w:rPr>
                <w:rStyle w:val="TableHeaderColumn"/>
                <w:sz w:val="22"/>
              </w:rPr>
              <w:t>e</w:t>
            </w:r>
          </w:p>
        </w:tc>
        <w:tc>
          <w:tcPr>
            <w:tcW w:w="5529" w:type="dxa"/>
            <w:tcBorders>
              <w:top w:val="single" w:sz="4" w:space="0" w:color="auto"/>
              <w:left w:val="single" w:sz="4" w:space="0" w:color="auto"/>
              <w:bottom w:val="single" w:sz="4" w:space="0" w:color="auto"/>
              <w:right w:val="single" w:sz="4" w:space="0" w:color="auto"/>
            </w:tcBorders>
          </w:tcPr>
          <w:p w14:paraId="63B16DBA" w14:textId="709EFA77" w:rsidR="00393D73" w:rsidRPr="007D1E21" w:rsidRDefault="00393D73" w:rsidP="00581C9E">
            <w:pPr>
              <w:pStyle w:val="Tabletext"/>
              <w:rPr>
                <w:rFonts w:cs="Arial"/>
              </w:rPr>
            </w:pPr>
            <w:r w:rsidRPr="00BD1D91">
              <w:rPr>
                <w:rFonts w:eastAsia="Calibri"/>
              </w:rPr>
              <w:t xml:space="preserve">Stock </w:t>
            </w:r>
            <w:r w:rsidRPr="00581C9E">
              <w:rPr>
                <w:rFonts w:eastAsia="Calibri"/>
              </w:rPr>
              <w:t>must be securely stored according to organisation m</w:t>
            </w:r>
            <w:r w:rsidRPr="00BD1D91">
              <w:rPr>
                <w:rFonts w:eastAsia="Calibri"/>
              </w:rPr>
              <w:t>edicines policy and in conditions in line with</w:t>
            </w:r>
            <w:r w:rsidR="00E005E8">
              <w:rPr>
                <w:rFonts w:eastAsia="Calibri"/>
              </w:rPr>
              <w:t xml:space="preserve"> the </w:t>
            </w:r>
            <w:r w:rsidRPr="00BD1D91">
              <w:rPr>
                <w:rFonts w:eastAsia="Calibri"/>
              </w:rPr>
              <w:t xml:space="preserve"> </w:t>
            </w:r>
            <w:hyperlink r:id="rId24" w:history="1">
              <w:r w:rsidRPr="00BD1D91">
                <w:rPr>
                  <w:rStyle w:val="Hyperlink"/>
                  <w:rFonts w:eastAsia="Calibri"/>
                </w:rPr>
                <w:t>S</w:t>
              </w:r>
              <w:r w:rsidR="00BD1D91" w:rsidRPr="00BD1D91">
                <w:rPr>
                  <w:rStyle w:val="Hyperlink"/>
                  <w:rFonts w:eastAsia="Calibri"/>
                </w:rPr>
                <w:t>m</w:t>
              </w:r>
              <w:r w:rsidRPr="00BD1D91">
                <w:rPr>
                  <w:rStyle w:val="Hyperlink"/>
                  <w:rFonts w:eastAsia="Calibri"/>
                </w:rPr>
                <w:t>PC, which is available from the electronic Medicines Compendium website</w:t>
              </w:r>
            </w:hyperlink>
            <w:r w:rsidRPr="00BD1D91">
              <w:rPr>
                <w:rFonts w:eastAsia="Calibri"/>
              </w:rPr>
              <w:t>:</w:t>
            </w:r>
            <w:r w:rsidRPr="00677C74">
              <w:rPr>
                <w:rFonts w:cs="Arial"/>
                <w:szCs w:val="22"/>
              </w:rPr>
              <w:t xml:space="preserve"> </w:t>
            </w:r>
          </w:p>
        </w:tc>
      </w:tr>
      <w:tr w:rsidR="00393D73"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393D73" w:rsidRPr="00544444" w:rsidRDefault="00393D73" w:rsidP="00393D73">
            <w:pPr>
              <w:rPr>
                <w:rStyle w:val="TableHeaderColumn"/>
                <w:sz w:val="22"/>
              </w:rPr>
            </w:pPr>
            <w:bookmarkStart w:id="7" w:name="Interactions"/>
            <w:r w:rsidRPr="00544444">
              <w:rPr>
                <w:rStyle w:val="TableHeaderColumn"/>
                <w:sz w:val="22"/>
              </w:rPr>
              <w:t>Drug interactions</w:t>
            </w:r>
            <w:bookmarkEnd w:id="7"/>
          </w:p>
        </w:tc>
        <w:tc>
          <w:tcPr>
            <w:tcW w:w="5529" w:type="dxa"/>
            <w:tcBorders>
              <w:top w:val="single" w:sz="4" w:space="0" w:color="auto"/>
              <w:left w:val="single" w:sz="4" w:space="0" w:color="auto"/>
              <w:bottom w:val="single" w:sz="4" w:space="0" w:color="auto"/>
              <w:right w:val="single" w:sz="4" w:space="0" w:color="auto"/>
            </w:tcBorders>
          </w:tcPr>
          <w:p w14:paraId="7F9CF278" w14:textId="6E426985" w:rsidR="00393D73" w:rsidRPr="00227D22" w:rsidRDefault="00393D73" w:rsidP="00227D22">
            <w:pPr>
              <w:pStyle w:val="Tabletext"/>
            </w:pPr>
            <w:r w:rsidRPr="00BD1D91">
              <w:t>Where it is known an individual is concurrently taking the following medicine, treatment should not be undertaken under this PGD and the individual referred to a prescriber:</w:t>
            </w:r>
          </w:p>
          <w:p w14:paraId="68EEA532" w14:textId="77777777" w:rsidR="008D525C" w:rsidRPr="005D649B" w:rsidRDefault="008D525C" w:rsidP="008D525C">
            <w:pPr>
              <w:pStyle w:val="Bulletindent1"/>
              <w:rPr>
                <w:rFonts w:eastAsia="Calibri"/>
              </w:rPr>
            </w:pPr>
            <w:r>
              <w:rPr>
                <w:rFonts w:eastAsia="Calibri"/>
              </w:rPr>
              <w:t>Ciclosporin</w:t>
            </w:r>
          </w:p>
          <w:p w14:paraId="26445538" w14:textId="77777777" w:rsidR="008D525C" w:rsidRPr="005D649B" w:rsidRDefault="008D525C" w:rsidP="008D525C">
            <w:pPr>
              <w:pStyle w:val="Bulletindent1"/>
              <w:rPr>
                <w:rFonts w:eastAsia="Calibri"/>
              </w:rPr>
            </w:pPr>
            <w:r w:rsidRPr="005D649B">
              <w:rPr>
                <w:rFonts w:eastAsia="Calibri"/>
              </w:rPr>
              <w:t>Acitretin</w:t>
            </w:r>
            <w:r>
              <w:rPr>
                <w:rFonts w:eastAsia="Calibri"/>
              </w:rPr>
              <w:t xml:space="preserve">, alitretinoin, isotretinoin, tretinoin </w:t>
            </w:r>
          </w:p>
          <w:p w14:paraId="268607F5" w14:textId="77777777" w:rsidR="008D525C" w:rsidRDefault="008D525C" w:rsidP="008D525C">
            <w:pPr>
              <w:pStyle w:val="Bulletindent1"/>
              <w:rPr>
                <w:rFonts w:eastAsia="Calibri"/>
              </w:rPr>
            </w:pPr>
            <w:r w:rsidRPr="005D649B">
              <w:rPr>
                <w:rFonts w:eastAsia="Calibri"/>
              </w:rPr>
              <w:t>Lithium</w:t>
            </w:r>
          </w:p>
          <w:p w14:paraId="7EEC07D5" w14:textId="77777777" w:rsidR="008D525C" w:rsidRPr="00382270" w:rsidRDefault="008D525C" w:rsidP="008D525C">
            <w:pPr>
              <w:pStyle w:val="Bulletindent1"/>
            </w:pPr>
            <w:r>
              <w:t>E</w:t>
            </w:r>
            <w:r w:rsidRPr="00085712">
              <w:t xml:space="preserve">nzyme inducing anti-epileptic medications (carbamazepine, fosphenytoin, </w:t>
            </w:r>
            <w:r w:rsidRPr="00382270">
              <w:t>phenobarbitone/phenobarbital, primidone, phenytoin)</w:t>
            </w:r>
          </w:p>
          <w:p w14:paraId="382E39F8" w14:textId="7BF0CFC8" w:rsidR="00E005E8" w:rsidRPr="00E005E8" w:rsidRDefault="00E005E8" w:rsidP="008D525C">
            <w:pPr>
              <w:pStyle w:val="Bulletindent1"/>
              <w:rPr>
                <w:rStyle w:val="Hyperlink"/>
              </w:rPr>
            </w:pPr>
            <w:r w:rsidRPr="00382270">
              <w:t xml:space="preserve">Typhoid vaccine (oral): see </w:t>
            </w:r>
            <w:r w:rsidRPr="00E005E8">
              <w:fldChar w:fldCharType="begin"/>
            </w:r>
            <w:r w:rsidR="008D525C">
              <w:instrText>HYPERLINK  \l "Exclusions"</w:instrText>
            </w:r>
            <w:r w:rsidRPr="00E005E8">
              <w:fldChar w:fldCharType="separate"/>
            </w:r>
            <w:r w:rsidRPr="00E005E8">
              <w:rPr>
                <w:rStyle w:val="Hyperlink"/>
              </w:rPr>
              <w:t>Criteria for exclusion</w:t>
            </w:r>
          </w:p>
          <w:p w14:paraId="36CE3E97" w14:textId="43743D3D" w:rsidR="00E005E8" w:rsidRPr="00E005E8" w:rsidRDefault="00E005E8" w:rsidP="00E005E8">
            <w:pPr>
              <w:pStyle w:val="Tabletext"/>
            </w:pPr>
            <w:r w:rsidRPr="00E005E8">
              <w:rPr>
                <w:lang w:val="en-GB"/>
              </w:rPr>
              <w:fldChar w:fldCharType="end"/>
            </w:r>
            <w:r w:rsidR="008D525C" w:rsidRPr="00382270">
              <w:rPr>
                <w:rFonts w:eastAsia="Calibri" w:cs="Arial"/>
                <w:lang w:val="en-GB"/>
              </w:rPr>
              <w:t>See</w:t>
            </w:r>
            <w:r w:rsidR="008D525C" w:rsidRPr="008D525C">
              <w:rPr>
                <w:rFonts w:eastAsia="Calibri" w:cs="Arial"/>
                <w:lang w:val="en-GB"/>
              </w:rPr>
              <w:t xml:space="preserve"> </w:t>
            </w:r>
            <w:hyperlink r:id="rId25" w:history="1">
              <w:r w:rsidR="008D525C" w:rsidRPr="008D525C">
                <w:rPr>
                  <w:rStyle w:val="Hyperlink"/>
                  <w:rFonts w:eastAsia="Calibri" w:cs="Arial"/>
                  <w:lang w:val="en-GB"/>
                </w:rPr>
                <w:t>BNF</w:t>
              </w:r>
            </w:hyperlink>
            <w:r w:rsidR="008D525C" w:rsidRPr="008D525C">
              <w:rPr>
                <w:rFonts w:eastAsia="Calibri" w:cs="Arial"/>
                <w:lang w:val="en-GB"/>
              </w:rPr>
              <w:t xml:space="preserve"> for all drugs that can interact with doxycycline</w:t>
            </w:r>
            <w:r w:rsidRPr="00E005E8">
              <w:t>.</w:t>
            </w:r>
          </w:p>
          <w:p w14:paraId="02E4CD37" w14:textId="21440172" w:rsidR="00393D73" w:rsidRPr="00677C74" w:rsidRDefault="00393D73" w:rsidP="00581C9E">
            <w:pPr>
              <w:pStyle w:val="Tabletext"/>
            </w:pPr>
          </w:p>
          <w:p w14:paraId="06B6C616" w14:textId="44F911B0" w:rsidR="00393D73" w:rsidRDefault="00393D73" w:rsidP="00581C9E">
            <w:pPr>
              <w:pStyle w:val="Tabletext"/>
            </w:pPr>
            <w:r w:rsidRPr="00677C74">
              <w:rPr>
                <w:color w:val="000000"/>
              </w:rPr>
              <w:t xml:space="preserve">A detailed list of drug interactions is available in the </w:t>
            </w:r>
            <w:hyperlink r:id="rId26" w:history="1">
              <w:r w:rsidR="00BD1D91" w:rsidRPr="00BD1D91">
                <w:rPr>
                  <w:rStyle w:val="Hyperlink"/>
                  <w:rFonts w:eastAsia="Calibri"/>
                </w:rPr>
                <w:t>SmPC, which is available from the electronic Medicines Compendium website</w:t>
              </w:r>
            </w:hyperlink>
          </w:p>
        </w:tc>
      </w:tr>
      <w:tr w:rsidR="00393D73"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544444">
              <w:rPr>
                <w:rStyle w:val="TableHeaderColumn"/>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03C60F2D" w14:textId="0A1ECFE5" w:rsidR="00393D73" w:rsidRPr="00BD1D91" w:rsidRDefault="00393D73" w:rsidP="002F652F">
            <w:pPr>
              <w:pStyle w:val="Tabletext"/>
            </w:pPr>
            <w:r w:rsidRPr="00BD1D91">
              <w:t xml:space="preserve">A detailed list of adverse reactions is available in </w:t>
            </w:r>
            <w:r w:rsidR="00BD1D91" w:rsidRPr="00BD1D91">
              <w:t xml:space="preserve">the </w:t>
            </w:r>
            <w:hyperlink r:id="rId27" w:history="1">
              <w:r w:rsidR="00BD1D91" w:rsidRPr="00BD1D91">
                <w:rPr>
                  <w:rStyle w:val="Hyperlink"/>
                  <w:rFonts w:eastAsia="Calibri"/>
                </w:rPr>
                <w:t>SmPC, which is available from the electronic Medicines Compendium website</w:t>
              </w:r>
            </w:hyperlink>
            <w:r w:rsidR="00BD1D91" w:rsidRPr="00BD1D91">
              <w:t xml:space="preserve"> a</w:t>
            </w:r>
            <w:r w:rsidRPr="00BD1D91">
              <w:t>nd</w:t>
            </w:r>
            <w:r w:rsidR="00BD1D91">
              <w:t xml:space="preserve"> </w:t>
            </w:r>
            <w:hyperlink r:id="rId28"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3439A7E5" w14:textId="77777777" w:rsidR="00F34644" w:rsidRPr="00F34644" w:rsidRDefault="00F34644" w:rsidP="00F34644">
            <w:pPr>
              <w:pStyle w:val="Tabletext"/>
              <w:rPr>
                <w:bCs/>
                <w:iCs/>
                <w:lang w:val="en-GB"/>
              </w:rPr>
            </w:pPr>
            <w:r w:rsidRPr="00F34644">
              <w:rPr>
                <w:lang w:val="en-GB"/>
              </w:rPr>
              <w:t xml:space="preserve">The following side effects are listed in the product SPC or BNF as </w:t>
            </w:r>
            <w:r w:rsidRPr="00F34644">
              <w:rPr>
                <w:b/>
                <w:lang w:val="en-GB"/>
              </w:rPr>
              <w:t>common</w:t>
            </w:r>
            <w:r w:rsidRPr="00F34644">
              <w:rPr>
                <w:lang w:val="en-GB"/>
              </w:rPr>
              <w:t xml:space="preserve"> with doxycycline (but may not reflect all reported side effects):</w:t>
            </w:r>
          </w:p>
          <w:p w14:paraId="139122B2" w14:textId="77777777" w:rsidR="00F34644" w:rsidRPr="00F34644" w:rsidRDefault="00F34644" w:rsidP="00F34644">
            <w:pPr>
              <w:pStyle w:val="Bulletindent1"/>
            </w:pPr>
            <w:r w:rsidRPr="00F34644">
              <w:t>Diarrhoea</w:t>
            </w:r>
          </w:p>
          <w:p w14:paraId="41ECBF03" w14:textId="77777777" w:rsidR="00F34644" w:rsidRPr="00F34644" w:rsidRDefault="00F34644" w:rsidP="00F34644">
            <w:pPr>
              <w:pStyle w:val="Bulletindent1"/>
            </w:pPr>
            <w:r w:rsidRPr="00F34644">
              <w:t xml:space="preserve">Hypersensitivity reactions </w:t>
            </w:r>
          </w:p>
          <w:p w14:paraId="3268A058" w14:textId="77777777" w:rsidR="00F34644" w:rsidRPr="00F34644" w:rsidRDefault="00F34644" w:rsidP="00F34644">
            <w:pPr>
              <w:pStyle w:val="Bulletindent1"/>
            </w:pPr>
            <w:r w:rsidRPr="00F34644">
              <w:t xml:space="preserve">Headache </w:t>
            </w:r>
          </w:p>
          <w:p w14:paraId="72DC2A08" w14:textId="77777777" w:rsidR="00F34644" w:rsidRPr="00F34644" w:rsidRDefault="00F34644" w:rsidP="00F34644">
            <w:pPr>
              <w:pStyle w:val="Bulletindent1"/>
            </w:pPr>
            <w:r w:rsidRPr="00F34644">
              <w:t>Nausea, vomiting</w:t>
            </w:r>
          </w:p>
          <w:p w14:paraId="03455B7D" w14:textId="77777777" w:rsidR="00F34644" w:rsidRPr="00F34644" w:rsidRDefault="00F34644" w:rsidP="00F34644">
            <w:pPr>
              <w:pStyle w:val="Bulletindent1"/>
            </w:pPr>
            <w:r w:rsidRPr="00F34644">
              <w:rPr>
                <w:lang w:val="en-US"/>
              </w:rPr>
              <w:t>Photosensitivity skin reactions</w:t>
            </w:r>
          </w:p>
          <w:p w14:paraId="16D37127" w14:textId="77777777" w:rsidR="00F34644" w:rsidRPr="00F34644" w:rsidRDefault="00F34644" w:rsidP="00F34644">
            <w:pPr>
              <w:pStyle w:val="Bulletindent1"/>
            </w:pPr>
            <w:r w:rsidRPr="00F34644">
              <w:rPr>
                <w:lang w:val="en-US"/>
              </w:rPr>
              <w:t>Rash including maculopapular, erythematous rashes and Henoch-Schonlein purpura</w:t>
            </w:r>
          </w:p>
          <w:p w14:paraId="48A89520" w14:textId="77777777" w:rsidR="00F34644" w:rsidRPr="00F34644" w:rsidRDefault="00F34644" w:rsidP="00F34644">
            <w:pPr>
              <w:pStyle w:val="Bulletindent1"/>
            </w:pPr>
            <w:r w:rsidRPr="00F34644">
              <w:rPr>
                <w:lang w:val="en-US"/>
              </w:rPr>
              <w:t>Urticaria</w:t>
            </w:r>
          </w:p>
          <w:p w14:paraId="066DC0B3" w14:textId="77777777" w:rsidR="00F34644" w:rsidRPr="00F34644" w:rsidRDefault="00F34644" w:rsidP="00F34644">
            <w:pPr>
              <w:pStyle w:val="Bulletindent1"/>
            </w:pPr>
            <w:r w:rsidRPr="00F34644">
              <w:rPr>
                <w:lang w:val="en-US"/>
              </w:rPr>
              <w:t>Hypotension</w:t>
            </w:r>
          </w:p>
          <w:p w14:paraId="3B863EDC" w14:textId="77777777" w:rsidR="00F34644" w:rsidRDefault="00F34644" w:rsidP="00F34644">
            <w:pPr>
              <w:pStyle w:val="Bulletindent1"/>
            </w:pPr>
            <w:r w:rsidRPr="00F34644">
              <w:t>Pericarditis</w:t>
            </w:r>
          </w:p>
          <w:p w14:paraId="0CD069D3" w14:textId="77777777" w:rsidR="00F34644" w:rsidRPr="005D649B" w:rsidRDefault="00F34644" w:rsidP="00F34644">
            <w:pPr>
              <w:pStyle w:val="Bulletindent1"/>
              <w:rPr>
                <w:rFonts w:eastAsia="Calibri"/>
              </w:rPr>
            </w:pPr>
            <w:r>
              <w:rPr>
                <w:rFonts w:eastAsia="Calibri"/>
              </w:rPr>
              <w:t>T</w:t>
            </w:r>
            <w:r w:rsidRPr="005D649B">
              <w:rPr>
                <w:rFonts w:eastAsia="Calibri"/>
              </w:rPr>
              <w:t>achycardia</w:t>
            </w:r>
          </w:p>
          <w:p w14:paraId="32787E53" w14:textId="77777777" w:rsidR="00F34644" w:rsidRDefault="00F34644" w:rsidP="00F34644">
            <w:pPr>
              <w:pStyle w:val="Bulletindent1"/>
              <w:rPr>
                <w:rFonts w:eastAsia="Calibri"/>
              </w:rPr>
            </w:pPr>
            <w:r>
              <w:rPr>
                <w:rFonts w:eastAsia="Calibri"/>
              </w:rPr>
              <w:t>D</w:t>
            </w:r>
            <w:r w:rsidRPr="005D649B">
              <w:rPr>
                <w:rFonts w:eastAsia="Calibri"/>
              </w:rPr>
              <w:t>yspnoea</w:t>
            </w:r>
          </w:p>
          <w:p w14:paraId="5392F23E" w14:textId="77777777" w:rsidR="00F34644" w:rsidRDefault="00F34644" w:rsidP="00F34644">
            <w:pPr>
              <w:pStyle w:val="Bulletindent1"/>
              <w:rPr>
                <w:rFonts w:eastAsia="Calibri"/>
              </w:rPr>
            </w:pPr>
            <w:r>
              <w:rPr>
                <w:rFonts w:eastAsia="Calibri"/>
              </w:rPr>
              <w:t>P</w:t>
            </w:r>
            <w:r w:rsidRPr="0075173D">
              <w:rPr>
                <w:rFonts w:eastAsia="Calibri"/>
              </w:rPr>
              <w:t>eripheral oedema</w:t>
            </w:r>
          </w:p>
          <w:p w14:paraId="1DF73677" w14:textId="77777777" w:rsidR="00F34644" w:rsidRPr="007F68F1" w:rsidRDefault="00F34644" w:rsidP="00F34644">
            <w:pPr>
              <w:pStyle w:val="Tabletext"/>
              <w:rPr>
                <w:rFonts w:eastAsia="Calibri"/>
              </w:rPr>
            </w:pPr>
            <w:r>
              <w:rPr>
                <w:rFonts w:eastAsia="Calibri"/>
              </w:rPr>
              <w:t xml:space="preserve">Individuals should be informed about potential side effects including photosensitivity, headache, nausea, vomiting, dyspepsia and rash.  </w:t>
            </w:r>
          </w:p>
          <w:p w14:paraId="2FF14846" w14:textId="77777777" w:rsidR="00F34644" w:rsidRPr="00604853" w:rsidRDefault="00F34644" w:rsidP="00F34644">
            <w:pPr>
              <w:pStyle w:val="Tabletext"/>
              <w:rPr>
                <w:bCs/>
                <w:iCs/>
                <w:color w:val="FF0000"/>
              </w:rPr>
            </w:pPr>
          </w:p>
          <w:p w14:paraId="566E857D" w14:textId="77777777" w:rsidR="00F34644" w:rsidRDefault="00F34644" w:rsidP="00F34644">
            <w:pPr>
              <w:pStyle w:val="Tabletext"/>
              <w:rPr>
                <w:bCs/>
                <w:iCs/>
              </w:rPr>
            </w:pPr>
            <w:r w:rsidRPr="00607D12">
              <w:rPr>
                <w:b/>
                <w:bCs/>
                <w:iCs/>
              </w:rPr>
              <w:t>Photosensitivity reactions:</w:t>
            </w:r>
            <w:r w:rsidRPr="00607D12">
              <w:rPr>
                <w:bCs/>
                <w:iCs/>
              </w:rPr>
              <w:t xml:space="preserve"> advise </w:t>
            </w:r>
            <w:r>
              <w:rPr>
                <w:bCs/>
                <w:iCs/>
              </w:rPr>
              <w:t>individual</w:t>
            </w:r>
            <w:r w:rsidRPr="00607D12">
              <w:rPr>
                <w:bCs/>
                <w:iCs/>
              </w:rPr>
              <w:t xml:space="preserve">s to avoid exposure to direct sunlight or ultraviolet light (including sunbeds and sun lamps) while taking doxycycline. </w:t>
            </w:r>
          </w:p>
          <w:p w14:paraId="6903E101" w14:textId="77777777" w:rsidR="00F34644" w:rsidRDefault="00F34644" w:rsidP="00F34644">
            <w:pPr>
              <w:pStyle w:val="Tabletext"/>
              <w:rPr>
                <w:bCs/>
                <w:iCs/>
              </w:rPr>
            </w:pPr>
            <w:r>
              <w:rPr>
                <w:bCs/>
                <w:iCs/>
              </w:rPr>
              <w:t>If exposure to sunlight is unavoidable, advise individuals to protect their skin by:</w:t>
            </w:r>
          </w:p>
          <w:p w14:paraId="54DBBFF9" w14:textId="77777777" w:rsidR="00F34644" w:rsidRDefault="00F34644" w:rsidP="00F34644">
            <w:pPr>
              <w:pStyle w:val="Bulletindent1"/>
            </w:pPr>
            <w:r>
              <w:t xml:space="preserve">Wearing clothes that cover them up, </w:t>
            </w:r>
          </w:p>
          <w:p w14:paraId="0D60A0C8" w14:textId="77777777" w:rsidR="00F34644" w:rsidRDefault="00F34644" w:rsidP="00F34644">
            <w:pPr>
              <w:pStyle w:val="Bulletindent1"/>
            </w:pPr>
            <w:r>
              <w:t>W</w:t>
            </w:r>
            <w:r w:rsidRPr="00D554F6">
              <w:t>earing a hat and sunglasses</w:t>
            </w:r>
            <w:r w:rsidRPr="00A60986">
              <w:t>,</w:t>
            </w:r>
          </w:p>
          <w:p w14:paraId="4F04CCA8" w14:textId="77777777" w:rsidR="00F34644" w:rsidRDefault="00F34644" w:rsidP="00F34644">
            <w:pPr>
              <w:pStyle w:val="Bulletindent1"/>
            </w:pPr>
            <w:r>
              <w:t>U</w:t>
            </w:r>
            <w:r w:rsidRPr="00D554F6">
              <w:t>s</w:t>
            </w:r>
            <w:r>
              <w:t>ing</w:t>
            </w:r>
            <w:r w:rsidRPr="00D554F6">
              <w:t xml:space="preserve"> a high factor (minimum SPF 30) sunscreen or sunblock. </w:t>
            </w:r>
          </w:p>
          <w:p w14:paraId="062C251F" w14:textId="77777777" w:rsidR="00F34644" w:rsidRPr="00FB2F9E" w:rsidRDefault="00F34644" w:rsidP="00F34644">
            <w:pPr>
              <w:pStyle w:val="Tabletext"/>
              <w:rPr>
                <w:bCs/>
                <w:iCs/>
              </w:rPr>
            </w:pPr>
          </w:p>
          <w:p w14:paraId="6698D2CD" w14:textId="77777777" w:rsidR="00F34644" w:rsidRDefault="00F34644" w:rsidP="00F34644">
            <w:pPr>
              <w:pStyle w:val="Tabletext"/>
              <w:rPr>
                <w:bCs/>
                <w:iCs/>
              </w:rPr>
            </w:pPr>
            <w:r w:rsidRPr="00607D12">
              <w:rPr>
                <w:b/>
                <w:bCs/>
                <w:iCs/>
              </w:rPr>
              <w:t>Gastric irritation</w:t>
            </w:r>
            <w:r w:rsidRPr="00607D12">
              <w:rPr>
                <w:bCs/>
                <w:iCs/>
              </w:rPr>
              <w:t xml:space="preserve">: If </w:t>
            </w:r>
            <w:r>
              <w:rPr>
                <w:bCs/>
                <w:iCs/>
              </w:rPr>
              <w:t>individuals</w:t>
            </w:r>
            <w:r w:rsidRPr="00607D12">
              <w:rPr>
                <w:bCs/>
                <w:iCs/>
              </w:rPr>
              <w:t xml:space="preserve"> experience nausea or vomiting while taking doxycycline, advise them to take it with food</w:t>
            </w:r>
            <w:r>
              <w:rPr>
                <w:bCs/>
                <w:iCs/>
              </w:rPr>
              <w:t xml:space="preserve"> or milk</w:t>
            </w:r>
            <w:r w:rsidRPr="00607D12">
              <w:rPr>
                <w:bCs/>
                <w:iCs/>
              </w:rPr>
              <w:t xml:space="preserve">. </w:t>
            </w:r>
          </w:p>
          <w:p w14:paraId="487687ED" w14:textId="4BFB7D9D" w:rsidR="00393D73" w:rsidRDefault="00393D73" w:rsidP="00F34644">
            <w:pPr>
              <w:pStyle w:val="Tabletext"/>
            </w:pPr>
          </w:p>
          <w:p w14:paraId="68E31B75" w14:textId="0800748C" w:rsidR="00393D73" w:rsidRDefault="00393D73" w:rsidP="008D52EE">
            <w:pPr>
              <w:pStyle w:val="Tabletext"/>
            </w:pPr>
            <w:r>
              <w:rPr>
                <w:rFonts w:eastAsia="Calibri"/>
              </w:rPr>
              <w:t xml:space="preserve">Severe adverse reactions are rare, but </w:t>
            </w:r>
            <w:r w:rsidRPr="008D52EE">
              <w:rPr>
                <w:rFonts w:eastAsia="Calibri" w:cs="Arial"/>
              </w:rPr>
              <w:t>anaphylaxis</w:t>
            </w:r>
            <w:r>
              <w:rPr>
                <w:rFonts w:eastAsia="Calibri"/>
              </w:rPr>
              <w:t xml:space="preserve"> (delayed or immediate) has been reported an</w:t>
            </w:r>
            <w:r w:rsidRPr="00385387">
              <w:rPr>
                <w:rFonts w:eastAsia="Calibri"/>
              </w:rPr>
              <w:t xml:space="preserve">d </w:t>
            </w:r>
            <w:r w:rsidRPr="00385387">
              <w:rPr>
                <w:rFonts w:eastAsia="Calibri"/>
                <w:bCs/>
              </w:rPr>
              <w:t xml:space="preserve">requires immediate medical treatment. </w:t>
            </w:r>
            <w:r w:rsidR="00E005E8">
              <w:rPr>
                <w:rFonts w:eastAsia="Calibri"/>
                <w:bCs/>
              </w:rPr>
              <w:t xml:space="preserve">Information </w:t>
            </w:r>
            <w:r w:rsidR="00790438">
              <w:rPr>
                <w:rFonts w:eastAsia="Calibri"/>
                <w:bCs/>
              </w:rPr>
              <w:t>on</w:t>
            </w:r>
            <w:r w:rsidR="00E005E8">
              <w:rPr>
                <w:rFonts w:eastAsia="Calibri"/>
                <w:bCs/>
              </w:rPr>
              <w:t xml:space="preserve"> anaphylaxis can be found on the </w:t>
            </w:r>
            <w:hyperlink r:id="rId29" w:history="1">
              <w:r w:rsidR="00E005E8" w:rsidRPr="00E005E8">
                <w:rPr>
                  <w:rStyle w:val="Hyperlink"/>
                  <w:rFonts w:eastAsia="Calibri"/>
                  <w:bCs/>
                </w:rPr>
                <w:t>NHS website</w:t>
              </w:r>
            </w:hyperlink>
          </w:p>
          <w:p w14:paraId="1F959654" w14:textId="77777777" w:rsidR="003356D6" w:rsidRPr="00393D73" w:rsidRDefault="003356D6" w:rsidP="008D52EE">
            <w:pPr>
              <w:pStyle w:val="Tabletext"/>
              <w:rPr>
                <w:rFonts w:eastAsia="Calibri"/>
                <w:b/>
                <w:bCs/>
              </w:rPr>
            </w:pPr>
          </w:p>
          <w:p w14:paraId="59A213F4" w14:textId="74B0391F" w:rsidR="00393D73" w:rsidRDefault="00393D73" w:rsidP="008D52EE">
            <w:pPr>
              <w:pStyle w:val="Tabletext"/>
            </w:pPr>
            <w:bookmarkStart w:id="8" w:name="_Hlk212482773"/>
            <w:r w:rsidRPr="003356D6">
              <w:rPr>
                <w:rFonts w:eastAsia="Calibri"/>
              </w:rPr>
              <w:t>In the event of a severe adverse reaction, the individual must be advised to stop treatment immediately and seek urgent medical advice.</w:t>
            </w:r>
            <w:bookmarkEnd w:id="8"/>
          </w:p>
        </w:tc>
      </w:tr>
      <w:tr w:rsidR="00393D73" w14:paraId="08C3469A" w14:textId="77777777" w:rsidTr="006A7AF1">
        <w:tc>
          <w:tcPr>
            <w:tcW w:w="3397" w:type="dxa"/>
          </w:tcPr>
          <w:p w14:paraId="0980B18E" w14:textId="77777777" w:rsidR="00393D73" w:rsidRPr="00544444" w:rsidRDefault="00393D73" w:rsidP="00393D73">
            <w:pPr>
              <w:rPr>
                <w:rStyle w:val="TableHeaderColumn"/>
                <w:sz w:val="22"/>
              </w:rPr>
            </w:pPr>
            <w:r w:rsidRPr="00544444">
              <w:rPr>
                <w:rStyle w:val="TableHeaderColumn"/>
                <w:sz w:val="22"/>
              </w:rPr>
              <w:t>Management of and reporting procedures for adverse reactions</w:t>
            </w:r>
          </w:p>
        </w:tc>
        <w:tc>
          <w:tcPr>
            <w:tcW w:w="5529" w:type="dxa"/>
          </w:tcPr>
          <w:p w14:paraId="5B9E6BE1" w14:textId="24E0762F" w:rsidR="00393D73" w:rsidRPr="00677C74" w:rsidRDefault="00393D73" w:rsidP="00393D73">
            <w:pPr>
              <w:pStyle w:val="Bulletindent1"/>
            </w:pPr>
            <w:r w:rsidRPr="00677C74">
              <w:t>Healthcare professionals and individuals/carers</w:t>
            </w:r>
            <w:r>
              <w:t>/parents/guardians</w:t>
            </w:r>
            <w:r w:rsidRPr="00677C74">
              <w:t xml:space="preserve"> are encouraged to report suspected adverse reactions to the </w:t>
            </w:r>
            <w:hyperlink r:id="rId30"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1E0E8E47" w14:textId="183C23E7" w:rsidR="00393D73" w:rsidRPr="008D52EE" w:rsidRDefault="008D52EE" w:rsidP="00393D73">
            <w:pPr>
              <w:pStyle w:val="Bulletindent1"/>
              <w:rPr>
                <w:highlight w:val="cyan"/>
              </w:rPr>
            </w:pPr>
            <w:r>
              <w:rPr>
                <w:highlight w:val="cyan"/>
              </w:rPr>
              <w:t>[</w:t>
            </w:r>
            <w:r w:rsidR="00393D73" w:rsidRPr="008D52EE">
              <w:rPr>
                <w:highlight w:val="cyan"/>
              </w:rPr>
              <w:t>Report via organisation incident policy.</w:t>
            </w:r>
            <w:r>
              <w:rPr>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006A7AF1">
        <w:tc>
          <w:tcPr>
            <w:tcW w:w="3397" w:type="dxa"/>
          </w:tcPr>
          <w:p w14:paraId="5A563D4B" w14:textId="0853BC76" w:rsidR="00393D73" w:rsidRPr="00544444" w:rsidRDefault="00393D73" w:rsidP="00393D73">
            <w:pPr>
              <w:rPr>
                <w:rStyle w:val="TableHeaderColumn"/>
                <w:sz w:val="22"/>
              </w:rPr>
            </w:pPr>
            <w:r w:rsidRPr="00544444">
              <w:rPr>
                <w:rStyle w:val="TableHeaderColumn"/>
                <w:sz w:val="22"/>
              </w:rPr>
              <w:t>Written or other information to be given to individual/carer/parent/guardian</w:t>
            </w:r>
          </w:p>
        </w:tc>
        <w:tc>
          <w:tcPr>
            <w:tcW w:w="5529" w:type="dxa"/>
          </w:tcPr>
          <w:p w14:paraId="60AB63C8" w14:textId="77777777" w:rsidR="00790438" w:rsidRPr="00BF373C" w:rsidRDefault="00790438" w:rsidP="00790438">
            <w:pPr>
              <w:overflowPunct w:val="0"/>
              <w:autoSpaceDE w:val="0"/>
              <w:autoSpaceDN w:val="0"/>
              <w:adjustRightInd w:val="0"/>
              <w:contextualSpacing/>
              <w:textAlignment w:val="baseline"/>
              <w:rPr>
                <w:rFonts w:ascii="Arial" w:eastAsia="Arial" w:hAnsi="Arial" w:cs="Arial"/>
                <w:b/>
              </w:rPr>
            </w:pPr>
            <w:r w:rsidRPr="00BF373C">
              <w:rPr>
                <w:rFonts w:ascii="Arial" w:eastAsia="Arial" w:hAnsi="Arial" w:cs="Arial"/>
                <w:b/>
              </w:rPr>
              <w:t>Medication:</w:t>
            </w:r>
          </w:p>
          <w:p w14:paraId="5069CB80" w14:textId="77777777" w:rsidR="00790438" w:rsidRDefault="00790438" w:rsidP="00F34644">
            <w:pPr>
              <w:pStyle w:val="Bulletindent1"/>
            </w:pPr>
            <w:r>
              <w:t xml:space="preserve">Give patient information leaflet (PIL) provided with the original pack. </w:t>
            </w:r>
          </w:p>
          <w:p w14:paraId="05B0DFFF" w14:textId="77777777" w:rsidR="00790438" w:rsidRDefault="00790438" w:rsidP="00F34644">
            <w:pPr>
              <w:pStyle w:val="Bulletindent1"/>
            </w:pPr>
            <w:r>
              <w:t>Explain mode of action, side effects, and benefits of the medicine</w:t>
            </w:r>
          </w:p>
          <w:p w14:paraId="67A87F64" w14:textId="77777777" w:rsidR="00F34644" w:rsidRPr="0065244C" w:rsidRDefault="00F34644" w:rsidP="00F34644">
            <w:pPr>
              <w:pStyle w:val="Bulletindent1"/>
              <w:rPr>
                <w:iCs/>
              </w:rPr>
            </w:pPr>
            <w:r w:rsidRPr="0065244C">
              <w:rPr>
                <w:rFonts w:eastAsia="Arial"/>
              </w:rPr>
              <w:t>Inform individual</w:t>
            </w:r>
            <w:r w:rsidRPr="0065244C">
              <w:rPr>
                <w:rFonts w:eastAsia="Arial"/>
                <w:spacing w:val="12"/>
              </w:rPr>
              <w:t xml:space="preserve"> </w:t>
            </w:r>
            <w:r w:rsidRPr="0065244C">
              <w:rPr>
                <w:rFonts w:eastAsia="Arial"/>
              </w:rPr>
              <w:t>of possible side effects and their management</w:t>
            </w:r>
            <w:r>
              <w:rPr>
                <w:rFonts w:eastAsia="Arial"/>
              </w:rPr>
              <w:t xml:space="preserve"> (</w:t>
            </w:r>
            <w:r w:rsidRPr="00280219">
              <w:t xml:space="preserve">see </w:t>
            </w:r>
            <w:hyperlink w:anchor="identification" w:history="1">
              <w:r w:rsidRPr="00280219">
                <w:rPr>
                  <w:rStyle w:val="Hyperlink"/>
                  <w:rFonts w:cs="Arial"/>
                  <w:bCs/>
                </w:rPr>
                <w:t>Identification &amp; management of adverse reactions</w:t>
              </w:r>
            </w:hyperlink>
            <w:r w:rsidRPr="00280219">
              <w:t xml:space="preserve"> for further information),</w:t>
            </w:r>
            <w:r w:rsidRPr="0065244C">
              <w:rPr>
                <w:rFonts w:eastAsia="Arial"/>
              </w:rPr>
              <w:t xml:space="preserve"> including advice to swallow whole with plenty of water while sitting or standing </w:t>
            </w:r>
            <w:r>
              <w:rPr>
                <w:rFonts w:eastAsia="Arial"/>
              </w:rPr>
              <w:t xml:space="preserve">and to stay </w:t>
            </w:r>
            <w:r w:rsidRPr="0065244C">
              <w:rPr>
                <w:iCs/>
                <w:spacing w:val="-2"/>
              </w:rPr>
              <w:t xml:space="preserve">upright for </w:t>
            </w:r>
            <w:r>
              <w:rPr>
                <w:iCs/>
                <w:spacing w:val="-2"/>
              </w:rPr>
              <w:t xml:space="preserve">at least </w:t>
            </w:r>
            <w:r w:rsidRPr="0065244C">
              <w:rPr>
                <w:iCs/>
                <w:spacing w:val="-2"/>
              </w:rPr>
              <w:t>30 minutes after taking.</w:t>
            </w:r>
          </w:p>
          <w:p w14:paraId="462C1485" w14:textId="77777777" w:rsidR="00F34644" w:rsidRDefault="00F34644" w:rsidP="00F34644">
            <w:pPr>
              <w:pStyle w:val="Bulletindent1"/>
            </w:pPr>
            <w:r w:rsidRPr="0065244C">
              <w:t xml:space="preserve">Advise </w:t>
            </w:r>
            <w:r w:rsidRPr="0065244C">
              <w:rPr>
                <w:rFonts w:eastAsia="Arial"/>
              </w:rPr>
              <w:t>individual</w:t>
            </w:r>
            <w:r w:rsidRPr="0065244C">
              <w:rPr>
                <w:rFonts w:eastAsia="Arial"/>
                <w:spacing w:val="12"/>
              </w:rPr>
              <w:t xml:space="preserve"> </w:t>
            </w:r>
            <w:r w:rsidRPr="0065244C">
              <w:t>that if the individual experiences nausea or vomiting while taking doxycycline, they can take it with food</w:t>
            </w:r>
            <w:r>
              <w:t xml:space="preserve"> or milk</w:t>
            </w:r>
            <w:r w:rsidRPr="0065244C">
              <w:t>.</w:t>
            </w:r>
          </w:p>
          <w:p w14:paraId="241C0018" w14:textId="77777777" w:rsidR="00F34644" w:rsidRPr="0065244C" w:rsidRDefault="00F34644" w:rsidP="00F34644">
            <w:pPr>
              <w:pStyle w:val="Bulletindent1"/>
              <w:rPr>
                <w:iCs/>
              </w:rPr>
            </w:pPr>
            <w:r w:rsidRPr="0065244C">
              <w:t xml:space="preserve">Advise </w:t>
            </w:r>
            <w:r w:rsidRPr="0065244C">
              <w:rPr>
                <w:rFonts w:eastAsia="Arial"/>
              </w:rPr>
              <w:t>individual</w:t>
            </w:r>
            <w:r w:rsidRPr="0065244C">
              <w:rPr>
                <w:rFonts w:eastAsia="Arial"/>
                <w:spacing w:val="12"/>
              </w:rPr>
              <w:t xml:space="preserve"> to separate administration of </w:t>
            </w:r>
            <w:r w:rsidRPr="0065244C">
              <w:t xml:space="preserve">antacids or preparations containing </w:t>
            </w:r>
            <w:r>
              <w:t>aluminium/</w:t>
            </w:r>
            <w:r w:rsidRPr="0065244C">
              <w:t>calcium/</w:t>
            </w:r>
            <w:r>
              <w:t>magnesium/</w:t>
            </w:r>
            <w:r w:rsidRPr="0065244C">
              <w:t>iron/</w:t>
            </w:r>
            <w:r>
              <w:t xml:space="preserve">zinc/bismuth </w:t>
            </w:r>
            <w:r w:rsidRPr="0065244C">
              <w:t>salts</w:t>
            </w:r>
            <w:r>
              <w:t xml:space="preserve"> </w:t>
            </w:r>
            <w:r w:rsidRPr="0065244C">
              <w:t>(including some bought over the counter)</w:t>
            </w:r>
            <w:r>
              <w:t>, lanthanum, sucralfate</w:t>
            </w:r>
            <w:r w:rsidRPr="0065244C">
              <w:t xml:space="preserve"> and doxycycline by at least 2 hours. </w:t>
            </w:r>
          </w:p>
          <w:p w14:paraId="613C6106" w14:textId="77777777" w:rsidR="00F34644" w:rsidRPr="00280219" w:rsidRDefault="00F34644" w:rsidP="00F34644">
            <w:pPr>
              <w:pStyle w:val="Bulletindent1"/>
              <w:numPr>
                <w:ilvl w:val="1"/>
                <w:numId w:val="15"/>
              </w:numPr>
              <w:rPr>
                <w:iCs/>
              </w:rPr>
            </w:pPr>
            <w:r w:rsidRPr="004121C6">
              <w:t>Note: consider medicines contained within a medicines compliance aid (MCA or “blister pack”) and tailor advice (i.e. alerting individual which medicines to omit while on treatment) to individual on a case-by-case basis.</w:t>
            </w:r>
          </w:p>
          <w:p w14:paraId="646307E2" w14:textId="77777777" w:rsidR="00F34644" w:rsidRDefault="00F34644" w:rsidP="00F34644">
            <w:pPr>
              <w:pStyle w:val="Bulletindent1"/>
            </w:pPr>
            <w:r w:rsidRPr="004121C6">
              <w:t xml:space="preserve">Advise </w:t>
            </w:r>
            <w:r w:rsidRPr="004121C6">
              <w:rPr>
                <w:rFonts w:eastAsia="Arial"/>
              </w:rPr>
              <w:t>individual</w:t>
            </w:r>
            <w:r w:rsidRPr="004121C6">
              <w:t xml:space="preserve"> to avoid exposure to direct sunlight or ultraviolet light (including sunbeds and sun lamps) while taking doxycycline.</w:t>
            </w:r>
          </w:p>
          <w:p w14:paraId="463247BC" w14:textId="77777777" w:rsidR="00F34644" w:rsidRPr="009919B5" w:rsidRDefault="00F34644" w:rsidP="00F34644">
            <w:pPr>
              <w:pStyle w:val="Bulletindent1"/>
            </w:pPr>
            <w:r w:rsidRPr="0065244C">
              <w:t>Advise individual to seek medical advice in the event of an adverse reaction.</w:t>
            </w:r>
          </w:p>
          <w:p w14:paraId="62CA2CDA" w14:textId="1CE947E1" w:rsidR="00790438" w:rsidRDefault="00790438" w:rsidP="00F34644">
            <w:pPr>
              <w:pStyle w:val="Bulletindent1"/>
            </w:pPr>
            <w:r>
              <w:t xml:space="preserve">Advise individual to seek immediate medical attention (by calling 999 or going to A&amp;E) if the individual develops </w:t>
            </w:r>
            <w:hyperlink r:id="rId31" w:history="1">
              <w:r w:rsidRPr="00790438">
                <w:rPr>
                  <w:rStyle w:val="Hyperlink"/>
                </w:rPr>
                <w:t>signs or symptoms of sepsis as described on the NHS website</w:t>
              </w:r>
            </w:hyperlink>
            <w:r>
              <w:t xml:space="preserve">. </w:t>
            </w:r>
          </w:p>
          <w:p w14:paraId="01279B43" w14:textId="77777777" w:rsidR="00790438" w:rsidRDefault="00790438" w:rsidP="00F34644">
            <w:pPr>
              <w:pStyle w:val="Bulletindent1"/>
            </w:pPr>
            <w:r>
              <w:t>Advise individual to return any unused medicines to a pharmacy for disposal: Do not dispose of medicines in the bin, down the sink or toilet.</w:t>
            </w:r>
          </w:p>
          <w:p w14:paraId="1F1847AD" w14:textId="77777777" w:rsidR="00790438" w:rsidRPr="00790438" w:rsidRDefault="00790438" w:rsidP="00790438">
            <w:pPr>
              <w:pStyle w:val="Tabletext"/>
              <w:rPr>
                <w:b/>
                <w:bCs/>
              </w:rPr>
            </w:pPr>
            <w:r w:rsidRPr="00790438">
              <w:rPr>
                <w:b/>
                <w:bCs/>
              </w:rPr>
              <w:t>Condition:</w:t>
            </w:r>
          </w:p>
          <w:p w14:paraId="322DFF57" w14:textId="3DB7D21E" w:rsidR="00F34644" w:rsidRDefault="00F34644" w:rsidP="00F34644">
            <w:pPr>
              <w:pStyle w:val="Bulletindent1"/>
            </w:pPr>
            <w:r w:rsidRPr="00F34644">
              <w:t xml:space="preserve">Verbal and written information on </w:t>
            </w:r>
            <w:r w:rsidRPr="00F34644">
              <w:rPr>
                <w:i/>
              </w:rPr>
              <w:t>Chlamydia trachomatis</w:t>
            </w:r>
            <w:r w:rsidRPr="00F34644">
              <w:t>/</w:t>
            </w:r>
            <w:r w:rsidRPr="00F34644">
              <w:rPr>
                <w:i/>
              </w:rPr>
              <w:t xml:space="preserve"> Mycoplasma genitalium</w:t>
            </w:r>
            <w:r w:rsidRPr="00F34644">
              <w:t>/NGU/NSU/LGV treatment</w:t>
            </w:r>
          </w:p>
          <w:p w14:paraId="05BD8569" w14:textId="77777777" w:rsidR="00790438" w:rsidRDefault="00790438" w:rsidP="00F34644">
            <w:pPr>
              <w:pStyle w:val="Bulletindent1"/>
            </w:pPr>
            <w:r>
              <w:t>Discuss implications of incompletely treated/untreated infection of self or partner/s</w:t>
            </w:r>
          </w:p>
          <w:p w14:paraId="52B3C8DD" w14:textId="3211280A" w:rsidR="00790438" w:rsidRDefault="00790438" w:rsidP="00F34644">
            <w:pPr>
              <w:pStyle w:val="Bulletindent1"/>
            </w:pPr>
            <w:r>
              <w:t>Advise to abstain completely from sexual intercourse (even with condoms) including oral sex, during treatment, for [</w:t>
            </w:r>
            <w:r w:rsidRPr="00790438">
              <w:rPr>
                <w:highlight w:val="cyan"/>
              </w:rPr>
              <w:t>7/14</w:t>
            </w:r>
            <w:r>
              <w:t>] days after treatment and for [</w:t>
            </w:r>
            <w:r w:rsidRPr="00790438">
              <w:rPr>
                <w:highlight w:val="cyan"/>
              </w:rPr>
              <w:t>7/14</w:t>
            </w:r>
            <w:r>
              <w:t>] days after partner(s) treatment – [</w:t>
            </w:r>
            <w:r w:rsidRPr="00790438">
              <w:rPr>
                <w:highlight w:val="cyan"/>
              </w:rPr>
              <w:t>duration dependent on diagnosis - delete as locally applicable to indications included within the PGD</w:t>
            </w:r>
            <w:r>
              <w:rPr>
                <w:highlight w:val="cyan"/>
              </w:rPr>
              <w:t>]</w:t>
            </w:r>
            <w:r w:rsidRPr="00790438">
              <w:rPr>
                <w:highlight w:val="cyan"/>
              </w:rPr>
              <w:t>.</w:t>
            </w:r>
            <w:r>
              <w:t xml:space="preserve">  Where not achievable advise on use of condoms.  </w:t>
            </w:r>
          </w:p>
          <w:p w14:paraId="562DA2B4" w14:textId="77777777" w:rsidR="00790438" w:rsidRDefault="00790438" w:rsidP="00F34644">
            <w:pPr>
              <w:pStyle w:val="Bulletindent1"/>
            </w:pPr>
            <w:r>
              <w:t>Discuss risk of re-infection, and further transmission of infection, if after treatment sexual intercourse takes place with an untreated partner/s</w:t>
            </w:r>
          </w:p>
          <w:p w14:paraId="2FC7BADE" w14:textId="77777777" w:rsidR="00790438" w:rsidRDefault="00790438" w:rsidP="00F34644">
            <w:pPr>
              <w:pStyle w:val="Bulletindent1"/>
            </w:pPr>
            <w:r>
              <w:t>Discuss partner notification and issue contact slips if appropriate</w:t>
            </w:r>
          </w:p>
          <w:p w14:paraId="1C58AA92" w14:textId="77777777" w:rsidR="00790438" w:rsidRDefault="00790438" w:rsidP="00F34644">
            <w:pPr>
              <w:pStyle w:val="Bulletindent1"/>
            </w:pPr>
            <w:r>
              <w:t>Offer condoms and advice on safer sex practices and possible need for screening for sexually transmitted infections (STIs)</w:t>
            </w:r>
          </w:p>
          <w:p w14:paraId="397A4F12" w14:textId="5739C6CC" w:rsidR="00393D73" w:rsidRPr="00677C74" w:rsidRDefault="00790438" w:rsidP="00F34644">
            <w:pPr>
              <w:pStyle w:val="Bulletindent1"/>
            </w:pPr>
            <w:r>
              <w:t>Where treatment not supplied via a sexual health clinic ensure the individual has contact details of local sexual health services.</w:t>
            </w:r>
          </w:p>
        </w:tc>
      </w:tr>
      <w:tr w:rsidR="00393D73" w14:paraId="09A371CA" w14:textId="77777777" w:rsidTr="006A7AF1">
        <w:tc>
          <w:tcPr>
            <w:tcW w:w="3397" w:type="dxa"/>
          </w:tcPr>
          <w:p w14:paraId="0AB3BA26" w14:textId="6ED31042" w:rsidR="00393D73" w:rsidRPr="00544444" w:rsidRDefault="00393D73" w:rsidP="00393D73">
            <w:pPr>
              <w:rPr>
                <w:rStyle w:val="TableHeaderColumn"/>
                <w:sz w:val="22"/>
              </w:rPr>
            </w:pPr>
            <w:r w:rsidRPr="00544444">
              <w:rPr>
                <w:rStyle w:val="TableHeaderColumn"/>
                <w:kern w:val="0"/>
                <w:sz w:val="22"/>
              </w:rPr>
              <w:t>Individual</w:t>
            </w:r>
            <w:r w:rsidRPr="00544444">
              <w:rPr>
                <w:rStyle w:val="TableHeaderColumn"/>
                <w:sz w:val="22"/>
              </w:rPr>
              <w:t xml:space="preserve"> advice / follow up treatment</w:t>
            </w:r>
          </w:p>
        </w:tc>
        <w:tc>
          <w:tcPr>
            <w:tcW w:w="5529" w:type="dxa"/>
          </w:tcPr>
          <w:p w14:paraId="5884C15C" w14:textId="77777777" w:rsidR="00AD19F7" w:rsidRPr="00AD19F7" w:rsidRDefault="00AD19F7" w:rsidP="00022E97">
            <w:pPr>
              <w:pStyle w:val="Bulletindent1"/>
            </w:pPr>
            <w:bookmarkStart w:id="9" w:name="_Hlk44941506"/>
            <w:r w:rsidRPr="00AD19F7">
              <w:t>The individual should be advised to seek medical advice in the event of an adverse reaction.</w:t>
            </w:r>
          </w:p>
          <w:p w14:paraId="026982EF" w14:textId="77777777" w:rsidR="009038A4" w:rsidRPr="009038A4" w:rsidRDefault="009038A4" w:rsidP="009038A4">
            <w:pPr>
              <w:pStyle w:val="Bulletindent1"/>
            </w:pPr>
            <w:r w:rsidRPr="009038A4">
              <w:t xml:space="preserve">In individuals with a definite diagnosis of uncomplicated </w:t>
            </w:r>
            <w:r w:rsidRPr="009038A4">
              <w:rPr>
                <w:i/>
              </w:rPr>
              <w:t>Mycoplasma genitalium</w:t>
            </w:r>
            <w:r w:rsidRPr="009038A4">
              <w:t xml:space="preserve"> infection where the doxycycline course is to be followed by a second antimicrobial (according to the resistance profile), the second antimicrobial course should be started within 2 weeks of completing the doxycycline course</w:t>
            </w:r>
            <w:bookmarkStart w:id="10" w:name="_Hlk41389091"/>
            <w:r w:rsidRPr="009038A4">
              <w:t>.  If the 2</w:t>
            </w:r>
            <w:r w:rsidRPr="009038A4">
              <w:rPr>
                <w:vertAlign w:val="superscript"/>
              </w:rPr>
              <w:t>nd</w:t>
            </w:r>
            <w:r w:rsidRPr="009038A4">
              <w:t xml:space="preserve"> antimicrobial course is not started within this timeframe the individual should be referred to a specialist practitioner. </w:t>
            </w:r>
            <w:bookmarkEnd w:id="10"/>
            <w:r w:rsidRPr="009038A4">
              <w:t xml:space="preserve">    </w:t>
            </w:r>
          </w:p>
          <w:p w14:paraId="24D0B2EA" w14:textId="77777777" w:rsidR="009038A4" w:rsidRPr="009038A4" w:rsidRDefault="009038A4" w:rsidP="009038A4">
            <w:pPr>
              <w:pStyle w:val="Bulletindent1"/>
            </w:pPr>
            <w:r w:rsidRPr="009038A4">
              <w:t>Follow local protocol for Chlamydia follow-up and partner notification.</w:t>
            </w:r>
          </w:p>
          <w:p w14:paraId="756C754D" w14:textId="77777777" w:rsidR="009038A4" w:rsidRPr="009038A4" w:rsidRDefault="009038A4" w:rsidP="009038A4">
            <w:pPr>
              <w:pStyle w:val="Bulletindent1"/>
            </w:pPr>
            <w:r w:rsidRPr="009038A4">
              <w:t xml:space="preserve">Follow local protocol for LGV follow-up, additional STI testing (if required) and partner notification. Routine test of cure for LGV is no longer considered necessary if the recommended 21-day course of doxycycline has been completed: as per </w:t>
            </w:r>
            <w:hyperlink r:id="rId32" w:history="1">
              <w:r w:rsidRPr="009038A4">
                <w:rPr>
                  <w:rStyle w:val="Hyperlink"/>
                </w:rPr>
                <w:t>BASHH guidance</w:t>
              </w:r>
            </w:hyperlink>
            <w:r w:rsidRPr="009038A4">
              <w:t xml:space="preserve">. </w:t>
            </w:r>
          </w:p>
          <w:p w14:paraId="5CDD07F4" w14:textId="77777777" w:rsidR="009038A4" w:rsidRPr="009038A4" w:rsidRDefault="009038A4" w:rsidP="009038A4">
            <w:pPr>
              <w:pStyle w:val="Bulletindent1"/>
            </w:pPr>
            <w:r w:rsidRPr="009038A4">
              <w:t>Individuals who have not had a full STI screen (or who did not have Chlamydia diagnosed in a sexual health clinic) should be advised to attend an appropriate service for a full STI screen.</w:t>
            </w:r>
          </w:p>
          <w:p w14:paraId="2686F495" w14:textId="77777777" w:rsidR="009038A4" w:rsidRPr="009038A4" w:rsidRDefault="009038A4" w:rsidP="009038A4">
            <w:pPr>
              <w:pStyle w:val="Bulletindent1"/>
            </w:pPr>
            <w:r w:rsidRPr="009038A4">
              <w:t>Routine follow-up/TOC for uncomplicated Chlamydia following treatment with doxycycline is unnecessary, except in the following situations where local protocols should be followed:</w:t>
            </w:r>
          </w:p>
          <w:p w14:paraId="2261C2E9" w14:textId="77777777" w:rsidR="009038A4" w:rsidRPr="009038A4" w:rsidRDefault="009038A4" w:rsidP="009038A4">
            <w:pPr>
              <w:pStyle w:val="Bulletindent1"/>
              <w:numPr>
                <w:ilvl w:val="1"/>
                <w:numId w:val="15"/>
              </w:numPr>
            </w:pPr>
            <w:r w:rsidRPr="009038A4">
              <w:t>Where poor compliance is suspected</w:t>
            </w:r>
          </w:p>
          <w:p w14:paraId="1B7F22C3" w14:textId="77777777" w:rsidR="009038A4" w:rsidRPr="009038A4" w:rsidRDefault="009038A4" w:rsidP="009038A4">
            <w:pPr>
              <w:pStyle w:val="Bulletindent1"/>
              <w:numPr>
                <w:ilvl w:val="1"/>
                <w:numId w:val="15"/>
              </w:numPr>
            </w:pPr>
            <w:r w:rsidRPr="009038A4">
              <w:t>Where symptoms persist</w:t>
            </w:r>
          </w:p>
          <w:p w14:paraId="77655C91" w14:textId="77777777" w:rsidR="009038A4" w:rsidRPr="009038A4" w:rsidRDefault="009038A4" w:rsidP="009038A4">
            <w:pPr>
              <w:pStyle w:val="Bulletindent1"/>
              <w:numPr>
                <w:ilvl w:val="1"/>
                <w:numId w:val="15"/>
              </w:numPr>
            </w:pPr>
            <w:r w:rsidRPr="009038A4">
              <w:t>Rectal infections</w:t>
            </w:r>
          </w:p>
          <w:p w14:paraId="069D1CB1" w14:textId="77777777" w:rsidR="009038A4" w:rsidRPr="009038A4" w:rsidRDefault="009038A4" w:rsidP="009038A4">
            <w:pPr>
              <w:pStyle w:val="Bulletindent1"/>
              <w:numPr>
                <w:ilvl w:val="1"/>
                <w:numId w:val="15"/>
              </w:numPr>
            </w:pPr>
            <w:r w:rsidRPr="009038A4">
              <w:t>Under 25 year olds</w:t>
            </w:r>
          </w:p>
          <w:p w14:paraId="2BF8FA34" w14:textId="54626913" w:rsidR="00393D73" w:rsidRPr="00393D73" w:rsidRDefault="009038A4" w:rsidP="009038A4">
            <w:pPr>
              <w:pStyle w:val="Bulletindent1"/>
              <w:numPr>
                <w:ilvl w:val="1"/>
                <w:numId w:val="15"/>
              </w:numPr>
            </w:pPr>
            <w:r w:rsidRPr="009038A4">
              <w:rPr>
                <w:i/>
                <w:iCs/>
              </w:rPr>
              <w:t>Mycoplasma genitalium</w:t>
            </w:r>
            <w:r w:rsidRPr="009038A4">
              <w:t xml:space="preserve"> infection</w:t>
            </w:r>
            <w:r w:rsidR="00AD19F7" w:rsidRPr="00AD19F7">
              <w:rPr>
                <w:i/>
                <w:iCs/>
              </w:rPr>
              <w:t>Mycoplasma genitalium</w:t>
            </w:r>
            <w:r w:rsidR="00AD19F7" w:rsidRPr="00AD19F7">
              <w:t xml:space="preserve"> infection</w:t>
            </w:r>
            <w:bookmarkEnd w:id="9"/>
          </w:p>
        </w:tc>
      </w:tr>
      <w:tr w:rsidR="00393D73" w14:paraId="589EF44D" w14:textId="77777777" w:rsidTr="006A7AF1">
        <w:tc>
          <w:tcPr>
            <w:tcW w:w="3397" w:type="dxa"/>
          </w:tcPr>
          <w:p w14:paraId="0194F7E0" w14:textId="7E52FBD6" w:rsidR="00393D73" w:rsidRPr="005A6168" w:rsidRDefault="00393D73" w:rsidP="00393D73">
            <w:pPr>
              <w:rPr>
                <w:rStyle w:val="TableHeaderColumn"/>
              </w:rPr>
            </w:pPr>
            <w:r w:rsidRPr="00544444">
              <w:rPr>
                <w:rStyle w:val="TableHeaderColumn"/>
                <w:sz w:val="22"/>
              </w:rPr>
              <w:t>Records to be kept</w:t>
            </w:r>
          </w:p>
        </w:tc>
        <w:tc>
          <w:tcPr>
            <w:tcW w:w="5529" w:type="dxa"/>
          </w:tcPr>
          <w:p w14:paraId="09C8E253" w14:textId="04D70FA0" w:rsidR="00393D73" w:rsidRPr="00227D22" w:rsidRDefault="00393D73" w:rsidP="00227D22">
            <w:pPr>
              <w:pStyle w:val="Tabletext"/>
              <w:rPr>
                <w:rFonts w:eastAsia="Arial"/>
              </w:rPr>
            </w:pPr>
            <w:r w:rsidRPr="00073FD5">
              <w:rPr>
                <w:rFonts w:eastAsia="Arial"/>
              </w:rPr>
              <w:t>Appropriate records must include the following:</w:t>
            </w:r>
          </w:p>
          <w:p w14:paraId="67B92CD3" w14:textId="77777777" w:rsidR="00AD19F7" w:rsidRDefault="00AD19F7" w:rsidP="00AD19F7">
            <w:pPr>
              <w:pStyle w:val="Bulletindent1"/>
            </w:pPr>
            <w:r>
              <w:t>The consent of the individual and</w:t>
            </w:r>
          </w:p>
          <w:p w14:paraId="45F999E1" w14:textId="77777777" w:rsidR="00AD19F7" w:rsidRDefault="00AD19F7" w:rsidP="00022E97">
            <w:pPr>
              <w:pStyle w:val="Bulletindent1"/>
              <w:numPr>
                <w:ilvl w:val="1"/>
                <w:numId w:val="15"/>
              </w:numPr>
            </w:pPr>
            <w:r>
              <w:t>If individual is under 13 years of age record action taken</w:t>
            </w:r>
          </w:p>
          <w:p w14:paraId="139136EA" w14:textId="77777777" w:rsidR="00AD19F7" w:rsidRDefault="00AD19F7" w:rsidP="00022E97">
            <w:pPr>
              <w:pStyle w:val="Bulletindent1"/>
              <w:numPr>
                <w:ilvl w:val="1"/>
                <w:numId w:val="15"/>
              </w:numPr>
            </w:pPr>
            <w:r>
              <w:t xml:space="preserve">If individual is under 16 years of age document capacity using Fraser guidelines.  If not competent record action taken.  </w:t>
            </w:r>
          </w:p>
          <w:p w14:paraId="44F4713F" w14:textId="77777777" w:rsidR="00AD19F7" w:rsidRDefault="00AD19F7" w:rsidP="00022E97">
            <w:pPr>
              <w:pStyle w:val="Bulletindent1"/>
              <w:numPr>
                <w:ilvl w:val="1"/>
                <w:numId w:val="15"/>
              </w:numPr>
            </w:pPr>
            <w:r>
              <w:t>If individual over 16 years of age and not competent, record action taken</w:t>
            </w:r>
          </w:p>
          <w:p w14:paraId="70A9473D" w14:textId="77777777" w:rsidR="00AD19F7" w:rsidRPr="00BF373C" w:rsidRDefault="00AD19F7" w:rsidP="00AD19F7">
            <w:pPr>
              <w:pStyle w:val="Bulletindent1"/>
            </w:pPr>
            <w:r w:rsidRPr="00BF373C">
              <w:t>If individual not treated under PGD record action taken</w:t>
            </w:r>
          </w:p>
          <w:p w14:paraId="5769A755" w14:textId="77777777" w:rsidR="00AD19F7" w:rsidRPr="00BF373C" w:rsidRDefault="00AD19F7" w:rsidP="00AD19F7">
            <w:pPr>
              <w:pStyle w:val="Bulletindent1"/>
            </w:pPr>
            <w:r w:rsidRPr="00BF373C">
              <w:t xml:space="preserve">Name of individual, address, date of birth </w:t>
            </w:r>
          </w:p>
          <w:p w14:paraId="0B4554C1" w14:textId="77777777" w:rsidR="00AD19F7" w:rsidRPr="00BF373C" w:rsidRDefault="00AD19F7" w:rsidP="00AD19F7">
            <w:pPr>
              <w:pStyle w:val="Bulletindent1"/>
              <w:rPr>
                <w:strike/>
              </w:rPr>
            </w:pPr>
            <w:r w:rsidRPr="00BF373C">
              <w:t>GP contact details where appropriate</w:t>
            </w:r>
          </w:p>
          <w:p w14:paraId="7DD120AA" w14:textId="77777777" w:rsidR="00AD19F7" w:rsidRPr="00BF373C" w:rsidRDefault="00AD19F7" w:rsidP="00AD19F7">
            <w:pPr>
              <w:pStyle w:val="Bulletindent1"/>
            </w:pPr>
            <w:r w:rsidRPr="00BF373C">
              <w:t xml:space="preserve">Relevant past and present medical and sexual history, including medication history. </w:t>
            </w:r>
          </w:p>
          <w:p w14:paraId="5ADF0E92" w14:textId="77777777" w:rsidR="00AD19F7" w:rsidRPr="00BF373C" w:rsidRDefault="00AD19F7" w:rsidP="00AD19F7">
            <w:pPr>
              <w:pStyle w:val="Bulletindent1"/>
            </w:pPr>
            <w:r w:rsidRPr="00BF373C">
              <w:t xml:space="preserve">Examination or microbiology finding/s where relevant.  </w:t>
            </w:r>
          </w:p>
          <w:p w14:paraId="3A3ED7C6" w14:textId="77777777" w:rsidR="00AD19F7" w:rsidRPr="00BF373C" w:rsidRDefault="00AD19F7" w:rsidP="00AD19F7">
            <w:pPr>
              <w:pStyle w:val="Bulletindent1"/>
            </w:pPr>
            <w:r w:rsidRPr="00BF373C">
              <w:t xml:space="preserve">Any known allergies and nature of reaction </w:t>
            </w:r>
          </w:p>
          <w:p w14:paraId="17E88D84" w14:textId="77777777" w:rsidR="00AD19F7" w:rsidRPr="00BF373C" w:rsidRDefault="00AD19F7" w:rsidP="00AD19F7">
            <w:pPr>
              <w:pStyle w:val="Bulletindent1"/>
            </w:pPr>
            <w:r w:rsidRPr="00BF373C">
              <w:t>Name of registered health professional</w:t>
            </w:r>
          </w:p>
          <w:p w14:paraId="4F89B879" w14:textId="77777777" w:rsidR="00AD19F7" w:rsidRPr="00BF373C" w:rsidRDefault="00AD19F7" w:rsidP="00AD19F7">
            <w:pPr>
              <w:pStyle w:val="Bulletindent1"/>
            </w:pPr>
            <w:r w:rsidRPr="00BF373C">
              <w:t xml:space="preserve">Name of medication supplied </w:t>
            </w:r>
          </w:p>
          <w:p w14:paraId="7176EAA6" w14:textId="77777777" w:rsidR="00AD19F7" w:rsidRPr="00BF373C" w:rsidRDefault="00AD19F7" w:rsidP="00AD19F7">
            <w:pPr>
              <w:pStyle w:val="Bulletindent1"/>
            </w:pPr>
            <w:r w:rsidRPr="00BF373C">
              <w:t>Date of supply</w:t>
            </w:r>
          </w:p>
          <w:p w14:paraId="7A14C355" w14:textId="77777777" w:rsidR="00AD19F7" w:rsidRPr="00BF373C" w:rsidRDefault="00AD19F7" w:rsidP="00AD19F7">
            <w:pPr>
              <w:pStyle w:val="Bulletindent1"/>
              <w:rPr>
                <w:strike/>
              </w:rPr>
            </w:pPr>
            <w:r w:rsidRPr="00BF373C">
              <w:t>Dose supplied</w:t>
            </w:r>
          </w:p>
          <w:p w14:paraId="09969CC7" w14:textId="7E251565" w:rsidR="00AD19F7" w:rsidRPr="004F72D4" w:rsidRDefault="003356D6" w:rsidP="00AD19F7">
            <w:pPr>
              <w:pStyle w:val="Bulletindent1"/>
              <w:rPr>
                <w:highlight w:val="cyan"/>
              </w:rPr>
            </w:pPr>
            <w:r>
              <w:rPr>
                <w:highlight w:val="cyan"/>
              </w:rPr>
              <w:t>[</w:t>
            </w:r>
            <w:r w:rsidR="00AD19F7" w:rsidRPr="004F72D4">
              <w:rPr>
                <w:highlight w:val="cyan"/>
              </w:rPr>
              <w:t>Quantity supplied including batch number and expiry date in line with local procedures</w:t>
            </w:r>
            <w:r>
              <w:rPr>
                <w:highlight w:val="cyan"/>
              </w:rPr>
              <w:t>]</w:t>
            </w:r>
            <w:r w:rsidR="00AD19F7" w:rsidRPr="004F72D4">
              <w:rPr>
                <w:highlight w:val="cyan"/>
              </w:rPr>
              <w:t xml:space="preserve">.  </w:t>
            </w:r>
          </w:p>
          <w:p w14:paraId="72092C5F" w14:textId="77777777" w:rsidR="00AD19F7" w:rsidRPr="00BF373C" w:rsidRDefault="00AD19F7" w:rsidP="00AD19F7">
            <w:pPr>
              <w:pStyle w:val="Bulletindent1"/>
            </w:pPr>
            <w:r w:rsidRPr="00BF373C">
              <w:t xml:space="preserve">Advice given about the medication including side effects, benefits, and when and what to do if any concerns  </w:t>
            </w:r>
          </w:p>
          <w:p w14:paraId="64F82D8C" w14:textId="77777777" w:rsidR="00AD19F7" w:rsidRPr="00BF373C" w:rsidRDefault="00AD19F7" w:rsidP="00AD19F7">
            <w:pPr>
              <w:pStyle w:val="Bulletindent1"/>
            </w:pPr>
            <w:r w:rsidRPr="00BF373C">
              <w:t>Advice given, including advice given if excluded or declines treatment</w:t>
            </w:r>
          </w:p>
          <w:p w14:paraId="1FF84993" w14:textId="77777777" w:rsidR="00AD19F7" w:rsidRPr="00BF373C" w:rsidRDefault="00AD19F7" w:rsidP="00AD19F7">
            <w:pPr>
              <w:pStyle w:val="Bulletindent1"/>
            </w:pPr>
            <w:r w:rsidRPr="00BF373C">
              <w:t>Details of any adverse drug reactions and actions taken</w:t>
            </w:r>
          </w:p>
          <w:p w14:paraId="132B4D98" w14:textId="77777777" w:rsidR="00AD19F7" w:rsidRPr="00BF373C" w:rsidRDefault="00AD19F7" w:rsidP="00AD19F7">
            <w:pPr>
              <w:pStyle w:val="Bulletindent1"/>
            </w:pPr>
            <w:r w:rsidRPr="00BF373C">
              <w:t>Any referral arrangements made</w:t>
            </w:r>
          </w:p>
          <w:p w14:paraId="7F4C74BD" w14:textId="77777777" w:rsidR="00AD19F7" w:rsidRPr="00BF373C" w:rsidRDefault="00AD19F7" w:rsidP="00AD19F7">
            <w:pPr>
              <w:pStyle w:val="Bulletindent1"/>
            </w:pPr>
            <w:r w:rsidRPr="00BF373C">
              <w:t>Any supply outside the terms of the product marketing authorisation</w:t>
            </w:r>
          </w:p>
          <w:p w14:paraId="33278387" w14:textId="77777777" w:rsidR="00AD19F7" w:rsidRPr="00BF373C" w:rsidRDefault="00AD19F7" w:rsidP="00AD19F7">
            <w:pPr>
              <w:pStyle w:val="Bulletindent1"/>
            </w:pPr>
            <w:r w:rsidRPr="00BF373C">
              <w:t>Recorded that supplied via Patient Group Direction (PGD)</w:t>
            </w:r>
          </w:p>
          <w:p w14:paraId="48948A95" w14:textId="3CA0FA91" w:rsidR="00AD19F7" w:rsidRPr="00AD19F7" w:rsidRDefault="00393D73" w:rsidP="00AD19F7">
            <w:pPr>
              <w:pStyle w:val="Tabletext"/>
              <w:rPr>
                <w:lang w:val="en-GB"/>
              </w:rPr>
            </w:pPr>
            <w:r w:rsidRPr="00677C74">
              <w:t xml:space="preserve">Records </w:t>
            </w:r>
            <w:r>
              <w:t>must</w:t>
            </w:r>
            <w:r w:rsidRPr="00677C74">
              <w:t xml:space="preserve"> be signed and dated (</w:t>
            </w:r>
            <w:r w:rsidR="00AD19F7" w:rsidRPr="00677C74">
              <w:t>or password</w:t>
            </w:r>
            <w:r w:rsidRPr="00677C74">
              <w:t xml:space="preserve"> controlled e-records)</w:t>
            </w:r>
            <w:r w:rsidR="00AD19F7">
              <w:t xml:space="preserve"> </w:t>
            </w:r>
            <w:r w:rsidR="00AD19F7" w:rsidRPr="00AD19F7">
              <w:rPr>
                <w:lang w:val="en-GB"/>
              </w:rPr>
              <w:t xml:space="preserve">and securely kept for a defined period in line with local policy. </w:t>
            </w:r>
          </w:p>
          <w:p w14:paraId="12961DC7" w14:textId="02CACED1" w:rsidR="00393D73" w:rsidRPr="00677C74" w:rsidRDefault="00393D73" w:rsidP="00E139D7">
            <w:pPr>
              <w:pStyle w:val="Tabletext"/>
            </w:pPr>
          </w:p>
          <w:p w14:paraId="24010435" w14:textId="77777777" w:rsidR="00393D73" w:rsidRPr="00677C74" w:rsidRDefault="00393D73" w:rsidP="00E139D7">
            <w:pPr>
              <w:pStyle w:val="Tabletext"/>
            </w:pPr>
            <w:r w:rsidRPr="00677C74">
              <w:t xml:space="preserve">All records </w:t>
            </w:r>
            <w:r>
              <w:t>must</w:t>
            </w:r>
            <w:r w:rsidRPr="00677C74">
              <w:t xml:space="preserve"> be clear, legible and contemporaneous.</w:t>
            </w:r>
          </w:p>
          <w:p w14:paraId="560B1F79" w14:textId="77777777" w:rsidR="00393D73" w:rsidRPr="00677C74" w:rsidRDefault="00393D73" w:rsidP="00E139D7">
            <w:pPr>
              <w:pStyle w:val="Tabletext"/>
            </w:pPr>
          </w:p>
          <w:p w14:paraId="47F21EB6" w14:textId="766A78BC" w:rsidR="00581C9E" w:rsidRPr="00AD19F7" w:rsidRDefault="00393D73" w:rsidP="00581C9E">
            <w:pPr>
              <w:pStyle w:val="Tabletext"/>
              <w:rPr>
                <w:bCs/>
              </w:rPr>
            </w:pPr>
            <w:r w:rsidRPr="00677C74">
              <w:t>A record of all individuals receiving treatment under this PGD should also be kept for audit purposes in accordance with local policy.</w:t>
            </w:r>
            <w:r w:rsidRPr="000E585A">
              <w:rPr>
                <w:bCs/>
              </w:rPr>
              <w:t xml:space="preserve"> </w:t>
            </w:r>
          </w:p>
          <w:p w14:paraId="4AF5F403" w14:textId="22B630B4" w:rsidR="00393D73" w:rsidRDefault="00393D73" w:rsidP="00AD19F7">
            <w:pPr>
              <w:pStyle w:val="Tabletext"/>
            </w:pPr>
          </w:p>
        </w:tc>
      </w:tr>
    </w:tbl>
    <w:p w14:paraId="53B0192F" w14:textId="77777777" w:rsidR="00BB2599" w:rsidRPr="00BB2599" w:rsidRDefault="00BB2599" w:rsidP="005A6168">
      <w:pPr>
        <w:pStyle w:val="PGDNormal"/>
      </w:pPr>
    </w:p>
    <w:p w14:paraId="74DEDA30" w14:textId="753D9CBF" w:rsidR="00725927" w:rsidRDefault="00725927" w:rsidP="00BB2C75">
      <w:pPr>
        <w:pStyle w:val="Heading1"/>
      </w:pPr>
      <w:r w:rsidRPr="00832CD7">
        <w:t>Key references</w:t>
      </w:r>
      <w:r w:rsidRPr="00DF77C7">
        <w:t xml:space="preserve"> </w:t>
      </w:r>
      <w:r w:rsidR="00510425" w:rsidRPr="00DF77C7">
        <w:t>(</w:t>
      </w:r>
      <w:r w:rsidR="00393D73">
        <w:t xml:space="preserve">last </w:t>
      </w:r>
      <w:r w:rsidR="00510425" w:rsidRPr="00DF77C7">
        <w:t>accessed</w:t>
      </w:r>
      <w:r w:rsidR="00D0044C" w:rsidRPr="00DF77C7">
        <w:t xml:space="preserve"> </w:t>
      </w:r>
      <w:r w:rsidR="00AD19F7">
        <w:t>August</w:t>
      </w:r>
      <w:r w:rsidR="00393D73">
        <w:t xml:space="preserve"> 2025</w:t>
      </w:r>
      <w:r w:rsidR="00510425" w:rsidRPr="00DF77C7">
        <w:t>)</w:t>
      </w:r>
    </w:p>
    <w:p w14:paraId="6C602359" w14:textId="7F8B2C25" w:rsidR="00393D73" w:rsidRPr="00393D73" w:rsidRDefault="00393D73" w:rsidP="00393D73">
      <w:pPr>
        <w:pStyle w:val="Bulletindent1"/>
        <w:rPr>
          <w:szCs w:val="22"/>
          <w:lang w:eastAsia="en-GB"/>
        </w:rPr>
      </w:pPr>
      <w:hyperlink r:id="rId33" w:history="1">
        <w:r w:rsidRPr="00487448">
          <w:rPr>
            <w:rStyle w:val="Hyperlink"/>
            <w:szCs w:val="22"/>
            <w:lang w:eastAsia="en-GB"/>
          </w:rPr>
          <w:t>Electronic Medicines Compendium</w:t>
        </w:r>
      </w:hyperlink>
    </w:p>
    <w:p w14:paraId="3F390465" w14:textId="4F2738A6" w:rsidR="00393D73" w:rsidRPr="00393D73" w:rsidRDefault="00393D73" w:rsidP="00393D73">
      <w:pPr>
        <w:pStyle w:val="Bulletindent1"/>
        <w:rPr>
          <w:szCs w:val="22"/>
          <w:lang w:eastAsia="en-GB"/>
        </w:rPr>
      </w:pPr>
      <w:hyperlink r:id="rId34" w:history="1">
        <w:r w:rsidRPr="00487448">
          <w:rPr>
            <w:rStyle w:val="Hyperlink"/>
            <w:szCs w:val="22"/>
            <w:lang w:eastAsia="en-GB"/>
          </w:rPr>
          <w:t>Electronic BNF</w:t>
        </w:r>
      </w:hyperlink>
    </w:p>
    <w:p w14:paraId="5149BBA6" w14:textId="784E4B83" w:rsidR="00393D73" w:rsidRPr="00A07E44" w:rsidRDefault="00454638" w:rsidP="00393D73">
      <w:pPr>
        <w:pStyle w:val="Bulletindent1"/>
        <w:rPr>
          <w:szCs w:val="22"/>
          <w:lang w:eastAsia="en-GB"/>
        </w:rPr>
      </w:pPr>
      <w:hyperlink r:id="rId35" w:history="1">
        <w:r>
          <w:rPr>
            <w:rStyle w:val="Hyperlink"/>
            <w:szCs w:val="22"/>
            <w:lang w:eastAsia="en-GB"/>
          </w:rPr>
          <w:t>NICE Medicines practice guideline MPG2 - Patient Group Directions - Last Updated 27 March 2017</w:t>
        </w:r>
      </w:hyperlink>
    </w:p>
    <w:p w14:paraId="0C524A8D" w14:textId="15BB4D4F" w:rsidR="00A07E44" w:rsidRPr="00A07E44" w:rsidRDefault="00A07E44" w:rsidP="00393D73">
      <w:pPr>
        <w:pStyle w:val="Bulletindent1"/>
        <w:rPr>
          <w:szCs w:val="22"/>
          <w:lang w:eastAsia="en-GB"/>
        </w:rPr>
      </w:pPr>
      <w:hyperlink r:id="rId36" w:history="1">
        <w:r w:rsidRPr="00C75401">
          <w:rPr>
            <w:rStyle w:val="Hyperlink"/>
            <w:szCs w:val="22"/>
            <w:lang w:eastAsia="en-GB"/>
          </w:rPr>
          <w:t xml:space="preserve">British Association for Sexual Health and HIV (BASHH) </w:t>
        </w:r>
        <w:r w:rsidRPr="00C75401">
          <w:rPr>
            <w:rStyle w:val="Hyperlink"/>
            <w:szCs w:val="22"/>
            <w:lang w:val="en-US" w:eastAsia="en-GB"/>
          </w:rPr>
          <w:t xml:space="preserve"> CEG September 2018 – Update on the treatment of </w:t>
        </w:r>
        <w:r w:rsidRPr="00C75401">
          <w:rPr>
            <w:rStyle w:val="Hyperlink"/>
            <w:i/>
            <w:szCs w:val="22"/>
            <w:lang w:val="en-US" w:eastAsia="en-GB"/>
          </w:rPr>
          <w:t>Chlamydia trachomatis</w:t>
        </w:r>
        <w:r w:rsidRPr="00C75401">
          <w:rPr>
            <w:rStyle w:val="Hyperlink"/>
            <w:szCs w:val="22"/>
            <w:lang w:val="en-US" w:eastAsia="en-GB"/>
          </w:rPr>
          <w:t xml:space="preserve"> (CT) infection</w:t>
        </w:r>
      </w:hyperlink>
    </w:p>
    <w:p w14:paraId="226ECBCB" w14:textId="22A5A72C" w:rsidR="00A07E44" w:rsidRPr="00A07E44" w:rsidRDefault="00A07E44" w:rsidP="00A07E44">
      <w:pPr>
        <w:pStyle w:val="Bulletindent1"/>
      </w:pPr>
      <w:hyperlink r:id="rId37" w:history="1">
        <w:r w:rsidRPr="00022E97">
          <w:rPr>
            <w:rStyle w:val="Hyperlink"/>
          </w:rPr>
          <w:t xml:space="preserve">British Association for Sexual Health and HIV (BASHH) </w:t>
        </w:r>
        <w:r w:rsidRPr="00022E97">
          <w:rPr>
            <w:rStyle w:val="Hyperlink"/>
            <w:lang w:val="en-US"/>
          </w:rPr>
          <w:t xml:space="preserve"> UK National Guideline on the management of non-gonococcal urethritis</w:t>
        </w:r>
      </w:hyperlink>
    </w:p>
    <w:p w14:paraId="09A8B3BF" w14:textId="277E9B66" w:rsidR="00A07E44" w:rsidRDefault="00A07E44" w:rsidP="00A07E44">
      <w:pPr>
        <w:pStyle w:val="Bulletindent1"/>
      </w:pPr>
      <w:hyperlink r:id="rId38" w:history="1">
        <w:r w:rsidRPr="00022E97">
          <w:rPr>
            <w:rStyle w:val="Hyperlink"/>
          </w:rPr>
          <w:t xml:space="preserve">British Association for Sexual Health and HIV (BASHH) national guideline for the management of infection with </w:t>
        </w:r>
        <w:r w:rsidRPr="00022E97">
          <w:rPr>
            <w:rStyle w:val="Hyperlink"/>
            <w:i/>
            <w:iCs/>
          </w:rPr>
          <w:t>Mycoplasma genitalium</w:t>
        </w:r>
      </w:hyperlink>
    </w:p>
    <w:p w14:paraId="09EE35AF" w14:textId="3CEDC87C" w:rsidR="00832CD7" w:rsidRPr="00A07E44" w:rsidRDefault="00832CD7" w:rsidP="00A07E44">
      <w:pPr>
        <w:pStyle w:val="Bulletindent1"/>
      </w:pPr>
      <w:hyperlink r:id="rId39" w:history="1">
        <w:r w:rsidRPr="00832CD7">
          <w:rPr>
            <w:rStyle w:val="Hyperlink"/>
          </w:rPr>
          <w:t>British Association for Sexual Health and HIV (</w:t>
        </w:r>
        <w:r w:rsidRPr="00832CD7">
          <w:rPr>
            <w:rStyle w:val="Hyperlink"/>
            <w:lang w:val="en-US"/>
          </w:rPr>
          <w:t>BASHH) CEG July 2013 – UK national guidelines for the management of lymphogranuloma vernereum</w:t>
        </w:r>
      </w:hyperlink>
    </w:p>
    <w:p w14:paraId="0F4B084C" w14:textId="5FCB716A" w:rsidR="00A07E44" w:rsidRPr="00022E97" w:rsidRDefault="00022E97" w:rsidP="00A07E44">
      <w:pPr>
        <w:pStyle w:val="Bulletindent1"/>
        <w:rPr>
          <w:rStyle w:val="Hyperlink"/>
        </w:rPr>
      </w:pPr>
      <w:r>
        <w:fldChar w:fldCharType="begin"/>
      </w:r>
      <w:r>
        <w:instrText>HYPERLINK "https://www.bashh.org/_userfiles/pages/files/resources/children_and_yp_2021.pdf"</w:instrText>
      </w:r>
      <w:r>
        <w:fldChar w:fldCharType="separate"/>
      </w:r>
      <w:r w:rsidR="00A07E44" w:rsidRPr="00022E97">
        <w:rPr>
          <w:rStyle w:val="Hyperlink"/>
        </w:rPr>
        <w:t xml:space="preserve">British Association for Sexual Health and HIV (BASHH) STI and Related Conditions in Children and Young People guidance </w:t>
      </w:r>
    </w:p>
    <w:p w14:paraId="6EE76EC3" w14:textId="235AA902" w:rsidR="00A07E44" w:rsidRPr="00832CD7" w:rsidRDefault="00022E97" w:rsidP="00E74237">
      <w:pPr>
        <w:pStyle w:val="Bulletindent1"/>
        <w:rPr>
          <w:color w:val="000000"/>
        </w:rPr>
      </w:pPr>
      <w:r>
        <w:fldChar w:fldCharType="end"/>
      </w:r>
      <w:hyperlink r:id="rId40" w:history="1">
        <w:r w:rsidR="00A07E44" w:rsidRPr="00832CD7">
          <w:rPr>
            <w:rStyle w:val="Hyperlink"/>
            <w:lang w:val="en-US"/>
          </w:rPr>
          <w:t>Royal Pharmaceutical Society Safe and Secure Handling of Medicines December 2018</w:t>
        </w:r>
      </w:hyperlink>
    </w:p>
    <w:p w14:paraId="068AB94A" w14:textId="3E03DBAD" w:rsidR="00533F89" w:rsidRPr="00533F89" w:rsidRDefault="007A1448" w:rsidP="00832CD7">
      <w:pPr>
        <w:pStyle w:val="Heading1"/>
        <w:rPr>
          <w:lang w:eastAsia="en-GB"/>
        </w:rPr>
      </w:pPr>
      <w:r w:rsidRPr="00DF77C7">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6AF7EF77"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1"/>
      <w:headerReference w:type="default" r:id="rId42"/>
      <w:footerReference w:type="default" r:id="rId43"/>
      <w:headerReference w:type="first" r:id="rId4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C3F5" w14:textId="77777777" w:rsidR="00352CD9" w:rsidRPr="00DF77C7" w:rsidRDefault="00352CD9">
      <w:r w:rsidRPr="00DF77C7">
        <w:separator/>
      </w:r>
    </w:p>
  </w:endnote>
  <w:endnote w:type="continuationSeparator" w:id="0">
    <w:p w14:paraId="73F0368E" w14:textId="77777777" w:rsidR="00352CD9" w:rsidRPr="00DF77C7" w:rsidRDefault="00352CD9">
      <w:r w:rsidRPr="00DF77C7">
        <w:continuationSeparator/>
      </w:r>
    </w:p>
  </w:endnote>
  <w:endnote w:type="continuationNotice" w:id="1">
    <w:p w14:paraId="354297E9" w14:textId="77777777" w:rsidR="00352CD9" w:rsidRDefault="0035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678D" w14:textId="77777777" w:rsidR="00352CD9" w:rsidRPr="00DF77C7" w:rsidRDefault="00352CD9">
      <w:r w:rsidRPr="00DF77C7">
        <w:separator/>
      </w:r>
    </w:p>
  </w:footnote>
  <w:footnote w:type="continuationSeparator" w:id="0">
    <w:p w14:paraId="367FA6DA" w14:textId="77777777" w:rsidR="00352CD9" w:rsidRPr="00DF77C7" w:rsidRDefault="00352CD9">
      <w:r w:rsidRPr="00DF77C7">
        <w:continuationSeparator/>
      </w:r>
    </w:p>
  </w:footnote>
  <w:footnote w:type="continuationNotice" w:id="1">
    <w:p w14:paraId="1C67E59A" w14:textId="77777777" w:rsidR="00352CD9" w:rsidRDefault="00352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BC02D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BC02D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BC02D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36636"/>
    <w:multiLevelType w:val="hybridMultilevel"/>
    <w:tmpl w:val="F6AE21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0826D5"/>
    <w:multiLevelType w:val="hybridMultilevel"/>
    <w:tmpl w:val="FE2CA476"/>
    <w:lvl w:ilvl="0" w:tplc="08090001">
      <w:start w:val="1"/>
      <w:numFmt w:val="bullet"/>
      <w:lvlText w:val=""/>
      <w:lvlJc w:val="left"/>
      <w:pPr>
        <w:ind w:left="360" w:hanging="360"/>
      </w:pPr>
      <w:rPr>
        <w:rFonts w:ascii="Symbol" w:hAnsi="Symbol" w:hint="default"/>
      </w:rPr>
    </w:lvl>
    <w:lvl w:ilvl="1" w:tplc="BF603952">
      <w:numFmt w:val="bullet"/>
      <w:lvlText w:val="•"/>
      <w:lvlJc w:val="left"/>
      <w:pPr>
        <w:ind w:left="1320" w:hanging="60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B42800"/>
    <w:multiLevelType w:val="hybridMultilevel"/>
    <w:tmpl w:val="E132D4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3649E"/>
    <w:multiLevelType w:val="hybridMultilevel"/>
    <w:tmpl w:val="5E9A8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915AA"/>
    <w:multiLevelType w:val="hybridMultilevel"/>
    <w:tmpl w:val="3F727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0A4A8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B8C42A6"/>
    <w:multiLevelType w:val="hybridMultilevel"/>
    <w:tmpl w:val="2EC0FA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C4F0F"/>
    <w:multiLevelType w:val="hybridMultilevel"/>
    <w:tmpl w:val="9FF2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6" w15:restartNumberingAfterBreak="0">
    <w:nsid w:val="72A6234E"/>
    <w:multiLevelType w:val="hybridMultilevel"/>
    <w:tmpl w:val="03EE1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BE70D9"/>
    <w:multiLevelType w:val="hybridMultilevel"/>
    <w:tmpl w:val="AE76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2"/>
  </w:num>
  <w:num w:numId="2" w16cid:durableId="460340545">
    <w:abstractNumId w:val="9"/>
  </w:num>
  <w:num w:numId="3" w16cid:durableId="862549155">
    <w:abstractNumId w:val="27"/>
  </w:num>
  <w:num w:numId="4" w16cid:durableId="1902785077">
    <w:abstractNumId w:val="28"/>
  </w:num>
  <w:num w:numId="5" w16cid:durableId="1400252542">
    <w:abstractNumId w:val="19"/>
  </w:num>
  <w:num w:numId="6" w16cid:durableId="585113440">
    <w:abstractNumId w:val="8"/>
  </w:num>
  <w:num w:numId="7" w16cid:durableId="1512915418">
    <w:abstractNumId w:val="25"/>
  </w:num>
  <w:num w:numId="8" w16cid:durableId="759831936">
    <w:abstractNumId w:val="31"/>
  </w:num>
  <w:num w:numId="9" w16cid:durableId="1747412429">
    <w:abstractNumId w:val="3"/>
  </w:num>
  <w:num w:numId="10" w16cid:durableId="1297833641">
    <w:abstractNumId w:val="1"/>
  </w:num>
  <w:num w:numId="11" w16cid:durableId="1684160055">
    <w:abstractNumId w:val="30"/>
  </w:num>
  <w:num w:numId="12" w16cid:durableId="1610894224">
    <w:abstractNumId w:val="32"/>
  </w:num>
  <w:num w:numId="13" w16cid:durableId="1880973297">
    <w:abstractNumId w:val="16"/>
  </w:num>
  <w:num w:numId="14" w16cid:durableId="77676389">
    <w:abstractNumId w:val="5"/>
  </w:num>
  <w:num w:numId="15" w16cid:durableId="1496384920">
    <w:abstractNumId w:val="14"/>
  </w:num>
  <w:num w:numId="16" w16cid:durableId="441388192">
    <w:abstractNumId w:val="23"/>
    <w:lvlOverride w:ilvl="0">
      <w:startOverride w:val="1"/>
    </w:lvlOverride>
  </w:num>
  <w:num w:numId="17" w16cid:durableId="73867840">
    <w:abstractNumId w:val="6"/>
    <w:lvlOverride w:ilvl="0">
      <w:startOverride w:val="1"/>
    </w:lvlOverride>
  </w:num>
  <w:num w:numId="18" w16cid:durableId="373623662">
    <w:abstractNumId w:val="0"/>
  </w:num>
  <w:num w:numId="19" w16cid:durableId="1055201983">
    <w:abstractNumId w:val="18"/>
  </w:num>
  <w:num w:numId="20" w16cid:durableId="207575239">
    <w:abstractNumId w:val="24"/>
  </w:num>
  <w:num w:numId="21" w16cid:durableId="936132325">
    <w:abstractNumId w:val="10"/>
  </w:num>
  <w:num w:numId="22" w16cid:durableId="803158628">
    <w:abstractNumId w:val="13"/>
  </w:num>
  <w:num w:numId="23" w16cid:durableId="932860">
    <w:abstractNumId w:val="2"/>
  </w:num>
  <w:num w:numId="24" w16cid:durableId="1479684388">
    <w:abstractNumId w:val="26"/>
  </w:num>
  <w:num w:numId="25" w16cid:durableId="1227032495">
    <w:abstractNumId w:val="11"/>
  </w:num>
  <w:num w:numId="26" w16cid:durableId="2041739214">
    <w:abstractNumId w:val="17"/>
  </w:num>
  <w:num w:numId="27" w16cid:durableId="1614052336">
    <w:abstractNumId w:val="12"/>
  </w:num>
  <w:num w:numId="28" w16cid:durableId="1596134487">
    <w:abstractNumId w:val="4"/>
  </w:num>
  <w:num w:numId="29" w16cid:durableId="75440843">
    <w:abstractNumId w:val="29"/>
  </w:num>
  <w:num w:numId="30" w16cid:durableId="605356053">
    <w:abstractNumId w:val="15"/>
  </w:num>
  <w:num w:numId="31" w16cid:durableId="35495973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2E97"/>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3B"/>
    <w:rsid w:val="000F2DC4"/>
    <w:rsid w:val="000F39F6"/>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679"/>
    <w:rsid w:val="00157031"/>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67BB"/>
    <w:rsid w:val="001774D2"/>
    <w:rsid w:val="00184E40"/>
    <w:rsid w:val="0018568F"/>
    <w:rsid w:val="00185D9C"/>
    <w:rsid w:val="00187951"/>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1E"/>
    <w:rsid w:val="001C24ED"/>
    <w:rsid w:val="001C6437"/>
    <w:rsid w:val="001D4AB6"/>
    <w:rsid w:val="001D6784"/>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670F"/>
    <w:rsid w:val="001F7697"/>
    <w:rsid w:val="0020051D"/>
    <w:rsid w:val="00202047"/>
    <w:rsid w:val="00202712"/>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15CA"/>
    <w:rsid w:val="002A26DA"/>
    <w:rsid w:val="002A6CB8"/>
    <w:rsid w:val="002A7D61"/>
    <w:rsid w:val="002B1479"/>
    <w:rsid w:val="002B3A69"/>
    <w:rsid w:val="002B4181"/>
    <w:rsid w:val="002B5BAC"/>
    <w:rsid w:val="002B5E5D"/>
    <w:rsid w:val="002B62CC"/>
    <w:rsid w:val="002B6400"/>
    <w:rsid w:val="002B6CED"/>
    <w:rsid w:val="002C19DC"/>
    <w:rsid w:val="002C1F27"/>
    <w:rsid w:val="002C24CE"/>
    <w:rsid w:val="002C5736"/>
    <w:rsid w:val="002D4185"/>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6D6"/>
    <w:rsid w:val="0033580B"/>
    <w:rsid w:val="00335913"/>
    <w:rsid w:val="00337E0A"/>
    <w:rsid w:val="00341D83"/>
    <w:rsid w:val="00351BBC"/>
    <w:rsid w:val="00352CD9"/>
    <w:rsid w:val="00355735"/>
    <w:rsid w:val="00356794"/>
    <w:rsid w:val="00361290"/>
    <w:rsid w:val="0036186E"/>
    <w:rsid w:val="003620A9"/>
    <w:rsid w:val="00362EFF"/>
    <w:rsid w:val="0036629F"/>
    <w:rsid w:val="003712C2"/>
    <w:rsid w:val="00373442"/>
    <w:rsid w:val="0037637C"/>
    <w:rsid w:val="00381766"/>
    <w:rsid w:val="00381FB5"/>
    <w:rsid w:val="00382270"/>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2B7"/>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33E6"/>
    <w:rsid w:val="00404955"/>
    <w:rsid w:val="004058C1"/>
    <w:rsid w:val="004075B1"/>
    <w:rsid w:val="00417611"/>
    <w:rsid w:val="00421452"/>
    <w:rsid w:val="00421D74"/>
    <w:rsid w:val="00424C2D"/>
    <w:rsid w:val="00432289"/>
    <w:rsid w:val="00433897"/>
    <w:rsid w:val="004340EF"/>
    <w:rsid w:val="00434610"/>
    <w:rsid w:val="00440E43"/>
    <w:rsid w:val="0044281C"/>
    <w:rsid w:val="00447D9C"/>
    <w:rsid w:val="004510BE"/>
    <w:rsid w:val="0045127E"/>
    <w:rsid w:val="00453867"/>
    <w:rsid w:val="00453B8C"/>
    <w:rsid w:val="00454638"/>
    <w:rsid w:val="004554AB"/>
    <w:rsid w:val="004564FB"/>
    <w:rsid w:val="0045723E"/>
    <w:rsid w:val="00463FF5"/>
    <w:rsid w:val="00467940"/>
    <w:rsid w:val="00473E4D"/>
    <w:rsid w:val="00476876"/>
    <w:rsid w:val="0048006E"/>
    <w:rsid w:val="00480581"/>
    <w:rsid w:val="00480E06"/>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078AC"/>
    <w:rsid w:val="00510425"/>
    <w:rsid w:val="00510803"/>
    <w:rsid w:val="00520D02"/>
    <w:rsid w:val="0052670D"/>
    <w:rsid w:val="00533B71"/>
    <w:rsid w:val="00533F89"/>
    <w:rsid w:val="005347B6"/>
    <w:rsid w:val="00537D8A"/>
    <w:rsid w:val="00537E57"/>
    <w:rsid w:val="00544444"/>
    <w:rsid w:val="005446AE"/>
    <w:rsid w:val="00544E14"/>
    <w:rsid w:val="00547D7B"/>
    <w:rsid w:val="00552D61"/>
    <w:rsid w:val="00557D6E"/>
    <w:rsid w:val="00557DB1"/>
    <w:rsid w:val="00561CE9"/>
    <w:rsid w:val="0056237E"/>
    <w:rsid w:val="005662A5"/>
    <w:rsid w:val="0056643E"/>
    <w:rsid w:val="005666A9"/>
    <w:rsid w:val="00567220"/>
    <w:rsid w:val="00567847"/>
    <w:rsid w:val="00570E3D"/>
    <w:rsid w:val="00572A06"/>
    <w:rsid w:val="00575A04"/>
    <w:rsid w:val="00576318"/>
    <w:rsid w:val="005806DB"/>
    <w:rsid w:val="00580EBB"/>
    <w:rsid w:val="00581C9E"/>
    <w:rsid w:val="00583011"/>
    <w:rsid w:val="005903AC"/>
    <w:rsid w:val="0059165A"/>
    <w:rsid w:val="00592D87"/>
    <w:rsid w:val="00593089"/>
    <w:rsid w:val="005949EA"/>
    <w:rsid w:val="0059738E"/>
    <w:rsid w:val="00597EB6"/>
    <w:rsid w:val="005A0BCC"/>
    <w:rsid w:val="005A11C4"/>
    <w:rsid w:val="005A16B8"/>
    <w:rsid w:val="005A2C55"/>
    <w:rsid w:val="005A3C13"/>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6A8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3AB2"/>
    <w:rsid w:val="0071562D"/>
    <w:rsid w:val="00716DE0"/>
    <w:rsid w:val="00724859"/>
    <w:rsid w:val="00725927"/>
    <w:rsid w:val="0073097E"/>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0438"/>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3D7E"/>
    <w:rsid w:val="00825B58"/>
    <w:rsid w:val="00826120"/>
    <w:rsid w:val="00826C73"/>
    <w:rsid w:val="0083012C"/>
    <w:rsid w:val="0083041B"/>
    <w:rsid w:val="008305D7"/>
    <w:rsid w:val="008313BF"/>
    <w:rsid w:val="00832CD7"/>
    <w:rsid w:val="008333BF"/>
    <w:rsid w:val="0083364B"/>
    <w:rsid w:val="008339A7"/>
    <w:rsid w:val="00834168"/>
    <w:rsid w:val="00834F0F"/>
    <w:rsid w:val="0083519A"/>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3BEE"/>
    <w:rsid w:val="008A5671"/>
    <w:rsid w:val="008A6198"/>
    <w:rsid w:val="008A78EE"/>
    <w:rsid w:val="008B2A57"/>
    <w:rsid w:val="008B30AB"/>
    <w:rsid w:val="008B3958"/>
    <w:rsid w:val="008B4145"/>
    <w:rsid w:val="008C121C"/>
    <w:rsid w:val="008C2F75"/>
    <w:rsid w:val="008C3DAE"/>
    <w:rsid w:val="008C6AC3"/>
    <w:rsid w:val="008D186B"/>
    <w:rsid w:val="008D3327"/>
    <w:rsid w:val="008D4441"/>
    <w:rsid w:val="008D4727"/>
    <w:rsid w:val="008D525C"/>
    <w:rsid w:val="008D52EE"/>
    <w:rsid w:val="008D5E28"/>
    <w:rsid w:val="008D6D14"/>
    <w:rsid w:val="008D75CF"/>
    <w:rsid w:val="008D7606"/>
    <w:rsid w:val="008E42BC"/>
    <w:rsid w:val="008E511A"/>
    <w:rsid w:val="008E64FB"/>
    <w:rsid w:val="008F09E1"/>
    <w:rsid w:val="008F30A1"/>
    <w:rsid w:val="008F3711"/>
    <w:rsid w:val="008F6FF7"/>
    <w:rsid w:val="0090096D"/>
    <w:rsid w:val="0090103B"/>
    <w:rsid w:val="00903548"/>
    <w:rsid w:val="009038A4"/>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B0D"/>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4FCB"/>
    <w:rsid w:val="00976054"/>
    <w:rsid w:val="00976E7F"/>
    <w:rsid w:val="00980479"/>
    <w:rsid w:val="00980CE6"/>
    <w:rsid w:val="009811EA"/>
    <w:rsid w:val="009826DD"/>
    <w:rsid w:val="00984482"/>
    <w:rsid w:val="009853AD"/>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C7CC2"/>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07E44"/>
    <w:rsid w:val="00A125D4"/>
    <w:rsid w:val="00A1309B"/>
    <w:rsid w:val="00A1358E"/>
    <w:rsid w:val="00A1461E"/>
    <w:rsid w:val="00A14981"/>
    <w:rsid w:val="00A154A4"/>
    <w:rsid w:val="00A16A76"/>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F08"/>
    <w:rsid w:val="00A9433C"/>
    <w:rsid w:val="00A95DEB"/>
    <w:rsid w:val="00AA0666"/>
    <w:rsid w:val="00AA0EFC"/>
    <w:rsid w:val="00AA150C"/>
    <w:rsid w:val="00AA16A5"/>
    <w:rsid w:val="00AA18EC"/>
    <w:rsid w:val="00AA200A"/>
    <w:rsid w:val="00AA2DC6"/>
    <w:rsid w:val="00AA4332"/>
    <w:rsid w:val="00AA5A30"/>
    <w:rsid w:val="00AA7592"/>
    <w:rsid w:val="00AB2F4B"/>
    <w:rsid w:val="00AB40E4"/>
    <w:rsid w:val="00AB5D04"/>
    <w:rsid w:val="00AB7333"/>
    <w:rsid w:val="00AC0BE9"/>
    <w:rsid w:val="00AC2167"/>
    <w:rsid w:val="00AC54FE"/>
    <w:rsid w:val="00AC58F7"/>
    <w:rsid w:val="00AC7BB4"/>
    <w:rsid w:val="00AD19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35DA"/>
    <w:rsid w:val="00B04310"/>
    <w:rsid w:val="00B065AA"/>
    <w:rsid w:val="00B11B08"/>
    <w:rsid w:val="00B13B67"/>
    <w:rsid w:val="00B154E7"/>
    <w:rsid w:val="00B1612C"/>
    <w:rsid w:val="00B1633A"/>
    <w:rsid w:val="00B203D2"/>
    <w:rsid w:val="00B21912"/>
    <w:rsid w:val="00B27283"/>
    <w:rsid w:val="00B279AE"/>
    <w:rsid w:val="00B32372"/>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4B8F"/>
    <w:rsid w:val="00B75FB4"/>
    <w:rsid w:val="00B76F86"/>
    <w:rsid w:val="00B80DF7"/>
    <w:rsid w:val="00B810C3"/>
    <w:rsid w:val="00B81529"/>
    <w:rsid w:val="00B843EB"/>
    <w:rsid w:val="00B87905"/>
    <w:rsid w:val="00B912CD"/>
    <w:rsid w:val="00B922C4"/>
    <w:rsid w:val="00B92435"/>
    <w:rsid w:val="00BA19CD"/>
    <w:rsid w:val="00BA4095"/>
    <w:rsid w:val="00BA4672"/>
    <w:rsid w:val="00BA57B1"/>
    <w:rsid w:val="00BA6AF1"/>
    <w:rsid w:val="00BB2599"/>
    <w:rsid w:val="00BB2C75"/>
    <w:rsid w:val="00BB3155"/>
    <w:rsid w:val="00BC02D4"/>
    <w:rsid w:val="00BC2FFD"/>
    <w:rsid w:val="00BC445E"/>
    <w:rsid w:val="00BD1D91"/>
    <w:rsid w:val="00BD28D4"/>
    <w:rsid w:val="00BE0E22"/>
    <w:rsid w:val="00BE6C68"/>
    <w:rsid w:val="00BE7661"/>
    <w:rsid w:val="00BE7810"/>
    <w:rsid w:val="00BF09D0"/>
    <w:rsid w:val="00BF1BB5"/>
    <w:rsid w:val="00BF711A"/>
    <w:rsid w:val="00C005D8"/>
    <w:rsid w:val="00C02400"/>
    <w:rsid w:val="00C06E05"/>
    <w:rsid w:val="00C07D58"/>
    <w:rsid w:val="00C10DAE"/>
    <w:rsid w:val="00C1149F"/>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094B"/>
    <w:rsid w:val="00C64E9F"/>
    <w:rsid w:val="00C65187"/>
    <w:rsid w:val="00C6768D"/>
    <w:rsid w:val="00C70B21"/>
    <w:rsid w:val="00C73DAF"/>
    <w:rsid w:val="00C75401"/>
    <w:rsid w:val="00C76555"/>
    <w:rsid w:val="00C82252"/>
    <w:rsid w:val="00C84817"/>
    <w:rsid w:val="00C860E9"/>
    <w:rsid w:val="00C87548"/>
    <w:rsid w:val="00C91BD8"/>
    <w:rsid w:val="00C91C8B"/>
    <w:rsid w:val="00C9295A"/>
    <w:rsid w:val="00C93428"/>
    <w:rsid w:val="00C93CEB"/>
    <w:rsid w:val="00C94C8A"/>
    <w:rsid w:val="00C95CF9"/>
    <w:rsid w:val="00C95EE9"/>
    <w:rsid w:val="00C97928"/>
    <w:rsid w:val="00CA2E81"/>
    <w:rsid w:val="00CA3998"/>
    <w:rsid w:val="00CA5EA5"/>
    <w:rsid w:val="00CA77CF"/>
    <w:rsid w:val="00CA7C4E"/>
    <w:rsid w:val="00CB13D1"/>
    <w:rsid w:val="00CB3552"/>
    <w:rsid w:val="00CB44C0"/>
    <w:rsid w:val="00CB4D8A"/>
    <w:rsid w:val="00CC395D"/>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B30"/>
    <w:rsid w:val="00D01CA9"/>
    <w:rsid w:val="00D07428"/>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0B2D"/>
    <w:rsid w:val="00D843E4"/>
    <w:rsid w:val="00D87AC1"/>
    <w:rsid w:val="00D975BB"/>
    <w:rsid w:val="00DA093E"/>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77C7"/>
    <w:rsid w:val="00E005E8"/>
    <w:rsid w:val="00E0109F"/>
    <w:rsid w:val="00E04B4E"/>
    <w:rsid w:val="00E1069A"/>
    <w:rsid w:val="00E11FE0"/>
    <w:rsid w:val="00E139D7"/>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97A6D"/>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00F8"/>
    <w:rsid w:val="00F02A57"/>
    <w:rsid w:val="00F074B1"/>
    <w:rsid w:val="00F141C0"/>
    <w:rsid w:val="00F14FA7"/>
    <w:rsid w:val="00F224C7"/>
    <w:rsid w:val="00F2404C"/>
    <w:rsid w:val="00F265BA"/>
    <w:rsid w:val="00F278B8"/>
    <w:rsid w:val="00F32D01"/>
    <w:rsid w:val="00F34643"/>
    <w:rsid w:val="00F34644"/>
    <w:rsid w:val="00F34FB1"/>
    <w:rsid w:val="00F44107"/>
    <w:rsid w:val="00F44969"/>
    <w:rsid w:val="00F44C14"/>
    <w:rsid w:val="00F46A0E"/>
    <w:rsid w:val="00F53868"/>
    <w:rsid w:val="00F57606"/>
    <w:rsid w:val="00F605E6"/>
    <w:rsid w:val="00F62C86"/>
    <w:rsid w:val="00F6305E"/>
    <w:rsid w:val="00F71C6F"/>
    <w:rsid w:val="00F71E03"/>
    <w:rsid w:val="00F7236D"/>
    <w:rsid w:val="00F725A8"/>
    <w:rsid w:val="00F73016"/>
    <w:rsid w:val="00F75EB2"/>
    <w:rsid w:val="00F77C45"/>
    <w:rsid w:val="00F823BB"/>
    <w:rsid w:val="00F8302E"/>
    <w:rsid w:val="00F83E3E"/>
    <w:rsid w:val="00F85CC0"/>
    <w:rsid w:val="00F930DE"/>
    <w:rsid w:val="00F978F4"/>
    <w:rsid w:val="00FA08E6"/>
    <w:rsid w:val="00FA306E"/>
    <w:rsid w:val="00FA32E4"/>
    <w:rsid w:val="00FA4F98"/>
    <w:rsid w:val="00FA6AA0"/>
    <w:rsid w:val="00FB3F72"/>
    <w:rsid w:val="00FB59B8"/>
    <w:rsid w:val="00FC0A36"/>
    <w:rsid w:val="00FC30A2"/>
    <w:rsid w:val="00FC4AA5"/>
    <w:rsid w:val="00FD3A8D"/>
    <w:rsid w:val="00FD6A5F"/>
    <w:rsid w:val="00FD794D"/>
    <w:rsid w:val="00FE07B4"/>
    <w:rsid w:val="00FE44F2"/>
    <w:rsid w:val="00FE7EA2"/>
    <w:rsid w:val="00FF0313"/>
    <w:rsid w:val="00FF0842"/>
    <w:rsid w:val="00FF75E7"/>
    <w:rsid w:val="01AD093C"/>
    <w:rsid w:val="1642D54A"/>
    <w:rsid w:val="2D79AA45"/>
    <w:rsid w:val="302C67D8"/>
    <w:rsid w:val="4CE7FA5B"/>
    <w:rsid w:val="5586DB0D"/>
    <w:rsid w:val="5DA7B21E"/>
    <w:rsid w:val="5EA8D733"/>
    <w:rsid w:val="70CA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4"/>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BC02D4"/>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C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BC02D4"/>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C02D4"/>
    <w:pPr>
      <w:spacing w:before="200"/>
      <w:outlineLvl w:val="3"/>
    </w:pPr>
    <w:rPr>
      <w:rFonts w:ascii="Cambria" w:hAnsi="Cambria"/>
      <w:b/>
      <w:bCs/>
      <w:i/>
      <w:iCs/>
    </w:rPr>
  </w:style>
  <w:style w:type="paragraph" w:styleId="Heading5">
    <w:name w:val="heading 5"/>
    <w:basedOn w:val="Normal"/>
    <w:next w:val="Normal"/>
    <w:link w:val="Heading5Char"/>
    <w:uiPriority w:val="9"/>
    <w:qFormat/>
    <w:rsid w:val="00BC02D4"/>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C02D4"/>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C02D4"/>
    <w:pPr>
      <w:outlineLvl w:val="6"/>
    </w:pPr>
    <w:rPr>
      <w:rFonts w:ascii="Cambria" w:hAnsi="Cambria"/>
      <w:i/>
      <w:iCs/>
    </w:rPr>
  </w:style>
  <w:style w:type="paragraph" w:styleId="Heading8">
    <w:name w:val="heading 8"/>
    <w:basedOn w:val="Normal"/>
    <w:next w:val="Normal"/>
    <w:link w:val="Heading8Char"/>
    <w:uiPriority w:val="9"/>
    <w:qFormat/>
    <w:rsid w:val="00BC02D4"/>
    <w:pPr>
      <w:outlineLvl w:val="7"/>
    </w:pPr>
    <w:rPr>
      <w:rFonts w:ascii="Cambria" w:hAnsi="Cambria"/>
    </w:rPr>
  </w:style>
  <w:style w:type="paragraph" w:styleId="Heading9">
    <w:name w:val="heading 9"/>
    <w:basedOn w:val="Normal"/>
    <w:next w:val="Normal"/>
    <w:link w:val="Heading9Char"/>
    <w:uiPriority w:val="9"/>
    <w:qFormat/>
    <w:rsid w:val="00BC02D4"/>
    <w:pPr>
      <w:outlineLvl w:val="8"/>
    </w:pPr>
    <w:rPr>
      <w:rFonts w:ascii="Cambria" w:hAnsi="Cambria"/>
      <w:i/>
      <w:iCs/>
      <w:spacing w:val="5"/>
    </w:rPr>
  </w:style>
  <w:style w:type="character" w:default="1" w:styleId="DefaultParagraphFont">
    <w:name w:val="Default Paragraph Font"/>
    <w:uiPriority w:val="1"/>
    <w:semiHidden/>
    <w:unhideWhenUsed/>
    <w:rsid w:val="00BC02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02D4"/>
  </w:style>
  <w:style w:type="paragraph" w:customStyle="1" w:styleId="NICEnormal">
    <w:name w:val="NICE normal"/>
    <w:rsid w:val="00BC02D4"/>
    <w:pPr>
      <w:spacing w:after="240" w:line="360" w:lineRule="auto"/>
    </w:pPr>
    <w:rPr>
      <w:rFonts w:ascii="Arial" w:eastAsia="Times New Roman" w:hAnsi="Arial"/>
      <w:lang w:val="en-US" w:eastAsia="en-US"/>
    </w:rPr>
  </w:style>
  <w:style w:type="character" w:customStyle="1" w:styleId="NICEnormalChar">
    <w:name w:val="NICE normal Char"/>
    <w:rsid w:val="00BC02D4"/>
    <w:rPr>
      <w:rFonts w:ascii="Arial" w:eastAsia="Times New Roman" w:hAnsi="Arial"/>
      <w:sz w:val="24"/>
      <w:szCs w:val="24"/>
      <w:lang w:val="en-GB" w:eastAsia="en-US" w:bidi="ar-SA"/>
    </w:rPr>
  </w:style>
  <w:style w:type="character" w:customStyle="1" w:styleId="Heading1Char">
    <w:name w:val="Heading 1 Char"/>
    <w:link w:val="Heading1"/>
    <w:uiPriority w:val="1"/>
    <w:rsid w:val="00BC02D4"/>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BC02D4"/>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BC02D4"/>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BC02D4"/>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BC02D4"/>
    <w:pPr>
      <w:ind w:left="720"/>
      <w:contextualSpacing/>
    </w:pPr>
    <w:rPr>
      <w:rFonts w:eastAsia="Calibri"/>
    </w:rPr>
  </w:style>
  <w:style w:type="character" w:styleId="Hyperlink">
    <w:name w:val="Hyperlink"/>
    <w:uiPriority w:val="99"/>
    <w:rsid w:val="00BC02D4"/>
    <w:rPr>
      <w:color w:val="0000FF"/>
      <w:u w:val="single"/>
    </w:rPr>
  </w:style>
  <w:style w:type="paragraph" w:styleId="Header">
    <w:name w:val="header"/>
    <w:basedOn w:val="Normal"/>
    <w:link w:val="HeaderChar"/>
    <w:uiPriority w:val="99"/>
    <w:rsid w:val="00BC02D4"/>
    <w:pPr>
      <w:tabs>
        <w:tab w:val="center" w:pos="4513"/>
        <w:tab w:val="right" w:pos="9026"/>
      </w:tabs>
    </w:pPr>
    <w:rPr>
      <w:rFonts w:ascii="Arial" w:hAnsi="Arial"/>
    </w:rPr>
  </w:style>
  <w:style w:type="paragraph" w:customStyle="1" w:styleId="NICEnormaldoublespacing">
    <w:name w:val="NICE normal double spacing"/>
    <w:basedOn w:val="NICEnormal"/>
    <w:rsid w:val="00BC02D4"/>
  </w:style>
  <w:style w:type="character" w:customStyle="1" w:styleId="HeaderChar">
    <w:name w:val="Header Char"/>
    <w:link w:val="Header"/>
    <w:uiPriority w:val="99"/>
    <w:rsid w:val="00BC02D4"/>
    <w:rPr>
      <w:rFonts w:ascii="Arial" w:eastAsiaTheme="minorHAnsi" w:hAnsi="Arial"/>
      <w:kern w:val="2"/>
      <w:lang w:eastAsia="en-US"/>
      <w14:ligatures w14:val="standardContextual"/>
    </w:rPr>
  </w:style>
  <w:style w:type="paragraph" w:styleId="Footer">
    <w:name w:val="footer"/>
    <w:basedOn w:val="Normal"/>
    <w:link w:val="FooterChar"/>
    <w:uiPriority w:val="99"/>
    <w:rsid w:val="00BC02D4"/>
    <w:pPr>
      <w:tabs>
        <w:tab w:val="center" w:pos="4513"/>
        <w:tab w:val="right" w:pos="9026"/>
      </w:tabs>
    </w:pPr>
    <w:rPr>
      <w:rFonts w:ascii="Arial" w:hAnsi="Arial"/>
    </w:rPr>
  </w:style>
  <w:style w:type="character" w:customStyle="1" w:styleId="FooterChar">
    <w:name w:val="Footer Char"/>
    <w:link w:val="Footer"/>
    <w:uiPriority w:val="99"/>
    <w:rsid w:val="00BC02D4"/>
    <w:rPr>
      <w:rFonts w:ascii="Arial" w:eastAsiaTheme="minorHAnsi" w:hAnsi="Arial"/>
      <w:kern w:val="2"/>
      <w:lang w:eastAsia="en-US"/>
      <w14:ligatures w14:val="standardContextual"/>
    </w:rPr>
  </w:style>
  <w:style w:type="paragraph" w:customStyle="1" w:styleId="Style1">
    <w:name w:val="Style1"/>
    <w:basedOn w:val="Normal"/>
    <w:autoRedefine/>
    <w:rsid w:val="00BC02D4"/>
    <w:pPr>
      <w:keepNext/>
      <w:spacing w:line="360" w:lineRule="auto"/>
      <w:ind w:left="567"/>
    </w:pPr>
    <w:rPr>
      <w:rFonts w:ascii="Arial" w:hAnsi="Arial" w:cs="Arial"/>
      <w:szCs w:val="16"/>
    </w:rPr>
  </w:style>
  <w:style w:type="paragraph" w:customStyle="1" w:styleId="Unnumberedboldheading">
    <w:name w:val="Unnumbered bold heading"/>
    <w:next w:val="NICEnormal"/>
    <w:rsid w:val="00BC02D4"/>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BC02D4"/>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BC02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2D4"/>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BC02D4"/>
  </w:style>
  <w:style w:type="paragraph" w:customStyle="1" w:styleId="Introtext">
    <w:name w:val="Intro text"/>
    <w:basedOn w:val="PGDNormal"/>
    <w:rsid w:val="00BC02D4"/>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BC02D4"/>
    <w:pPr>
      <w:tabs>
        <w:tab w:val="num" w:pos="360"/>
      </w:tabs>
    </w:pPr>
    <w:rPr>
      <w:szCs w:val="24"/>
    </w:rPr>
  </w:style>
  <w:style w:type="character" w:customStyle="1" w:styleId="Numberedheading1CharChar">
    <w:name w:val="Numbered heading 1 Char Char"/>
    <w:link w:val="Numberedheading1"/>
    <w:rsid w:val="00BC02D4"/>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BC02D4"/>
    <w:pPr>
      <w:tabs>
        <w:tab w:val="num" w:pos="360"/>
      </w:tabs>
    </w:pPr>
  </w:style>
  <w:style w:type="character" w:customStyle="1" w:styleId="Numberedheading2Char">
    <w:name w:val="Numbered heading 2 Char"/>
    <w:basedOn w:val="Heading2Char"/>
    <w:link w:val="Numberedheading2"/>
    <w:rsid w:val="00BC02D4"/>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BC02D4"/>
    <w:pPr>
      <w:tabs>
        <w:tab w:val="num" w:pos="360"/>
      </w:tabs>
    </w:pPr>
    <w:rPr>
      <w:sz w:val="26"/>
    </w:rPr>
  </w:style>
  <w:style w:type="paragraph" w:customStyle="1" w:styleId="Numberedlevel4text">
    <w:name w:val="Numbered level 4 text"/>
    <w:basedOn w:val="NICEnormal"/>
    <w:next w:val="NICEnormal"/>
    <w:rsid w:val="00BC02D4"/>
    <w:pPr>
      <w:tabs>
        <w:tab w:val="num" w:pos="360"/>
      </w:tabs>
    </w:pPr>
  </w:style>
  <w:style w:type="paragraph" w:customStyle="1" w:styleId="Numberedlevel3text">
    <w:name w:val="Numbered level 3 text"/>
    <w:basedOn w:val="Numberedheading3"/>
    <w:rsid w:val="00BC02D4"/>
    <w:pPr>
      <w:spacing w:after="240"/>
    </w:pPr>
    <w:rPr>
      <w:b w:val="0"/>
      <w:sz w:val="24"/>
    </w:rPr>
  </w:style>
  <w:style w:type="paragraph" w:customStyle="1" w:styleId="Bulletindent2">
    <w:name w:val="Bullet indent 2"/>
    <w:basedOn w:val="NICEnormal"/>
    <w:rsid w:val="00BC02D4"/>
    <w:pPr>
      <w:tabs>
        <w:tab w:val="num" w:pos="360"/>
      </w:tabs>
      <w:spacing w:after="0"/>
      <w:ind w:left="1702" w:hanging="284"/>
    </w:pPr>
  </w:style>
  <w:style w:type="paragraph" w:customStyle="1" w:styleId="Title16ptleft">
    <w:name w:val="Title 16 pt left"/>
    <w:basedOn w:val="Title16pt"/>
    <w:rsid w:val="00BC02D4"/>
  </w:style>
  <w:style w:type="paragraph" w:customStyle="1" w:styleId="Bulletleft1">
    <w:name w:val="Bullet left 1"/>
    <w:basedOn w:val="NICEnormal"/>
    <w:rsid w:val="00BC02D4"/>
    <w:pPr>
      <w:tabs>
        <w:tab w:val="num" w:pos="360"/>
      </w:tabs>
      <w:spacing w:after="0"/>
    </w:pPr>
  </w:style>
  <w:style w:type="character" w:customStyle="1" w:styleId="Bulletleft1Char">
    <w:name w:val="Bullet left 1 Char"/>
    <w:basedOn w:val="NICEnormalChar"/>
    <w:rsid w:val="00BC02D4"/>
    <w:rPr>
      <w:rFonts w:ascii="Arial" w:eastAsia="Times New Roman" w:hAnsi="Arial"/>
      <w:sz w:val="24"/>
      <w:szCs w:val="24"/>
      <w:lang w:val="en-GB" w:eastAsia="en-US" w:bidi="ar-SA"/>
    </w:rPr>
  </w:style>
  <w:style w:type="paragraph" w:customStyle="1" w:styleId="Bulletleft2">
    <w:name w:val="Bullet left 2"/>
    <w:basedOn w:val="NICEnormal"/>
    <w:rsid w:val="00BC02D4"/>
    <w:pPr>
      <w:tabs>
        <w:tab w:val="num" w:pos="360"/>
      </w:tabs>
      <w:spacing w:after="0"/>
      <w:ind w:left="568" w:hanging="284"/>
    </w:pPr>
  </w:style>
  <w:style w:type="paragraph" w:customStyle="1" w:styleId="Bulletleft3">
    <w:name w:val="Bullet left 3"/>
    <w:basedOn w:val="NICEnormal"/>
    <w:rsid w:val="00BC02D4"/>
    <w:pPr>
      <w:tabs>
        <w:tab w:val="num" w:pos="360"/>
      </w:tabs>
      <w:spacing w:after="0"/>
    </w:pPr>
  </w:style>
  <w:style w:type="paragraph" w:customStyle="1" w:styleId="Bulletindent1">
    <w:name w:val="Bullet indent 1"/>
    <w:basedOn w:val="NICEnormal"/>
    <w:rsid w:val="00BC02D4"/>
    <w:pPr>
      <w:numPr>
        <w:numId w:val="15"/>
      </w:numPr>
      <w:spacing w:before="120" w:after="120" w:line="240" w:lineRule="auto"/>
    </w:pPr>
    <w:rPr>
      <w:sz w:val="22"/>
      <w:lang w:val="en-GB"/>
    </w:rPr>
  </w:style>
  <w:style w:type="paragraph" w:customStyle="1" w:styleId="Bulletindent3">
    <w:name w:val="Bullet indent 3"/>
    <w:basedOn w:val="NICEnormal"/>
    <w:rsid w:val="00BC02D4"/>
    <w:pPr>
      <w:tabs>
        <w:tab w:val="num" w:pos="360"/>
      </w:tabs>
      <w:spacing w:after="0"/>
    </w:pPr>
  </w:style>
  <w:style w:type="paragraph" w:customStyle="1" w:styleId="Numberedlevel2text">
    <w:name w:val="Numbered level 2 text"/>
    <w:basedOn w:val="Numberedheading2"/>
    <w:rsid w:val="00BC02D4"/>
    <w:pPr>
      <w:spacing w:after="240"/>
    </w:pPr>
    <w:rPr>
      <w:b/>
      <w:i/>
    </w:rPr>
  </w:style>
  <w:style w:type="paragraph" w:customStyle="1" w:styleId="Bulletleft1last">
    <w:name w:val="Bullet left 1 last"/>
    <w:basedOn w:val="NICEnormal"/>
    <w:rsid w:val="00BC02D4"/>
    <w:pPr>
      <w:tabs>
        <w:tab w:val="num" w:pos="360"/>
      </w:tabs>
    </w:pPr>
    <w:rPr>
      <w:rFonts w:cs="Arial"/>
    </w:rPr>
  </w:style>
  <w:style w:type="character" w:customStyle="1" w:styleId="Bulletleft1lastChar">
    <w:name w:val="Bullet left 1 last Char"/>
    <w:rsid w:val="00BC02D4"/>
    <w:rPr>
      <w:rFonts w:ascii="Arial" w:eastAsia="Times New Roman" w:hAnsi="Arial" w:cs="Arial"/>
      <w:sz w:val="24"/>
      <w:szCs w:val="24"/>
      <w:lang w:eastAsia="en-US"/>
    </w:rPr>
  </w:style>
  <w:style w:type="paragraph" w:customStyle="1" w:styleId="boxedtext">
    <w:name w:val="boxed text"/>
    <w:basedOn w:val="NICEnormal"/>
    <w:rsid w:val="00BC02D4"/>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BC02D4"/>
    <w:rPr>
      <w:rFonts w:ascii="Arial" w:hAnsi="Arial"/>
      <w:sz w:val="24"/>
    </w:rPr>
  </w:style>
  <w:style w:type="paragraph" w:customStyle="1" w:styleId="Bulletindent1last">
    <w:name w:val="Bullet indent 1 last"/>
    <w:basedOn w:val="NICEnormal"/>
    <w:next w:val="NICEnormal"/>
    <w:rsid w:val="00BC02D4"/>
    <w:pPr>
      <w:numPr>
        <w:numId w:val="11"/>
      </w:numPr>
    </w:pPr>
    <w:rPr>
      <w:sz w:val="22"/>
      <w:lang w:val="en-GB"/>
    </w:rPr>
  </w:style>
  <w:style w:type="paragraph" w:customStyle="1" w:styleId="NICEnormalindented">
    <w:name w:val="NICE normal indented"/>
    <w:basedOn w:val="NICEnormal"/>
    <w:rsid w:val="00BC02D4"/>
    <w:pPr>
      <w:tabs>
        <w:tab w:val="left" w:pos="1134"/>
      </w:tabs>
      <w:ind w:left="1134"/>
    </w:pPr>
  </w:style>
  <w:style w:type="paragraph" w:customStyle="1" w:styleId="Tabletitle">
    <w:name w:val="Table title"/>
    <w:basedOn w:val="NICEnormal"/>
    <w:next w:val="NICEnormal"/>
    <w:rsid w:val="00BC02D4"/>
    <w:pPr>
      <w:keepNext/>
      <w:spacing w:after="60" w:line="240" w:lineRule="auto"/>
    </w:pPr>
    <w:rPr>
      <w:b/>
    </w:rPr>
  </w:style>
  <w:style w:type="paragraph" w:customStyle="1" w:styleId="Tabletext">
    <w:name w:val="Table text"/>
    <w:basedOn w:val="PGDNormal"/>
    <w:rsid w:val="00BC02D4"/>
    <w:pPr>
      <w:keepNext/>
      <w:spacing w:after="60"/>
    </w:pPr>
  </w:style>
  <w:style w:type="paragraph" w:customStyle="1" w:styleId="Section2paragraphs">
    <w:name w:val="Section 2 paragraphs"/>
    <w:basedOn w:val="NICEnormal"/>
    <w:rsid w:val="00BC02D4"/>
    <w:pPr>
      <w:tabs>
        <w:tab w:val="num" w:pos="360"/>
      </w:tabs>
    </w:pPr>
  </w:style>
  <w:style w:type="paragraph" w:customStyle="1" w:styleId="Section3paragraphs">
    <w:name w:val="Section 3 paragraphs"/>
    <w:basedOn w:val="NICEnormal"/>
    <w:rsid w:val="00BC02D4"/>
    <w:pPr>
      <w:tabs>
        <w:tab w:val="num" w:pos="360"/>
      </w:tabs>
    </w:pPr>
  </w:style>
  <w:style w:type="paragraph" w:customStyle="1" w:styleId="Section411paragraphs">
    <w:name w:val="Section 4.1.1 paragraphs"/>
    <w:basedOn w:val="NICEnormal"/>
    <w:rsid w:val="00BC02D4"/>
    <w:pPr>
      <w:tabs>
        <w:tab w:val="num" w:pos="360"/>
      </w:tabs>
    </w:pPr>
  </w:style>
  <w:style w:type="paragraph" w:customStyle="1" w:styleId="Section412paragraphs">
    <w:name w:val="Section 4.1.2 paragraphs"/>
    <w:basedOn w:val="NICEnormal"/>
    <w:rsid w:val="00BC02D4"/>
    <w:pPr>
      <w:tabs>
        <w:tab w:val="num" w:pos="360"/>
      </w:tabs>
    </w:pPr>
  </w:style>
  <w:style w:type="paragraph" w:customStyle="1" w:styleId="Section42paragraphs">
    <w:name w:val="Section 4.2 paragraphs"/>
    <w:basedOn w:val="NICEnormal"/>
    <w:rsid w:val="00BC02D4"/>
    <w:pPr>
      <w:tabs>
        <w:tab w:val="num" w:pos="360"/>
      </w:tabs>
    </w:pPr>
  </w:style>
  <w:style w:type="paragraph" w:customStyle="1" w:styleId="Section43paragraphs">
    <w:name w:val="Section 4.3 paragraphs"/>
    <w:basedOn w:val="NICEnormal"/>
    <w:rsid w:val="00BC02D4"/>
    <w:pPr>
      <w:tabs>
        <w:tab w:val="num" w:pos="360"/>
      </w:tabs>
    </w:pPr>
  </w:style>
  <w:style w:type="paragraph" w:customStyle="1" w:styleId="Appendixlevel1">
    <w:name w:val="Appendix level 1"/>
    <w:basedOn w:val="NICEnormal"/>
    <w:autoRedefine/>
    <w:rsid w:val="00BC02D4"/>
    <w:pPr>
      <w:tabs>
        <w:tab w:val="num" w:pos="360"/>
      </w:tabs>
      <w:spacing w:before="240"/>
    </w:pPr>
  </w:style>
  <w:style w:type="paragraph" w:customStyle="1" w:styleId="Appendixlevel2">
    <w:name w:val="Appendix level 2"/>
    <w:basedOn w:val="NICEnormal"/>
    <w:rsid w:val="00BC02D4"/>
    <w:pPr>
      <w:tabs>
        <w:tab w:val="num" w:pos="360"/>
      </w:tabs>
      <w:spacing w:before="240"/>
    </w:pPr>
  </w:style>
  <w:style w:type="paragraph" w:customStyle="1" w:styleId="Appendixbullet">
    <w:name w:val="Appendix bullet"/>
    <w:basedOn w:val="NICEnormal"/>
    <w:rsid w:val="00BC02D4"/>
    <w:pPr>
      <w:tabs>
        <w:tab w:val="num" w:pos="360"/>
      </w:tabs>
      <w:spacing w:after="0" w:line="240" w:lineRule="auto"/>
    </w:pPr>
  </w:style>
  <w:style w:type="paragraph" w:customStyle="1" w:styleId="Appendixreferences">
    <w:name w:val="Appendix references"/>
    <w:basedOn w:val="NICEnormal"/>
    <w:rsid w:val="00BC02D4"/>
    <w:pPr>
      <w:tabs>
        <w:tab w:val="left" w:pos="567"/>
      </w:tabs>
      <w:spacing w:after="120" w:line="240" w:lineRule="auto"/>
      <w:ind w:left="567"/>
    </w:pPr>
  </w:style>
  <w:style w:type="paragraph" w:customStyle="1" w:styleId="References">
    <w:name w:val="References"/>
    <w:basedOn w:val="PGDNormal"/>
    <w:rsid w:val="00BC02D4"/>
    <w:pPr>
      <w:tabs>
        <w:tab w:val="num" w:pos="360"/>
      </w:tabs>
      <w:spacing w:after="120"/>
    </w:pPr>
  </w:style>
  <w:style w:type="paragraph" w:styleId="BalloonText">
    <w:name w:val="Balloon Text"/>
    <w:basedOn w:val="Normal"/>
    <w:link w:val="BalloonTextChar"/>
    <w:semiHidden/>
    <w:rsid w:val="00BC02D4"/>
    <w:rPr>
      <w:rFonts w:ascii="Tahoma" w:hAnsi="Tahoma" w:cs="Tahoma"/>
      <w:sz w:val="16"/>
      <w:szCs w:val="16"/>
    </w:rPr>
  </w:style>
  <w:style w:type="character" w:customStyle="1" w:styleId="BalloonTextChar">
    <w:name w:val="Balloon Text Char"/>
    <w:link w:val="BalloonText"/>
    <w:semiHidden/>
    <w:rsid w:val="00BC02D4"/>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BC02D4"/>
    <w:rPr>
      <w:sz w:val="16"/>
      <w:szCs w:val="16"/>
    </w:rPr>
  </w:style>
  <w:style w:type="paragraph" w:styleId="CommentText">
    <w:name w:val="annotation text"/>
    <w:basedOn w:val="Normal"/>
    <w:link w:val="CommentTextChar1"/>
    <w:uiPriority w:val="99"/>
    <w:unhideWhenUsed/>
    <w:rsid w:val="00BC02D4"/>
  </w:style>
  <w:style w:type="character" w:customStyle="1" w:styleId="CommentTextChar">
    <w:name w:val="Comment Text Char"/>
    <w:uiPriority w:val="99"/>
    <w:rsid w:val="00BC02D4"/>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BC02D4"/>
    <w:rPr>
      <w:b/>
      <w:bCs/>
    </w:rPr>
  </w:style>
  <w:style w:type="character" w:customStyle="1" w:styleId="CommentSubjectChar">
    <w:name w:val="Comment Subject Char"/>
    <w:semiHidden/>
    <w:rsid w:val="00BC02D4"/>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BC02D4"/>
    <w:pPr>
      <w:spacing w:before="100" w:beforeAutospacing="1" w:after="100" w:afterAutospacing="1"/>
    </w:pPr>
  </w:style>
  <w:style w:type="paragraph" w:styleId="TOC1">
    <w:name w:val="toc 1"/>
    <w:basedOn w:val="Normal"/>
    <w:next w:val="Normal"/>
    <w:autoRedefine/>
    <w:rsid w:val="00BC02D4"/>
    <w:rPr>
      <w:rFonts w:ascii="Arial" w:hAnsi="Arial"/>
    </w:rPr>
  </w:style>
  <w:style w:type="paragraph" w:styleId="TOC2">
    <w:name w:val="toc 2"/>
    <w:basedOn w:val="Normal"/>
    <w:next w:val="Normal"/>
    <w:autoRedefine/>
    <w:rsid w:val="00BC02D4"/>
    <w:pPr>
      <w:ind w:left="240"/>
    </w:pPr>
    <w:rPr>
      <w:rFonts w:ascii="Arial" w:hAnsi="Arial"/>
    </w:rPr>
  </w:style>
  <w:style w:type="paragraph" w:customStyle="1" w:styleId="Frontpagetitle">
    <w:name w:val="Front page title"/>
    <w:basedOn w:val="Normal"/>
    <w:rsid w:val="00BC02D4"/>
    <w:pPr>
      <w:spacing w:after="240"/>
      <w:jc w:val="center"/>
    </w:pPr>
    <w:rPr>
      <w:rFonts w:ascii="Arial" w:hAnsi="Arial" w:cs="Arial"/>
      <w:sz w:val="48"/>
      <w:szCs w:val="48"/>
      <w:lang w:val="en-US"/>
    </w:rPr>
  </w:style>
  <w:style w:type="paragraph" w:customStyle="1" w:styleId="Frontpagedate">
    <w:name w:val="Front page date"/>
    <w:basedOn w:val="Normal"/>
    <w:rsid w:val="00BC02D4"/>
    <w:pPr>
      <w:spacing w:after="240"/>
    </w:pPr>
    <w:rPr>
      <w:rFonts w:ascii="Arial" w:hAnsi="Arial" w:cs="Arial"/>
      <w:sz w:val="32"/>
      <w:szCs w:val="32"/>
      <w:lang w:val="en-US"/>
    </w:rPr>
  </w:style>
  <w:style w:type="paragraph" w:customStyle="1" w:styleId="Frontpageguidelinenumber">
    <w:name w:val="Front page guideline number"/>
    <w:basedOn w:val="Normal"/>
    <w:rsid w:val="00BC02D4"/>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C02D4"/>
    <w:pPr>
      <w:outlineLvl w:val="9"/>
    </w:pPr>
    <w:rPr>
      <w:lang w:bidi="en-US"/>
    </w:rPr>
  </w:style>
  <w:style w:type="paragraph" w:styleId="TOC3">
    <w:name w:val="toc 3"/>
    <w:basedOn w:val="Normal"/>
    <w:next w:val="Normal"/>
    <w:autoRedefine/>
    <w:semiHidden/>
    <w:rsid w:val="00BC02D4"/>
    <w:pPr>
      <w:ind w:left="480"/>
    </w:pPr>
    <w:rPr>
      <w:rFonts w:ascii="Arial" w:hAnsi="Arial"/>
    </w:rPr>
  </w:style>
  <w:style w:type="character" w:styleId="FollowedHyperlink">
    <w:name w:val="FollowedHyperlink"/>
    <w:unhideWhenUsed/>
    <w:rsid w:val="00BC02D4"/>
    <w:rPr>
      <w:color w:val="800080"/>
      <w:u w:val="single"/>
    </w:rPr>
  </w:style>
  <w:style w:type="paragraph" w:customStyle="1" w:styleId="Level2text">
    <w:name w:val="Level 2 text"/>
    <w:basedOn w:val="Numberedheading2"/>
    <w:locked/>
    <w:rsid w:val="00BC02D4"/>
    <w:pPr>
      <w:numPr>
        <w:ilvl w:val="1"/>
        <w:numId w:val="1"/>
      </w:numPr>
    </w:pPr>
    <w:rPr>
      <w:b/>
      <w:i/>
    </w:rPr>
  </w:style>
  <w:style w:type="paragraph" w:styleId="FootnoteText">
    <w:name w:val="footnote text"/>
    <w:basedOn w:val="Normal"/>
    <w:link w:val="FootnoteTextChar1"/>
    <w:semiHidden/>
    <w:rsid w:val="00BC02D4"/>
    <w:rPr>
      <w:rFonts w:ascii="Arial" w:eastAsia="Calibri" w:hAnsi="Arial"/>
    </w:rPr>
  </w:style>
  <w:style w:type="character" w:customStyle="1" w:styleId="FootnoteTextChar">
    <w:name w:val="Footnote Text Char"/>
    <w:rsid w:val="00BC02D4"/>
    <w:rPr>
      <w:rFonts w:ascii="Arial" w:eastAsia="Times New Roman" w:hAnsi="Arial"/>
    </w:rPr>
  </w:style>
  <w:style w:type="character" w:styleId="FootnoteReference">
    <w:name w:val="footnote reference"/>
    <w:rsid w:val="00BC02D4"/>
    <w:rPr>
      <w:vertAlign w:val="superscript"/>
    </w:rPr>
  </w:style>
  <w:style w:type="paragraph" w:customStyle="1" w:styleId="Paragraph">
    <w:name w:val="Paragraph"/>
    <w:basedOn w:val="Paragraphnonumbers"/>
    <w:uiPriority w:val="4"/>
    <w:qFormat/>
    <w:rsid w:val="00BC02D4"/>
    <w:pPr>
      <w:numPr>
        <w:numId w:val="9"/>
      </w:numPr>
      <w:tabs>
        <w:tab w:val="left" w:pos="567"/>
      </w:tabs>
    </w:pPr>
  </w:style>
  <w:style w:type="paragraph" w:customStyle="1" w:styleId="Bullets">
    <w:name w:val="Bullets"/>
    <w:basedOn w:val="Normal"/>
    <w:uiPriority w:val="5"/>
    <w:qFormat/>
    <w:rsid w:val="00BC02D4"/>
    <w:pPr>
      <w:numPr>
        <w:numId w:val="16"/>
      </w:numPr>
      <w:spacing w:after="120" w:line="276" w:lineRule="auto"/>
    </w:pPr>
    <w:rPr>
      <w:rFonts w:ascii="Arial" w:hAnsi="Arial"/>
    </w:rPr>
  </w:style>
  <w:style w:type="paragraph" w:customStyle="1" w:styleId="Subbullets">
    <w:name w:val="Sub bullets"/>
    <w:basedOn w:val="Normal"/>
    <w:uiPriority w:val="6"/>
    <w:qFormat/>
    <w:rsid w:val="00BC02D4"/>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BC02D4"/>
    <w:pPr>
      <w:spacing w:after="240" w:line="276" w:lineRule="auto"/>
    </w:pPr>
    <w:rPr>
      <w:rFonts w:ascii="Arial" w:hAnsi="Arial"/>
    </w:rPr>
  </w:style>
  <w:style w:type="paragraph" w:styleId="TOAHeading">
    <w:name w:val="toa heading"/>
    <w:basedOn w:val="Normal"/>
    <w:next w:val="Normal"/>
    <w:semiHidden/>
    <w:rsid w:val="00BC02D4"/>
    <w:pPr>
      <w:spacing w:before="120"/>
    </w:pPr>
    <w:rPr>
      <w:rFonts w:ascii="Arial" w:hAnsi="Arial"/>
      <w:b/>
      <w:bCs/>
    </w:rPr>
  </w:style>
  <w:style w:type="paragraph" w:styleId="TOC4">
    <w:name w:val="toc 4"/>
    <w:basedOn w:val="Normal"/>
    <w:next w:val="Normal"/>
    <w:autoRedefine/>
    <w:semiHidden/>
    <w:rsid w:val="00BC02D4"/>
    <w:pPr>
      <w:ind w:left="720"/>
    </w:pPr>
    <w:rPr>
      <w:rFonts w:ascii="Arial" w:hAnsi="Arial"/>
    </w:rPr>
  </w:style>
  <w:style w:type="paragraph" w:customStyle="1" w:styleId="Bulletindent1alast">
    <w:name w:val="Bullet indent 1a last"/>
    <w:basedOn w:val="Bulletindent1last"/>
    <w:qFormat/>
    <w:rsid w:val="00BC02D4"/>
    <w:pPr>
      <w:ind w:left="2552"/>
    </w:pPr>
  </w:style>
  <w:style w:type="paragraph" w:customStyle="1" w:styleId="Bulletindent2a">
    <w:name w:val="Bullet indent 2a"/>
    <w:basedOn w:val="Normal"/>
    <w:qFormat/>
    <w:rsid w:val="00BC02D4"/>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BC02D4"/>
    <w:pPr>
      <w:tabs>
        <w:tab w:val="num" w:pos="2552"/>
      </w:tabs>
      <w:ind w:left="2552"/>
    </w:pPr>
  </w:style>
  <w:style w:type="paragraph" w:customStyle="1" w:styleId="Frontpagegreentitle">
    <w:name w:val="Front page green title"/>
    <w:basedOn w:val="Normal"/>
    <w:rsid w:val="00BC02D4"/>
    <w:pPr>
      <w:jc w:val="center"/>
    </w:pPr>
    <w:rPr>
      <w:rFonts w:ascii="Arial" w:hAnsi="Arial" w:cs="Arial"/>
      <w:b/>
      <w:color w:val="009999"/>
      <w:sz w:val="64"/>
      <w:szCs w:val="64"/>
    </w:rPr>
  </w:style>
  <w:style w:type="paragraph" w:styleId="TOC5">
    <w:name w:val="toc 5"/>
    <w:basedOn w:val="Normal"/>
    <w:next w:val="Normal"/>
    <w:autoRedefine/>
    <w:semiHidden/>
    <w:unhideWhenUsed/>
    <w:rsid w:val="00BC02D4"/>
    <w:pPr>
      <w:spacing w:after="100" w:line="276" w:lineRule="auto"/>
      <w:ind w:left="880"/>
    </w:pPr>
  </w:style>
  <w:style w:type="paragraph" w:styleId="TOC6">
    <w:name w:val="toc 6"/>
    <w:basedOn w:val="Normal"/>
    <w:next w:val="Normal"/>
    <w:autoRedefine/>
    <w:semiHidden/>
    <w:unhideWhenUsed/>
    <w:rsid w:val="00BC02D4"/>
    <w:pPr>
      <w:spacing w:after="100" w:line="276" w:lineRule="auto"/>
      <w:ind w:left="1100"/>
    </w:pPr>
  </w:style>
  <w:style w:type="paragraph" w:styleId="TOC7">
    <w:name w:val="toc 7"/>
    <w:basedOn w:val="Normal"/>
    <w:next w:val="Normal"/>
    <w:autoRedefine/>
    <w:semiHidden/>
    <w:unhideWhenUsed/>
    <w:rsid w:val="00BC02D4"/>
    <w:pPr>
      <w:spacing w:after="100" w:line="276" w:lineRule="auto"/>
      <w:ind w:left="1320"/>
    </w:pPr>
  </w:style>
  <w:style w:type="paragraph" w:styleId="TOC8">
    <w:name w:val="toc 8"/>
    <w:basedOn w:val="Normal"/>
    <w:next w:val="Normal"/>
    <w:autoRedefine/>
    <w:semiHidden/>
    <w:unhideWhenUsed/>
    <w:rsid w:val="00BC02D4"/>
    <w:pPr>
      <w:spacing w:after="100" w:line="276" w:lineRule="auto"/>
      <w:ind w:left="1540"/>
    </w:pPr>
  </w:style>
  <w:style w:type="paragraph" w:styleId="TOC9">
    <w:name w:val="toc 9"/>
    <w:basedOn w:val="Normal"/>
    <w:next w:val="Normal"/>
    <w:autoRedefine/>
    <w:semiHidden/>
    <w:unhideWhenUsed/>
    <w:rsid w:val="00BC02D4"/>
    <w:pPr>
      <w:spacing w:after="100" w:line="276" w:lineRule="auto"/>
      <w:ind w:left="1760"/>
    </w:pPr>
  </w:style>
  <w:style w:type="paragraph" w:customStyle="1" w:styleId="Question">
    <w:name w:val="Question"/>
    <w:basedOn w:val="References"/>
    <w:qFormat/>
    <w:rsid w:val="00BC02D4"/>
    <w:pPr>
      <w:keepNext/>
      <w:numPr>
        <w:numId w:val="2"/>
      </w:numPr>
    </w:pPr>
    <w:rPr>
      <w:b/>
    </w:rPr>
  </w:style>
  <w:style w:type="paragraph" w:styleId="EndnoteText">
    <w:name w:val="endnote text"/>
    <w:basedOn w:val="Normal"/>
    <w:link w:val="EndnoteTextChar1"/>
    <w:semiHidden/>
    <w:unhideWhenUsed/>
    <w:rsid w:val="00BC02D4"/>
  </w:style>
  <w:style w:type="character" w:customStyle="1" w:styleId="EndnoteTextChar">
    <w:name w:val="Endnote Text Char"/>
    <w:semiHidden/>
    <w:rsid w:val="00BC02D4"/>
    <w:rPr>
      <w:rFonts w:ascii="Times New Roman" w:eastAsia="Times New Roman" w:hAnsi="Times New Roman"/>
    </w:rPr>
  </w:style>
  <w:style w:type="character" w:styleId="EndnoteReference">
    <w:name w:val="endnote reference"/>
    <w:semiHidden/>
    <w:unhideWhenUsed/>
    <w:rsid w:val="00BC02D4"/>
    <w:rPr>
      <w:vertAlign w:val="superscript"/>
    </w:rPr>
  </w:style>
  <w:style w:type="paragraph" w:customStyle="1" w:styleId="Style4">
    <w:name w:val="Style4"/>
    <w:basedOn w:val="Normal"/>
    <w:autoRedefine/>
    <w:rsid w:val="00BC02D4"/>
    <w:pPr>
      <w:keepNext/>
      <w:spacing w:line="360" w:lineRule="auto"/>
      <w:ind w:left="567"/>
    </w:pPr>
    <w:rPr>
      <w:rFonts w:ascii="Arial" w:hAnsi="Arial" w:cs="Arial"/>
    </w:rPr>
  </w:style>
  <w:style w:type="paragraph" w:customStyle="1" w:styleId="Bodytextosteo">
    <w:name w:val="Body text osteo"/>
    <w:basedOn w:val="BodyText"/>
    <w:autoRedefine/>
    <w:rsid w:val="00BC02D4"/>
    <w:pPr>
      <w:spacing w:after="0" w:line="360" w:lineRule="auto"/>
      <w:ind w:left="567"/>
    </w:pPr>
    <w:rPr>
      <w:rFonts w:ascii="Arial" w:hAnsi="Arial" w:cs="Arial"/>
    </w:rPr>
  </w:style>
  <w:style w:type="paragraph" w:styleId="BodyText">
    <w:name w:val="Body Text"/>
    <w:basedOn w:val="Normal"/>
    <w:link w:val="BodyTextChar"/>
    <w:rsid w:val="00BC02D4"/>
    <w:pPr>
      <w:spacing w:after="120"/>
    </w:pPr>
  </w:style>
  <w:style w:type="paragraph" w:customStyle="1" w:styleId="bulletdoubleindent">
    <w:name w:val="bullet double indent"/>
    <w:basedOn w:val="Normal"/>
    <w:autoRedefine/>
    <w:rsid w:val="00BC02D4"/>
    <w:pPr>
      <w:numPr>
        <w:numId w:val="3"/>
      </w:numPr>
      <w:spacing w:line="360" w:lineRule="auto"/>
    </w:pPr>
    <w:rPr>
      <w:rFonts w:ascii="Arial" w:eastAsia="Calibri" w:hAnsi="Arial"/>
    </w:rPr>
  </w:style>
  <w:style w:type="paragraph" w:customStyle="1" w:styleId="bulletindentosteo">
    <w:name w:val="bullet indent osteo"/>
    <w:basedOn w:val="Normal"/>
    <w:autoRedefine/>
    <w:rsid w:val="00BC02D4"/>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BC02D4"/>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BC02D4"/>
    <w:pPr>
      <w:spacing w:after="0" w:line="360" w:lineRule="auto"/>
      <w:ind w:left="567"/>
    </w:pPr>
  </w:style>
  <w:style w:type="paragraph" w:customStyle="1" w:styleId="subheadingosteo">
    <w:name w:val="subheading osteo"/>
    <w:basedOn w:val="Heading6"/>
    <w:autoRedefine/>
    <w:rsid w:val="00BC02D4"/>
    <w:pPr>
      <w:keepNext/>
      <w:spacing w:line="360" w:lineRule="auto"/>
      <w:ind w:left="539"/>
    </w:pPr>
    <w:rPr>
      <w:rFonts w:ascii="Arial" w:hAnsi="Arial"/>
    </w:rPr>
  </w:style>
  <w:style w:type="paragraph" w:customStyle="1" w:styleId="bulletdoubleindentosteo">
    <w:name w:val="bullet double indent osteo"/>
    <w:basedOn w:val="bulletindentosteo"/>
    <w:autoRedefine/>
    <w:rsid w:val="00BC02D4"/>
    <w:pPr>
      <w:numPr>
        <w:numId w:val="5"/>
      </w:numPr>
    </w:pPr>
    <w:rPr>
      <w:rFonts w:eastAsia="Times New Roman"/>
      <w:lang w:eastAsia="en-GB"/>
    </w:rPr>
  </w:style>
  <w:style w:type="paragraph" w:styleId="ListBullet3">
    <w:name w:val="List Bullet 3"/>
    <w:basedOn w:val="Normal"/>
    <w:autoRedefine/>
    <w:rsid w:val="00BC02D4"/>
  </w:style>
  <w:style w:type="paragraph" w:customStyle="1" w:styleId="Bulletosteotable">
    <w:name w:val="Bullet osteo table"/>
    <w:basedOn w:val="bulletosteoporosis"/>
    <w:autoRedefine/>
    <w:rsid w:val="00BC02D4"/>
    <w:pPr>
      <w:numPr>
        <w:numId w:val="6"/>
      </w:numPr>
    </w:pPr>
  </w:style>
  <w:style w:type="paragraph" w:customStyle="1" w:styleId="StyleHeading2Before0ptAfter0ptLinespacing15l">
    <w:name w:val="Style Heading 2 + Before:  0 pt After:  0 pt Line spacing:  1.5 l..."/>
    <w:basedOn w:val="Heading2"/>
    <w:autoRedefine/>
    <w:rsid w:val="00BC02D4"/>
    <w:pPr>
      <w:spacing w:after="0" w:line="360" w:lineRule="auto"/>
    </w:pPr>
    <w:rPr>
      <w:szCs w:val="20"/>
      <w:lang w:val="en-US"/>
    </w:rPr>
  </w:style>
  <w:style w:type="paragraph" w:customStyle="1" w:styleId="NCC-ACChaptertitle">
    <w:name w:val="NCC-AC Chapter title"/>
    <w:basedOn w:val="Numberedheading1"/>
    <w:next w:val="Normal"/>
    <w:autoRedefine/>
    <w:rsid w:val="00BC02D4"/>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BC02D4"/>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BC02D4"/>
    <w:pPr>
      <w:numPr>
        <w:ilvl w:val="3"/>
        <w:numId w:val="8"/>
      </w:numPr>
    </w:pPr>
    <w:rPr>
      <w:b w:val="0"/>
    </w:rPr>
  </w:style>
  <w:style w:type="numbering" w:customStyle="1" w:styleId="NiceNumbering">
    <w:name w:val="Nice Numbering"/>
    <w:rsid w:val="00BC02D4"/>
    <w:pPr>
      <w:numPr>
        <w:numId w:val="8"/>
      </w:numPr>
    </w:pPr>
  </w:style>
  <w:style w:type="character" w:customStyle="1" w:styleId="FootnoteTextChar1">
    <w:name w:val="Footnote Text Char1"/>
    <w:link w:val="FootnoteText"/>
    <w:semiHidden/>
    <w:rsid w:val="00BC02D4"/>
    <w:rPr>
      <w:rFonts w:ascii="Arial" w:hAnsi="Arial"/>
      <w:kern w:val="2"/>
      <w:lang w:eastAsia="en-US"/>
      <w14:ligatures w14:val="standardContextual"/>
    </w:rPr>
  </w:style>
  <w:style w:type="table" w:styleId="TableGrid">
    <w:name w:val="Table Grid"/>
    <w:basedOn w:val="TableNormal"/>
    <w:rsid w:val="00BC02D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BC02D4"/>
    <w:rPr>
      <w:rFonts w:ascii="Arial" w:hAnsi="Arial" w:cs="Arial"/>
      <w:color w:val="FFFFFF"/>
      <w:sz w:val="32"/>
      <w:szCs w:val="32"/>
    </w:rPr>
  </w:style>
  <w:style w:type="paragraph" w:customStyle="1" w:styleId="Default">
    <w:name w:val="Default"/>
    <w:rsid w:val="00BC02D4"/>
    <w:pPr>
      <w:autoSpaceDE w:val="0"/>
      <w:autoSpaceDN w:val="0"/>
      <w:adjustRightInd w:val="0"/>
    </w:pPr>
    <w:rPr>
      <w:rFonts w:eastAsia="Times New Roman" w:cs="Calibri"/>
      <w:color w:val="000000"/>
    </w:rPr>
  </w:style>
  <w:style w:type="paragraph" w:customStyle="1" w:styleId="PGDNormal">
    <w:name w:val="PGD Normal"/>
    <w:basedOn w:val="NICEnormal"/>
    <w:rsid w:val="00BC02D4"/>
    <w:pPr>
      <w:spacing w:line="240" w:lineRule="auto"/>
    </w:pPr>
    <w:rPr>
      <w:sz w:val="22"/>
    </w:rPr>
  </w:style>
  <w:style w:type="paragraph" w:customStyle="1" w:styleId="TabletextIPoverviewevidence">
    <w:name w:val="Table text IP overview evidence"/>
    <w:basedOn w:val="Tabletext"/>
    <w:rsid w:val="00BC02D4"/>
    <w:rPr>
      <w:sz w:val="18"/>
    </w:rPr>
  </w:style>
  <w:style w:type="character" w:customStyle="1" w:styleId="Heading5Char">
    <w:name w:val="Heading 5 Char"/>
    <w:link w:val="Heading5"/>
    <w:uiPriority w:val="9"/>
    <w:rsid w:val="00BC02D4"/>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BC02D4"/>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BC02D4"/>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BC02D4"/>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BC02D4"/>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BC02D4"/>
    <w:pPr>
      <w:spacing w:after="600"/>
    </w:pPr>
    <w:rPr>
      <w:rFonts w:ascii="Cambria" w:hAnsi="Cambria"/>
      <w:i/>
      <w:iCs/>
      <w:spacing w:val="13"/>
    </w:rPr>
  </w:style>
  <w:style w:type="character" w:customStyle="1" w:styleId="SubtitleChar">
    <w:name w:val="Subtitle Char"/>
    <w:link w:val="Subtitle"/>
    <w:uiPriority w:val="11"/>
    <w:rsid w:val="00BC02D4"/>
    <w:rPr>
      <w:rFonts w:ascii="Cambria" w:eastAsiaTheme="minorHAnsi" w:hAnsi="Cambria"/>
      <w:i/>
      <w:iCs/>
      <w:spacing w:val="13"/>
      <w:kern w:val="2"/>
      <w:lang w:eastAsia="en-US"/>
      <w14:ligatures w14:val="standardContextual"/>
    </w:rPr>
  </w:style>
  <w:style w:type="character" w:styleId="Strong">
    <w:name w:val="Strong"/>
    <w:uiPriority w:val="22"/>
    <w:qFormat/>
    <w:rsid w:val="00BC02D4"/>
    <w:rPr>
      <w:b/>
      <w:bCs/>
    </w:rPr>
  </w:style>
  <w:style w:type="character" w:styleId="Emphasis">
    <w:name w:val="Emphasis"/>
    <w:uiPriority w:val="20"/>
    <w:qFormat/>
    <w:rsid w:val="00BC02D4"/>
    <w:rPr>
      <w:b/>
      <w:bCs/>
      <w:i/>
      <w:iCs/>
      <w:spacing w:val="10"/>
      <w:bdr w:val="none" w:sz="0" w:space="0" w:color="auto"/>
      <w:shd w:val="clear" w:color="auto" w:fill="auto"/>
    </w:rPr>
  </w:style>
  <w:style w:type="paragraph" w:styleId="NoSpacing">
    <w:name w:val="No Spacing"/>
    <w:basedOn w:val="Normal"/>
    <w:uiPriority w:val="1"/>
    <w:qFormat/>
    <w:rsid w:val="00BC02D4"/>
    <w:rPr>
      <w:rFonts w:eastAsia="Calibri"/>
    </w:rPr>
  </w:style>
  <w:style w:type="paragraph" w:styleId="Quote">
    <w:name w:val="Quote"/>
    <w:basedOn w:val="Normal"/>
    <w:next w:val="Normal"/>
    <w:link w:val="QuoteChar"/>
    <w:uiPriority w:val="29"/>
    <w:qFormat/>
    <w:rsid w:val="00BC02D4"/>
    <w:pPr>
      <w:spacing w:before="200"/>
      <w:ind w:left="360" w:right="360"/>
    </w:pPr>
    <w:rPr>
      <w:i/>
      <w:iCs/>
    </w:rPr>
  </w:style>
  <w:style w:type="character" w:customStyle="1" w:styleId="QuoteChar">
    <w:name w:val="Quote Char"/>
    <w:link w:val="Quote"/>
    <w:uiPriority w:val="29"/>
    <w:rsid w:val="00BC02D4"/>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C02D4"/>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C02D4"/>
    <w:rPr>
      <w:rFonts w:eastAsiaTheme="minorHAnsi"/>
      <w:b/>
      <w:bCs/>
      <w:i/>
      <w:iCs/>
      <w:kern w:val="2"/>
      <w:lang w:eastAsia="en-US"/>
      <w14:ligatures w14:val="standardContextual"/>
    </w:rPr>
  </w:style>
  <w:style w:type="character" w:styleId="SubtleEmphasis">
    <w:name w:val="Subtle Emphasis"/>
    <w:uiPriority w:val="19"/>
    <w:qFormat/>
    <w:rsid w:val="00BC02D4"/>
    <w:rPr>
      <w:i/>
      <w:iCs/>
    </w:rPr>
  </w:style>
  <w:style w:type="character" w:styleId="IntenseEmphasis">
    <w:name w:val="Intense Emphasis"/>
    <w:uiPriority w:val="21"/>
    <w:qFormat/>
    <w:rsid w:val="00BC02D4"/>
    <w:rPr>
      <w:b/>
      <w:bCs/>
    </w:rPr>
  </w:style>
  <w:style w:type="character" w:styleId="SubtleReference">
    <w:name w:val="Subtle Reference"/>
    <w:uiPriority w:val="31"/>
    <w:qFormat/>
    <w:rsid w:val="00BC02D4"/>
    <w:rPr>
      <w:smallCaps/>
    </w:rPr>
  </w:style>
  <w:style w:type="character" w:styleId="IntenseReference">
    <w:name w:val="Intense Reference"/>
    <w:uiPriority w:val="32"/>
    <w:qFormat/>
    <w:rsid w:val="00BC02D4"/>
    <w:rPr>
      <w:smallCaps/>
      <w:spacing w:val="5"/>
      <w:u w:val="single"/>
    </w:rPr>
  </w:style>
  <w:style w:type="character" w:styleId="BookTitle">
    <w:name w:val="Book Title"/>
    <w:uiPriority w:val="33"/>
    <w:qFormat/>
    <w:rsid w:val="00BC02D4"/>
    <w:rPr>
      <w:i/>
      <w:iCs/>
      <w:smallCaps/>
      <w:spacing w:val="5"/>
    </w:rPr>
  </w:style>
  <w:style w:type="paragraph" w:customStyle="1" w:styleId="NICETitle2">
    <w:name w:val="NICE Title 2"/>
    <w:basedOn w:val="Normal"/>
    <w:qFormat/>
    <w:rsid w:val="00BC02D4"/>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C02D4"/>
    <w:pPr>
      <w:spacing w:after="120" w:line="480" w:lineRule="auto"/>
    </w:pPr>
  </w:style>
  <w:style w:type="character" w:customStyle="1" w:styleId="BodyText2Char">
    <w:name w:val="Body Text 2 Char"/>
    <w:link w:val="BodyText2"/>
    <w:uiPriority w:val="99"/>
    <w:semiHidden/>
    <w:rsid w:val="00BC02D4"/>
    <w:rPr>
      <w:rFonts w:eastAsiaTheme="minorHAnsi"/>
      <w:kern w:val="2"/>
      <w:lang w:eastAsia="en-US"/>
      <w14:ligatures w14:val="standardContextual"/>
    </w:rPr>
  </w:style>
  <w:style w:type="character" w:styleId="UnresolvedMention">
    <w:name w:val="Unresolved Mention"/>
    <w:uiPriority w:val="99"/>
    <w:semiHidden/>
    <w:unhideWhenUsed/>
    <w:rsid w:val="00BC02D4"/>
    <w:rPr>
      <w:color w:val="605E5C"/>
      <w:shd w:val="clear" w:color="auto" w:fill="E1DFDD"/>
    </w:rPr>
  </w:style>
  <w:style w:type="paragraph" w:customStyle="1" w:styleId="PGDTitle2">
    <w:name w:val="PGD Title 2"/>
    <w:basedOn w:val="Normal"/>
    <w:rsid w:val="00BC02D4"/>
    <w:pPr>
      <w:jc w:val="center"/>
    </w:pPr>
    <w:rPr>
      <w:rFonts w:ascii="Arial" w:hAnsi="Arial"/>
      <w:b/>
      <w:sz w:val="36"/>
      <w:szCs w:val="36"/>
    </w:rPr>
  </w:style>
  <w:style w:type="paragraph" w:customStyle="1" w:styleId="PGDTitle1">
    <w:name w:val="PGD Title 1"/>
    <w:basedOn w:val="Normal"/>
    <w:rsid w:val="00BC02D4"/>
    <w:pPr>
      <w:jc w:val="center"/>
    </w:pPr>
    <w:rPr>
      <w:rFonts w:ascii="Arial" w:hAnsi="Arial"/>
      <w:b/>
      <w:bCs/>
      <w:sz w:val="44"/>
    </w:rPr>
  </w:style>
  <w:style w:type="character" w:customStyle="1" w:styleId="PGDVersionNumber">
    <w:name w:val="PGD Version Number"/>
    <w:basedOn w:val="DefaultParagraphFont"/>
    <w:qFormat/>
    <w:rsid w:val="00BC02D4"/>
    <w:rPr>
      <w:rFonts w:ascii="Arial" w:hAnsi="Arial"/>
      <w:sz w:val="28"/>
    </w:rPr>
  </w:style>
  <w:style w:type="paragraph" w:customStyle="1" w:styleId="TableHeaderRow">
    <w:name w:val="Table Header Row"/>
    <w:basedOn w:val="Normal"/>
    <w:rsid w:val="00BC02D4"/>
    <w:rPr>
      <w:rFonts w:ascii="Arial" w:hAnsi="Arial"/>
      <w:b/>
      <w:bCs/>
    </w:rPr>
  </w:style>
  <w:style w:type="character" w:customStyle="1" w:styleId="PGDNormalBold">
    <w:name w:val="PGD Normal Bold"/>
    <w:basedOn w:val="DefaultParagraphFont"/>
    <w:rsid w:val="00BC02D4"/>
    <w:rPr>
      <w:rFonts w:ascii="Arial" w:hAnsi="Arial"/>
      <w:b/>
      <w:bCs/>
    </w:rPr>
  </w:style>
  <w:style w:type="character" w:customStyle="1" w:styleId="TableHeaderColumn">
    <w:name w:val="Table Header Column"/>
    <w:basedOn w:val="DefaultParagraphFont"/>
    <w:rsid w:val="00BC02D4"/>
    <w:rPr>
      <w:rFonts w:ascii="Arial" w:hAnsi="Arial"/>
      <w:b/>
      <w:bCs/>
      <w:sz w:val="20"/>
    </w:rPr>
  </w:style>
  <w:style w:type="paragraph" w:customStyle="1" w:styleId="Title1">
    <w:name w:val="Title 1"/>
    <w:basedOn w:val="Title"/>
    <w:qFormat/>
    <w:rsid w:val="00BC02D4"/>
    <w:rPr>
      <w:rFonts w:ascii="Arial" w:hAnsi="Arial" w:cs="Arial"/>
      <w:sz w:val="44"/>
      <w:szCs w:val="44"/>
    </w:rPr>
  </w:style>
  <w:style w:type="paragraph" w:customStyle="1" w:styleId="Title2">
    <w:name w:val="Title 2"/>
    <w:basedOn w:val="Title"/>
    <w:qFormat/>
    <w:rsid w:val="00BC02D4"/>
    <w:rPr>
      <w:rFonts w:ascii="Arial" w:hAnsi="Arial" w:cs="Arial"/>
      <w:sz w:val="40"/>
      <w:szCs w:val="40"/>
    </w:rPr>
  </w:style>
  <w:style w:type="paragraph" w:customStyle="1" w:styleId="PGDHeading2">
    <w:name w:val="PGD Heading 2"/>
    <w:basedOn w:val="Heading2"/>
    <w:qFormat/>
    <w:rsid w:val="00BC02D4"/>
    <w:rPr>
      <w:rFonts w:ascii="Arial" w:hAnsi="Arial" w:cs="Arial"/>
      <w:color w:val="auto"/>
      <w:sz w:val="28"/>
      <w:szCs w:val="28"/>
    </w:rPr>
  </w:style>
  <w:style w:type="table" w:customStyle="1" w:styleId="Tableheading">
    <w:name w:val="Table heading"/>
    <w:basedOn w:val="TableNormal"/>
    <w:uiPriority w:val="99"/>
    <w:rsid w:val="00BC02D4"/>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BC02D4"/>
    <w:pPr>
      <w:spacing w:line="240" w:lineRule="auto"/>
    </w:pPr>
  </w:style>
  <w:style w:type="paragraph" w:customStyle="1" w:styleId="PGDtablebullet0">
    <w:name w:val="PGD table bullet"/>
    <w:basedOn w:val="Normal"/>
    <w:rsid w:val="00BC02D4"/>
    <w:rPr>
      <w:rFonts w:ascii="Arial" w:eastAsia="Times New Roman" w:hAnsi="Arial"/>
    </w:rPr>
  </w:style>
  <w:style w:type="numbering" w:customStyle="1" w:styleId="PGDTableBullet">
    <w:name w:val="PGD Table Bullet"/>
    <w:basedOn w:val="NoList"/>
    <w:uiPriority w:val="99"/>
    <w:rsid w:val="00BC02D4"/>
    <w:pPr>
      <w:numPr>
        <w:numId w:val="10"/>
      </w:numPr>
    </w:pPr>
  </w:style>
  <w:style w:type="paragraph" w:customStyle="1" w:styleId="StyleLatinArialAfter0ptLinespacingsingle">
    <w:name w:val="Style (Latin) Arial After:  0 pt Line spacing:  single"/>
    <w:basedOn w:val="Normal"/>
    <w:rsid w:val="00BC02D4"/>
    <w:rPr>
      <w:rFonts w:ascii="Arial" w:eastAsia="Times New Roman" w:hAnsi="Arial"/>
    </w:rPr>
  </w:style>
  <w:style w:type="paragraph" w:customStyle="1" w:styleId="PGDlogo">
    <w:name w:val="PGD logo"/>
    <w:basedOn w:val="NICEnormal"/>
    <w:rsid w:val="00BC02D4"/>
    <w:pPr>
      <w:jc w:val="right"/>
    </w:pPr>
  </w:style>
  <w:style w:type="paragraph" w:customStyle="1" w:styleId="PGDLogo0">
    <w:name w:val="PGD Logo"/>
    <w:basedOn w:val="PGDNormal"/>
    <w:rsid w:val="00BC02D4"/>
    <w:pPr>
      <w:jc w:val="right"/>
    </w:pPr>
  </w:style>
  <w:style w:type="paragraph" w:customStyle="1" w:styleId="PGDVersion">
    <w:name w:val="PGD Version"/>
    <w:basedOn w:val="Normal"/>
    <w:rsid w:val="00BC02D4"/>
    <w:pPr>
      <w:jc w:val="center"/>
    </w:pPr>
    <w:rPr>
      <w:rFonts w:ascii="Arial" w:eastAsia="Times New Roman" w:hAnsi="Arial"/>
      <w:sz w:val="28"/>
    </w:rPr>
  </w:style>
  <w:style w:type="numbering" w:customStyle="1" w:styleId="PGDtablebullet2">
    <w:name w:val="PGD table bullet 2"/>
    <w:basedOn w:val="NoList"/>
    <w:rsid w:val="00BC02D4"/>
    <w:pPr>
      <w:numPr>
        <w:numId w:val="12"/>
      </w:numPr>
    </w:pPr>
  </w:style>
  <w:style w:type="numbering" w:customStyle="1" w:styleId="PGDbullet2">
    <w:name w:val="PGD bullet 2"/>
    <w:basedOn w:val="NoList"/>
    <w:rsid w:val="00BC02D4"/>
    <w:pPr>
      <w:numPr>
        <w:numId w:val="13"/>
      </w:numPr>
    </w:pPr>
  </w:style>
  <w:style w:type="numbering" w:customStyle="1" w:styleId="PGDtablebullet1">
    <w:name w:val="PGD table bullet 1"/>
    <w:basedOn w:val="NoList"/>
    <w:rsid w:val="00BC02D4"/>
    <w:pPr>
      <w:numPr>
        <w:numId w:val="14"/>
      </w:numPr>
    </w:pPr>
  </w:style>
  <w:style w:type="character" w:customStyle="1" w:styleId="BodyTextChar">
    <w:name w:val="Body Text Char"/>
    <w:basedOn w:val="DefaultParagraphFont"/>
    <w:link w:val="BodyText"/>
    <w:rsid w:val="00BC02D4"/>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BC02D4"/>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BC02D4"/>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BC02D4"/>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bashh.org/resources/19/guidelines_mycoplasma_genitalium_2018/" TargetMode="External"/><Relationship Id="rId26" Type="http://schemas.openxmlformats.org/officeDocument/2006/relationships/hyperlink" Target="https://www.medicines.org.uk/emc/search?q=doxycycline" TargetMode="External"/><Relationship Id="rId39" Type="http://schemas.openxmlformats.org/officeDocument/2006/relationships/hyperlink" Target="https://www.bashh.org/resources/26/lgv_2013" TargetMode="External"/><Relationship Id="rId21" Type="http://schemas.openxmlformats.org/officeDocument/2006/relationships/hyperlink" Target="https://www.bashh.org/resources/141/doxycycline_postexposure_prophylaxis_2025_new_guideline" TargetMode="External"/><Relationship Id="rId34" Type="http://schemas.openxmlformats.org/officeDocument/2006/relationships/hyperlink" Target="https://www.pharmaceuticalpress.com/bnf-and-bnfc/"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www.nhs.uk/conditions/anaphylax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medicines.org.uk/emc/search?q=azithromycin" TargetMode="External"/><Relationship Id="rId32" Type="http://schemas.openxmlformats.org/officeDocument/2006/relationships/hyperlink" Target="https://www.bashh.org/resources/26/lgv_2013" TargetMode="External"/><Relationship Id="rId37" Type="http://schemas.openxmlformats.org/officeDocument/2006/relationships/hyperlink" Target="https://www.bashh.org/resources/18/ngu_2015" TargetMode="External"/><Relationship Id="rId40" Type="http://schemas.openxmlformats.org/officeDocument/2006/relationships/hyperlink" Target="https://www.rpharms.com/recognition/setting-professional-standards/safe-and-secure-handling-of-medicines/professional-guidance-on-the-safe-and-secure-handling-of-medicin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bashh.org/resources/19/guidelines_mycoplasma_genitalium_2018/" TargetMode="External"/><Relationship Id="rId28" Type="http://schemas.openxmlformats.org/officeDocument/2006/relationships/hyperlink" Target="https://www.pharmaceuticalpress.com/bnf-and-bnfc/" TargetMode="External"/><Relationship Id="rId36" Type="http://schemas.openxmlformats.org/officeDocument/2006/relationships/hyperlink" Target="https://www.bashh.org/resources/15/chlamydia_2015" TargetMode="External"/><Relationship Id="rId10" Type="http://schemas.openxmlformats.org/officeDocument/2006/relationships/endnotes" Target="endnotes.xml"/><Relationship Id="rId19" Type="http://schemas.openxmlformats.org/officeDocument/2006/relationships/hyperlink" Target="https://www.medicines.org.uk/emc/search?q=doxycycline" TargetMode="External"/><Relationship Id="rId31" Type="http://schemas.openxmlformats.org/officeDocument/2006/relationships/hyperlink" Target="https://www.nhs.uk/conditions/sepsi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bashh.org/resources/26/lgv_2013" TargetMode="External"/><Relationship Id="rId27" Type="http://schemas.openxmlformats.org/officeDocument/2006/relationships/hyperlink" Target="https://www.medicines.org.uk/emc/search?q=doxycycline" TargetMode="External"/><Relationship Id="rId30" Type="http://schemas.openxmlformats.org/officeDocument/2006/relationships/hyperlink" Target="https://yellowcard.mhra.gov.uk/" TargetMode="External"/><Relationship Id="rId35" Type="http://schemas.openxmlformats.org/officeDocument/2006/relationships/hyperlink" Target="https://www.nice.org.uk/guidance/mpg2"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s://bnf.nice.org.uk/interactions/doxycycline/" TargetMode="External"/><Relationship Id="rId33" Type="http://schemas.openxmlformats.org/officeDocument/2006/relationships/hyperlink" Target="https://www.medicines.org.uk/emc" TargetMode="External"/><Relationship Id="rId38" Type="http://schemas.openxmlformats.org/officeDocument/2006/relationships/hyperlink" Target="https://www.bashh.org/_userfiles/pages/files/bashh_mgen_2025.pdf" TargetMode="External"/><Relationship Id="rId46" Type="http://schemas.openxmlformats.org/officeDocument/2006/relationships/theme" Target="theme/theme1.xml"/><Relationship Id="rId20" Type="http://schemas.openxmlformats.org/officeDocument/2006/relationships/hyperlink" Target="https://www.bashh.org/resources/141/doxycycline_postexposure_prophylaxis_2025_new_guideline"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93d8930bde98c6ac7766f2557a46523d">
  <xsd:schema xmlns:xsd="http://www.w3.org/2001/XMLSchema" xmlns:xs="http://www.w3.org/2001/XMLSchema" xmlns:p="http://schemas.microsoft.com/office/2006/metadata/properties" xmlns:ns2="f161132f-3af4-47f5-b28f-8075dccddbe8" targetNamespace="http://schemas.microsoft.com/office/2006/metadata/properties" ma:root="true" ma:fieldsID="5710cd45f6367ad8a316e5327978930e"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Infection &amp; Infectious Diseases</Workstream>
    <ReviewDate xmlns="f161132f-3af4-47f5-b28f-8075dccddbe8" xsi:nil="true"/>
    <Versionnumber xmlns="f161132f-3af4-47f5-b28f-8075dccddbe8">2</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16A08-46E5-454B-8C17-FEE9B6D4D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3.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f161132f-3af4-47f5-b28f-8075dccddbe8"/>
  </ds:schemaRefs>
</ds:datastoreItem>
</file>

<file path=customXml/itemProps4.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Barbara Parkinson</cp:lastModifiedBy>
  <cp:revision>5</cp:revision>
  <cp:lastPrinted>2017-03-27T13:58:00Z</cp:lastPrinted>
  <dcterms:created xsi:type="dcterms:W3CDTF">2025-10-30T16:31:00Z</dcterms:created>
  <dcterms:modified xsi:type="dcterms:W3CDTF">2025-11-12T14:17:00Z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