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B00753" w14:paraId="58EC9A39" w14:textId="77777777" w:rsidTr="009B0BCE">
        <w:trPr>
          <w:trHeight w:val="192"/>
        </w:trPr>
        <w:tc>
          <w:tcPr>
            <w:tcW w:w="5000" w:type="pct"/>
            <w:tcMar>
              <w:top w:w="57" w:type="dxa"/>
              <w:bottom w:w="57" w:type="dxa"/>
            </w:tcMar>
          </w:tcPr>
          <w:p w14:paraId="5C703D4D" w14:textId="77777777" w:rsidR="00D2402E" w:rsidRPr="00B00753" w:rsidRDefault="00860B89" w:rsidP="00F81A28">
            <w:pPr>
              <w:jc w:val="right"/>
              <w:rPr>
                <w:rFonts w:cs="Arial"/>
                <w:b/>
                <w:bCs/>
                <w:iCs/>
                <w:color w:val="0070C0"/>
                <w:sz w:val="15"/>
                <w:szCs w:val="15"/>
              </w:rPr>
            </w:pPr>
            <w:r w:rsidRPr="00B00753">
              <w:rPr>
                <w:rFonts w:cs="Arial"/>
                <w:b/>
                <w:bCs/>
                <w:iCs/>
                <w:color w:val="333399"/>
                <w:sz w:val="15"/>
                <w:szCs w:val="15"/>
              </w:rPr>
              <w:t xml:space="preserve">  </w:t>
            </w:r>
            <w:r w:rsidR="00A3053B" w:rsidRPr="00B00753">
              <w:rPr>
                <w:rFonts w:cs="Arial"/>
                <w:b/>
                <w:bCs/>
                <w:iCs/>
                <w:color w:val="333399"/>
                <w:sz w:val="15"/>
                <w:szCs w:val="15"/>
              </w:rPr>
              <w:t xml:space="preserve"> </w:t>
            </w:r>
            <w:r w:rsidR="00AB34E3" w:rsidRPr="00B00753">
              <w:rPr>
                <w:rFonts w:cs="Arial"/>
                <w:b/>
                <w:bCs/>
                <w:iCs/>
                <w:color w:val="333399"/>
                <w:sz w:val="15"/>
                <w:szCs w:val="15"/>
              </w:rPr>
              <w:t xml:space="preserve"> </w:t>
            </w:r>
            <w:r w:rsidR="009C539A" w:rsidRPr="00B00753">
              <w:rPr>
                <w:rFonts w:cs="Arial"/>
                <w:b/>
                <w:bCs/>
                <w:iCs/>
                <w:color w:val="333399"/>
                <w:sz w:val="15"/>
                <w:szCs w:val="15"/>
              </w:rPr>
              <w:t xml:space="preserve"> </w:t>
            </w:r>
            <w:hyperlink r:id="rId11" w:tgtFrame="_blank" w:history="1">
              <w:r w:rsidR="00F81A28" w:rsidRPr="00B00753">
                <w:rPr>
                  <w:rStyle w:val="Hyperlink"/>
                  <w:rFonts w:ascii="Arial" w:hAnsi="Arial" w:cs="Arial"/>
                  <w:b/>
                  <w:bCs/>
                  <w:iCs/>
                  <w:color w:val="0070C0"/>
                  <w:sz w:val="20"/>
                  <w:szCs w:val="15"/>
                </w:rPr>
                <w:t>SPS</w:t>
              </w:r>
              <w:r w:rsidR="00D2402E" w:rsidRPr="00B00753">
                <w:rPr>
                  <w:rStyle w:val="Hyperlink"/>
                  <w:rFonts w:ascii="Arial" w:hAnsi="Arial" w:cs="Arial"/>
                  <w:b/>
                  <w:bCs/>
                  <w:iCs/>
                  <w:color w:val="0070C0"/>
                  <w:sz w:val="20"/>
                  <w:szCs w:val="15"/>
                </w:rPr>
                <w:t xml:space="preserve"> home</w:t>
              </w:r>
            </w:hyperlink>
            <w:r w:rsidR="00D2402E" w:rsidRPr="00B00753">
              <w:rPr>
                <w:rFonts w:cs="Arial"/>
                <w:b/>
                <w:bCs/>
                <w:iCs/>
                <w:color w:val="0070C0"/>
                <w:sz w:val="20"/>
                <w:szCs w:val="15"/>
              </w:rPr>
              <w:t xml:space="preserve"> | </w:t>
            </w:r>
            <w:hyperlink r:id="rId12" w:history="1">
              <w:r w:rsidR="00D2402E" w:rsidRPr="00B00753">
                <w:rPr>
                  <w:rStyle w:val="Hyperlink"/>
                  <w:rFonts w:ascii="Arial" w:hAnsi="Arial" w:cs="Arial"/>
                  <w:b/>
                  <w:bCs/>
                  <w:iCs/>
                  <w:color w:val="0070C0"/>
                  <w:sz w:val="20"/>
                  <w:szCs w:val="15"/>
                </w:rPr>
                <w:t>Contact</w:t>
              </w:r>
            </w:hyperlink>
          </w:p>
        </w:tc>
      </w:tr>
    </w:tbl>
    <w:p w14:paraId="07E56217" w14:textId="77777777" w:rsidR="00B85859" w:rsidRPr="00B00753"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2870"/>
        <w:gridCol w:w="7681"/>
      </w:tblGrid>
      <w:tr w:rsidR="0020101A" w:rsidRPr="00B00753" w14:paraId="7E9A8FF4" w14:textId="77777777" w:rsidTr="002772ED">
        <w:tc>
          <w:tcPr>
            <w:tcW w:w="5000" w:type="pct"/>
            <w:gridSpan w:val="2"/>
            <w:shd w:val="clear" w:color="auto" w:fill="0070C0"/>
            <w:tcMar>
              <w:top w:w="85" w:type="dxa"/>
              <w:bottom w:w="85" w:type="dxa"/>
            </w:tcMar>
            <w:vAlign w:val="bottom"/>
          </w:tcPr>
          <w:p w14:paraId="05F0B69E" w14:textId="77777777" w:rsidR="0020101A" w:rsidRPr="00B00753" w:rsidRDefault="0020101A" w:rsidP="00720F9E">
            <w:pPr>
              <w:rPr>
                <w:rFonts w:cs="Arial"/>
                <w:color w:val="FFFFFF"/>
                <w:sz w:val="15"/>
                <w:szCs w:val="15"/>
              </w:rPr>
            </w:pPr>
            <w:r w:rsidRPr="00B00753">
              <w:rPr>
                <w:rFonts w:cs="Arial"/>
                <w:b/>
                <w:bCs/>
                <w:iCs/>
                <w:color w:val="FFFFFF"/>
                <w:sz w:val="28"/>
                <w:szCs w:val="28"/>
              </w:rPr>
              <w:t>New product information</w:t>
            </w:r>
            <w:r w:rsidRPr="00B00753">
              <w:rPr>
                <w:rFonts w:cs="Arial"/>
                <w:b/>
                <w:bCs/>
                <w:iCs/>
                <w:color w:val="FFFFFF"/>
                <w:sz w:val="28"/>
                <w:szCs w:val="28"/>
              </w:rPr>
              <w:tab/>
            </w:r>
          </w:p>
        </w:tc>
      </w:tr>
      <w:tr w:rsidR="0020101A" w:rsidRPr="00B00753" w14:paraId="0CA3D9F9" w14:textId="77777777" w:rsidTr="002772ED">
        <w:tc>
          <w:tcPr>
            <w:tcW w:w="5000" w:type="pct"/>
            <w:gridSpan w:val="2"/>
            <w:shd w:val="clear" w:color="auto" w:fill="DAEEF3"/>
            <w:tcMar>
              <w:top w:w="0" w:type="dxa"/>
              <w:bottom w:w="0" w:type="dxa"/>
            </w:tcMar>
          </w:tcPr>
          <w:p w14:paraId="0A918B90" w14:textId="77777777" w:rsidR="0020101A" w:rsidRPr="00B00753" w:rsidRDefault="0020101A" w:rsidP="00720F9E">
            <w:pPr>
              <w:rPr>
                <w:rFonts w:cs="Arial"/>
                <w:b/>
                <w:bCs/>
                <w:i/>
                <w:iCs/>
                <w:color w:val="000000"/>
                <w:sz w:val="8"/>
                <w:szCs w:val="8"/>
              </w:rPr>
            </w:pPr>
          </w:p>
        </w:tc>
      </w:tr>
      <w:tr w:rsidR="0020101A" w:rsidRPr="00B00753" w14:paraId="354EA77C" w14:textId="77777777" w:rsidTr="00562CE4">
        <w:tc>
          <w:tcPr>
            <w:tcW w:w="5000" w:type="pct"/>
            <w:gridSpan w:val="2"/>
            <w:shd w:val="clear" w:color="auto" w:fill="008232"/>
            <w:tcMar>
              <w:top w:w="57" w:type="dxa"/>
              <w:bottom w:w="57" w:type="dxa"/>
            </w:tcMar>
          </w:tcPr>
          <w:p w14:paraId="04EDE3F3" w14:textId="77777777" w:rsidR="0020101A" w:rsidRPr="00B00753" w:rsidRDefault="0020101A" w:rsidP="00720F9E">
            <w:pPr>
              <w:rPr>
                <w:rFonts w:cs="Arial"/>
                <w:color w:val="FFFFFF"/>
                <w:sz w:val="20"/>
                <w:szCs w:val="20"/>
              </w:rPr>
            </w:pPr>
            <w:r w:rsidRPr="00B00753">
              <w:rPr>
                <w:rFonts w:cs="Arial"/>
                <w:b/>
                <w:bCs/>
                <w:i/>
                <w:iCs/>
                <w:color w:val="FFFFFF"/>
                <w:sz w:val="22"/>
                <w:szCs w:val="20"/>
              </w:rPr>
              <w:t>Launched in the UK (or licence change for existing products)</w:t>
            </w:r>
          </w:p>
        </w:tc>
      </w:tr>
      <w:tr w:rsidR="00891C24" w:rsidRPr="00B00753" w14:paraId="24863E10" w14:textId="77777777" w:rsidTr="00C17CC5">
        <w:tc>
          <w:tcPr>
            <w:tcW w:w="1360" w:type="pct"/>
            <w:tcMar>
              <w:top w:w="57" w:type="dxa"/>
              <w:left w:w="170" w:type="dxa"/>
              <w:bottom w:w="57" w:type="dxa"/>
              <w:right w:w="170" w:type="dxa"/>
            </w:tcMar>
          </w:tcPr>
          <w:p w14:paraId="61684DBE" w14:textId="77777777" w:rsidR="00891C24" w:rsidRPr="00B00753" w:rsidRDefault="00891C24" w:rsidP="00891C24">
            <w:pPr>
              <w:rPr>
                <w:rFonts w:cs="Arial"/>
                <w:color w:val="000000" w:themeColor="text1"/>
                <w:szCs w:val="19"/>
              </w:rPr>
            </w:pPr>
            <w:r w:rsidRPr="00B00753">
              <w:rPr>
                <w:rFonts w:cs="Arial"/>
                <w:color w:val="000000" w:themeColor="text1"/>
                <w:szCs w:val="19"/>
              </w:rPr>
              <w:t>Adrenaline (</w:t>
            </w:r>
            <w:proofErr w:type="spellStart"/>
            <w:r w:rsidRPr="00B00753">
              <w:rPr>
                <w:rFonts w:cs="Arial"/>
                <w:i/>
                <w:iCs/>
                <w:color w:val="000000" w:themeColor="text1"/>
                <w:szCs w:val="19"/>
              </w:rPr>
              <w:t>EURneffy</w:t>
            </w:r>
            <w:proofErr w:type="spellEnd"/>
            <w:r w:rsidRPr="00B00753">
              <w:rPr>
                <w:rFonts w:cs="Arial"/>
                <w:color w:val="000000" w:themeColor="text1"/>
                <w:szCs w:val="19"/>
              </w:rPr>
              <w:t>)</w:t>
            </w:r>
          </w:p>
          <w:p w14:paraId="797B5E11" w14:textId="77777777" w:rsidR="00891C24" w:rsidRPr="00B00753" w:rsidRDefault="00891C24" w:rsidP="00891C24">
            <w:pPr>
              <w:rPr>
                <w:rFonts w:cs="Arial"/>
                <w:color w:val="000000" w:themeColor="text1"/>
                <w:sz w:val="16"/>
                <w:szCs w:val="16"/>
              </w:rPr>
            </w:pPr>
            <w:r w:rsidRPr="00B00753">
              <w:rPr>
                <w:rFonts w:cs="Arial"/>
                <w:color w:val="000000" w:themeColor="text1"/>
                <w:sz w:val="16"/>
                <w:szCs w:val="16"/>
              </w:rPr>
              <w:t>2mg single-dose nasal spray</w:t>
            </w:r>
          </w:p>
          <w:p w14:paraId="257C2175" w14:textId="77777777" w:rsidR="00891C24" w:rsidRPr="00B00753" w:rsidRDefault="00891C24" w:rsidP="00891C24">
            <w:pPr>
              <w:rPr>
                <w:rFonts w:cs="Arial"/>
                <w:szCs w:val="19"/>
              </w:rPr>
            </w:pPr>
          </w:p>
        </w:tc>
        <w:tc>
          <w:tcPr>
            <w:tcW w:w="3640" w:type="pct"/>
            <w:tcMar>
              <w:top w:w="57" w:type="dxa"/>
              <w:left w:w="170" w:type="dxa"/>
              <w:bottom w:w="57" w:type="dxa"/>
              <w:right w:w="170" w:type="dxa"/>
            </w:tcMar>
          </w:tcPr>
          <w:p w14:paraId="0CD4AF89" w14:textId="0805E326" w:rsidR="00891C24" w:rsidRPr="00B00753" w:rsidRDefault="00891C24" w:rsidP="00891C24">
            <w:pPr>
              <w:tabs>
                <w:tab w:val="center" w:pos="3152"/>
              </w:tabs>
              <w:rPr>
                <w:rFonts w:cs="Arial"/>
                <w:color w:val="000000" w:themeColor="text1"/>
                <w:szCs w:val="19"/>
              </w:rPr>
            </w:pPr>
            <w:r w:rsidRPr="00B00753">
              <w:rPr>
                <w:rFonts w:cs="Arial"/>
                <w:color w:val="000000" w:themeColor="text1"/>
                <w:szCs w:val="19"/>
              </w:rPr>
              <w:t xml:space="preserve">Emergency treatment of severe allergic reactions (anaphylaxis) due to insect stings or bites, foods, medicinal products, and other allergens as well as idiopathic or exercise-induced anaphylaxis, for adults and children with a body weight ≥30kg </w:t>
            </w:r>
          </w:p>
          <w:p w14:paraId="261C3E14" w14:textId="565EC9E6" w:rsidR="00891C24" w:rsidRPr="00B00753" w:rsidRDefault="00891C24" w:rsidP="00891C24">
            <w:pPr>
              <w:tabs>
                <w:tab w:val="center" w:pos="3152"/>
              </w:tabs>
              <w:rPr>
                <w:rFonts w:cs="Arial"/>
                <w:szCs w:val="19"/>
              </w:rPr>
            </w:pPr>
            <w:r w:rsidRPr="00B00753">
              <w:rPr>
                <w:rFonts w:cs="Arial"/>
                <w:color w:val="000000" w:themeColor="text1"/>
                <w:sz w:val="16"/>
                <w:szCs w:val="16"/>
              </w:rPr>
              <w:t>[new formulation]</w:t>
            </w:r>
          </w:p>
        </w:tc>
      </w:tr>
      <w:tr w:rsidR="002612A1" w:rsidRPr="00B00753" w14:paraId="5B244CDC" w14:textId="77777777" w:rsidTr="00C17CC5">
        <w:tc>
          <w:tcPr>
            <w:tcW w:w="1360" w:type="pct"/>
            <w:tcMar>
              <w:top w:w="57" w:type="dxa"/>
              <w:left w:w="170" w:type="dxa"/>
              <w:bottom w:w="57" w:type="dxa"/>
              <w:right w:w="170" w:type="dxa"/>
            </w:tcMar>
          </w:tcPr>
          <w:p w14:paraId="210B7A83" w14:textId="77777777" w:rsidR="002612A1" w:rsidRPr="00B00753" w:rsidRDefault="002612A1" w:rsidP="00792109">
            <w:pPr>
              <w:rPr>
                <w:rFonts w:cs="Arial"/>
                <w:color w:val="000000" w:themeColor="text1"/>
                <w:szCs w:val="19"/>
              </w:rPr>
            </w:pPr>
            <w:r w:rsidRPr="00B00753">
              <w:rPr>
                <w:rFonts w:cs="Arial"/>
                <w:color w:val="000000" w:themeColor="text1"/>
                <w:szCs w:val="19"/>
              </w:rPr>
              <w:t>Daratumumab (</w:t>
            </w:r>
            <w:proofErr w:type="spellStart"/>
            <w:r w:rsidR="00452003" w:rsidRPr="00B00753">
              <w:rPr>
                <w:rFonts w:cs="Arial"/>
                <w:i/>
                <w:iCs/>
                <w:color w:val="000000" w:themeColor="text1"/>
                <w:szCs w:val="19"/>
              </w:rPr>
              <w:t>Darzalex</w:t>
            </w:r>
            <w:proofErr w:type="spellEnd"/>
            <w:r w:rsidR="00452003" w:rsidRPr="00B00753">
              <w:rPr>
                <w:rFonts w:cs="Arial"/>
                <w:color w:val="000000" w:themeColor="text1"/>
                <w:szCs w:val="19"/>
              </w:rPr>
              <w:t>)</w:t>
            </w:r>
          </w:p>
          <w:p w14:paraId="5CC4A36A" w14:textId="0C614DDE" w:rsidR="00EE3C30" w:rsidRPr="00B00753" w:rsidRDefault="00EE3C30" w:rsidP="00792109">
            <w:pPr>
              <w:rPr>
                <w:rFonts w:cs="Arial"/>
                <w:color w:val="000000" w:themeColor="text1"/>
                <w:szCs w:val="19"/>
              </w:rPr>
            </w:pPr>
            <w:r w:rsidRPr="00B00753">
              <w:rPr>
                <w:rFonts w:cs="Arial"/>
                <w:color w:val="000000" w:themeColor="text1"/>
                <w:sz w:val="16"/>
                <w:szCs w:val="16"/>
              </w:rPr>
              <w:t>1,</w:t>
            </w:r>
            <w:r w:rsidR="00F03AD1" w:rsidRPr="00B00753">
              <w:rPr>
                <w:rFonts w:cs="Arial"/>
                <w:color w:val="000000" w:themeColor="text1"/>
                <w:sz w:val="16"/>
                <w:szCs w:val="16"/>
              </w:rPr>
              <w:t>800mg in 15mL vial</w:t>
            </w:r>
          </w:p>
        </w:tc>
        <w:tc>
          <w:tcPr>
            <w:tcW w:w="3640" w:type="pct"/>
            <w:tcMar>
              <w:top w:w="57" w:type="dxa"/>
              <w:left w:w="170" w:type="dxa"/>
              <w:bottom w:w="57" w:type="dxa"/>
              <w:right w:w="170" w:type="dxa"/>
            </w:tcMar>
          </w:tcPr>
          <w:p w14:paraId="7EBE0720" w14:textId="53F9296E" w:rsidR="002612A1" w:rsidRPr="00B00753" w:rsidRDefault="00EE3C30" w:rsidP="00792109">
            <w:pPr>
              <w:tabs>
                <w:tab w:val="center" w:pos="3152"/>
              </w:tabs>
              <w:rPr>
                <w:rFonts w:cs="Arial"/>
                <w:color w:val="000000" w:themeColor="text1"/>
                <w:szCs w:val="19"/>
              </w:rPr>
            </w:pPr>
            <w:r w:rsidRPr="00B00753">
              <w:rPr>
                <w:rFonts w:cs="Arial"/>
                <w:color w:val="000000" w:themeColor="text1"/>
                <w:szCs w:val="19"/>
              </w:rPr>
              <w:t xml:space="preserve">Use as monotherapy for the treatment of adults with smouldering multiple myeloma at high risk of developing multiple myeloma </w:t>
            </w:r>
            <w:r w:rsidRPr="00B00753">
              <w:rPr>
                <w:rFonts w:cs="Arial"/>
                <w:color w:val="000000" w:themeColor="text1"/>
                <w:sz w:val="16"/>
                <w:szCs w:val="16"/>
              </w:rPr>
              <w:t>[new indication]</w:t>
            </w:r>
          </w:p>
        </w:tc>
      </w:tr>
      <w:tr w:rsidR="001202CF" w:rsidRPr="00B00753" w14:paraId="3001D114" w14:textId="77777777" w:rsidTr="00C17CC5">
        <w:tc>
          <w:tcPr>
            <w:tcW w:w="1360" w:type="pct"/>
            <w:tcMar>
              <w:top w:w="57" w:type="dxa"/>
              <w:left w:w="170" w:type="dxa"/>
              <w:bottom w:w="57" w:type="dxa"/>
              <w:right w:w="170" w:type="dxa"/>
            </w:tcMar>
          </w:tcPr>
          <w:p w14:paraId="4C222711" w14:textId="77777777" w:rsidR="001202CF" w:rsidRPr="00B00753" w:rsidRDefault="001202CF" w:rsidP="00792109">
            <w:pPr>
              <w:rPr>
                <w:rFonts w:cs="Arial"/>
                <w:color w:val="000000" w:themeColor="text1"/>
                <w:szCs w:val="19"/>
              </w:rPr>
            </w:pPr>
            <w:r w:rsidRPr="00B00753">
              <w:rPr>
                <w:rFonts w:cs="Arial"/>
                <w:color w:val="000000" w:themeColor="text1"/>
                <w:szCs w:val="19"/>
              </w:rPr>
              <w:t>Dupilumab (</w:t>
            </w:r>
            <w:r w:rsidRPr="00B00753">
              <w:rPr>
                <w:rFonts w:cs="Arial"/>
                <w:i/>
                <w:iCs/>
                <w:color w:val="000000" w:themeColor="text1"/>
                <w:szCs w:val="19"/>
              </w:rPr>
              <w:t>Dupixent</w:t>
            </w:r>
            <w:r w:rsidRPr="00B00753">
              <w:rPr>
                <w:rFonts w:cs="Arial"/>
                <w:color w:val="000000" w:themeColor="text1"/>
                <w:szCs w:val="19"/>
              </w:rPr>
              <w:t>)</w:t>
            </w:r>
          </w:p>
          <w:p w14:paraId="46B782D8" w14:textId="40D85274" w:rsidR="001202CF" w:rsidRPr="00B00753" w:rsidRDefault="001202CF" w:rsidP="00792109">
            <w:pPr>
              <w:rPr>
                <w:rFonts w:cs="Arial"/>
                <w:color w:val="000000" w:themeColor="text1"/>
                <w:szCs w:val="19"/>
              </w:rPr>
            </w:pPr>
            <w:r w:rsidRPr="00B00753">
              <w:rPr>
                <w:rFonts w:cs="Arial"/>
                <w:color w:val="000000" w:themeColor="text1"/>
                <w:sz w:val="16"/>
                <w:szCs w:val="16"/>
              </w:rPr>
              <w:t>200mg in 1.14mL</w:t>
            </w:r>
            <w:r w:rsidR="003A65DF" w:rsidRPr="00B00753">
              <w:rPr>
                <w:rFonts w:cs="Arial"/>
                <w:color w:val="000000" w:themeColor="text1"/>
                <w:sz w:val="16"/>
                <w:szCs w:val="16"/>
              </w:rPr>
              <w:t xml:space="preserve"> and 300mg in 2mL prefilled pens and syringes</w:t>
            </w:r>
          </w:p>
        </w:tc>
        <w:tc>
          <w:tcPr>
            <w:tcW w:w="3640" w:type="pct"/>
            <w:tcMar>
              <w:top w:w="57" w:type="dxa"/>
              <w:left w:w="170" w:type="dxa"/>
              <w:bottom w:w="57" w:type="dxa"/>
              <w:right w:w="170" w:type="dxa"/>
            </w:tcMar>
          </w:tcPr>
          <w:p w14:paraId="09237310" w14:textId="5F74CF9F" w:rsidR="001202CF" w:rsidRPr="00B00753" w:rsidRDefault="003A65DF" w:rsidP="00792109">
            <w:pPr>
              <w:tabs>
                <w:tab w:val="center" w:pos="3152"/>
              </w:tabs>
              <w:rPr>
                <w:rFonts w:cs="Arial"/>
                <w:color w:val="000000" w:themeColor="text1"/>
                <w:sz w:val="16"/>
                <w:szCs w:val="16"/>
              </w:rPr>
            </w:pPr>
            <w:r w:rsidRPr="00B00753">
              <w:rPr>
                <w:rFonts w:cs="Arial"/>
                <w:color w:val="000000" w:themeColor="text1"/>
                <w:szCs w:val="19"/>
              </w:rPr>
              <w:t>T</w:t>
            </w:r>
            <w:r w:rsidR="001202CF" w:rsidRPr="00B00753">
              <w:rPr>
                <w:rFonts w:cs="Arial"/>
                <w:color w:val="000000" w:themeColor="text1"/>
                <w:szCs w:val="19"/>
              </w:rPr>
              <w:t xml:space="preserve">reatment of chronic spontaneous urticaria in patients aged </w:t>
            </w:r>
            <w:r w:rsidRPr="00B00753">
              <w:rPr>
                <w:rFonts w:cs="Arial"/>
                <w:color w:val="000000" w:themeColor="text1"/>
                <w:szCs w:val="19"/>
              </w:rPr>
              <w:t>≥</w:t>
            </w:r>
            <w:r w:rsidR="001202CF" w:rsidRPr="00B00753">
              <w:rPr>
                <w:rFonts w:cs="Arial"/>
                <w:color w:val="000000" w:themeColor="text1"/>
                <w:szCs w:val="19"/>
              </w:rPr>
              <w:t>12 years whose disease is not adequately controlled with H1 antihistamine treatment</w:t>
            </w:r>
            <w:r w:rsidRPr="00B00753">
              <w:rPr>
                <w:rFonts w:cs="Arial"/>
                <w:color w:val="000000" w:themeColor="text1"/>
                <w:szCs w:val="19"/>
              </w:rPr>
              <w:t xml:space="preserve"> </w:t>
            </w:r>
            <w:r w:rsidRPr="00B00753">
              <w:rPr>
                <w:rFonts w:cs="Arial"/>
                <w:color w:val="000000" w:themeColor="text1"/>
                <w:sz w:val="16"/>
                <w:szCs w:val="16"/>
              </w:rPr>
              <w:t>[new indication]</w:t>
            </w:r>
          </w:p>
        </w:tc>
      </w:tr>
      <w:tr w:rsidR="00792109" w:rsidRPr="00B00753" w14:paraId="48489140" w14:textId="77777777" w:rsidTr="00C17CC5">
        <w:tc>
          <w:tcPr>
            <w:tcW w:w="1360" w:type="pct"/>
            <w:tcMar>
              <w:top w:w="57" w:type="dxa"/>
              <w:left w:w="170" w:type="dxa"/>
              <w:bottom w:w="57" w:type="dxa"/>
              <w:right w:w="170" w:type="dxa"/>
            </w:tcMar>
          </w:tcPr>
          <w:p w14:paraId="795D6CDA" w14:textId="77777777" w:rsidR="00792109" w:rsidRPr="00B00753" w:rsidRDefault="00792109" w:rsidP="00792109">
            <w:pPr>
              <w:rPr>
                <w:rFonts w:cs="Arial"/>
                <w:color w:val="000000" w:themeColor="text1"/>
                <w:szCs w:val="19"/>
              </w:rPr>
            </w:pPr>
            <w:proofErr w:type="spellStart"/>
            <w:r w:rsidRPr="00B00753">
              <w:rPr>
                <w:rFonts w:cs="Arial"/>
                <w:color w:val="000000" w:themeColor="text1"/>
                <w:szCs w:val="19"/>
              </w:rPr>
              <w:t>Garadacimab</w:t>
            </w:r>
            <w:proofErr w:type="spellEnd"/>
            <w:r w:rsidRPr="00B00753">
              <w:rPr>
                <w:rFonts w:cs="Arial"/>
                <w:color w:val="000000" w:themeColor="text1"/>
                <w:szCs w:val="19"/>
              </w:rPr>
              <w:t xml:space="preserve"> (</w:t>
            </w:r>
            <w:proofErr w:type="spellStart"/>
            <w:r w:rsidRPr="00B00753">
              <w:rPr>
                <w:rFonts w:cs="Arial"/>
                <w:i/>
                <w:iCs/>
                <w:color w:val="000000" w:themeColor="text1"/>
                <w:szCs w:val="19"/>
              </w:rPr>
              <w:t>Andembry</w:t>
            </w:r>
            <w:proofErr w:type="spellEnd"/>
            <w:r w:rsidRPr="00B00753">
              <w:rPr>
                <w:rFonts w:cs="Arial"/>
                <w:color w:val="000000" w:themeColor="text1"/>
                <w:szCs w:val="19"/>
              </w:rPr>
              <w:t>)</w:t>
            </w:r>
          </w:p>
          <w:p w14:paraId="434932EB" w14:textId="423F5A61" w:rsidR="00792109" w:rsidRPr="00B00753" w:rsidRDefault="00792109" w:rsidP="00792109">
            <w:pPr>
              <w:rPr>
                <w:rFonts w:cs="Arial"/>
                <w:szCs w:val="19"/>
              </w:rPr>
            </w:pPr>
            <w:r w:rsidRPr="00B00753">
              <w:rPr>
                <w:rFonts w:cs="Arial"/>
                <w:color w:val="000000" w:themeColor="text1"/>
                <w:sz w:val="16"/>
                <w:szCs w:val="16"/>
              </w:rPr>
              <w:t>200mg in 1.2mL prefilled pen</w:t>
            </w:r>
          </w:p>
        </w:tc>
        <w:tc>
          <w:tcPr>
            <w:tcW w:w="3640" w:type="pct"/>
            <w:tcMar>
              <w:top w:w="57" w:type="dxa"/>
              <w:left w:w="170" w:type="dxa"/>
              <w:bottom w:w="57" w:type="dxa"/>
              <w:right w:w="170" w:type="dxa"/>
            </w:tcMar>
          </w:tcPr>
          <w:p w14:paraId="6A332CBF" w14:textId="1AE891D5" w:rsidR="00792109" w:rsidRPr="00B00753" w:rsidRDefault="00792109" w:rsidP="00792109">
            <w:pPr>
              <w:tabs>
                <w:tab w:val="center" w:pos="3152"/>
              </w:tabs>
              <w:rPr>
                <w:rFonts w:cs="Arial"/>
                <w:szCs w:val="19"/>
              </w:rPr>
            </w:pPr>
            <w:r w:rsidRPr="00B00753">
              <w:rPr>
                <w:rFonts w:cs="Arial"/>
                <w:color w:val="000000" w:themeColor="text1"/>
                <w:szCs w:val="19"/>
              </w:rPr>
              <w:t>Routine prevention of recurrent attacks of hereditary angioedema in adults and adolescents aged ≥12 years</w:t>
            </w:r>
          </w:p>
        </w:tc>
      </w:tr>
      <w:tr w:rsidR="00792109" w:rsidRPr="00B00753" w14:paraId="7FE505B4" w14:textId="77777777" w:rsidTr="00C17CC5">
        <w:tc>
          <w:tcPr>
            <w:tcW w:w="1360" w:type="pct"/>
            <w:tcMar>
              <w:top w:w="57" w:type="dxa"/>
              <w:left w:w="170" w:type="dxa"/>
              <w:bottom w:w="57" w:type="dxa"/>
              <w:right w:w="170" w:type="dxa"/>
            </w:tcMar>
          </w:tcPr>
          <w:p w14:paraId="08F37433" w14:textId="77777777" w:rsidR="00792109" w:rsidRPr="00B00753" w:rsidRDefault="00792109" w:rsidP="00792109">
            <w:pPr>
              <w:rPr>
                <w:rFonts w:cs="Arial"/>
                <w:szCs w:val="19"/>
              </w:rPr>
            </w:pPr>
            <w:r w:rsidRPr="00B00753">
              <w:rPr>
                <w:rFonts w:cs="Arial"/>
                <w:szCs w:val="19"/>
              </w:rPr>
              <w:t>Liraglutide biosimilar (</w:t>
            </w:r>
            <w:proofErr w:type="spellStart"/>
            <w:r w:rsidRPr="00B00753">
              <w:rPr>
                <w:rFonts w:cs="Arial"/>
                <w:i/>
                <w:iCs/>
                <w:szCs w:val="19"/>
              </w:rPr>
              <w:t>Plaobes</w:t>
            </w:r>
            <w:proofErr w:type="spellEnd"/>
            <w:r w:rsidRPr="00B00753">
              <w:rPr>
                <w:rFonts w:cs="Arial"/>
                <w:szCs w:val="19"/>
              </w:rPr>
              <w:t>)</w:t>
            </w:r>
          </w:p>
          <w:p w14:paraId="4D07B983" w14:textId="7EBD6BD1" w:rsidR="00792109" w:rsidRPr="00B00753" w:rsidRDefault="00792109" w:rsidP="00792109">
            <w:pPr>
              <w:rPr>
                <w:rFonts w:cs="Arial"/>
                <w:szCs w:val="19"/>
              </w:rPr>
            </w:pPr>
            <w:r w:rsidRPr="00B00753">
              <w:rPr>
                <w:rFonts w:cs="Arial"/>
                <w:sz w:val="16"/>
                <w:szCs w:val="16"/>
              </w:rPr>
              <w:t>18mg in 3mL prefilled pen</w:t>
            </w:r>
          </w:p>
        </w:tc>
        <w:tc>
          <w:tcPr>
            <w:tcW w:w="3640" w:type="pct"/>
            <w:tcMar>
              <w:top w:w="57" w:type="dxa"/>
              <w:left w:w="170" w:type="dxa"/>
              <w:bottom w:w="57" w:type="dxa"/>
              <w:right w:w="170" w:type="dxa"/>
            </w:tcMar>
          </w:tcPr>
          <w:p w14:paraId="3C64BE4B" w14:textId="43DE1FF8" w:rsidR="00792109" w:rsidRPr="00B00753" w:rsidRDefault="00792109" w:rsidP="00792109">
            <w:pPr>
              <w:tabs>
                <w:tab w:val="center" w:pos="3152"/>
              </w:tabs>
              <w:rPr>
                <w:rFonts w:cs="Arial"/>
                <w:bCs/>
                <w:szCs w:val="19"/>
              </w:rPr>
            </w:pPr>
            <w:r w:rsidRPr="00B00753">
              <w:rPr>
                <w:rFonts w:cs="Arial"/>
                <w:szCs w:val="19"/>
              </w:rPr>
              <w:t xml:space="preserve">Use as an adjunct to a reduced-calorie diet and increased physical activity for weight management in adults with an initial body mass index (BMI) of ≥30kg/m² (obesity), or ≥27kg/m² to &lt;30kg/m² (overweight) in the presence of at least one weight-related comorbidity such as </w:t>
            </w:r>
            <w:proofErr w:type="spellStart"/>
            <w:r w:rsidRPr="00B00753">
              <w:rPr>
                <w:rFonts w:cs="Arial"/>
                <w:szCs w:val="19"/>
              </w:rPr>
              <w:t>dysglycaemia</w:t>
            </w:r>
            <w:proofErr w:type="spellEnd"/>
            <w:r w:rsidRPr="00B00753">
              <w:rPr>
                <w:rFonts w:cs="Arial"/>
                <w:szCs w:val="19"/>
              </w:rPr>
              <w:t xml:space="preserve"> (pre-diabetes or type 2 diabetes mellitus), hypertension, dyslipidaemia or obstructive sleep apnoea. Also use as an adjunct to a healthy nutrition and increased physical activity for weight management in adolescent patients aged ≥12 years with obesity (BMI corresponding to ≥30kg/m</w:t>
            </w:r>
            <w:r w:rsidRPr="00AB358E">
              <w:rPr>
                <w:rFonts w:cs="Arial"/>
                <w:szCs w:val="19"/>
                <w:vertAlign w:val="superscript"/>
              </w:rPr>
              <w:t>2</w:t>
            </w:r>
            <w:r w:rsidRPr="00B00753">
              <w:rPr>
                <w:rFonts w:cs="Arial"/>
                <w:szCs w:val="19"/>
              </w:rPr>
              <w:t xml:space="preserve"> for adults by international cut-off points) and body weight &gt;60kg</w:t>
            </w:r>
          </w:p>
        </w:tc>
      </w:tr>
      <w:tr w:rsidR="00792109" w:rsidRPr="00B00753" w14:paraId="26704AD5" w14:textId="77777777" w:rsidTr="00C17CC5">
        <w:tc>
          <w:tcPr>
            <w:tcW w:w="1360" w:type="pct"/>
            <w:tcMar>
              <w:top w:w="57" w:type="dxa"/>
              <w:left w:w="170" w:type="dxa"/>
              <w:bottom w:w="57" w:type="dxa"/>
              <w:right w:w="170" w:type="dxa"/>
            </w:tcMar>
          </w:tcPr>
          <w:p w14:paraId="7359B7BA" w14:textId="77777777" w:rsidR="00792109" w:rsidRPr="00B00753" w:rsidRDefault="00792109" w:rsidP="00792109">
            <w:pPr>
              <w:rPr>
                <w:rFonts w:cs="Arial"/>
                <w:szCs w:val="19"/>
              </w:rPr>
            </w:pPr>
            <w:proofErr w:type="spellStart"/>
            <w:r w:rsidRPr="00B00753">
              <w:rPr>
                <w:rFonts w:cs="Arial"/>
                <w:szCs w:val="19"/>
              </w:rPr>
              <w:t>Lisocabtagene</w:t>
            </w:r>
            <w:proofErr w:type="spellEnd"/>
            <w:r w:rsidRPr="00B00753">
              <w:rPr>
                <w:rFonts w:cs="Arial"/>
                <w:szCs w:val="19"/>
              </w:rPr>
              <w:t xml:space="preserve"> </w:t>
            </w:r>
            <w:proofErr w:type="spellStart"/>
            <w:r w:rsidRPr="00B00753">
              <w:rPr>
                <w:rFonts w:cs="Arial"/>
                <w:szCs w:val="19"/>
              </w:rPr>
              <w:t>maraleucel</w:t>
            </w:r>
            <w:proofErr w:type="spellEnd"/>
            <w:r w:rsidRPr="00B00753">
              <w:rPr>
                <w:rFonts w:cs="Arial"/>
                <w:szCs w:val="19"/>
              </w:rPr>
              <w:t xml:space="preserve"> (</w:t>
            </w:r>
            <w:proofErr w:type="spellStart"/>
            <w:r w:rsidRPr="00B00753">
              <w:rPr>
                <w:rFonts w:cs="Arial"/>
                <w:i/>
                <w:iCs/>
                <w:szCs w:val="19"/>
              </w:rPr>
              <w:t>Breyanzi</w:t>
            </w:r>
            <w:proofErr w:type="spellEnd"/>
            <w:r w:rsidRPr="00B00753">
              <w:rPr>
                <w:rFonts w:cs="Arial"/>
                <w:szCs w:val="19"/>
              </w:rPr>
              <w:t xml:space="preserve">) </w:t>
            </w:r>
          </w:p>
          <w:p w14:paraId="3A002493" w14:textId="53EA4FE8" w:rsidR="00792109" w:rsidRPr="00B00753" w:rsidRDefault="00792109" w:rsidP="00792109">
            <w:pPr>
              <w:rPr>
                <w:rFonts w:cs="Arial"/>
                <w:szCs w:val="19"/>
              </w:rPr>
            </w:pPr>
            <w:r w:rsidRPr="00B00753">
              <w:rPr>
                <w:rFonts w:cs="Arial"/>
                <w:sz w:val="16"/>
                <w:szCs w:val="16"/>
              </w:rPr>
              <w:t>5.1-322 × 10</w:t>
            </w:r>
            <w:r w:rsidRPr="00B00753">
              <w:rPr>
                <w:rFonts w:cs="Arial"/>
                <w:sz w:val="16"/>
                <w:szCs w:val="16"/>
                <w:vertAlign w:val="superscript"/>
              </w:rPr>
              <w:t xml:space="preserve">6 </w:t>
            </w:r>
            <w:r w:rsidRPr="00B00753">
              <w:rPr>
                <w:rFonts w:cs="Arial"/>
                <w:sz w:val="16"/>
                <w:szCs w:val="16"/>
              </w:rPr>
              <w:t>CAR+ viable T cells in 4.6mL vials (CD4+ and CD8+ cell components in separate vials)</w:t>
            </w:r>
          </w:p>
        </w:tc>
        <w:tc>
          <w:tcPr>
            <w:tcW w:w="3640" w:type="pct"/>
            <w:tcMar>
              <w:top w:w="57" w:type="dxa"/>
              <w:left w:w="170" w:type="dxa"/>
              <w:bottom w:w="57" w:type="dxa"/>
              <w:right w:w="170" w:type="dxa"/>
            </w:tcMar>
          </w:tcPr>
          <w:p w14:paraId="3287FFE2" w14:textId="4E286668" w:rsidR="00792109" w:rsidRPr="00B00753" w:rsidRDefault="00792109" w:rsidP="00792109">
            <w:pPr>
              <w:tabs>
                <w:tab w:val="num" w:pos="720"/>
                <w:tab w:val="center" w:pos="3152"/>
              </w:tabs>
              <w:rPr>
                <w:rFonts w:cs="Arial"/>
                <w:szCs w:val="19"/>
              </w:rPr>
            </w:pPr>
            <w:r w:rsidRPr="00B00753">
              <w:rPr>
                <w:rFonts w:cs="Arial"/>
                <w:szCs w:val="19"/>
              </w:rPr>
              <w:t xml:space="preserve">Treatment of adults with relapsed or refractory follicular lymphoma after two or more lines of systemic therapy </w:t>
            </w:r>
            <w:r w:rsidRPr="00B00753">
              <w:rPr>
                <w:rFonts w:cs="Arial"/>
                <w:sz w:val="16"/>
                <w:szCs w:val="16"/>
              </w:rPr>
              <w:t>[new indication]</w:t>
            </w:r>
          </w:p>
        </w:tc>
      </w:tr>
      <w:tr w:rsidR="00792109" w:rsidRPr="00B00753" w14:paraId="58F6EEB6" w14:textId="77777777" w:rsidTr="00C17CC5">
        <w:tc>
          <w:tcPr>
            <w:tcW w:w="1360" w:type="pct"/>
            <w:tcMar>
              <w:top w:w="57" w:type="dxa"/>
              <w:left w:w="170" w:type="dxa"/>
              <w:bottom w:w="57" w:type="dxa"/>
              <w:right w:w="170" w:type="dxa"/>
            </w:tcMar>
          </w:tcPr>
          <w:p w14:paraId="1D83BAA2" w14:textId="77777777" w:rsidR="00792109" w:rsidRPr="00B00753" w:rsidRDefault="00792109" w:rsidP="00792109">
            <w:pPr>
              <w:rPr>
                <w:rFonts w:cs="Arial"/>
                <w:szCs w:val="19"/>
              </w:rPr>
            </w:pPr>
            <w:r w:rsidRPr="00B00753">
              <w:rPr>
                <w:rFonts w:cs="Arial"/>
                <w:szCs w:val="19"/>
              </w:rPr>
              <w:t>LP.8.1 (</w:t>
            </w:r>
            <w:r w:rsidRPr="00B00753">
              <w:rPr>
                <w:rFonts w:cs="Arial"/>
                <w:i/>
                <w:iCs/>
                <w:szCs w:val="19"/>
              </w:rPr>
              <w:t>Comirnaty LP.8.1 [3micrograms/dose]</w:t>
            </w:r>
            <w:r w:rsidRPr="00B00753">
              <w:rPr>
                <w:rFonts w:cs="Arial"/>
                <w:szCs w:val="19"/>
              </w:rPr>
              <w:t>)</w:t>
            </w:r>
          </w:p>
          <w:p w14:paraId="3CF39D07" w14:textId="619B9DDC" w:rsidR="00792109" w:rsidRPr="00B00753" w:rsidRDefault="00792109" w:rsidP="00792109">
            <w:pPr>
              <w:rPr>
                <w:rFonts w:cs="Arial"/>
                <w:szCs w:val="19"/>
              </w:rPr>
            </w:pPr>
            <w:r w:rsidRPr="00B00753">
              <w:rPr>
                <w:rFonts w:cs="Arial"/>
                <w:sz w:val="16"/>
                <w:szCs w:val="16"/>
              </w:rPr>
              <w:t>3-dose vial</w:t>
            </w:r>
          </w:p>
        </w:tc>
        <w:tc>
          <w:tcPr>
            <w:tcW w:w="3640" w:type="pct"/>
            <w:tcMar>
              <w:top w:w="57" w:type="dxa"/>
              <w:left w:w="170" w:type="dxa"/>
              <w:bottom w:w="57" w:type="dxa"/>
              <w:right w:w="170" w:type="dxa"/>
            </w:tcMar>
          </w:tcPr>
          <w:p w14:paraId="68DBF29A" w14:textId="2A03E5ED" w:rsidR="00792109" w:rsidRPr="00B00753" w:rsidRDefault="00792109" w:rsidP="00792109">
            <w:pPr>
              <w:tabs>
                <w:tab w:val="center" w:pos="3152"/>
              </w:tabs>
              <w:rPr>
                <w:rFonts w:cs="Arial"/>
                <w:bCs/>
                <w:szCs w:val="19"/>
              </w:rPr>
            </w:pPr>
            <w:r w:rsidRPr="00B00753">
              <w:rPr>
                <w:rFonts w:cs="Arial"/>
                <w:szCs w:val="19"/>
              </w:rPr>
              <w:t>Active immunisation to prevent COVID-19 caused by SARS-CoV-2 in individuals aged 6 months to 4 years</w:t>
            </w:r>
          </w:p>
        </w:tc>
      </w:tr>
      <w:tr w:rsidR="00792109" w:rsidRPr="00B00753" w14:paraId="23775893" w14:textId="77777777" w:rsidTr="00C17CC5">
        <w:tc>
          <w:tcPr>
            <w:tcW w:w="1360" w:type="pct"/>
            <w:tcMar>
              <w:top w:w="57" w:type="dxa"/>
              <w:left w:w="170" w:type="dxa"/>
              <w:bottom w:w="57" w:type="dxa"/>
              <w:right w:w="170" w:type="dxa"/>
            </w:tcMar>
          </w:tcPr>
          <w:p w14:paraId="7298893D" w14:textId="77777777" w:rsidR="00792109" w:rsidRPr="00B00753" w:rsidRDefault="00792109" w:rsidP="00792109">
            <w:pPr>
              <w:rPr>
                <w:rFonts w:cs="Arial"/>
                <w:szCs w:val="19"/>
              </w:rPr>
            </w:pPr>
            <w:r w:rsidRPr="00B00753">
              <w:rPr>
                <w:rFonts w:cs="Arial"/>
                <w:szCs w:val="19"/>
              </w:rPr>
              <w:t>LP.8.1 (</w:t>
            </w:r>
            <w:r w:rsidRPr="00B00753">
              <w:rPr>
                <w:rFonts w:cs="Arial"/>
                <w:i/>
                <w:iCs/>
                <w:szCs w:val="19"/>
              </w:rPr>
              <w:t>Comirnaty LP.8.1 [10micrograms/dose]</w:t>
            </w:r>
            <w:r w:rsidRPr="00B00753">
              <w:rPr>
                <w:rFonts w:cs="Arial"/>
                <w:szCs w:val="19"/>
              </w:rPr>
              <w:t>)</w:t>
            </w:r>
          </w:p>
          <w:p w14:paraId="1430A41F" w14:textId="0D5595EF" w:rsidR="00792109" w:rsidRPr="00B00753" w:rsidRDefault="00792109" w:rsidP="00792109">
            <w:pPr>
              <w:rPr>
                <w:rFonts w:cs="Arial"/>
                <w:szCs w:val="19"/>
              </w:rPr>
            </w:pPr>
            <w:r w:rsidRPr="00B00753">
              <w:rPr>
                <w:rFonts w:cs="Arial"/>
                <w:sz w:val="16"/>
                <w:szCs w:val="16"/>
              </w:rPr>
              <w:t>Single-dose vial</w:t>
            </w:r>
          </w:p>
        </w:tc>
        <w:tc>
          <w:tcPr>
            <w:tcW w:w="3640" w:type="pct"/>
            <w:tcMar>
              <w:top w:w="57" w:type="dxa"/>
              <w:left w:w="170" w:type="dxa"/>
              <w:bottom w:w="57" w:type="dxa"/>
              <w:right w:w="170" w:type="dxa"/>
            </w:tcMar>
          </w:tcPr>
          <w:p w14:paraId="2914F13C" w14:textId="094C87C6" w:rsidR="00792109" w:rsidRPr="00B00753" w:rsidRDefault="00792109" w:rsidP="00792109">
            <w:pPr>
              <w:tabs>
                <w:tab w:val="center" w:pos="3152"/>
              </w:tabs>
              <w:rPr>
                <w:rFonts w:cs="Arial"/>
                <w:szCs w:val="19"/>
              </w:rPr>
            </w:pPr>
            <w:r w:rsidRPr="00B00753">
              <w:rPr>
                <w:rFonts w:cs="Arial"/>
                <w:szCs w:val="19"/>
              </w:rPr>
              <w:t>Active immunisation to prevent COVID-19 caused by SARS-CoV-2 in individuals aged 5 to 11 years</w:t>
            </w:r>
          </w:p>
        </w:tc>
      </w:tr>
      <w:tr w:rsidR="00792109" w:rsidRPr="00B00753" w14:paraId="517C1A23" w14:textId="77777777" w:rsidTr="00C17CC5">
        <w:tc>
          <w:tcPr>
            <w:tcW w:w="1360" w:type="pct"/>
            <w:tcMar>
              <w:top w:w="57" w:type="dxa"/>
              <w:left w:w="170" w:type="dxa"/>
              <w:bottom w:w="57" w:type="dxa"/>
              <w:right w:w="170" w:type="dxa"/>
            </w:tcMar>
          </w:tcPr>
          <w:p w14:paraId="5801769E" w14:textId="77777777" w:rsidR="00792109" w:rsidRPr="00B00753" w:rsidRDefault="00792109" w:rsidP="00792109">
            <w:pPr>
              <w:rPr>
                <w:rFonts w:cs="Arial"/>
                <w:szCs w:val="19"/>
              </w:rPr>
            </w:pPr>
            <w:r w:rsidRPr="00B00753">
              <w:rPr>
                <w:rFonts w:cs="Arial"/>
                <w:szCs w:val="19"/>
              </w:rPr>
              <w:t>LP.8.1 (</w:t>
            </w:r>
            <w:r w:rsidRPr="00B00753">
              <w:rPr>
                <w:rFonts w:cs="Arial"/>
                <w:i/>
                <w:iCs/>
                <w:szCs w:val="19"/>
              </w:rPr>
              <w:t>Comirnaty LP.8.1 [30micrograms/dose]</w:t>
            </w:r>
            <w:r w:rsidRPr="00B00753">
              <w:rPr>
                <w:rFonts w:cs="Arial"/>
                <w:szCs w:val="19"/>
              </w:rPr>
              <w:t>)</w:t>
            </w:r>
          </w:p>
          <w:p w14:paraId="348DC7B6" w14:textId="4B30745F" w:rsidR="00792109" w:rsidRPr="00B00753" w:rsidRDefault="00792109" w:rsidP="00792109">
            <w:pPr>
              <w:rPr>
                <w:rFonts w:cs="Arial"/>
                <w:szCs w:val="19"/>
              </w:rPr>
            </w:pPr>
            <w:r w:rsidRPr="00B00753">
              <w:rPr>
                <w:rFonts w:cs="Arial"/>
                <w:sz w:val="16"/>
                <w:szCs w:val="16"/>
              </w:rPr>
              <w:t>Single-dose prefilled syringe</w:t>
            </w:r>
          </w:p>
        </w:tc>
        <w:tc>
          <w:tcPr>
            <w:tcW w:w="3640" w:type="pct"/>
            <w:tcMar>
              <w:top w:w="57" w:type="dxa"/>
              <w:left w:w="170" w:type="dxa"/>
              <w:bottom w:w="57" w:type="dxa"/>
              <w:right w:w="170" w:type="dxa"/>
            </w:tcMar>
          </w:tcPr>
          <w:p w14:paraId="3E334F75" w14:textId="1CED4CB6" w:rsidR="00792109" w:rsidRPr="00B00753" w:rsidRDefault="00792109" w:rsidP="00792109">
            <w:pPr>
              <w:tabs>
                <w:tab w:val="center" w:pos="3152"/>
              </w:tabs>
              <w:rPr>
                <w:rFonts w:cs="Arial"/>
                <w:color w:val="000000"/>
                <w:sz w:val="18"/>
                <w:szCs w:val="18"/>
              </w:rPr>
            </w:pPr>
            <w:r w:rsidRPr="00B00753">
              <w:rPr>
                <w:rFonts w:cs="Arial"/>
                <w:szCs w:val="19"/>
              </w:rPr>
              <w:t>Active immunisation to prevent COVID-19 caused by SARS-CoV-2 in individuals aged ≥12 years</w:t>
            </w:r>
          </w:p>
        </w:tc>
      </w:tr>
      <w:tr w:rsidR="00792109" w:rsidRPr="00B00753" w14:paraId="52587965" w14:textId="77777777" w:rsidTr="00C17CC5">
        <w:tc>
          <w:tcPr>
            <w:tcW w:w="1360" w:type="pct"/>
            <w:tcMar>
              <w:top w:w="57" w:type="dxa"/>
              <w:left w:w="170" w:type="dxa"/>
              <w:bottom w:w="57" w:type="dxa"/>
              <w:right w:w="170" w:type="dxa"/>
            </w:tcMar>
          </w:tcPr>
          <w:p w14:paraId="46B6DD04" w14:textId="77777777" w:rsidR="00792109" w:rsidRPr="00B00753" w:rsidRDefault="00792109" w:rsidP="00792109">
            <w:pPr>
              <w:rPr>
                <w:rFonts w:cs="Arial"/>
                <w:szCs w:val="19"/>
              </w:rPr>
            </w:pPr>
            <w:proofErr w:type="spellStart"/>
            <w:r w:rsidRPr="00B00753">
              <w:rPr>
                <w:rFonts w:cs="Arial"/>
                <w:szCs w:val="19"/>
              </w:rPr>
              <w:t>Nintedanib</w:t>
            </w:r>
            <w:proofErr w:type="spellEnd"/>
            <w:r w:rsidRPr="00B00753">
              <w:rPr>
                <w:rFonts w:cs="Arial"/>
                <w:szCs w:val="19"/>
              </w:rPr>
              <w:t xml:space="preserve"> (</w:t>
            </w:r>
            <w:proofErr w:type="spellStart"/>
            <w:r w:rsidRPr="00B00753">
              <w:rPr>
                <w:rFonts w:cs="Arial"/>
                <w:i/>
                <w:iCs/>
                <w:szCs w:val="19"/>
              </w:rPr>
              <w:t>Ofev</w:t>
            </w:r>
            <w:proofErr w:type="spellEnd"/>
            <w:r w:rsidRPr="00B00753">
              <w:rPr>
                <w:rFonts w:cs="Arial"/>
                <w:szCs w:val="19"/>
              </w:rPr>
              <w:t>)</w:t>
            </w:r>
          </w:p>
          <w:p w14:paraId="694A1957" w14:textId="33984D15" w:rsidR="00792109" w:rsidRPr="00B00753" w:rsidRDefault="00792109" w:rsidP="00792109">
            <w:pPr>
              <w:rPr>
                <w:rFonts w:cs="Arial"/>
                <w:szCs w:val="19"/>
              </w:rPr>
            </w:pPr>
            <w:r w:rsidRPr="00B00753">
              <w:rPr>
                <w:rFonts w:cs="Arial"/>
                <w:sz w:val="16"/>
                <w:szCs w:val="16"/>
              </w:rPr>
              <w:t>100mg and 150mg capsules</w:t>
            </w:r>
          </w:p>
        </w:tc>
        <w:tc>
          <w:tcPr>
            <w:tcW w:w="3640" w:type="pct"/>
            <w:tcMar>
              <w:top w:w="57" w:type="dxa"/>
              <w:left w:w="170" w:type="dxa"/>
              <w:bottom w:w="57" w:type="dxa"/>
              <w:right w:w="170" w:type="dxa"/>
            </w:tcMar>
          </w:tcPr>
          <w:p w14:paraId="5ABAFBBD" w14:textId="1E0CC23B" w:rsidR="00792109" w:rsidRPr="00B00753" w:rsidRDefault="00792109" w:rsidP="00792109">
            <w:pPr>
              <w:tabs>
                <w:tab w:val="center" w:pos="3152"/>
              </w:tabs>
              <w:rPr>
                <w:rFonts w:cs="Arial"/>
                <w:szCs w:val="19"/>
              </w:rPr>
            </w:pPr>
            <w:r w:rsidRPr="00B00753">
              <w:rPr>
                <w:rFonts w:cs="Arial"/>
                <w:szCs w:val="19"/>
              </w:rPr>
              <w:t xml:space="preserve">Use in children and adolescents aged 6-17 years for the treatment of clinically significant, progressive fibrosing interstitial lung diseases </w:t>
            </w:r>
            <w:r w:rsidRPr="00B00753">
              <w:rPr>
                <w:rFonts w:cs="Arial"/>
                <w:sz w:val="16"/>
                <w:szCs w:val="16"/>
              </w:rPr>
              <w:t>[new indication]</w:t>
            </w:r>
          </w:p>
        </w:tc>
      </w:tr>
      <w:tr w:rsidR="00792109" w:rsidRPr="00B00753" w14:paraId="76103A98" w14:textId="77777777" w:rsidTr="00C17CC5">
        <w:tc>
          <w:tcPr>
            <w:tcW w:w="1360" w:type="pct"/>
            <w:tcMar>
              <w:top w:w="57" w:type="dxa"/>
              <w:left w:w="170" w:type="dxa"/>
              <w:bottom w:w="57" w:type="dxa"/>
              <w:right w:w="170" w:type="dxa"/>
            </w:tcMar>
          </w:tcPr>
          <w:p w14:paraId="3F470E0C" w14:textId="77777777" w:rsidR="00792109" w:rsidRPr="00B00753" w:rsidRDefault="00792109" w:rsidP="00792109">
            <w:pPr>
              <w:rPr>
                <w:rFonts w:cs="Arial"/>
                <w:szCs w:val="19"/>
              </w:rPr>
            </w:pPr>
            <w:proofErr w:type="spellStart"/>
            <w:r w:rsidRPr="00B00753">
              <w:rPr>
                <w:rFonts w:cs="Arial"/>
                <w:szCs w:val="19"/>
              </w:rPr>
              <w:t>Omaveloxolone</w:t>
            </w:r>
            <w:proofErr w:type="spellEnd"/>
            <w:r w:rsidRPr="00B00753">
              <w:rPr>
                <w:rFonts w:cs="Arial"/>
                <w:szCs w:val="19"/>
              </w:rPr>
              <w:t xml:space="preserve"> (</w:t>
            </w:r>
            <w:proofErr w:type="spellStart"/>
            <w:r w:rsidRPr="00B00753">
              <w:rPr>
                <w:rFonts w:cs="Arial"/>
                <w:i/>
                <w:iCs/>
                <w:szCs w:val="19"/>
              </w:rPr>
              <w:t>Skyclarys</w:t>
            </w:r>
            <w:proofErr w:type="spellEnd"/>
            <w:r w:rsidRPr="00B00753">
              <w:rPr>
                <w:rFonts w:cs="Arial"/>
                <w:szCs w:val="19"/>
              </w:rPr>
              <w:t>)</w:t>
            </w:r>
          </w:p>
          <w:p w14:paraId="60DDC710" w14:textId="23F2BD53" w:rsidR="00792109" w:rsidRPr="00B00753" w:rsidRDefault="00792109" w:rsidP="00792109">
            <w:pPr>
              <w:rPr>
                <w:rFonts w:cs="Arial"/>
                <w:color w:val="000000" w:themeColor="text1"/>
                <w:szCs w:val="19"/>
              </w:rPr>
            </w:pPr>
            <w:r w:rsidRPr="00B00753">
              <w:rPr>
                <w:rFonts w:cs="Arial"/>
                <w:sz w:val="16"/>
                <w:szCs w:val="16"/>
              </w:rPr>
              <w:t>50mg capsule</w:t>
            </w:r>
          </w:p>
        </w:tc>
        <w:tc>
          <w:tcPr>
            <w:tcW w:w="3640" w:type="pct"/>
            <w:tcMar>
              <w:top w:w="57" w:type="dxa"/>
              <w:left w:w="170" w:type="dxa"/>
              <w:bottom w:w="57" w:type="dxa"/>
              <w:right w:w="170" w:type="dxa"/>
            </w:tcMar>
          </w:tcPr>
          <w:p w14:paraId="372A8A81" w14:textId="23892C47" w:rsidR="00792109" w:rsidRPr="00B00753" w:rsidRDefault="00792109" w:rsidP="00792109">
            <w:pPr>
              <w:tabs>
                <w:tab w:val="center" w:pos="3152"/>
              </w:tabs>
              <w:rPr>
                <w:rFonts w:cs="Arial"/>
                <w:color w:val="000000" w:themeColor="text1"/>
                <w:szCs w:val="19"/>
              </w:rPr>
            </w:pPr>
            <w:r w:rsidRPr="00B00753">
              <w:rPr>
                <w:rFonts w:cs="Arial"/>
                <w:szCs w:val="19"/>
              </w:rPr>
              <w:t>Treatment of Friedreich’s ataxia in adults and adolescents aged ≥16 years</w:t>
            </w:r>
          </w:p>
        </w:tc>
      </w:tr>
      <w:tr w:rsidR="00792109" w:rsidRPr="00B00753" w14:paraId="2245BFF9" w14:textId="77777777" w:rsidTr="002772ED">
        <w:tc>
          <w:tcPr>
            <w:tcW w:w="5000" w:type="pct"/>
            <w:gridSpan w:val="2"/>
            <w:tcMar>
              <w:top w:w="0" w:type="dxa"/>
              <w:bottom w:w="0" w:type="dxa"/>
            </w:tcMar>
          </w:tcPr>
          <w:p w14:paraId="21039A5E" w14:textId="77777777" w:rsidR="00792109" w:rsidRPr="00B00753" w:rsidRDefault="00792109" w:rsidP="00792109">
            <w:pPr>
              <w:rPr>
                <w:rFonts w:cs="Arial"/>
                <w:b/>
                <w:noProof/>
                <w:sz w:val="8"/>
                <w:szCs w:val="8"/>
              </w:rPr>
            </w:pPr>
          </w:p>
        </w:tc>
      </w:tr>
      <w:tr w:rsidR="00792109" w:rsidRPr="00B00753" w14:paraId="526DFB28" w14:textId="77777777" w:rsidTr="002772ED">
        <w:tc>
          <w:tcPr>
            <w:tcW w:w="5000" w:type="pct"/>
            <w:gridSpan w:val="2"/>
            <w:shd w:val="clear" w:color="auto" w:fill="DAEEF3"/>
            <w:tcMar>
              <w:top w:w="0" w:type="dxa"/>
              <w:bottom w:w="0" w:type="dxa"/>
            </w:tcMar>
          </w:tcPr>
          <w:p w14:paraId="68E2734B" w14:textId="77777777" w:rsidR="00792109" w:rsidRPr="00B00753" w:rsidRDefault="00792109" w:rsidP="00792109">
            <w:pPr>
              <w:rPr>
                <w:rFonts w:cs="Arial"/>
                <w:b/>
                <w:i/>
                <w:noProof/>
                <w:sz w:val="8"/>
                <w:szCs w:val="8"/>
              </w:rPr>
            </w:pPr>
          </w:p>
        </w:tc>
      </w:tr>
    </w:tbl>
    <w:p w14:paraId="6049117C" w14:textId="77777777" w:rsidR="00797F59" w:rsidRPr="00B00753" w:rsidRDefault="00797F59" w:rsidP="00727945">
      <w:pPr>
        <w:rPr>
          <w:rFonts w:ascii="Latha" w:hAnsi="Latha" w:cs="Latha"/>
          <w:sz w:val="8"/>
          <w:szCs w:val="8"/>
        </w:rPr>
      </w:pPr>
    </w:p>
    <w:p w14:paraId="6E30A7B9" w14:textId="77777777" w:rsidR="0022269C" w:rsidRPr="00B00753" w:rsidRDefault="0022269C" w:rsidP="00727945">
      <w:pPr>
        <w:rPr>
          <w:rFonts w:ascii="Latha" w:hAnsi="Latha" w:cs="Latha"/>
          <w:sz w:val="8"/>
          <w:szCs w:val="8"/>
        </w:rPr>
      </w:pPr>
    </w:p>
    <w:p w14:paraId="5B9F50B4" w14:textId="77777777" w:rsidR="0022269C" w:rsidRPr="00B00753" w:rsidRDefault="0022269C" w:rsidP="00727945">
      <w:pPr>
        <w:rPr>
          <w:rFonts w:ascii="Latha" w:hAnsi="Latha" w:cs="Latha"/>
          <w:sz w:val="8"/>
          <w:szCs w:val="8"/>
        </w:rPr>
      </w:pPr>
    </w:p>
    <w:p w14:paraId="09E7E3D5" w14:textId="77777777" w:rsidR="0022269C" w:rsidRPr="00B00753" w:rsidRDefault="0022269C" w:rsidP="00727945">
      <w:pPr>
        <w:rPr>
          <w:rFonts w:ascii="Latha" w:hAnsi="Latha" w:cs="Latha"/>
          <w:sz w:val="8"/>
          <w:szCs w:val="8"/>
        </w:rPr>
      </w:pPr>
    </w:p>
    <w:p w14:paraId="201C1F13" w14:textId="77777777" w:rsidR="001A42CE" w:rsidRPr="00B00753" w:rsidRDefault="001A42CE" w:rsidP="00727945">
      <w:pPr>
        <w:rPr>
          <w:rFonts w:ascii="Latha" w:hAnsi="Latha" w:cs="Latha"/>
          <w:sz w:val="8"/>
          <w:szCs w:val="8"/>
        </w:rPr>
        <w:sectPr w:rsidR="001A42CE" w:rsidRPr="00B00753"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p>
    <w:p w14:paraId="71E0D452" w14:textId="77777777" w:rsidR="006825BB" w:rsidRPr="00B00753" w:rsidRDefault="006825BB">
      <w:pPr>
        <w:rPr>
          <w:sz w:val="8"/>
          <w:szCs w:val="16"/>
        </w:rPr>
      </w:pPr>
    </w:p>
    <w:p w14:paraId="593E4560" w14:textId="77777777" w:rsidR="00C10FEB" w:rsidRPr="00B00753" w:rsidRDefault="00C10FEB">
      <w:pPr>
        <w:rPr>
          <w:sz w:val="8"/>
          <w:szCs w:val="16"/>
        </w:rPr>
      </w:pPr>
    </w:p>
    <w:p w14:paraId="44F849D1" w14:textId="77777777" w:rsidR="00A81694" w:rsidRPr="00B00753" w:rsidRDefault="00EB3E6F" w:rsidP="00EB3E6F">
      <w:pPr>
        <w:tabs>
          <w:tab w:val="left" w:pos="2087"/>
        </w:tabs>
      </w:pPr>
      <w:r w:rsidRPr="00B00753">
        <w:tab/>
      </w:r>
    </w:p>
    <w:tbl>
      <w:tblPr>
        <w:tblW w:w="5170" w:type="pct"/>
        <w:tblInd w:w="-176" w:type="dxa"/>
        <w:tblLayout w:type="fixed"/>
        <w:tblLook w:val="01E0" w:firstRow="1" w:lastRow="1" w:firstColumn="1" w:lastColumn="1" w:noHBand="0" w:noVBand="0"/>
      </w:tblPr>
      <w:tblGrid>
        <w:gridCol w:w="2870"/>
        <w:gridCol w:w="7681"/>
      </w:tblGrid>
      <w:tr w:rsidR="00EA2166" w:rsidRPr="00B00753" w14:paraId="61112AD4" w14:textId="77777777" w:rsidTr="00D25A40">
        <w:tc>
          <w:tcPr>
            <w:tcW w:w="5000" w:type="pct"/>
            <w:gridSpan w:val="2"/>
            <w:shd w:val="clear" w:color="auto" w:fill="0070C0"/>
            <w:tcMar>
              <w:top w:w="85" w:type="dxa"/>
              <w:bottom w:w="85" w:type="dxa"/>
            </w:tcMar>
            <w:vAlign w:val="bottom"/>
          </w:tcPr>
          <w:p w14:paraId="1579146C" w14:textId="77777777" w:rsidR="00EA2166" w:rsidRPr="00B00753" w:rsidRDefault="00EA2166" w:rsidP="00D25A40">
            <w:pPr>
              <w:rPr>
                <w:rFonts w:cs="Arial"/>
                <w:color w:val="FFFFFF"/>
                <w:sz w:val="15"/>
                <w:szCs w:val="15"/>
              </w:rPr>
            </w:pPr>
            <w:r w:rsidRPr="00B00753">
              <w:rPr>
                <w:rFonts w:cs="Arial"/>
                <w:b/>
                <w:bCs/>
                <w:iCs/>
                <w:color w:val="FFFFFF"/>
                <w:sz w:val="28"/>
                <w:szCs w:val="28"/>
              </w:rPr>
              <w:t>New product information</w:t>
            </w:r>
            <w:r w:rsidRPr="00B00753">
              <w:rPr>
                <w:rFonts w:cs="Arial"/>
                <w:b/>
                <w:bCs/>
                <w:iCs/>
                <w:color w:val="FFFFFF"/>
                <w:sz w:val="28"/>
                <w:szCs w:val="28"/>
              </w:rPr>
              <w:tab/>
            </w:r>
          </w:p>
        </w:tc>
      </w:tr>
      <w:tr w:rsidR="00EA2166" w:rsidRPr="00B00753" w14:paraId="56CB0FC2" w14:textId="77777777" w:rsidTr="00D25A40">
        <w:tc>
          <w:tcPr>
            <w:tcW w:w="5000" w:type="pct"/>
            <w:gridSpan w:val="2"/>
            <w:shd w:val="clear" w:color="auto" w:fill="DAEEF3"/>
            <w:tcMar>
              <w:top w:w="0" w:type="dxa"/>
              <w:bottom w:w="0" w:type="dxa"/>
            </w:tcMar>
          </w:tcPr>
          <w:p w14:paraId="6AA4FEAC" w14:textId="77777777" w:rsidR="00EA2166" w:rsidRPr="00B00753" w:rsidRDefault="00EA2166" w:rsidP="00D25A40">
            <w:pPr>
              <w:rPr>
                <w:rFonts w:cs="Arial"/>
                <w:b/>
                <w:bCs/>
                <w:i/>
                <w:iCs/>
                <w:color w:val="000000"/>
                <w:sz w:val="8"/>
                <w:szCs w:val="8"/>
              </w:rPr>
            </w:pPr>
          </w:p>
        </w:tc>
      </w:tr>
      <w:tr w:rsidR="00EA2166" w:rsidRPr="00B00753" w14:paraId="74366893" w14:textId="77777777" w:rsidTr="00D25A40">
        <w:tc>
          <w:tcPr>
            <w:tcW w:w="5000" w:type="pct"/>
            <w:gridSpan w:val="2"/>
            <w:shd w:val="clear" w:color="auto" w:fill="008232"/>
            <w:tcMar>
              <w:top w:w="57" w:type="dxa"/>
              <w:bottom w:w="57" w:type="dxa"/>
            </w:tcMar>
          </w:tcPr>
          <w:p w14:paraId="4728684F" w14:textId="7A0937E7" w:rsidR="00EA2166" w:rsidRPr="00B00753" w:rsidRDefault="00EA2166" w:rsidP="00D25A40">
            <w:pPr>
              <w:rPr>
                <w:rFonts w:cs="Arial"/>
                <w:color w:val="FFFFFF"/>
                <w:sz w:val="20"/>
                <w:szCs w:val="20"/>
              </w:rPr>
            </w:pPr>
            <w:r w:rsidRPr="00B00753">
              <w:rPr>
                <w:rFonts w:cs="Arial"/>
                <w:b/>
                <w:bCs/>
                <w:i/>
                <w:iCs/>
                <w:color w:val="FFFFFF"/>
                <w:sz w:val="22"/>
                <w:szCs w:val="20"/>
              </w:rPr>
              <w:t xml:space="preserve">Launched in the UK (or licence change for existing products) </w:t>
            </w:r>
            <w:r w:rsidRPr="00B00753">
              <w:rPr>
                <w:rFonts w:cs="Arial"/>
                <w:b/>
                <w:bCs/>
                <w:color w:val="FFFFFF"/>
                <w:sz w:val="16"/>
                <w:szCs w:val="14"/>
              </w:rPr>
              <w:t>(continued)</w:t>
            </w:r>
          </w:p>
        </w:tc>
      </w:tr>
      <w:tr w:rsidR="002612A1" w:rsidRPr="00B00753" w14:paraId="5872366B" w14:textId="77777777" w:rsidTr="00D25A40">
        <w:tc>
          <w:tcPr>
            <w:tcW w:w="1360" w:type="pct"/>
            <w:tcMar>
              <w:top w:w="57" w:type="dxa"/>
              <w:left w:w="170" w:type="dxa"/>
              <w:bottom w:w="57" w:type="dxa"/>
              <w:right w:w="170" w:type="dxa"/>
            </w:tcMar>
          </w:tcPr>
          <w:p w14:paraId="5D828627" w14:textId="77777777" w:rsidR="002612A1" w:rsidRPr="00B00753" w:rsidRDefault="002612A1" w:rsidP="002612A1">
            <w:pPr>
              <w:rPr>
                <w:rFonts w:cs="Arial"/>
                <w:color w:val="000000" w:themeColor="text1"/>
                <w:szCs w:val="19"/>
              </w:rPr>
            </w:pPr>
            <w:proofErr w:type="spellStart"/>
            <w:r w:rsidRPr="00B00753">
              <w:rPr>
                <w:rFonts w:cs="Arial"/>
                <w:color w:val="000000" w:themeColor="text1"/>
                <w:szCs w:val="19"/>
              </w:rPr>
              <w:t>Pirtobrutinib</w:t>
            </w:r>
            <w:proofErr w:type="spellEnd"/>
            <w:r w:rsidRPr="00B00753">
              <w:rPr>
                <w:rFonts w:cs="Arial"/>
                <w:color w:val="000000" w:themeColor="text1"/>
                <w:szCs w:val="19"/>
              </w:rPr>
              <w:t xml:space="preserve"> (</w:t>
            </w:r>
            <w:proofErr w:type="spellStart"/>
            <w:r w:rsidRPr="00B00753">
              <w:rPr>
                <w:rFonts w:cs="Arial"/>
                <w:i/>
                <w:iCs/>
                <w:color w:val="000000" w:themeColor="text1"/>
                <w:szCs w:val="19"/>
              </w:rPr>
              <w:t>Jaypirca</w:t>
            </w:r>
            <w:proofErr w:type="spellEnd"/>
            <w:r w:rsidRPr="00B00753">
              <w:rPr>
                <w:rFonts w:cs="Arial"/>
                <w:color w:val="000000" w:themeColor="text1"/>
                <w:szCs w:val="19"/>
              </w:rPr>
              <w:t>)</w:t>
            </w:r>
          </w:p>
          <w:p w14:paraId="6F98AD73" w14:textId="736177AE" w:rsidR="002612A1" w:rsidRPr="00B00753" w:rsidRDefault="002612A1" w:rsidP="002612A1">
            <w:pPr>
              <w:rPr>
                <w:rFonts w:cs="Arial"/>
                <w:szCs w:val="19"/>
              </w:rPr>
            </w:pPr>
            <w:r w:rsidRPr="00B00753">
              <w:rPr>
                <w:rFonts w:cs="Arial"/>
                <w:color w:val="000000" w:themeColor="text1"/>
                <w:sz w:val="16"/>
                <w:szCs w:val="16"/>
              </w:rPr>
              <w:t>50mg and 100mg tablets</w:t>
            </w:r>
          </w:p>
        </w:tc>
        <w:tc>
          <w:tcPr>
            <w:tcW w:w="3640" w:type="pct"/>
            <w:tcMar>
              <w:top w:w="57" w:type="dxa"/>
              <w:left w:w="170" w:type="dxa"/>
              <w:bottom w:w="57" w:type="dxa"/>
              <w:right w:w="170" w:type="dxa"/>
            </w:tcMar>
          </w:tcPr>
          <w:p w14:paraId="4F430060" w14:textId="1B931E0C" w:rsidR="002612A1" w:rsidRPr="00B00753" w:rsidRDefault="002612A1" w:rsidP="002612A1">
            <w:pPr>
              <w:tabs>
                <w:tab w:val="center" w:pos="3152"/>
              </w:tabs>
              <w:rPr>
                <w:rFonts w:cs="Arial"/>
                <w:szCs w:val="19"/>
              </w:rPr>
            </w:pPr>
            <w:r w:rsidRPr="00B00753">
              <w:rPr>
                <w:rFonts w:cs="Arial"/>
                <w:color w:val="000000" w:themeColor="text1"/>
                <w:szCs w:val="19"/>
              </w:rPr>
              <w:t>Use as monotherapy for the treatment of adults with relapsed or refractory mantle cell lymphoma who have been previously treated with a Bruton´s tyrosine kinase (BTK) inhibitor, and use as monotherapy for the treatment of adults with relapsed or refractory chronic lymphocytic leukaemia who have been previously treated with a BTK inhibitor</w:t>
            </w:r>
          </w:p>
        </w:tc>
      </w:tr>
      <w:tr w:rsidR="002612A1" w:rsidRPr="00B00753" w14:paraId="7C1E6C81" w14:textId="77777777" w:rsidTr="00D25A40">
        <w:tc>
          <w:tcPr>
            <w:tcW w:w="1360" w:type="pct"/>
            <w:tcMar>
              <w:top w:w="57" w:type="dxa"/>
              <w:left w:w="170" w:type="dxa"/>
              <w:bottom w:w="57" w:type="dxa"/>
              <w:right w:w="170" w:type="dxa"/>
            </w:tcMar>
          </w:tcPr>
          <w:p w14:paraId="222C4C6E" w14:textId="77777777" w:rsidR="002612A1" w:rsidRPr="00B00753" w:rsidRDefault="002612A1" w:rsidP="002612A1">
            <w:pPr>
              <w:rPr>
                <w:rFonts w:cs="Arial"/>
                <w:szCs w:val="19"/>
              </w:rPr>
            </w:pPr>
            <w:proofErr w:type="spellStart"/>
            <w:r w:rsidRPr="00B00753">
              <w:rPr>
                <w:rFonts w:cs="Arial"/>
                <w:szCs w:val="19"/>
              </w:rPr>
              <w:t>Seladelpar</w:t>
            </w:r>
            <w:proofErr w:type="spellEnd"/>
            <w:r w:rsidRPr="00B00753">
              <w:rPr>
                <w:rFonts w:cs="Arial"/>
                <w:szCs w:val="19"/>
              </w:rPr>
              <w:t xml:space="preserve"> (</w:t>
            </w:r>
            <w:proofErr w:type="spellStart"/>
            <w:r w:rsidRPr="00B00753">
              <w:rPr>
                <w:rFonts w:cs="Arial"/>
                <w:i/>
                <w:iCs/>
                <w:szCs w:val="19"/>
              </w:rPr>
              <w:t>Livdelzi</w:t>
            </w:r>
            <w:proofErr w:type="spellEnd"/>
            <w:r w:rsidRPr="00B00753">
              <w:rPr>
                <w:rFonts w:cs="Arial"/>
                <w:szCs w:val="19"/>
              </w:rPr>
              <w:t>) </w:t>
            </w:r>
          </w:p>
          <w:p w14:paraId="3EF9E369" w14:textId="187CE1D8" w:rsidR="002612A1" w:rsidRPr="00B00753" w:rsidRDefault="002612A1" w:rsidP="002612A1">
            <w:pPr>
              <w:rPr>
                <w:rFonts w:cs="Arial"/>
                <w:szCs w:val="19"/>
              </w:rPr>
            </w:pPr>
            <w:r w:rsidRPr="00B00753">
              <w:rPr>
                <w:rFonts w:cs="Arial"/>
                <w:sz w:val="16"/>
                <w:szCs w:val="16"/>
              </w:rPr>
              <w:t>10mg capsule</w:t>
            </w:r>
          </w:p>
        </w:tc>
        <w:tc>
          <w:tcPr>
            <w:tcW w:w="3640" w:type="pct"/>
            <w:tcMar>
              <w:top w:w="57" w:type="dxa"/>
              <w:left w:w="170" w:type="dxa"/>
              <w:bottom w:w="57" w:type="dxa"/>
              <w:right w:w="170" w:type="dxa"/>
            </w:tcMar>
          </w:tcPr>
          <w:p w14:paraId="1395FD2D" w14:textId="76CFA51E" w:rsidR="002612A1" w:rsidRPr="00B00753" w:rsidRDefault="002612A1" w:rsidP="002612A1">
            <w:pPr>
              <w:tabs>
                <w:tab w:val="center" w:pos="3152"/>
              </w:tabs>
              <w:rPr>
                <w:rFonts w:cs="Arial"/>
                <w:color w:val="000000"/>
                <w:szCs w:val="19"/>
              </w:rPr>
            </w:pPr>
            <w:r w:rsidRPr="00B00753">
              <w:rPr>
                <w:rFonts w:cs="Arial"/>
                <w:szCs w:val="19"/>
              </w:rPr>
              <w:t>Treatment of primary biliary cholangitis, including pruritus, in adults in combination with ursodeoxycholic acid (UDCA) who have an inadequate response to UDCA alone, or as monotherapy in those unable to tolerate UDCA</w:t>
            </w:r>
          </w:p>
        </w:tc>
      </w:tr>
      <w:tr w:rsidR="002612A1" w:rsidRPr="00B00753" w14:paraId="44028951" w14:textId="77777777" w:rsidTr="00D25A40">
        <w:tc>
          <w:tcPr>
            <w:tcW w:w="1360" w:type="pct"/>
            <w:tcMar>
              <w:top w:w="57" w:type="dxa"/>
              <w:left w:w="170" w:type="dxa"/>
              <w:bottom w:w="57" w:type="dxa"/>
              <w:right w:w="170" w:type="dxa"/>
            </w:tcMar>
          </w:tcPr>
          <w:p w14:paraId="16FE616B" w14:textId="77777777" w:rsidR="002612A1" w:rsidRPr="00B00753" w:rsidRDefault="002612A1" w:rsidP="002612A1">
            <w:pPr>
              <w:rPr>
                <w:rFonts w:cs="Arial"/>
                <w:szCs w:val="19"/>
              </w:rPr>
            </w:pPr>
            <w:proofErr w:type="spellStart"/>
            <w:r w:rsidRPr="00B00753">
              <w:rPr>
                <w:rFonts w:cs="Arial"/>
                <w:szCs w:val="19"/>
              </w:rPr>
              <w:t>Semaglutide</w:t>
            </w:r>
            <w:proofErr w:type="spellEnd"/>
            <w:r w:rsidRPr="00B00753">
              <w:rPr>
                <w:rFonts w:cs="Arial"/>
                <w:szCs w:val="19"/>
              </w:rPr>
              <w:t xml:space="preserve"> (</w:t>
            </w:r>
            <w:proofErr w:type="spellStart"/>
            <w:r w:rsidRPr="00B00753">
              <w:rPr>
                <w:rFonts w:cs="Arial"/>
                <w:i/>
                <w:iCs/>
                <w:szCs w:val="19"/>
              </w:rPr>
              <w:t>Rybelsus</w:t>
            </w:r>
            <w:proofErr w:type="spellEnd"/>
            <w:r w:rsidRPr="00B00753">
              <w:rPr>
                <w:rFonts w:cs="Arial"/>
                <w:szCs w:val="19"/>
              </w:rPr>
              <w:t>)</w:t>
            </w:r>
          </w:p>
          <w:p w14:paraId="363583CE" w14:textId="37EC008A" w:rsidR="002612A1" w:rsidRPr="00B00753" w:rsidRDefault="002612A1" w:rsidP="002612A1">
            <w:pPr>
              <w:rPr>
                <w:rFonts w:cs="Arial"/>
                <w:szCs w:val="19"/>
              </w:rPr>
            </w:pPr>
            <w:r w:rsidRPr="00B00753">
              <w:rPr>
                <w:rFonts w:cs="Arial"/>
                <w:sz w:val="16"/>
                <w:szCs w:val="16"/>
              </w:rPr>
              <w:t>1.5mg, 4mg and 9mg tablets</w:t>
            </w:r>
          </w:p>
        </w:tc>
        <w:tc>
          <w:tcPr>
            <w:tcW w:w="3640" w:type="pct"/>
            <w:tcMar>
              <w:top w:w="57" w:type="dxa"/>
              <w:left w:w="170" w:type="dxa"/>
              <w:bottom w:w="57" w:type="dxa"/>
              <w:right w:w="170" w:type="dxa"/>
            </w:tcMar>
          </w:tcPr>
          <w:p w14:paraId="3E0E41E3" w14:textId="1600BE42" w:rsidR="002612A1" w:rsidRPr="00B00753" w:rsidRDefault="002612A1" w:rsidP="002612A1">
            <w:pPr>
              <w:tabs>
                <w:tab w:val="center" w:pos="3152"/>
              </w:tabs>
              <w:rPr>
                <w:rFonts w:cs="Arial"/>
                <w:color w:val="000000"/>
                <w:szCs w:val="19"/>
              </w:rPr>
            </w:pPr>
            <w:r w:rsidRPr="00B00753">
              <w:rPr>
                <w:rFonts w:cs="Arial"/>
                <w:szCs w:val="19"/>
              </w:rPr>
              <w:t xml:space="preserve">Treatment of adults with insufficiently controlled type 2 diabetes mellitus to improve glycaemic control as an adjunct to diet and exercise as monotherapy when metformin is considered inappropriate due to intolerance or contraindications, and in combination with other medicinal products for the treatment of diabetes </w:t>
            </w:r>
            <w:r w:rsidRPr="00B00753">
              <w:rPr>
                <w:rFonts w:cs="Arial"/>
                <w:sz w:val="16"/>
                <w:szCs w:val="16"/>
              </w:rPr>
              <w:t>[new formulations]</w:t>
            </w:r>
          </w:p>
        </w:tc>
      </w:tr>
      <w:tr w:rsidR="002612A1" w:rsidRPr="00B00753" w14:paraId="7D23E430" w14:textId="77777777" w:rsidTr="00D25A40">
        <w:tc>
          <w:tcPr>
            <w:tcW w:w="1360" w:type="pct"/>
            <w:tcMar>
              <w:top w:w="57" w:type="dxa"/>
              <w:left w:w="170" w:type="dxa"/>
              <w:bottom w:w="57" w:type="dxa"/>
              <w:right w:w="170" w:type="dxa"/>
            </w:tcMar>
          </w:tcPr>
          <w:p w14:paraId="7E062768" w14:textId="77777777" w:rsidR="002612A1" w:rsidRPr="00B00753" w:rsidRDefault="002612A1" w:rsidP="002612A1">
            <w:pPr>
              <w:rPr>
                <w:rFonts w:cs="Arial"/>
                <w:szCs w:val="19"/>
              </w:rPr>
            </w:pPr>
            <w:proofErr w:type="spellStart"/>
            <w:r w:rsidRPr="00B00753">
              <w:rPr>
                <w:rFonts w:cs="Arial"/>
                <w:szCs w:val="19"/>
              </w:rPr>
              <w:t>Serplulimab</w:t>
            </w:r>
            <w:proofErr w:type="spellEnd"/>
            <w:r w:rsidRPr="00B00753">
              <w:rPr>
                <w:rFonts w:cs="Arial"/>
                <w:szCs w:val="19"/>
              </w:rPr>
              <w:t xml:space="preserve"> (</w:t>
            </w:r>
            <w:proofErr w:type="spellStart"/>
            <w:r w:rsidRPr="00B00753">
              <w:rPr>
                <w:rFonts w:cs="Arial"/>
                <w:i/>
                <w:iCs/>
                <w:szCs w:val="19"/>
              </w:rPr>
              <w:t>Hetronifly</w:t>
            </w:r>
            <w:proofErr w:type="spellEnd"/>
            <w:r w:rsidRPr="00B00753">
              <w:rPr>
                <w:rFonts w:cs="Arial"/>
                <w:szCs w:val="19"/>
              </w:rPr>
              <w:t>)</w:t>
            </w:r>
          </w:p>
          <w:p w14:paraId="3CAB8AFA" w14:textId="4D22C208" w:rsidR="002612A1" w:rsidRPr="00B00753" w:rsidRDefault="002612A1" w:rsidP="002612A1">
            <w:pPr>
              <w:rPr>
                <w:rFonts w:cs="Arial"/>
                <w:szCs w:val="19"/>
              </w:rPr>
            </w:pPr>
            <w:r w:rsidRPr="00B00753">
              <w:rPr>
                <w:rFonts w:cs="Arial"/>
                <w:sz w:val="16"/>
                <w:szCs w:val="16"/>
              </w:rPr>
              <w:t>100mg in 10mL vial</w:t>
            </w:r>
          </w:p>
        </w:tc>
        <w:tc>
          <w:tcPr>
            <w:tcW w:w="3640" w:type="pct"/>
            <w:tcMar>
              <w:top w:w="57" w:type="dxa"/>
              <w:left w:w="170" w:type="dxa"/>
              <w:bottom w:w="57" w:type="dxa"/>
              <w:right w:w="170" w:type="dxa"/>
            </w:tcMar>
          </w:tcPr>
          <w:p w14:paraId="325189E5" w14:textId="497A937C" w:rsidR="002612A1" w:rsidRPr="00B00753" w:rsidRDefault="002612A1" w:rsidP="002612A1">
            <w:pPr>
              <w:tabs>
                <w:tab w:val="center" w:pos="3152"/>
              </w:tabs>
              <w:rPr>
                <w:rFonts w:cs="Arial"/>
                <w:szCs w:val="19"/>
              </w:rPr>
            </w:pPr>
            <w:r w:rsidRPr="00B00753">
              <w:rPr>
                <w:rFonts w:cs="Arial"/>
                <w:color w:val="000000"/>
                <w:szCs w:val="19"/>
              </w:rPr>
              <w:t>Use in combination with carboplatin and etoposide for the first-line treatment of adults with extensive-stage small cell lung cancer</w:t>
            </w:r>
          </w:p>
        </w:tc>
      </w:tr>
      <w:tr w:rsidR="002612A1" w:rsidRPr="00B00753" w14:paraId="08E5ABB9" w14:textId="77777777" w:rsidTr="00D25A40">
        <w:tc>
          <w:tcPr>
            <w:tcW w:w="1360" w:type="pct"/>
            <w:tcMar>
              <w:top w:w="57" w:type="dxa"/>
              <w:left w:w="170" w:type="dxa"/>
              <w:bottom w:w="57" w:type="dxa"/>
              <w:right w:w="170" w:type="dxa"/>
            </w:tcMar>
          </w:tcPr>
          <w:p w14:paraId="0719FA69" w14:textId="77777777" w:rsidR="002612A1" w:rsidRPr="00B00753" w:rsidRDefault="002612A1" w:rsidP="002612A1">
            <w:pPr>
              <w:rPr>
                <w:rFonts w:cs="Arial"/>
                <w:szCs w:val="19"/>
              </w:rPr>
            </w:pPr>
            <w:proofErr w:type="spellStart"/>
            <w:r w:rsidRPr="00B00753">
              <w:rPr>
                <w:rFonts w:cs="Arial"/>
                <w:szCs w:val="19"/>
              </w:rPr>
              <w:t>Sotorasib</w:t>
            </w:r>
            <w:proofErr w:type="spellEnd"/>
            <w:r w:rsidRPr="00B00753">
              <w:rPr>
                <w:rFonts w:cs="Arial"/>
                <w:szCs w:val="19"/>
              </w:rPr>
              <w:t xml:space="preserve"> (</w:t>
            </w:r>
            <w:proofErr w:type="spellStart"/>
            <w:r w:rsidRPr="00B00753">
              <w:rPr>
                <w:rFonts w:cs="Arial"/>
                <w:i/>
                <w:iCs/>
                <w:szCs w:val="19"/>
              </w:rPr>
              <w:t>Lumykras</w:t>
            </w:r>
            <w:proofErr w:type="spellEnd"/>
            <w:r w:rsidRPr="00B00753">
              <w:rPr>
                <w:rFonts w:cs="Arial"/>
                <w:szCs w:val="19"/>
              </w:rPr>
              <w:t>)</w:t>
            </w:r>
          </w:p>
          <w:p w14:paraId="64F60902" w14:textId="0AA84572" w:rsidR="002612A1" w:rsidRPr="00B00753" w:rsidRDefault="002612A1" w:rsidP="002612A1">
            <w:pPr>
              <w:rPr>
                <w:rFonts w:cs="Arial"/>
                <w:szCs w:val="19"/>
              </w:rPr>
            </w:pPr>
            <w:r w:rsidRPr="00B00753">
              <w:rPr>
                <w:rFonts w:cs="Arial"/>
                <w:sz w:val="16"/>
                <w:szCs w:val="16"/>
              </w:rPr>
              <w:t>240mg tablet</w:t>
            </w:r>
          </w:p>
        </w:tc>
        <w:tc>
          <w:tcPr>
            <w:tcW w:w="3640" w:type="pct"/>
            <w:tcMar>
              <w:top w:w="57" w:type="dxa"/>
              <w:left w:w="170" w:type="dxa"/>
              <w:bottom w:w="57" w:type="dxa"/>
              <w:right w:w="170" w:type="dxa"/>
            </w:tcMar>
          </w:tcPr>
          <w:p w14:paraId="4DC4906E" w14:textId="750A8E22" w:rsidR="002612A1" w:rsidRPr="00B00753" w:rsidRDefault="002612A1" w:rsidP="002612A1">
            <w:pPr>
              <w:tabs>
                <w:tab w:val="center" w:pos="3152"/>
              </w:tabs>
              <w:rPr>
                <w:rFonts w:cs="Arial"/>
                <w:bCs/>
                <w:szCs w:val="19"/>
              </w:rPr>
            </w:pPr>
            <w:r w:rsidRPr="00B00753">
              <w:rPr>
                <w:rFonts w:cs="Arial"/>
                <w:szCs w:val="19"/>
              </w:rPr>
              <w:t xml:space="preserve">Use as monotherapy for the treatment of adults with KRAS G12C-mutated locally advanced or metastatic non-small cell lung cancer who have progressed on, or are intolerant to, platinum-based chemotherapy and/or anti PD-1/PD-L1 immunotherapy </w:t>
            </w:r>
            <w:r w:rsidRPr="00B00753">
              <w:rPr>
                <w:rFonts w:cs="Arial"/>
                <w:sz w:val="16"/>
                <w:szCs w:val="16"/>
              </w:rPr>
              <w:t>[new higher strength formulation]</w:t>
            </w:r>
          </w:p>
        </w:tc>
      </w:tr>
      <w:tr w:rsidR="002612A1" w:rsidRPr="00B00753" w14:paraId="78B20AF1" w14:textId="77777777" w:rsidTr="00D25A40">
        <w:tc>
          <w:tcPr>
            <w:tcW w:w="1360" w:type="pct"/>
            <w:tcMar>
              <w:top w:w="57" w:type="dxa"/>
              <w:left w:w="170" w:type="dxa"/>
              <w:bottom w:w="57" w:type="dxa"/>
              <w:right w:w="170" w:type="dxa"/>
            </w:tcMar>
          </w:tcPr>
          <w:p w14:paraId="3489C1DD" w14:textId="707FDC4C" w:rsidR="002612A1" w:rsidRPr="00B00753" w:rsidRDefault="002612A1" w:rsidP="002612A1">
            <w:pPr>
              <w:rPr>
                <w:rFonts w:cs="Arial"/>
                <w:szCs w:val="19"/>
              </w:rPr>
            </w:pPr>
            <w:r w:rsidRPr="00B00753">
              <w:rPr>
                <w:rFonts w:cs="Arial"/>
                <w:szCs w:val="19"/>
              </w:rPr>
              <w:t>Teprotumumab (</w:t>
            </w:r>
            <w:proofErr w:type="spellStart"/>
            <w:r w:rsidRPr="00B00753">
              <w:rPr>
                <w:rFonts w:cs="Arial"/>
                <w:i/>
                <w:iCs/>
                <w:szCs w:val="19"/>
              </w:rPr>
              <w:t>T</w:t>
            </w:r>
            <w:r w:rsidR="009C544F" w:rsidRPr="00B00753">
              <w:rPr>
                <w:rFonts w:cs="Arial"/>
                <w:i/>
                <w:iCs/>
                <w:szCs w:val="19"/>
              </w:rPr>
              <w:t>epezza</w:t>
            </w:r>
            <w:proofErr w:type="spellEnd"/>
            <w:r w:rsidRPr="00B00753">
              <w:rPr>
                <w:rFonts w:cs="Arial"/>
                <w:szCs w:val="19"/>
              </w:rPr>
              <w:t>)</w:t>
            </w:r>
          </w:p>
          <w:p w14:paraId="7693D41F" w14:textId="23DF144D" w:rsidR="002612A1" w:rsidRPr="00B00753" w:rsidRDefault="002612A1" w:rsidP="002612A1">
            <w:pPr>
              <w:rPr>
                <w:rFonts w:cs="Arial"/>
                <w:szCs w:val="19"/>
              </w:rPr>
            </w:pPr>
            <w:r w:rsidRPr="00B00753">
              <w:rPr>
                <w:rFonts w:cs="Arial"/>
                <w:sz w:val="16"/>
                <w:szCs w:val="16"/>
              </w:rPr>
              <w:t>500mg vial</w:t>
            </w:r>
          </w:p>
        </w:tc>
        <w:tc>
          <w:tcPr>
            <w:tcW w:w="3640" w:type="pct"/>
            <w:tcMar>
              <w:top w:w="57" w:type="dxa"/>
              <w:left w:w="170" w:type="dxa"/>
              <w:bottom w:w="57" w:type="dxa"/>
              <w:right w:w="170" w:type="dxa"/>
            </w:tcMar>
          </w:tcPr>
          <w:p w14:paraId="203DAA11" w14:textId="401A9FB8" w:rsidR="002612A1" w:rsidRPr="00B00753" w:rsidRDefault="002612A1" w:rsidP="002612A1">
            <w:pPr>
              <w:tabs>
                <w:tab w:val="center" w:pos="3152"/>
              </w:tabs>
              <w:rPr>
                <w:rFonts w:cs="Arial"/>
                <w:szCs w:val="19"/>
              </w:rPr>
            </w:pPr>
            <w:r w:rsidRPr="00B00753">
              <w:rPr>
                <w:rFonts w:cs="Arial"/>
                <w:szCs w:val="19"/>
              </w:rPr>
              <w:t>Use in adults for the treatment of moderate to severe thyroid eye disease</w:t>
            </w:r>
          </w:p>
        </w:tc>
      </w:tr>
      <w:tr w:rsidR="002612A1" w:rsidRPr="00B00753" w14:paraId="1887090C" w14:textId="77777777" w:rsidTr="00D25A40">
        <w:tc>
          <w:tcPr>
            <w:tcW w:w="1360" w:type="pct"/>
            <w:tcMar>
              <w:top w:w="57" w:type="dxa"/>
              <w:left w:w="170" w:type="dxa"/>
              <w:bottom w:w="57" w:type="dxa"/>
              <w:right w:w="170" w:type="dxa"/>
            </w:tcMar>
          </w:tcPr>
          <w:p w14:paraId="6AAE1A20" w14:textId="77777777" w:rsidR="002612A1" w:rsidRPr="00B00753" w:rsidRDefault="002612A1" w:rsidP="002612A1">
            <w:pPr>
              <w:rPr>
                <w:rFonts w:cs="Arial"/>
                <w:szCs w:val="19"/>
              </w:rPr>
            </w:pPr>
            <w:proofErr w:type="spellStart"/>
            <w:r w:rsidRPr="00B00753">
              <w:rPr>
                <w:rFonts w:cs="Arial"/>
                <w:szCs w:val="19"/>
              </w:rPr>
              <w:t>Tofersen</w:t>
            </w:r>
            <w:proofErr w:type="spellEnd"/>
            <w:r w:rsidRPr="00B00753">
              <w:rPr>
                <w:rFonts w:cs="Arial"/>
                <w:szCs w:val="19"/>
              </w:rPr>
              <w:t xml:space="preserve"> (</w:t>
            </w:r>
            <w:proofErr w:type="spellStart"/>
            <w:r w:rsidRPr="00B00753">
              <w:rPr>
                <w:rFonts w:cs="Arial"/>
                <w:i/>
                <w:iCs/>
                <w:szCs w:val="19"/>
              </w:rPr>
              <w:t>Qalsody</w:t>
            </w:r>
            <w:proofErr w:type="spellEnd"/>
            <w:r w:rsidRPr="00B00753">
              <w:rPr>
                <w:rFonts w:cs="Arial"/>
                <w:szCs w:val="19"/>
              </w:rPr>
              <w:t>)</w:t>
            </w:r>
          </w:p>
          <w:p w14:paraId="10151B56" w14:textId="342D3B35" w:rsidR="002612A1" w:rsidRPr="00B00753" w:rsidRDefault="002612A1" w:rsidP="002612A1">
            <w:pPr>
              <w:rPr>
                <w:rFonts w:cs="Arial"/>
                <w:szCs w:val="19"/>
              </w:rPr>
            </w:pPr>
            <w:r w:rsidRPr="00B00753">
              <w:rPr>
                <w:rFonts w:cs="Arial"/>
                <w:sz w:val="16"/>
                <w:szCs w:val="16"/>
              </w:rPr>
              <w:t>100mg in 15mL vial</w:t>
            </w:r>
          </w:p>
        </w:tc>
        <w:tc>
          <w:tcPr>
            <w:tcW w:w="3640" w:type="pct"/>
            <w:tcMar>
              <w:top w:w="57" w:type="dxa"/>
              <w:left w:w="170" w:type="dxa"/>
              <w:bottom w:w="57" w:type="dxa"/>
              <w:right w:w="170" w:type="dxa"/>
            </w:tcMar>
          </w:tcPr>
          <w:p w14:paraId="14C65A68" w14:textId="46452437" w:rsidR="002612A1" w:rsidRPr="00B00753" w:rsidRDefault="002612A1" w:rsidP="002612A1">
            <w:pPr>
              <w:tabs>
                <w:tab w:val="center" w:pos="3152"/>
              </w:tabs>
              <w:rPr>
                <w:rFonts w:cs="Arial"/>
                <w:bCs/>
                <w:szCs w:val="19"/>
              </w:rPr>
            </w:pPr>
            <w:r w:rsidRPr="00B00753">
              <w:rPr>
                <w:rFonts w:cs="Arial"/>
                <w:szCs w:val="19"/>
              </w:rPr>
              <w:t>Treatment of adults with amyotrophic lateral sclerosis associated with a mutation in the superoxide dismutase 1 gene</w:t>
            </w:r>
          </w:p>
        </w:tc>
      </w:tr>
      <w:tr w:rsidR="002612A1" w:rsidRPr="00B00753" w14:paraId="3A1EAFAF" w14:textId="77777777" w:rsidTr="00D25A40">
        <w:tc>
          <w:tcPr>
            <w:tcW w:w="1360" w:type="pct"/>
            <w:tcMar>
              <w:top w:w="57" w:type="dxa"/>
              <w:left w:w="170" w:type="dxa"/>
              <w:bottom w:w="57" w:type="dxa"/>
              <w:right w:w="170" w:type="dxa"/>
            </w:tcMar>
          </w:tcPr>
          <w:p w14:paraId="3A58E750" w14:textId="77777777" w:rsidR="002612A1" w:rsidRPr="00B00753" w:rsidRDefault="002612A1" w:rsidP="002612A1">
            <w:pPr>
              <w:rPr>
                <w:rFonts w:cs="Arial"/>
                <w:szCs w:val="19"/>
              </w:rPr>
            </w:pPr>
            <w:r w:rsidRPr="00B00753">
              <w:rPr>
                <w:rFonts w:cs="Arial"/>
                <w:szCs w:val="19"/>
              </w:rPr>
              <w:t>Ustekinumab biosimilar (</w:t>
            </w:r>
            <w:proofErr w:type="spellStart"/>
            <w:r w:rsidRPr="00B00753">
              <w:rPr>
                <w:rFonts w:cs="Arial"/>
                <w:i/>
                <w:iCs/>
                <w:szCs w:val="19"/>
              </w:rPr>
              <w:t>Pyzchiva</w:t>
            </w:r>
            <w:proofErr w:type="spellEnd"/>
            <w:r w:rsidRPr="00B00753">
              <w:rPr>
                <w:rFonts w:cs="Arial"/>
                <w:szCs w:val="19"/>
              </w:rPr>
              <w:t>)</w:t>
            </w:r>
            <w:r w:rsidRPr="00B00753">
              <w:t xml:space="preserve"> </w:t>
            </w:r>
          </w:p>
          <w:p w14:paraId="0CD1DBB3" w14:textId="7FAEC678" w:rsidR="002612A1" w:rsidRPr="00B00753" w:rsidRDefault="002612A1" w:rsidP="002612A1">
            <w:pPr>
              <w:rPr>
                <w:rFonts w:cs="Arial"/>
                <w:szCs w:val="19"/>
              </w:rPr>
            </w:pPr>
            <w:r w:rsidRPr="00B00753">
              <w:rPr>
                <w:rFonts w:cs="Arial"/>
                <w:sz w:val="16"/>
                <w:szCs w:val="16"/>
              </w:rPr>
              <w:t>45mg in 0.5mL and 90mg in 1mL prefilled pens</w:t>
            </w:r>
          </w:p>
        </w:tc>
        <w:tc>
          <w:tcPr>
            <w:tcW w:w="3640" w:type="pct"/>
            <w:tcMar>
              <w:top w:w="57" w:type="dxa"/>
              <w:left w:w="170" w:type="dxa"/>
              <w:bottom w:w="57" w:type="dxa"/>
              <w:right w:w="170" w:type="dxa"/>
            </w:tcMar>
          </w:tcPr>
          <w:p w14:paraId="69E610C8" w14:textId="105291A7" w:rsidR="002612A1" w:rsidRPr="00B00753" w:rsidRDefault="002612A1" w:rsidP="002612A1">
            <w:pPr>
              <w:tabs>
                <w:tab w:val="center" w:pos="3152"/>
              </w:tabs>
              <w:rPr>
                <w:rFonts w:cs="Arial"/>
                <w:szCs w:val="19"/>
              </w:rPr>
            </w:pPr>
            <w:r w:rsidRPr="009520DF">
              <w:rPr>
                <w:rFonts w:cs="Arial"/>
                <w:szCs w:val="19"/>
              </w:rPr>
              <w:t>Treatment of moderate to severe plaque psoriasis in adults who failed to respond to, or who have a contraindication to, or are intolerant to other systemic therapies including ciclosporin, methotrexate (MTX) or PUVA (psoralen and ultraviolet A); use alone or in combination with MTX, for the treatment of active psoriatic arthritis in adults when the response to previous nonbiological disease-modifying anti-rheumatic drug (DMARD) therapy has been inadequate; treatment of adults with moderately to severely active Crohn’s disease who have had an inadequate response with, lost response to, or were intolerant to either conventional therapy or a TNFα antagonist or have medical contraindications to such therapies;</w:t>
            </w:r>
            <w:r w:rsidRPr="009520DF">
              <w:rPr>
                <w:rFonts w:cs="Arial"/>
                <w:color w:val="FF0000"/>
                <w:szCs w:val="19"/>
              </w:rPr>
              <w:t xml:space="preserve"> </w:t>
            </w:r>
            <w:r w:rsidRPr="009520DF">
              <w:rPr>
                <w:rFonts w:cs="Arial"/>
                <w:szCs w:val="19"/>
              </w:rPr>
              <w:t xml:space="preserve">treatment of adults with moderately to severely active ulcerative colitis who have had an inadequate response with, lost response to, or were intolerant to either conventional therapy or a biologic or have medical contraindications to such therapies </w:t>
            </w:r>
            <w:r w:rsidRPr="00B00753">
              <w:rPr>
                <w:rFonts w:cs="Arial"/>
                <w:sz w:val="16"/>
                <w:szCs w:val="16"/>
              </w:rPr>
              <w:t>[new prefilled pen formulations]</w:t>
            </w:r>
          </w:p>
        </w:tc>
      </w:tr>
      <w:tr w:rsidR="002612A1" w:rsidRPr="00B00753" w14:paraId="3B558D5F" w14:textId="77777777" w:rsidTr="00D25A40">
        <w:tc>
          <w:tcPr>
            <w:tcW w:w="1360" w:type="pct"/>
            <w:tcMar>
              <w:top w:w="57" w:type="dxa"/>
              <w:left w:w="170" w:type="dxa"/>
              <w:bottom w:w="57" w:type="dxa"/>
              <w:right w:w="170" w:type="dxa"/>
            </w:tcMar>
          </w:tcPr>
          <w:p w14:paraId="3F74C9D9" w14:textId="77777777" w:rsidR="002612A1" w:rsidRPr="00B00753" w:rsidRDefault="002612A1" w:rsidP="002612A1">
            <w:pPr>
              <w:rPr>
                <w:rFonts w:cs="Arial"/>
                <w:szCs w:val="19"/>
              </w:rPr>
            </w:pPr>
            <w:proofErr w:type="spellStart"/>
            <w:r w:rsidRPr="00B00753">
              <w:rPr>
                <w:rFonts w:cs="Arial"/>
                <w:szCs w:val="19"/>
              </w:rPr>
              <w:t>Vorasidenib</w:t>
            </w:r>
            <w:proofErr w:type="spellEnd"/>
            <w:r w:rsidRPr="00B00753">
              <w:rPr>
                <w:rFonts w:cs="Arial"/>
                <w:szCs w:val="19"/>
              </w:rPr>
              <w:t xml:space="preserve"> (</w:t>
            </w:r>
            <w:proofErr w:type="spellStart"/>
            <w:r w:rsidRPr="00B00753">
              <w:rPr>
                <w:rFonts w:cs="Arial"/>
                <w:i/>
                <w:iCs/>
                <w:szCs w:val="19"/>
              </w:rPr>
              <w:t>Voranigo</w:t>
            </w:r>
            <w:proofErr w:type="spellEnd"/>
            <w:r w:rsidRPr="00B00753">
              <w:rPr>
                <w:rFonts w:cs="Arial"/>
                <w:szCs w:val="19"/>
              </w:rPr>
              <w:t>)</w:t>
            </w:r>
          </w:p>
          <w:p w14:paraId="4CEFF544" w14:textId="7E704E63" w:rsidR="002612A1" w:rsidRPr="00B00753" w:rsidRDefault="002612A1" w:rsidP="002612A1">
            <w:pPr>
              <w:rPr>
                <w:rFonts w:cs="Arial"/>
                <w:color w:val="000000" w:themeColor="text1"/>
                <w:szCs w:val="19"/>
              </w:rPr>
            </w:pPr>
            <w:r w:rsidRPr="00B00753">
              <w:rPr>
                <w:rFonts w:cs="Arial"/>
                <w:sz w:val="16"/>
                <w:szCs w:val="16"/>
              </w:rPr>
              <w:t>10mg and 40mg tablets</w:t>
            </w:r>
          </w:p>
        </w:tc>
        <w:tc>
          <w:tcPr>
            <w:tcW w:w="3640" w:type="pct"/>
            <w:tcMar>
              <w:top w:w="57" w:type="dxa"/>
              <w:left w:w="170" w:type="dxa"/>
              <w:bottom w:w="57" w:type="dxa"/>
              <w:right w:w="170" w:type="dxa"/>
            </w:tcMar>
          </w:tcPr>
          <w:p w14:paraId="2CA11955" w14:textId="357C33E3" w:rsidR="002612A1" w:rsidRPr="00B00753" w:rsidRDefault="002612A1" w:rsidP="002612A1">
            <w:pPr>
              <w:tabs>
                <w:tab w:val="center" w:pos="3152"/>
              </w:tabs>
              <w:rPr>
                <w:rFonts w:cs="Arial"/>
                <w:color w:val="000000" w:themeColor="text1"/>
                <w:szCs w:val="19"/>
              </w:rPr>
            </w:pPr>
            <w:r w:rsidRPr="00B00753">
              <w:rPr>
                <w:rFonts w:cs="Arial"/>
                <w:szCs w:val="19"/>
              </w:rPr>
              <w:t>Treatment of Grade 2 astrocytoma or oligodendroglioma with a susceptible isocitrate dehydrogenase-1 mutation or isocitrate dehydrogenase-2 mutation in adults and paediatric patients aged ≥12 years, who are not in need of immediate chemotherapy or radiotherapy following surgical intervention</w:t>
            </w:r>
          </w:p>
        </w:tc>
      </w:tr>
      <w:tr w:rsidR="002612A1" w:rsidRPr="00B00753" w14:paraId="6CAC2252" w14:textId="77777777" w:rsidTr="00D25A40">
        <w:tc>
          <w:tcPr>
            <w:tcW w:w="1360" w:type="pct"/>
            <w:tcMar>
              <w:top w:w="57" w:type="dxa"/>
              <w:left w:w="170" w:type="dxa"/>
              <w:bottom w:w="57" w:type="dxa"/>
              <w:right w:w="170" w:type="dxa"/>
            </w:tcMar>
          </w:tcPr>
          <w:p w14:paraId="0D957EDD" w14:textId="77777777" w:rsidR="002612A1" w:rsidRPr="00B00753" w:rsidRDefault="002612A1" w:rsidP="002612A1">
            <w:pPr>
              <w:rPr>
                <w:rFonts w:cs="Arial"/>
                <w:color w:val="000000" w:themeColor="text1"/>
                <w:szCs w:val="19"/>
              </w:rPr>
            </w:pPr>
            <w:proofErr w:type="spellStart"/>
            <w:r w:rsidRPr="00B00753">
              <w:rPr>
                <w:rFonts w:cs="Arial"/>
                <w:color w:val="000000" w:themeColor="text1"/>
                <w:szCs w:val="19"/>
              </w:rPr>
              <w:t>Zuranolone</w:t>
            </w:r>
            <w:proofErr w:type="spellEnd"/>
            <w:r w:rsidRPr="00B00753">
              <w:rPr>
                <w:rFonts w:cs="Arial"/>
                <w:color w:val="000000" w:themeColor="text1"/>
                <w:szCs w:val="19"/>
              </w:rPr>
              <w:t xml:space="preserve"> (</w:t>
            </w:r>
            <w:proofErr w:type="spellStart"/>
            <w:r w:rsidRPr="00B00753">
              <w:rPr>
                <w:rFonts w:cs="Arial"/>
                <w:i/>
                <w:iCs/>
                <w:color w:val="000000" w:themeColor="text1"/>
                <w:szCs w:val="19"/>
              </w:rPr>
              <w:t>Zurzuvae</w:t>
            </w:r>
            <w:proofErr w:type="spellEnd"/>
            <w:r w:rsidRPr="00B00753">
              <w:rPr>
                <w:rFonts w:cs="Arial"/>
                <w:color w:val="000000" w:themeColor="text1"/>
                <w:szCs w:val="19"/>
              </w:rPr>
              <w:t>)</w:t>
            </w:r>
          </w:p>
          <w:p w14:paraId="1E03B259" w14:textId="3B30ACBE" w:rsidR="002612A1" w:rsidRPr="00B00753" w:rsidRDefault="002612A1" w:rsidP="002612A1">
            <w:pPr>
              <w:rPr>
                <w:rFonts w:cs="Arial"/>
                <w:szCs w:val="19"/>
              </w:rPr>
            </w:pPr>
            <w:r w:rsidRPr="00B00753">
              <w:rPr>
                <w:rFonts w:cs="Arial"/>
                <w:color w:val="000000" w:themeColor="text1"/>
                <w:sz w:val="16"/>
                <w:szCs w:val="16"/>
              </w:rPr>
              <w:t>20mg, 25mg and 30mg capsules</w:t>
            </w:r>
          </w:p>
        </w:tc>
        <w:tc>
          <w:tcPr>
            <w:tcW w:w="3640" w:type="pct"/>
            <w:tcMar>
              <w:top w:w="57" w:type="dxa"/>
              <w:left w:w="170" w:type="dxa"/>
              <w:bottom w:w="57" w:type="dxa"/>
              <w:right w:w="170" w:type="dxa"/>
            </w:tcMar>
          </w:tcPr>
          <w:p w14:paraId="0EDDC3C5" w14:textId="555FC14D" w:rsidR="002612A1" w:rsidRPr="00B00753" w:rsidRDefault="002612A1" w:rsidP="002612A1">
            <w:pPr>
              <w:tabs>
                <w:tab w:val="center" w:pos="3152"/>
              </w:tabs>
              <w:rPr>
                <w:rFonts w:cs="Arial"/>
                <w:szCs w:val="19"/>
              </w:rPr>
            </w:pPr>
            <w:r w:rsidRPr="00B00753">
              <w:rPr>
                <w:rFonts w:cs="Arial"/>
                <w:color w:val="000000" w:themeColor="text1"/>
                <w:szCs w:val="19"/>
              </w:rPr>
              <w:t>Treatment of moderate or severe postnatal depression in adults following childbirth</w:t>
            </w:r>
          </w:p>
        </w:tc>
      </w:tr>
      <w:tr w:rsidR="002612A1" w:rsidRPr="00B00753" w14:paraId="7B1731FB" w14:textId="77777777" w:rsidTr="00D25A40">
        <w:tc>
          <w:tcPr>
            <w:tcW w:w="5000" w:type="pct"/>
            <w:gridSpan w:val="2"/>
            <w:tcMar>
              <w:top w:w="0" w:type="dxa"/>
              <w:bottom w:w="0" w:type="dxa"/>
            </w:tcMar>
          </w:tcPr>
          <w:p w14:paraId="22ADA81D" w14:textId="77777777" w:rsidR="002612A1" w:rsidRPr="00B00753" w:rsidRDefault="002612A1" w:rsidP="002612A1">
            <w:pPr>
              <w:rPr>
                <w:rFonts w:cs="Arial"/>
                <w:b/>
                <w:noProof/>
                <w:sz w:val="8"/>
                <w:szCs w:val="8"/>
              </w:rPr>
            </w:pPr>
          </w:p>
        </w:tc>
      </w:tr>
      <w:tr w:rsidR="002612A1" w:rsidRPr="00B00753" w14:paraId="4FFBEEA5" w14:textId="77777777" w:rsidTr="00D25A40">
        <w:tc>
          <w:tcPr>
            <w:tcW w:w="5000" w:type="pct"/>
            <w:gridSpan w:val="2"/>
            <w:shd w:val="clear" w:color="auto" w:fill="DAEEF3"/>
            <w:tcMar>
              <w:top w:w="0" w:type="dxa"/>
              <w:bottom w:w="0" w:type="dxa"/>
            </w:tcMar>
          </w:tcPr>
          <w:p w14:paraId="43E55508" w14:textId="77777777" w:rsidR="002612A1" w:rsidRPr="00B00753" w:rsidRDefault="002612A1" w:rsidP="002612A1">
            <w:pPr>
              <w:rPr>
                <w:rFonts w:cs="Arial"/>
                <w:b/>
                <w:i/>
                <w:noProof/>
                <w:sz w:val="8"/>
                <w:szCs w:val="8"/>
              </w:rPr>
            </w:pPr>
          </w:p>
        </w:tc>
      </w:tr>
    </w:tbl>
    <w:p w14:paraId="3EB21E98" w14:textId="77777777" w:rsidR="00EA2166" w:rsidRPr="00B00753" w:rsidRDefault="00EA2166" w:rsidP="00EB3E6F">
      <w:pPr>
        <w:tabs>
          <w:tab w:val="left" w:pos="2087"/>
        </w:tabs>
      </w:pPr>
    </w:p>
    <w:p w14:paraId="141F071D" w14:textId="77777777" w:rsidR="00DD55B2" w:rsidRPr="00B00753" w:rsidRDefault="00DD55B2" w:rsidP="00EB3E6F">
      <w:pPr>
        <w:tabs>
          <w:tab w:val="left" w:pos="2087"/>
        </w:tabs>
      </w:pPr>
    </w:p>
    <w:p w14:paraId="68234204" w14:textId="77777777" w:rsidR="00DD55B2" w:rsidRPr="00B00753" w:rsidRDefault="00DD55B2" w:rsidP="00EB3E6F">
      <w:pPr>
        <w:tabs>
          <w:tab w:val="left" w:pos="2087"/>
        </w:tabs>
      </w:pPr>
    </w:p>
    <w:p w14:paraId="17182CBD" w14:textId="42384B7B" w:rsidR="00CC36BD" w:rsidRPr="00B00753" w:rsidRDefault="00CC36BD"/>
    <w:p w14:paraId="6888BE6E" w14:textId="750AB5A6" w:rsidR="00E2065D" w:rsidRPr="00B00753" w:rsidRDefault="00E2065D">
      <w:r w:rsidRPr="00B00753">
        <w:br w:type="page"/>
      </w:r>
    </w:p>
    <w:p w14:paraId="36E79585" w14:textId="77777777" w:rsidR="00EA2166" w:rsidRPr="00B00753" w:rsidRDefault="00EA2166" w:rsidP="00EB3E6F">
      <w:pPr>
        <w:tabs>
          <w:tab w:val="left" w:pos="2087"/>
        </w:tabs>
      </w:pPr>
    </w:p>
    <w:p w14:paraId="5B734CCE" w14:textId="77777777" w:rsidR="00EA2166" w:rsidRPr="00B00753" w:rsidRDefault="00EA2166" w:rsidP="00EB3E6F">
      <w:pPr>
        <w:tabs>
          <w:tab w:val="left" w:pos="2087"/>
        </w:tabs>
      </w:pPr>
    </w:p>
    <w:tbl>
      <w:tblPr>
        <w:tblW w:w="5170" w:type="pct"/>
        <w:tblInd w:w="-176" w:type="dxa"/>
        <w:tblLayout w:type="fixed"/>
        <w:tblLook w:val="01E0" w:firstRow="1" w:lastRow="1" w:firstColumn="1" w:lastColumn="1" w:noHBand="0" w:noVBand="0"/>
      </w:tblPr>
      <w:tblGrid>
        <w:gridCol w:w="2728"/>
        <w:gridCol w:w="7823"/>
      </w:tblGrid>
      <w:tr w:rsidR="005A7E09" w:rsidRPr="00B00753" w14:paraId="76652A3D" w14:textId="77777777" w:rsidTr="005A7E09">
        <w:tc>
          <w:tcPr>
            <w:tcW w:w="5000" w:type="pct"/>
            <w:gridSpan w:val="2"/>
            <w:shd w:val="clear" w:color="auto" w:fill="0070C0"/>
            <w:tcMar>
              <w:top w:w="85" w:type="dxa"/>
              <w:bottom w:w="85" w:type="dxa"/>
            </w:tcMar>
            <w:vAlign w:val="bottom"/>
          </w:tcPr>
          <w:p w14:paraId="0434BDE2" w14:textId="77777777" w:rsidR="005A7E09" w:rsidRPr="00B00753" w:rsidRDefault="005A7E09" w:rsidP="005A7E09">
            <w:pPr>
              <w:rPr>
                <w:rFonts w:cs="Arial"/>
                <w:color w:val="FFFFFF"/>
                <w:sz w:val="15"/>
                <w:szCs w:val="15"/>
              </w:rPr>
            </w:pPr>
            <w:r w:rsidRPr="00B00753">
              <w:rPr>
                <w:rFonts w:cs="Arial"/>
                <w:b/>
                <w:bCs/>
                <w:iCs/>
                <w:color w:val="FFFFFF"/>
                <w:sz w:val="28"/>
                <w:szCs w:val="28"/>
              </w:rPr>
              <w:t xml:space="preserve">Regulatory changes in the </w:t>
            </w:r>
            <w:r w:rsidR="00AA1F49" w:rsidRPr="00B00753">
              <w:rPr>
                <w:rFonts w:cs="Arial"/>
                <w:b/>
                <w:bCs/>
                <w:iCs/>
                <w:color w:val="FFFFFF"/>
                <w:sz w:val="28"/>
                <w:szCs w:val="28"/>
              </w:rPr>
              <w:t xml:space="preserve">UK or </w:t>
            </w:r>
            <w:r w:rsidRPr="00B00753">
              <w:rPr>
                <w:rFonts w:cs="Arial"/>
                <w:b/>
                <w:bCs/>
                <w:iCs/>
                <w:color w:val="FFFFFF"/>
                <w:sz w:val="28"/>
                <w:szCs w:val="28"/>
              </w:rPr>
              <w:t>EU</w:t>
            </w:r>
            <w:r w:rsidRPr="00B00753">
              <w:rPr>
                <w:rFonts w:cs="Arial"/>
                <w:b/>
                <w:bCs/>
                <w:iCs/>
                <w:color w:val="FFFFFF"/>
                <w:sz w:val="28"/>
                <w:szCs w:val="28"/>
              </w:rPr>
              <w:tab/>
            </w:r>
          </w:p>
        </w:tc>
      </w:tr>
      <w:tr w:rsidR="005A7E09" w:rsidRPr="00B00753" w14:paraId="3804A2EA" w14:textId="77777777" w:rsidTr="005A7E09">
        <w:tc>
          <w:tcPr>
            <w:tcW w:w="5000" w:type="pct"/>
            <w:gridSpan w:val="2"/>
            <w:shd w:val="clear" w:color="auto" w:fill="DAEEF3"/>
            <w:tcMar>
              <w:top w:w="0" w:type="dxa"/>
              <w:bottom w:w="0" w:type="dxa"/>
            </w:tcMar>
          </w:tcPr>
          <w:p w14:paraId="22126DA2" w14:textId="77777777" w:rsidR="005A7E09" w:rsidRPr="00B00753" w:rsidRDefault="005A7E09" w:rsidP="005A7E09">
            <w:pPr>
              <w:rPr>
                <w:rFonts w:cs="Arial"/>
                <w:b/>
                <w:bCs/>
                <w:i/>
                <w:iCs/>
                <w:color w:val="000000"/>
                <w:sz w:val="8"/>
                <w:szCs w:val="8"/>
              </w:rPr>
            </w:pPr>
          </w:p>
        </w:tc>
      </w:tr>
      <w:tr w:rsidR="005A7E09" w:rsidRPr="00B00753" w14:paraId="5B134715" w14:textId="77777777" w:rsidTr="00562CE4">
        <w:tc>
          <w:tcPr>
            <w:tcW w:w="5000" w:type="pct"/>
            <w:gridSpan w:val="2"/>
            <w:shd w:val="clear" w:color="auto" w:fill="008232"/>
            <w:tcMar>
              <w:top w:w="57" w:type="dxa"/>
              <w:bottom w:w="57" w:type="dxa"/>
            </w:tcMar>
          </w:tcPr>
          <w:p w14:paraId="24EAB44A" w14:textId="652A794E" w:rsidR="005A7E09" w:rsidRPr="00B00753" w:rsidRDefault="005A7E09" w:rsidP="00EB3E6F">
            <w:pPr>
              <w:rPr>
                <w:rFonts w:cs="Arial"/>
                <w:color w:val="FFFFFF"/>
                <w:sz w:val="20"/>
                <w:szCs w:val="20"/>
              </w:rPr>
            </w:pPr>
            <w:r w:rsidRPr="00B00753">
              <w:rPr>
                <w:rFonts w:cs="Arial"/>
                <w:b/>
                <w:bCs/>
                <w:i/>
                <w:iCs/>
                <w:color w:val="FFFFFF"/>
                <w:sz w:val="22"/>
                <w:szCs w:val="20"/>
              </w:rPr>
              <w:t xml:space="preserve">Approved in the </w:t>
            </w:r>
            <w:r w:rsidR="0048777D" w:rsidRPr="00B00753">
              <w:rPr>
                <w:rFonts w:cs="Arial"/>
                <w:b/>
                <w:bCs/>
                <w:i/>
                <w:iCs/>
                <w:color w:val="FFFFFF"/>
                <w:sz w:val="22"/>
                <w:szCs w:val="20"/>
              </w:rPr>
              <w:t>UK</w:t>
            </w:r>
          </w:p>
        </w:tc>
      </w:tr>
      <w:tr w:rsidR="00347B50" w:rsidRPr="00B00753" w14:paraId="6C9CC2A7" w14:textId="77777777" w:rsidTr="00347B50">
        <w:tc>
          <w:tcPr>
            <w:tcW w:w="1293" w:type="pct"/>
            <w:tcMar>
              <w:top w:w="57" w:type="dxa"/>
              <w:bottom w:w="57" w:type="dxa"/>
            </w:tcMar>
          </w:tcPr>
          <w:p w14:paraId="232F64D3" w14:textId="77777777" w:rsidR="00347B50" w:rsidRPr="00B00753" w:rsidRDefault="00347B50" w:rsidP="00347B50">
            <w:pPr>
              <w:rPr>
                <w:rFonts w:cs="Arial"/>
                <w:szCs w:val="19"/>
              </w:rPr>
            </w:pPr>
            <w:r w:rsidRPr="00B00753">
              <w:rPr>
                <w:rFonts w:cs="Arial"/>
                <w:szCs w:val="19"/>
              </w:rPr>
              <w:t>Aflibercept biosimilar (</w:t>
            </w:r>
            <w:proofErr w:type="spellStart"/>
            <w:r w:rsidRPr="00B00753">
              <w:rPr>
                <w:rFonts w:cs="Arial"/>
                <w:i/>
                <w:iCs/>
                <w:szCs w:val="19"/>
              </w:rPr>
              <w:t>Vgenfli</w:t>
            </w:r>
            <w:proofErr w:type="spellEnd"/>
            <w:r w:rsidRPr="00B00753">
              <w:rPr>
                <w:rFonts w:cs="Arial"/>
                <w:szCs w:val="19"/>
              </w:rPr>
              <w:t>)</w:t>
            </w:r>
          </w:p>
          <w:p w14:paraId="63223061" w14:textId="6C3BB077" w:rsidR="00347B50" w:rsidRPr="00B00753" w:rsidRDefault="00347B50" w:rsidP="00347B50">
            <w:pPr>
              <w:rPr>
                <w:rFonts w:cs="Arial"/>
                <w:szCs w:val="19"/>
              </w:rPr>
            </w:pPr>
            <w:r w:rsidRPr="00B00753">
              <w:rPr>
                <w:rFonts w:cs="Arial"/>
                <w:sz w:val="16"/>
                <w:szCs w:val="16"/>
              </w:rPr>
              <w:t>6.6mg in 0.165mL prefilled syringe and 11.12mg in 0.278mL vial</w:t>
            </w:r>
          </w:p>
        </w:tc>
        <w:tc>
          <w:tcPr>
            <w:tcW w:w="3707" w:type="pct"/>
            <w:tcMar>
              <w:top w:w="57" w:type="dxa"/>
              <w:bottom w:w="57" w:type="dxa"/>
            </w:tcMar>
          </w:tcPr>
          <w:p w14:paraId="31A6F1F3" w14:textId="63E46EB2" w:rsidR="00347B50" w:rsidRPr="00B00753" w:rsidRDefault="00347B50" w:rsidP="00347B50">
            <w:pPr>
              <w:tabs>
                <w:tab w:val="center" w:pos="3152"/>
              </w:tabs>
              <w:rPr>
                <w:rFonts w:cs="Arial"/>
                <w:szCs w:val="19"/>
              </w:rPr>
            </w:pPr>
            <w:r w:rsidRPr="00B00753">
              <w:rPr>
                <w:rFonts w:cs="Arial"/>
                <w:szCs w:val="19"/>
              </w:rPr>
              <w:t>Use in adults for the treatment of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347B50" w:rsidRPr="00B00753" w14:paraId="34E90234" w14:textId="77777777" w:rsidTr="00347B50">
        <w:tc>
          <w:tcPr>
            <w:tcW w:w="1293" w:type="pct"/>
            <w:tcMar>
              <w:top w:w="57" w:type="dxa"/>
              <w:bottom w:w="57" w:type="dxa"/>
            </w:tcMar>
          </w:tcPr>
          <w:p w14:paraId="4F9CCA57" w14:textId="77777777" w:rsidR="00347B50" w:rsidRPr="00B00753" w:rsidRDefault="00347B50" w:rsidP="00347B50">
            <w:pPr>
              <w:rPr>
                <w:rFonts w:cs="Arial"/>
                <w:szCs w:val="19"/>
              </w:rPr>
            </w:pPr>
            <w:proofErr w:type="spellStart"/>
            <w:r w:rsidRPr="00B00753">
              <w:rPr>
                <w:rFonts w:cs="Arial"/>
                <w:szCs w:val="19"/>
              </w:rPr>
              <w:t>Concizumab</w:t>
            </w:r>
            <w:proofErr w:type="spellEnd"/>
            <w:r w:rsidRPr="00B00753">
              <w:rPr>
                <w:rFonts w:cs="Arial"/>
                <w:szCs w:val="19"/>
              </w:rPr>
              <w:t xml:space="preserve"> (</w:t>
            </w:r>
            <w:proofErr w:type="spellStart"/>
            <w:r w:rsidRPr="00B00753">
              <w:rPr>
                <w:rFonts w:cs="Arial"/>
                <w:i/>
                <w:iCs/>
                <w:szCs w:val="19"/>
              </w:rPr>
              <w:t>Alhemo</w:t>
            </w:r>
            <w:proofErr w:type="spellEnd"/>
            <w:r w:rsidRPr="00B00753">
              <w:rPr>
                <w:rFonts w:cs="Arial"/>
                <w:szCs w:val="19"/>
              </w:rPr>
              <w:t>)</w:t>
            </w:r>
          </w:p>
          <w:p w14:paraId="5779CB93" w14:textId="4D0B5448" w:rsidR="00347B50" w:rsidRPr="00B00753" w:rsidRDefault="00347B50" w:rsidP="00347B50">
            <w:pPr>
              <w:rPr>
                <w:rFonts w:cs="Arial"/>
                <w:szCs w:val="19"/>
              </w:rPr>
            </w:pPr>
            <w:r w:rsidRPr="00B00753">
              <w:rPr>
                <w:rFonts w:cs="Arial"/>
                <w:sz w:val="16"/>
                <w:szCs w:val="16"/>
              </w:rPr>
              <w:t>15mg/1.5mL, 60mg/1.5mL, 150mg/1.5mL and 300mg/3mL prefilled pens</w:t>
            </w:r>
          </w:p>
        </w:tc>
        <w:tc>
          <w:tcPr>
            <w:tcW w:w="3707" w:type="pct"/>
            <w:tcMar>
              <w:top w:w="57" w:type="dxa"/>
              <w:bottom w:w="57" w:type="dxa"/>
            </w:tcMar>
          </w:tcPr>
          <w:p w14:paraId="7683AF4D" w14:textId="7A7723BB" w:rsidR="00347B50" w:rsidRPr="00B00753" w:rsidRDefault="00347B50" w:rsidP="00347B50">
            <w:pPr>
              <w:tabs>
                <w:tab w:val="center" w:pos="3152"/>
              </w:tabs>
              <w:rPr>
                <w:rFonts w:cs="Arial"/>
                <w:szCs w:val="19"/>
              </w:rPr>
            </w:pPr>
            <w:r w:rsidRPr="00B00753">
              <w:rPr>
                <w:rFonts w:cs="Arial"/>
                <w:szCs w:val="19"/>
              </w:rPr>
              <w:t>Routine prophylaxis of bleeding in patients with haemophilia A (congenital factor VIII deficiency) with FVIII inhibitors and aged ≥12 years, and haemophilia B (congenital factor IX deficiency) with FIX inhibitors and aged ≥12 years</w:t>
            </w:r>
          </w:p>
        </w:tc>
      </w:tr>
      <w:tr w:rsidR="00347B50" w:rsidRPr="00B00753" w14:paraId="7092965F" w14:textId="77777777" w:rsidTr="00347B50">
        <w:tc>
          <w:tcPr>
            <w:tcW w:w="1293" w:type="pct"/>
            <w:tcMar>
              <w:top w:w="57" w:type="dxa"/>
              <w:bottom w:w="57" w:type="dxa"/>
            </w:tcMar>
          </w:tcPr>
          <w:p w14:paraId="47A2AEF9" w14:textId="77777777" w:rsidR="00347B50" w:rsidRPr="00B00753" w:rsidRDefault="00347B50" w:rsidP="00347B50">
            <w:pPr>
              <w:rPr>
                <w:rFonts w:cs="Arial"/>
                <w:szCs w:val="19"/>
              </w:rPr>
            </w:pPr>
            <w:r w:rsidRPr="00B00753">
              <w:rPr>
                <w:rFonts w:cs="Arial"/>
                <w:szCs w:val="19"/>
              </w:rPr>
              <w:t>Denosumab biosimilar (</w:t>
            </w:r>
            <w:proofErr w:type="spellStart"/>
            <w:r w:rsidRPr="00B00753">
              <w:rPr>
                <w:rFonts w:cs="Arial"/>
                <w:i/>
                <w:iCs/>
                <w:szCs w:val="19"/>
              </w:rPr>
              <w:t>Denbrayce</w:t>
            </w:r>
            <w:proofErr w:type="spellEnd"/>
            <w:r w:rsidRPr="00B00753">
              <w:rPr>
                <w:rFonts w:cs="Arial"/>
                <w:szCs w:val="19"/>
              </w:rPr>
              <w:t>)</w:t>
            </w:r>
          </w:p>
          <w:p w14:paraId="6A0647A6" w14:textId="4F79D939" w:rsidR="00347B50" w:rsidRPr="00B00753" w:rsidRDefault="00347B50" w:rsidP="00347B50">
            <w:pPr>
              <w:rPr>
                <w:rFonts w:cs="Arial"/>
                <w:szCs w:val="19"/>
              </w:rPr>
            </w:pPr>
            <w:r w:rsidRPr="00B00753">
              <w:rPr>
                <w:rFonts w:cs="Arial"/>
                <w:sz w:val="16"/>
                <w:szCs w:val="16"/>
              </w:rPr>
              <w:t>120mg in 1.7mL vial</w:t>
            </w:r>
          </w:p>
        </w:tc>
        <w:tc>
          <w:tcPr>
            <w:tcW w:w="3707" w:type="pct"/>
            <w:tcMar>
              <w:top w:w="57" w:type="dxa"/>
              <w:bottom w:w="57" w:type="dxa"/>
            </w:tcMar>
          </w:tcPr>
          <w:p w14:paraId="0DF7A571" w14:textId="3A65C57A" w:rsidR="00347B50" w:rsidRPr="00B00753" w:rsidRDefault="00347B50" w:rsidP="00347B50">
            <w:pPr>
              <w:tabs>
                <w:tab w:val="center" w:pos="3152"/>
              </w:tabs>
              <w:rPr>
                <w:rFonts w:cs="Arial"/>
                <w:szCs w:val="19"/>
              </w:rPr>
            </w:pPr>
            <w:r w:rsidRPr="00B00753">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347B50" w:rsidRPr="00B00753" w14:paraId="2CE30B14" w14:textId="77777777" w:rsidTr="00347B50">
        <w:tc>
          <w:tcPr>
            <w:tcW w:w="1293" w:type="pct"/>
            <w:tcMar>
              <w:top w:w="57" w:type="dxa"/>
              <w:bottom w:w="57" w:type="dxa"/>
            </w:tcMar>
          </w:tcPr>
          <w:p w14:paraId="36036CF0" w14:textId="77777777" w:rsidR="00347B50" w:rsidRPr="00B00753" w:rsidRDefault="00347B50" w:rsidP="00347B50">
            <w:pPr>
              <w:rPr>
                <w:rFonts w:cs="Arial"/>
                <w:szCs w:val="19"/>
              </w:rPr>
            </w:pPr>
            <w:r w:rsidRPr="00B00753">
              <w:rPr>
                <w:rFonts w:cs="Arial"/>
                <w:szCs w:val="19"/>
              </w:rPr>
              <w:t>Denosumab biosimilar (</w:t>
            </w:r>
            <w:proofErr w:type="spellStart"/>
            <w:r w:rsidRPr="00B00753">
              <w:rPr>
                <w:rFonts w:cs="Arial"/>
                <w:i/>
                <w:iCs/>
                <w:szCs w:val="19"/>
              </w:rPr>
              <w:t>Izamby</w:t>
            </w:r>
            <w:proofErr w:type="spellEnd"/>
            <w:r w:rsidRPr="00B00753">
              <w:rPr>
                <w:rFonts w:cs="Arial"/>
                <w:szCs w:val="19"/>
              </w:rPr>
              <w:t>)</w:t>
            </w:r>
          </w:p>
          <w:p w14:paraId="67DDFF05" w14:textId="3C770BD4" w:rsidR="00347B50" w:rsidRPr="00B00753" w:rsidRDefault="00347B50" w:rsidP="00347B50">
            <w:pPr>
              <w:rPr>
                <w:rFonts w:cs="Arial"/>
                <w:sz w:val="16"/>
                <w:szCs w:val="16"/>
              </w:rPr>
            </w:pPr>
            <w:r w:rsidRPr="00B00753">
              <w:rPr>
                <w:rFonts w:cs="Arial"/>
                <w:sz w:val="16"/>
                <w:szCs w:val="16"/>
              </w:rPr>
              <w:t>60mg in 1mL prefilled syringe</w:t>
            </w:r>
          </w:p>
        </w:tc>
        <w:tc>
          <w:tcPr>
            <w:tcW w:w="3707" w:type="pct"/>
            <w:tcMar>
              <w:top w:w="57" w:type="dxa"/>
              <w:bottom w:w="57" w:type="dxa"/>
            </w:tcMar>
          </w:tcPr>
          <w:p w14:paraId="4A8D6185" w14:textId="2ABE541F" w:rsidR="00347B50" w:rsidRPr="00B00753" w:rsidRDefault="00347B50" w:rsidP="00347B50">
            <w:pPr>
              <w:tabs>
                <w:tab w:val="num" w:pos="720"/>
                <w:tab w:val="center" w:pos="3152"/>
              </w:tabs>
              <w:rPr>
                <w:rFonts w:cs="Arial"/>
                <w:szCs w:val="19"/>
              </w:rPr>
            </w:pPr>
            <w:r w:rsidRPr="00B00753">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347B50" w:rsidRPr="00B00753" w14:paraId="258D8AE4" w14:textId="77777777" w:rsidTr="00347B50">
        <w:tc>
          <w:tcPr>
            <w:tcW w:w="1293" w:type="pct"/>
            <w:tcMar>
              <w:top w:w="57" w:type="dxa"/>
              <w:bottom w:w="57" w:type="dxa"/>
            </w:tcMar>
          </w:tcPr>
          <w:p w14:paraId="62ADF17E" w14:textId="77777777" w:rsidR="00347B50" w:rsidRPr="00B00753" w:rsidRDefault="00347B50" w:rsidP="00347B50">
            <w:pPr>
              <w:rPr>
                <w:rFonts w:cs="Arial"/>
                <w:szCs w:val="19"/>
              </w:rPr>
            </w:pPr>
            <w:r w:rsidRPr="00B00753">
              <w:rPr>
                <w:rFonts w:cs="Arial"/>
                <w:szCs w:val="19"/>
              </w:rPr>
              <w:t>Denosumab biosimilar (</w:t>
            </w:r>
            <w:proofErr w:type="spellStart"/>
            <w:r w:rsidRPr="00B00753">
              <w:rPr>
                <w:rFonts w:cs="Arial"/>
                <w:i/>
                <w:iCs/>
                <w:szCs w:val="19"/>
              </w:rPr>
              <w:t>Yaxwer</w:t>
            </w:r>
            <w:proofErr w:type="spellEnd"/>
            <w:r w:rsidRPr="00B00753">
              <w:rPr>
                <w:rFonts w:cs="Arial"/>
                <w:szCs w:val="19"/>
              </w:rPr>
              <w:t>)</w:t>
            </w:r>
          </w:p>
          <w:p w14:paraId="13E7A651" w14:textId="46164C82" w:rsidR="00347B50" w:rsidRPr="00B00753" w:rsidRDefault="00347B50" w:rsidP="00347B50">
            <w:pPr>
              <w:rPr>
                <w:rFonts w:cs="Arial"/>
                <w:szCs w:val="19"/>
              </w:rPr>
            </w:pPr>
            <w:r w:rsidRPr="00B00753">
              <w:rPr>
                <w:rFonts w:cs="Arial"/>
                <w:sz w:val="16"/>
                <w:szCs w:val="16"/>
              </w:rPr>
              <w:t>120mg in 1.7mL vial</w:t>
            </w:r>
          </w:p>
        </w:tc>
        <w:tc>
          <w:tcPr>
            <w:tcW w:w="3707" w:type="pct"/>
            <w:tcMar>
              <w:top w:w="57" w:type="dxa"/>
              <w:bottom w:w="57" w:type="dxa"/>
            </w:tcMar>
          </w:tcPr>
          <w:p w14:paraId="38E43337" w14:textId="755FFB74" w:rsidR="00347B50" w:rsidRPr="00B00753" w:rsidRDefault="00347B50" w:rsidP="00347B50">
            <w:pPr>
              <w:tabs>
                <w:tab w:val="num" w:pos="720"/>
                <w:tab w:val="center" w:pos="3152"/>
              </w:tabs>
              <w:rPr>
                <w:rFonts w:cs="Arial"/>
                <w:szCs w:val="19"/>
              </w:rPr>
            </w:pPr>
            <w:r w:rsidRPr="00B00753">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347B50" w:rsidRPr="00B00753" w14:paraId="75E47CF0" w14:textId="77777777" w:rsidTr="00347B50">
        <w:tc>
          <w:tcPr>
            <w:tcW w:w="1293" w:type="pct"/>
            <w:tcMar>
              <w:top w:w="57" w:type="dxa"/>
              <w:bottom w:w="57" w:type="dxa"/>
            </w:tcMar>
          </w:tcPr>
          <w:p w14:paraId="7E3E9935" w14:textId="77777777" w:rsidR="00347B50" w:rsidRPr="00B00753" w:rsidRDefault="00347B50" w:rsidP="00347B50">
            <w:pPr>
              <w:rPr>
                <w:rFonts w:cs="Arial"/>
                <w:szCs w:val="19"/>
              </w:rPr>
            </w:pPr>
            <w:r w:rsidRPr="00B00753">
              <w:rPr>
                <w:rFonts w:cs="Arial"/>
                <w:szCs w:val="19"/>
              </w:rPr>
              <w:t>Methylphenidate (</w:t>
            </w:r>
            <w:proofErr w:type="spellStart"/>
            <w:r w:rsidRPr="00B00753">
              <w:rPr>
                <w:rFonts w:cs="Arial"/>
                <w:i/>
                <w:iCs/>
                <w:szCs w:val="19"/>
              </w:rPr>
              <w:t>Tuzulby</w:t>
            </w:r>
            <w:proofErr w:type="spellEnd"/>
            <w:r w:rsidRPr="00B00753">
              <w:rPr>
                <w:rFonts w:cs="Arial"/>
                <w:szCs w:val="19"/>
              </w:rPr>
              <w:t xml:space="preserve">) </w:t>
            </w:r>
          </w:p>
          <w:p w14:paraId="429FAECD" w14:textId="42888110" w:rsidR="00347B50" w:rsidRPr="00B00753" w:rsidRDefault="00347B50" w:rsidP="00347B50">
            <w:pPr>
              <w:rPr>
                <w:rFonts w:cs="Arial"/>
                <w:szCs w:val="19"/>
              </w:rPr>
            </w:pPr>
            <w:r w:rsidRPr="00B00753">
              <w:rPr>
                <w:rFonts w:cs="Arial"/>
                <w:sz w:val="16"/>
                <w:szCs w:val="16"/>
              </w:rPr>
              <w:t>20mg, 30mg and 40mg modified-release chewable tablets</w:t>
            </w:r>
          </w:p>
        </w:tc>
        <w:tc>
          <w:tcPr>
            <w:tcW w:w="3707" w:type="pct"/>
            <w:tcMar>
              <w:top w:w="57" w:type="dxa"/>
              <w:bottom w:w="57" w:type="dxa"/>
            </w:tcMar>
          </w:tcPr>
          <w:p w14:paraId="0301C4B8" w14:textId="74CA977A" w:rsidR="00347B50" w:rsidRPr="00B00753" w:rsidRDefault="00347B50" w:rsidP="00347B50">
            <w:pPr>
              <w:tabs>
                <w:tab w:val="num" w:pos="720"/>
                <w:tab w:val="center" w:pos="3152"/>
              </w:tabs>
              <w:rPr>
                <w:rFonts w:cs="Arial"/>
                <w:szCs w:val="19"/>
              </w:rPr>
            </w:pPr>
            <w:r w:rsidRPr="00B00753">
              <w:rPr>
                <w:rFonts w:cs="Arial"/>
                <w:szCs w:val="19"/>
              </w:rPr>
              <w:t xml:space="preserve">Use as part of a comprehensive treatment programme for attention deficit/hyperactivity disorder in children and adolescents aged 6-17 years when remedial measures alone prove insufficient </w:t>
            </w:r>
            <w:r w:rsidRPr="00B00753">
              <w:rPr>
                <w:rFonts w:cs="Arial"/>
                <w:sz w:val="16"/>
                <w:szCs w:val="16"/>
              </w:rPr>
              <w:t>[new chewable modified-release tablet formulations]</w:t>
            </w:r>
          </w:p>
        </w:tc>
      </w:tr>
      <w:tr w:rsidR="00347B50" w:rsidRPr="00B00753" w14:paraId="43AB1E98" w14:textId="77777777" w:rsidTr="00347B50">
        <w:tc>
          <w:tcPr>
            <w:tcW w:w="1293" w:type="pct"/>
            <w:tcMar>
              <w:top w:w="57" w:type="dxa"/>
              <w:bottom w:w="57" w:type="dxa"/>
            </w:tcMar>
          </w:tcPr>
          <w:p w14:paraId="1B221F2E" w14:textId="77777777" w:rsidR="00347B50" w:rsidRPr="00B00753" w:rsidRDefault="00347B50" w:rsidP="00347B50">
            <w:pPr>
              <w:rPr>
                <w:rFonts w:cs="Arial"/>
                <w:szCs w:val="19"/>
              </w:rPr>
            </w:pPr>
            <w:proofErr w:type="spellStart"/>
            <w:r w:rsidRPr="00B00753">
              <w:rPr>
                <w:rFonts w:cs="Arial"/>
                <w:szCs w:val="19"/>
              </w:rPr>
              <w:t>Nintedanib</w:t>
            </w:r>
            <w:proofErr w:type="spellEnd"/>
            <w:r w:rsidRPr="00B00753">
              <w:rPr>
                <w:rFonts w:cs="Arial"/>
                <w:szCs w:val="19"/>
              </w:rPr>
              <w:t xml:space="preserve"> (</w:t>
            </w:r>
            <w:proofErr w:type="spellStart"/>
            <w:r w:rsidRPr="00B00753">
              <w:rPr>
                <w:rFonts w:cs="Arial"/>
                <w:i/>
                <w:iCs/>
                <w:szCs w:val="19"/>
              </w:rPr>
              <w:t>Ofev</w:t>
            </w:r>
            <w:proofErr w:type="spellEnd"/>
            <w:r w:rsidRPr="00B00753">
              <w:rPr>
                <w:rFonts w:cs="Arial"/>
                <w:szCs w:val="19"/>
              </w:rPr>
              <w:t>)</w:t>
            </w:r>
          </w:p>
          <w:p w14:paraId="599A08F0" w14:textId="0712E4EE" w:rsidR="00347B50" w:rsidRPr="00B00753" w:rsidRDefault="00347B50" w:rsidP="00347B50">
            <w:pPr>
              <w:rPr>
                <w:rFonts w:cs="Arial"/>
                <w:szCs w:val="19"/>
              </w:rPr>
            </w:pPr>
            <w:r w:rsidRPr="00B00753">
              <w:rPr>
                <w:rFonts w:cs="Arial"/>
                <w:sz w:val="16"/>
                <w:szCs w:val="16"/>
              </w:rPr>
              <w:t>25mg capsule</w:t>
            </w:r>
          </w:p>
        </w:tc>
        <w:tc>
          <w:tcPr>
            <w:tcW w:w="3707" w:type="pct"/>
            <w:tcMar>
              <w:top w:w="57" w:type="dxa"/>
              <w:bottom w:w="57" w:type="dxa"/>
            </w:tcMar>
          </w:tcPr>
          <w:p w14:paraId="4806DB59" w14:textId="77777777" w:rsidR="00347B50" w:rsidRPr="00B00753" w:rsidRDefault="00347B50" w:rsidP="00347B50">
            <w:pPr>
              <w:tabs>
                <w:tab w:val="num" w:pos="720"/>
                <w:tab w:val="center" w:pos="3152"/>
              </w:tabs>
              <w:rPr>
                <w:rFonts w:cs="Arial"/>
                <w:szCs w:val="19"/>
              </w:rPr>
            </w:pPr>
            <w:r w:rsidRPr="00B00753">
              <w:rPr>
                <w:rFonts w:cs="Arial"/>
                <w:szCs w:val="19"/>
              </w:rPr>
              <w:t xml:space="preserve">Use in adults for the treatment of idiopathic pulmonary fibrosis; use in adults for the treatment of other chronic fibrosing interstitial lung diseases with a progressive phenotype; use in children and adolescents aged 6-17 years for the treatment of clinically significant, progressive fibrosing interstitial lung diseases; use in adults, adolescents and children aged ≥6 years for the treatment of systemic sclerosis associated interstitial lung disease </w:t>
            </w:r>
          </w:p>
          <w:p w14:paraId="0555B270" w14:textId="4A19BDF9" w:rsidR="00347B50" w:rsidRPr="00B00753" w:rsidRDefault="00347B50" w:rsidP="00347B50">
            <w:pPr>
              <w:tabs>
                <w:tab w:val="center" w:pos="3152"/>
              </w:tabs>
              <w:rPr>
                <w:rFonts w:cs="Arial"/>
                <w:color w:val="000000"/>
                <w:szCs w:val="19"/>
              </w:rPr>
            </w:pPr>
            <w:r w:rsidRPr="00B00753">
              <w:rPr>
                <w:rFonts w:cs="Arial"/>
                <w:sz w:val="16"/>
                <w:szCs w:val="16"/>
              </w:rPr>
              <w:t>[new lower strength capsule]</w:t>
            </w:r>
          </w:p>
        </w:tc>
      </w:tr>
      <w:tr w:rsidR="00347B50" w:rsidRPr="00B00753" w14:paraId="7DD825F0" w14:textId="77777777" w:rsidTr="00347B50">
        <w:tc>
          <w:tcPr>
            <w:tcW w:w="1293" w:type="pct"/>
            <w:tcMar>
              <w:top w:w="57" w:type="dxa"/>
              <w:bottom w:w="57" w:type="dxa"/>
            </w:tcMar>
          </w:tcPr>
          <w:p w14:paraId="5899CEB9" w14:textId="77777777" w:rsidR="00347B50" w:rsidRPr="00B00753" w:rsidRDefault="00347B50" w:rsidP="00347B50">
            <w:pPr>
              <w:rPr>
                <w:rFonts w:cs="Arial"/>
                <w:szCs w:val="19"/>
              </w:rPr>
            </w:pPr>
            <w:proofErr w:type="spellStart"/>
            <w:r w:rsidRPr="00B00753">
              <w:rPr>
                <w:rFonts w:cs="Arial"/>
                <w:szCs w:val="19"/>
              </w:rPr>
              <w:t>Riociguat</w:t>
            </w:r>
            <w:proofErr w:type="spellEnd"/>
            <w:r w:rsidRPr="00B00753">
              <w:rPr>
                <w:rFonts w:cs="Arial"/>
                <w:szCs w:val="19"/>
              </w:rPr>
              <w:t xml:space="preserve"> (</w:t>
            </w:r>
            <w:r w:rsidRPr="00B00753">
              <w:rPr>
                <w:rFonts w:cs="Arial"/>
                <w:i/>
                <w:iCs/>
                <w:szCs w:val="19"/>
              </w:rPr>
              <w:t>Adempas</w:t>
            </w:r>
            <w:r w:rsidRPr="00B00753">
              <w:rPr>
                <w:rFonts w:cs="Arial"/>
                <w:szCs w:val="19"/>
              </w:rPr>
              <w:t>)</w:t>
            </w:r>
          </w:p>
          <w:p w14:paraId="16C197FF" w14:textId="1F9C842C" w:rsidR="00347B50" w:rsidRPr="00B00753" w:rsidRDefault="00347B50" w:rsidP="00347B50">
            <w:pPr>
              <w:rPr>
                <w:rFonts w:cs="Arial"/>
                <w:szCs w:val="19"/>
              </w:rPr>
            </w:pPr>
            <w:r w:rsidRPr="00B00753">
              <w:rPr>
                <w:rFonts w:cs="Arial"/>
                <w:sz w:val="16"/>
                <w:szCs w:val="16"/>
              </w:rPr>
              <w:t>0.15mg in 1mL granules for oral suspension</w:t>
            </w:r>
          </w:p>
        </w:tc>
        <w:tc>
          <w:tcPr>
            <w:tcW w:w="3707" w:type="pct"/>
            <w:tcMar>
              <w:top w:w="57" w:type="dxa"/>
              <w:bottom w:w="57" w:type="dxa"/>
            </w:tcMar>
          </w:tcPr>
          <w:p w14:paraId="2CB69FB8" w14:textId="77777777" w:rsidR="00347B50" w:rsidRPr="00B00753" w:rsidRDefault="00347B50" w:rsidP="00347B50">
            <w:pPr>
              <w:tabs>
                <w:tab w:val="num" w:pos="720"/>
                <w:tab w:val="center" w:pos="3152"/>
              </w:tabs>
              <w:rPr>
                <w:rFonts w:cs="Arial"/>
                <w:szCs w:val="19"/>
              </w:rPr>
            </w:pPr>
            <w:r w:rsidRPr="00B00753">
              <w:rPr>
                <w:rFonts w:cs="Arial"/>
                <w:szCs w:val="19"/>
              </w:rPr>
              <w:t xml:space="preserve">Treatment of pulmonary arterial hypertension in paediatric patients aged 6-17 years with WHO Functional Class II to III in combination with endothelin receptor antagonists </w:t>
            </w:r>
          </w:p>
          <w:p w14:paraId="1BF0BEE5" w14:textId="751A123C" w:rsidR="00347B50" w:rsidRPr="00B00753" w:rsidRDefault="00347B50" w:rsidP="00347B50">
            <w:pPr>
              <w:tabs>
                <w:tab w:val="center" w:pos="3152"/>
              </w:tabs>
              <w:rPr>
                <w:rFonts w:cs="Arial"/>
                <w:szCs w:val="19"/>
              </w:rPr>
            </w:pPr>
            <w:r w:rsidRPr="00B00753">
              <w:rPr>
                <w:rFonts w:cs="Arial"/>
                <w:sz w:val="16"/>
                <w:szCs w:val="16"/>
              </w:rPr>
              <w:t>[new granules for oral suspension formulation]</w:t>
            </w:r>
          </w:p>
        </w:tc>
      </w:tr>
      <w:tr w:rsidR="00242FE8" w:rsidRPr="00B00753" w14:paraId="7DB9D8CA" w14:textId="77777777" w:rsidTr="00347B50">
        <w:tc>
          <w:tcPr>
            <w:tcW w:w="1293" w:type="pct"/>
            <w:tcMar>
              <w:top w:w="57" w:type="dxa"/>
              <w:bottom w:w="57" w:type="dxa"/>
            </w:tcMar>
          </w:tcPr>
          <w:p w14:paraId="60708582" w14:textId="77777777" w:rsidR="00242FE8" w:rsidRPr="00B00753" w:rsidRDefault="00242FE8" w:rsidP="00242FE8">
            <w:pPr>
              <w:rPr>
                <w:rFonts w:cs="Arial"/>
                <w:szCs w:val="19"/>
              </w:rPr>
            </w:pPr>
            <w:proofErr w:type="spellStart"/>
            <w:r w:rsidRPr="00B00753">
              <w:rPr>
                <w:rFonts w:cs="Arial"/>
                <w:szCs w:val="19"/>
              </w:rPr>
              <w:t>Talazoparib</w:t>
            </w:r>
            <w:proofErr w:type="spellEnd"/>
            <w:r w:rsidRPr="00B00753">
              <w:rPr>
                <w:rFonts w:cs="Arial"/>
                <w:szCs w:val="19"/>
              </w:rPr>
              <w:t xml:space="preserve"> (</w:t>
            </w:r>
            <w:proofErr w:type="spellStart"/>
            <w:r w:rsidRPr="00B00753">
              <w:rPr>
                <w:rFonts w:cs="Arial"/>
                <w:i/>
                <w:iCs/>
                <w:szCs w:val="19"/>
              </w:rPr>
              <w:t>Talzenna</w:t>
            </w:r>
            <w:proofErr w:type="spellEnd"/>
            <w:r w:rsidRPr="00B00753">
              <w:rPr>
                <w:rFonts w:cs="Arial"/>
                <w:szCs w:val="19"/>
              </w:rPr>
              <w:t>)</w:t>
            </w:r>
          </w:p>
          <w:p w14:paraId="7E666ABB" w14:textId="57BEB127" w:rsidR="00242FE8" w:rsidRPr="00B00753" w:rsidRDefault="00242FE8" w:rsidP="00242FE8">
            <w:pPr>
              <w:rPr>
                <w:rFonts w:cs="Arial"/>
                <w:szCs w:val="19"/>
              </w:rPr>
            </w:pPr>
            <w:r w:rsidRPr="00B00753">
              <w:rPr>
                <w:rFonts w:cs="Arial"/>
                <w:sz w:val="16"/>
                <w:szCs w:val="16"/>
              </w:rPr>
              <w:t>0.35mg and 0.5mg capsules</w:t>
            </w:r>
          </w:p>
        </w:tc>
        <w:tc>
          <w:tcPr>
            <w:tcW w:w="3707" w:type="pct"/>
            <w:tcMar>
              <w:top w:w="57" w:type="dxa"/>
              <w:bottom w:w="57" w:type="dxa"/>
            </w:tcMar>
          </w:tcPr>
          <w:p w14:paraId="499F18B5" w14:textId="77777777" w:rsidR="00242FE8" w:rsidRPr="0068559D" w:rsidRDefault="00242FE8" w:rsidP="00242FE8">
            <w:pPr>
              <w:tabs>
                <w:tab w:val="center" w:pos="3152"/>
              </w:tabs>
              <w:rPr>
                <w:rFonts w:cs="Arial"/>
                <w:color w:val="000000" w:themeColor="text1"/>
                <w:szCs w:val="19"/>
              </w:rPr>
            </w:pPr>
            <w:r w:rsidRPr="0068559D">
              <w:rPr>
                <w:rFonts w:cs="Arial"/>
                <w:color w:val="000000" w:themeColor="text1"/>
                <w:szCs w:val="19"/>
              </w:rPr>
              <w:t xml:space="preserve">Use as monotherapy for the treatment of adults with germline BRCA1/2-mutations, who have HER2-negative locally advanced or metastatic breast cancer – patients should have been previously treated with an anthracycline and/or a </w:t>
            </w:r>
            <w:proofErr w:type="spellStart"/>
            <w:r w:rsidRPr="0068559D">
              <w:rPr>
                <w:rFonts w:cs="Arial"/>
                <w:color w:val="000000" w:themeColor="text1"/>
                <w:szCs w:val="19"/>
              </w:rPr>
              <w:t>taxane</w:t>
            </w:r>
            <w:proofErr w:type="spellEnd"/>
            <w:r w:rsidRPr="0068559D">
              <w:rPr>
                <w:rFonts w:cs="Arial"/>
                <w:color w:val="000000" w:themeColor="text1"/>
                <w:szCs w:val="19"/>
              </w:rPr>
              <w:t xml:space="preserve"> in the (neo)adjuvant, locally advanced or metastatic setting unless patients were not suitable for these treatments, and patients with hormone receptor-positive breast cancer should have been treated with a prior endocrine-based therapy, or be considered unsuitable for endocrine-based therapy; use in combination with enzalutamide for the treatment of adults with metastatic castration-resistant prostate cancer in whom chemotherapy is not clinically indicated </w:t>
            </w:r>
          </w:p>
          <w:p w14:paraId="3A197568" w14:textId="7783B509" w:rsidR="00242FE8" w:rsidRPr="005535C4" w:rsidRDefault="00242FE8" w:rsidP="00242FE8">
            <w:pPr>
              <w:tabs>
                <w:tab w:val="center" w:pos="3152"/>
              </w:tabs>
              <w:rPr>
                <w:rFonts w:cs="Arial"/>
                <w:szCs w:val="19"/>
              </w:rPr>
            </w:pPr>
            <w:r w:rsidRPr="00B00753">
              <w:rPr>
                <w:rFonts w:cs="Arial"/>
                <w:sz w:val="16"/>
                <w:szCs w:val="16"/>
              </w:rPr>
              <w:t>[new capsule formulations]</w:t>
            </w:r>
          </w:p>
        </w:tc>
      </w:tr>
      <w:tr w:rsidR="00D86168" w:rsidRPr="00B00753" w14:paraId="00B30294" w14:textId="77777777" w:rsidTr="00347B50">
        <w:tc>
          <w:tcPr>
            <w:tcW w:w="1293" w:type="pct"/>
            <w:tcMar>
              <w:top w:w="57" w:type="dxa"/>
              <w:bottom w:w="57" w:type="dxa"/>
            </w:tcMar>
          </w:tcPr>
          <w:p w14:paraId="377B4E49" w14:textId="77777777" w:rsidR="00D86168" w:rsidRPr="00B00753" w:rsidRDefault="00D86168" w:rsidP="00D86168">
            <w:pPr>
              <w:rPr>
                <w:rFonts w:cs="Arial"/>
                <w:szCs w:val="19"/>
              </w:rPr>
            </w:pPr>
            <w:r w:rsidRPr="00B00753">
              <w:rPr>
                <w:rFonts w:cs="Arial"/>
                <w:szCs w:val="19"/>
              </w:rPr>
              <w:t>Ustekinumab biosimilar (</w:t>
            </w:r>
            <w:proofErr w:type="spellStart"/>
            <w:r w:rsidRPr="00B00753">
              <w:rPr>
                <w:rFonts w:cs="Arial"/>
                <w:i/>
                <w:iCs/>
                <w:szCs w:val="19"/>
              </w:rPr>
              <w:t>Yesintek</w:t>
            </w:r>
            <w:proofErr w:type="spellEnd"/>
            <w:r w:rsidRPr="00B00753">
              <w:rPr>
                <w:rFonts w:cs="Arial"/>
                <w:szCs w:val="19"/>
              </w:rPr>
              <w:t>)</w:t>
            </w:r>
          </w:p>
          <w:p w14:paraId="272A2D20" w14:textId="10771007" w:rsidR="00D86168" w:rsidRPr="00B00753" w:rsidRDefault="00D86168" w:rsidP="00D86168">
            <w:pPr>
              <w:rPr>
                <w:rFonts w:cs="Arial"/>
                <w:szCs w:val="19"/>
              </w:rPr>
            </w:pPr>
            <w:r w:rsidRPr="00B00753">
              <w:rPr>
                <w:rFonts w:cs="Arial"/>
                <w:sz w:val="16"/>
                <w:szCs w:val="16"/>
              </w:rPr>
              <w:t>130mg in 26mL vial</w:t>
            </w:r>
          </w:p>
        </w:tc>
        <w:tc>
          <w:tcPr>
            <w:tcW w:w="3707" w:type="pct"/>
            <w:tcMar>
              <w:top w:w="57" w:type="dxa"/>
              <w:bottom w:w="57" w:type="dxa"/>
            </w:tcMar>
          </w:tcPr>
          <w:p w14:paraId="1811DF5F" w14:textId="42AE9749" w:rsidR="00D86168" w:rsidRPr="0068559D" w:rsidRDefault="00D86168" w:rsidP="00D86168">
            <w:pPr>
              <w:tabs>
                <w:tab w:val="center" w:pos="3152"/>
              </w:tabs>
              <w:rPr>
                <w:rFonts w:cs="Arial"/>
                <w:color w:val="000000" w:themeColor="text1"/>
                <w:szCs w:val="19"/>
              </w:rPr>
            </w:pPr>
            <w:r w:rsidRPr="00B00753">
              <w:rPr>
                <w:rFonts w:cs="Arial"/>
                <w:szCs w:val="19"/>
              </w:rPr>
              <w:t>Treatment of adults with moderately to severely active Crohn’s disease who have had an inadequate response with lost response to, or were intolerant to either conventional therapy or a TNFα (</w:t>
            </w:r>
            <w:proofErr w:type="spellStart"/>
            <w:r w:rsidRPr="00B00753">
              <w:rPr>
                <w:rFonts w:cs="Arial"/>
                <w:szCs w:val="19"/>
              </w:rPr>
              <w:t>tumor</w:t>
            </w:r>
            <w:proofErr w:type="spellEnd"/>
            <w:r w:rsidRPr="00B00753">
              <w:rPr>
                <w:rFonts w:cs="Arial"/>
                <w:szCs w:val="19"/>
              </w:rPr>
              <w:t xml:space="preserve"> necrosis factor alpha) antagonist or have medical contraindications to such therapies; treatment of adults with moderately to severely active ulcerative colitis who have had an inadequate response with, lost response to, or were intolerant to either conventional therapy or a biologic or have medical contraindications to such therapies</w:t>
            </w:r>
          </w:p>
        </w:tc>
      </w:tr>
      <w:tr w:rsidR="00D86168" w:rsidRPr="00B00753" w14:paraId="296D2BAA" w14:textId="77777777" w:rsidTr="005A7E09">
        <w:tc>
          <w:tcPr>
            <w:tcW w:w="5000" w:type="pct"/>
            <w:gridSpan w:val="2"/>
            <w:tcMar>
              <w:top w:w="0" w:type="dxa"/>
              <w:bottom w:w="0" w:type="dxa"/>
            </w:tcMar>
          </w:tcPr>
          <w:p w14:paraId="461EDF66" w14:textId="77777777" w:rsidR="00D86168" w:rsidRPr="00B00753" w:rsidRDefault="00D86168" w:rsidP="00D86168">
            <w:pPr>
              <w:jc w:val="center"/>
              <w:rPr>
                <w:rFonts w:cs="Arial"/>
                <w:noProof/>
                <w:sz w:val="8"/>
                <w:szCs w:val="8"/>
              </w:rPr>
            </w:pPr>
          </w:p>
        </w:tc>
      </w:tr>
      <w:tr w:rsidR="00D86168" w:rsidRPr="00B00753" w14:paraId="609D00AF" w14:textId="77777777" w:rsidTr="00347B50">
        <w:tc>
          <w:tcPr>
            <w:tcW w:w="1293" w:type="pct"/>
            <w:shd w:val="clear" w:color="auto" w:fill="DAEEF3"/>
            <w:tcMar>
              <w:top w:w="0" w:type="dxa"/>
              <w:bottom w:w="0" w:type="dxa"/>
            </w:tcMar>
          </w:tcPr>
          <w:p w14:paraId="5C30E9E7" w14:textId="77777777" w:rsidR="00D86168" w:rsidRPr="00B00753" w:rsidRDefault="00D86168" w:rsidP="00D86168">
            <w:pPr>
              <w:rPr>
                <w:rFonts w:cs="Arial"/>
                <w:bCs/>
                <w:sz w:val="8"/>
                <w:szCs w:val="8"/>
              </w:rPr>
            </w:pPr>
          </w:p>
        </w:tc>
        <w:tc>
          <w:tcPr>
            <w:tcW w:w="3707" w:type="pct"/>
            <w:shd w:val="clear" w:color="auto" w:fill="DAEEF3"/>
            <w:tcMar>
              <w:top w:w="0" w:type="dxa"/>
              <w:bottom w:w="0" w:type="dxa"/>
            </w:tcMar>
          </w:tcPr>
          <w:p w14:paraId="5B8A3841" w14:textId="77777777" w:rsidR="00D86168" w:rsidRPr="00B00753" w:rsidRDefault="00D86168" w:rsidP="00D86168">
            <w:pPr>
              <w:tabs>
                <w:tab w:val="center" w:pos="3152"/>
              </w:tabs>
              <w:rPr>
                <w:rFonts w:cs="Arial"/>
                <w:sz w:val="8"/>
                <w:szCs w:val="8"/>
              </w:rPr>
            </w:pPr>
          </w:p>
        </w:tc>
      </w:tr>
    </w:tbl>
    <w:p w14:paraId="15D74313" w14:textId="77777777" w:rsidR="0048777D" w:rsidRPr="00B00753" w:rsidRDefault="0048777D"/>
    <w:p w14:paraId="7E34E420" w14:textId="77777777" w:rsidR="0048777D" w:rsidRPr="00B00753" w:rsidRDefault="0048777D">
      <w:r w:rsidRPr="00B00753">
        <w:br w:type="page"/>
      </w:r>
    </w:p>
    <w:p w14:paraId="4E20909E" w14:textId="77777777" w:rsidR="0048777D" w:rsidRPr="00B00753" w:rsidRDefault="0048777D"/>
    <w:p w14:paraId="37BD73E9" w14:textId="77777777" w:rsidR="00347B50" w:rsidRPr="00B00753" w:rsidRDefault="00347B50"/>
    <w:tbl>
      <w:tblPr>
        <w:tblW w:w="5170" w:type="pct"/>
        <w:tblInd w:w="-176" w:type="dxa"/>
        <w:tblLayout w:type="fixed"/>
        <w:tblLook w:val="01E0" w:firstRow="1" w:lastRow="1" w:firstColumn="1" w:lastColumn="1" w:noHBand="0" w:noVBand="0"/>
      </w:tblPr>
      <w:tblGrid>
        <w:gridCol w:w="2585"/>
        <w:gridCol w:w="7966"/>
      </w:tblGrid>
      <w:tr w:rsidR="00347B50" w:rsidRPr="00B00753" w14:paraId="1A1D4E93" w14:textId="77777777" w:rsidTr="003F06CB">
        <w:tc>
          <w:tcPr>
            <w:tcW w:w="5000" w:type="pct"/>
            <w:gridSpan w:val="2"/>
            <w:shd w:val="clear" w:color="auto" w:fill="0070C0"/>
            <w:tcMar>
              <w:top w:w="85" w:type="dxa"/>
              <w:bottom w:w="85" w:type="dxa"/>
            </w:tcMar>
            <w:vAlign w:val="bottom"/>
          </w:tcPr>
          <w:p w14:paraId="00320603" w14:textId="77777777" w:rsidR="00347B50" w:rsidRPr="00B00753" w:rsidRDefault="00347B50" w:rsidP="003F06CB">
            <w:pPr>
              <w:rPr>
                <w:rFonts w:cs="Arial"/>
                <w:color w:val="FFFFFF"/>
                <w:sz w:val="15"/>
                <w:szCs w:val="15"/>
              </w:rPr>
            </w:pPr>
            <w:r w:rsidRPr="00B00753">
              <w:rPr>
                <w:rFonts w:cs="Arial"/>
                <w:b/>
                <w:bCs/>
                <w:iCs/>
                <w:color w:val="FFFFFF"/>
                <w:sz w:val="28"/>
                <w:szCs w:val="28"/>
              </w:rPr>
              <w:t>Regulatory changes in the UK or EU</w:t>
            </w:r>
            <w:r w:rsidRPr="00B00753">
              <w:rPr>
                <w:rFonts w:cs="Arial"/>
                <w:b/>
                <w:bCs/>
                <w:iCs/>
                <w:color w:val="FFFFFF"/>
                <w:sz w:val="28"/>
                <w:szCs w:val="28"/>
              </w:rPr>
              <w:tab/>
            </w:r>
          </w:p>
        </w:tc>
      </w:tr>
      <w:tr w:rsidR="00347B50" w:rsidRPr="00B00753" w14:paraId="7578F6D5" w14:textId="77777777" w:rsidTr="003F06CB">
        <w:tc>
          <w:tcPr>
            <w:tcW w:w="5000" w:type="pct"/>
            <w:gridSpan w:val="2"/>
            <w:shd w:val="clear" w:color="auto" w:fill="DAEEF3"/>
            <w:tcMar>
              <w:top w:w="0" w:type="dxa"/>
              <w:bottom w:w="0" w:type="dxa"/>
            </w:tcMar>
          </w:tcPr>
          <w:p w14:paraId="715C1AB1" w14:textId="77777777" w:rsidR="00347B50" w:rsidRPr="00B00753" w:rsidRDefault="00347B50" w:rsidP="003F06CB">
            <w:pPr>
              <w:rPr>
                <w:rFonts w:cs="Arial"/>
                <w:b/>
                <w:bCs/>
                <w:i/>
                <w:iCs/>
                <w:color w:val="000000"/>
                <w:sz w:val="8"/>
                <w:szCs w:val="8"/>
              </w:rPr>
            </w:pPr>
          </w:p>
        </w:tc>
      </w:tr>
      <w:tr w:rsidR="00347B50" w:rsidRPr="00B00753" w14:paraId="38E7EB23" w14:textId="77777777" w:rsidTr="003F06CB">
        <w:tc>
          <w:tcPr>
            <w:tcW w:w="5000" w:type="pct"/>
            <w:gridSpan w:val="2"/>
            <w:shd w:val="clear" w:color="auto" w:fill="008232"/>
            <w:tcMar>
              <w:top w:w="57" w:type="dxa"/>
              <w:bottom w:w="57" w:type="dxa"/>
            </w:tcMar>
          </w:tcPr>
          <w:p w14:paraId="3CA2496F" w14:textId="77777777" w:rsidR="00347B50" w:rsidRPr="00B00753" w:rsidRDefault="00347B50" w:rsidP="003F06CB">
            <w:pPr>
              <w:rPr>
                <w:rFonts w:cs="Arial"/>
                <w:color w:val="FFFFFF"/>
                <w:sz w:val="20"/>
                <w:szCs w:val="20"/>
              </w:rPr>
            </w:pPr>
            <w:r w:rsidRPr="00B00753">
              <w:rPr>
                <w:rFonts w:cs="Arial"/>
                <w:b/>
                <w:bCs/>
                <w:i/>
                <w:iCs/>
                <w:color w:val="FFFFFF"/>
                <w:sz w:val="22"/>
                <w:szCs w:val="20"/>
              </w:rPr>
              <w:t xml:space="preserve">Approved in the UK </w:t>
            </w:r>
            <w:r w:rsidRPr="00B00753">
              <w:rPr>
                <w:rFonts w:cs="Arial"/>
                <w:b/>
                <w:bCs/>
                <w:color w:val="FFFFFF"/>
                <w:sz w:val="16"/>
                <w:szCs w:val="14"/>
              </w:rPr>
              <w:t>(continued)</w:t>
            </w:r>
          </w:p>
        </w:tc>
      </w:tr>
      <w:tr w:rsidR="0030684C" w:rsidRPr="00B00753" w14:paraId="4B380355" w14:textId="77777777" w:rsidTr="00D86168">
        <w:tc>
          <w:tcPr>
            <w:tcW w:w="1225" w:type="pct"/>
            <w:tcMar>
              <w:top w:w="57" w:type="dxa"/>
              <w:bottom w:w="57" w:type="dxa"/>
            </w:tcMar>
          </w:tcPr>
          <w:p w14:paraId="74F80836" w14:textId="77777777" w:rsidR="0030684C" w:rsidRPr="00B00753" w:rsidRDefault="0030684C" w:rsidP="0030684C">
            <w:pPr>
              <w:rPr>
                <w:rFonts w:cs="Arial"/>
                <w:szCs w:val="19"/>
              </w:rPr>
            </w:pPr>
            <w:r w:rsidRPr="00B00753">
              <w:rPr>
                <w:rFonts w:cs="Arial"/>
                <w:szCs w:val="19"/>
              </w:rPr>
              <w:t>Ustekinumab biosimilar (</w:t>
            </w:r>
            <w:proofErr w:type="spellStart"/>
            <w:r w:rsidRPr="00B00753">
              <w:rPr>
                <w:rFonts w:cs="Arial"/>
                <w:i/>
                <w:iCs/>
                <w:szCs w:val="19"/>
              </w:rPr>
              <w:t>Yesintek</w:t>
            </w:r>
            <w:proofErr w:type="spellEnd"/>
            <w:r w:rsidRPr="00B00753">
              <w:rPr>
                <w:rFonts w:cs="Arial"/>
                <w:szCs w:val="19"/>
              </w:rPr>
              <w:t>)</w:t>
            </w:r>
          </w:p>
          <w:p w14:paraId="5591503A" w14:textId="6A5FE7B1" w:rsidR="0030684C" w:rsidRPr="00B00753" w:rsidRDefault="0030684C" w:rsidP="0030684C">
            <w:pPr>
              <w:rPr>
                <w:rFonts w:cs="Arial"/>
                <w:szCs w:val="19"/>
              </w:rPr>
            </w:pPr>
            <w:r w:rsidRPr="00B00753">
              <w:rPr>
                <w:rFonts w:cs="Arial"/>
                <w:sz w:val="16"/>
                <w:szCs w:val="16"/>
              </w:rPr>
              <w:t>45mg in 0.5mL and 90mg in 1mL prefilled syringes and 45mg in 0.5mL vial</w:t>
            </w:r>
          </w:p>
        </w:tc>
        <w:tc>
          <w:tcPr>
            <w:tcW w:w="3775" w:type="pct"/>
            <w:tcMar>
              <w:top w:w="57" w:type="dxa"/>
              <w:bottom w:w="57" w:type="dxa"/>
            </w:tcMar>
          </w:tcPr>
          <w:p w14:paraId="42BF9806" w14:textId="7C4856AD" w:rsidR="0030684C" w:rsidRPr="00B00753" w:rsidRDefault="0030684C" w:rsidP="0030684C">
            <w:pPr>
              <w:tabs>
                <w:tab w:val="center" w:pos="3152"/>
              </w:tabs>
              <w:rPr>
                <w:rFonts w:cs="Arial"/>
                <w:szCs w:val="19"/>
              </w:rPr>
            </w:pPr>
            <w:r w:rsidRPr="005535C4">
              <w:rPr>
                <w:rFonts w:cs="Arial"/>
                <w:szCs w:val="19"/>
              </w:rPr>
              <w:t>Treatment of moderate to severe plaque psoriasis in adults who failed to respond to, or who have a contraindication to, or are intolerant to other systemic therapies including ciclosporin, methotrexate (MTX) or PUVA (psoralen and ultraviolet A); treatment of moderate to severe plaque psoriasis in children and adolescent patients aged ≥6 years, who are inadequately controlled by, or are intolerant to, other systemic therapies or phototherapies; use alone or in combination with MTX, is indicated for the treatment of active psoriatic arthritis in adults when the response to previous non-biological disease-modifying anti-rheumatic drug therapy has been inadequate; treatment of adults with moderately to severely active Crohn’s disease who have had an inadequate response with, lost response to, or were intolerant to either conventional therapy or a TNFα antagonist or have medical contraindications to such therapies; treatment of adults with moderately to severely active ulcerative colitis who have had an inadequate response with, lost response to, or were intolerant to either conventional therapy or a biologic or have medical contraindications to such therapies</w:t>
            </w:r>
          </w:p>
        </w:tc>
      </w:tr>
      <w:tr w:rsidR="0030684C" w:rsidRPr="00B00753" w14:paraId="67256F4A" w14:textId="77777777" w:rsidTr="003F06CB">
        <w:tc>
          <w:tcPr>
            <w:tcW w:w="5000" w:type="pct"/>
            <w:gridSpan w:val="2"/>
            <w:tcMar>
              <w:top w:w="0" w:type="dxa"/>
              <w:bottom w:w="0" w:type="dxa"/>
            </w:tcMar>
          </w:tcPr>
          <w:p w14:paraId="3EE4B5F6" w14:textId="77777777" w:rsidR="0030684C" w:rsidRPr="00B00753" w:rsidRDefault="0030684C" w:rsidP="0030684C">
            <w:pPr>
              <w:jc w:val="center"/>
              <w:rPr>
                <w:rFonts w:cs="Arial"/>
                <w:noProof/>
                <w:sz w:val="8"/>
                <w:szCs w:val="8"/>
              </w:rPr>
            </w:pPr>
          </w:p>
        </w:tc>
      </w:tr>
      <w:tr w:rsidR="0030684C" w:rsidRPr="00B00753" w14:paraId="2707B482" w14:textId="77777777" w:rsidTr="00D86168">
        <w:tc>
          <w:tcPr>
            <w:tcW w:w="1225" w:type="pct"/>
            <w:shd w:val="clear" w:color="auto" w:fill="DAEEF3"/>
            <w:tcMar>
              <w:top w:w="0" w:type="dxa"/>
              <w:bottom w:w="0" w:type="dxa"/>
            </w:tcMar>
          </w:tcPr>
          <w:p w14:paraId="222B4A51" w14:textId="77777777" w:rsidR="0030684C" w:rsidRPr="00B00753" w:rsidRDefault="0030684C" w:rsidP="0030684C">
            <w:pPr>
              <w:rPr>
                <w:rFonts w:cs="Arial"/>
                <w:bCs/>
                <w:sz w:val="8"/>
                <w:szCs w:val="8"/>
              </w:rPr>
            </w:pPr>
          </w:p>
        </w:tc>
        <w:tc>
          <w:tcPr>
            <w:tcW w:w="3775" w:type="pct"/>
            <w:shd w:val="clear" w:color="auto" w:fill="DAEEF3"/>
            <w:tcMar>
              <w:top w:w="0" w:type="dxa"/>
              <w:bottom w:w="0" w:type="dxa"/>
            </w:tcMar>
          </w:tcPr>
          <w:p w14:paraId="71CED67F" w14:textId="77777777" w:rsidR="0030684C" w:rsidRPr="00B00753" w:rsidRDefault="0030684C" w:rsidP="0030684C">
            <w:pPr>
              <w:tabs>
                <w:tab w:val="center" w:pos="3152"/>
              </w:tabs>
              <w:rPr>
                <w:rFonts w:cs="Arial"/>
                <w:sz w:val="8"/>
                <w:szCs w:val="8"/>
              </w:rPr>
            </w:pPr>
          </w:p>
        </w:tc>
      </w:tr>
      <w:tr w:rsidR="001C3A55" w:rsidRPr="00B00753" w14:paraId="0273EFCC" w14:textId="77777777" w:rsidTr="00562CE4">
        <w:tc>
          <w:tcPr>
            <w:tcW w:w="5000" w:type="pct"/>
            <w:gridSpan w:val="2"/>
            <w:shd w:val="clear" w:color="auto" w:fill="008232"/>
            <w:tcMar>
              <w:top w:w="57" w:type="dxa"/>
              <w:bottom w:w="57" w:type="dxa"/>
            </w:tcMar>
          </w:tcPr>
          <w:p w14:paraId="2C819668" w14:textId="563F10B4" w:rsidR="001C3A55" w:rsidRPr="00B00753" w:rsidRDefault="001C3A55" w:rsidP="00B94311">
            <w:pPr>
              <w:rPr>
                <w:rFonts w:cs="Arial"/>
                <w:noProof/>
                <w:color w:val="FFFFFF"/>
                <w:sz w:val="16"/>
                <w:szCs w:val="16"/>
              </w:rPr>
            </w:pPr>
            <w:r w:rsidRPr="00B00753">
              <w:rPr>
                <w:rFonts w:cs="Arial"/>
                <w:b/>
                <w:bCs/>
                <w:i/>
                <w:iCs/>
                <w:color w:val="FFFFFF"/>
                <w:sz w:val="22"/>
                <w:szCs w:val="20"/>
              </w:rPr>
              <w:t xml:space="preserve">Recommended for approval in the </w:t>
            </w:r>
            <w:r w:rsidR="0048777D" w:rsidRPr="00B00753">
              <w:rPr>
                <w:rFonts w:cs="Arial"/>
                <w:b/>
                <w:bCs/>
                <w:i/>
                <w:iCs/>
                <w:color w:val="FFFFFF"/>
                <w:sz w:val="22"/>
                <w:szCs w:val="20"/>
              </w:rPr>
              <w:t>UK</w:t>
            </w:r>
            <w:r w:rsidR="00B94311" w:rsidRPr="00B00753">
              <w:rPr>
                <w:rFonts w:cs="Arial"/>
                <w:b/>
                <w:bCs/>
                <w:i/>
                <w:iCs/>
                <w:color w:val="FFFFFF"/>
                <w:sz w:val="22"/>
                <w:szCs w:val="20"/>
              </w:rPr>
              <w:t xml:space="preserve"> or </w:t>
            </w:r>
            <w:r w:rsidRPr="00B00753">
              <w:rPr>
                <w:rFonts w:cs="Arial"/>
                <w:b/>
                <w:bCs/>
                <w:i/>
                <w:iCs/>
                <w:color w:val="FFFFFF"/>
                <w:sz w:val="22"/>
                <w:szCs w:val="20"/>
              </w:rPr>
              <w:t>EU</w:t>
            </w:r>
          </w:p>
        </w:tc>
      </w:tr>
      <w:tr w:rsidR="00950B52" w:rsidRPr="00B00753" w14:paraId="5F0D41B1" w14:textId="77777777" w:rsidTr="002568C9">
        <w:tc>
          <w:tcPr>
            <w:tcW w:w="1225" w:type="pct"/>
            <w:tcMar>
              <w:top w:w="57" w:type="dxa"/>
              <w:bottom w:w="57" w:type="dxa"/>
            </w:tcMar>
          </w:tcPr>
          <w:p w14:paraId="3C290444" w14:textId="2595A85D" w:rsidR="00950B52" w:rsidRPr="00B00753" w:rsidRDefault="00950B52" w:rsidP="009E0708">
            <w:pPr>
              <w:rPr>
                <w:rFonts w:cs="Arial"/>
                <w:szCs w:val="19"/>
              </w:rPr>
            </w:pPr>
            <w:proofErr w:type="spellStart"/>
            <w:r w:rsidRPr="00B00753">
              <w:rPr>
                <w:rFonts w:cs="Arial"/>
                <w:szCs w:val="19"/>
              </w:rPr>
              <w:t>Asciminib</w:t>
            </w:r>
            <w:proofErr w:type="spellEnd"/>
            <w:r w:rsidRPr="00B00753">
              <w:rPr>
                <w:rFonts w:cs="Arial"/>
                <w:szCs w:val="19"/>
              </w:rPr>
              <w:t xml:space="preserve"> (</w:t>
            </w:r>
            <w:proofErr w:type="spellStart"/>
            <w:r w:rsidRPr="00B00753">
              <w:rPr>
                <w:rFonts w:cs="Arial"/>
                <w:i/>
                <w:iCs/>
                <w:szCs w:val="19"/>
              </w:rPr>
              <w:t>Scemblix</w:t>
            </w:r>
            <w:proofErr w:type="spellEnd"/>
            <w:r w:rsidRPr="00B00753">
              <w:rPr>
                <w:rFonts w:cs="Arial"/>
                <w:szCs w:val="19"/>
              </w:rPr>
              <w:t>)</w:t>
            </w:r>
          </w:p>
        </w:tc>
        <w:tc>
          <w:tcPr>
            <w:tcW w:w="3775" w:type="pct"/>
            <w:tcMar>
              <w:top w:w="57" w:type="dxa"/>
              <w:bottom w:w="57" w:type="dxa"/>
            </w:tcMar>
          </w:tcPr>
          <w:p w14:paraId="0C95849D" w14:textId="16FD1E5B" w:rsidR="00950B52" w:rsidRPr="00B00753" w:rsidRDefault="00757DB2" w:rsidP="009E0708">
            <w:pPr>
              <w:tabs>
                <w:tab w:val="center" w:pos="3152"/>
              </w:tabs>
              <w:rPr>
                <w:rFonts w:cs="Arial"/>
                <w:szCs w:val="19"/>
              </w:rPr>
            </w:pPr>
            <w:r w:rsidRPr="00B00753">
              <w:rPr>
                <w:rFonts w:cs="Arial"/>
                <w:szCs w:val="19"/>
              </w:rPr>
              <w:t xml:space="preserve">Treatment of adults with Philadelphia chromosome-positive chronic myeloid leukaemia in chronic phase </w:t>
            </w:r>
            <w:r w:rsidRPr="00B00753">
              <w:rPr>
                <w:rFonts w:cs="Arial"/>
                <w:sz w:val="16"/>
                <w:szCs w:val="16"/>
              </w:rPr>
              <w:t xml:space="preserve">[EU] [licence change from use only </w:t>
            </w:r>
            <w:r w:rsidR="006030E5" w:rsidRPr="00B00753">
              <w:rPr>
                <w:rFonts w:cs="Arial"/>
                <w:sz w:val="16"/>
                <w:szCs w:val="16"/>
              </w:rPr>
              <w:t>after treatment with 2 or more tyrosine kinase inhibitors]</w:t>
            </w:r>
          </w:p>
        </w:tc>
      </w:tr>
      <w:tr w:rsidR="00A81694" w:rsidRPr="00B00753" w14:paraId="21C74497" w14:textId="77777777" w:rsidTr="002568C9">
        <w:tc>
          <w:tcPr>
            <w:tcW w:w="1225" w:type="pct"/>
            <w:tcMar>
              <w:top w:w="57" w:type="dxa"/>
              <w:bottom w:w="57" w:type="dxa"/>
            </w:tcMar>
          </w:tcPr>
          <w:p w14:paraId="34C31AAF" w14:textId="33DDBEB6" w:rsidR="00A81694" w:rsidRPr="00B00753" w:rsidRDefault="00190638" w:rsidP="009E0708">
            <w:pPr>
              <w:rPr>
                <w:rFonts w:cs="Arial"/>
                <w:szCs w:val="19"/>
              </w:rPr>
            </w:pPr>
            <w:proofErr w:type="spellStart"/>
            <w:r w:rsidRPr="00B00753">
              <w:rPr>
                <w:rFonts w:cs="Arial"/>
                <w:szCs w:val="19"/>
              </w:rPr>
              <w:t>Brensocatib</w:t>
            </w:r>
            <w:proofErr w:type="spellEnd"/>
            <w:r w:rsidRPr="00B00753">
              <w:rPr>
                <w:rFonts w:cs="Arial"/>
                <w:szCs w:val="19"/>
              </w:rPr>
              <w:t xml:space="preserve"> </w:t>
            </w:r>
            <w:r w:rsidR="006B0118" w:rsidRPr="00B00753">
              <w:rPr>
                <w:rFonts w:cs="Arial"/>
                <w:szCs w:val="19"/>
              </w:rPr>
              <w:t>(</w:t>
            </w:r>
            <w:proofErr w:type="spellStart"/>
            <w:r w:rsidR="006B0118" w:rsidRPr="00B00753">
              <w:rPr>
                <w:rFonts w:cs="Arial"/>
                <w:i/>
                <w:iCs/>
                <w:szCs w:val="19"/>
              </w:rPr>
              <w:t>Brinsupri</w:t>
            </w:r>
            <w:proofErr w:type="spellEnd"/>
            <w:r w:rsidR="006B0118" w:rsidRPr="00B00753">
              <w:rPr>
                <w:rFonts w:cs="Arial"/>
                <w:szCs w:val="19"/>
              </w:rPr>
              <w:t>)</w:t>
            </w:r>
          </w:p>
        </w:tc>
        <w:tc>
          <w:tcPr>
            <w:tcW w:w="3775" w:type="pct"/>
            <w:tcMar>
              <w:top w:w="57" w:type="dxa"/>
              <w:bottom w:w="57" w:type="dxa"/>
            </w:tcMar>
          </w:tcPr>
          <w:p w14:paraId="3BE3808C" w14:textId="167F88B8" w:rsidR="00A81694" w:rsidRPr="00B00753" w:rsidRDefault="00344A21" w:rsidP="009E0708">
            <w:pPr>
              <w:tabs>
                <w:tab w:val="center" w:pos="3152"/>
              </w:tabs>
              <w:rPr>
                <w:rFonts w:cs="Arial"/>
                <w:szCs w:val="19"/>
              </w:rPr>
            </w:pPr>
            <w:r w:rsidRPr="00B00753">
              <w:rPr>
                <w:rFonts w:cs="Arial"/>
                <w:szCs w:val="19"/>
              </w:rPr>
              <w:t>Treatment of non-cystic fibrosis bronchiectasis in patients aged ≥12 years with two or more exacerbations in the prior 12 months</w:t>
            </w:r>
            <w:r w:rsidR="002568C9" w:rsidRPr="00B00753">
              <w:rPr>
                <w:rFonts w:cs="Arial"/>
                <w:szCs w:val="19"/>
              </w:rPr>
              <w:t xml:space="preserve"> </w:t>
            </w:r>
            <w:r w:rsidR="002568C9" w:rsidRPr="00B00753">
              <w:rPr>
                <w:rFonts w:cs="Arial"/>
                <w:sz w:val="16"/>
                <w:szCs w:val="16"/>
              </w:rPr>
              <w:t>[EU]</w:t>
            </w:r>
          </w:p>
        </w:tc>
      </w:tr>
      <w:tr w:rsidR="00A81694" w:rsidRPr="00B00753" w14:paraId="27AF5FA7" w14:textId="77777777" w:rsidTr="002568C9">
        <w:tc>
          <w:tcPr>
            <w:tcW w:w="1225" w:type="pct"/>
            <w:tcMar>
              <w:top w:w="57" w:type="dxa"/>
              <w:bottom w:w="57" w:type="dxa"/>
            </w:tcMar>
          </w:tcPr>
          <w:p w14:paraId="749F2480" w14:textId="6AEACAA3" w:rsidR="00A81694" w:rsidRPr="00B00753" w:rsidRDefault="007F2A17" w:rsidP="00493607">
            <w:pPr>
              <w:rPr>
                <w:rFonts w:cs="Arial"/>
                <w:szCs w:val="19"/>
              </w:rPr>
            </w:pPr>
            <w:proofErr w:type="spellStart"/>
            <w:r w:rsidRPr="00B00753">
              <w:rPr>
                <w:rFonts w:cs="Arial"/>
                <w:szCs w:val="19"/>
              </w:rPr>
              <w:t>Cemiplimab</w:t>
            </w:r>
            <w:proofErr w:type="spellEnd"/>
            <w:r w:rsidRPr="00B00753">
              <w:rPr>
                <w:rFonts w:cs="Arial"/>
                <w:szCs w:val="19"/>
              </w:rPr>
              <w:t xml:space="preserve"> (</w:t>
            </w:r>
            <w:proofErr w:type="spellStart"/>
            <w:r w:rsidRPr="00B00753">
              <w:rPr>
                <w:rFonts w:cs="Arial"/>
                <w:i/>
                <w:iCs/>
                <w:szCs w:val="19"/>
              </w:rPr>
              <w:t>Libtayo</w:t>
            </w:r>
            <w:proofErr w:type="spellEnd"/>
            <w:r w:rsidRPr="00B00753">
              <w:rPr>
                <w:rFonts w:cs="Arial"/>
                <w:szCs w:val="19"/>
              </w:rPr>
              <w:t>)</w:t>
            </w:r>
          </w:p>
        </w:tc>
        <w:tc>
          <w:tcPr>
            <w:tcW w:w="3775" w:type="pct"/>
            <w:tcMar>
              <w:top w:w="57" w:type="dxa"/>
              <w:bottom w:w="57" w:type="dxa"/>
            </w:tcMar>
          </w:tcPr>
          <w:p w14:paraId="184845ED" w14:textId="0944EEEB" w:rsidR="00A81694" w:rsidRPr="00B00753" w:rsidRDefault="00F3552C" w:rsidP="00AF0080">
            <w:pPr>
              <w:tabs>
                <w:tab w:val="center" w:pos="3152"/>
              </w:tabs>
              <w:rPr>
                <w:rFonts w:cs="Arial"/>
                <w:szCs w:val="19"/>
              </w:rPr>
            </w:pPr>
            <w:r w:rsidRPr="00B00753">
              <w:rPr>
                <w:rFonts w:cs="Arial"/>
                <w:szCs w:val="19"/>
              </w:rPr>
              <w:t xml:space="preserve">Use as monotherapy for the adjuvant treatment of adults with </w:t>
            </w:r>
            <w:r w:rsidR="00C5711C" w:rsidRPr="00B00753">
              <w:rPr>
                <w:rFonts w:cs="Arial"/>
                <w:szCs w:val="19"/>
              </w:rPr>
              <w:t>cutaneous squamous cell carcinoma</w:t>
            </w:r>
            <w:r w:rsidRPr="00B00753">
              <w:rPr>
                <w:rFonts w:cs="Arial"/>
                <w:szCs w:val="19"/>
              </w:rPr>
              <w:t xml:space="preserve"> at high risk of recurrence after surgery and radiation</w:t>
            </w:r>
            <w:r w:rsidR="00C5711C" w:rsidRPr="00B00753">
              <w:rPr>
                <w:rFonts w:cs="Arial"/>
                <w:szCs w:val="19"/>
              </w:rPr>
              <w:t xml:space="preserve"> </w:t>
            </w:r>
            <w:r w:rsidR="00C5711C" w:rsidRPr="00B00753">
              <w:rPr>
                <w:rFonts w:cs="Arial"/>
                <w:sz w:val="16"/>
                <w:szCs w:val="16"/>
              </w:rPr>
              <w:t>[EU] [new indication]</w:t>
            </w:r>
          </w:p>
        </w:tc>
      </w:tr>
      <w:tr w:rsidR="00A81694" w:rsidRPr="00B00753" w14:paraId="3A45FCED" w14:textId="77777777" w:rsidTr="002568C9">
        <w:tc>
          <w:tcPr>
            <w:tcW w:w="1225" w:type="pct"/>
            <w:tcMar>
              <w:top w:w="57" w:type="dxa"/>
              <w:bottom w:w="57" w:type="dxa"/>
            </w:tcMar>
          </w:tcPr>
          <w:p w14:paraId="0DF5593F" w14:textId="458CC2CB" w:rsidR="00A81694" w:rsidRPr="00B00753" w:rsidRDefault="00917942" w:rsidP="00493607">
            <w:pPr>
              <w:rPr>
                <w:rFonts w:cs="Arial"/>
                <w:szCs w:val="19"/>
              </w:rPr>
            </w:pPr>
            <w:proofErr w:type="spellStart"/>
            <w:r w:rsidRPr="00B00753">
              <w:rPr>
                <w:rFonts w:cs="Arial"/>
                <w:szCs w:val="19"/>
              </w:rPr>
              <w:t>Guselkumab</w:t>
            </w:r>
            <w:proofErr w:type="spellEnd"/>
            <w:r w:rsidRPr="00B00753">
              <w:rPr>
                <w:rFonts w:cs="Arial"/>
                <w:szCs w:val="19"/>
              </w:rPr>
              <w:t xml:space="preserve"> (</w:t>
            </w:r>
            <w:r w:rsidRPr="00B00753">
              <w:rPr>
                <w:rFonts w:cs="Arial"/>
                <w:i/>
                <w:iCs/>
                <w:szCs w:val="19"/>
              </w:rPr>
              <w:t>Tremfya</w:t>
            </w:r>
            <w:r w:rsidRPr="00B00753">
              <w:rPr>
                <w:rFonts w:cs="Arial"/>
                <w:szCs w:val="19"/>
              </w:rPr>
              <w:t>)</w:t>
            </w:r>
          </w:p>
        </w:tc>
        <w:tc>
          <w:tcPr>
            <w:tcW w:w="3775" w:type="pct"/>
            <w:tcMar>
              <w:top w:w="57" w:type="dxa"/>
              <w:bottom w:w="57" w:type="dxa"/>
            </w:tcMar>
          </w:tcPr>
          <w:p w14:paraId="186D759E" w14:textId="7E3EC474" w:rsidR="00A81694" w:rsidRPr="00B00753" w:rsidRDefault="00D9006D" w:rsidP="00493607">
            <w:pPr>
              <w:tabs>
                <w:tab w:val="center" w:pos="3152"/>
              </w:tabs>
              <w:rPr>
                <w:rFonts w:cs="Arial"/>
                <w:szCs w:val="19"/>
              </w:rPr>
            </w:pPr>
            <w:r w:rsidRPr="00B00753">
              <w:rPr>
                <w:rFonts w:cs="Arial"/>
                <w:szCs w:val="19"/>
              </w:rPr>
              <w:t xml:space="preserve">Treatment of moderate to severe plaque psoriasis in children and adolescents aged ≥6 years who are candidates for systemic therapy </w:t>
            </w:r>
            <w:r w:rsidRPr="00B00753">
              <w:rPr>
                <w:rFonts w:cs="Arial"/>
                <w:sz w:val="16"/>
                <w:szCs w:val="16"/>
              </w:rPr>
              <w:t>[EU] [new indication]</w:t>
            </w:r>
          </w:p>
        </w:tc>
      </w:tr>
      <w:tr w:rsidR="00A81694" w:rsidRPr="00B00753" w14:paraId="643EBE2C" w14:textId="77777777" w:rsidTr="002568C9">
        <w:tc>
          <w:tcPr>
            <w:tcW w:w="1225" w:type="pct"/>
            <w:tcMar>
              <w:top w:w="57" w:type="dxa"/>
              <w:bottom w:w="57" w:type="dxa"/>
            </w:tcMar>
          </w:tcPr>
          <w:p w14:paraId="2A04D15D" w14:textId="284D8EE8" w:rsidR="00A81694" w:rsidRPr="00B00753" w:rsidRDefault="002F5E86" w:rsidP="00493607">
            <w:pPr>
              <w:rPr>
                <w:rFonts w:cs="Arial"/>
                <w:szCs w:val="19"/>
              </w:rPr>
            </w:pPr>
            <w:proofErr w:type="spellStart"/>
            <w:r w:rsidRPr="00B00753">
              <w:rPr>
                <w:rFonts w:cs="Arial"/>
                <w:szCs w:val="19"/>
              </w:rPr>
              <w:t>Lisocabtagene</w:t>
            </w:r>
            <w:proofErr w:type="spellEnd"/>
            <w:r w:rsidRPr="00B00753">
              <w:rPr>
                <w:rFonts w:cs="Arial"/>
                <w:szCs w:val="19"/>
              </w:rPr>
              <w:t xml:space="preserve"> </w:t>
            </w:r>
            <w:proofErr w:type="spellStart"/>
            <w:r w:rsidRPr="00B00753">
              <w:rPr>
                <w:rFonts w:cs="Arial"/>
                <w:szCs w:val="19"/>
              </w:rPr>
              <w:t>maraleucel</w:t>
            </w:r>
            <w:proofErr w:type="spellEnd"/>
            <w:r w:rsidRPr="00B00753">
              <w:rPr>
                <w:rFonts w:cs="Arial"/>
                <w:szCs w:val="19"/>
              </w:rPr>
              <w:t xml:space="preserve"> (</w:t>
            </w:r>
            <w:proofErr w:type="spellStart"/>
            <w:r w:rsidRPr="00B00753">
              <w:rPr>
                <w:rFonts w:cs="Arial"/>
                <w:i/>
                <w:iCs/>
                <w:szCs w:val="19"/>
              </w:rPr>
              <w:t>Breyanzi</w:t>
            </w:r>
            <w:proofErr w:type="spellEnd"/>
            <w:r w:rsidRPr="00B00753">
              <w:rPr>
                <w:rFonts w:cs="Arial"/>
                <w:szCs w:val="19"/>
              </w:rPr>
              <w:t>)</w:t>
            </w:r>
          </w:p>
        </w:tc>
        <w:tc>
          <w:tcPr>
            <w:tcW w:w="3775" w:type="pct"/>
            <w:tcMar>
              <w:top w:w="57" w:type="dxa"/>
              <w:bottom w:w="57" w:type="dxa"/>
            </w:tcMar>
          </w:tcPr>
          <w:p w14:paraId="15E09848" w14:textId="7BC984FA" w:rsidR="00A81694" w:rsidRPr="00B00753" w:rsidRDefault="002568C9" w:rsidP="00493607">
            <w:pPr>
              <w:tabs>
                <w:tab w:val="center" w:pos="3152"/>
              </w:tabs>
              <w:rPr>
                <w:rFonts w:cs="Arial"/>
                <w:szCs w:val="19"/>
              </w:rPr>
            </w:pPr>
            <w:r w:rsidRPr="00B00753">
              <w:rPr>
                <w:rFonts w:cs="Arial"/>
                <w:szCs w:val="19"/>
              </w:rPr>
              <w:t xml:space="preserve">Treatment of adults with relapsed or refractory mantle cell lymphoma after at least two lines of systemic therapy including a Bruton’s tyrosine kinase inhibitor </w:t>
            </w:r>
            <w:r w:rsidRPr="00B00753">
              <w:rPr>
                <w:rFonts w:cs="Arial"/>
                <w:sz w:val="16"/>
                <w:szCs w:val="16"/>
              </w:rPr>
              <w:t>[EU] [new indication]</w:t>
            </w:r>
          </w:p>
        </w:tc>
      </w:tr>
      <w:tr w:rsidR="00A81694" w:rsidRPr="00B00753" w14:paraId="0DCF0EE2" w14:textId="77777777" w:rsidTr="002568C9">
        <w:tc>
          <w:tcPr>
            <w:tcW w:w="1225" w:type="pct"/>
            <w:tcMar>
              <w:top w:w="57" w:type="dxa"/>
              <w:bottom w:w="57" w:type="dxa"/>
            </w:tcMar>
          </w:tcPr>
          <w:p w14:paraId="56128AC7" w14:textId="2DB9762A" w:rsidR="00A81694" w:rsidRPr="00B00753" w:rsidRDefault="0011660D" w:rsidP="00493607">
            <w:pPr>
              <w:rPr>
                <w:rFonts w:cs="Arial"/>
                <w:szCs w:val="19"/>
              </w:rPr>
            </w:pPr>
            <w:proofErr w:type="spellStart"/>
            <w:r w:rsidRPr="00B00753">
              <w:rPr>
                <w:rFonts w:cs="Arial"/>
                <w:szCs w:val="19"/>
              </w:rPr>
              <w:t>Mitapivat</w:t>
            </w:r>
            <w:proofErr w:type="spellEnd"/>
            <w:r w:rsidRPr="00B00753">
              <w:rPr>
                <w:rFonts w:cs="Arial"/>
                <w:szCs w:val="19"/>
              </w:rPr>
              <w:t xml:space="preserve"> (</w:t>
            </w:r>
            <w:proofErr w:type="spellStart"/>
            <w:r w:rsidRPr="00B00753">
              <w:rPr>
                <w:rFonts w:cs="Arial"/>
                <w:i/>
                <w:iCs/>
                <w:szCs w:val="19"/>
              </w:rPr>
              <w:t>Pyrukynd</w:t>
            </w:r>
            <w:proofErr w:type="spellEnd"/>
            <w:r w:rsidRPr="00B00753">
              <w:rPr>
                <w:rFonts w:cs="Arial"/>
                <w:szCs w:val="19"/>
              </w:rPr>
              <w:t>)</w:t>
            </w:r>
          </w:p>
        </w:tc>
        <w:tc>
          <w:tcPr>
            <w:tcW w:w="3775" w:type="pct"/>
            <w:tcMar>
              <w:top w:w="57" w:type="dxa"/>
              <w:bottom w:w="57" w:type="dxa"/>
            </w:tcMar>
          </w:tcPr>
          <w:p w14:paraId="3169DE61" w14:textId="77777777" w:rsidR="00FF4331" w:rsidRDefault="00C8610B" w:rsidP="00FF4331">
            <w:pPr>
              <w:tabs>
                <w:tab w:val="num" w:pos="720"/>
                <w:tab w:val="center" w:pos="3152"/>
              </w:tabs>
              <w:rPr>
                <w:rFonts w:cs="Arial"/>
                <w:sz w:val="16"/>
                <w:szCs w:val="16"/>
              </w:rPr>
            </w:pPr>
            <w:r w:rsidRPr="00B00753">
              <w:rPr>
                <w:rFonts w:cs="Arial"/>
                <w:szCs w:val="19"/>
              </w:rPr>
              <w:t xml:space="preserve">Use in adults for the treatment of anaemia associated with transfusion-dependent and non-transfusion-dependent alpha- or beta-thalassaemia </w:t>
            </w:r>
            <w:r w:rsidRPr="00B00753">
              <w:rPr>
                <w:rFonts w:cs="Arial"/>
                <w:sz w:val="16"/>
                <w:szCs w:val="16"/>
              </w:rPr>
              <w:t xml:space="preserve">[EU] </w:t>
            </w:r>
          </w:p>
          <w:p w14:paraId="2062EA9B" w14:textId="0F685AA3" w:rsidR="00A81694" w:rsidRPr="00B00753" w:rsidRDefault="00C8610B" w:rsidP="00FF4331">
            <w:pPr>
              <w:tabs>
                <w:tab w:val="num" w:pos="720"/>
                <w:tab w:val="center" w:pos="3152"/>
              </w:tabs>
              <w:rPr>
                <w:rFonts w:cs="Arial"/>
                <w:szCs w:val="19"/>
              </w:rPr>
            </w:pPr>
            <w:r w:rsidRPr="00B00753">
              <w:rPr>
                <w:rFonts w:cs="Arial"/>
                <w:sz w:val="16"/>
                <w:szCs w:val="16"/>
              </w:rPr>
              <w:t xml:space="preserve">[new </w:t>
            </w:r>
            <w:r w:rsidR="00C14EA5" w:rsidRPr="00B00753">
              <w:rPr>
                <w:rFonts w:cs="Arial"/>
                <w:sz w:val="16"/>
                <w:szCs w:val="16"/>
              </w:rPr>
              <w:t xml:space="preserve">100mg tablet formulation with new </w:t>
            </w:r>
            <w:r w:rsidRPr="00B00753">
              <w:rPr>
                <w:rFonts w:cs="Arial"/>
                <w:sz w:val="16"/>
                <w:szCs w:val="16"/>
              </w:rPr>
              <w:t>indication]</w:t>
            </w:r>
          </w:p>
        </w:tc>
      </w:tr>
      <w:tr w:rsidR="00A81694" w:rsidRPr="00B00753" w14:paraId="2DEDF6AD" w14:textId="77777777" w:rsidTr="002568C9">
        <w:tc>
          <w:tcPr>
            <w:tcW w:w="1225" w:type="pct"/>
            <w:tcMar>
              <w:top w:w="57" w:type="dxa"/>
              <w:bottom w:w="57" w:type="dxa"/>
            </w:tcMar>
          </w:tcPr>
          <w:p w14:paraId="4070D6A4" w14:textId="77777777" w:rsidR="00660093" w:rsidRPr="00B00753" w:rsidRDefault="00AF217F" w:rsidP="00493607">
            <w:pPr>
              <w:rPr>
                <w:rFonts w:cs="Arial"/>
                <w:szCs w:val="19"/>
              </w:rPr>
            </w:pPr>
            <w:r w:rsidRPr="00B00753">
              <w:rPr>
                <w:rFonts w:cs="Arial"/>
                <w:szCs w:val="19"/>
              </w:rPr>
              <w:t>Nirmatrelvir + ritonavir </w:t>
            </w:r>
          </w:p>
          <w:p w14:paraId="5B7AAE05" w14:textId="332F80E6" w:rsidR="00A81694" w:rsidRPr="00B00753" w:rsidRDefault="00660093" w:rsidP="00493607">
            <w:pPr>
              <w:rPr>
                <w:rFonts w:cs="Arial"/>
                <w:szCs w:val="19"/>
              </w:rPr>
            </w:pPr>
            <w:r w:rsidRPr="00B00753">
              <w:rPr>
                <w:rFonts w:cs="Arial"/>
                <w:szCs w:val="19"/>
              </w:rPr>
              <w:t>(</w:t>
            </w:r>
            <w:r w:rsidRPr="00B00753">
              <w:rPr>
                <w:rFonts w:cs="Arial"/>
                <w:i/>
                <w:iCs/>
                <w:szCs w:val="19"/>
              </w:rPr>
              <w:t>Paxlovid</w:t>
            </w:r>
            <w:r w:rsidRPr="00B00753">
              <w:rPr>
                <w:rFonts w:cs="Arial"/>
                <w:szCs w:val="19"/>
              </w:rPr>
              <w:t>)</w:t>
            </w:r>
          </w:p>
        </w:tc>
        <w:tc>
          <w:tcPr>
            <w:tcW w:w="3775" w:type="pct"/>
            <w:tcMar>
              <w:top w:w="57" w:type="dxa"/>
              <w:bottom w:w="57" w:type="dxa"/>
            </w:tcMar>
          </w:tcPr>
          <w:p w14:paraId="0C72DF52" w14:textId="08473DB0" w:rsidR="00A81694" w:rsidRPr="00B00753" w:rsidRDefault="00780558" w:rsidP="00493607">
            <w:pPr>
              <w:tabs>
                <w:tab w:val="num" w:pos="720"/>
                <w:tab w:val="center" w:pos="3152"/>
              </w:tabs>
              <w:rPr>
                <w:rFonts w:cs="Arial"/>
                <w:szCs w:val="19"/>
              </w:rPr>
            </w:pPr>
            <w:r w:rsidRPr="00B00753">
              <w:rPr>
                <w:rFonts w:cs="Arial"/>
                <w:szCs w:val="19"/>
              </w:rPr>
              <w:t xml:space="preserve">Treatment of coronavirus disease 2019 (COVID-19) in adults and paediatric patients aged ≥6 years weighing ≥20kg who do not require supplemental oxygen and who are at increased risk for progressing to severe COVID </w:t>
            </w:r>
            <w:r w:rsidRPr="00B00753">
              <w:rPr>
                <w:rFonts w:cs="Arial"/>
                <w:sz w:val="16"/>
                <w:szCs w:val="16"/>
              </w:rPr>
              <w:t>19 [EU] [licence change from use only in adults]</w:t>
            </w:r>
          </w:p>
        </w:tc>
      </w:tr>
      <w:tr w:rsidR="00190638" w:rsidRPr="00B00753" w14:paraId="1D06D723" w14:textId="77777777" w:rsidTr="002568C9">
        <w:tc>
          <w:tcPr>
            <w:tcW w:w="1225" w:type="pct"/>
            <w:tcMar>
              <w:top w:w="57" w:type="dxa"/>
              <w:bottom w:w="57" w:type="dxa"/>
            </w:tcMar>
          </w:tcPr>
          <w:p w14:paraId="274274AB" w14:textId="5AFA2FC4" w:rsidR="00190638" w:rsidRPr="00B00753" w:rsidRDefault="003E08D1" w:rsidP="00493607">
            <w:pPr>
              <w:rPr>
                <w:rFonts w:cs="Arial"/>
                <w:szCs w:val="19"/>
              </w:rPr>
            </w:pPr>
            <w:r w:rsidRPr="00B00753">
              <w:rPr>
                <w:rFonts w:cs="Arial"/>
                <w:szCs w:val="19"/>
              </w:rPr>
              <w:t>Obinutuzumab (</w:t>
            </w:r>
            <w:proofErr w:type="spellStart"/>
            <w:r w:rsidRPr="00B00753">
              <w:rPr>
                <w:rFonts w:cs="Arial"/>
                <w:i/>
                <w:iCs/>
                <w:szCs w:val="19"/>
              </w:rPr>
              <w:t>Gazyvaro</w:t>
            </w:r>
            <w:proofErr w:type="spellEnd"/>
            <w:r w:rsidRPr="00B00753">
              <w:rPr>
                <w:rFonts w:cs="Arial"/>
                <w:szCs w:val="19"/>
              </w:rPr>
              <w:t>)</w:t>
            </w:r>
          </w:p>
        </w:tc>
        <w:tc>
          <w:tcPr>
            <w:tcW w:w="3775" w:type="pct"/>
            <w:tcMar>
              <w:top w:w="57" w:type="dxa"/>
              <w:bottom w:w="57" w:type="dxa"/>
            </w:tcMar>
          </w:tcPr>
          <w:p w14:paraId="3B829E7C" w14:textId="16428E52" w:rsidR="00190638" w:rsidRPr="00B00753" w:rsidRDefault="00F45968" w:rsidP="00493607">
            <w:pPr>
              <w:tabs>
                <w:tab w:val="num" w:pos="720"/>
                <w:tab w:val="center" w:pos="3152"/>
              </w:tabs>
              <w:rPr>
                <w:rFonts w:cs="Arial"/>
                <w:szCs w:val="19"/>
              </w:rPr>
            </w:pPr>
            <w:r w:rsidRPr="00B00753">
              <w:rPr>
                <w:rFonts w:cs="Arial"/>
                <w:szCs w:val="19"/>
              </w:rPr>
              <w:t>Use in combination with mycophenolate mofetil for the treatment of adults with active Class III or IV, with or without concomitant Class V, lupus nephritis</w:t>
            </w:r>
            <w:r w:rsidR="002636F6" w:rsidRPr="00B00753">
              <w:rPr>
                <w:rFonts w:cs="Arial"/>
                <w:szCs w:val="19"/>
              </w:rPr>
              <w:t xml:space="preserve"> </w:t>
            </w:r>
            <w:r w:rsidR="002636F6" w:rsidRPr="00B00753">
              <w:rPr>
                <w:rFonts w:cs="Arial"/>
                <w:sz w:val="16"/>
                <w:szCs w:val="16"/>
              </w:rPr>
              <w:t>[EU] [new indication]</w:t>
            </w:r>
          </w:p>
        </w:tc>
      </w:tr>
      <w:tr w:rsidR="00190638" w:rsidRPr="00B00753" w14:paraId="3BAB221E" w14:textId="77777777" w:rsidTr="002568C9">
        <w:tc>
          <w:tcPr>
            <w:tcW w:w="1225" w:type="pct"/>
            <w:tcMar>
              <w:top w:w="57" w:type="dxa"/>
              <w:bottom w:w="57" w:type="dxa"/>
            </w:tcMar>
          </w:tcPr>
          <w:p w14:paraId="2A781642" w14:textId="4B803722" w:rsidR="00190638" w:rsidRPr="00B00753" w:rsidRDefault="002A4AA7" w:rsidP="00493607">
            <w:pPr>
              <w:rPr>
                <w:rFonts w:cs="Arial"/>
                <w:szCs w:val="19"/>
              </w:rPr>
            </w:pPr>
            <w:proofErr w:type="spellStart"/>
            <w:r w:rsidRPr="00B00753">
              <w:rPr>
                <w:rFonts w:cs="Arial"/>
                <w:szCs w:val="19"/>
              </w:rPr>
              <w:t>Rilzabrutinib</w:t>
            </w:r>
            <w:proofErr w:type="spellEnd"/>
            <w:r w:rsidRPr="00B00753">
              <w:rPr>
                <w:rFonts w:cs="Arial"/>
                <w:szCs w:val="19"/>
              </w:rPr>
              <w:t xml:space="preserve"> (</w:t>
            </w:r>
            <w:proofErr w:type="spellStart"/>
            <w:r w:rsidR="00FE62DE" w:rsidRPr="00B00753">
              <w:rPr>
                <w:rFonts w:cs="Arial"/>
                <w:i/>
                <w:iCs/>
                <w:szCs w:val="19"/>
              </w:rPr>
              <w:t>Wayrilz</w:t>
            </w:r>
            <w:proofErr w:type="spellEnd"/>
            <w:r w:rsidR="00FE62DE" w:rsidRPr="00B00753">
              <w:rPr>
                <w:rFonts w:cs="Arial"/>
                <w:szCs w:val="19"/>
              </w:rPr>
              <w:t>)</w:t>
            </w:r>
          </w:p>
        </w:tc>
        <w:tc>
          <w:tcPr>
            <w:tcW w:w="3775" w:type="pct"/>
            <w:tcMar>
              <w:top w:w="57" w:type="dxa"/>
              <w:bottom w:w="57" w:type="dxa"/>
            </w:tcMar>
          </w:tcPr>
          <w:p w14:paraId="5BFAB2D3" w14:textId="1E24D6FB" w:rsidR="00190638" w:rsidRPr="00B00753" w:rsidRDefault="00DA1D90" w:rsidP="00493607">
            <w:pPr>
              <w:tabs>
                <w:tab w:val="num" w:pos="720"/>
                <w:tab w:val="center" w:pos="3152"/>
              </w:tabs>
              <w:rPr>
                <w:rFonts w:cs="Arial"/>
                <w:szCs w:val="19"/>
              </w:rPr>
            </w:pPr>
            <w:r w:rsidRPr="00B00753">
              <w:rPr>
                <w:rFonts w:cs="Arial"/>
                <w:szCs w:val="19"/>
              </w:rPr>
              <w:t>Treatment of immune thrombocytopenia in adults who are refractory to other treatments</w:t>
            </w:r>
            <w:r w:rsidR="002568C9" w:rsidRPr="00B00753">
              <w:rPr>
                <w:rFonts w:cs="Arial"/>
                <w:szCs w:val="19"/>
              </w:rPr>
              <w:t xml:space="preserve"> </w:t>
            </w:r>
            <w:r w:rsidR="002568C9" w:rsidRPr="00B00753">
              <w:rPr>
                <w:rFonts w:cs="Arial"/>
                <w:sz w:val="16"/>
                <w:szCs w:val="16"/>
              </w:rPr>
              <w:t>[EU]</w:t>
            </w:r>
          </w:p>
        </w:tc>
      </w:tr>
      <w:tr w:rsidR="00190638" w:rsidRPr="00B00753" w14:paraId="77A3C597" w14:textId="77777777" w:rsidTr="002568C9">
        <w:tc>
          <w:tcPr>
            <w:tcW w:w="1225" w:type="pct"/>
            <w:tcMar>
              <w:top w:w="57" w:type="dxa"/>
              <w:bottom w:w="57" w:type="dxa"/>
            </w:tcMar>
          </w:tcPr>
          <w:p w14:paraId="6F87F4B8" w14:textId="55F461DD" w:rsidR="00190638" w:rsidRPr="00B00753" w:rsidRDefault="00BA036B" w:rsidP="00493607">
            <w:pPr>
              <w:rPr>
                <w:rFonts w:cs="Arial"/>
                <w:szCs w:val="19"/>
              </w:rPr>
            </w:pPr>
            <w:proofErr w:type="spellStart"/>
            <w:r w:rsidRPr="00B00753">
              <w:rPr>
                <w:rFonts w:cs="Arial"/>
                <w:szCs w:val="19"/>
              </w:rPr>
              <w:t>Sugemalimab</w:t>
            </w:r>
            <w:proofErr w:type="spellEnd"/>
            <w:r w:rsidRPr="00B00753">
              <w:rPr>
                <w:rFonts w:cs="Arial"/>
                <w:szCs w:val="19"/>
              </w:rPr>
              <w:t xml:space="preserve"> (</w:t>
            </w:r>
            <w:proofErr w:type="spellStart"/>
            <w:r w:rsidRPr="00B00753">
              <w:rPr>
                <w:rFonts w:cs="Arial"/>
                <w:i/>
                <w:iCs/>
                <w:szCs w:val="19"/>
              </w:rPr>
              <w:t>Cejemly</w:t>
            </w:r>
            <w:proofErr w:type="spellEnd"/>
            <w:r w:rsidRPr="00B00753">
              <w:rPr>
                <w:rFonts w:cs="Arial"/>
                <w:szCs w:val="19"/>
              </w:rPr>
              <w:t>)</w:t>
            </w:r>
          </w:p>
        </w:tc>
        <w:tc>
          <w:tcPr>
            <w:tcW w:w="3775" w:type="pct"/>
            <w:tcMar>
              <w:top w:w="57" w:type="dxa"/>
              <w:bottom w:w="57" w:type="dxa"/>
            </w:tcMar>
          </w:tcPr>
          <w:p w14:paraId="4DC41D45" w14:textId="7950CD7A" w:rsidR="00190638" w:rsidRPr="00B00753" w:rsidRDefault="007A5042" w:rsidP="00493607">
            <w:pPr>
              <w:tabs>
                <w:tab w:val="num" w:pos="720"/>
                <w:tab w:val="center" w:pos="3152"/>
              </w:tabs>
              <w:rPr>
                <w:rFonts w:cs="Arial"/>
                <w:szCs w:val="19"/>
              </w:rPr>
            </w:pPr>
            <w:r w:rsidRPr="00B00753">
              <w:rPr>
                <w:rFonts w:cs="Arial"/>
                <w:szCs w:val="19"/>
              </w:rPr>
              <w:t xml:space="preserve">Treatment of unresectable stage III non-small cell lung cancer with no sensitising EGFR mutations, or ALK, ROS1 genomic tumour aberrations in adults whose tumours express PD-L1 on ≥1% of tumour cells and whose disease has not progressed following platinum-based chemoradiotherapy </w:t>
            </w:r>
            <w:r w:rsidRPr="00B00753">
              <w:rPr>
                <w:rFonts w:cs="Arial"/>
                <w:sz w:val="16"/>
                <w:szCs w:val="16"/>
              </w:rPr>
              <w:t>[EU] [new indication]</w:t>
            </w:r>
          </w:p>
        </w:tc>
      </w:tr>
      <w:tr w:rsidR="00A81694" w:rsidRPr="00B00753" w14:paraId="5AFD9B84" w14:textId="77777777" w:rsidTr="002568C9">
        <w:tc>
          <w:tcPr>
            <w:tcW w:w="1225" w:type="pct"/>
            <w:tcMar>
              <w:top w:w="0" w:type="dxa"/>
              <w:bottom w:w="0" w:type="dxa"/>
            </w:tcMar>
          </w:tcPr>
          <w:p w14:paraId="33B87B6D" w14:textId="77777777" w:rsidR="00A81694" w:rsidRPr="00B00753" w:rsidRDefault="00A81694" w:rsidP="00392C21">
            <w:pPr>
              <w:rPr>
                <w:rFonts w:cs="Arial"/>
                <w:bCs/>
                <w:sz w:val="8"/>
                <w:szCs w:val="8"/>
              </w:rPr>
            </w:pPr>
          </w:p>
        </w:tc>
        <w:tc>
          <w:tcPr>
            <w:tcW w:w="3775" w:type="pct"/>
            <w:tcMar>
              <w:top w:w="0" w:type="dxa"/>
              <w:bottom w:w="0" w:type="dxa"/>
            </w:tcMar>
          </w:tcPr>
          <w:p w14:paraId="4763CEB4" w14:textId="77777777" w:rsidR="00A81694" w:rsidRPr="00B00753" w:rsidRDefault="00A81694" w:rsidP="00392C21">
            <w:pPr>
              <w:tabs>
                <w:tab w:val="center" w:pos="3152"/>
              </w:tabs>
              <w:rPr>
                <w:rFonts w:cs="Arial"/>
                <w:sz w:val="8"/>
                <w:szCs w:val="8"/>
              </w:rPr>
            </w:pPr>
          </w:p>
        </w:tc>
      </w:tr>
      <w:tr w:rsidR="00A81694" w:rsidRPr="00B00753" w14:paraId="4B53CFCE" w14:textId="77777777" w:rsidTr="002568C9">
        <w:tc>
          <w:tcPr>
            <w:tcW w:w="1225" w:type="pct"/>
            <w:tcMar>
              <w:top w:w="0" w:type="dxa"/>
              <w:bottom w:w="0" w:type="dxa"/>
            </w:tcMar>
          </w:tcPr>
          <w:p w14:paraId="487774D7" w14:textId="77777777" w:rsidR="00A81694" w:rsidRPr="00B00753" w:rsidRDefault="00A81694" w:rsidP="004642B4">
            <w:pPr>
              <w:rPr>
                <w:rFonts w:cs="Arial"/>
                <w:bCs/>
                <w:sz w:val="8"/>
                <w:szCs w:val="8"/>
              </w:rPr>
            </w:pPr>
          </w:p>
        </w:tc>
        <w:tc>
          <w:tcPr>
            <w:tcW w:w="3775" w:type="pct"/>
            <w:tcMar>
              <w:top w:w="0" w:type="dxa"/>
              <w:bottom w:w="0" w:type="dxa"/>
            </w:tcMar>
          </w:tcPr>
          <w:p w14:paraId="29CA2756" w14:textId="77777777" w:rsidR="00A81694" w:rsidRPr="00B00753" w:rsidRDefault="00A81694" w:rsidP="004642B4">
            <w:pPr>
              <w:tabs>
                <w:tab w:val="center" w:pos="3152"/>
              </w:tabs>
              <w:rPr>
                <w:rFonts w:cs="Arial"/>
                <w:sz w:val="8"/>
                <w:szCs w:val="8"/>
              </w:rPr>
            </w:pPr>
          </w:p>
        </w:tc>
      </w:tr>
      <w:tr w:rsidR="00A81694" w:rsidRPr="00B00753" w14:paraId="74DAAA50" w14:textId="77777777" w:rsidTr="002568C9">
        <w:tc>
          <w:tcPr>
            <w:tcW w:w="1225" w:type="pct"/>
            <w:shd w:val="clear" w:color="auto" w:fill="DAEEF3"/>
            <w:tcMar>
              <w:top w:w="0" w:type="dxa"/>
              <w:bottom w:w="0" w:type="dxa"/>
            </w:tcMar>
          </w:tcPr>
          <w:p w14:paraId="6957E933" w14:textId="77777777" w:rsidR="00A81694" w:rsidRPr="00B00753" w:rsidRDefault="00A81694" w:rsidP="00995427">
            <w:pPr>
              <w:rPr>
                <w:rFonts w:cs="Arial"/>
                <w:bCs/>
                <w:sz w:val="8"/>
                <w:szCs w:val="8"/>
              </w:rPr>
            </w:pPr>
          </w:p>
        </w:tc>
        <w:tc>
          <w:tcPr>
            <w:tcW w:w="3775" w:type="pct"/>
            <w:shd w:val="clear" w:color="auto" w:fill="DAEEF3"/>
            <w:tcMar>
              <w:top w:w="0" w:type="dxa"/>
              <w:bottom w:w="0" w:type="dxa"/>
            </w:tcMar>
          </w:tcPr>
          <w:p w14:paraId="6C9A41C9" w14:textId="77777777" w:rsidR="00A81694" w:rsidRPr="00B00753" w:rsidRDefault="00A81694" w:rsidP="00995427">
            <w:pPr>
              <w:tabs>
                <w:tab w:val="center" w:pos="3152"/>
              </w:tabs>
              <w:rPr>
                <w:rFonts w:cs="Arial"/>
                <w:sz w:val="8"/>
                <w:szCs w:val="8"/>
              </w:rPr>
            </w:pPr>
          </w:p>
        </w:tc>
      </w:tr>
    </w:tbl>
    <w:p w14:paraId="045AB1A3" w14:textId="77777777" w:rsidR="004A1948" w:rsidRPr="00B00753" w:rsidRDefault="004A1948">
      <w:pPr>
        <w:rPr>
          <w:sz w:val="18"/>
        </w:rPr>
      </w:pPr>
      <w:r w:rsidRPr="00B00753">
        <w:rPr>
          <w:sz w:val="18"/>
        </w:rPr>
        <w:br w:type="page"/>
      </w:r>
    </w:p>
    <w:p w14:paraId="42FE5311" w14:textId="77777777" w:rsidR="00A81694" w:rsidRPr="00B00753" w:rsidRDefault="00A81694">
      <w:pPr>
        <w:rPr>
          <w:sz w:val="18"/>
        </w:rPr>
      </w:pPr>
    </w:p>
    <w:p w14:paraId="0E98A58E" w14:textId="53DB94A6" w:rsidR="004A1948" w:rsidRPr="00B00753" w:rsidRDefault="004A1948"/>
    <w:tbl>
      <w:tblPr>
        <w:tblW w:w="5170" w:type="pct"/>
        <w:tblInd w:w="-176" w:type="dxa"/>
        <w:tblLayout w:type="fixed"/>
        <w:tblLook w:val="01E0" w:firstRow="1" w:lastRow="1" w:firstColumn="1" w:lastColumn="1" w:noHBand="0" w:noVBand="0"/>
      </w:tblPr>
      <w:tblGrid>
        <w:gridCol w:w="2431"/>
        <w:gridCol w:w="154"/>
        <w:gridCol w:w="7966"/>
      </w:tblGrid>
      <w:tr w:rsidR="004A1948" w:rsidRPr="00B00753" w14:paraId="26E69F4E" w14:textId="77777777" w:rsidTr="003F06CB">
        <w:tc>
          <w:tcPr>
            <w:tcW w:w="5000" w:type="pct"/>
            <w:gridSpan w:val="3"/>
            <w:shd w:val="clear" w:color="auto" w:fill="0070C0"/>
            <w:tcMar>
              <w:top w:w="85" w:type="dxa"/>
              <w:bottom w:w="85" w:type="dxa"/>
            </w:tcMar>
            <w:vAlign w:val="bottom"/>
          </w:tcPr>
          <w:p w14:paraId="2C753107" w14:textId="77777777" w:rsidR="004A1948" w:rsidRPr="00B00753" w:rsidRDefault="004A1948" w:rsidP="003F06CB">
            <w:pPr>
              <w:rPr>
                <w:rFonts w:cs="Arial"/>
                <w:color w:val="FFFFFF"/>
                <w:sz w:val="15"/>
                <w:szCs w:val="15"/>
              </w:rPr>
            </w:pPr>
            <w:r w:rsidRPr="00B00753">
              <w:rPr>
                <w:rFonts w:cs="Arial"/>
                <w:b/>
                <w:bCs/>
                <w:iCs/>
                <w:color w:val="FFFFFF"/>
                <w:sz w:val="28"/>
                <w:szCs w:val="28"/>
              </w:rPr>
              <w:t>Regulatory changes in the UK or EU</w:t>
            </w:r>
            <w:r w:rsidRPr="00B00753">
              <w:rPr>
                <w:rFonts w:cs="Arial"/>
                <w:b/>
                <w:bCs/>
                <w:iCs/>
                <w:color w:val="FFFFFF"/>
                <w:sz w:val="28"/>
                <w:szCs w:val="28"/>
              </w:rPr>
              <w:tab/>
            </w:r>
          </w:p>
        </w:tc>
      </w:tr>
      <w:tr w:rsidR="004A1948" w:rsidRPr="00B00753" w14:paraId="52B5563F" w14:textId="77777777" w:rsidTr="003F06CB">
        <w:tc>
          <w:tcPr>
            <w:tcW w:w="1152" w:type="pct"/>
            <w:shd w:val="clear" w:color="auto" w:fill="DAEEF3"/>
            <w:tcMar>
              <w:top w:w="0" w:type="dxa"/>
              <w:bottom w:w="0" w:type="dxa"/>
            </w:tcMar>
          </w:tcPr>
          <w:p w14:paraId="787A2AEE" w14:textId="77777777" w:rsidR="004A1948" w:rsidRPr="00B00753" w:rsidRDefault="004A1948" w:rsidP="003F06CB">
            <w:pPr>
              <w:rPr>
                <w:rFonts w:cs="Arial"/>
                <w:bCs/>
                <w:sz w:val="8"/>
                <w:szCs w:val="8"/>
              </w:rPr>
            </w:pPr>
          </w:p>
        </w:tc>
        <w:tc>
          <w:tcPr>
            <w:tcW w:w="3848" w:type="pct"/>
            <w:gridSpan w:val="2"/>
            <w:shd w:val="clear" w:color="auto" w:fill="DAEEF3"/>
            <w:tcMar>
              <w:top w:w="0" w:type="dxa"/>
              <w:bottom w:w="0" w:type="dxa"/>
            </w:tcMar>
          </w:tcPr>
          <w:p w14:paraId="01CDE420" w14:textId="77777777" w:rsidR="004A1948" w:rsidRPr="00B00753" w:rsidRDefault="004A1948" w:rsidP="003F06CB">
            <w:pPr>
              <w:tabs>
                <w:tab w:val="center" w:pos="3152"/>
              </w:tabs>
              <w:rPr>
                <w:rFonts w:cs="Arial"/>
                <w:sz w:val="8"/>
                <w:szCs w:val="8"/>
              </w:rPr>
            </w:pPr>
          </w:p>
        </w:tc>
      </w:tr>
      <w:tr w:rsidR="004A1948" w:rsidRPr="00B00753" w14:paraId="7BBD0C9A" w14:textId="77777777" w:rsidTr="003F06CB">
        <w:tc>
          <w:tcPr>
            <w:tcW w:w="5000" w:type="pct"/>
            <w:gridSpan w:val="3"/>
            <w:shd w:val="clear" w:color="auto" w:fill="008232"/>
            <w:tcMar>
              <w:top w:w="57" w:type="dxa"/>
              <w:bottom w:w="57" w:type="dxa"/>
            </w:tcMar>
          </w:tcPr>
          <w:p w14:paraId="7A49C950" w14:textId="77777777" w:rsidR="004A1948" w:rsidRPr="00B00753" w:rsidRDefault="004A1948" w:rsidP="003F06CB">
            <w:pPr>
              <w:rPr>
                <w:rFonts w:cs="Arial"/>
                <w:noProof/>
                <w:color w:val="FFFFFF"/>
                <w:sz w:val="16"/>
                <w:szCs w:val="16"/>
              </w:rPr>
            </w:pPr>
            <w:r w:rsidRPr="00B00753">
              <w:rPr>
                <w:rFonts w:cs="Arial"/>
                <w:b/>
                <w:bCs/>
                <w:i/>
                <w:iCs/>
                <w:color w:val="FFFFFF"/>
                <w:sz w:val="22"/>
                <w:szCs w:val="20"/>
              </w:rPr>
              <w:t>Filed for approval in the UK or EU</w:t>
            </w:r>
          </w:p>
        </w:tc>
      </w:tr>
      <w:tr w:rsidR="004A1948" w:rsidRPr="00B00753" w14:paraId="2E1BECAC" w14:textId="77777777" w:rsidTr="003F06CB">
        <w:tc>
          <w:tcPr>
            <w:tcW w:w="1225" w:type="pct"/>
            <w:gridSpan w:val="2"/>
            <w:tcMar>
              <w:top w:w="57" w:type="dxa"/>
              <w:bottom w:w="57" w:type="dxa"/>
            </w:tcMar>
          </w:tcPr>
          <w:p w14:paraId="1E996A9B" w14:textId="77777777" w:rsidR="004A1948" w:rsidRPr="00B00753" w:rsidRDefault="004A1948" w:rsidP="003F06CB">
            <w:pPr>
              <w:rPr>
                <w:rFonts w:cs="Arial"/>
                <w:szCs w:val="19"/>
              </w:rPr>
            </w:pPr>
            <w:proofErr w:type="spellStart"/>
            <w:r w:rsidRPr="00B00753">
              <w:rPr>
                <w:rFonts w:cs="Arial"/>
                <w:szCs w:val="19"/>
              </w:rPr>
              <w:t>Icotrokinra</w:t>
            </w:r>
            <w:proofErr w:type="spellEnd"/>
            <w:r w:rsidRPr="00B00753">
              <w:rPr>
                <w:rFonts w:cs="Arial"/>
                <w:szCs w:val="19"/>
              </w:rPr>
              <w:t xml:space="preserve"> </w:t>
            </w:r>
          </w:p>
        </w:tc>
        <w:tc>
          <w:tcPr>
            <w:tcW w:w="3775" w:type="pct"/>
            <w:tcMar>
              <w:top w:w="57" w:type="dxa"/>
              <w:bottom w:w="57" w:type="dxa"/>
            </w:tcMar>
          </w:tcPr>
          <w:p w14:paraId="7E9B7D1E" w14:textId="77777777" w:rsidR="004A1948" w:rsidRPr="00B00753" w:rsidRDefault="004A1948" w:rsidP="003F06CB">
            <w:pPr>
              <w:tabs>
                <w:tab w:val="center" w:pos="3152"/>
              </w:tabs>
              <w:rPr>
                <w:rFonts w:cs="Arial"/>
                <w:szCs w:val="19"/>
              </w:rPr>
            </w:pPr>
            <w:r w:rsidRPr="00B00753">
              <w:rPr>
                <w:rFonts w:cs="Arial"/>
                <w:szCs w:val="19"/>
              </w:rPr>
              <w:t>Treatment of plaque psoriasis in adults and adolescents aged ≥12 years</w:t>
            </w:r>
          </w:p>
        </w:tc>
      </w:tr>
      <w:tr w:rsidR="004A1948" w:rsidRPr="00B00753" w14:paraId="13D424B6" w14:textId="77777777" w:rsidTr="003F06CB">
        <w:tc>
          <w:tcPr>
            <w:tcW w:w="1225" w:type="pct"/>
            <w:gridSpan w:val="2"/>
            <w:tcMar>
              <w:top w:w="57" w:type="dxa"/>
              <w:bottom w:w="57" w:type="dxa"/>
            </w:tcMar>
          </w:tcPr>
          <w:p w14:paraId="1412A1CE" w14:textId="77777777" w:rsidR="004A1948" w:rsidRPr="00B00753" w:rsidRDefault="004A1948" w:rsidP="003F06CB">
            <w:pPr>
              <w:rPr>
                <w:rFonts w:cs="Arial"/>
                <w:szCs w:val="19"/>
              </w:rPr>
            </w:pPr>
            <w:r w:rsidRPr="00B00753">
              <w:rPr>
                <w:rFonts w:cs="Arial"/>
                <w:szCs w:val="19"/>
              </w:rPr>
              <w:t>Omalizumab biosimilar – ADL018/AVT23</w:t>
            </w:r>
          </w:p>
        </w:tc>
        <w:tc>
          <w:tcPr>
            <w:tcW w:w="3775" w:type="pct"/>
            <w:tcMar>
              <w:top w:w="57" w:type="dxa"/>
              <w:bottom w:w="57" w:type="dxa"/>
            </w:tcMar>
          </w:tcPr>
          <w:p w14:paraId="29D60D97" w14:textId="77777777" w:rsidR="004A1948" w:rsidRPr="00B00753" w:rsidRDefault="004A1948" w:rsidP="003F06CB">
            <w:pPr>
              <w:tabs>
                <w:tab w:val="center" w:pos="3152"/>
              </w:tabs>
              <w:rPr>
                <w:rFonts w:cs="Arial"/>
                <w:szCs w:val="19"/>
              </w:rPr>
            </w:pPr>
            <w:r w:rsidRPr="00B00753">
              <w:rPr>
                <w:rFonts w:cs="Arial"/>
                <w:szCs w:val="19"/>
              </w:rPr>
              <w:t xml:space="preserve">Chronic spontaneous urticaria and other </w:t>
            </w:r>
            <w:r w:rsidRPr="00B00753">
              <w:rPr>
                <w:rFonts w:cs="Arial"/>
                <w:i/>
                <w:iCs/>
                <w:szCs w:val="19"/>
              </w:rPr>
              <w:t>Xolair</w:t>
            </w:r>
            <w:r w:rsidRPr="00B00753">
              <w:rPr>
                <w:rFonts w:cs="Arial"/>
                <w:szCs w:val="19"/>
              </w:rPr>
              <w:t xml:space="preserve"> indications</w:t>
            </w:r>
          </w:p>
        </w:tc>
      </w:tr>
      <w:tr w:rsidR="004A1948" w:rsidRPr="00B00753" w14:paraId="10D095BE" w14:textId="77777777" w:rsidTr="003F06CB">
        <w:tc>
          <w:tcPr>
            <w:tcW w:w="1225" w:type="pct"/>
            <w:gridSpan w:val="2"/>
            <w:tcMar>
              <w:top w:w="0" w:type="dxa"/>
              <w:bottom w:w="0" w:type="dxa"/>
            </w:tcMar>
          </w:tcPr>
          <w:p w14:paraId="02F6DF39" w14:textId="77777777" w:rsidR="004A1948" w:rsidRPr="00B00753" w:rsidRDefault="004A1948" w:rsidP="009F676E">
            <w:pPr>
              <w:rPr>
                <w:rFonts w:cs="Arial"/>
                <w:bCs/>
                <w:sz w:val="8"/>
                <w:szCs w:val="8"/>
              </w:rPr>
            </w:pPr>
          </w:p>
        </w:tc>
        <w:tc>
          <w:tcPr>
            <w:tcW w:w="3775" w:type="pct"/>
            <w:tcMar>
              <w:top w:w="0" w:type="dxa"/>
              <w:bottom w:w="0" w:type="dxa"/>
            </w:tcMar>
          </w:tcPr>
          <w:p w14:paraId="53DE4381" w14:textId="77777777" w:rsidR="004A1948" w:rsidRPr="00B00753" w:rsidRDefault="004A1948" w:rsidP="003F06CB">
            <w:pPr>
              <w:tabs>
                <w:tab w:val="center" w:pos="3152"/>
              </w:tabs>
              <w:rPr>
                <w:rFonts w:cs="Arial"/>
                <w:sz w:val="8"/>
                <w:szCs w:val="8"/>
              </w:rPr>
            </w:pPr>
          </w:p>
        </w:tc>
      </w:tr>
      <w:tr w:rsidR="004A1948" w:rsidRPr="00B00753" w14:paraId="47979E0C" w14:textId="77777777" w:rsidTr="003F06CB">
        <w:tc>
          <w:tcPr>
            <w:tcW w:w="1225" w:type="pct"/>
            <w:gridSpan w:val="2"/>
            <w:shd w:val="clear" w:color="auto" w:fill="DAEEF3"/>
            <w:tcMar>
              <w:top w:w="0" w:type="dxa"/>
              <w:bottom w:w="0" w:type="dxa"/>
            </w:tcMar>
          </w:tcPr>
          <w:p w14:paraId="2FD519F1" w14:textId="77777777" w:rsidR="004A1948" w:rsidRPr="00B00753" w:rsidRDefault="004A1948" w:rsidP="003F06CB">
            <w:pPr>
              <w:rPr>
                <w:rFonts w:cs="Arial"/>
                <w:bCs/>
                <w:sz w:val="8"/>
                <w:szCs w:val="8"/>
              </w:rPr>
            </w:pPr>
          </w:p>
        </w:tc>
        <w:tc>
          <w:tcPr>
            <w:tcW w:w="3775" w:type="pct"/>
            <w:shd w:val="clear" w:color="auto" w:fill="DAEEF3"/>
            <w:tcMar>
              <w:top w:w="0" w:type="dxa"/>
              <w:bottom w:w="0" w:type="dxa"/>
            </w:tcMar>
          </w:tcPr>
          <w:p w14:paraId="1D5100C7" w14:textId="77777777" w:rsidR="004A1948" w:rsidRPr="00B00753" w:rsidRDefault="004A1948" w:rsidP="003F06CB">
            <w:pPr>
              <w:tabs>
                <w:tab w:val="center" w:pos="3152"/>
              </w:tabs>
              <w:rPr>
                <w:rFonts w:cs="Arial"/>
                <w:sz w:val="8"/>
                <w:szCs w:val="8"/>
              </w:rPr>
            </w:pPr>
          </w:p>
        </w:tc>
      </w:tr>
      <w:tr w:rsidR="004254A8" w:rsidRPr="00B00753" w14:paraId="46F2248C" w14:textId="77777777" w:rsidTr="00F273DC">
        <w:tc>
          <w:tcPr>
            <w:tcW w:w="5000" w:type="pct"/>
            <w:gridSpan w:val="3"/>
            <w:shd w:val="clear" w:color="auto" w:fill="008232"/>
            <w:tcMar>
              <w:top w:w="57" w:type="dxa"/>
              <w:bottom w:w="57" w:type="dxa"/>
            </w:tcMar>
          </w:tcPr>
          <w:p w14:paraId="3598EE13" w14:textId="77777777" w:rsidR="004254A8" w:rsidRPr="00B00753" w:rsidRDefault="004254A8" w:rsidP="00F273DC">
            <w:pPr>
              <w:rPr>
                <w:rFonts w:cs="Arial"/>
                <w:noProof/>
                <w:color w:val="FFFFFF"/>
                <w:sz w:val="16"/>
                <w:szCs w:val="16"/>
              </w:rPr>
            </w:pPr>
            <w:r w:rsidRPr="00B00753">
              <w:rPr>
                <w:rFonts w:cs="Arial"/>
                <w:b/>
                <w:bCs/>
                <w:i/>
                <w:iCs/>
                <w:color w:val="FFFFFF"/>
                <w:sz w:val="22"/>
                <w:szCs w:val="20"/>
              </w:rPr>
              <w:t>Other UK/EU developments</w:t>
            </w:r>
          </w:p>
        </w:tc>
      </w:tr>
      <w:tr w:rsidR="004254A8" w:rsidRPr="00B00753" w14:paraId="2CA4EBF5" w14:textId="77777777" w:rsidTr="00F273DC">
        <w:tc>
          <w:tcPr>
            <w:tcW w:w="1225" w:type="pct"/>
            <w:gridSpan w:val="2"/>
            <w:tcMar>
              <w:top w:w="57" w:type="dxa"/>
              <w:bottom w:w="57" w:type="dxa"/>
            </w:tcMar>
          </w:tcPr>
          <w:p w14:paraId="5270D9F0" w14:textId="77777777" w:rsidR="004254A8" w:rsidRPr="00B00753" w:rsidRDefault="004254A8" w:rsidP="00F273DC">
            <w:pPr>
              <w:rPr>
                <w:rFonts w:cs="Arial"/>
                <w:szCs w:val="19"/>
              </w:rPr>
            </w:pPr>
            <w:proofErr w:type="spellStart"/>
            <w:r w:rsidRPr="00B00753">
              <w:rPr>
                <w:rFonts w:cs="Arial"/>
                <w:szCs w:val="19"/>
              </w:rPr>
              <w:t>Belumosudil</w:t>
            </w:r>
            <w:proofErr w:type="spellEnd"/>
            <w:r w:rsidRPr="00B00753">
              <w:rPr>
                <w:rFonts w:cs="Arial"/>
                <w:szCs w:val="19"/>
              </w:rPr>
              <w:t xml:space="preserve"> (</w:t>
            </w:r>
            <w:proofErr w:type="spellStart"/>
            <w:r w:rsidRPr="00B00753">
              <w:rPr>
                <w:rFonts w:cs="Arial"/>
                <w:i/>
                <w:iCs/>
                <w:szCs w:val="19"/>
              </w:rPr>
              <w:t>Rezurock</w:t>
            </w:r>
            <w:proofErr w:type="spellEnd"/>
            <w:r w:rsidRPr="00B00753">
              <w:rPr>
                <w:rFonts w:cs="Arial"/>
                <w:szCs w:val="19"/>
              </w:rPr>
              <w:t>)</w:t>
            </w:r>
          </w:p>
        </w:tc>
        <w:tc>
          <w:tcPr>
            <w:tcW w:w="3775" w:type="pct"/>
            <w:tcMar>
              <w:top w:w="57" w:type="dxa"/>
              <w:bottom w:w="57" w:type="dxa"/>
            </w:tcMar>
          </w:tcPr>
          <w:p w14:paraId="4E65A62D" w14:textId="77777777" w:rsidR="004254A8" w:rsidRPr="00B00753" w:rsidRDefault="004254A8" w:rsidP="00F273DC">
            <w:pPr>
              <w:tabs>
                <w:tab w:val="center" w:pos="3152"/>
              </w:tabs>
              <w:rPr>
                <w:rFonts w:cs="Arial"/>
                <w:i/>
                <w:iCs/>
                <w:szCs w:val="19"/>
              </w:rPr>
            </w:pPr>
            <w:r w:rsidRPr="00B00753">
              <w:rPr>
                <w:rFonts w:cs="Arial"/>
                <w:szCs w:val="19"/>
              </w:rPr>
              <w:t xml:space="preserve">Treatment of patients aged ≥12 years with chronic graft-versus-host disease who have received at least two prior lines of systemic therapy – not recommended for approval in EU </w:t>
            </w:r>
            <w:r w:rsidRPr="00B00753">
              <w:rPr>
                <w:rFonts w:cs="Arial"/>
                <w:i/>
                <w:iCs/>
                <w:sz w:val="16"/>
                <w:szCs w:val="16"/>
              </w:rPr>
              <w:t>Note: Already approved and launched in UK</w:t>
            </w:r>
          </w:p>
        </w:tc>
      </w:tr>
      <w:tr w:rsidR="004254A8" w:rsidRPr="00B00753" w14:paraId="00BF5A28" w14:textId="77777777" w:rsidTr="00F273DC">
        <w:tc>
          <w:tcPr>
            <w:tcW w:w="1225" w:type="pct"/>
            <w:gridSpan w:val="2"/>
            <w:tcMar>
              <w:top w:w="57" w:type="dxa"/>
              <w:bottom w:w="57" w:type="dxa"/>
            </w:tcMar>
          </w:tcPr>
          <w:p w14:paraId="4DFCE727" w14:textId="77777777" w:rsidR="004254A8" w:rsidRPr="00B00753" w:rsidRDefault="004254A8" w:rsidP="00F273DC">
            <w:pPr>
              <w:rPr>
                <w:rFonts w:cs="Arial"/>
                <w:szCs w:val="19"/>
              </w:rPr>
            </w:pPr>
            <w:r w:rsidRPr="00B00753">
              <w:rPr>
                <w:rFonts w:cs="Arial"/>
                <w:szCs w:val="19"/>
              </w:rPr>
              <w:t>BNT111</w:t>
            </w:r>
          </w:p>
        </w:tc>
        <w:tc>
          <w:tcPr>
            <w:tcW w:w="3775" w:type="pct"/>
            <w:tcMar>
              <w:top w:w="57" w:type="dxa"/>
              <w:bottom w:w="57" w:type="dxa"/>
            </w:tcMar>
          </w:tcPr>
          <w:p w14:paraId="7A3C9224" w14:textId="77777777" w:rsidR="004254A8" w:rsidRPr="00B00753" w:rsidRDefault="004254A8" w:rsidP="00F273DC">
            <w:pPr>
              <w:tabs>
                <w:tab w:val="center" w:pos="3152"/>
              </w:tabs>
              <w:rPr>
                <w:rFonts w:cs="Arial"/>
                <w:szCs w:val="19"/>
              </w:rPr>
            </w:pPr>
            <w:r w:rsidRPr="00B00753">
              <w:rPr>
                <w:rFonts w:cs="Arial"/>
                <w:szCs w:val="19"/>
              </w:rPr>
              <w:t xml:space="preserve">Unresectable advanced melanoma in adults, second and subsequent line after anti-PD-1/PD-L1 regimen with </w:t>
            </w:r>
            <w:proofErr w:type="spellStart"/>
            <w:r w:rsidRPr="00B00753">
              <w:rPr>
                <w:rFonts w:cs="Arial"/>
                <w:szCs w:val="19"/>
              </w:rPr>
              <w:t>cemiplimab</w:t>
            </w:r>
            <w:proofErr w:type="spellEnd"/>
            <w:r w:rsidRPr="00B00753">
              <w:rPr>
                <w:rFonts w:cs="Arial"/>
                <w:szCs w:val="19"/>
              </w:rPr>
              <w:t xml:space="preserve"> – development discontinued (lack of efficacy)</w:t>
            </w:r>
          </w:p>
        </w:tc>
      </w:tr>
      <w:tr w:rsidR="004254A8" w:rsidRPr="00B00753" w14:paraId="4D68C42E" w14:textId="77777777" w:rsidTr="00F273DC">
        <w:tc>
          <w:tcPr>
            <w:tcW w:w="1225" w:type="pct"/>
            <w:gridSpan w:val="2"/>
            <w:tcMar>
              <w:top w:w="57" w:type="dxa"/>
              <w:bottom w:w="57" w:type="dxa"/>
            </w:tcMar>
          </w:tcPr>
          <w:p w14:paraId="47F2535F" w14:textId="77777777" w:rsidR="004254A8" w:rsidRPr="00B00753" w:rsidRDefault="004254A8" w:rsidP="00F273DC">
            <w:pPr>
              <w:rPr>
                <w:rFonts w:cs="Arial"/>
                <w:szCs w:val="19"/>
              </w:rPr>
            </w:pPr>
            <w:proofErr w:type="spellStart"/>
            <w:r w:rsidRPr="00B00753">
              <w:rPr>
                <w:rFonts w:cs="Arial"/>
                <w:szCs w:val="19"/>
              </w:rPr>
              <w:t>Cobolimab</w:t>
            </w:r>
            <w:proofErr w:type="spellEnd"/>
          </w:p>
        </w:tc>
        <w:tc>
          <w:tcPr>
            <w:tcW w:w="3775" w:type="pct"/>
            <w:tcMar>
              <w:top w:w="57" w:type="dxa"/>
              <w:bottom w:w="57" w:type="dxa"/>
            </w:tcMar>
          </w:tcPr>
          <w:p w14:paraId="36754F1C" w14:textId="77777777" w:rsidR="004254A8" w:rsidRPr="00B00753" w:rsidRDefault="004254A8" w:rsidP="00F273DC">
            <w:pPr>
              <w:tabs>
                <w:tab w:val="center" w:pos="3152"/>
              </w:tabs>
              <w:rPr>
                <w:rFonts w:cs="Arial"/>
                <w:szCs w:val="19"/>
              </w:rPr>
            </w:pPr>
            <w:r w:rsidRPr="00B00753">
              <w:rPr>
                <w:rFonts w:cs="Arial"/>
                <w:szCs w:val="19"/>
              </w:rPr>
              <w:t xml:space="preserve">Advanced non-small cell lung cancer in adults, second-line with </w:t>
            </w:r>
            <w:proofErr w:type="spellStart"/>
            <w:r w:rsidRPr="00B00753">
              <w:rPr>
                <w:rFonts w:cs="Arial"/>
                <w:szCs w:val="19"/>
              </w:rPr>
              <w:t>dostarlimab</w:t>
            </w:r>
            <w:proofErr w:type="spellEnd"/>
            <w:r w:rsidRPr="00B00753">
              <w:rPr>
                <w:rFonts w:cs="Arial"/>
                <w:szCs w:val="19"/>
              </w:rPr>
              <w:t xml:space="preserve"> and docetaxel – development discontinued (company decision)</w:t>
            </w:r>
          </w:p>
        </w:tc>
      </w:tr>
      <w:tr w:rsidR="004254A8" w:rsidRPr="00B00753" w14:paraId="257DECA7" w14:textId="77777777" w:rsidTr="00F273DC">
        <w:tc>
          <w:tcPr>
            <w:tcW w:w="1225" w:type="pct"/>
            <w:gridSpan w:val="2"/>
            <w:tcMar>
              <w:top w:w="57" w:type="dxa"/>
              <w:bottom w:w="57" w:type="dxa"/>
            </w:tcMar>
          </w:tcPr>
          <w:p w14:paraId="473AFED7" w14:textId="77777777" w:rsidR="004254A8" w:rsidRPr="00B00753" w:rsidRDefault="004254A8" w:rsidP="00F273DC">
            <w:pPr>
              <w:rPr>
                <w:rFonts w:cs="Arial"/>
                <w:szCs w:val="19"/>
              </w:rPr>
            </w:pPr>
            <w:r w:rsidRPr="00B00753">
              <w:rPr>
                <w:rFonts w:cs="Arial"/>
                <w:szCs w:val="19"/>
              </w:rPr>
              <w:t>Cytomegalovirus vaccine</w:t>
            </w:r>
          </w:p>
        </w:tc>
        <w:tc>
          <w:tcPr>
            <w:tcW w:w="3775" w:type="pct"/>
            <w:tcMar>
              <w:top w:w="57" w:type="dxa"/>
              <w:bottom w:w="57" w:type="dxa"/>
            </w:tcMar>
          </w:tcPr>
          <w:p w14:paraId="3D4F47AF" w14:textId="77777777" w:rsidR="004254A8" w:rsidRPr="00B00753" w:rsidRDefault="004254A8" w:rsidP="00F273DC">
            <w:pPr>
              <w:tabs>
                <w:tab w:val="center" w:pos="3152"/>
              </w:tabs>
              <w:rPr>
                <w:rFonts w:cs="Arial"/>
                <w:szCs w:val="19"/>
              </w:rPr>
            </w:pPr>
            <w:r w:rsidRPr="00B00753">
              <w:rPr>
                <w:rFonts w:cs="Arial"/>
                <w:szCs w:val="19"/>
              </w:rPr>
              <w:t>Cytomegalovirus infection prevention in girls aged &gt;16 years and women of childbearing age to prevent transmission in newborn infants  – development discontinued (lack of efficacy)</w:t>
            </w:r>
          </w:p>
        </w:tc>
      </w:tr>
      <w:tr w:rsidR="004254A8" w:rsidRPr="00B00753" w14:paraId="2366EA46" w14:textId="77777777" w:rsidTr="00F273DC">
        <w:tc>
          <w:tcPr>
            <w:tcW w:w="1225" w:type="pct"/>
            <w:gridSpan w:val="2"/>
            <w:tcMar>
              <w:top w:w="57" w:type="dxa"/>
              <w:bottom w:w="57" w:type="dxa"/>
            </w:tcMar>
          </w:tcPr>
          <w:p w14:paraId="6AEC819B" w14:textId="77777777" w:rsidR="004254A8" w:rsidRPr="00B00753" w:rsidRDefault="004254A8" w:rsidP="00F273DC">
            <w:pPr>
              <w:rPr>
                <w:rFonts w:cs="Arial"/>
                <w:szCs w:val="19"/>
              </w:rPr>
            </w:pPr>
            <w:proofErr w:type="spellStart"/>
            <w:r w:rsidRPr="00B00753">
              <w:rPr>
                <w:rFonts w:cs="Arial"/>
                <w:szCs w:val="19"/>
              </w:rPr>
              <w:t>Dostarlimab</w:t>
            </w:r>
            <w:proofErr w:type="spellEnd"/>
            <w:r w:rsidRPr="00B00753">
              <w:rPr>
                <w:rFonts w:cs="Arial"/>
                <w:szCs w:val="19"/>
              </w:rPr>
              <w:t xml:space="preserve"> (</w:t>
            </w:r>
            <w:proofErr w:type="spellStart"/>
            <w:r w:rsidRPr="00B00753">
              <w:rPr>
                <w:rFonts w:cs="Arial"/>
                <w:i/>
                <w:iCs/>
                <w:szCs w:val="19"/>
              </w:rPr>
              <w:t>Jemperli</w:t>
            </w:r>
            <w:proofErr w:type="spellEnd"/>
            <w:r w:rsidRPr="00B00753">
              <w:rPr>
                <w:rFonts w:cs="Arial"/>
                <w:szCs w:val="19"/>
              </w:rPr>
              <w:t xml:space="preserve">) </w:t>
            </w:r>
          </w:p>
        </w:tc>
        <w:tc>
          <w:tcPr>
            <w:tcW w:w="3775" w:type="pct"/>
            <w:tcMar>
              <w:top w:w="57" w:type="dxa"/>
              <w:bottom w:w="57" w:type="dxa"/>
            </w:tcMar>
          </w:tcPr>
          <w:p w14:paraId="0E350754" w14:textId="77777777" w:rsidR="004254A8" w:rsidRPr="00B00753" w:rsidRDefault="004254A8" w:rsidP="00F273DC">
            <w:pPr>
              <w:tabs>
                <w:tab w:val="center" w:pos="3152"/>
              </w:tabs>
              <w:rPr>
                <w:rFonts w:cs="Arial"/>
                <w:szCs w:val="19"/>
              </w:rPr>
            </w:pPr>
            <w:r w:rsidRPr="00B00753">
              <w:rPr>
                <w:rFonts w:cs="Arial"/>
                <w:szCs w:val="19"/>
              </w:rPr>
              <w:t xml:space="preserve">Advanced non-small cell lung cancer in adults, second-line with docetaxel +/- </w:t>
            </w:r>
            <w:proofErr w:type="spellStart"/>
            <w:r w:rsidRPr="00B00753">
              <w:rPr>
                <w:rFonts w:cs="Arial"/>
                <w:szCs w:val="19"/>
              </w:rPr>
              <w:t>cobolimab</w:t>
            </w:r>
            <w:proofErr w:type="spellEnd"/>
            <w:r w:rsidRPr="00B00753">
              <w:rPr>
                <w:rFonts w:cs="Arial"/>
                <w:szCs w:val="19"/>
              </w:rPr>
              <w:t xml:space="preserve"> – development discontinued (company decision)</w:t>
            </w:r>
          </w:p>
        </w:tc>
      </w:tr>
      <w:tr w:rsidR="004254A8" w:rsidRPr="00B00753" w14:paraId="7B98CE25" w14:textId="77777777" w:rsidTr="00F273DC">
        <w:tc>
          <w:tcPr>
            <w:tcW w:w="1225" w:type="pct"/>
            <w:gridSpan w:val="2"/>
            <w:tcMar>
              <w:top w:w="57" w:type="dxa"/>
              <w:bottom w:w="57" w:type="dxa"/>
            </w:tcMar>
          </w:tcPr>
          <w:p w14:paraId="3E364138" w14:textId="77777777" w:rsidR="004254A8" w:rsidRPr="00B00753" w:rsidRDefault="004254A8" w:rsidP="00F273DC">
            <w:pPr>
              <w:rPr>
                <w:rFonts w:cs="Arial"/>
                <w:szCs w:val="19"/>
              </w:rPr>
            </w:pPr>
            <w:r w:rsidRPr="00B00753">
              <w:rPr>
                <w:rFonts w:cs="Arial"/>
                <w:szCs w:val="19"/>
              </w:rPr>
              <w:t>Dupilumab (</w:t>
            </w:r>
            <w:r w:rsidRPr="00B00753">
              <w:rPr>
                <w:rFonts w:cs="Arial"/>
                <w:i/>
                <w:iCs/>
                <w:szCs w:val="19"/>
              </w:rPr>
              <w:t>Dupixent</w:t>
            </w:r>
            <w:r w:rsidRPr="00B00753">
              <w:rPr>
                <w:rFonts w:cs="Arial"/>
                <w:szCs w:val="19"/>
              </w:rPr>
              <w:t>)</w:t>
            </w:r>
          </w:p>
        </w:tc>
        <w:tc>
          <w:tcPr>
            <w:tcW w:w="3775" w:type="pct"/>
            <w:tcMar>
              <w:top w:w="57" w:type="dxa"/>
              <w:bottom w:w="57" w:type="dxa"/>
            </w:tcMar>
          </w:tcPr>
          <w:p w14:paraId="4270C741" w14:textId="77777777" w:rsidR="004254A8" w:rsidRPr="00B00753" w:rsidRDefault="004254A8" w:rsidP="00F273DC">
            <w:pPr>
              <w:tabs>
                <w:tab w:val="center" w:pos="3152"/>
              </w:tabs>
              <w:rPr>
                <w:rFonts w:cs="Arial"/>
                <w:szCs w:val="19"/>
              </w:rPr>
            </w:pPr>
            <w:r w:rsidRPr="00B00753">
              <w:rPr>
                <w:rFonts w:cs="Arial"/>
                <w:szCs w:val="19"/>
              </w:rPr>
              <w:t>Allergic bronchopulmonary aspergillosis and asthma that is uncontrolled on existing treatments in patients aged &gt;12 years – development discontinued (company decision)</w:t>
            </w:r>
          </w:p>
        </w:tc>
      </w:tr>
      <w:tr w:rsidR="004254A8" w:rsidRPr="00B00753" w14:paraId="48EA40C9" w14:textId="77777777" w:rsidTr="00F273DC">
        <w:tc>
          <w:tcPr>
            <w:tcW w:w="1225" w:type="pct"/>
            <w:gridSpan w:val="2"/>
            <w:tcMar>
              <w:top w:w="57" w:type="dxa"/>
              <w:bottom w:w="57" w:type="dxa"/>
            </w:tcMar>
          </w:tcPr>
          <w:p w14:paraId="302950DC" w14:textId="77777777" w:rsidR="004254A8" w:rsidRPr="00B00753" w:rsidRDefault="004254A8" w:rsidP="00F273DC">
            <w:pPr>
              <w:rPr>
                <w:rFonts w:cs="Arial"/>
                <w:szCs w:val="19"/>
              </w:rPr>
            </w:pPr>
            <w:proofErr w:type="spellStart"/>
            <w:r w:rsidRPr="00B00753">
              <w:rPr>
                <w:rFonts w:cs="Arial"/>
                <w:szCs w:val="19"/>
              </w:rPr>
              <w:t>Latozinemab</w:t>
            </w:r>
            <w:proofErr w:type="spellEnd"/>
            <w:r w:rsidRPr="00B00753">
              <w:rPr>
                <w:rFonts w:cs="Arial"/>
                <w:szCs w:val="19"/>
              </w:rPr>
              <w:t xml:space="preserve"> </w:t>
            </w:r>
          </w:p>
        </w:tc>
        <w:tc>
          <w:tcPr>
            <w:tcW w:w="3775" w:type="pct"/>
            <w:tcMar>
              <w:top w:w="57" w:type="dxa"/>
              <w:bottom w:w="57" w:type="dxa"/>
            </w:tcMar>
          </w:tcPr>
          <w:p w14:paraId="3C0FE5A8" w14:textId="77777777" w:rsidR="004254A8" w:rsidRPr="00B00753" w:rsidRDefault="004254A8" w:rsidP="00F273DC">
            <w:pPr>
              <w:tabs>
                <w:tab w:val="center" w:pos="3152"/>
              </w:tabs>
              <w:rPr>
                <w:rFonts w:cs="Arial"/>
                <w:szCs w:val="19"/>
              </w:rPr>
            </w:pPr>
            <w:r w:rsidRPr="00B00753">
              <w:rPr>
                <w:rFonts w:cs="Arial"/>
                <w:szCs w:val="19"/>
              </w:rPr>
              <w:t>Early-stage, C9orf72-associated amyotrophic lateral sclerosis in adults – development discontinued (company decision)</w:t>
            </w:r>
          </w:p>
        </w:tc>
      </w:tr>
      <w:tr w:rsidR="004254A8" w:rsidRPr="00B00753" w14:paraId="47ACD316" w14:textId="77777777" w:rsidTr="00F273DC">
        <w:tc>
          <w:tcPr>
            <w:tcW w:w="1225" w:type="pct"/>
            <w:gridSpan w:val="2"/>
            <w:tcMar>
              <w:top w:w="57" w:type="dxa"/>
              <w:bottom w:w="57" w:type="dxa"/>
            </w:tcMar>
          </w:tcPr>
          <w:p w14:paraId="5DC4484B" w14:textId="77777777" w:rsidR="004254A8" w:rsidRPr="00B00753" w:rsidRDefault="004254A8" w:rsidP="00F273DC">
            <w:pPr>
              <w:rPr>
                <w:rFonts w:cs="Arial"/>
                <w:szCs w:val="19"/>
              </w:rPr>
            </w:pPr>
            <w:proofErr w:type="spellStart"/>
            <w:r w:rsidRPr="00B00753">
              <w:rPr>
                <w:rFonts w:cs="Arial"/>
                <w:szCs w:val="19"/>
              </w:rPr>
              <w:t>Latozinemab</w:t>
            </w:r>
            <w:proofErr w:type="spellEnd"/>
            <w:r w:rsidRPr="00B00753">
              <w:rPr>
                <w:rFonts w:cs="Arial"/>
                <w:szCs w:val="19"/>
              </w:rPr>
              <w:t xml:space="preserve"> </w:t>
            </w:r>
          </w:p>
        </w:tc>
        <w:tc>
          <w:tcPr>
            <w:tcW w:w="3775" w:type="pct"/>
            <w:tcMar>
              <w:top w:w="57" w:type="dxa"/>
              <w:bottom w:w="57" w:type="dxa"/>
            </w:tcMar>
          </w:tcPr>
          <w:p w14:paraId="4E1646F4" w14:textId="77777777" w:rsidR="004254A8" w:rsidRPr="00B00753" w:rsidRDefault="004254A8" w:rsidP="00F273DC">
            <w:pPr>
              <w:tabs>
                <w:tab w:val="center" w:pos="3152"/>
              </w:tabs>
              <w:rPr>
                <w:rFonts w:cs="Arial"/>
                <w:szCs w:val="19"/>
              </w:rPr>
            </w:pPr>
            <w:r w:rsidRPr="00B00753">
              <w:rPr>
                <w:rFonts w:cs="Arial"/>
                <w:szCs w:val="19"/>
              </w:rPr>
              <w:t>Frontotemporal dementia due to heterozygous mutations in the progranulin gene in adults – development discontinued (lack of efficacy)</w:t>
            </w:r>
          </w:p>
        </w:tc>
      </w:tr>
      <w:tr w:rsidR="00265FF6" w:rsidRPr="00B00753" w14:paraId="08C6AE3D" w14:textId="77777777" w:rsidTr="00F273DC">
        <w:tc>
          <w:tcPr>
            <w:tcW w:w="1225" w:type="pct"/>
            <w:gridSpan w:val="2"/>
            <w:tcMar>
              <w:top w:w="57" w:type="dxa"/>
              <w:bottom w:w="57" w:type="dxa"/>
            </w:tcMar>
          </w:tcPr>
          <w:p w14:paraId="01190EC5" w14:textId="3AFB91A3" w:rsidR="00265FF6" w:rsidRPr="00B00753" w:rsidRDefault="00265FF6" w:rsidP="00F273DC">
            <w:pPr>
              <w:rPr>
                <w:rFonts w:cs="Arial"/>
                <w:szCs w:val="19"/>
              </w:rPr>
            </w:pPr>
            <w:r w:rsidRPr="00B00753">
              <w:rPr>
                <w:rFonts w:cs="Arial"/>
                <w:szCs w:val="19"/>
              </w:rPr>
              <w:t>Lenvatinib (</w:t>
            </w:r>
            <w:proofErr w:type="spellStart"/>
            <w:r w:rsidRPr="00B00753">
              <w:rPr>
                <w:rFonts w:cs="Arial"/>
                <w:i/>
                <w:iCs/>
                <w:szCs w:val="19"/>
              </w:rPr>
              <w:t>Lenvima</w:t>
            </w:r>
            <w:proofErr w:type="spellEnd"/>
            <w:r w:rsidRPr="00B00753">
              <w:rPr>
                <w:rFonts w:cs="Arial"/>
                <w:szCs w:val="19"/>
              </w:rPr>
              <w:t>)</w:t>
            </w:r>
          </w:p>
        </w:tc>
        <w:tc>
          <w:tcPr>
            <w:tcW w:w="3775" w:type="pct"/>
            <w:tcMar>
              <w:top w:w="57" w:type="dxa"/>
              <w:bottom w:w="57" w:type="dxa"/>
            </w:tcMar>
          </w:tcPr>
          <w:p w14:paraId="39583A70" w14:textId="7FD5C8EE" w:rsidR="00265FF6" w:rsidRPr="00B00753" w:rsidRDefault="00B31224" w:rsidP="00F273DC">
            <w:pPr>
              <w:tabs>
                <w:tab w:val="center" w:pos="3152"/>
              </w:tabs>
              <w:rPr>
                <w:rFonts w:cs="Arial"/>
                <w:szCs w:val="19"/>
              </w:rPr>
            </w:pPr>
            <w:r w:rsidRPr="00B00753">
              <w:rPr>
                <w:rFonts w:cs="Arial"/>
                <w:szCs w:val="19"/>
              </w:rPr>
              <w:t>Incurable, non-metastatic hepatocellular carcinoma in adults</w:t>
            </w:r>
            <w:r w:rsidR="008E7CE8" w:rsidRPr="00B00753">
              <w:rPr>
                <w:rFonts w:cs="Arial"/>
                <w:szCs w:val="19"/>
              </w:rPr>
              <w:t>,</w:t>
            </w:r>
            <w:r w:rsidRPr="00B00753">
              <w:rPr>
                <w:rFonts w:cs="Arial"/>
                <w:szCs w:val="19"/>
              </w:rPr>
              <w:t xml:space="preserve"> first-line with pembrolizumab and </w:t>
            </w:r>
            <w:proofErr w:type="spellStart"/>
            <w:r w:rsidR="008E7CE8" w:rsidRPr="00B00753">
              <w:rPr>
                <w:rFonts w:cs="Arial"/>
                <w:szCs w:val="19"/>
              </w:rPr>
              <w:t>transarterial</w:t>
            </w:r>
            <w:proofErr w:type="spellEnd"/>
            <w:r w:rsidR="008E7CE8" w:rsidRPr="00B00753">
              <w:rPr>
                <w:rFonts w:cs="Arial"/>
                <w:szCs w:val="19"/>
              </w:rPr>
              <w:t xml:space="preserve"> </w:t>
            </w:r>
            <w:proofErr w:type="spellStart"/>
            <w:r w:rsidR="008E7CE8" w:rsidRPr="00B00753">
              <w:rPr>
                <w:rFonts w:cs="Arial"/>
                <w:szCs w:val="19"/>
              </w:rPr>
              <w:t>chemoemboli</w:t>
            </w:r>
            <w:r w:rsidR="00CB5ADB" w:rsidRPr="00B00753">
              <w:rPr>
                <w:rFonts w:cs="Arial"/>
                <w:szCs w:val="19"/>
              </w:rPr>
              <w:t>s</w:t>
            </w:r>
            <w:r w:rsidR="008E7CE8" w:rsidRPr="00B00753">
              <w:rPr>
                <w:rFonts w:cs="Arial"/>
                <w:szCs w:val="19"/>
              </w:rPr>
              <w:t>ation</w:t>
            </w:r>
            <w:proofErr w:type="spellEnd"/>
            <w:r w:rsidR="008E7CE8" w:rsidRPr="00B00753">
              <w:rPr>
                <w:rFonts w:cs="Arial"/>
                <w:szCs w:val="19"/>
              </w:rPr>
              <w:t xml:space="preserve"> – development discontinued (lack of efficacy)</w:t>
            </w:r>
          </w:p>
        </w:tc>
      </w:tr>
      <w:tr w:rsidR="004254A8" w:rsidRPr="00B00753" w14:paraId="0997FF68" w14:textId="77777777" w:rsidTr="00F273DC">
        <w:tc>
          <w:tcPr>
            <w:tcW w:w="1225" w:type="pct"/>
            <w:gridSpan w:val="2"/>
            <w:tcMar>
              <w:top w:w="57" w:type="dxa"/>
              <w:bottom w:w="57" w:type="dxa"/>
            </w:tcMar>
          </w:tcPr>
          <w:p w14:paraId="4C2AC1AB" w14:textId="77777777" w:rsidR="004254A8" w:rsidRPr="00B00753" w:rsidRDefault="004254A8" w:rsidP="00F273DC">
            <w:pPr>
              <w:rPr>
                <w:rFonts w:cs="Arial"/>
                <w:szCs w:val="19"/>
              </w:rPr>
            </w:pPr>
            <w:r w:rsidRPr="00B00753">
              <w:rPr>
                <w:rFonts w:cs="Arial"/>
                <w:szCs w:val="19"/>
              </w:rPr>
              <w:t xml:space="preserve">Lutetium (177Lu) </w:t>
            </w:r>
            <w:proofErr w:type="spellStart"/>
            <w:r w:rsidRPr="00B00753">
              <w:rPr>
                <w:rFonts w:cs="Arial"/>
                <w:szCs w:val="19"/>
              </w:rPr>
              <w:t>oxodotreotide</w:t>
            </w:r>
            <w:proofErr w:type="spellEnd"/>
            <w:r w:rsidRPr="00B00753">
              <w:rPr>
                <w:rFonts w:cs="Arial"/>
                <w:szCs w:val="19"/>
              </w:rPr>
              <w:t> (</w:t>
            </w:r>
            <w:proofErr w:type="spellStart"/>
            <w:r w:rsidRPr="00B00753">
              <w:rPr>
                <w:rFonts w:cs="Arial"/>
                <w:i/>
                <w:iCs/>
                <w:szCs w:val="19"/>
              </w:rPr>
              <w:t>Lutathera</w:t>
            </w:r>
            <w:proofErr w:type="spellEnd"/>
            <w:r w:rsidRPr="00B00753">
              <w:rPr>
                <w:rFonts w:cs="Arial"/>
                <w:szCs w:val="19"/>
              </w:rPr>
              <w:t>)</w:t>
            </w:r>
          </w:p>
        </w:tc>
        <w:tc>
          <w:tcPr>
            <w:tcW w:w="3775" w:type="pct"/>
            <w:tcMar>
              <w:top w:w="57" w:type="dxa"/>
              <w:bottom w:w="57" w:type="dxa"/>
            </w:tcMar>
          </w:tcPr>
          <w:p w14:paraId="1F548C53" w14:textId="77777777" w:rsidR="004254A8" w:rsidRPr="00B00753" w:rsidRDefault="004254A8" w:rsidP="00F273DC">
            <w:pPr>
              <w:tabs>
                <w:tab w:val="center" w:pos="3152"/>
              </w:tabs>
              <w:rPr>
                <w:rFonts w:cs="Arial"/>
                <w:szCs w:val="19"/>
              </w:rPr>
            </w:pPr>
            <w:r w:rsidRPr="00B00753">
              <w:rPr>
                <w:rFonts w:cs="Arial"/>
                <w:szCs w:val="19"/>
              </w:rPr>
              <w:t xml:space="preserve">Newly diagnosed unresectable or metastatic, grade 2 or 3 somatostatin receptor-positive </w:t>
            </w:r>
            <w:proofErr w:type="spellStart"/>
            <w:r w:rsidRPr="00B00753">
              <w:rPr>
                <w:rFonts w:cs="Arial"/>
                <w:szCs w:val="19"/>
              </w:rPr>
              <w:t>gastroenteropancreatic</w:t>
            </w:r>
            <w:proofErr w:type="spellEnd"/>
            <w:r w:rsidRPr="00B00753">
              <w:rPr>
                <w:rFonts w:cs="Arial"/>
                <w:szCs w:val="19"/>
              </w:rPr>
              <w:t xml:space="preserve"> neuroendocrine tumours in adults – UK development discontinued (company decision)</w:t>
            </w:r>
          </w:p>
        </w:tc>
      </w:tr>
      <w:tr w:rsidR="004254A8" w:rsidRPr="00B00753" w14:paraId="79A91122" w14:textId="77777777" w:rsidTr="00F273DC">
        <w:tc>
          <w:tcPr>
            <w:tcW w:w="1225" w:type="pct"/>
            <w:gridSpan w:val="2"/>
            <w:tcMar>
              <w:top w:w="57" w:type="dxa"/>
              <w:bottom w:w="57" w:type="dxa"/>
            </w:tcMar>
          </w:tcPr>
          <w:p w14:paraId="272DF58D" w14:textId="77777777" w:rsidR="004254A8" w:rsidRPr="00B00753" w:rsidRDefault="004254A8" w:rsidP="00F273DC">
            <w:pPr>
              <w:rPr>
                <w:rFonts w:cs="Arial"/>
                <w:szCs w:val="19"/>
              </w:rPr>
            </w:pPr>
            <w:r w:rsidRPr="00B00753">
              <w:rPr>
                <w:rFonts w:cs="Arial"/>
                <w:szCs w:val="19"/>
              </w:rPr>
              <w:t>Osimertinib (</w:t>
            </w:r>
            <w:proofErr w:type="spellStart"/>
            <w:r w:rsidRPr="00B00753">
              <w:rPr>
                <w:rFonts w:cs="Arial"/>
                <w:i/>
                <w:iCs/>
                <w:szCs w:val="19"/>
              </w:rPr>
              <w:t>Tagrisso</w:t>
            </w:r>
            <w:proofErr w:type="spellEnd"/>
            <w:r w:rsidRPr="00B00753">
              <w:rPr>
                <w:rFonts w:cs="Arial"/>
                <w:szCs w:val="19"/>
              </w:rPr>
              <w:t>)</w:t>
            </w:r>
          </w:p>
        </w:tc>
        <w:tc>
          <w:tcPr>
            <w:tcW w:w="3775" w:type="pct"/>
            <w:tcMar>
              <w:top w:w="57" w:type="dxa"/>
              <w:bottom w:w="57" w:type="dxa"/>
            </w:tcMar>
          </w:tcPr>
          <w:p w14:paraId="2931E19D" w14:textId="77777777" w:rsidR="004254A8" w:rsidRPr="00B00753" w:rsidRDefault="004254A8" w:rsidP="00F273DC">
            <w:pPr>
              <w:tabs>
                <w:tab w:val="center" w:pos="3152"/>
              </w:tabs>
              <w:rPr>
                <w:rFonts w:cs="Arial"/>
                <w:szCs w:val="19"/>
              </w:rPr>
            </w:pPr>
            <w:proofErr w:type="spellStart"/>
            <w:r w:rsidRPr="00B00753">
              <w:rPr>
                <w:rFonts w:cs="Arial"/>
                <w:szCs w:val="19"/>
              </w:rPr>
              <w:t>Resectable</w:t>
            </w:r>
            <w:proofErr w:type="spellEnd"/>
            <w:r w:rsidRPr="00B00753">
              <w:rPr>
                <w:rFonts w:cs="Arial"/>
                <w:szCs w:val="19"/>
              </w:rPr>
              <w:t xml:space="preserve"> stage II or IIIB, EGFR-positive non-small cell lung cancer in adults, neoadjuvant therapy with or without chemotherapy – UK development discontinued (company decision)</w:t>
            </w:r>
          </w:p>
        </w:tc>
      </w:tr>
      <w:tr w:rsidR="004254A8" w:rsidRPr="00B00753" w14:paraId="44C48E81" w14:textId="77777777" w:rsidTr="00F273DC">
        <w:tc>
          <w:tcPr>
            <w:tcW w:w="1225" w:type="pct"/>
            <w:gridSpan w:val="2"/>
            <w:tcMar>
              <w:top w:w="57" w:type="dxa"/>
              <w:bottom w:w="57" w:type="dxa"/>
            </w:tcMar>
          </w:tcPr>
          <w:p w14:paraId="66034208" w14:textId="77777777" w:rsidR="004254A8" w:rsidRPr="00B00753" w:rsidRDefault="004254A8" w:rsidP="00F273DC">
            <w:pPr>
              <w:rPr>
                <w:rFonts w:cs="Arial"/>
                <w:szCs w:val="19"/>
              </w:rPr>
            </w:pPr>
            <w:r w:rsidRPr="00B00753">
              <w:rPr>
                <w:rFonts w:cs="Arial"/>
                <w:szCs w:val="19"/>
              </w:rPr>
              <w:t>Pembrolizumab (</w:t>
            </w:r>
            <w:r w:rsidRPr="00B00753">
              <w:rPr>
                <w:rFonts w:cs="Arial"/>
                <w:i/>
                <w:iCs/>
                <w:szCs w:val="19"/>
              </w:rPr>
              <w:t>Keytruda</w:t>
            </w:r>
            <w:r w:rsidRPr="00B00753">
              <w:rPr>
                <w:rFonts w:cs="Arial"/>
                <w:szCs w:val="19"/>
              </w:rPr>
              <w:t>)</w:t>
            </w:r>
          </w:p>
        </w:tc>
        <w:tc>
          <w:tcPr>
            <w:tcW w:w="3775" w:type="pct"/>
            <w:tcMar>
              <w:top w:w="57" w:type="dxa"/>
              <w:bottom w:w="57" w:type="dxa"/>
            </w:tcMar>
          </w:tcPr>
          <w:p w14:paraId="26091057" w14:textId="77777777" w:rsidR="004254A8" w:rsidRPr="00B00753" w:rsidRDefault="004254A8" w:rsidP="00F273DC">
            <w:pPr>
              <w:tabs>
                <w:tab w:val="center" w:pos="3152"/>
              </w:tabs>
              <w:rPr>
                <w:rFonts w:cs="Arial"/>
                <w:szCs w:val="19"/>
              </w:rPr>
            </w:pPr>
            <w:r w:rsidRPr="00B00753">
              <w:rPr>
                <w:rFonts w:cs="Arial"/>
                <w:szCs w:val="19"/>
              </w:rPr>
              <w:t>Hepatocellular carcinoma in adults, adjuvant treatment after surgical resection or local ablation – UK development discontinued (company decision)</w:t>
            </w:r>
          </w:p>
        </w:tc>
      </w:tr>
      <w:tr w:rsidR="004254A8" w:rsidRPr="00B00753" w14:paraId="3F3558DD" w14:textId="77777777" w:rsidTr="00F273DC">
        <w:tc>
          <w:tcPr>
            <w:tcW w:w="1225" w:type="pct"/>
            <w:gridSpan w:val="2"/>
            <w:tcMar>
              <w:top w:w="57" w:type="dxa"/>
              <w:bottom w:w="57" w:type="dxa"/>
            </w:tcMar>
          </w:tcPr>
          <w:p w14:paraId="439BCDD8" w14:textId="558B8D71" w:rsidR="004254A8" w:rsidRPr="00B00753" w:rsidRDefault="00CB5ADB" w:rsidP="00F273DC">
            <w:pPr>
              <w:rPr>
                <w:rFonts w:cs="Arial"/>
                <w:szCs w:val="19"/>
              </w:rPr>
            </w:pPr>
            <w:r w:rsidRPr="00B00753">
              <w:rPr>
                <w:rFonts w:cs="Arial"/>
                <w:szCs w:val="19"/>
              </w:rPr>
              <w:t>Pembrolizumab (</w:t>
            </w:r>
            <w:r w:rsidRPr="00B00753">
              <w:rPr>
                <w:rFonts w:cs="Arial"/>
                <w:i/>
                <w:iCs/>
                <w:szCs w:val="19"/>
              </w:rPr>
              <w:t>Keytruda</w:t>
            </w:r>
            <w:r w:rsidRPr="00B00753">
              <w:rPr>
                <w:rFonts w:cs="Arial"/>
                <w:szCs w:val="19"/>
              </w:rPr>
              <w:t>)</w:t>
            </w:r>
          </w:p>
        </w:tc>
        <w:tc>
          <w:tcPr>
            <w:tcW w:w="3775" w:type="pct"/>
            <w:tcMar>
              <w:top w:w="57" w:type="dxa"/>
              <w:bottom w:w="57" w:type="dxa"/>
            </w:tcMar>
          </w:tcPr>
          <w:p w14:paraId="4B34AF49" w14:textId="76EE99DD" w:rsidR="004254A8" w:rsidRPr="00B00753" w:rsidRDefault="00CB5ADB" w:rsidP="00F273DC">
            <w:pPr>
              <w:tabs>
                <w:tab w:val="center" w:pos="3152"/>
              </w:tabs>
              <w:rPr>
                <w:rFonts w:cs="Arial"/>
                <w:szCs w:val="19"/>
              </w:rPr>
            </w:pPr>
            <w:r w:rsidRPr="00B00753">
              <w:rPr>
                <w:rFonts w:cs="Arial"/>
                <w:szCs w:val="19"/>
              </w:rPr>
              <w:t xml:space="preserve">Incurable, non-metastatic hepatocellular carcinoma in adults, first-line with </w:t>
            </w:r>
            <w:proofErr w:type="spellStart"/>
            <w:r w:rsidRPr="00B00753">
              <w:rPr>
                <w:rFonts w:cs="Arial"/>
                <w:szCs w:val="19"/>
              </w:rPr>
              <w:t>lenvatinib</w:t>
            </w:r>
            <w:proofErr w:type="spellEnd"/>
            <w:r w:rsidRPr="00B00753">
              <w:rPr>
                <w:rFonts w:cs="Arial"/>
                <w:szCs w:val="19"/>
              </w:rPr>
              <w:t xml:space="preserve"> and </w:t>
            </w:r>
            <w:proofErr w:type="spellStart"/>
            <w:r w:rsidRPr="00B00753">
              <w:rPr>
                <w:rFonts w:cs="Arial"/>
                <w:szCs w:val="19"/>
              </w:rPr>
              <w:t>transarterial</w:t>
            </w:r>
            <w:proofErr w:type="spellEnd"/>
            <w:r w:rsidRPr="00B00753">
              <w:rPr>
                <w:rFonts w:cs="Arial"/>
                <w:szCs w:val="19"/>
              </w:rPr>
              <w:t xml:space="preserve"> </w:t>
            </w:r>
            <w:proofErr w:type="spellStart"/>
            <w:r w:rsidRPr="00B00753">
              <w:rPr>
                <w:rFonts w:cs="Arial"/>
                <w:szCs w:val="19"/>
              </w:rPr>
              <w:t>chemoembolisation</w:t>
            </w:r>
            <w:proofErr w:type="spellEnd"/>
            <w:r w:rsidRPr="00B00753">
              <w:rPr>
                <w:rFonts w:cs="Arial"/>
                <w:szCs w:val="19"/>
              </w:rPr>
              <w:t xml:space="preserve"> – development discontinued (lack of efficacy)</w:t>
            </w:r>
          </w:p>
        </w:tc>
      </w:tr>
      <w:tr w:rsidR="004254A8" w:rsidRPr="00B00753" w14:paraId="4019224E" w14:textId="77777777" w:rsidTr="00F273DC">
        <w:tc>
          <w:tcPr>
            <w:tcW w:w="1225" w:type="pct"/>
            <w:gridSpan w:val="2"/>
            <w:tcMar>
              <w:top w:w="0" w:type="dxa"/>
              <w:bottom w:w="0" w:type="dxa"/>
            </w:tcMar>
          </w:tcPr>
          <w:p w14:paraId="7C9EEBDA" w14:textId="77777777" w:rsidR="004254A8" w:rsidRPr="00B00753" w:rsidRDefault="004254A8" w:rsidP="00F273DC">
            <w:pPr>
              <w:rPr>
                <w:rFonts w:cs="Arial"/>
                <w:bCs/>
                <w:sz w:val="8"/>
                <w:szCs w:val="8"/>
              </w:rPr>
            </w:pPr>
          </w:p>
        </w:tc>
        <w:tc>
          <w:tcPr>
            <w:tcW w:w="3775" w:type="pct"/>
            <w:tcMar>
              <w:top w:w="0" w:type="dxa"/>
              <w:bottom w:w="0" w:type="dxa"/>
            </w:tcMar>
          </w:tcPr>
          <w:p w14:paraId="77CAF4AA" w14:textId="77777777" w:rsidR="004254A8" w:rsidRPr="00B00753" w:rsidRDefault="004254A8" w:rsidP="00F273DC">
            <w:pPr>
              <w:tabs>
                <w:tab w:val="center" w:pos="3152"/>
              </w:tabs>
              <w:rPr>
                <w:rFonts w:cs="Arial"/>
                <w:sz w:val="8"/>
                <w:szCs w:val="8"/>
              </w:rPr>
            </w:pPr>
          </w:p>
        </w:tc>
      </w:tr>
      <w:tr w:rsidR="004254A8" w:rsidRPr="00B00753" w14:paraId="1D65970F" w14:textId="77777777" w:rsidTr="00F273DC">
        <w:tc>
          <w:tcPr>
            <w:tcW w:w="1225" w:type="pct"/>
            <w:gridSpan w:val="2"/>
            <w:shd w:val="clear" w:color="auto" w:fill="DAEEF3"/>
            <w:tcMar>
              <w:top w:w="0" w:type="dxa"/>
              <w:bottom w:w="0" w:type="dxa"/>
            </w:tcMar>
          </w:tcPr>
          <w:p w14:paraId="1F45F09E" w14:textId="77777777" w:rsidR="004254A8" w:rsidRPr="00B00753" w:rsidRDefault="004254A8" w:rsidP="00F273DC">
            <w:pPr>
              <w:rPr>
                <w:rFonts w:cs="Arial"/>
                <w:bCs/>
                <w:sz w:val="8"/>
                <w:szCs w:val="8"/>
              </w:rPr>
            </w:pPr>
          </w:p>
        </w:tc>
        <w:tc>
          <w:tcPr>
            <w:tcW w:w="3775" w:type="pct"/>
            <w:shd w:val="clear" w:color="auto" w:fill="DAEEF3"/>
            <w:tcMar>
              <w:top w:w="0" w:type="dxa"/>
              <w:bottom w:w="0" w:type="dxa"/>
            </w:tcMar>
          </w:tcPr>
          <w:p w14:paraId="592C8E8D" w14:textId="77777777" w:rsidR="004254A8" w:rsidRPr="00B00753" w:rsidRDefault="004254A8" w:rsidP="00F273DC">
            <w:pPr>
              <w:tabs>
                <w:tab w:val="center" w:pos="3152"/>
              </w:tabs>
              <w:rPr>
                <w:rFonts w:cs="Arial"/>
                <w:sz w:val="8"/>
                <w:szCs w:val="8"/>
              </w:rPr>
            </w:pPr>
          </w:p>
        </w:tc>
      </w:tr>
    </w:tbl>
    <w:p w14:paraId="01A7EB57" w14:textId="77777777" w:rsidR="006825BB" w:rsidRPr="00B00753" w:rsidRDefault="006825BB" w:rsidP="003D16EF">
      <w:pPr>
        <w:rPr>
          <w:sz w:val="8"/>
          <w:szCs w:val="8"/>
        </w:rPr>
      </w:pPr>
    </w:p>
    <w:sectPr w:rsidR="006825BB" w:rsidRPr="00B00753" w:rsidSect="00F566AB">
      <w:headerReference w:type="even" r:id="rId18"/>
      <w:headerReference w:type="default" r:id="rId19"/>
      <w:footerReference w:type="default" r:id="rId20"/>
      <w:headerReference w:type="first" r:id="rId21"/>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2C6D" w14:textId="77777777" w:rsidR="009567C0" w:rsidRDefault="009567C0">
      <w:r>
        <w:separator/>
      </w:r>
    </w:p>
  </w:endnote>
  <w:endnote w:type="continuationSeparator" w:id="0">
    <w:p w14:paraId="520DD9F3" w14:textId="77777777" w:rsidR="009567C0" w:rsidRDefault="009567C0">
      <w:r>
        <w:continuationSeparator/>
      </w:r>
    </w:p>
  </w:endnote>
  <w:endnote w:type="continuationNotice" w:id="1">
    <w:p w14:paraId="5979A1B0" w14:textId="77777777" w:rsidR="009567C0" w:rsidRDefault="00956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76C43EC4" w14:textId="77777777">
      <w:tc>
        <w:tcPr>
          <w:tcW w:w="10980" w:type="dxa"/>
          <w:shd w:val="clear" w:color="auto" w:fill="3366FF"/>
          <w:tcMar>
            <w:top w:w="28" w:type="dxa"/>
            <w:left w:w="57" w:type="dxa"/>
            <w:bottom w:w="28" w:type="dxa"/>
            <w:right w:w="57" w:type="dxa"/>
          </w:tcMar>
        </w:tcPr>
        <w:p w14:paraId="39CFDFAA"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279AF6C6" w14:textId="77777777">
      <w:tc>
        <w:tcPr>
          <w:tcW w:w="10980" w:type="dxa"/>
          <w:tcMar>
            <w:left w:w="28" w:type="dxa"/>
            <w:right w:w="28" w:type="dxa"/>
          </w:tcMar>
        </w:tcPr>
        <w:p w14:paraId="61A8E661"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7EF9D41B"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5114FBF1" w14:textId="77777777" w:rsidTr="001734BF">
      <w:trPr>
        <w:trHeight w:val="262"/>
      </w:trPr>
      <w:tc>
        <w:tcPr>
          <w:tcW w:w="10774" w:type="dxa"/>
          <w:shd w:val="clear" w:color="auto" w:fill="0070C0"/>
          <w:tcMar>
            <w:top w:w="28" w:type="dxa"/>
            <w:left w:w="57" w:type="dxa"/>
            <w:bottom w:w="28" w:type="dxa"/>
            <w:right w:w="57" w:type="dxa"/>
          </w:tcMar>
        </w:tcPr>
        <w:p w14:paraId="46AF607A"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77534D91" w14:textId="77777777" w:rsidTr="001734BF">
      <w:trPr>
        <w:trHeight w:val="331"/>
      </w:trPr>
      <w:tc>
        <w:tcPr>
          <w:tcW w:w="10774" w:type="dxa"/>
          <w:shd w:val="clear" w:color="auto" w:fill="DAEEF3"/>
          <w:tcMar>
            <w:left w:w="28" w:type="dxa"/>
            <w:right w:w="28" w:type="dxa"/>
          </w:tcMar>
        </w:tcPr>
        <w:p w14:paraId="2D121B4D"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2AAE2F24"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51D3BD8B"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150D64D6" w14:textId="77777777" w:rsidTr="001734BF">
      <w:trPr>
        <w:trHeight w:val="262"/>
      </w:trPr>
      <w:tc>
        <w:tcPr>
          <w:tcW w:w="10774" w:type="dxa"/>
          <w:shd w:val="clear" w:color="auto" w:fill="0070C0"/>
          <w:tcMar>
            <w:top w:w="28" w:type="dxa"/>
            <w:left w:w="57" w:type="dxa"/>
            <w:bottom w:w="28" w:type="dxa"/>
            <w:right w:w="57" w:type="dxa"/>
          </w:tcMar>
        </w:tcPr>
        <w:p w14:paraId="0146D2B0"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6F051EDA" w14:textId="77777777" w:rsidTr="001734BF">
      <w:trPr>
        <w:trHeight w:val="331"/>
      </w:trPr>
      <w:tc>
        <w:tcPr>
          <w:tcW w:w="10774" w:type="dxa"/>
          <w:shd w:val="clear" w:color="auto" w:fill="DAEEF3"/>
          <w:tcMar>
            <w:left w:w="28" w:type="dxa"/>
            <w:right w:w="28" w:type="dxa"/>
          </w:tcMar>
        </w:tcPr>
        <w:p w14:paraId="3DE21061"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w:t>
          </w:r>
          <w:proofErr w:type="spellStart"/>
          <w:r w:rsidRPr="00114EBA">
            <w:rPr>
              <w:rFonts w:cs="Arial"/>
              <w:bCs/>
              <w:color w:val="000000"/>
              <w:sz w:val="17"/>
              <w:szCs w:val="17"/>
              <w:lang w:val="en-US"/>
            </w:rPr>
            <w:t>organisations</w:t>
          </w:r>
          <w:proofErr w:type="spellEnd"/>
          <w:r w:rsidRPr="00114EBA">
            <w:rPr>
              <w:rFonts w:cs="Arial"/>
              <w:bCs/>
              <w:color w:val="000000"/>
              <w:sz w:val="17"/>
              <w:szCs w:val="17"/>
              <w:lang w:val="en-US"/>
            </w:rPr>
            <w:t xml:space="preserve"> develop medicines management policies and to inform prescribing decisions when a product has been launched. </w:t>
          </w:r>
        </w:p>
        <w:p w14:paraId="249B25C8"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327D900D"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5A5A" w14:textId="77777777" w:rsidR="009567C0" w:rsidRDefault="009567C0">
      <w:r>
        <w:separator/>
      </w:r>
    </w:p>
  </w:footnote>
  <w:footnote w:type="continuationSeparator" w:id="0">
    <w:p w14:paraId="13FB5B7B" w14:textId="77777777" w:rsidR="009567C0" w:rsidRDefault="009567C0">
      <w:r>
        <w:continuationSeparator/>
      </w:r>
    </w:p>
  </w:footnote>
  <w:footnote w:type="continuationNotice" w:id="1">
    <w:p w14:paraId="3B3FCBD8" w14:textId="77777777" w:rsidR="009567C0" w:rsidRDefault="00956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349" w14:textId="5827ADA2"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2" behindDoc="1" locked="0" layoutInCell="1" allowOverlap="1" wp14:anchorId="1327DB56" wp14:editId="7B162C4F">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CAECA23" wp14:editId="788D68DE">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3FD09C7" wp14:editId="7D6CFE51">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2328" w14:textId="053D09CE"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8240" behindDoc="0" locked="0" layoutInCell="1" allowOverlap="1" wp14:anchorId="59656043" wp14:editId="212AC77A">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AC84"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2BAABE2F" wp14:editId="504EC96C">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30152902" w14:textId="77777777" w:rsidTr="002772ED">
      <w:tc>
        <w:tcPr>
          <w:tcW w:w="10774" w:type="dxa"/>
          <w:tcBorders>
            <w:top w:val="nil"/>
            <w:left w:val="nil"/>
            <w:bottom w:val="nil"/>
            <w:right w:val="nil"/>
          </w:tcBorders>
          <w:shd w:val="clear" w:color="auto" w:fill="DAEEF3"/>
        </w:tcPr>
        <w:p w14:paraId="21EA2EE1" w14:textId="5CEBC3E3" w:rsidR="000D44DB" w:rsidRPr="00CD021E" w:rsidRDefault="00835CE1"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October</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532402">
            <w:rPr>
              <w:rFonts w:cs="Arial"/>
              <w:b/>
              <w:bCs/>
              <w:color w:val="0070C0"/>
              <w:sz w:val="36"/>
              <w:szCs w:val="36"/>
              <w14:shadow w14:blurRad="50800" w14:dist="38100" w14:dir="2700000" w14:sx="100000" w14:sy="100000" w14:kx="0" w14:ky="0" w14:algn="tl">
                <w14:srgbClr w14:val="000000">
                  <w14:alpha w14:val="60000"/>
                </w14:srgbClr>
              </w14:shadow>
            </w:rPr>
            <w:t>5</w:t>
          </w:r>
        </w:p>
      </w:tc>
    </w:tr>
    <w:tr w:rsidR="000D44DB" w:rsidRPr="00CD021E" w14:paraId="579540AF" w14:textId="77777777" w:rsidTr="002772ED">
      <w:tc>
        <w:tcPr>
          <w:tcW w:w="10774" w:type="dxa"/>
          <w:tcBorders>
            <w:top w:val="nil"/>
            <w:left w:val="nil"/>
            <w:bottom w:val="nil"/>
            <w:right w:val="nil"/>
          </w:tcBorders>
          <w:shd w:val="clear" w:color="auto" w:fill="0070C0"/>
        </w:tcPr>
        <w:p w14:paraId="36D2FF34"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7DA90BF9" w14:textId="77777777" w:rsidTr="002772ED">
      <w:tc>
        <w:tcPr>
          <w:tcW w:w="10774" w:type="dxa"/>
          <w:tcBorders>
            <w:top w:val="nil"/>
            <w:left w:val="nil"/>
            <w:bottom w:val="nil"/>
            <w:right w:val="nil"/>
          </w:tcBorders>
          <w:shd w:val="clear" w:color="auto" w:fill="DAEEF3"/>
        </w:tcPr>
        <w:p w14:paraId="13DF6EC4"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593D4731"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416F" w14:textId="1B02DEBD"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36FD" w14:textId="543E3457"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D37" w14:textId="716ABFA6"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031685D7" wp14:editId="12193BAF">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3" behindDoc="0" locked="0" layoutInCell="1" allowOverlap="1" wp14:anchorId="6D13735A" wp14:editId="1E3D3F2E">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CC" w14:textId="11ADD12C"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6pt;height:501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20"/>
    <w:rsid w:val="0000035C"/>
    <w:rsid w:val="00000408"/>
    <w:rsid w:val="000005B6"/>
    <w:rsid w:val="000005EF"/>
    <w:rsid w:val="00000A0A"/>
    <w:rsid w:val="00000BE4"/>
    <w:rsid w:val="00000F87"/>
    <w:rsid w:val="0000199C"/>
    <w:rsid w:val="00001F19"/>
    <w:rsid w:val="0000290B"/>
    <w:rsid w:val="00002A08"/>
    <w:rsid w:val="00003329"/>
    <w:rsid w:val="00003421"/>
    <w:rsid w:val="000034B3"/>
    <w:rsid w:val="00003C95"/>
    <w:rsid w:val="00003D95"/>
    <w:rsid w:val="000042E9"/>
    <w:rsid w:val="00005014"/>
    <w:rsid w:val="00005119"/>
    <w:rsid w:val="00005271"/>
    <w:rsid w:val="000052F0"/>
    <w:rsid w:val="00005673"/>
    <w:rsid w:val="00005703"/>
    <w:rsid w:val="000057D2"/>
    <w:rsid w:val="00005CE9"/>
    <w:rsid w:val="00006527"/>
    <w:rsid w:val="000065F4"/>
    <w:rsid w:val="000072EC"/>
    <w:rsid w:val="0000751E"/>
    <w:rsid w:val="000075ED"/>
    <w:rsid w:val="0000769C"/>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7C9"/>
    <w:rsid w:val="000158C2"/>
    <w:rsid w:val="00015915"/>
    <w:rsid w:val="000159C6"/>
    <w:rsid w:val="00015A48"/>
    <w:rsid w:val="00015B43"/>
    <w:rsid w:val="000165BE"/>
    <w:rsid w:val="000166D7"/>
    <w:rsid w:val="0001694F"/>
    <w:rsid w:val="00016C87"/>
    <w:rsid w:val="00016CDC"/>
    <w:rsid w:val="00016E17"/>
    <w:rsid w:val="000171BC"/>
    <w:rsid w:val="000173BA"/>
    <w:rsid w:val="0001791D"/>
    <w:rsid w:val="00017CA2"/>
    <w:rsid w:val="00017D66"/>
    <w:rsid w:val="00020261"/>
    <w:rsid w:val="000202B3"/>
    <w:rsid w:val="000202FE"/>
    <w:rsid w:val="000203F6"/>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BB"/>
    <w:rsid w:val="00025142"/>
    <w:rsid w:val="00025A1E"/>
    <w:rsid w:val="00025AD9"/>
    <w:rsid w:val="00025B8F"/>
    <w:rsid w:val="000262D8"/>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0F31"/>
    <w:rsid w:val="00031218"/>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E8C"/>
    <w:rsid w:val="00035436"/>
    <w:rsid w:val="0003552B"/>
    <w:rsid w:val="00035B23"/>
    <w:rsid w:val="00035CA7"/>
    <w:rsid w:val="00035D82"/>
    <w:rsid w:val="00035DBD"/>
    <w:rsid w:val="00036A16"/>
    <w:rsid w:val="000373F3"/>
    <w:rsid w:val="0003742D"/>
    <w:rsid w:val="000374FF"/>
    <w:rsid w:val="000375C8"/>
    <w:rsid w:val="000378F6"/>
    <w:rsid w:val="000379EB"/>
    <w:rsid w:val="00037AE9"/>
    <w:rsid w:val="00037BAB"/>
    <w:rsid w:val="00037BE4"/>
    <w:rsid w:val="00040013"/>
    <w:rsid w:val="0004019A"/>
    <w:rsid w:val="000401A1"/>
    <w:rsid w:val="0004052F"/>
    <w:rsid w:val="00040734"/>
    <w:rsid w:val="00040B83"/>
    <w:rsid w:val="00040CA3"/>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6FE0"/>
    <w:rsid w:val="0004702B"/>
    <w:rsid w:val="0004733A"/>
    <w:rsid w:val="00047608"/>
    <w:rsid w:val="00050249"/>
    <w:rsid w:val="0005057D"/>
    <w:rsid w:val="000507C3"/>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6696"/>
    <w:rsid w:val="000566A1"/>
    <w:rsid w:val="00056809"/>
    <w:rsid w:val="00056DB0"/>
    <w:rsid w:val="000570FC"/>
    <w:rsid w:val="0005783A"/>
    <w:rsid w:val="00057C03"/>
    <w:rsid w:val="00057FA2"/>
    <w:rsid w:val="0006026C"/>
    <w:rsid w:val="0006036B"/>
    <w:rsid w:val="00060AC6"/>
    <w:rsid w:val="00060BB0"/>
    <w:rsid w:val="0006109A"/>
    <w:rsid w:val="0006141D"/>
    <w:rsid w:val="00061A5F"/>
    <w:rsid w:val="00061B9D"/>
    <w:rsid w:val="00061FEF"/>
    <w:rsid w:val="00062740"/>
    <w:rsid w:val="00062834"/>
    <w:rsid w:val="00062B47"/>
    <w:rsid w:val="00062F98"/>
    <w:rsid w:val="0006320B"/>
    <w:rsid w:val="00063C19"/>
    <w:rsid w:val="000646B3"/>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808"/>
    <w:rsid w:val="00074396"/>
    <w:rsid w:val="0007446E"/>
    <w:rsid w:val="00074745"/>
    <w:rsid w:val="00074951"/>
    <w:rsid w:val="00074F67"/>
    <w:rsid w:val="0007521F"/>
    <w:rsid w:val="000752E8"/>
    <w:rsid w:val="000755B8"/>
    <w:rsid w:val="00075D05"/>
    <w:rsid w:val="00075D4B"/>
    <w:rsid w:val="0007679E"/>
    <w:rsid w:val="00077371"/>
    <w:rsid w:val="00077C0C"/>
    <w:rsid w:val="00080116"/>
    <w:rsid w:val="000808F9"/>
    <w:rsid w:val="00080A6B"/>
    <w:rsid w:val="00080EE8"/>
    <w:rsid w:val="0008125C"/>
    <w:rsid w:val="00081277"/>
    <w:rsid w:val="000813E4"/>
    <w:rsid w:val="00081417"/>
    <w:rsid w:val="0008159C"/>
    <w:rsid w:val="0008195B"/>
    <w:rsid w:val="00081CFF"/>
    <w:rsid w:val="0008258A"/>
    <w:rsid w:val="000825C5"/>
    <w:rsid w:val="00082DF6"/>
    <w:rsid w:val="00082E64"/>
    <w:rsid w:val="0008303B"/>
    <w:rsid w:val="00083231"/>
    <w:rsid w:val="000834AE"/>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1245"/>
    <w:rsid w:val="00091EAA"/>
    <w:rsid w:val="00092238"/>
    <w:rsid w:val="0009266A"/>
    <w:rsid w:val="00092AEC"/>
    <w:rsid w:val="000933A6"/>
    <w:rsid w:val="00093CB7"/>
    <w:rsid w:val="000940AC"/>
    <w:rsid w:val="0009414D"/>
    <w:rsid w:val="00094388"/>
    <w:rsid w:val="00094B31"/>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BBF"/>
    <w:rsid w:val="00096C4B"/>
    <w:rsid w:val="0009792A"/>
    <w:rsid w:val="00097B79"/>
    <w:rsid w:val="00097E17"/>
    <w:rsid w:val="000A0040"/>
    <w:rsid w:val="000A02AD"/>
    <w:rsid w:val="000A0744"/>
    <w:rsid w:val="000A0B38"/>
    <w:rsid w:val="000A1199"/>
    <w:rsid w:val="000A22E9"/>
    <w:rsid w:val="000A241E"/>
    <w:rsid w:val="000A2810"/>
    <w:rsid w:val="000A289B"/>
    <w:rsid w:val="000A2C52"/>
    <w:rsid w:val="000A2E37"/>
    <w:rsid w:val="000A36D0"/>
    <w:rsid w:val="000A3B1E"/>
    <w:rsid w:val="000A41D4"/>
    <w:rsid w:val="000A421F"/>
    <w:rsid w:val="000A4BCB"/>
    <w:rsid w:val="000A4BE4"/>
    <w:rsid w:val="000A5077"/>
    <w:rsid w:val="000A50F2"/>
    <w:rsid w:val="000A534D"/>
    <w:rsid w:val="000A5ABE"/>
    <w:rsid w:val="000A5B0D"/>
    <w:rsid w:val="000A60E1"/>
    <w:rsid w:val="000A60F4"/>
    <w:rsid w:val="000A61FB"/>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50F"/>
    <w:rsid w:val="000B6843"/>
    <w:rsid w:val="000B6C1B"/>
    <w:rsid w:val="000B6EB2"/>
    <w:rsid w:val="000B706F"/>
    <w:rsid w:val="000B77F8"/>
    <w:rsid w:val="000B78CC"/>
    <w:rsid w:val="000B7AE2"/>
    <w:rsid w:val="000C0203"/>
    <w:rsid w:val="000C041C"/>
    <w:rsid w:val="000C091B"/>
    <w:rsid w:val="000C0F48"/>
    <w:rsid w:val="000C0F5C"/>
    <w:rsid w:val="000C1356"/>
    <w:rsid w:val="000C18D0"/>
    <w:rsid w:val="000C1FB5"/>
    <w:rsid w:val="000C200D"/>
    <w:rsid w:val="000C20E9"/>
    <w:rsid w:val="000C2499"/>
    <w:rsid w:val="000C2555"/>
    <w:rsid w:val="000C25C3"/>
    <w:rsid w:val="000C2DF1"/>
    <w:rsid w:val="000C35ED"/>
    <w:rsid w:val="000C3692"/>
    <w:rsid w:val="000C37AC"/>
    <w:rsid w:val="000C3B1F"/>
    <w:rsid w:val="000C43D9"/>
    <w:rsid w:val="000C44B7"/>
    <w:rsid w:val="000C458C"/>
    <w:rsid w:val="000C4D1E"/>
    <w:rsid w:val="000C5329"/>
    <w:rsid w:val="000C5D43"/>
    <w:rsid w:val="000C5F42"/>
    <w:rsid w:val="000C60E6"/>
    <w:rsid w:val="000C6548"/>
    <w:rsid w:val="000C6591"/>
    <w:rsid w:val="000C6D2E"/>
    <w:rsid w:val="000C709F"/>
    <w:rsid w:val="000C72CA"/>
    <w:rsid w:val="000C7872"/>
    <w:rsid w:val="000C7AFF"/>
    <w:rsid w:val="000C7BA9"/>
    <w:rsid w:val="000C7C7C"/>
    <w:rsid w:val="000C7CAA"/>
    <w:rsid w:val="000D0476"/>
    <w:rsid w:val="000D04C1"/>
    <w:rsid w:val="000D0624"/>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DB"/>
    <w:rsid w:val="000D4645"/>
    <w:rsid w:val="000D467B"/>
    <w:rsid w:val="000D58C9"/>
    <w:rsid w:val="000D5DA8"/>
    <w:rsid w:val="000D5F42"/>
    <w:rsid w:val="000D62F3"/>
    <w:rsid w:val="000D6630"/>
    <w:rsid w:val="000D682D"/>
    <w:rsid w:val="000D7E24"/>
    <w:rsid w:val="000D7EAD"/>
    <w:rsid w:val="000E0033"/>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A24"/>
    <w:rsid w:val="000E5217"/>
    <w:rsid w:val="000E5C17"/>
    <w:rsid w:val="000E6471"/>
    <w:rsid w:val="000E69A5"/>
    <w:rsid w:val="000E721B"/>
    <w:rsid w:val="000E74D2"/>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985"/>
    <w:rsid w:val="000F715A"/>
    <w:rsid w:val="000F72CB"/>
    <w:rsid w:val="000F7AE5"/>
    <w:rsid w:val="000F7B5F"/>
    <w:rsid w:val="001007E8"/>
    <w:rsid w:val="0010093F"/>
    <w:rsid w:val="00100AA8"/>
    <w:rsid w:val="00100B3E"/>
    <w:rsid w:val="0010109D"/>
    <w:rsid w:val="00101327"/>
    <w:rsid w:val="001017B0"/>
    <w:rsid w:val="0010229B"/>
    <w:rsid w:val="00102869"/>
    <w:rsid w:val="00102BB5"/>
    <w:rsid w:val="001036A5"/>
    <w:rsid w:val="001044CC"/>
    <w:rsid w:val="00104591"/>
    <w:rsid w:val="00104765"/>
    <w:rsid w:val="00104B62"/>
    <w:rsid w:val="00104CAF"/>
    <w:rsid w:val="00104F3E"/>
    <w:rsid w:val="00105230"/>
    <w:rsid w:val="001054D4"/>
    <w:rsid w:val="00105520"/>
    <w:rsid w:val="0010589B"/>
    <w:rsid w:val="00105BB1"/>
    <w:rsid w:val="00105C0B"/>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60D"/>
    <w:rsid w:val="00116637"/>
    <w:rsid w:val="001168CC"/>
    <w:rsid w:val="001169DD"/>
    <w:rsid w:val="0011771E"/>
    <w:rsid w:val="001200DD"/>
    <w:rsid w:val="001202CF"/>
    <w:rsid w:val="0012045D"/>
    <w:rsid w:val="001209AC"/>
    <w:rsid w:val="00120B32"/>
    <w:rsid w:val="0012143F"/>
    <w:rsid w:val="00122124"/>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25E6"/>
    <w:rsid w:val="0013261A"/>
    <w:rsid w:val="00132D15"/>
    <w:rsid w:val="00133118"/>
    <w:rsid w:val="001338F8"/>
    <w:rsid w:val="00134027"/>
    <w:rsid w:val="0013460E"/>
    <w:rsid w:val="00134DB3"/>
    <w:rsid w:val="00134DB5"/>
    <w:rsid w:val="00135434"/>
    <w:rsid w:val="00135B8B"/>
    <w:rsid w:val="00135D8F"/>
    <w:rsid w:val="00136298"/>
    <w:rsid w:val="00136887"/>
    <w:rsid w:val="00136EE3"/>
    <w:rsid w:val="00136FC4"/>
    <w:rsid w:val="001370F3"/>
    <w:rsid w:val="001373C5"/>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258"/>
    <w:rsid w:val="00144425"/>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67A"/>
    <w:rsid w:val="001507BD"/>
    <w:rsid w:val="001508D4"/>
    <w:rsid w:val="001509A6"/>
    <w:rsid w:val="00150AB6"/>
    <w:rsid w:val="0015194F"/>
    <w:rsid w:val="00151DFD"/>
    <w:rsid w:val="0015213C"/>
    <w:rsid w:val="001521A6"/>
    <w:rsid w:val="00153126"/>
    <w:rsid w:val="00153942"/>
    <w:rsid w:val="00153ECC"/>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CA0"/>
    <w:rsid w:val="00164E4B"/>
    <w:rsid w:val="00164FB6"/>
    <w:rsid w:val="001650FE"/>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FE8"/>
    <w:rsid w:val="0017100D"/>
    <w:rsid w:val="001714C4"/>
    <w:rsid w:val="00171709"/>
    <w:rsid w:val="00171736"/>
    <w:rsid w:val="001719DC"/>
    <w:rsid w:val="00171B78"/>
    <w:rsid w:val="00171F52"/>
    <w:rsid w:val="0017278A"/>
    <w:rsid w:val="001731F8"/>
    <w:rsid w:val="00173504"/>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55E"/>
    <w:rsid w:val="00176569"/>
    <w:rsid w:val="001765B1"/>
    <w:rsid w:val="001766A3"/>
    <w:rsid w:val="00176A18"/>
    <w:rsid w:val="00176C78"/>
    <w:rsid w:val="00176D60"/>
    <w:rsid w:val="00176FAB"/>
    <w:rsid w:val="00177544"/>
    <w:rsid w:val="0017769E"/>
    <w:rsid w:val="0017782F"/>
    <w:rsid w:val="00177EF9"/>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638"/>
    <w:rsid w:val="00190876"/>
    <w:rsid w:val="00190C73"/>
    <w:rsid w:val="00190CC6"/>
    <w:rsid w:val="00190DD4"/>
    <w:rsid w:val="00191B7B"/>
    <w:rsid w:val="00191C5D"/>
    <w:rsid w:val="00192083"/>
    <w:rsid w:val="00192383"/>
    <w:rsid w:val="00192F26"/>
    <w:rsid w:val="00193B7B"/>
    <w:rsid w:val="00193CF3"/>
    <w:rsid w:val="00193D76"/>
    <w:rsid w:val="00193F5C"/>
    <w:rsid w:val="00194127"/>
    <w:rsid w:val="00194410"/>
    <w:rsid w:val="00194557"/>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D97"/>
    <w:rsid w:val="001A4FB3"/>
    <w:rsid w:val="001A501A"/>
    <w:rsid w:val="001A52CF"/>
    <w:rsid w:val="001A5914"/>
    <w:rsid w:val="001A5BFF"/>
    <w:rsid w:val="001A5E41"/>
    <w:rsid w:val="001A6195"/>
    <w:rsid w:val="001A62CD"/>
    <w:rsid w:val="001A639A"/>
    <w:rsid w:val="001A6519"/>
    <w:rsid w:val="001A6715"/>
    <w:rsid w:val="001A6A70"/>
    <w:rsid w:val="001A6F06"/>
    <w:rsid w:val="001A719C"/>
    <w:rsid w:val="001A7C03"/>
    <w:rsid w:val="001A7CE0"/>
    <w:rsid w:val="001A7D50"/>
    <w:rsid w:val="001A7E97"/>
    <w:rsid w:val="001B0F05"/>
    <w:rsid w:val="001B10C5"/>
    <w:rsid w:val="001B12D9"/>
    <w:rsid w:val="001B12FB"/>
    <w:rsid w:val="001B16C8"/>
    <w:rsid w:val="001B1A60"/>
    <w:rsid w:val="001B1CF8"/>
    <w:rsid w:val="001B20B3"/>
    <w:rsid w:val="001B20EC"/>
    <w:rsid w:val="001B3187"/>
    <w:rsid w:val="001B322B"/>
    <w:rsid w:val="001B3587"/>
    <w:rsid w:val="001B364C"/>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EB6"/>
    <w:rsid w:val="001B700A"/>
    <w:rsid w:val="001B7294"/>
    <w:rsid w:val="001B7AA1"/>
    <w:rsid w:val="001B7AC1"/>
    <w:rsid w:val="001B7C4F"/>
    <w:rsid w:val="001B7CFF"/>
    <w:rsid w:val="001C0985"/>
    <w:rsid w:val="001C0BB4"/>
    <w:rsid w:val="001C0CFC"/>
    <w:rsid w:val="001C0F6D"/>
    <w:rsid w:val="001C12DF"/>
    <w:rsid w:val="001C162D"/>
    <w:rsid w:val="001C19C1"/>
    <w:rsid w:val="001C21C3"/>
    <w:rsid w:val="001C2379"/>
    <w:rsid w:val="001C24D1"/>
    <w:rsid w:val="001C26D4"/>
    <w:rsid w:val="001C29D1"/>
    <w:rsid w:val="001C304B"/>
    <w:rsid w:val="001C3113"/>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4D2"/>
    <w:rsid w:val="001D059B"/>
    <w:rsid w:val="001D0BAA"/>
    <w:rsid w:val="001D194C"/>
    <w:rsid w:val="001D19F8"/>
    <w:rsid w:val="001D1AC6"/>
    <w:rsid w:val="001D1BE1"/>
    <w:rsid w:val="001D1C22"/>
    <w:rsid w:val="001D1CB8"/>
    <w:rsid w:val="001D1EE8"/>
    <w:rsid w:val="001D25F7"/>
    <w:rsid w:val="001D2869"/>
    <w:rsid w:val="001D3504"/>
    <w:rsid w:val="001D3E33"/>
    <w:rsid w:val="001D44A9"/>
    <w:rsid w:val="001D477C"/>
    <w:rsid w:val="001D48C2"/>
    <w:rsid w:val="001D4F72"/>
    <w:rsid w:val="001D5156"/>
    <w:rsid w:val="001D51EE"/>
    <w:rsid w:val="001D553A"/>
    <w:rsid w:val="001D56D8"/>
    <w:rsid w:val="001D5D63"/>
    <w:rsid w:val="001D5E32"/>
    <w:rsid w:val="001D61CA"/>
    <w:rsid w:val="001D662A"/>
    <w:rsid w:val="001D6674"/>
    <w:rsid w:val="001D68A9"/>
    <w:rsid w:val="001D69F6"/>
    <w:rsid w:val="001D6ED1"/>
    <w:rsid w:val="001D73E9"/>
    <w:rsid w:val="001D7529"/>
    <w:rsid w:val="001D7622"/>
    <w:rsid w:val="001D7849"/>
    <w:rsid w:val="001E0988"/>
    <w:rsid w:val="001E0B4B"/>
    <w:rsid w:val="001E1104"/>
    <w:rsid w:val="001E17EE"/>
    <w:rsid w:val="001E2057"/>
    <w:rsid w:val="001E3126"/>
    <w:rsid w:val="001E342F"/>
    <w:rsid w:val="001E3641"/>
    <w:rsid w:val="001E3A27"/>
    <w:rsid w:val="001E3BB7"/>
    <w:rsid w:val="001E4075"/>
    <w:rsid w:val="001E4458"/>
    <w:rsid w:val="001E4A4E"/>
    <w:rsid w:val="001E4EC8"/>
    <w:rsid w:val="001E5296"/>
    <w:rsid w:val="001E52D0"/>
    <w:rsid w:val="001E56B2"/>
    <w:rsid w:val="001E5724"/>
    <w:rsid w:val="001E5898"/>
    <w:rsid w:val="001E679C"/>
    <w:rsid w:val="001E6AB8"/>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264"/>
    <w:rsid w:val="001F265E"/>
    <w:rsid w:val="001F27EF"/>
    <w:rsid w:val="001F2A08"/>
    <w:rsid w:val="001F2AF4"/>
    <w:rsid w:val="001F2BDD"/>
    <w:rsid w:val="001F2E8D"/>
    <w:rsid w:val="001F2EC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5930"/>
    <w:rsid w:val="00206226"/>
    <w:rsid w:val="00206439"/>
    <w:rsid w:val="00206457"/>
    <w:rsid w:val="00206A85"/>
    <w:rsid w:val="00206B8C"/>
    <w:rsid w:val="00206B91"/>
    <w:rsid w:val="00206E90"/>
    <w:rsid w:val="00206F96"/>
    <w:rsid w:val="00207716"/>
    <w:rsid w:val="00210012"/>
    <w:rsid w:val="002103DD"/>
    <w:rsid w:val="00210665"/>
    <w:rsid w:val="00210E29"/>
    <w:rsid w:val="002116E1"/>
    <w:rsid w:val="00211AEA"/>
    <w:rsid w:val="00211DBE"/>
    <w:rsid w:val="00211E03"/>
    <w:rsid w:val="00211E9E"/>
    <w:rsid w:val="002122ED"/>
    <w:rsid w:val="002129BF"/>
    <w:rsid w:val="00212C2D"/>
    <w:rsid w:val="00213684"/>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885"/>
    <w:rsid w:val="002178E0"/>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3048"/>
    <w:rsid w:val="002230B3"/>
    <w:rsid w:val="00223499"/>
    <w:rsid w:val="00223525"/>
    <w:rsid w:val="00223BD2"/>
    <w:rsid w:val="002243B2"/>
    <w:rsid w:val="00224558"/>
    <w:rsid w:val="002250B5"/>
    <w:rsid w:val="00225968"/>
    <w:rsid w:val="00226AC8"/>
    <w:rsid w:val="00226B8B"/>
    <w:rsid w:val="00227007"/>
    <w:rsid w:val="00227831"/>
    <w:rsid w:val="00227D77"/>
    <w:rsid w:val="00227D9A"/>
    <w:rsid w:val="00227EE4"/>
    <w:rsid w:val="0023026E"/>
    <w:rsid w:val="002306D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69B"/>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15"/>
    <w:rsid w:val="002413F9"/>
    <w:rsid w:val="00241715"/>
    <w:rsid w:val="002418C5"/>
    <w:rsid w:val="00241952"/>
    <w:rsid w:val="00241CE5"/>
    <w:rsid w:val="00242508"/>
    <w:rsid w:val="002428CD"/>
    <w:rsid w:val="00242E99"/>
    <w:rsid w:val="00242FE8"/>
    <w:rsid w:val="0024358F"/>
    <w:rsid w:val="002436C3"/>
    <w:rsid w:val="0024378C"/>
    <w:rsid w:val="00243B48"/>
    <w:rsid w:val="002442D2"/>
    <w:rsid w:val="002446F5"/>
    <w:rsid w:val="002452CD"/>
    <w:rsid w:val="00245778"/>
    <w:rsid w:val="002459A7"/>
    <w:rsid w:val="00245CD4"/>
    <w:rsid w:val="002461A0"/>
    <w:rsid w:val="00246381"/>
    <w:rsid w:val="0024647E"/>
    <w:rsid w:val="00246488"/>
    <w:rsid w:val="002464D6"/>
    <w:rsid w:val="00246D42"/>
    <w:rsid w:val="002474BB"/>
    <w:rsid w:val="00247547"/>
    <w:rsid w:val="0024757C"/>
    <w:rsid w:val="0024791E"/>
    <w:rsid w:val="00247DA9"/>
    <w:rsid w:val="00247EEF"/>
    <w:rsid w:val="00250008"/>
    <w:rsid w:val="00250197"/>
    <w:rsid w:val="00250199"/>
    <w:rsid w:val="00250BBC"/>
    <w:rsid w:val="0025166D"/>
    <w:rsid w:val="002517D6"/>
    <w:rsid w:val="00251857"/>
    <w:rsid w:val="00251CAD"/>
    <w:rsid w:val="00251CDB"/>
    <w:rsid w:val="00251F27"/>
    <w:rsid w:val="0025288D"/>
    <w:rsid w:val="0025295F"/>
    <w:rsid w:val="00252CAC"/>
    <w:rsid w:val="00252F03"/>
    <w:rsid w:val="002538DF"/>
    <w:rsid w:val="00254068"/>
    <w:rsid w:val="00254132"/>
    <w:rsid w:val="0025437F"/>
    <w:rsid w:val="002543B7"/>
    <w:rsid w:val="002543E4"/>
    <w:rsid w:val="0025491D"/>
    <w:rsid w:val="00254C66"/>
    <w:rsid w:val="00254F01"/>
    <w:rsid w:val="00255EE8"/>
    <w:rsid w:val="00255FCE"/>
    <w:rsid w:val="00256194"/>
    <w:rsid w:val="002561EB"/>
    <w:rsid w:val="002562FC"/>
    <w:rsid w:val="0025655B"/>
    <w:rsid w:val="002568C9"/>
    <w:rsid w:val="00256DF7"/>
    <w:rsid w:val="0025779A"/>
    <w:rsid w:val="0025779D"/>
    <w:rsid w:val="0026029A"/>
    <w:rsid w:val="00260D15"/>
    <w:rsid w:val="00260E67"/>
    <w:rsid w:val="00260F20"/>
    <w:rsid w:val="00261176"/>
    <w:rsid w:val="002612A1"/>
    <w:rsid w:val="00261393"/>
    <w:rsid w:val="002613DB"/>
    <w:rsid w:val="002618A3"/>
    <w:rsid w:val="00261F7D"/>
    <w:rsid w:val="00262123"/>
    <w:rsid w:val="00262646"/>
    <w:rsid w:val="00262D2B"/>
    <w:rsid w:val="002636F6"/>
    <w:rsid w:val="002636FF"/>
    <w:rsid w:val="002645DA"/>
    <w:rsid w:val="00264E7D"/>
    <w:rsid w:val="002657DE"/>
    <w:rsid w:val="00265FF6"/>
    <w:rsid w:val="002664C8"/>
    <w:rsid w:val="00266664"/>
    <w:rsid w:val="00266C14"/>
    <w:rsid w:val="00266FD1"/>
    <w:rsid w:val="00267219"/>
    <w:rsid w:val="002676F0"/>
    <w:rsid w:val="002678EF"/>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631"/>
    <w:rsid w:val="00274945"/>
    <w:rsid w:val="00274BBF"/>
    <w:rsid w:val="0027520A"/>
    <w:rsid w:val="00275496"/>
    <w:rsid w:val="0027561D"/>
    <w:rsid w:val="0027585D"/>
    <w:rsid w:val="00275FB4"/>
    <w:rsid w:val="00276E24"/>
    <w:rsid w:val="002772ED"/>
    <w:rsid w:val="00277358"/>
    <w:rsid w:val="00277383"/>
    <w:rsid w:val="0027787A"/>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614"/>
    <w:rsid w:val="0028663B"/>
    <w:rsid w:val="002872FD"/>
    <w:rsid w:val="002873A1"/>
    <w:rsid w:val="00287719"/>
    <w:rsid w:val="00287779"/>
    <w:rsid w:val="002879F7"/>
    <w:rsid w:val="00287E8A"/>
    <w:rsid w:val="00290279"/>
    <w:rsid w:val="00290C6C"/>
    <w:rsid w:val="002910D9"/>
    <w:rsid w:val="0029150F"/>
    <w:rsid w:val="00291C64"/>
    <w:rsid w:val="00291ECE"/>
    <w:rsid w:val="00292281"/>
    <w:rsid w:val="002922FD"/>
    <w:rsid w:val="002928CE"/>
    <w:rsid w:val="00292D97"/>
    <w:rsid w:val="00293126"/>
    <w:rsid w:val="002931D4"/>
    <w:rsid w:val="00293C95"/>
    <w:rsid w:val="00293CD8"/>
    <w:rsid w:val="002941AC"/>
    <w:rsid w:val="00294DEF"/>
    <w:rsid w:val="00295028"/>
    <w:rsid w:val="00295262"/>
    <w:rsid w:val="002955A7"/>
    <w:rsid w:val="002958D3"/>
    <w:rsid w:val="00295902"/>
    <w:rsid w:val="00295BB7"/>
    <w:rsid w:val="00295E7D"/>
    <w:rsid w:val="00295F1E"/>
    <w:rsid w:val="00295FEA"/>
    <w:rsid w:val="00296333"/>
    <w:rsid w:val="00296462"/>
    <w:rsid w:val="0029646F"/>
    <w:rsid w:val="00296630"/>
    <w:rsid w:val="00296802"/>
    <w:rsid w:val="002968A9"/>
    <w:rsid w:val="00296B5F"/>
    <w:rsid w:val="00296BAF"/>
    <w:rsid w:val="00296FDD"/>
    <w:rsid w:val="0029703E"/>
    <w:rsid w:val="002970D6"/>
    <w:rsid w:val="002970ED"/>
    <w:rsid w:val="00297669"/>
    <w:rsid w:val="00297711"/>
    <w:rsid w:val="00297BDD"/>
    <w:rsid w:val="00297D57"/>
    <w:rsid w:val="002A005D"/>
    <w:rsid w:val="002A0275"/>
    <w:rsid w:val="002A0C6D"/>
    <w:rsid w:val="002A0DC3"/>
    <w:rsid w:val="002A113E"/>
    <w:rsid w:val="002A13AA"/>
    <w:rsid w:val="002A1658"/>
    <w:rsid w:val="002A1691"/>
    <w:rsid w:val="002A1C66"/>
    <w:rsid w:val="002A1C73"/>
    <w:rsid w:val="002A2277"/>
    <w:rsid w:val="002A27A0"/>
    <w:rsid w:val="002A3751"/>
    <w:rsid w:val="002A38A0"/>
    <w:rsid w:val="002A3F2C"/>
    <w:rsid w:val="002A4093"/>
    <w:rsid w:val="002A4128"/>
    <w:rsid w:val="002A4668"/>
    <w:rsid w:val="002A48F7"/>
    <w:rsid w:val="002A4A88"/>
    <w:rsid w:val="002A4AA7"/>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722"/>
    <w:rsid w:val="002A7C62"/>
    <w:rsid w:val="002A7FD3"/>
    <w:rsid w:val="002B0125"/>
    <w:rsid w:val="002B0601"/>
    <w:rsid w:val="002B0C0C"/>
    <w:rsid w:val="002B0D66"/>
    <w:rsid w:val="002B10C1"/>
    <w:rsid w:val="002B10D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C81"/>
    <w:rsid w:val="002B3D58"/>
    <w:rsid w:val="002B435F"/>
    <w:rsid w:val="002B43A2"/>
    <w:rsid w:val="002B43C9"/>
    <w:rsid w:val="002B5110"/>
    <w:rsid w:val="002B51FD"/>
    <w:rsid w:val="002B5479"/>
    <w:rsid w:val="002B5C09"/>
    <w:rsid w:val="002B602B"/>
    <w:rsid w:val="002B64DB"/>
    <w:rsid w:val="002B6B56"/>
    <w:rsid w:val="002B6C12"/>
    <w:rsid w:val="002B72BD"/>
    <w:rsid w:val="002B7E68"/>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AC0"/>
    <w:rsid w:val="002C362D"/>
    <w:rsid w:val="002C3BCC"/>
    <w:rsid w:val="002C420F"/>
    <w:rsid w:val="002C426A"/>
    <w:rsid w:val="002C47BE"/>
    <w:rsid w:val="002C48CD"/>
    <w:rsid w:val="002C4ACD"/>
    <w:rsid w:val="002C51FF"/>
    <w:rsid w:val="002C5267"/>
    <w:rsid w:val="002C5815"/>
    <w:rsid w:val="002C5863"/>
    <w:rsid w:val="002C5BCB"/>
    <w:rsid w:val="002C5C27"/>
    <w:rsid w:val="002C5EC5"/>
    <w:rsid w:val="002C6327"/>
    <w:rsid w:val="002C656E"/>
    <w:rsid w:val="002C686F"/>
    <w:rsid w:val="002C6B91"/>
    <w:rsid w:val="002C6BA2"/>
    <w:rsid w:val="002C6CA2"/>
    <w:rsid w:val="002C6F2A"/>
    <w:rsid w:val="002C70B9"/>
    <w:rsid w:val="002C716C"/>
    <w:rsid w:val="002C78F7"/>
    <w:rsid w:val="002C7C1C"/>
    <w:rsid w:val="002D025B"/>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4119"/>
    <w:rsid w:val="002D424E"/>
    <w:rsid w:val="002D432D"/>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DCF"/>
    <w:rsid w:val="002E1352"/>
    <w:rsid w:val="002E1417"/>
    <w:rsid w:val="002E1873"/>
    <w:rsid w:val="002E2774"/>
    <w:rsid w:val="002E27E7"/>
    <w:rsid w:val="002E29CE"/>
    <w:rsid w:val="002E2B15"/>
    <w:rsid w:val="002E30EE"/>
    <w:rsid w:val="002E3651"/>
    <w:rsid w:val="002E367B"/>
    <w:rsid w:val="002E43EB"/>
    <w:rsid w:val="002E44A8"/>
    <w:rsid w:val="002E4627"/>
    <w:rsid w:val="002E4B6E"/>
    <w:rsid w:val="002E4E4E"/>
    <w:rsid w:val="002E5146"/>
    <w:rsid w:val="002E5748"/>
    <w:rsid w:val="002E57CF"/>
    <w:rsid w:val="002E595A"/>
    <w:rsid w:val="002E5991"/>
    <w:rsid w:val="002E5CE7"/>
    <w:rsid w:val="002E64B4"/>
    <w:rsid w:val="002E64FC"/>
    <w:rsid w:val="002E701E"/>
    <w:rsid w:val="002E7020"/>
    <w:rsid w:val="002E73C6"/>
    <w:rsid w:val="002E7CC8"/>
    <w:rsid w:val="002F0135"/>
    <w:rsid w:val="002F0446"/>
    <w:rsid w:val="002F0A87"/>
    <w:rsid w:val="002F0EA1"/>
    <w:rsid w:val="002F2242"/>
    <w:rsid w:val="002F244C"/>
    <w:rsid w:val="002F24CE"/>
    <w:rsid w:val="002F24D8"/>
    <w:rsid w:val="002F27FC"/>
    <w:rsid w:val="002F299B"/>
    <w:rsid w:val="002F2A3F"/>
    <w:rsid w:val="002F2C51"/>
    <w:rsid w:val="002F3890"/>
    <w:rsid w:val="002F3B20"/>
    <w:rsid w:val="002F4ABE"/>
    <w:rsid w:val="002F4AE9"/>
    <w:rsid w:val="002F51E1"/>
    <w:rsid w:val="002F561B"/>
    <w:rsid w:val="002F5B3D"/>
    <w:rsid w:val="002F5E86"/>
    <w:rsid w:val="002F697E"/>
    <w:rsid w:val="002F6A2E"/>
    <w:rsid w:val="002F6B4E"/>
    <w:rsid w:val="002F73AB"/>
    <w:rsid w:val="002F73AD"/>
    <w:rsid w:val="00300059"/>
    <w:rsid w:val="00300393"/>
    <w:rsid w:val="00300520"/>
    <w:rsid w:val="00300AE4"/>
    <w:rsid w:val="00300C62"/>
    <w:rsid w:val="00301756"/>
    <w:rsid w:val="0030185F"/>
    <w:rsid w:val="00302229"/>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ABA"/>
    <w:rsid w:val="00304D42"/>
    <w:rsid w:val="0030564B"/>
    <w:rsid w:val="00305A04"/>
    <w:rsid w:val="00305AD9"/>
    <w:rsid w:val="00305F70"/>
    <w:rsid w:val="00306641"/>
    <w:rsid w:val="0030684C"/>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48"/>
    <w:rsid w:val="0031470E"/>
    <w:rsid w:val="00314B94"/>
    <w:rsid w:val="0031590F"/>
    <w:rsid w:val="00315B98"/>
    <w:rsid w:val="00315BBF"/>
    <w:rsid w:val="00316376"/>
    <w:rsid w:val="003163DD"/>
    <w:rsid w:val="00316455"/>
    <w:rsid w:val="003168F4"/>
    <w:rsid w:val="00316FBB"/>
    <w:rsid w:val="00317A0A"/>
    <w:rsid w:val="00317AE6"/>
    <w:rsid w:val="00317CEC"/>
    <w:rsid w:val="0032048A"/>
    <w:rsid w:val="003206E0"/>
    <w:rsid w:val="003209CB"/>
    <w:rsid w:val="00320BAD"/>
    <w:rsid w:val="00320D0B"/>
    <w:rsid w:val="00320FE8"/>
    <w:rsid w:val="0032121F"/>
    <w:rsid w:val="00321788"/>
    <w:rsid w:val="00321BE4"/>
    <w:rsid w:val="00322892"/>
    <w:rsid w:val="0032292D"/>
    <w:rsid w:val="0032298C"/>
    <w:rsid w:val="003237A6"/>
    <w:rsid w:val="0032395B"/>
    <w:rsid w:val="00323C16"/>
    <w:rsid w:val="00323C42"/>
    <w:rsid w:val="00323E89"/>
    <w:rsid w:val="00324107"/>
    <w:rsid w:val="00324521"/>
    <w:rsid w:val="003247C9"/>
    <w:rsid w:val="00324E8B"/>
    <w:rsid w:val="00325027"/>
    <w:rsid w:val="0032527A"/>
    <w:rsid w:val="00325376"/>
    <w:rsid w:val="003253C8"/>
    <w:rsid w:val="00325C4E"/>
    <w:rsid w:val="00325D50"/>
    <w:rsid w:val="00325E0B"/>
    <w:rsid w:val="00325E3B"/>
    <w:rsid w:val="00326A49"/>
    <w:rsid w:val="00326B20"/>
    <w:rsid w:val="00326D45"/>
    <w:rsid w:val="0032718E"/>
    <w:rsid w:val="003271F0"/>
    <w:rsid w:val="00327D5E"/>
    <w:rsid w:val="003304C7"/>
    <w:rsid w:val="00330516"/>
    <w:rsid w:val="00330519"/>
    <w:rsid w:val="003309C5"/>
    <w:rsid w:val="00330CB0"/>
    <w:rsid w:val="003316AF"/>
    <w:rsid w:val="00331E19"/>
    <w:rsid w:val="00332332"/>
    <w:rsid w:val="0033241E"/>
    <w:rsid w:val="003324DE"/>
    <w:rsid w:val="003326CC"/>
    <w:rsid w:val="003327C5"/>
    <w:rsid w:val="003328E3"/>
    <w:rsid w:val="00332D03"/>
    <w:rsid w:val="0033305D"/>
    <w:rsid w:val="0033362D"/>
    <w:rsid w:val="003339B9"/>
    <w:rsid w:val="00333F11"/>
    <w:rsid w:val="0033402E"/>
    <w:rsid w:val="0033461F"/>
    <w:rsid w:val="003349B3"/>
    <w:rsid w:val="00334CFD"/>
    <w:rsid w:val="00334E1E"/>
    <w:rsid w:val="00335004"/>
    <w:rsid w:val="0033521F"/>
    <w:rsid w:val="00335FB8"/>
    <w:rsid w:val="00336166"/>
    <w:rsid w:val="003361B1"/>
    <w:rsid w:val="00336E33"/>
    <w:rsid w:val="00336EBB"/>
    <w:rsid w:val="0033762D"/>
    <w:rsid w:val="003379BA"/>
    <w:rsid w:val="00340303"/>
    <w:rsid w:val="0034038D"/>
    <w:rsid w:val="0034089C"/>
    <w:rsid w:val="00340BEA"/>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A21"/>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47B50"/>
    <w:rsid w:val="00350390"/>
    <w:rsid w:val="003508FF"/>
    <w:rsid w:val="00350B83"/>
    <w:rsid w:val="00350E61"/>
    <w:rsid w:val="003512E5"/>
    <w:rsid w:val="0035147C"/>
    <w:rsid w:val="00351B63"/>
    <w:rsid w:val="00352144"/>
    <w:rsid w:val="003523AB"/>
    <w:rsid w:val="00352581"/>
    <w:rsid w:val="00352EA7"/>
    <w:rsid w:val="00353DAF"/>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427D"/>
    <w:rsid w:val="00364875"/>
    <w:rsid w:val="00364C1A"/>
    <w:rsid w:val="00365813"/>
    <w:rsid w:val="00365B22"/>
    <w:rsid w:val="00365B95"/>
    <w:rsid w:val="003661C5"/>
    <w:rsid w:val="003662E5"/>
    <w:rsid w:val="003666DC"/>
    <w:rsid w:val="00366B6A"/>
    <w:rsid w:val="00366D64"/>
    <w:rsid w:val="00367233"/>
    <w:rsid w:val="0036771C"/>
    <w:rsid w:val="0036792E"/>
    <w:rsid w:val="00367A5E"/>
    <w:rsid w:val="00367B65"/>
    <w:rsid w:val="00367BB1"/>
    <w:rsid w:val="00367D24"/>
    <w:rsid w:val="0037050D"/>
    <w:rsid w:val="003709D5"/>
    <w:rsid w:val="00370AA8"/>
    <w:rsid w:val="00370AE9"/>
    <w:rsid w:val="00370C38"/>
    <w:rsid w:val="00371254"/>
    <w:rsid w:val="003713AE"/>
    <w:rsid w:val="0037198B"/>
    <w:rsid w:val="003719D1"/>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2698"/>
    <w:rsid w:val="003826DB"/>
    <w:rsid w:val="00382762"/>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57F4"/>
    <w:rsid w:val="00385BC6"/>
    <w:rsid w:val="00385EF9"/>
    <w:rsid w:val="00386415"/>
    <w:rsid w:val="003865C8"/>
    <w:rsid w:val="00386C60"/>
    <w:rsid w:val="00386D01"/>
    <w:rsid w:val="00387529"/>
    <w:rsid w:val="0039035E"/>
    <w:rsid w:val="003903F6"/>
    <w:rsid w:val="00390620"/>
    <w:rsid w:val="0039065B"/>
    <w:rsid w:val="00390732"/>
    <w:rsid w:val="00390AEA"/>
    <w:rsid w:val="0039104A"/>
    <w:rsid w:val="0039143C"/>
    <w:rsid w:val="0039174F"/>
    <w:rsid w:val="0039199B"/>
    <w:rsid w:val="003921FB"/>
    <w:rsid w:val="00392300"/>
    <w:rsid w:val="0039255E"/>
    <w:rsid w:val="00392796"/>
    <w:rsid w:val="00392C21"/>
    <w:rsid w:val="00393210"/>
    <w:rsid w:val="0039331E"/>
    <w:rsid w:val="00393882"/>
    <w:rsid w:val="003946D6"/>
    <w:rsid w:val="0039479A"/>
    <w:rsid w:val="00394B90"/>
    <w:rsid w:val="0039578A"/>
    <w:rsid w:val="00395D20"/>
    <w:rsid w:val="00395D28"/>
    <w:rsid w:val="003962B1"/>
    <w:rsid w:val="003962EA"/>
    <w:rsid w:val="00396F81"/>
    <w:rsid w:val="003972DA"/>
    <w:rsid w:val="0039753D"/>
    <w:rsid w:val="003976A2"/>
    <w:rsid w:val="003978EB"/>
    <w:rsid w:val="00397951"/>
    <w:rsid w:val="00397BEA"/>
    <w:rsid w:val="003A073D"/>
    <w:rsid w:val="003A0CDC"/>
    <w:rsid w:val="003A0D57"/>
    <w:rsid w:val="003A0E08"/>
    <w:rsid w:val="003A1183"/>
    <w:rsid w:val="003A120F"/>
    <w:rsid w:val="003A1A56"/>
    <w:rsid w:val="003A1ED5"/>
    <w:rsid w:val="003A25AD"/>
    <w:rsid w:val="003A26E3"/>
    <w:rsid w:val="003A2CE5"/>
    <w:rsid w:val="003A2F62"/>
    <w:rsid w:val="003A2F68"/>
    <w:rsid w:val="003A33D8"/>
    <w:rsid w:val="003A3782"/>
    <w:rsid w:val="003A37C9"/>
    <w:rsid w:val="003A39AA"/>
    <w:rsid w:val="003A3C8A"/>
    <w:rsid w:val="003A3F32"/>
    <w:rsid w:val="003A40BC"/>
    <w:rsid w:val="003A42F0"/>
    <w:rsid w:val="003A4BD5"/>
    <w:rsid w:val="003A4BE5"/>
    <w:rsid w:val="003A4F03"/>
    <w:rsid w:val="003A4FAF"/>
    <w:rsid w:val="003A4FDF"/>
    <w:rsid w:val="003A5141"/>
    <w:rsid w:val="003A5689"/>
    <w:rsid w:val="003A56A2"/>
    <w:rsid w:val="003A6049"/>
    <w:rsid w:val="003A65DF"/>
    <w:rsid w:val="003A6B12"/>
    <w:rsid w:val="003A6D26"/>
    <w:rsid w:val="003A6E2C"/>
    <w:rsid w:val="003A715A"/>
    <w:rsid w:val="003A7594"/>
    <w:rsid w:val="003A7659"/>
    <w:rsid w:val="003A7B3A"/>
    <w:rsid w:val="003A7D64"/>
    <w:rsid w:val="003B0061"/>
    <w:rsid w:val="003B014D"/>
    <w:rsid w:val="003B0537"/>
    <w:rsid w:val="003B0D57"/>
    <w:rsid w:val="003B0E1F"/>
    <w:rsid w:val="003B169B"/>
    <w:rsid w:val="003B1A50"/>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A9C"/>
    <w:rsid w:val="003B5BC4"/>
    <w:rsid w:val="003B5E5E"/>
    <w:rsid w:val="003B5F5B"/>
    <w:rsid w:val="003B60A5"/>
    <w:rsid w:val="003B61F9"/>
    <w:rsid w:val="003B6275"/>
    <w:rsid w:val="003B6519"/>
    <w:rsid w:val="003B6568"/>
    <w:rsid w:val="003B6AC6"/>
    <w:rsid w:val="003B755C"/>
    <w:rsid w:val="003B7E25"/>
    <w:rsid w:val="003B7ECB"/>
    <w:rsid w:val="003C010A"/>
    <w:rsid w:val="003C0C11"/>
    <w:rsid w:val="003C12D1"/>
    <w:rsid w:val="003C12E3"/>
    <w:rsid w:val="003C1324"/>
    <w:rsid w:val="003C2148"/>
    <w:rsid w:val="003C2320"/>
    <w:rsid w:val="003C236F"/>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FFE"/>
    <w:rsid w:val="003C5049"/>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1A"/>
    <w:rsid w:val="003C7F87"/>
    <w:rsid w:val="003C7FC2"/>
    <w:rsid w:val="003D000D"/>
    <w:rsid w:val="003D006D"/>
    <w:rsid w:val="003D033A"/>
    <w:rsid w:val="003D051B"/>
    <w:rsid w:val="003D0A61"/>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8D1"/>
    <w:rsid w:val="003E097D"/>
    <w:rsid w:val="003E0FBF"/>
    <w:rsid w:val="003E10D0"/>
    <w:rsid w:val="003E1131"/>
    <w:rsid w:val="003E137F"/>
    <w:rsid w:val="003E14C9"/>
    <w:rsid w:val="003E18C3"/>
    <w:rsid w:val="003E26ED"/>
    <w:rsid w:val="003E2A10"/>
    <w:rsid w:val="003E2D28"/>
    <w:rsid w:val="003E2FF0"/>
    <w:rsid w:val="003E337B"/>
    <w:rsid w:val="003E3AB7"/>
    <w:rsid w:val="003E4923"/>
    <w:rsid w:val="003E4D74"/>
    <w:rsid w:val="003E51A4"/>
    <w:rsid w:val="003E5319"/>
    <w:rsid w:val="003E58C2"/>
    <w:rsid w:val="003E5916"/>
    <w:rsid w:val="003E5A76"/>
    <w:rsid w:val="003E6376"/>
    <w:rsid w:val="003E6687"/>
    <w:rsid w:val="003E6B27"/>
    <w:rsid w:val="003E6B9D"/>
    <w:rsid w:val="003E72B1"/>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A9F"/>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2A89"/>
    <w:rsid w:val="00403293"/>
    <w:rsid w:val="0040338B"/>
    <w:rsid w:val="004035DD"/>
    <w:rsid w:val="004038B3"/>
    <w:rsid w:val="0040398A"/>
    <w:rsid w:val="00403CA0"/>
    <w:rsid w:val="00403E2F"/>
    <w:rsid w:val="00404BDC"/>
    <w:rsid w:val="00404D7B"/>
    <w:rsid w:val="00404E4D"/>
    <w:rsid w:val="00405871"/>
    <w:rsid w:val="00405CD9"/>
    <w:rsid w:val="0040653F"/>
    <w:rsid w:val="00406651"/>
    <w:rsid w:val="00406703"/>
    <w:rsid w:val="00406B25"/>
    <w:rsid w:val="00406BCD"/>
    <w:rsid w:val="0040736D"/>
    <w:rsid w:val="00407382"/>
    <w:rsid w:val="0040745B"/>
    <w:rsid w:val="0040758D"/>
    <w:rsid w:val="00407E97"/>
    <w:rsid w:val="00410065"/>
    <w:rsid w:val="00411FC4"/>
    <w:rsid w:val="0041234E"/>
    <w:rsid w:val="0041253D"/>
    <w:rsid w:val="00412813"/>
    <w:rsid w:val="004129C0"/>
    <w:rsid w:val="00412EE0"/>
    <w:rsid w:val="00413074"/>
    <w:rsid w:val="0041338E"/>
    <w:rsid w:val="004133C3"/>
    <w:rsid w:val="00413660"/>
    <w:rsid w:val="004137F1"/>
    <w:rsid w:val="0041384B"/>
    <w:rsid w:val="004138A4"/>
    <w:rsid w:val="00413B64"/>
    <w:rsid w:val="00414055"/>
    <w:rsid w:val="004143E8"/>
    <w:rsid w:val="004144CF"/>
    <w:rsid w:val="0041463A"/>
    <w:rsid w:val="0041476E"/>
    <w:rsid w:val="00414823"/>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4A8"/>
    <w:rsid w:val="004255E5"/>
    <w:rsid w:val="00425DEC"/>
    <w:rsid w:val="004263BC"/>
    <w:rsid w:val="004270FE"/>
    <w:rsid w:val="00427583"/>
    <w:rsid w:val="0042793F"/>
    <w:rsid w:val="00427D7C"/>
    <w:rsid w:val="00430378"/>
    <w:rsid w:val="00430858"/>
    <w:rsid w:val="00430BD9"/>
    <w:rsid w:val="0043106B"/>
    <w:rsid w:val="0043119A"/>
    <w:rsid w:val="004312B6"/>
    <w:rsid w:val="0043178A"/>
    <w:rsid w:val="004317C7"/>
    <w:rsid w:val="00431A22"/>
    <w:rsid w:val="00431CA3"/>
    <w:rsid w:val="0043230A"/>
    <w:rsid w:val="0043233C"/>
    <w:rsid w:val="00432422"/>
    <w:rsid w:val="004324FB"/>
    <w:rsid w:val="00432B97"/>
    <w:rsid w:val="004336E6"/>
    <w:rsid w:val="004337C6"/>
    <w:rsid w:val="0043393D"/>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40608"/>
    <w:rsid w:val="004406EE"/>
    <w:rsid w:val="00440855"/>
    <w:rsid w:val="00440F2E"/>
    <w:rsid w:val="00441251"/>
    <w:rsid w:val="00441324"/>
    <w:rsid w:val="004413AD"/>
    <w:rsid w:val="004414B8"/>
    <w:rsid w:val="0044178A"/>
    <w:rsid w:val="004418A6"/>
    <w:rsid w:val="00441A2F"/>
    <w:rsid w:val="00441F70"/>
    <w:rsid w:val="004426B8"/>
    <w:rsid w:val="004428CE"/>
    <w:rsid w:val="00442EC7"/>
    <w:rsid w:val="00442F62"/>
    <w:rsid w:val="00443120"/>
    <w:rsid w:val="00443D7E"/>
    <w:rsid w:val="00443E53"/>
    <w:rsid w:val="00443E6D"/>
    <w:rsid w:val="0044411D"/>
    <w:rsid w:val="004442B5"/>
    <w:rsid w:val="00444A3B"/>
    <w:rsid w:val="00444C15"/>
    <w:rsid w:val="00444DE6"/>
    <w:rsid w:val="00444FE2"/>
    <w:rsid w:val="00445828"/>
    <w:rsid w:val="00445954"/>
    <w:rsid w:val="00445DC2"/>
    <w:rsid w:val="00445F43"/>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003"/>
    <w:rsid w:val="00452298"/>
    <w:rsid w:val="004526DA"/>
    <w:rsid w:val="00452C33"/>
    <w:rsid w:val="00452C7B"/>
    <w:rsid w:val="00452CD6"/>
    <w:rsid w:val="0045334B"/>
    <w:rsid w:val="0045456C"/>
    <w:rsid w:val="004545B7"/>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642"/>
    <w:rsid w:val="00460A31"/>
    <w:rsid w:val="00460B3B"/>
    <w:rsid w:val="00460B68"/>
    <w:rsid w:val="00461CC8"/>
    <w:rsid w:val="00462038"/>
    <w:rsid w:val="0046286D"/>
    <w:rsid w:val="004629AB"/>
    <w:rsid w:val="00463171"/>
    <w:rsid w:val="004633E0"/>
    <w:rsid w:val="0046387D"/>
    <w:rsid w:val="004638DB"/>
    <w:rsid w:val="004642B4"/>
    <w:rsid w:val="0046486E"/>
    <w:rsid w:val="00464A42"/>
    <w:rsid w:val="00464CAE"/>
    <w:rsid w:val="00464E42"/>
    <w:rsid w:val="0046502C"/>
    <w:rsid w:val="004650E4"/>
    <w:rsid w:val="004655C6"/>
    <w:rsid w:val="00465634"/>
    <w:rsid w:val="004656BF"/>
    <w:rsid w:val="00465D17"/>
    <w:rsid w:val="004664DB"/>
    <w:rsid w:val="0046658D"/>
    <w:rsid w:val="00466FB5"/>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AD6"/>
    <w:rsid w:val="00495120"/>
    <w:rsid w:val="00495E67"/>
    <w:rsid w:val="004963F9"/>
    <w:rsid w:val="0049698A"/>
    <w:rsid w:val="00496B4E"/>
    <w:rsid w:val="00496DE2"/>
    <w:rsid w:val="00497448"/>
    <w:rsid w:val="004975AA"/>
    <w:rsid w:val="00497935"/>
    <w:rsid w:val="004A034A"/>
    <w:rsid w:val="004A0476"/>
    <w:rsid w:val="004A07D7"/>
    <w:rsid w:val="004A0A69"/>
    <w:rsid w:val="004A0F9E"/>
    <w:rsid w:val="004A10D4"/>
    <w:rsid w:val="004A1130"/>
    <w:rsid w:val="004A1219"/>
    <w:rsid w:val="004A1948"/>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B0239"/>
    <w:rsid w:val="004B0379"/>
    <w:rsid w:val="004B0A69"/>
    <w:rsid w:val="004B0D1E"/>
    <w:rsid w:val="004B0E2E"/>
    <w:rsid w:val="004B1604"/>
    <w:rsid w:val="004B1701"/>
    <w:rsid w:val="004B1804"/>
    <w:rsid w:val="004B18CC"/>
    <w:rsid w:val="004B2609"/>
    <w:rsid w:val="004B2722"/>
    <w:rsid w:val="004B2F3D"/>
    <w:rsid w:val="004B32A0"/>
    <w:rsid w:val="004B36C1"/>
    <w:rsid w:val="004B3A60"/>
    <w:rsid w:val="004B3FCD"/>
    <w:rsid w:val="004B47E5"/>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23BD"/>
    <w:rsid w:val="004C2498"/>
    <w:rsid w:val="004C331E"/>
    <w:rsid w:val="004C333F"/>
    <w:rsid w:val="004C33BC"/>
    <w:rsid w:val="004C3D19"/>
    <w:rsid w:val="004C3FC0"/>
    <w:rsid w:val="004C42C9"/>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710"/>
    <w:rsid w:val="004D29CC"/>
    <w:rsid w:val="004D2AB8"/>
    <w:rsid w:val="004D2D7A"/>
    <w:rsid w:val="004D37B3"/>
    <w:rsid w:val="004D391B"/>
    <w:rsid w:val="004D3E11"/>
    <w:rsid w:val="004D4043"/>
    <w:rsid w:val="004D4304"/>
    <w:rsid w:val="004D470B"/>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391"/>
    <w:rsid w:val="004E46F5"/>
    <w:rsid w:val="004E4CA8"/>
    <w:rsid w:val="004E4D78"/>
    <w:rsid w:val="004E4E20"/>
    <w:rsid w:val="004E500B"/>
    <w:rsid w:val="004E5153"/>
    <w:rsid w:val="004E5C65"/>
    <w:rsid w:val="004E687B"/>
    <w:rsid w:val="004E70F3"/>
    <w:rsid w:val="004E713A"/>
    <w:rsid w:val="004E7649"/>
    <w:rsid w:val="004E79EC"/>
    <w:rsid w:val="004E7AD7"/>
    <w:rsid w:val="004E7B2E"/>
    <w:rsid w:val="004E7BDD"/>
    <w:rsid w:val="004F01D5"/>
    <w:rsid w:val="004F0439"/>
    <w:rsid w:val="004F0738"/>
    <w:rsid w:val="004F0A17"/>
    <w:rsid w:val="004F115C"/>
    <w:rsid w:val="004F13A0"/>
    <w:rsid w:val="004F17D0"/>
    <w:rsid w:val="004F1BB6"/>
    <w:rsid w:val="004F2044"/>
    <w:rsid w:val="004F20DC"/>
    <w:rsid w:val="004F23BA"/>
    <w:rsid w:val="004F33A6"/>
    <w:rsid w:val="004F35B2"/>
    <w:rsid w:val="004F35D6"/>
    <w:rsid w:val="004F3982"/>
    <w:rsid w:val="004F3A47"/>
    <w:rsid w:val="004F3AE1"/>
    <w:rsid w:val="004F3C71"/>
    <w:rsid w:val="004F3CDC"/>
    <w:rsid w:val="004F4537"/>
    <w:rsid w:val="004F4797"/>
    <w:rsid w:val="004F5068"/>
    <w:rsid w:val="004F51AF"/>
    <w:rsid w:val="004F51E9"/>
    <w:rsid w:val="004F54F5"/>
    <w:rsid w:val="004F551A"/>
    <w:rsid w:val="004F5C06"/>
    <w:rsid w:val="004F5FCC"/>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12E6"/>
    <w:rsid w:val="00501B88"/>
    <w:rsid w:val="0050246A"/>
    <w:rsid w:val="005025AD"/>
    <w:rsid w:val="005029B4"/>
    <w:rsid w:val="005033B1"/>
    <w:rsid w:val="0050348C"/>
    <w:rsid w:val="005039C8"/>
    <w:rsid w:val="00503A7E"/>
    <w:rsid w:val="00503ADE"/>
    <w:rsid w:val="00503BA8"/>
    <w:rsid w:val="00504660"/>
    <w:rsid w:val="00504D6A"/>
    <w:rsid w:val="00505BCC"/>
    <w:rsid w:val="00505CD4"/>
    <w:rsid w:val="005060FA"/>
    <w:rsid w:val="00506869"/>
    <w:rsid w:val="00506974"/>
    <w:rsid w:val="00506E52"/>
    <w:rsid w:val="005072C5"/>
    <w:rsid w:val="005078D1"/>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98D"/>
    <w:rsid w:val="00514D56"/>
    <w:rsid w:val="00514F71"/>
    <w:rsid w:val="005158B6"/>
    <w:rsid w:val="005158C0"/>
    <w:rsid w:val="005159D9"/>
    <w:rsid w:val="00515A24"/>
    <w:rsid w:val="00515DD3"/>
    <w:rsid w:val="00515E0B"/>
    <w:rsid w:val="00515ED5"/>
    <w:rsid w:val="00516523"/>
    <w:rsid w:val="005166CD"/>
    <w:rsid w:val="00516705"/>
    <w:rsid w:val="005167A0"/>
    <w:rsid w:val="005169BC"/>
    <w:rsid w:val="00516B0E"/>
    <w:rsid w:val="00517A06"/>
    <w:rsid w:val="00517BD2"/>
    <w:rsid w:val="00517CD1"/>
    <w:rsid w:val="00517FA7"/>
    <w:rsid w:val="0052026F"/>
    <w:rsid w:val="005203C5"/>
    <w:rsid w:val="0052042A"/>
    <w:rsid w:val="00520AA1"/>
    <w:rsid w:val="005213EA"/>
    <w:rsid w:val="00521578"/>
    <w:rsid w:val="0052157F"/>
    <w:rsid w:val="00521BA2"/>
    <w:rsid w:val="0052217F"/>
    <w:rsid w:val="00522204"/>
    <w:rsid w:val="0052237E"/>
    <w:rsid w:val="0052269D"/>
    <w:rsid w:val="00522E94"/>
    <w:rsid w:val="00522EEE"/>
    <w:rsid w:val="005231EC"/>
    <w:rsid w:val="005233DC"/>
    <w:rsid w:val="00523E4B"/>
    <w:rsid w:val="005241BC"/>
    <w:rsid w:val="00524468"/>
    <w:rsid w:val="00524EDE"/>
    <w:rsid w:val="0052534A"/>
    <w:rsid w:val="005255A6"/>
    <w:rsid w:val="005255B4"/>
    <w:rsid w:val="00526648"/>
    <w:rsid w:val="005266F3"/>
    <w:rsid w:val="0052770D"/>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213"/>
    <w:rsid w:val="00533380"/>
    <w:rsid w:val="005337F7"/>
    <w:rsid w:val="00533A0B"/>
    <w:rsid w:val="00533C23"/>
    <w:rsid w:val="00533C90"/>
    <w:rsid w:val="00534950"/>
    <w:rsid w:val="00534A0C"/>
    <w:rsid w:val="00534B75"/>
    <w:rsid w:val="00534E2E"/>
    <w:rsid w:val="005351E4"/>
    <w:rsid w:val="00535465"/>
    <w:rsid w:val="005355A6"/>
    <w:rsid w:val="0053561B"/>
    <w:rsid w:val="00535AC6"/>
    <w:rsid w:val="00535BD2"/>
    <w:rsid w:val="00535FD3"/>
    <w:rsid w:val="005360FC"/>
    <w:rsid w:val="005363F4"/>
    <w:rsid w:val="00536F72"/>
    <w:rsid w:val="00537690"/>
    <w:rsid w:val="00537A6F"/>
    <w:rsid w:val="00537B0E"/>
    <w:rsid w:val="00537EFF"/>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B10"/>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A6"/>
    <w:rsid w:val="00546B77"/>
    <w:rsid w:val="00547AA9"/>
    <w:rsid w:val="00550112"/>
    <w:rsid w:val="0055100A"/>
    <w:rsid w:val="005516B3"/>
    <w:rsid w:val="00551800"/>
    <w:rsid w:val="00551AE2"/>
    <w:rsid w:val="00551B81"/>
    <w:rsid w:val="00551C21"/>
    <w:rsid w:val="0055250F"/>
    <w:rsid w:val="00552BF6"/>
    <w:rsid w:val="005533AD"/>
    <w:rsid w:val="005534FA"/>
    <w:rsid w:val="005535C4"/>
    <w:rsid w:val="00553CA4"/>
    <w:rsid w:val="00554897"/>
    <w:rsid w:val="005550CA"/>
    <w:rsid w:val="0055522B"/>
    <w:rsid w:val="00555785"/>
    <w:rsid w:val="00555BDF"/>
    <w:rsid w:val="00555D4A"/>
    <w:rsid w:val="00555FBA"/>
    <w:rsid w:val="00556368"/>
    <w:rsid w:val="0055742C"/>
    <w:rsid w:val="00557471"/>
    <w:rsid w:val="005578D0"/>
    <w:rsid w:val="00557941"/>
    <w:rsid w:val="00557AA6"/>
    <w:rsid w:val="00560BA8"/>
    <w:rsid w:val="005610E1"/>
    <w:rsid w:val="005618E0"/>
    <w:rsid w:val="005619AA"/>
    <w:rsid w:val="00561B6E"/>
    <w:rsid w:val="00562394"/>
    <w:rsid w:val="00562BE1"/>
    <w:rsid w:val="00562CE4"/>
    <w:rsid w:val="00563106"/>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CF"/>
    <w:rsid w:val="00566AE8"/>
    <w:rsid w:val="00566DA7"/>
    <w:rsid w:val="0057069F"/>
    <w:rsid w:val="00570776"/>
    <w:rsid w:val="00570FAD"/>
    <w:rsid w:val="00570FE4"/>
    <w:rsid w:val="00571B29"/>
    <w:rsid w:val="00571E28"/>
    <w:rsid w:val="0057277D"/>
    <w:rsid w:val="00572ACB"/>
    <w:rsid w:val="00572CEF"/>
    <w:rsid w:val="00572E2C"/>
    <w:rsid w:val="00573117"/>
    <w:rsid w:val="0057350C"/>
    <w:rsid w:val="00573BD3"/>
    <w:rsid w:val="00573D00"/>
    <w:rsid w:val="00573E67"/>
    <w:rsid w:val="00573F30"/>
    <w:rsid w:val="00574AA0"/>
    <w:rsid w:val="00574EF1"/>
    <w:rsid w:val="00574FCC"/>
    <w:rsid w:val="00575587"/>
    <w:rsid w:val="00575AAB"/>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1383"/>
    <w:rsid w:val="00581737"/>
    <w:rsid w:val="00581C48"/>
    <w:rsid w:val="00581FC5"/>
    <w:rsid w:val="005820A6"/>
    <w:rsid w:val="0058212D"/>
    <w:rsid w:val="00582229"/>
    <w:rsid w:val="005822C5"/>
    <w:rsid w:val="00582516"/>
    <w:rsid w:val="00582C63"/>
    <w:rsid w:val="0058361C"/>
    <w:rsid w:val="00583778"/>
    <w:rsid w:val="0058383C"/>
    <w:rsid w:val="005838B8"/>
    <w:rsid w:val="0058391D"/>
    <w:rsid w:val="0058398E"/>
    <w:rsid w:val="00583C90"/>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A0A"/>
    <w:rsid w:val="00586E21"/>
    <w:rsid w:val="00586EA5"/>
    <w:rsid w:val="00586F35"/>
    <w:rsid w:val="0058704D"/>
    <w:rsid w:val="00587430"/>
    <w:rsid w:val="0058746A"/>
    <w:rsid w:val="005874A3"/>
    <w:rsid w:val="00587C9D"/>
    <w:rsid w:val="00587D7C"/>
    <w:rsid w:val="00587DC2"/>
    <w:rsid w:val="00590176"/>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639"/>
    <w:rsid w:val="0059772F"/>
    <w:rsid w:val="00597DBA"/>
    <w:rsid w:val="005A02B1"/>
    <w:rsid w:val="005A03B4"/>
    <w:rsid w:val="005A057F"/>
    <w:rsid w:val="005A059E"/>
    <w:rsid w:val="005A05B4"/>
    <w:rsid w:val="005A06B0"/>
    <w:rsid w:val="005A0A58"/>
    <w:rsid w:val="005A0C38"/>
    <w:rsid w:val="005A0F4F"/>
    <w:rsid w:val="005A0FCF"/>
    <w:rsid w:val="005A183D"/>
    <w:rsid w:val="005A1A1F"/>
    <w:rsid w:val="005A1AF5"/>
    <w:rsid w:val="005A1D6F"/>
    <w:rsid w:val="005A242A"/>
    <w:rsid w:val="005A26CC"/>
    <w:rsid w:val="005A2B28"/>
    <w:rsid w:val="005A31F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ED9"/>
    <w:rsid w:val="005A7F44"/>
    <w:rsid w:val="005B08FF"/>
    <w:rsid w:val="005B0F65"/>
    <w:rsid w:val="005B1334"/>
    <w:rsid w:val="005B19CD"/>
    <w:rsid w:val="005B2C14"/>
    <w:rsid w:val="005B2C54"/>
    <w:rsid w:val="005B3B48"/>
    <w:rsid w:val="005B4580"/>
    <w:rsid w:val="005B489D"/>
    <w:rsid w:val="005B4A6E"/>
    <w:rsid w:val="005B4C2D"/>
    <w:rsid w:val="005B5739"/>
    <w:rsid w:val="005B5791"/>
    <w:rsid w:val="005B6005"/>
    <w:rsid w:val="005B6213"/>
    <w:rsid w:val="005B62F3"/>
    <w:rsid w:val="005B7047"/>
    <w:rsid w:val="005B711D"/>
    <w:rsid w:val="005B7276"/>
    <w:rsid w:val="005B785B"/>
    <w:rsid w:val="005B7BD0"/>
    <w:rsid w:val="005B7BEE"/>
    <w:rsid w:val="005B7D6D"/>
    <w:rsid w:val="005C0072"/>
    <w:rsid w:val="005C009B"/>
    <w:rsid w:val="005C01D9"/>
    <w:rsid w:val="005C0ACF"/>
    <w:rsid w:val="005C0C7B"/>
    <w:rsid w:val="005C0D5D"/>
    <w:rsid w:val="005C118D"/>
    <w:rsid w:val="005C126B"/>
    <w:rsid w:val="005C18B8"/>
    <w:rsid w:val="005C1B14"/>
    <w:rsid w:val="005C1F09"/>
    <w:rsid w:val="005C216F"/>
    <w:rsid w:val="005C244F"/>
    <w:rsid w:val="005C2625"/>
    <w:rsid w:val="005C26BE"/>
    <w:rsid w:val="005C29F5"/>
    <w:rsid w:val="005C2E8B"/>
    <w:rsid w:val="005C2FDE"/>
    <w:rsid w:val="005C384B"/>
    <w:rsid w:val="005C3959"/>
    <w:rsid w:val="005C3ADC"/>
    <w:rsid w:val="005C4A8B"/>
    <w:rsid w:val="005C4D91"/>
    <w:rsid w:val="005C6058"/>
    <w:rsid w:val="005C6369"/>
    <w:rsid w:val="005C7170"/>
    <w:rsid w:val="005C743D"/>
    <w:rsid w:val="005D05B7"/>
    <w:rsid w:val="005D17FB"/>
    <w:rsid w:val="005D1956"/>
    <w:rsid w:val="005D1973"/>
    <w:rsid w:val="005D1E51"/>
    <w:rsid w:val="005D24BC"/>
    <w:rsid w:val="005D26BD"/>
    <w:rsid w:val="005D28C6"/>
    <w:rsid w:val="005D2D22"/>
    <w:rsid w:val="005D34C9"/>
    <w:rsid w:val="005D34D5"/>
    <w:rsid w:val="005D37C7"/>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1E"/>
    <w:rsid w:val="005E12A3"/>
    <w:rsid w:val="005E1625"/>
    <w:rsid w:val="005E18E3"/>
    <w:rsid w:val="005E20EE"/>
    <w:rsid w:val="005E29DC"/>
    <w:rsid w:val="005E2C13"/>
    <w:rsid w:val="005E2DA3"/>
    <w:rsid w:val="005E3316"/>
    <w:rsid w:val="005E33FF"/>
    <w:rsid w:val="005E3455"/>
    <w:rsid w:val="005E365F"/>
    <w:rsid w:val="005E3A8B"/>
    <w:rsid w:val="005E3D47"/>
    <w:rsid w:val="005E3D69"/>
    <w:rsid w:val="005E413B"/>
    <w:rsid w:val="005E4150"/>
    <w:rsid w:val="005E4453"/>
    <w:rsid w:val="005E473D"/>
    <w:rsid w:val="005E4916"/>
    <w:rsid w:val="005E4C24"/>
    <w:rsid w:val="005E50A7"/>
    <w:rsid w:val="005E50F0"/>
    <w:rsid w:val="005E653B"/>
    <w:rsid w:val="005E6D07"/>
    <w:rsid w:val="005E6F38"/>
    <w:rsid w:val="005E6F3B"/>
    <w:rsid w:val="005E7606"/>
    <w:rsid w:val="005E7E61"/>
    <w:rsid w:val="005E7F69"/>
    <w:rsid w:val="005F00AF"/>
    <w:rsid w:val="005F00B0"/>
    <w:rsid w:val="005F0762"/>
    <w:rsid w:val="005F0960"/>
    <w:rsid w:val="005F0CB7"/>
    <w:rsid w:val="005F0EF2"/>
    <w:rsid w:val="005F1083"/>
    <w:rsid w:val="005F1784"/>
    <w:rsid w:val="005F17B1"/>
    <w:rsid w:val="005F2208"/>
    <w:rsid w:val="005F2955"/>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5BC"/>
    <w:rsid w:val="005F6645"/>
    <w:rsid w:val="005F67A3"/>
    <w:rsid w:val="005F6A07"/>
    <w:rsid w:val="005F6C8C"/>
    <w:rsid w:val="005F6CE5"/>
    <w:rsid w:val="005F6D92"/>
    <w:rsid w:val="005F7012"/>
    <w:rsid w:val="005F7017"/>
    <w:rsid w:val="005F7A87"/>
    <w:rsid w:val="005F7AD7"/>
    <w:rsid w:val="005F7DD2"/>
    <w:rsid w:val="006004F3"/>
    <w:rsid w:val="00600653"/>
    <w:rsid w:val="00600996"/>
    <w:rsid w:val="0060184C"/>
    <w:rsid w:val="00601E0D"/>
    <w:rsid w:val="006020F1"/>
    <w:rsid w:val="006022C7"/>
    <w:rsid w:val="00602778"/>
    <w:rsid w:val="00602D87"/>
    <w:rsid w:val="00602F91"/>
    <w:rsid w:val="006030E5"/>
    <w:rsid w:val="00603232"/>
    <w:rsid w:val="00603684"/>
    <w:rsid w:val="006036B2"/>
    <w:rsid w:val="00603754"/>
    <w:rsid w:val="00603E5C"/>
    <w:rsid w:val="00603F06"/>
    <w:rsid w:val="0060439D"/>
    <w:rsid w:val="006043A8"/>
    <w:rsid w:val="006044D7"/>
    <w:rsid w:val="00604BBE"/>
    <w:rsid w:val="00604EBF"/>
    <w:rsid w:val="00605D85"/>
    <w:rsid w:val="0060605D"/>
    <w:rsid w:val="00606236"/>
    <w:rsid w:val="00606886"/>
    <w:rsid w:val="00606B99"/>
    <w:rsid w:val="00606CB7"/>
    <w:rsid w:val="00607705"/>
    <w:rsid w:val="00607B52"/>
    <w:rsid w:val="00607F14"/>
    <w:rsid w:val="006109BB"/>
    <w:rsid w:val="0061106D"/>
    <w:rsid w:val="0061109B"/>
    <w:rsid w:val="0061112D"/>
    <w:rsid w:val="0061134E"/>
    <w:rsid w:val="006113BD"/>
    <w:rsid w:val="006113CC"/>
    <w:rsid w:val="006117B4"/>
    <w:rsid w:val="006117CA"/>
    <w:rsid w:val="00611953"/>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661"/>
    <w:rsid w:val="00616747"/>
    <w:rsid w:val="00616BDB"/>
    <w:rsid w:val="00616C25"/>
    <w:rsid w:val="00616CE0"/>
    <w:rsid w:val="00616D73"/>
    <w:rsid w:val="00617728"/>
    <w:rsid w:val="006177F6"/>
    <w:rsid w:val="00617B24"/>
    <w:rsid w:val="00617D7E"/>
    <w:rsid w:val="00617F8D"/>
    <w:rsid w:val="0062124C"/>
    <w:rsid w:val="0062157E"/>
    <w:rsid w:val="006218CE"/>
    <w:rsid w:val="006219C5"/>
    <w:rsid w:val="00621AEC"/>
    <w:rsid w:val="00622144"/>
    <w:rsid w:val="006231ED"/>
    <w:rsid w:val="0062388A"/>
    <w:rsid w:val="006238CC"/>
    <w:rsid w:val="006243E7"/>
    <w:rsid w:val="006245CA"/>
    <w:rsid w:val="00624EEE"/>
    <w:rsid w:val="00624F7C"/>
    <w:rsid w:val="00625077"/>
    <w:rsid w:val="00625DC4"/>
    <w:rsid w:val="00626112"/>
    <w:rsid w:val="006262C6"/>
    <w:rsid w:val="0062643E"/>
    <w:rsid w:val="00626D56"/>
    <w:rsid w:val="00627100"/>
    <w:rsid w:val="00627384"/>
    <w:rsid w:val="006276AF"/>
    <w:rsid w:val="00627745"/>
    <w:rsid w:val="0062791F"/>
    <w:rsid w:val="00627B83"/>
    <w:rsid w:val="00627E57"/>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937"/>
    <w:rsid w:val="00634D37"/>
    <w:rsid w:val="00635016"/>
    <w:rsid w:val="0063506E"/>
    <w:rsid w:val="006354C2"/>
    <w:rsid w:val="0063573E"/>
    <w:rsid w:val="00636005"/>
    <w:rsid w:val="006360B8"/>
    <w:rsid w:val="006360F9"/>
    <w:rsid w:val="00636168"/>
    <w:rsid w:val="00636241"/>
    <w:rsid w:val="006362D3"/>
    <w:rsid w:val="00636812"/>
    <w:rsid w:val="00636BBD"/>
    <w:rsid w:val="0063767F"/>
    <w:rsid w:val="00637827"/>
    <w:rsid w:val="00637D54"/>
    <w:rsid w:val="00640005"/>
    <w:rsid w:val="00640498"/>
    <w:rsid w:val="006405D7"/>
    <w:rsid w:val="00640834"/>
    <w:rsid w:val="006416F0"/>
    <w:rsid w:val="00641707"/>
    <w:rsid w:val="00641B8D"/>
    <w:rsid w:val="00641BA2"/>
    <w:rsid w:val="00642092"/>
    <w:rsid w:val="006421AD"/>
    <w:rsid w:val="0064283F"/>
    <w:rsid w:val="00642A9B"/>
    <w:rsid w:val="00642D02"/>
    <w:rsid w:val="00642EB6"/>
    <w:rsid w:val="0064301A"/>
    <w:rsid w:val="0064319F"/>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7D6"/>
    <w:rsid w:val="0065193C"/>
    <w:rsid w:val="00652167"/>
    <w:rsid w:val="00652396"/>
    <w:rsid w:val="006527EC"/>
    <w:rsid w:val="00652DEF"/>
    <w:rsid w:val="00653332"/>
    <w:rsid w:val="00653422"/>
    <w:rsid w:val="00653476"/>
    <w:rsid w:val="006534CF"/>
    <w:rsid w:val="0065370B"/>
    <w:rsid w:val="00653EA6"/>
    <w:rsid w:val="0065404E"/>
    <w:rsid w:val="006540D0"/>
    <w:rsid w:val="006540FC"/>
    <w:rsid w:val="006544F2"/>
    <w:rsid w:val="00654D04"/>
    <w:rsid w:val="00655518"/>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093"/>
    <w:rsid w:val="00660633"/>
    <w:rsid w:val="0066082F"/>
    <w:rsid w:val="006609D4"/>
    <w:rsid w:val="00660B05"/>
    <w:rsid w:val="00660E90"/>
    <w:rsid w:val="006611BE"/>
    <w:rsid w:val="00661248"/>
    <w:rsid w:val="00661277"/>
    <w:rsid w:val="00661D96"/>
    <w:rsid w:val="00661E48"/>
    <w:rsid w:val="00662122"/>
    <w:rsid w:val="006621A9"/>
    <w:rsid w:val="0066266D"/>
    <w:rsid w:val="006628A0"/>
    <w:rsid w:val="00662E06"/>
    <w:rsid w:val="0066382F"/>
    <w:rsid w:val="006638A6"/>
    <w:rsid w:val="00663988"/>
    <w:rsid w:val="0066433A"/>
    <w:rsid w:val="00664451"/>
    <w:rsid w:val="006645CA"/>
    <w:rsid w:val="00664AEE"/>
    <w:rsid w:val="00664B59"/>
    <w:rsid w:val="00664BEE"/>
    <w:rsid w:val="00664CBC"/>
    <w:rsid w:val="00664D95"/>
    <w:rsid w:val="0066517F"/>
    <w:rsid w:val="00665353"/>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6EC"/>
    <w:rsid w:val="00672825"/>
    <w:rsid w:val="0067295B"/>
    <w:rsid w:val="00672A42"/>
    <w:rsid w:val="00672B92"/>
    <w:rsid w:val="00672DD7"/>
    <w:rsid w:val="00673092"/>
    <w:rsid w:val="00673367"/>
    <w:rsid w:val="0067398F"/>
    <w:rsid w:val="00673C4F"/>
    <w:rsid w:val="0067423D"/>
    <w:rsid w:val="00674B54"/>
    <w:rsid w:val="006751ED"/>
    <w:rsid w:val="006751F0"/>
    <w:rsid w:val="00675A29"/>
    <w:rsid w:val="00675E7A"/>
    <w:rsid w:val="00675EF9"/>
    <w:rsid w:val="00676167"/>
    <w:rsid w:val="006762C1"/>
    <w:rsid w:val="006768A0"/>
    <w:rsid w:val="00676D1E"/>
    <w:rsid w:val="00676F7A"/>
    <w:rsid w:val="0067702C"/>
    <w:rsid w:val="00677172"/>
    <w:rsid w:val="00677637"/>
    <w:rsid w:val="00677F91"/>
    <w:rsid w:val="0068009E"/>
    <w:rsid w:val="0068014B"/>
    <w:rsid w:val="006807EC"/>
    <w:rsid w:val="00680991"/>
    <w:rsid w:val="00680E0A"/>
    <w:rsid w:val="00681108"/>
    <w:rsid w:val="00681688"/>
    <w:rsid w:val="00681D9D"/>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310"/>
    <w:rsid w:val="0068559D"/>
    <w:rsid w:val="0068569E"/>
    <w:rsid w:val="00685B0A"/>
    <w:rsid w:val="00686733"/>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A5"/>
    <w:rsid w:val="006954B0"/>
    <w:rsid w:val="0069567D"/>
    <w:rsid w:val="00695E0E"/>
    <w:rsid w:val="00696680"/>
    <w:rsid w:val="006967E0"/>
    <w:rsid w:val="00696C25"/>
    <w:rsid w:val="00696FCD"/>
    <w:rsid w:val="0069764B"/>
    <w:rsid w:val="00697D72"/>
    <w:rsid w:val="00697DDD"/>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59D"/>
    <w:rsid w:val="006A36AE"/>
    <w:rsid w:val="006A38CF"/>
    <w:rsid w:val="006A3B7B"/>
    <w:rsid w:val="006A3DD4"/>
    <w:rsid w:val="006A4A8C"/>
    <w:rsid w:val="006A4F9B"/>
    <w:rsid w:val="006A5031"/>
    <w:rsid w:val="006A5658"/>
    <w:rsid w:val="006A579F"/>
    <w:rsid w:val="006A57FB"/>
    <w:rsid w:val="006A61AA"/>
    <w:rsid w:val="006A6377"/>
    <w:rsid w:val="006A6C5B"/>
    <w:rsid w:val="006A7950"/>
    <w:rsid w:val="006A7D15"/>
    <w:rsid w:val="006B0118"/>
    <w:rsid w:val="006B03DF"/>
    <w:rsid w:val="006B0587"/>
    <w:rsid w:val="006B061A"/>
    <w:rsid w:val="006B0F57"/>
    <w:rsid w:val="006B1017"/>
    <w:rsid w:val="006B12A7"/>
    <w:rsid w:val="006B1390"/>
    <w:rsid w:val="006B1499"/>
    <w:rsid w:val="006B157C"/>
    <w:rsid w:val="006B162E"/>
    <w:rsid w:val="006B17AD"/>
    <w:rsid w:val="006B1847"/>
    <w:rsid w:val="006B19C4"/>
    <w:rsid w:val="006B1C99"/>
    <w:rsid w:val="006B1CAE"/>
    <w:rsid w:val="006B204A"/>
    <w:rsid w:val="006B2954"/>
    <w:rsid w:val="006B2A89"/>
    <w:rsid w:val="006B3C78"/>
    <w:rsid w:val="006B40F4"/>
    <w:rsid w:val="006B4337"/>
    <w:rsid w:val="006B4774"/>
    <w:rsid w:val="006B47BE"/>
    <w:rsid w:val="006B4829"/>
    <w:rsid w:val="006B53A4"/>
    <w:rsid w:val="006B5481"/>
    <w:rsid w:val="006B59E3"/>
    <w:rsid w:val="006B5D8F"/>
    <w:rsid w:val="006B61D0"/>
    <w:rsid w:val="006B62D9"/>
    <w:rsid w:val="006B6E64"/>
    <w:rsid w:val="006B7096"/>
    <w:rsid w:val="006B767C"/>
    <w:rsid w:val="006B79CB"/>
    <w:rsid w:val="006B7F05"/>
    <w:rsid w:val="006C04E7"/>
    <w:rsid w:val="006C069F"/>
    <w:rsid w:val="006C0907"/>
    <w:rsid w:val="006C10E5"/>
    <w:rsid w:val="006C1FD2"/>
    <w:rsid w:val="006C20D0"/>
    <w:rsid w:val="006C28F0"/>
    <w:rsid w:val="006C2E24"/>
    <w:rsid w:val="006C32D8"/>
    <w:rsid w:val="006C35BE"/>
    <w:rsid w:val="006C39D5"/>
    <w:rsid w:val="006C3B47"/>
    <w:rsid w:val="006C3BDD"/>
    <w:rsid w:val="006C3E21"/>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730B"/>
    <w:rsid w:val="006C7548"/>
    <w:rsid w:val="006C7B7A"/>
    <w:rsid w:val="006C7FC1"/>
    <w:rsid w:val="006D06D3"/>
    <w:rsid w:val="006D1003"/>
    <w:rsid w:val="006D11D6"/>
    <w:rsid w:val="006D163F"/>
    <w:rsid w:val="006D17AB"/>
    <w:rsid w:val="006D17B1"/>
    <w:rsid w:val="006D209B"/>
    <w:rsid w:val="006D2420"/>
    <w:rsid w:val="006D2602"/>
    <w:rsid w:val="006D2944"/>
    <w:rsid w:val="006D2BB9"/>
    <w:rsid w:val="006D3175"/>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3F"/>
    <w:rsid w:val="006D5BAB"/>
    <w:rsid w:val="006D5E31"/>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CDC"/>
    <w:rsid w:val="006E1E35"/>
    <w:rsid w:val="006E2007"/>
    <w:rsid w:val="006E245B"/>
    <w:rsid w:val="006E249C"/>
    <w:rsid w:val="006E2680"/>
    <w:rsid w:val="006E2822"/>
    <w:rsid w:val="006E2A83"/>
    <w:rsid w:val="006E2E7D"/>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ED0"/>
    <w:rsid w:val="006E7FD1"/>
    <w:rsid w:val="006F0138"/>
    <w:rsid w:val="006F0480"/>
    <w:rsid w:val="006F0553"/>
    <w:rsid w:val="006F0583"/>
    <w:rsid w:val="006F0889"/>
    <w:rsid w:val="006F0DD8"/>
    <w:rsid w:val="006F10BB"/>
    <w:rsid w:val="006F127E"/>
    <w:rsid w:val="006F15F0"/>
    <w:rsid w:val="006F16E5"/>
    <w:rsid w:val="006F179F"/>
    <w:rsid w:val="006F1A7B"/>
    <w:rsid w:val="006F2133"/>
    <w:rsid w:val="006F22B9"/>
    <w:rsid w:val="006F2609"/>
    <w:rsid w:val="006F2B36"/>
    <w:rsid w:val="006F3123"/>
    <w:rsid w:val="006F32E8"/>
    <w:rsid w:val="006F3DE6"/>
    <w:rsid w:val="006F446C"/>
    <w:rsid w:val="006F4BAD"/>
    <w:rsid w:val="006F4C36"/>
    <w:rsid w:val="006F51D6"/>
    <w:rsid w:val="006F5232"/>
    <w:rsid w:val="006F59AB"/>
    <w:rsid w:val="006F5B61"/>
    <w:rsid w:val="006F61CA"/>
    <w:rsid w:val="006F658F"/>
    <w:rsid w:val="006F6A40"/>
    <w:rsid w:val="006F6B5E"/>
    <w:rsid w:val="006F6BF0"/>
    <w:rsid w:val="006F6F3F"/>
    <w:rsid w:val="006F70E1"/>
    <w:rsid w:val="006F7301"/>
    <w:rsid w:val="006F7AA6"/>
    <w:rsid w:val="006F7B37"/>
    <w:rsid w:val="006F7BB6"/>
    <w:rsid w:val="00700038"/>
    <w:rsid w:val="0070050E"/>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E66"/>
    <w:rsid w:val="00706047"/>
    <w:rsid w:val="0070633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309D"/>
    <w:rsid w:val="0071314E"/>
    <w:rsid w:val="0071326B"/>
    <w:rsid w:val="00713717"/>
    <w:rsid w:val="00713CEF"/>
    <w:rsid w:val="00714233"/>
    <w:rsid w:val="007143A4"/>
    <w:rsid w:val="007147E9"/>
    <w:rsid w:val="007149EF"/>
    <w:rsid w:val="00715192"/>
    <w:rsid w:val="007152F9"/>
    <w:rsid w:val="007162D2"/>
    <w:rsid w:val="00716310"/>
    <w:rsid w:val="007165ED"/>
    <w:rsid w:val="00716F0E"/>
    <w:rsid w:val="00716F5A"/>
    <w:rsid w:val="00717404"/>
    <w:rsid w:val="00717F5C"/>
    <w:rsid w:val="007200F4"/>
    <w:rsid w:val="00720508"/>
    <w:rsid w:val="00720CFB"/>
    <w:rsid w:val="00720DBC"/>
    <w:rsid w:val="00720F9E"/>
    <w:rsid w:val="007216AD"/>
    <w:rsid w:val="00721979"/>
    <w:rsid w:val="00721C39"/>
    <w:rsid w:val="00721E0E"/>
    <w:rsid w:val="00721E59"/>
    <w:rsid w:val="00721F48"/>
    <w:rsid w:val="00721FE3"/>
    <w:rsid w:val="007222C0"/>
    <w:rsid w:val="00722492"/>
    <w:rsid w:val="00723718"/>
    <w:rsid w:val="00723804"/>
    <w:rsid w:val="007239DF"/>
    <w:rsid w:val="007239F0"/>
    <w:rsid w:val="00723A5B"/>
    <w:rsid w:val="007240B5"/>
    <w:rsid w:val="00724C16"/>
    <w:rsid w:val="00724DB0"/>
    <w:rsid w:val="00724EE3"/>
    <w:rsid w:val="00724FFA"/>
    <w:rsid w:val="0072515F"/>
    <w:rsid w:val="00725667"/>
    <w:rsid w:val="00725D10"/>
    <w:rsid w:val="007266AB"/>
    <w:rsid w:val="007266C9"/>
    <w:rsid w:val="00726F37"/>
    <w:rsid w:val="00727412"/>
    <w:rsid w:val="00727574"/>
    <w:rsid w:val="007276AA"/>
    <w:rsid w:val="00727945"/>
    <w:rsid w:val="00727D6A"/>
    <w:rsid w:val="007300AE"/>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44D8"/>
    <w:rsid w:val="007349B7"/>
    <w:rsid w:val="00734BA5"/>
    <w:rsid w:val="007352A1"/>
    <w:rsid w:val="007355BF"/>
    <w:rsid w:val="0073564E"/>
    <w:rsid w:val="00735AD3"/>
    <w:rsid w:val="00735D01"/>
    <w:rsid w:val="00736681"/>
    <w:rsid w:val="0073687D"/>
    <w:rsid w:val="00736F50"/>
    <w:rsid w:val="00737B4A"/>
    <w:rsid w:val="00737DEF"/>
    <w:rsid w:val="00740010"/>
    <w:rsid w:val="00740792"/>
    <w:rsid w:val="00740FC8"/>
    <w:rsid w:val="0074116E"/>
    <w:rsid w:val="00741435"/>
    <w:rsid w:val="00741ED9"/>
    <w:rsid w:val="007420DA"/>
    <w:rsid w:val="007428FB"/>
    <w:rsid w:val="00742B09"/>
    <w:rsid w:val="00742EEF"/>
    <w:rsid w:val="0074320A"/>
    <w:rsid w:val="0074324C"/>
    <w:rsid w:val="00743672"/>
    <w:rsid w:val="00743D92"/>
    <w:rsid w:val="0074432D"/>
    <w:rsid w:val="00744734"/>
    <w:rsid w:val="00744952"/>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892"/>
    <w:rsid w:val="00751C2D"/>
    <w:rsid w:val="00752816"/>
    <w:rsid w:val="00752D52"/>
    <w:rsid w:val="0075322A"/>
    <w:rsid w:val="0075377E"/>
    <w:rsid w:val="00753CB8"/>
    <w:rsid w:val="007542D4"/>
    <w:rsid w:val="00754CFD"/>
    <w:rsid w:val="00754F18"/>
    <w:rsid w:val="007552AF"/>
    <w:rsid w:val="00755374"/>
    <w:rsid w:val="00755481"/>
    <w:rsid w:val="00755516"/>
    <w:rsid w:val="00755553"/>
    <w:rsid w:val="00755678"/>
    <w:rsid w:val="00755DFE"/>
    <w:rsid w:val="0075625C"/>
    <w:rsid w:val="007575DC"/>
    <w:rsid w:val="007575E8"/>
    <w:rsid w:val="00757DB2"/>
    <w:rsid w:val="007602A0"/>
    <w:rsid w:val="007604E1"/>
    <w:rsid w:val="00760725"/>
    <w:rsid w:val="00761385"/>
    <w:rsid w:val="00761730"/>
    <w:rsid w:val="0076181A"/>
    <w:rsid w:val="007619C2"/>
    <w:rsid w:val="007619DE"/>
    <w:rsid w:val="00761B35"/>
    <w:rsid w:val="00761B5A"/>
    <w:rsid w:val="0076201F"/>
    <w:rsid w:val="00762372"/>
    <w:rsid w:val="00762837"/>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172"/>
    <w:rsid w:val="00770D87"/>
    <w:rsid w:val="0077105B"/>
    <w:rsid w:val="00771C67"/>
    <w:rsid w:val="00771FEF"/>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D2B"/>
    <w:rsid w:val="00776E2C"/>
    <w:rsid w:val="007772EF"/>
    <w:rsid w:val="00777432"/>
    <w:rsid w:val="00777986"/>
    <w:rsid w:val="00777BFE"/>
    <w:rsid w:val="00777FF9"/>
    <w:rsid w:val="00780558"/>
    <w:rsid w:val="00780897"/>
    <w:rsid w:val="007815ED"/>
    <w:rsid w:val="0078192A"/>
    <w:rsid w:val="00781B12"/>
    <w:rsid w:val="00781C68"/>
    <w:rsid w:val="00781E69"/>
    <w:rsid w:val="007821C1"/>
    <w:rsid w:val="00782D62"/>
    <w:rsid w:val="007838FF"/>
    <w:rsid w:val="00783EBB"/>
    <w:rsid w:val="0078438B"/>
    <w:rsid w:val="0078451D"/>
    <w:rsid w:val="00784A2B"/>
    <w:rsid w:val="00784CAD"/>
    <w:rsid w:val="00784D68"/>
    <w:rsid w:val="007851A8"/>
    <w:rsid w:val="0078531C"/>
    <w:rsid w:val="0078544D"/>
    <w:rsid w:val="00785788"/>
    <w:rsid w:val="00785862"/>
    <w:rsid w:val="0078649D"/>
    <w:rsid w:val="007864C1"/>
    <w:rsid w:val="007865A6"/>
    <w:rsid w:val="00786A09"/>
    <w:rsid w:val="00786EAA"/>
    <w:rsid w:val="007871CA"/>
    <w:rsid w:val="007874F6"/>
    <w:rsid w:val="00787A69"/>
    <w:rsid w:val="00787EEF"/>
    <w:rsid w:val="0079034C"/>
    <w:rsid w:val="0079040F"/>
    <w:rsid w:val="0079062A"/>
    <w:rsid w:val="00790899"/>
    <w:rsid w:val="00791007"/>
    <w:rsid w:val="007912F9"/>
    <w:rsid w:val="00791DD8"/>
    <w:rsid w:val="00792041"/>
    <w:rsid w:val="00792109"/>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1E02"/>
    <w:rsid w:val="007A20B9"/>
    <w:rsid w:val="007A235A"/>
    <w:rsid w:val="007A28AB"/>
    <w:rsid w:val="007A28EC"/>
    <w:rsid w:val="007A2A3A"/>
    <w:rsid w:val="007A2D8C"/>
    <w:rsid w:val="007A34AE"/>
    <w:rsid w:val="007A35CD"/>
    <w:rsid w:val="007A3A9B"/>
    <w:rsid w:val="007A3AD9"/>
    <w:rsid w:val="007A3B98"/>
    <w:rsid w:val="007A3E1C"/>
    <w:rsid w:val="007A43DE"/>
    <w:rsid w:val="007A4682"/>
    <w:rsid w:val="007A47C1"/>
    <w:rsid w:val="007A48A3"/>
    <w:rsid w:val="007A4CC8"/>
    <w:rsid w:val="007A4DFF"/>
    <w:rsid w:val="007A5042"/>
    <w:rsid w:val="007A54C5"/>
    <w:rsid w:val="007A5B1C"/>
    <w:rsid w:val="007A5D40"/>
    <w:rsid w:val="007A62BB"/>
    <w:rsid w:val="007A63C1"/>
    <w:rsid w:val="007A6501"/>
    <w:rsid w:val="007A65BD"/>
    <w:rsid w:val="007A67B3"/>
    <w:rsid w:val="007A6FCF"/>
    <w:rsid w:val="007A736E"/>
    <w:rsid w:val="007A77E8"/>
    <w:rsid w:val="007A7857"/>
    <w:rsid w:val="007A7C79"/>
    <w:rsid w:val="007B01E9"/>
    <w:rsid w:val="007B0265"/>
    <w:rsid w:val="007B0DAA"/>
    <w:rsid w:val="007B0EF2"/>
    <w:rsid w:val="007B10A8"/>
    <w:rsid w:val="007B1429"/>
    <w:rsid w:val="007B1811"/>
    <w:rsid w:val="007B21C2"/>
    <w:rsid w:val="007B225A"/>
    <w:rsid w:val="007B2492"/>
    <w:rsid w:val="007B2504"/>
    <w:rsid w:val="007B2F5E"/>
    <w:rsid w:val="007B32BA"/>
    <w:rsid w:val="007B3B23"/>
    <w:rsid w:val="007B4027"/>
    <w:rsid w:val="007B4164"/>
    <w:rsid w:val="007B42CE"/>
    <w:rsid w:val="007B556F"/>
    <w:rsid w:val="007B55D6"/>
    <w:rsid w:val="007B55E8"/>
    <w:rsid w:val="007B59C2"/>
    <w:rsid w:val="007B5B27"/>
    <w:rsid w:val="007B5D6B"/>
    <w:rsid w:val="007B5F5F"/>
    <w:rsid w:val="007B63FA"/>
    <w:rsid w:val="007B6524"/>
    <w:rsid w:val="007B7166"/>
    <w:rsid w:val="007B7278"/>
    <w:rsid w:val="007B73AA"/>
    <w:rsid w:val="007B7420"/>
    <w:rsid w:val="007B79E7"/>
    <w:rsid w:val="007B79F1"/>
    <w:rsid w:val="007B7B93"/>
    <w:rsid w:val="007B7F30"/>
    <w:rsid w:val="007C04A5"/>
    <w:rsid w:val="007C0524"/>
    <w:rsid w:val="007C07F7"/>
    <w:rsid w:val="007C0FAA"/>
    <w:rsid w:val="007C16B2"/>
    <w:rsid w:val="007C19F0"/>
    <w:rsid w:val="007C1AA6"/>
    <w:rsid w:val="007C2536"/>
    <w:rsid w:val="007C2C3F"/>
    <w:rsid w:val="007C2CAF"/>
    <w:rsid w:val="007C3566"/>
    <w:rsid w:val="007C35C9"/>
    <w:rsid w:val="007C3A5D"/>
    <w:rsid w:val="007C3CF5"/>
    <w:rsid w:val="007C4012"/>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1FD"/>
    <w:rsid w:val="007D0289"/>
    <w:rsid w:val="007D0382"/>
    <w:rsid w:val="007D06B1"/>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314"/>
    <w:rsid w:val="007E13FF"/>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2273"/>
    <w:rsid w:val="007F2285"/>
    <w:rsid w:val="007F261E"/>
    <w:rsid w:val="007F262C"/>
    <w:rsid w:val="007F2A17"/>
    <w:rsid w:val="007F2B77"/>
    <w:rsid w:val="007F3B8F"/>
    <w:rsid w:val="007F45FE"/>
    <w:rsid w:val="007F4AC8"/>
    <w:rsid w:val="007F4C18"/>
    <w:rsid w:val="007F4E4C"/>
    <w:rsid w:val="007F6156"/>
    <w:rsid w:val="007F6379"/>
    <w:rsid w:val="007F648B"/>
    <w:rsid w:val="007F6657"/>
    <w:rsid w:val="007F6805"/>
    <w:rsid w:val="007F6B57"/>
    <w:rsid w:val="007F6C13"/>
    <w:rsid w:val="007F7043"/>
    <w:rsid w:val="007F7190"/>
    <w:rsid w:val="007F72C9"/>
    <w:rsid w:val="007F744F"/>
    <w:rsid w:val="007F7A92"/>
    <w:rsid w:val="00800A3E"/>
    <w:rsid w:val="00800C44"/>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819"/>
    <w:rsid w:val="00807036"/>
    <w:rsid w:val="0080755F"/>
    <w:rsid w:val="0080760E"/>
    <w:rsid w:val="0080764B"/>
    <w:rsid w:val="008077E2"/>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5261"/>
    <w:rsid w:val="00815348"/>
    <w:rsid w:val="0081564B"/>
    <w:rsid w:val="0081572D"/>
    <w:rsid w:val="00815B1A"/>
    <w:rsid w:val="00815BDA"/>
    <w:rsid w:val="008162D4"/>
    <w:rsid w:val="00816332"/>
    <w:rsid w:val="008167D6"/>
    <w:rsid w:val="00816CA6"/>
    <w:rsid w:val="00816DCD"/>
    <w:rsid w:val="00816FD8"/>
    <w:rsid w:val="00816FFA"/>
    <w:rsid w:val="0081722D"/>
    <w:rsid w:val="00817513"/>
    <w:rsid w:val="00817E9A"/>
    <w:rsid w:val="00817EA6"/>
    <w:rsid w:val="00817EF0"/>
    <w:rsid w:val="008200F3"/>
    <w:rsid w:val="008203CF"/>
    <w:rsid w:val="008205DB"/>
    <w:rsid w:val="0082114F"/>
    <w:rsid w:val="008219AF"/>
    <w:rsid w:val="00821CF6"/>
    <w:rsid w:val="008222E0"/>
    <w:rsid w:val="00822D87"/>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A9F"/>
    <w:rsid w:val="00833D24"/>
    <w:rsid w:val="00833E52"/>
    <w:rsid w:val="00833ED5"/>
    <w:rsid w:val="00834730"/>
    <w:rsid w:val="0083475D"/>
    <w:rsid w:val="008348F3"/>
    <w:rsid w:val="00834C6B"/>
    <w:rsid w:val="008351BD"/>
    <w:rsid w:val="00835CA0"/>
    <w:rsid w:val="00835CE1"/>
    <w:rsid w:val="00835D55"/>
    <w:rsid w:val="00835DE8"/>
    <w:rsid w:val="0083720E"/>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CC4"/>
    <w:rsid w:val="00842F2F"/>
    <w:rsid w:val="008438AF"/>
    <w:rsid w:val="00843B03"/>
    <w:rsid w:val="00843C94"/>
    <w:rsid w:val="00844BBD"/>
    <w:rsid w:val="00844C51"/>
    <w:rsid w:val="00845809"/>
    <w:rsid w:val="00845D05"/>
    <w:rsid w:val="008465C4"/>
    <w:rsid w:val="00846694"/>
    <w:rsid w:val="008471EB"/>
    <w:rsid w:val="00847300"/>
    <w:rsid w:val="00847436"/>
    <w:rsid w:val="00847590"/>
    <w:rsid w:val="008475A0"/>
    <w:rsid w:val="008475B5"/>
    <w:rsid w:val="0084769B"/>
    <w:rsid w:val="00847B76"/>
    <w:rsid w:val="00847E48"/>
    <w:rsid w:val="00850CA7"/>
    <w:rsid w:val="00850EF5"/>
    <w:rsid w:val="008517B6"/>
    <w:rsid w:val="00851F99"/>
    <w:rsid w:val="00852428"/>
    <w:rsid w:val="00852858"/>
    <w:rsid w:val="00852B24"/>
    <w:rsid w:val="00852B59"/>
    <w:rsid w:val="00852CAE"/>
    <w:rsid w:val="00852D6D"/>
    <w:rsid w:val="00852EDF"/>
    <w:rsid w:val="00853444"/>
    <w:rsid w:val="008534E6"/>
    <w:rsid w:val="008536B8"/>
    <w:rsid w:val="008537D9"/>
    <w:rsid w:val="0085389A"/>
    <w:rsid w:val="00854075"/>
    <w:rsid w:val="008549A6"/>
    <w:rsid w:val="008549DE"/>
    <w:rsid w:val="00855A18"/>
    <w:rsid w:val="00855DD9"/>
    <w:rsid w:val="008565A6"/>
    <w:rsid w:val="00856A2D"/>
    <w:rsid w:val="00856AF6"/>
    <w:rsid w:val="00856DC4"/>
    <w:rsid w:val="0085707D"/>
    <w:rsid w:val="008572A0"/>
    <w:rsid w:val="0085730B"/>
    <w:rsid w:val="00857596"/>
    <w:rsid w:val="00857A80"/>
    <w:rsid w:val="00857A96"/>
    <w:rsid w:val="00857B28"/>
    <w:rsid w:val="00860317"/>
    <w:rsid w:val="008603FA"/>
    <w:rsid w:val="008606FC"/>
    <w:rsid w:val="00860B89"/>
    <w:rsid w:val="0086166B"/>
    <w:rsid w:val="00861A2B"/>
    <w:rsid w:val="00861B19"/>
    <w:rsid w:val="008628EA"/>
    <w:rsid w:val="00862949"/>
    <w:rsid w:val="00862DA5"/>
    <w:rsid w:val="008639F3"/>
    <w:rsid w:val="00863DF2"/>
    <w:rsid w:val="00863FB2"/>
    <w:rsid w:val="008641C5"/>
    <w:rsid w:val="00864E63"/>
    <w:rsid w:val="00864EFD"/>
    <w:rsid w:val="0086523C"/>
    <w:rsid w:val="0086535C"/>
    <w:rsid w:val="00865C9B"/>
    <w:rsid w:val="0086624C"/>
    <w:rsid w:val="008664B3"/>
    <w:rsid w:val="0086687C"/>
    <w:rsid w:val="00866CC6"/>
    <w:rsid w:val="00866EC0"/>
    <w:rsid w:val="00867047"/>
    <w:rsid w:val="0086711E"/>
    <w:rsid w:val="0086791E"/>
    <w:rsid w:val="008679CB"/>
    <w:rsid w:val="00867EB0"/>
    <w:rsid w:val="008706AE"/>
    <w:rsid w:val="0087171C"/>
    <w:rsid w:val="008718F2"/>
    <w:rsid w:val="00871AD3"/>
    <w:rsid w:val="00872220"/>
    <w:rsid w:val="0087223E"/>
    <w:rsid w:val="008725F3"/>
    <w:rsid w:val="008726B8"/>
    <w:rsid w:val="008733E0"/>
    <w:rsid w:val="00873539"/>
    <w:rsid w:val="008737DA"/>
    <w:rsid w:val="00873827"/>
    <w:rsid w:val="0087419B"/>
    <w:rsid w:val="008743BB"/>
    <w:rsid w:val="00874644"/>
    <w:rsid w:val="00874730"/>
    <w:rsid w:val="00874FA6"/>
    <w:rsid w:val="00875C0D"/>
    <w:rsid w:val="00875EF1"/>
    <w:rsid w:val="00875FCC"/>
    <w:rsid w:val="00876025"/>
    <w:rsid w:val="008760F3"/>
    <w:rsid w:val="00876482"/>
    <w:rsid w:val="0087675C"/>
    <w:rsid w:val="00877191"/>
    <w:rsid w:val="008773F4"/>
    <w:rsid w:val="00877421"/>
    <w:rsid w:val="00877433"/>
    <w:rsid w:val="008774A9"/>
    <w:rsid w:val="008774CB"/>
    <w:rsid w:val="008779FF"/>
    <w:rsid w:val="0088039B"/>
    <w:rsid w:val="008803E8"/>
    <w:rsid w:val="00880B6F"/>
    <w:rsid w:val="0088142E"/>
    <w:rsid w:val="00881AFF"/>
    <w:rsid w:val="00881B49"/>
    <w:rsid w:val="00882366"/>
    <w:rsid w:val="0088251A"/>
    <w:rsid w:val="00882692"/>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CAE"/>
    <w:rsid w:val="00885E17"/>
    <w:rsid w:val="00885FC2"/>
    <w:rsid w:val="008860CC"/>
    <w:rsid w:val="00886CB7"/>
    <w:rsid w:val="008870B3"/>
    <w:rsid w:val="0088780F"/>
    <w:rsid w:val="00887A91"/>
    <w:rsid w:val="00887CEB"/>
    <w:rsid w:val="0089017C"/>
    <w:rsid w:val="008903FB"/>
    <w:rsid w:val="00890BEB"/>
    <w:rsid w:val="00891346"/>
    <w:rsid w:val="00891C24"/>
    <w:rsid w:val="00891CDA"/>
    <w:rsid w:val="00891D6F"/>
    <w:rsid w:val="00892841"/>
    <w:rsid w:val="00892898"/>
    <w:rsid w:val="008928C6"/>
    <w:rsid w:val="008929C9"/>
    <w:rsid w:val="00892B50"/>
    <w:rsid w:val="008930A4"/>
    <w:rsid w:val="00893101"/>
    <w:rsid w:val="00893225"/>
    <w:rsid w:val="008937F3"/>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56E"/>
    <w:rsid w:val="00896AE9"/>
    <w:rsid w:val="00896D1E"/>
    <w:rsid w:val="00896FAD"/>
    <w:rsid w:val="0089786D"/>
    <w:rsid w:val="00897936"/>
    <w:rsid w:val="008A00D2"/>
    <w:rsid w:val="008A0357"/>
    <w:rsid w:val="008A03E2"/>
    <w:rsid w:val="008A08FD"/>
    <w:rsid w:val="008A1526"/>
    <w:rsid w:val="008A15DB"/>
    <w:rsid w:val="008A1739"/>
    <w:rsid w:val="008A17A1"/>
    <w:rsid w:val="008A1977"/>
    <w:rsid w:val="008A1CA2"/>
    <w:rsid w:val="008A1D4D"/>
    <w:rsid w:val="008A1DD4"/>
    <w:rsid w:val="008A1DD5"/>
    <w:rsid w:val="008A1FDD"/>
    <w:rsid w:val="008A201A"/>
    <w:rsid w:val="008A2465"/>
    <w:rsid w:val="008A256C"/>
    <w:rsid w:val="008A2852"/>
    <w:rsid w:val="008A2AF4"/>
    <w:rsid w:val="008A2C28"/>
    <w:rsid w:val="008A2DD7"/>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AEF"/>
    <w:rsid w:val="008A5E56"/>
    <w:rsid w:val="008A63B9"/>
    <w:rsid w:val="008A70F4"/>
    <w:rsid w:val="008A7697"/>
    <w:rsid w:val="008A7745"/>
    <w:rsid w:val="008A7B18"/>
    <w:rsid w:val="008A7E9E"/>
    <w:rsid w:val="008A7EB5"/>
    <w:rsid w:val="008B0487"/>
    <w:rsid w:val="008B0646"/>
    <w:rsid w:val="008B0CB1"/>
    <w:rsid w:val="008B0EC4"/>
    <w:rsid w:val="008B18D4"/>
    <w:rsid w:val="008B1940"/>
    <w:rsid w:val="008B1E65"/>
    <w:rsid w:val="008B1FEE"/>
    <w:rsid w:val="008B23DC"/>
    <w:rsid w:val="008B2817"/>
    <w:rsid w:val="008B2867"/>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B23"/>
    <w:rsid w:val="008C6CE9"/>
    <w:rsid w:val="008C7013"/>
    <w:rsid w:val="008C7394"/>
    <w:rsid w:val="008C73EC"/>
    <w:rsid w:val="008C75A7"/>
    <w:rsid w:val="008C792A"/>
    <w:rsid w:val="008C7B89"/>
    <w:rsid w:val="008C7F97"/>
    <w:rsid w:val="008D01B9"/>
    <w:rsid w:val="008D03FB"/>
    <w:rsid w:val="008D0D3F"/>
    <w:rsid w:val="008D0E74"/>
    <w:rsid w:val="008D146A"/>
    <w:rsid w:val="008D1809"/>
    <w:rsid w:val="008D18B0"/>
    <w:rsid w:val="008D1D76"/>
    <w:rsid w:val="008D2747"/>
    <w:rsid w:val="008D390E"/>
    <w:rsid w:val="008D3EF1"/>
    <w:rsid w:val="008D3F17"/>
    <w:rsid w:val="008D426D"/>
    <w:rsid w:val="008D4460"/>
    <w:rsid w:val="008D49CA"/>
    <w:rsid w:val="008D4D53"/>
    <w:rsid w:val="008D530E"/>
    <w:rsid w:val="008D5EF0"/>
    <w:rsid w:val="008D60EF"/>
    <w:rsid w:val="008D62ED"/>
    <w:rsid w:val="008D63BE"/>
    <w:rsid w:val="008D66EC"/>
    <w:rsid w:val="008D6A94"/>
    <w:rsid w:val="008D6B34"/>
    <w:rsid w:val="008D6DCA"/>
    <w:rsid w:val="008D6DE3"/>
    <w:rsid w:val="008D6F39"/>
    <w:rsid w:val="008D77EE"/>
    <w:rsid w:val="008D78DE"/>
    <w:rsid w:val="008E015C"/>
    <w:rsid w:val="008E01E0"/>
    <w:rsid w:val="008E02E1"/>
    <w:rsid w:val="008E0610"/>
    <w:rsid w:val="008E0717"/>
    <w:rsid w:val="008E0B8B"/>
    <w:rsid w:val="008E0C83"/>
    <w:rsid w:val="008E0CC2"/>
    <w:rsid w:val="008E0EB6"/>
    <w:rsid w:val="008E10FC"/>
    <w:rsid w:val="008E1D6F"/>
    <w:rsid w:val="008E220F"/>
    <w:rsid w:val="008E267F"/>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63E0"/>
    <w:rsid w:val="008E641A"/>
    <w:rsid w:val="008E70F6"/>
    <w:rsid w:val="008E7649"/>
    <w:rsid w:val="008E77F2"/>
    <w:rsid w:val="008E7CE8"/>
    <w:rsid w:val="008E7D20"/>
    <w:rsid w:val="008F0E28"/>
    <w:rsid w:val="008F0F3C"/>
    <w:rsid w:val="008F10F8"/>
    <w:rsid w:val="008F1231"/>
    <w:rsid w:val="008F1300"/>
    <w:rsid w:val="008F1563"/>
    <w:rsid w:val="008F18CA"/>
    <w:rsid w:val="008F1AB0"/>
    <w:rsid w:val="008F1EA4"/>
    <w:rsid w:val="008F2666"/>
    <w:rsid w:val="008F286E"/>
    <w:rsid w:val="008F2B09"/>
    <w:rsid w:val="008F2D4E"/>
    <w:rsid w:val="008F35B5"/>
    <w:rsid w:val="008F3778"/>
    <w:rsid w:val="008F3817"/>
    <w:rsid w:val="008F4146"/>
    <w:rsid w:val="008F45BE"/>
    <w:rsid w:val="008F4B49"/>
    <w:rsid w:val="008F4BE6"/>
    <w:rsid w:val="008F5026"/>
    <w:rsid w:val="008F5345"/>
    <w:rsid w:val="008F5464"/>
    <w:rsid w:val="008F54C1"/>
    <w:rsid w:val="008F54F0"/>
    <w:rsid w:val="008F5A6E"/>
    <w:rsid w:val="008F5B82"/>
    <w:rsid w:val="008F5CE6"/>
    <w:rsid w:val="008F60D5"/>
    <w:rsid w:val="008F6214"/>
    <w:rsid w:val="008F62A1"/>
    <w:rsid w:val="008F67C4"/>
    <w:rsid w:val="008F67CF"/>
    <w:rsid w:val="008F6DBC"/>
    <w:rsid w:val="008F6EE6"/>
    <w:rsid w:val="008F71BD"/>
    <w:rsid w:val="008F7378"/>
    <w:rsid w:val="008F773C"/>
    <w:rsid w:val="008F78D6"/>
    <w:rsid w:val="008F79A0"/>
    <w:rsid w:val="0090006C"/>
    <w:rsid w:val="00900B03"/>
    <w:rsid w:val="00901145"/>
    <w:rsid w:val="00901D4A"/>
    <w:rsid w:val="0090234B"/>
    <w:rsid w:val="009023F9"/>
    <w:rsid w:val="0090266F"/>
    <w:rsid w:val="00903515"/>
    <w:rsid w:val="009035B4"/>
    <w:rsid w:val="00903BCA"/>
    <w:rsid w:val="00904598"/>
    <w:rsid w:val="0090527B"/>
    <w:rsid w:val="00905620"/>
    <w:rsid w:val="00905743"/>
    <w:rsid w:val="00905ECE"/>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B3A"/>
    <w:rsid w:val="00913CD1"/>
    <w:rsid w:val="00913D57"/>
    <w:rsid w:val="00913DE6"/>
    <w:rsid w:val="009144AF"/>
    <w:rsid w:val="009148D3"/>
    <w:rsid w:val="00914B4C"/>
    <w:rsid w:val="00915595"/>
    <w:rsid w:val="00915752"/>
    <w:rsid w:val="00915B47"/>
    <w:rsid w:val="00915D5A"/>
    <w:rsid w:val="00915E0D"/>
    <w:rsid w:val="00916472"/>
    <w:rsid w:val="0091685C"/>
    <w:rsid w:val="00916D7B"/>
    <w:rsid w:val="00916DF0"/>
    <w:rsid w:val="00916E29"/>
    <w:rsid w:val="0091705E"/>
    <w:rsid w:val="00917223"/>
    <w:rsid w:val="00917942"/>
    <w:rsid w:val="0092034C"/>
    <w:rsid w:val="009207E8"/>
    <w:rsid w:val="00920943"/>
    <w:rsid w:val="0092105F"/>
    <w:rsid w:val="009214A4"/>
    <w:rsid w:val="0092153C"/>
    <w:rsid w:val="009215E6"/>
    <w:rsid w:val="00921E3B"/>
    <w:rsid w:val="009221D3"/>
    <w:rsid w:val="009225DB"/>
    <w:rsid w:val="0092328E"/>
    <w:rsid w:val="0092330C"/>
    <w:rsid w:val="00923568"/>
    <w:rsid w:val="009237C2"/>
    <w:rsid w:val="0092380A"/>
    <w:rsid w:val="00923902"/>
    <w:rsid w:val="009239E8"/>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D9"/>
    <w:rsid w:val="00935FEA"/>
    <w:rsid w:val="009365A5"/>
    <w:rsid w:val="00936F59"/>
    <w:rsid w:val="009370CE"/>
    <w:rsid w:val="00937272"/>
    <w:rsid w:val="00937317"/>
    <w:rsid w:val="009377C0"/>
    <w:rsid w:val="00937A99"/>
    <w:rsid w:val="00937F56"/>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BC3"/>
    <w:rsid w:val="009444C2"/>
    <w:rsid w:val="00944673"/>
    <w:rsid w:val="00944751"/>
    <w:rsid w:val="009447E3"/>
    <w:rsid w:val="00944A91"/>
    <w:rsid w:val="0094500A"/>
    <w:rsid w:val="0094597B"/>
    <w:rsid w:val="00945F66"/>
    <w:rsid w:val="009462F5"/>
    <w:rsid w:val="0094635A"/>
    <w:rsid w:val="00946462"/>
    <w:rsid w:val="009465C7"/>
    <w:rsid w:val="00946606"/>
    <w:rsid w:val="0094682C"/>
    <w:rsid w:val="009470DE"/>
    <w:rsid w:val="00947464"/>
    <w:rsid w:val="00947777"/>
    <w:rsid w:val="00947907"/>
    <w:rsid w:val="00947A68"/>
    <w:rsid w:val="00947D22"/>
    <w:rsid w:val="00950670"/>
    <w:rsid w:val="00950A85"/>
    <w:rsid w:val="00950B52"/>
    <w:rsid w:val="009520DF"/>
    <w:rsid w:val="00952349"/>
    <w:rsid w:val="009529A0"/>
    <w:rsid w:val="00952CDF"/>
    <w:rsid w:val="00952E84"/>
    <w:rsid w:val="009530AE"/>
    <w:rsid w:val="00953574"/>
    <w:rsid w:val="0095371E"/>
    <w:rsid w:val="00953A30"/>
    <w:rsid w:val="0095418D"/>
    <w:rsid w:val="009543FF"/>
    <w:rsid w:val="00954A20"/>
    <w:rsid w:val="009551A2"/>
    <w:rsid w:val="009554F2"/>
    <w:rsid w:val="0095563D"/>
    <w:rsid w:val="0095568E"/>
    <w:rsid w:val="00955C65"/>
    <w:rsid w:val="00955E81"/>
    <w:rsid w:val="009564D1"/>
    <w:rsid w:val="009567C0"/>
    <w:rsid w:val="00957622"/>
    <w:rsid w:val="00957CF8"/>
    <w:rsid w:val="00957EC2"/>
    <w:rsid w:val="0096028C"/>
    <w:rsid w:val="00960563"/>
    <w:rsid w:val="00960791"/>
    <w:rsid w:val="00960A3D"/>
    <w:rsid w:val="00960BDB"/>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4337"/>
    <w:rsid w:val="00964389"/>
    <w:rsid w:val="00964467"/>
    <w:rsid w:val="009650EF"/>
    <w:rsid w:val="00965331"/>
    <w:rsid w:val="00966052"/>
    <w:rsid w:val="009661D0"/>
    <w:rsid w:val="00966C36"/>
    <w:rsid w:val="00967139"/>
    <w:rsid w:val="0096727A"/>
    <w:rsid w:val="00967773"/>
    <w:rsid w:val="0096781B"/>
    <w:rsid w:val="00967D09"/>
    <w:rsid w:val="00970377"/>
    <w:rsid w:val="00970392"/>
    <w:rsid w:val="00970FC6"/>
    <w:rsid w:val="0097157E"/>
    <w:rsid w:val="00971A21"/>
    <w:rsid w:val="00972054"/>
    <w:rsid w:val="00972C44"/>
    <w:rsid w:val="009733AE"/>
    <w:rsid w:val="00973545"/>
    <w:rsid w:val="00973CBA"/>
    <w:rsid w:val="00973F8E"/>
    <w:rsid w:val="0097465C"/>
    <w:rsid w:val="009746F4"/>
    <w:rsid w:val="009750A5"/>
    <w:rsid w:val="00975A9A"/>
    <w:rsid w:val="0097673A"/>
    <w:rsid w:val="00976F7F"/>
    <w:rsid w:val="009770CC"/>
    <w:rsid w:val="00977ABA"/>
    <w:rsid w:val="00980128"/>
    <w:rsid w:val="009801FC"/>
    <w:rsid w:val="0098098C"/>
    <w:rsid w:val="00980EBD"/>
    <w:rsid w:val="009826D9"/>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EE0"/>
    <w:rsid w:val="00990FC4"/>
    <w:rsid w:val="009911FD"/>
    <w:rsid w:val="0099178E"/>
    <w:rsid w:val="00991CCA"/>
    <w:rsid w:val="00992C96"/>
    <w:rsid w:val="00993226"/>
    <w:rsid w:val="0099322F"/>
    <w:rsid w:val="00993A68"/>
    <w:rsid w:val="00993BAD"/>
    <w:rsid w:val="00993DE6"/>
    <w:rsid w:val="009945B3"/>
    <w:rsid w:val="00994831"/>
    <w:rsid w:val="00994CC6"/>
    <w:rsid w:val="00995180"/>
    <w:rsid w:val="00995427"/>
    <w:rsid w:val="0099549A"/>
    <w:rsid w:val="00995CEA"/>
    <w:rsid w:val="00995D5B"/>
    <w:rsid w:val="00995F52"/>
    <w:rsid w:val="009964BA"/>
    <w:rsid w:val="0099653D"/>
    <w:rsid w:val="009967CC"/>
    <w:rsid w:val="00996DE6"/>
    <w:rsid w:val="00997235"/>
    <w:rsid w:val="00997540"/>
    <w:rsid w:val="009976BD"/>
    <w:rsid w:val="00997F4F"/>
    <w:rsid w:val="009A09B7"/>
    <w:rsid w:val="009A0ECF"/>
    <w:rsid w:val="009A1119"/>
    <w:rsid w:val="009A1369"/>
    <w:rsid w:val="009A1547"/>
    <w:rsid w:val="009A177E"/>
    <w:rsid w:val="009A1A84"/>
    <w:rsid w:val="009A28BA"/>
    <w:rsid w:val="009A2FDC"/>
    <w:rsid w:val="009A35B0"/>
    <w:rsid w:val="009A35CA"/>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EFC"/>
    <w:rsid w:val="009B73AE"/>
    <w:rsid w:val="009B7771"/>
    <w:rsid w:val="009B78A4"/>
    <w:rsid w:val="009B7E53"/>
    <w:rsid w:val="009B7F61"/>
    <w:rsid w:val="009C015B"/>
    <w:rsid w:val="009C01BD"/>
    <w:rsid w:val="009C01DD"/>
    <w:rsid w:val="009C06CE"/>
    <w:rsid w:val="009C1390"/>
    <w:rsid w:val="009C15E8"/>
    <w:rsid w:val="009C16CD"/>
    <w:rsid w:val="009C17E5"/>
    <w:rsid w:val="009C1A1A"/>
    <w:rsid w:val="009C22D6"/>
    <w:rsid w:val="009C2581"/>
    <w:rsid w:val="009C28A4"/>
    <w:rsid w:val="009C2B38"/>
    <w:rsid w:val="009C30CF"/>
    <w:rsid w:val="009C3444"/>
    <w:rsid w:val="009C385C"/>
    <w:rsid w:val="009C3C1A"/>
    <w:rsid w:val="009C4096"/>
    <w:rsid w:val="009C4947"/>
    <w:rsid w:val="009C4C59"/>
    <w:rsid w:val="009C4CD6"/>
    <w:rsid w:val="009C5383"/>
    <w:rsid w:val="009C539A"/>
    <w:rsid w:val="009C53D5"/>
    <w:rsid w:val="009C544F"/>
    <w:rsid w:val="009C5643"/>
    <w:rsid w:val="009C5B64"/>
    <w:rsid w:val="009C5E7B"/>
    <w:rsid w:val="009C6040"/>
    <w:rsid w:val="009C6BF6"/>
    <w:rsid w:val="009C6C0E"/>
    <w:rsid w:val="009C6C69"/>
    <w:rsid w:val="009C6D9F"/>
    <w:rsid w:val="009C7264"/>
    <w:rsid w:val="009C72FB"/>
    <w:rsid w:val="009C7783"/>
    <w:rsid w:val="009C7897"/>
    <w:rsid w:val="009C7BC8"/>
    <w:rsid w:val="009D032A"/>
    <w:rsid w:val="009D04C7"/>
    <w:rsid w:val="009D05F9"/>
    <w:rsid w:val="009D08B1"/>
    <w:rsid w:val="009D0ADE"/>
    <w:rsid w:val="009D0B13"/>
    <w:rsid w:val="009D20E0"/>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D4"/>
    <w:rsid w:val="009E0708"/>
    <w:rsid w:val="009E095D"/>
    <w:rsid w:val="009E100C"/>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6502"/>
    <w:rsid w:val="009E655A"/>
    <w:rsid w:val="009E6EA2"/>
    <w:rsid w:val="009E79A0"/>
    <w:rsid w:val="009E7ABF"/>
    <w:rsid w:val="009F000F"/>
    <w:rsid w:val="009F0146"/>
    <w:rsid w:val="009F1934"/>
    <w:rsid w:val="009F1B0D"/>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76E"/>
    <w:rsid w:val="009F6877"/>
    <w:rsid w:val="009F6893"/>
    <w:rsid w:val="009F6DAD"/>
    <w:rsid w:val="009F6FCB"/>
    <w:rsid w:val="009F70F9"/>
    <w:rsid w:val="009F7710"/>
    <w:rsid w:val="009F7CAC"/>
    <w:rsid w:val="00A002FD"/>
    <w:rsid w:val="00A0046D"/>
    <w:rsid w:val="00A01161"/>
    <w:rsid w:val="00A012BB"/>
    <w:rsid w:val="00A014C3"/>
    <w:rsid w:val="00A0171C"/>
    <w:rsid w:val="00A01A51"/>
    <w:rsid w:val="00A01A6F"/>
    <w:rsid w:val="00A0260A"/>
    <w:rsid w:val="00A0268A"/>
    <w:rsid w:val="00A02AE2"/>
    <w:rsid w:val="00A032D3"/>
    <w:rsid w:val="00A03453"/>
    <w:rsid w:val="00A038CC"/>
    <w:rsid w:val="00A044A1"/>
    <w:rsid w:val="00A05136"/>
    <w:rsid w:val="00A05F06"/>
    <w:rsid w:val="00A06219"/>
    <w:rsid w:val="00A0757A"/>
    <w:rsid w:val="00A075A3"/>
    <w:rsid w:val="00A0763F"/>
    <w:rsid w:val="00A07AB9"/>
    <w:rsid w:val="00A07AE9"/>
    <w:rsid w:val="00A07B29"/>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7EB"/>
    <w:rsid w:val="00A14992"/>
    <w:rsid w:val="00A14D22"/>
    <w:rsid w:val="00A14D61"/>
    <w:rsid w:val="00A14DF6"/>
    <w:rsid w:val="00A1576A"/>
    <w:rsid w:val="00A157AC"/>
    <w:rsid w:val="00A158D2"/>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39A"/>
    <w:rsid w:val="00A22F58"/>
    <w:rsid w:val="00A23263"/>
    <w:rsid w:val="00A23358"/>
    <w:rsid w:val="00A2369F"/>
    <w:rsid w:val="00A23A9F"/>
    <w:rsid w:val="00A24335"/>
    <w:rsid w:val="00A24529"/>
    <w:rsid w:val="00A247C5"/>
    <w:rsid w:val="00A24BBA"/>
    <w:rsid w:val="00A24CB8"/>
    <w:rsid w:val="00A24E81"/>
    <w:rsid w:val="00A24F45"/>
    <w:rsid w:val="00A24F7A"/>
    <w:rsid w:val="00A252AE"/>
    <w:rsid w:val="00A253AC"/>
    <w:rsid w:val="00A257D1"/>
    <w:rsid w:val="00A25DEF"/>
    <w:rsid w:val="00A26093"/>
    <w:rsid w:val="00A26170"/>
    <w:rsid w:val="00A26177"/>
    <w:rsid w:val="00A26323"/>
    <w:rsid w:val="00A263EB"/>
    <w:rsid w:val="00A26A18"/>
    <w:rsid w:val="00A26A4C"/>
    <w:rsid w:val="00A2709E"/>
    <w:rsid w:val="00A27142"/>
    <w:rsid w:val="00A2752C"/>
    <w:rsid w:val="00A27792"/>
    <w:rsid w:val="00A27896"/>
    <w:rsid w:val="00A30290"/>
    <w:rsid w:val="00A3053B"/>
    <w:rsid w:val="00A30613"/>
    <w:rsid w:val="00A30AA2"/>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69EF"/>
    <w:rsid w:val="00A37007"/>
    <w:rsid w:val="00A37866"/>
    <w:rsid w:val="00A37999"/>
    <w:rsid w:val="00A379C7"/>
    <w:rsid w:val="00A37C7C"/>
    <w:rsid w:val="00A408C8"/>
    <w:rsid w:val="00A40BAA"/>
    <w:rsid w:val="00A40F85"/>
    <w:rsid w:val="00A40F94"/>
    <w:rsid w:val="00A41924"/>
    <w:rsid w:val="00A41A3C"/>
    <w:rsid w:val="00A4201A"/>
    <w:rsid w:val="00A423B0"/>
    <w:rsid w:val="00A42667"/>
    <w:rsid w:val="00A42F5B"/>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195"/>
    <w:rsid w:val="00A46A4C"/>
    <w:rsid w:val="00A46E0B"/>
    <w:rsid w:val="00A4766A"/>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604"/>
    <w:rsid w:val="00A54B50"/>
    <w:rsid w:val="00A54D6B"/>
    <w:rsid w:val="00A550B8"/>
    <w:rsid w:val="00A55A10"/>
    <w:rsid w:val="00A55DC8"/>
    <w:rsid w:val="00A55ED3"/>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EBC"/>
    <w:rsid w:val="00A70FE3"/>
    <w:rsid w:val="00A710D0"/>
    <w:rsid w:val="00A7118D"/>
    <w:rsid w:val="00A7121C"/>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CDF"/>
    <w:rsid w:val="00A75408"/>
    <w:rsid w:val="00A75598"/>
    <w:rsid w:val="00A756D0"/>
    <w:rsid w:val="00A75BCB"/>
    <w:rsid w:val="00A75CC3"/>
    <w:rsid w:val="00A75F1D"/>
    <w:rsid w:val="00A75F8C"/>
    <w:rsid w:val="00A761CF"/>
    <w:rsid w:val="00A7631D"/>
    <w:rsid w:val="00A7667E"/>
    <w:rsid w:val="00A76D19"/>
    <w:rsid w:val="00A775E6"/>
    <w:rsid w:val="00A7768F"/>
    <w:rsid w:val="00A7771D"/>
    <w:rsid w:val="00A80BF6"/>
    <w:rsid w:val="00A80E98"/>
    <w:rsid w:val="00A81694"/>
    <w:rsid w:val="00A817CD"/>
    <w:rsid w:val="00A818A0"/>
    <w:rsid w:val="00A81935"/>
    <w:rsid w:val="00A82113"/>
    <w:rsid w:val="00A825A5"/>
    <w:rsid w:val="00A82899"/>
    <w:rsid w:val="00A82D87"/>
    <w:rsid w:val="00A83251"/>
    <w:rsid w:val="00A83ACB"/>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66F"/>
    <w:rsid w:val="00A91DEE"/>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F1"/>
    <w:rsid w:val="00AA15D3"/>
    <w:rsid w:val="00AA1639"/>
    <w:rsid w:val="00AA165D"/>
    <w:rsid w:val="00AA19FD"/>
    <w:rsid w:val="00AA1F49"/>
    <w:rsid w:val="00AA21D3"/>
    <w:rsid w:val="00AA2482"/>
    <w:rsid w:val="00AA25C1"/>
    <w:rsid w:val="00AA2EEE"/>
    <w:rsid w:val="00AA31A5"/>
    <w:rsid w:val="00AA3BB3"/>
    <w:rsid w:val="00AA42BD"/>
    <w:rsid w:val="00AA4F2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31C"/>
    <w:rsid w:val="00AB34E3"/>
    <w:rsid w:val="00AB3533"/>
    <w:rsid w:val="00AB354B"/>
    <w:rsid w:val="00AB358E"/>
    <w:rsid w:val="00AB3B1C"/>
    <w:rsid w:val="00AB3B95"/>
    <w:rsid w:val="00AB45BE"/>
    <w:rsid w:val="00AB4670"/>
    <w:rsid w:val="00AB4835"/>
    <w:rsid w:val="00AB4A4E"/>
    <w:rsid w:val="00AB4CB4"/>
    <w:rsid w:val="00AB4DB7"/>
    <w:rsid w:val="00AB4EBF"/>
    <w:rsid w:val="00AB5709"/>
    <w:rsid w:val="00AB57DC"/>
    <w:rsid w:val="00AB592A"/>
    <w:rsid w:val="00AB5C1D"/>
    <w:rsid w:val="00AB5C38"/>
    <w:rsid w:val="00AB751C"/>
    <w:rsid w:val="00AB7625"/>
    <w:rsid w:val="00AB7910"/>
    <w:rsid w:val="00AB7C8E"/>
    <w:rsid w:val="00AC0214"/>
    <w:rsid w:val="00AC0251"/>
    <w:rsid w:val="00AC0646"/>
    <w:rsid w:val="00AC06D6"/>
    <w:rsid w:val="00AC0996"/>
    <w:rsid w:val="00AC0BA3"/>
    <w:rsid w:val="00AC0E98"/>
    <w:rsid w:val="00AC1341"/>
    <w:rsid w:val="00AC146B"/>
    <w:rsid w:val="00AC1919"/>
    <w:rsid w:val="00AC19A1"/>
    <w:rsid w:val="00AC1FB2"/>
    <w:rsid w:val="00AC24B4"/>
    <w:rsid w:val="00AC2A78"/>
    <w:rsid w:val="00AC2C4C"/>
    <w:rsid w:val="00AC2C5B"/>
    <w:rsid w:val="00AC2D57"/>
    <w:rsid w:val="00AC2DCB"/>
    <w:rsid w:val="00AC3308"/>
    <w:rsid w:val="00AC3531"/>
    <w:rsid w:val="00AC3665"/>
    <w:rsid w:val="00AC38A9"/>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4106"/>
    <w:rsid w:val="00AD4620"/>
    <w:rsid w:val="00AD4C1D"/>
    <w:rsid w:val="00AD5BF8"/>
    <w:rsid w:val="00AD5E5E"/>
    <w:rsid w:val="00AD602C"/>
    <w:rsid w:val="00AD6141"/>
    <w:rsid w:val="00AD62A3"/>
    <w:rsid w:val="00AD657D"/>
    <w:rsid w:val="00AD660E"/>
    <w:rsid w:val="00AD6D8B"/>
    <w:rsid w:val="00AD6FA9"/>
    <w:rsid w:val="00AD6FC8"/>
    <w:rsid w:val="00AD739E"/>
    <w:rsid w:val="00AD7C60"/>
    <w:rsid w:val="00AD7D70"/>
    <w:rsid w:val="00AE013C"/>
    <w:rsid w:val="00AE0375"/>
    <w:rsid w:val="00AE044B"/>
    <w:rsid w:val="00AE061D"/>
    <w:rsid w:val="00AE06C9"/>
    <w:rsid w:val="00AE0777"/>
    <w:rsid w:val="00AE0879"/>
    <w:rsid w:val="00AE0B80"/>
    <w:rsid w:val="00AE137C"/>
    <w:rsid w:val="00AE13AD"/>
    <w:rsid w:val="00AE1601"/>
    <w:rsid w:val="00AE18EF"/>
    <w:rsid w:val="00AE20B3"/>
    <w:rsid w:val="00AE228C"/>
    <w:rsid w:val="00AE2757"/>
    <w:rsid w:val="00AE2DB2"/>
    <w:rsid w:val="00AE31F9"/>
    <w:rsid w:val="00AE3435"/>
    <w:rsid w:val="00AE34E1"/>
    <w:rsid w:val="00AE3C76"/>
    <w:rsid w:val="00AE3D7A"/>
    <w:rsid w:val="00AE4060"/>
    <w:rsid w:val="00AE4B0F"/>
    <w:rsid w:val="00AE4F52"/>
    <w:rsid w:val="00AE5F79"/>
    <w:rsid w:val="00AE6AA2"/>
    <w:rsid w:val="00AE6CA7"/>
    <w:rsid w:val="00AE7293"/>
    <w:rsid w:val="00AE761B"/>
    <w:rsid w:val="00AF0080"/>
    <w:rsid w:val="00AF020A"/>
    <w:rsid w:val="00AF0365"/>
    <w:rsid w:val="00AF0760"/>
    <w:rsid w:val="00AF0B54"/>
    <w:rsid w:val="00AF0D06"/>
    <w:rsid w:val="00AF0F01"/>
    <w:rsid w:val="00AF1227"/>
    <w:rsid w:val="00AF1AF2"/>
    <w:rsid w:val="00AF1E4E"/>
    <w:rsid w:val="00AF217F"/>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717"/>
    <w:rsid w:val="00AF715D"/>
    <w:rsid w:val="00AF7FE0"/>
    <w:rsid w:val="00B001A4"/>
    <w:rsid w:val="00B00499"/>
    <w:rsid w:val="00B006BD"/>
    <w:rsid w:val="00B00753"/>
    <w:rsid w:val="00B0084A"/>
    <w:rsid w:val="00B01065"/>
    <w:rsid w:val="00B01112"/>
    <w:rsid w:val="00B024DF"/>
    <w:rsid w:val="00B0257E"/>
    <w:rsid w:val="00B02B74"/>
    <w:rsid w:val="00B035BC"/>
    <w:rsid w:val="00B03661"/>
    <w:rsid w:val="00B03856"/>
    <w:rsid w:val="00B042C2"/>
    <w:rsid w:val="00B04665"/>
    <w:rsid w:val="00B04C1F"/>
    <w:rsid w:val="00B04C3B"/>
    <w:rsid w:val="00B04F8B"/>
    <w:rsid w:val="00B057B8"/>
    <w:rsid w:val="00B059B9"/>
    <w:rsid w:val="00B0678A"/>
    <w:rsid w:val="00B06859"/>
    <w:rsid w:val="00B06C77"/>
    <w:rsid w:val="00B0744B"/>
    <w:rsid w:val="00B07605"/>
    <w:rsid w:val="00B07B64"/>
    <w:rsid w:val="00B07BB2"/>
    <w:rsid w:val="00B101F3"/>
    <w:rsid w:val="00B10408"/>
    <w:rsid w:val="00B106E2"/>
    <w:rsid w:val="00B1097C"/>
    <w:rsid w:val="00B10DBF"/>
    <w:rsid w:val="00B10E4A"/>
    <w:rsid w:val="00B10FAB"/>
    <w:rsid w:val="00B110B4"/>
    <w:rsid w:val="00B114BF"/>
    <w:rsid w:val="00B116EF"/>
    <w:rsid w:val="00B11861"/>
    <w:rsid w:val="00B126D6"/>
    <w:rsid w:val="00B128F9"/>
    <w:rsid w:val="00B129C4"/>
    <w:rsid w:val="00B12C78"/>
    <w:rsid w:val="00B12EE3"/>
    <w:rsid w:val="00B13500"/>
    <w:rsid w:val="00B1373F"/>
    <w:rsid w:val="00B13C92"/>
    <w:rsid w:val="00B13D65"/>
    <w:rsid w:val="00B14227"/>
    <w:rsid w:val="00B14651"/>
    <w:rsid w:val="00B14738"/>
    <w:rsid w:val="00B14AF7"/>
    <w:rsid w:val="00B14F4E"/>
    <w:rsid w:val="00B15478"/>
    <w:rsid w:val="00B15797"/>
    <w:rsid w:val="00B15A5B"/>
    <w:rsid w:val="00B15B47"/>
    <w:rsid w:val="00B15FC9"/>
    <w:rsid w:val="00B166EB"/>
    <w:rsid w:val="00B168D1"/>
    <w:rsid w:val="00B16D40"/>
    <w:rsid w:val="00B16DA1"/>
    <w:rsid w:val="00B173D9"/>
    <w:rsid w:val="00B1741E"/>
    <w:rsid w:val="00B17C46"/>
    <w:rsid w:val="00B17F04"/>
    <w:rsid w:val="00B2013D"/>
    <w:rsid w:val="00B20236"/>
    <w:rsid w:val="00B202A7"/>
    <w:rsid w:val="00B20535"/>
    <w:rsid w:val="00B21592"/>
    <w:rsid w:val="00B21CDE"/>
    <w:rsid w:val="00B22497"/>
    <w:rsid w:val="00B22786"/>
    <w:rsid w:val="00B228A5"/>
    <w:rsid w:val="00B238C1"/>
    <w:rsid w:val="00B23E9D"/>
    <w:rsid w:val="00B24054"/>
    <w:rsid w:val="00B240CB"/>
    <w:rsid w:val="00B24453"/>
    <w:rsid w:val="00B244B9"/>
    <w:rsid w:val="00B24B62"/>
    <w:rsid w:val="00B24BE1"/>
    <w:rsid w:val="00B2536C"/>
    <w:rsid w:val="00B25A88"/>
    <w:rsid w:val="00B25D3C"/>
    <w:rsid w:val="00B2602A"/>
    <w:rsid w:val="00B260A5"/>
    <w:rsid w:val="00B2621D"/>
    <w:rsid w:val="00B26786"/>
    <w:rsid w:val="00B26A85"/>
    <w:rsid w:val="00B2708A"/>
    <w:rsid w:val="00B27DD2"/>
    <w:rsid w:val="00B31224"/>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927"/>
    <w:rsid w:val="00B373FA"/>
    <w:rsid w:val="00B37963"/>
    <w:rsid w:val="00B37C4D"/>
    <w:rsid w:val="00B37D48"/>
    <w:rsid w:val="00B37E43"/>
    <w:rsid w:val="00B40734"/>
    <w:rsid w:val="00B40D66"/>
    <w:rsid w:val="00B410BA"/>
    <w:rsid w:val="00B41511"/>
    <w:rsid w:val="00B41998"/>
    <w:rsid w:val="00B41F4B"/>
    <w:rsid w:val="00B42035"/>
    <w:rsid w:val="00B4240B"/>
    <w:rsid w:val="00B42525"/>
    <w:rsid w:val="00B42526"/>
    <w:rsid w:val="00B42CB3"/>
    <w:rsid w:val="00B42D7C"/>
    <w:rsid w:val="00B42FED"/>
    <w:rsid w:val="00B4322C"/>
    <w:rsid w:val="00B4324C"/>
    <w:rsid w:val="00B43E18"/>
    <w:rsid w:val="00B43E91"/>
    <w:rsid w:val="00B444A9"/>
    <w:rsid w:val="00B44AE5"/>
    <w:rsid w:val="00B44C12"/>
    <w:rsid w:val="00B44D61"/>
    <w:rsid w:val="00B450A2"/>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6D1"/>
    <w:rsid w:val="00B5074D"/>
    <w:rsid w:val="00B50CE6"/>
    <w:rsid w:val="00B510EC"/>
    <w:rsid w:val="00B5160D"/>
    <w:rsid w:val="00B51656"/>
    <w:rsid w:val="00B51745"/>
    <w:rsid w:val="00B51A4C"/>
    <w:rsid w:val="00B51B65"/>
    <w:rsid w:val="00B51E74"/>
    <w:rsid w:val="00B51F74"/>
    <w:rsid w:val="00B522E0"/>
    <w:rsid w:val="00B52359"/>
    <w:rsid w:val="00B5250D"/>
    <w:rsid w:val="00B5279D"/>
    <w:rsid w:val="00B52894"/>
    <w:rsid w:val="00B53506"/>
    <w:rsid w:val="00B5350C"/>
    <w:rsid w:val="00B536C4"/>
    <w:rsid w:val="00B53715"/>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706"/>
    <w:rsid w:val="00B60819"/>
    <w:rsid w:val="00B60887"/>
    <w:rsid w:val="00B609E0"/>
    <w:rsid w:val="00B61427"/>
    <w:rsid w:val="00B629E7"/>
    <w:rsid w:val="00B62ABF"/>
    <w:rsid w:val="00B62B4D"/>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5AA"/>
    <w:rsid w:val="00B677F3"/>
    <w:rsid w:val="00B67C95"/>
    <w:rsid w:val="00B7040F"/>
    <w:rsid w:val="00B709AD"/>
    <w:rsid w:val="00B70ED5"/>
    <w:rsid w:val="00B712A1"/>
    <w:rsid w:val="00B7139C"/>
    <w:rsid w:val="00B7171E"/>
    <w:rsid w:val="00B719F8"/>
    <w:rsid w:val="00B720D1"/>
    <w:rsid w:val="00B7220E"/>
    <w:rsid w:val="00B72C03"/>
    <w:rsid w:val="00B72C33"/>
    <w:rsid w:val="00B72EA2"/>
    <w:rsid w:val="00B72EE3"/>
    <w:rsid w:val="00B72FCB"/>
    <w:rsid w:val="00B73A04"/>
    <w:rsid w:val="00B73C01"/>
    <w:rsid w:val="00B73C54"/>
    <w:rsid w:val="00B74070"/>
    <w:rsid w:val="00B74B48"/>
    <w:rsid w:val="00B74C67"/>
    <w:rsid w:val="00B74C8F"/>
    <w:rsid w:val="00B74DBE"/>
    <w:rsid w:val="00B754A2"/>
    <w:rsid w:val="00B7598D"/>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EEF"/>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36B"/>
    <w:rsid w:val="00BA09EA"/>
    <w:rsid w:val="00BA0A64"/>
    <w:rsid w:val="00BA0AA5"/>
    <w:rsid w:val="00BA0AE1"/>
    <w:rsid w:val="00BA0DBB"/>
    <w:rsid w:val="00BA1359"/>
    <w:rsid w:val="00BA1B39"/>
    <w:rsid w:val="00BA1DD6"/>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19A"/>
    <w:rsid w:val="00BB429F"/>
    <w:rsid w:val="00BB45B7"/>
    <w:rsid w:val="00BB51AE"/>
    <w:rsid w:val="00BB5BE7"/>
    <w:rsid w:val="00BB6025"/>
    <w:rsid w:val="00BB624A"/>
    <w:rsid w:val="00BB63B6"/>
    <w:rsid w:val="00BB64E2"/>
    <w:rsid w:val="00BB653D"/>
    <w:rsid w:val="00BB6A29"/>
    <w:rsid w:val="00BB6E1A"/>
    <w:rsid w:val="00BB731C"/>
    <w:rsid w:val="00BC0016"/>
    <w:rsid w:val="00BC0399"/>
    <w:rsid w:val="00BC0D47"/>
    <w:rsid w:val="00BC1223"/>
    <w:rsid w:val="00BC1278"/>
    <w:rsid w:val="00BC153B"/>
    <w:rsid w:val="00BC1791"/>
    <w:rsid w:val="00BC1DCC"/>
    <w:rsid w:val="00BC2582"/>
    <w:rsid w:val="00BC28E9"/>
    <w:rsid w:val="00BC2C68"/>
    <w:rsid w:val="00BC2C71"/>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465"/>
    <w:rsid w:val="00BD27E4"/>
    <w:rsid w:val="00BD2DF0"/>
    <w:rsid w:val="00BD31F3"/>
    <w:rsid w:val="00BD3ABB"/>
    <w:rsid w:val="00BD3EAE"/>
    <w:rsid w:val="00BD44C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4EA"/>
    <w:rsid w:val="00BE06B6"/>
    <w:rsid w:val="00BE06E8"/>
    <w:rsid w:val="00BE0BE3"/>
    <w:rsid w:val="00BE12F5"/>
    <w:rsid w:val="00BE14F6"/>
    <w:rsid w:val="00BE15A9"/>
    <w:rsid w:val="00BE1669"/>
    <w:rsid w:val="00BE18D4"/>
    <w:rsid w:val="00BE1BA1"/>
    <w:rsid w:val="00BE1CD2"/>
    <w:rsid w:val="00BE27F2"/>
    <w:rsid w:val="00BE290C"/>
    <w:rsid w:val="00BE2963"/>
    <w:rsid w:val="00BE319B"/>
    <w:rsid w:val="00BE3619"/>
    <w:rsid w:val="00BE3B0F"/>
    <w:rsid w:val="00BE4068"/>
    <w:rsid w:val="00BE4A38"/>
    <w:rsid w:val="00BE4C8B"/>
    <w:rsid w:val="00BE5A1D"/>
    <w:rsid w:val="00BE5D38"/>
    <w:rsid w:val="00BE5DDA"/>
    <w:rsid w:val="00BE621A"/>
    <w:rsid w:val="00BE638C"/>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656"/>
    <w:rsid w:val="00BF380D"/>
    <w:rsid w:val="00BF3867"/>
    <w:rsid w:val="00BF4122"/>
    <w:rsid w:val="00BF41E2"/>
    <w:rsid w:val="00BF4501"/>
    <w:rsid w:val="00BF4910"/>
    <w:rsid w:val="00BF4E4A"/>
    <w:rsid w:val="00BF5399"/>
    <w:rsid w:val="00BF57D7"/>
    <w:rsid w:val="00BF5E79"/>
    <w:rsid w:val="00BF63E1"/>
    <w:rsid w:val="00BF648C"/>
    <w:rsid w:val="00BF7B16"/>
    <w:rsid w:val="00BF7BBC"/>
    <w:rsid w:val="00BF7C02"/>
    <w:rsid w:val="00BF7C26"/>
    <w:rsid w:val="00C00877"/>
    <w:rsid w:val="00C00BF6"/>
    <w:rsid w:val="00C011A5"/>
    <w:rsid w:val="00C011B1"/>
    <w:rsid w:val="00C011E4"/>
    <w:rsid w:val="00C011EC"/>
    <w:rsid w:val="00C0122D"/>
    <w:rsid w:val="00C01C82"/>
    <w:rsid w:val="00C01CC5"/>
    <w:rsid w:val="00C01CF9"/>
    <w:rsid w:val="00C01DEF"/>
    <w:rsid w:val="00C01E8D"/>
    <w:rsid w:val="00C020AC"/>
    <w:rsid w:val="00C02954"/>
    <w:rsid w:val="00C02AEA"/>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D2A"/>
    <w:rsid w:val="00C0514C"/>
    <w:rsid w:val="00C05298"/>
    <w:rsid w:val="00C054D6"/>
    <w:rsid w:val="00C055A5"/>
    <w:rsid w:val="00C05695"/>
    <w:rsid w:val="00C05D41"/>
    <w:rsid w:val="00C05FAF"/>
    <w:rsid w:val="00C061A5"/>
    <w:rsid w:val="00C064D4"/>
    <w:rsid w:val="00C07572"/>
    <w:rsid w:val="00C0786D"/>
    <w:rsid w:val="00C07A03"/>
    <w:rsid w:val="00C07FC7"/>
    <w:rsid w:val="00C10468"/>
    <w:rsid w:val="00C10FEB"/>
    <w:rsid w:val="00C11239"/>
    <w:rsid w:val="00C1176E"/>
    <w:rsid w:val="00C119CC"/>
    <w:rsid w:val="00C11CE5"/>
    <w:rsid w:val="00C11E5F"/>
    <w:rsid w:val="00C127B2"/>
    <w:rsid w:val="00C12E50"/>
    <w:rsid w:val="00C133B1"/>
    <w:rsid w:val="00C133C1"/>
    <w:rsid w:val="00C1381E"/>
    <w:rsid w:val="00C13858"/>
    <w:rsid w:val="00C1394A"/>
    <w:rsid w:val="00C13DB9"/>
    <w:rsid w:val="00C13F70"/>
    <w:rsid w:val="00C14423"/>
    <w:rsid w:val="00C148D2"/>
    <w:rsid w:val="00C14E00"/>
    <w:rsid w:val="00C14EA5"/>
    <w:rsid w:val="00C15627"/>
    <w:rsid w:val="00C15696"/>
    <w:rsid w:val="00C1588C"/>
    <w:rsid w:val="00C15932"/>
    <w:rsid w:val="00C15A5A"/>
    <w:rsid w:val="00C15F19"/>
    <w:rsid w:val="00C1624A"/>
    <w:rsid w:val="00C16A8B"/>
    <w:rsid w:val="00C17519"/>
    <w:rsid w:val="00C1790D"/>
    <w:rsid w:val="00C17919"/>
    <w:rsid w:val="00C17C6C"/>
    <w:rsid w:val="00C17CC5"/>
    <w:rsid w:val="00C17F4D"/>
    <w:rsid w:val="00C20121"/>
    <w:rsid w:val="00C202FA"/>
    <w:rsid w:val="00C208FE"/>
    <w:rsid w:val="00C20BFC"/>
    <w:rsid w:val="00C20FA0"/>
    <w:rsid w:val="00C21268"/>
    <w:rsid w:val="00C2260B"/>
    <w:rsid w:val="00C22F97"/>
    <w:rsid w:val="00C22FA7"/>
    <w:rsid w:val="00C23113"/>
    <w:rsid w:val="00C23158"/>
    <w:rsid w:val="00C23666"/>
    <w:rsid w:val="00C24067"/>
    <w:rsid w:val="00C2406D"/>
    <w:rsid w:val="00C24074"/>
    <w:rsid w:val="00C241B3"/>
    <w:rsid w:val="00C24E68"/>
    <w:rsid w:val="00C255D8"/>
    <w:rsid w:val="00C256D8"/>
    <w:rsid w:val="00C2572B"/>
    <w:rsid w:val="00C259B2"/>
    <w:rsid w:val="00C25AC1"/>
    <w:rsid w:val="00C2616C"/>
    <w:rsid w:val="00C261C6"/>
    <w:rsid w:val="00C2656D"/>
    <w:rsid w:val="00C26E51"/>
    <w:rsid w:val="00C272A8"/>
    <w:rsid w:val="00C272D4"/>
    <w:rsid w:val="00C273F9"/>
    <w:rsid w:val="00C27DB6"/>
    <w:rsid w:val="00C30029"/>
    <w:rsid w:val="00C3042A"/>
    <w:rsid w:val="00C3065B"/>
    <w:rsid w:val="00C30662"/>
    <w:rsid w:val="00C306EF"/>
    <w:rsid w:val="00C30DA4"/>
    <w:rsid w:val="00C3123C"/>
    <w:rsid w:val="00C314C5"/>
    <w:rsid w:val="00C315D6"/>
    <w:rsid w:val="00C316B1"/>
    <w:rsid w:val="00C31F2E"/>
    <w:rsid w:val="00C31FCB"/>
    <w:rsid w:val="00C3217F"/>
    <w:rsid w:val="00C3234E"/>
    <w:rsid w:val="00C32473"/>
    <w:rsid w:val="00C32771"/>
    <w:rsid w:val="00C32981"/>
    <w:rsid w:val="00C32D0D"/>
    <w:rsid w:val="00C32E2F"/>
    <w:rsid w:val="00C32E35"/>
    <w:rsid w:val="00C336A0"/>
    <w:rsid w:val="00C337F5"/>
    <w:rsid w:val="00C33A95"/>
    <w:rsid w:val="00C33F24"/>
    <w:rsid w:val="00C33FD7"/>
    <w:rsid w:val="00C33FF1"/>
    <w:rsid w:val="00C34B4F"/>
    <w:rsid w:val="00C34DA4"/>
    <w:rsid w:val="00C34DBA"/>
    <w:rsid w:val="00C34F52"/>
    <w:rsid w:val="00C3515C"/>
    <w:rsid w:val="00C353C6"/>
    <w:rsid w:val="00C35B4B"/>
    <w:rsid w:val="00C35C36"/>
    <w:rsid w:val="00C35F16"/>
    <w:rsid w:val="00C36277"/>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525"/>
    <w:rsid w:val="00C430F1"/>
    <w:rsid w:val="00C43331"/>
    <w:rsid w:val="00C4391C"/>
    <w:rsid w:val="00C43B8C"/>
    <w:rsid w:val="00C4407C"/>
    <w:rsid w:val="00C4413C"/>
    <w:rsid w:val="00C4439D"/>
    <w:rsid w:val="00C443CA"/>
    <w:rsid w:val="00C44643"/>
    <w:rsid w:val="00C44A79"/>
    <w:rsid w:val="00C44B84"/>
    <w:rsid w:val="00C44BBE"/>
    <w:rsid w:val="00C44C55"/>
    <w:rsid w:val="00C450D9"/>
    <w:rsid w:val="00C45917"/>
    <w:rsid w:val="00C45C22"/>
    <w:rsid w:val="00C45D1F"/>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85E"/>
    <w:rsid w:val="00C55BC6"/>
    <w:rsid w:val="00C55FCD"/>
    <w:rsid w:val="00C5625F"/>
    <w:rsid w:val="00C5636F"/>
    <w:rsid w:val="00C568D5"/>
    <w:rsid w:val="00C5711C"/>
    <w:rsid w:val="00C57248"/>
    <w:rsid w:val="00C57595"/>
    <w:rsid w:val="00C57852"/>
    <w:rsid w:val="00C6021D"/>
    <w:rsid w:val="00C603C5"/>
    <w:rsid w:val="00C60B1F"/>
    <w:rsid w:val="00C60D71"/>
    <w:rsid w:val="00C60D8F"/>
    <w:rsid w:val="00C60E2A"/>
    <w:rsid w:val="00C60E31"/>
    <w:rsid w:val="00C610AB"/>
    <w:rsid w:val="00C6145A"/>
    <w:rsid w:val="00C61CDA"/>
    <w:rsid w:val="00C621D4"/>
    <w:rsid w:val="00C621F6"/>
    <w:rsid w:val="00C623C1"/>
    <w:rsid w:val="00C6279E"/>
    <w:rsid w:val="00C6294E"/>
    <w:rsid w:val="00C62EA3"/>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CA4"/>
    <w:rsid w:val="00C725D8"/>
    <w:rsid w:val="00C72A4D"/>
    <w:rsid w:val="00C7306C"/>
    <w:rsid w:val="00C733ED"/>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35CD"/>
    <w:rsid w:val="00C83787"/>
    <w:rsid w:val="00C8394C"/>
    <w:rsid w:val="00C83C6D"/>
    <w:rsid w:val="00C84400"/>
    <w:rsid w:val="00C8443D"/>
    <w:rsid w:val="00C845E7"/>
    <w:rsid w:val="00C84CDA"/>
    <w:rsid w:val="00C85352"/>
    <w:rsid w:val="00C85938"/>
    <w:rsid w:val="00C860B6"/>
    <w:rsid w:val="00C8610B"/>
    <w:rsid w:val="00C86B6D"/>
    <w:rsid w:val="00C86EC5"/>
    <w:rsid w:val="00C87072"/>
    <w:rsid w:val="00C870C0"/>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FDC"/>
    <w:rsid w:val="00C946AC"/>
    <w:rsid w:val="00C95099"/>
    <w:rsid w:val="00C951CA"/>
    <w:rsid w:val="00C95518"/>
    <w:rsid w:val="00C955D2"/>
    <w:rsid w:val="00C95866"/>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42E1"/>
    <w:rsid w:val="00CA4BB7"/>
    <w:rsid w:val="00CA4D0F"/>
    <w:rsid w:val="00CA5EBA"/>
    <w:rsid w:val="00CA5F70"/>
    <w:rsid w:val="00CA6488"/>
    <w:rsid w:val="00CA64CB"/>
    <w:rsid w:val="00CA6799"/>
    <w:rsid w:val="00CA69C5"/>
    <w:rsid w:val="00CA6A66"/>
    <w:rsid w:val="00CA6B8F"/>
    <w:rsid w:val="00CA6BD2"/>
    <w:rsid w:val="00CA6C49"/>
    <w:rsid w:val="00CA6CC0"/>
    <w:rsid w:val="00CA7CB0"/>
    <w:rsid w:val="00CA7E94"/>
    <w:rsid w:val="00CA7EAF"/>
    <w:rsid w:val="00CB01D3"/>
    <w:rsid w:val="00CB0465"/>
    <w:rsid w:val="00CB04F1"/>
    <w:rsid w:val="00CB0918"/>
    <w:rsid w:val="00CB0E4C"/>
    <w:rsid w:val="00CB1154"/>
    <w:rsid w:val="00CB18E2"/>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ADB"/>
    <w:rsid w:val="00CB5BC1"/>
    <w:rsid w:val="00CB5DEA"/>
    <w:rsid w:val="00CB6269"/>
    <w:rsid w:val="00CB62F1"/>
    <w:rsid w:val="00CB6344"/>
    <w:rsid w:val="00CB66DE"/>
    <w:rsid w:val="00CB67C5"/>
    <w:rsid w:val="00CB6DA0"/>
    <w:rsid w:val="00CB6FC5"/>
    <w:rsid w:val="00CB7258"/>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059"/>
    <w:rsid w:val="00CC34BB"/>
    <w:rsid w:val="00CC36BD"/>
    <w:rsid w:val="00CC3E5D"/>
    <w:rsid w:val="00CC3EC3"/>
    <w:rsid w:val="00CC4261"/>
    <w:rsid w:val="00CC44A5"/>
    <w:rsid w:val="00CC50DB"/>
    <w:rsid w:val="00CC53D9"/>
    <w:rsid w:val="00CC74F6"/>
    <w:rsid w:val="00CD003F"/>
    <w:rsid w:val="00CD021E"/>
    <w:rsid w:val="00CD03EC"/>
    <w:rsid w:val="00CD072C"/>
    <w:rsid w:val="00CD087F"/>
    <w:rsid w:val="00CD0892"/>
    <w:rsid w:val="00CD0DE6"/>
    <w:rsid w:val="00CD1C33"/>
    <w:rsid w:val="00CD27BA"/>
    <w:rsid w:val="00CD2944"/>
    <w:rsid w:val="00CD2B5B"/>
    <w:rsid w:val="00CD2DA6"/>
    <w:rsid w:val="00CD2FF2"/>
    <w:rsid w:val="00CD311C"/>
    <w:rsid w:val="00CD32F4"/>
    <w:rsid w:val="00CD3362"/>
    <w:rsid w:val="00CD33AD"/>
    <w:rsid w:val="00CD3806"/>
    <w:rsid w:val="00CD408D"/>
    <w:rsid w:val="00CD4120"/>
    <w:rsid w:val="00CD412E"/>
    <w:rsid w:val="00CD442C"/>
    <w:rsid w:val="00CD48EC"/>
    <w:rsid w:val="00CD4AA5"/>
    <w:rsid w:val="00CD5201"/>
    <w:rsid w:val="00CD5537"/>
    <w:rsid w:val="00CD5682"/>
    <w:rsid w:val="00CD66B3"/>
    <w:rsid w:val="00CD6825"/>
    <w:rsid w:val="00CD6DFF"/>
    <w:rsid w:val="00CD6FAE"/>
    <w:rsid w:val="00CD73D5"/>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C1E"/>
    <w:rsid w:val="00CE3531"/>
    <w:rsid w:val="00CE3F0B"/>
    <w:rsid w:val="00CE4C99"/>
    <w:rsid w:val="00CE4DCA"/>
    <w:rsid w:val="00CE4DEC"/>
    <w:rsid w:val="00CE5093"/>
    <w:rsid w:val="00CE55D9"/>
    <w:rsid w:val="00CE57A1"/>
    <w:rsid w:val="00CE6002"/>
    <w:rsid w:val="00CE60CA"/>
    <w:rsid w:val="00CE613A"/>
    <w:rsid w:val="00CE6CB6"/>
    <w:rsid w:val="00CE6FBA"/>
    <w:rsid w:val="00CE7321"/>
    <w:rsid w:val="00CE741B"/>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81C"/>
    <w:rsid w:val="00CF5F3A"/>
    <w:rsid w:val="00CF6318"/>
    <w:rsid w:val="00CF6E1B"/>
    <w:rsid w:val="00CF6FF1"/>
    <w:rsid w:val="00CF702F"/>
    <w:rsid w:val="00CF7075"/>
    <w:rsid w:val="00CF724E"/>
    <w:rsid w:val="00CF75A4"/>
    <w:rsid w:val="00CF773E"/>
    <w:rsid w:val="00CF7757"/>
    <w:rsid w:val="00CF7C54"/>
    <w:rsid w:val="00CF7D1F"/>
    <w:rsid w:val="00D000F1"/>
    <w:rsid w:val="00D00297"/>
    <w:rsid w:val="00D0081E"/>
    <w:rsid w:val="00D008E8"/>
    <w:rsid w:val="00D00C46"/>
    <w:rsid w:val="00D010A1"/>
    <w:rsid w:val="00D013D0"/>
    <w:rsid w:val="00D0148E"/>
    <w:rsid w:val="00D01491"/>
    <w:rsid w:val="00D014BC"/>
    <w:rsid w:val="00D0154B"/>
    <w:rsid w:val="00D0181A"/>
    <w:rsid w:val="00D01FC6"/>
    <w:rsid w:val="00D02280"/>
    <w:rsid w:val="00D0248A"/>
    <w:rsid w:val="00D025B4"/>
    <w:rsid w:val="00D02B3C"/>
    <w:rsid w:val="00D038AC"/>
    <w:rsid w:val="00D03A90"/>
    <w:rsid w:val="00D03E66"/>
    <w:rsid w:val="00D0403D"/>
    <w:rsid w:val="00D04E3E"/>
    <w:rsid w:val="00D05196"/>
    <w:rsid w:val="00D052D5"/>
    <w:rsid w:val="00D05E6C"/>
    <w:rsid w:val="00D062D0"/>
    <w:rsid w:val="00D06335"/>
    <w:rsid w:val="00D06A58"/>
    <w:rsid w:val="00D07354"/>
    <w:rsid w:val="00D076B1"/>
    <w:rsid w:val="00D078CA"/>
    <w:rsid w:val="00D07B7A"/>
    <w:rsid w:val="00D07D64"/>
    <w:rsid w:val="00D07DF8"/>
    <w:rsid w:val="00D07EE1"/>
    <w:rsid w:val="00D10645"/>
    <w:rsid w:val="00D10E41"/>
    <w:rsid w:val="00D111FB"/>
    <w:rsid w:val="00D11B16"/>
    <w:rsid w:val="00D12872"/>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032"/>
    <w:rsid w:val="00D16648"/>
    <w:rsid w:val="00D16B48"/>
    <w:rsid w:val="00D16BB4"/>
    <w:rsid w:val="00D16CE7"/>
    <w:rsid w:val="00D170D2"/>
    <w:rsid w:val="00D17228"/>
    <w:rsid w:val="00D1733C"/>
    <w:rsid w:val="00D1753D"/>
    <w:rsid w:val="00D17E7C"/>
    <w:rsid w:val="00D203D0"/>
    <w:rsid w:val="00D20966"/>
    <w:rsid w:val="00D20CDE"/>
    <w:rsid w:val="00D20DB8"/>
    <w:rsid w:val="00D21302"/>
    <w:rsid w:val="00D2167E"/>
    <w:rsid w:val="00D21C13"/>
    <w:rsid w:val="00D229CF"/>
    <w:rsid w:val="00D22BE6"/>
    <w:rsid w:val="00D22D56"/>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7694"/>
    <w:rsid w:val="00D27F3B"/>
    <w:rsid w:val="00D30031"/>
    <w:rsid w:val="00D30799"/>
    <w:rsid w:val="00D3124C"/>
    <w:rsid w:val="00D31967"/>
    <w:rsid w:val="00D31DE7"/>
    <w:rsid w:val="00D32557"/>
    <w:rsid w:val="00D32F47"/>
    <w:rsid w:val="00D330A5"/>
    <w:rsid w:val="00D33121"/>
    <w:rsid w:val="00D33576"/>
    <w:rsid w:val="00D337C4"/>
    <w:rsid w:val="00D33A99"/>
    <w:rsid w:val="00D33BCB"/>
    <w:rsid w:val="00D33CE4"/>
    <w:rsid w:val="00D3479A"/>
    <w:rsid w:val="00D34A0E"/>
    <w:rsid w:val="00D34BBF"/>
    <w:rsid w:val="00D34E03"/>
    <w:rsid w:val="00D34E47"/>
    <w:rsid w:val="00D358F0"/>
    <w:rsid w:val="00D35CBE"/>
    <w:rsid w:val="00D368DE"/>
    <w:rsid w:val="00D36CFF"/>
    <w:rsid w:val="00D375EB"/>
    <w:rsid w:val="00D377B1"/>
    <w:rsid w:val="00D400A1"/>
    <w:rsid w:val="00D400C3"/>
    <w:rsid w:val="00D4051E"/>
    <w:rsid w:val="00D4084F"/>
    <w:rsid w:val="00D40ABC"/>
    <w:rsid w:val="00D40AF0"/>
    <w:rsid w:val="00D410F2"/>
    <w:rsid w:val="00D4169C"/>
    <w:rsid w:val="00D425AC"/>
    <w:rsid w:val="00D42871"/>
    <w:rsid w:val="00D42880"/>
    <w:rsid w:val="00D42F41"/>
    <w:rsid w:val="00D4302F"/>
    <w:rsid w:val="00D430C5"/>
    <w:rsid w:val="00D43176"/>
    <w:rsid w:val="00D43ABD"/>
    <w:rsid w:val="00D43D09"/>
    <w:rsid w:val="00D448EA"/>
    <w:rsid w:val="00D44986"/>
    <w:rsid w:val="00D44CFD"/>
    <w:rsid w:val="00D44EC1"/>
    <w:rsid w:val="00D45D49"/>
    <w:rsid w:val="00D45EF7"/>
    <w:rsid w:val="00D45FB6"/>
    <w:rsid w:val="00D46304"/>
    <w:rsid w:val="00D46D2E"/>
    <w:rsid w:val="00D46FDC"/>
    <w:rsid w:val="00D47044"/>
    <w:rsid w:val="00D47EE2"/>
    <w:rsid w:val="00D50110"/>
    <w:rsid w:val="00D5046F"/>
    <w:rsid w:val="00D5078E"/>
    <w:rsid w:val="00D50CCB"/>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6FB"/>
    <w:rsid w:val="00D578EC"/>
    <w:rsid w:val="00D60052"/>
    <w:rsid w:val="00D60261"/>
    <w:rsid w:val="00D6038E"/>
    <w:rsid w:val="00D605D4"/>
    <w:rsid w:val="00D60DA1"/>
    <w:rsid w:val="00D610C1"/>
    <w:rsid w:val="00D6149D"/>
    <w:rsid w:val="00D61D28"/>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95A"/>
    <w:rsid w:val="00D77649"/>
    <w:rsid w:val="00D7788C"/>
    <w:rsid w:val="00D779F9"/>
    <w:rsid w:val="00D77AF0"/>
    <w:rsid w:val="00D77DFF"/>
    <w:rsid w:val="00D80053"/>
    <w:rsid w:val="00D80337"/>
    <w:rsid w:val="00D80462"/>
    <w:rsid w:val="00D80670"/>
    <w:rsid w:val="00D807B7"/>
    <w:rsid w:val="00D8080B"/>
    <w:rsid w:val="00D80A4F"/>
    <w:rsid w:val="00D80BB3"/>
    <w:rsid w:val="00D80DD3"/>
    <w:rsid w:val="00D80E33"/>
    <w:rsid w:val="00D81386"/>
    <w:rsid w:val="00D81EC5"/>
    <w:rsid w:val="00D81F1F"/>
    <w:rsid w:val="00D8212C"/>
    <w:rsid w:val="00D824D5"/>
    <w:rsid w:val="00D827E2"/>
    <w:rsid w:val="00D82AB8"/>
    <w:rsid w:val="00D830A0"/>
    <w:rsid w:val="00D83912"/>
    <w:rsid w:val="00D84009"/>
    <w:rsid w:val="00D840BB"/>
    <w:rsid w:val="00D845A3"/>
    <w:rsid w:val="00D847F5"/>
    <w:rsid w:val="00D849DB"/>
    <w:rsid w:val="00D84B46"/>
    <w:rsid w:val="00D85210"/>
    <w:rsid w:val="00D86168"/>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06D"/>
    <w:rsid w:val="00D9024E"/>
    <w:rsid w:val="00D903F4"/>
    <w:rsid w:val="00D90D80"/>
    <w:rsid w:val="00D910D6"/>
    <w:rsid w:val="00D91386"/>
    <w:rsid w:val="00D922E7"/>
    <w:rsid w:val="00D9255F"/>
    <w:rsid w:val="00D92609"/>
    <w:rsid w:val="00D9266C"/>
    <w:rsid w:val="00D92E4A"/>
    <w:rsid w:val="00D93267"/>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98A"/>
    <w:rsid w:val="00DA0C94"/>
    <w:rsid w:val="00DA0F0A"/>
    <w:rsid w:val="00DA1332"/>
    <w:rsid w:val="00DA13A0"/>
    <w:rsid w:val="00DA17D0"/>
    <w:rsid w:val="00DA1984"/>
    <w:rsid w:val="00DA1C9F"/>
    <w:rsid w:val="00DA1D64"/>
    <w:rsid w:val="00DA1D90"/>
    <w:rsid w:val="00DA1DFB"/>
    <w:rsid w:val="00DA2028"/>
    <w:rsid w:val="00DA2185"/>
    <w:rsid w:val="00DA2297"/>
    <w:rsid w:val="00DA231C"/>
    <w:rsid w:val="00DA235A"/>
    <w:rsid w:val="00DA2395"/>
    <w:rsid w:val="00DA2920"/>
    <w:rsid w:val="00DA2973"/>
    <w:rsid w:val="00DA30B7"/>
    <w:rsid w:val="00DA37FE"/>
    <w:rsid w:val="00DA395C"/>
    <w:rsid w:val="00DA3A22"/>
    <w:rsid w:val="00DA3AF4"/>
    <w:rsid w:val="00DA422C"/>
    <w:rsid w:val="00DA46B2"/>
    <w:rsid w:val="00DA4706"/>
    <w:rsid w:val="00DA4A0E"/>
    <w:rsid w:val="00DA4DD5"/>
    <w:rsid w:val="00DA5B86"/>
    <w:rsid w:val="00DA5EBB"/>
    <w:rsid w:val="00DA6372"/>
    <w:rsid w:val="00DA65B4"/>
    <w:rsid w:val="00DA6D29"/>
    <w:rsid w:val="00DA7003"/>
    <w:rsid w:val="00DA71CF"/>
    <w:rsid w:val="00DA7390"/>
    <w:rsid w:val="00DA7974"/>
    <w:rsid w:val="00DA79C0"/>
    <w:rsid w:val="00DA7F78"/>
    <w:rsid w:val="00DA7FBB"/>
    <w:rsid w:val="00DA7FEA"/>
    <w:rsid w:val="00DB013B"/>
    <w:rsid w:val="00DB039E"/>
    <w:rsid w:val="00DB03D5"/>
    <w:rsid w:val="00DB0904"/>
    <w:rsid w:val="00DB1851"/>
    <w:rsid w:val="00DB1C06"/>
    <w:rsid w:val="00DB1CD2"/>
    <w:rsid w:val="00DB1D28"/>
    <w:rsid w:val="00DB1FD6"/>
    <w:rsid w:val="00DB2990"/>
    <w:rsid w:val="00DB311E"/>
    <w:rsid w:val="00DB33FD"/>
    <w:rsid w:val="00DB3427"/>
    <w:rsid w:val="00DB36C3"/>
    <w:rsid w:val="00DB3C34"/>
    <w:rsid w:val="00DB3D43"/>
    <w:rsid w:val="00DB3FA3"/>
    <w:rsid w:val="00DB41C2"/>
    <w:rsid w:val="00DB45C2"/>
    <w:rsid w:val="00DB4676"/>
    <w:rsid w:val="00DB4E53"/>
    <w:rsid w:val="00DB5B68"/>
    <w:rsid w:val="00DB5E66"/>
    <w:rsid w:val="00DB5EDB"/>
    <w:rsid w:val="00DB61C3"/>
    <w:rsid w:val="00DB691D"/>
    <w:rsid w:val="00DB6A90"/>
    <w:rsid w:val="00DB6C82"/>
    <w:rsid w:val="00DB6CB7"/>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477"/>
    <w:rsid w:val="00DC499D"/>
    <w:rsid w:val="00DC4A9E"/>
    <w:rsid w:val="00DC4F39"/>
    <w:rsid w:val="00DC50B5"/>
    <w:rsid w:val="00DC5135"/>
    <w:rsid w:val="00DC5951"/>
    <w:rsid w:val="00DC5953"/>
    <w:rsid w:val="00DC59C8"/>
    <w:rsid w:val="00DC5DC5"/>
    <w:rsid w:val="00DC5EEA"/>
    <w:rsid w:val="00DC7F17"/>
    <w:rsid w:val="00DD0382"/>
    <w:rsid w:val="00DD0E3B"/>
    <w:rsid w:val="00DD1020"/>
    <w:rsid w:val="00DD1EB5"/>
    <w:rsid w:val="00DD2373"/>
    <w:rsid w:val="00DD24C7"/>
    <w:rsid w:val="00DD2B86"/>
    <w:rsid w:val="00DD2E62"/>
    <w:rsid w:val="00DD2EB6"/>
    <w:rsid w:val="00DD385E"/>
    <w:rsid w:val="00DD3F4A"/>
    <w:rsid w:val="00DD40C1"/>
    <w:rsid w:val="00DD42E4"/>
    <w:rsid w:val="00DD4329"/>
    <w:rsid w:val="00DD4899"/>
    <w:rsid w:val="00DD51D1"/>
    <w:rsid w:val="00DD5552"/>
    <w:rsid w:val="00DD55B2"/>
    <w:rsid w:val="00DD5679"/>
    <w:rsid w:val="00DD5DD3"/>
    <w:rsid w:val="00DD6030"/>
    <w:rsid w:val="00DD6199"/>
    <w:rsid w:val="00DD6234"/>
    <w:rsid w:val="00DD64F3"/>
    <w:rsid w:val="00DD6C04"/>
    <w:rsid w:val="00DD6F77"/>
    <w:rsid w:val="00DD70E9"/>
    <w:rsid w:val="00DD7545"/>
    <w:rsid w:val="00DD75BC"/>
    <w:rsid w:val="00DD770D"/>
    <w:rsid w:val="00DD7936"/>
    <w:rsid w:val="00DD7E11"/>
    <w:rsid w:val="00DE08EE"/>
    <w:rsid w:val="00DE0C6A"/>
    <w:rsid w:val="00DE1855"/>
    <w:rsid w:val="00DE1EAB"/>
    <w:rsid w:val="00DE1F2F"/>
    <w:rsid w:val="00DE2061"/>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DB5"/>
    <w:rsid w:val="00DE5FF3"/>
    <w:rsid w:val="00DE60E5"/>
    <w:rsid w:val="00DE634F"/>
    <w:rsid w:val="00DE664D"/>
    <w:rsid w:val="00DE6A7B"/>
    <w:rsid w:val="00DE6B0F"/>
    <w:rsid w:val="00DE6C09"/>
    <w:rsid w:val="00DE709A"/>
    <w:rsid w:val="00DE7116"/>
    <w:rsid w:val="00DE75F5"/>
    <w:rsid w:val="00DE76B5"/>
    <w:rsid w:val="00DE7E07"/>
    <w:rsid w:val="00DF004F"/>
    <w:rsid w:val="00DF052F"/>
    <w:rsid w:val="00DF06CB"/>
    <w:rsid w:val="00DF07BA"/>
    <w:rsid w:val="00DF08F2"/>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65"/>
    <w:rsid w:val="00DF7F98"/>
    <w:rsid w:val="00DF7FD1"/>
    <w:rsid w:val="00E0005B"/>
    <w:rsid w:val="00E00672"/>
    <w:rsid w:val="00E0077C"/>
    <w:rsid w:val="00E010D7"/>
    <w:rsid w:val="00E011DC"/>
    <w:rsid w:val="00E013E6"/>
    <w:rsid w:val="00E0165C"/>
    <w:rsid w:val="00E016CB"/>
    <w:rsid w:val="00E01775"/>
    <w:rsid w:val="00E01AC9"/>
    <w:rsid w:val="00E01B79"/>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7B0"/>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A2D"/>
    <w:rsid w:val="00E15278"/>
    <w:rsid w:val="00E15345"/>
    <w:rsid w:val="00E15770"/>
    <w:rsid w:val="00E1581C"/>
    <w:rsid w:val="00E15F47"/>
    <w:rsid w:val="00E16353"/>
    <w:rsid w:val="00E1693D"/>
    <w:rsid w:val="00E16A5A"/>
    <w:rsid w:val="00E16D36"/>
    <w:rsid w:val="00E16FE5"/>
    <w:rsid w:val="00E17D2A"/>
    <w:rsid w:val="00E17FCD"/>
    <w:rsid w:val="00E17FDD"/>
    <w:rsid w:val="00E203B7"/>
    <w:rsid w:val="00E20632"/>
    <w:rsid w:val="00E2065D"/>
    <w:rsid w:val="00E208BE"/>
    <w:rsid w:val="00E20BE5"/>
    <w:rsid w:val="00E20D5E"/>
    <w:rsid w:val="00E20F4E"/>
    <w:rsid w:val="00E2144F"/>
    <w:rsid w:val="00E2153E"/>
    <w:rsid w:val="00E215F1"/>
    <w:rsid w:val="00E2345B"/>
    <w:rsid w:val="00E2387C"/>
    <w:rsid w:val="00E238D0"/>
    <w:rsid w:val="00E24251"/>
    <w:rsid w:val="00E246E9"/>
    <w:rsid w:val="00E24A0F"/>
    <w:rsid w:val="00E24E9F"/>
    <w:rsid w:val="00E25E5A"/>
    <w:rsid w:val="00E261BF"/>
    <w:rsid w:val="00E2685B"/>
    <w:rsid w:val="00E26987"/>
    <w:rsid w:val="00E26B36"/>
    <w:rsid w:val="00E26DD6"/>
    <w:rsid w:val="00E26E2C"/>
    <w:rsid w:val="00E2707B"/>
    <w:rsid w:val="00E2749F"/>
    <w:rsid w:val="00E27601"/>
    <w:rsid w:val="00E27645"/>
    <w:rsid w:val="00E2772C"/>
    <w:rsid w:val="00E30031"/>
    <w:rsid w:val="00E304F8"/>
    <w:rsid w:val="00E30702"/>
    <w:rsid w:val="00E3078D"/>
    <w:rsid w:val="00E3173F"/>
    <w:rsid w:val="00E31C45"/>
    <w:rsid w:val="00E31ED9"/>
    <w:rsid w:val="00E322C8"/>
    <w:rsid w:val="00E325E4"/>
    <w:rsid w:val="00E32727"/>
    <w:rsid w:val="00E32E4C"/>
    <w:rsid w:val="00E3307E"/>
    <w:rsid w:val="00E33171"/>
    <w:rsid w:val="00E335D0"/>
    <w:rsid w:val="00E33BB0"/>
    <w:rsid w:val="00E33F91"/>
    <w:rsid w:val="00E343B2"/>
    <w:rsid w:val="00E346DF"/>
    <w:rsid w:val="00E35012"/>
    <w:rsid w:val="00E351EA"/>
    <w:rsid w:val="00E3560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93"/>
    <w:rsid w:val="00E418A4"/>
    <w:rsid w:val="00E41DB1"/>
    <w:rsid w:val="00E42018"/>
    <w:rsid w:val="00E42245"/>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62B"/>
    <w:rsid w:val="00E5066E"/>
    <w:rsid w:val="00E50CBB"/>
    <w:rsid w:val="00E50D53"/>
    <w:rsid w:val="00E51A36"/>
    <w:rsid w:val="00E51A61"/>
    <w:rsid w:val="00E51CC1"/>
    <w:rsid w:val="00E520D3"/>
    <w:rsid w:val="00E52385"/>
    <w:rsid w:val="00E529B5"/>
    <w:rsid w:val="00E52FC8"/>
    <w:rsid w:val="00E53322"/>
    <w:rsid w:val="00E5378B"/>
    <w:rsid w:val="00E53CD7"/>
    <w:rsid w:val="00E541AD"/>
    <w:rsid w:val="00E54354"/>
    <w:rsid w:val="00E54BED"/>
    <w:rsid w:val="00E55166"/>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336"/>
    <w:rsid w:val="00E61727"/>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ADA"/>
    <w:rsid w:val="00E674C1"/>
    <w:rsid w:val="00E6750B"/>
    <w:rsid w:val="00E679EF"/>
    <w:rsid w:val="00E67FF0"/>
    <w:rsid w:val="00E7030D"/>
    <w:rsid w:val="00E70748"/>
    <w:rsid w:val="00E707FE"/>
    <w:rsid w:val="00E70E2D"/>
    <w:rsid w:val="00E70FF1"/>
    <w:rsid w:val="00E7125D"/>
    <w:rsid w:val="00E71723"/>
    <w:rsid w:val="00E71926"/>
    <w:rsid w:val="00E71AAB"/>
    <w:rsid w:val="00E71BB4"/>
    <w:rsid w:val="00E7221E"/>
    <w:rsid w:val="00E722BC"/>
    <w:rsid w:val="00E722C6"/>
    <w:rsid w:val="00E72A2C"/>
    <w:rsid w:val="00E72B09"/>
    <w:rsid w:val="00E72BC5"/>
    <w:rsid w:val="00E72DB8"/>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2145"/>
    <w:rsid w:val="00E8273A"/>
    <w:rsid w:val="00E82A0E"/>
    <w:rsid w:val="00E82DBE"/>
    <w:rsid w:val="00E82EBA"/>
    <w:rsid w:val="00E82FCA"/>
    <w:rsid w:val="00E83232"/>
    <w:rsid w:val="00E833EC"/>
    <w:rsid w:val="00E8356B"/>
    <w:rsid w:val="00E83CF9"/>
    <w:rsid w:val="00E8417B"/>
    <w:rsid w:val="00E846B8"/>
    <w:rsid w:val="00E84D1C"/>
    <w:rsid w:val="00E84F38"/>
    <w:rsid w:val="00E852DD"/>
    <w:rsid w:val="00E8549B"/>
    <w:rsid w:val="00E859AB"/>
    <w:rsid w:val="00E85E42"/>
    <w:rsid w:val="00E8606E"/>
    <w:rsid w:val="00E86381"/>
    <w:rsid w:val="00E863CE"/>
    <w:rsid w:val="00E8644F"/>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C5B"/>
    <w:rsid w:val="00E92ADF"/>
    <w:rsid w:val="00E933AC"/>
    <w:rsid w:val="00E9497A"/>
    <w:rsid w:val="00E949D3"/>
    <w:rsid w:val="00E94B22"/>
    <w:rsid w:val="00E94D6A"/>
    <w:rsid w:val="00E94DF0"/>
    <w:rsid w:val="00E95199"/>
    <w:rsid w:val="00E953A5"/>
    <w:rsid w:val="00E95466"/>
    <w:rsid w:val="00E957A2"/>
    <w:rsid w:val="00E9584C"/>
    <w:rsid w:val="00E958F1"/>
    <w:rsid w:val="00E959E8"/>
    <w:rsid w:val="00E95E19"/>
    <w:rsid w:val="00E96455"/>
    <w:rsid w:val="00E965BC"/>
    <w:rsid w:val="00E965ED"/>
    <w:rsid w:val="00E96634"/>
    <w:rsid w:val="00E96855"/>
    <w:rsid w:val="00E975A4"/>
    <w:rsid w:val="00EA0CC4"/>
    <w:rsid w:val="00EA0E84"/>
    <w:rsid w:val="00EA13BF"/>
    <w:rsid w:val="00EA13FD"/>
    <w:rsid w:val="00EA1656"/>
    <w:rsid w:val="00EA1BBB"/>
    <w:rsid w:val="00EA2166"/>
    <w:rsid w:val="00EA2380"/>
    <w:rsid w:val="00EA2C30"/>
    <w:rsid w:val="00EA2CB7"/>
    <w:rsid w:val="00EA2DD9"/>
    <w:rsid w:val="00EA3435"/>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719"/>
    <w:rsid w:val="00EB2801"/>
    <w:rsid w:val="00EB312F"/>
    <w:rsid w:val="00EB33B1"/>
    <w:rsid w:val="00EB35D8"/>
    <w:rsid w:val="00EB367F"/>
    <w:rsid w:val="00EB3716"/>
    <w:rsid w:val="00EB378C"/>
    <w:rsid w:val="00EB3B93"/>
    <w:rsid w:val="00EB3C93"/>
    <w:rsid w:val="00EB3E6F"/>
    <w:rsid w:val="00EB3EF4"/>
    <w:rsid w:val="00EB4056"/>
    <w:rsid w:val="00EB43BA"/>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799"/>
    <w:rsid w:val="00EC0B95"/>
    <w:rsid w:val="00EC0CF2"/>
    <w:rsid w:val="00EC12D6"/>
    <w:rsid w:val="00EC20C9"/>
    <w:rsid w:val="00EC2166"/>
    <w:rsid w:val="00EC269F"/>
    <w:rsid w:val="00EC272E"/>
    <w:rsid w:val="00EC273E"/>
    <w:rsid w:val="00EC475D"/>
    <w:rsid w:val="00EC4876"/>
    <w:rsid w:val="00EC4ED4"/>
    <w:rsid w:val="00EC5042"/>
    <w:rsid w:val="00EC50B7"/>
    <w:rsid w:val="00EC5607"/>
    <w:rsid w:val="00EC5899"/>
    <w:rsid w:val="00EC59A2"/>
    <w:rsid w:val="00EC60A2"/>
    <w:rsid w:val="00EC633F"/>
    <w:rsid w:val="00EC6D09"/>
    <w:rsid w:val="00EC70D3"/>
    <w:rsid w:val="00EC739D"/>
    <w:rsid w:val="00EC79AA"/>
    <w:rsid w:val="00EC7DD8"/>
    <w:rsid w:val="00EC7F35"/>
    <w:rsid w:val="00EC7FA3"/>
    <w:rsid w:val="00ED017D"/>
    <w:rsid w:val="00ED02AB"/>
    <w:rsid w:val="00ED02E6"/>
    <w:rsid w:val="00ED0328"/>
    <w:rsid w:val="00ED04FB"/>
    <w:rsid w:val="00ED0516"/>
    <w:rsid w:val="00ED0619"/>
    <w:rsid w:val="00ED163A"/>
    <w:rsid w:val="00ED17E7"/>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C45"/>
    <w:rsid w:val="00ED6EE6"/>
    <w:rsid w:val="00ED7245"/>
    <w:rsid w:val="00ED726E"/>
    <w:rsid w:val="00ED77DC"/>
    <w:rsid w:val="00ED7BB2"/>
    <w:rsid w:val="00ED7E8C"/>
    <w:rsid w:val="00EE0871"/>
    <w:rsid w:val="00EE0D6E"/>
    <w:rsid w:val="00EE0E5A"/>
    <w:rsid w:val="00EE0F31"/>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C30"/>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F0218"/>
    <w:rsid w:val="00EF03DA"/>
    <w:rsid w:val="00EF0C96"/>
    <w:rsid w:val="00EF0D7F"/>
    <w:rsid w:val="00EF1367"/>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9CE"/>
    <w:rsid w:val="00EF3E91"/>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F7E"/>
    <w:rsid w:val="00F0318D"/>
    <w:rsid w:val="00F0321E"/>
    <w:rsid w:val="00F0361C"/>
    <w:rsid w:val="00F03A7B"/>
    <w:rsid w:val="00F03AD1"/>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2691"/>
    <w:rsid w:val="00F13248"/>
    <w:rsid w:val="00F132A4"/>
    <w:rsid w:val="00F1347B"/>
    <w:rsid w:val="00F13564"/>
    <w:rsid w:val="00F136DD"/>
    <w:rsid w:val="00F13A19"/>
    <w:rsid w:val="00F13BB3"/>
    <w:rsid w:val="00F13D7E"/>
    <w:rsid w:val="00F14047"/>
    <w:rsid w:val="00F1490E"/>
    <w:rsid w:val="00F14AC9"/>
    <w:rsid w:val="00F152D6"/>
    <w:rsid w:val="00F1588B"/>
    <w:rsid w:val="00F159B9"/>
    <w:rsid w:val="00F15C7B"/>
    <w:rsid w:val="00F15EA4"/>
    <w:rsid w:val="00F1620C"/>
    <w:rsid w:val="00F17111"/>
    <w:rsid w:val="00F1754F"/>
    <w:rsid w:val="00F1755C"/>
    <w:rsid w:val="00F175FD"/>
    <w:rsid w:val="00F17781"/>
    <w:rsid w:val="00F178BE"/>
    <w:rsid w:val="00F17E1D"/>
    <w:rsid w:val="00F17FF9"/>
    <w:rsid w:val="00F20462"/>
    <w:rsid w:val="00F2065D"/>
    <w:rsid w:val="00F209DB"/>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31E"/>
    <w:rsid w:val="00F32D6D"/>
    <w:rsid w:val="00F33681"/>
    <w:rsid w:val="00F3370B"/>
    <w:rsid w:val="00F33BD9"/>
    <w:rsid w:val="00F34707"/>
    <w:rsid w:val="00F34A91"/>
    <w:rsid w:val="00F34DCE"/>
    <w:rsid w:val="00F34F03"/>
    <w:rsid w:val="00F35039"/>
    <w:rsid w:val="00F35101"/>
    <w:rsid w:val="00F351DC"/>
    <w:rsid w:val="00F3552C"/>
    <w:rsid w:val="00F35BFD"/>
    <w:rsid w:val="00F35EBE"/>
    <w:rsid w:val="00F364A6"/>
    <w:rsid w:val="00F36EE2"/>
    <w:rsid w:val="00F3726A"/>
    <w:rsid w:val="00F37993"/>
    <w:rsid w:val="00F37DFB"/>
    <w:rsid w:val="00F404A2"/>
    <w:rsid w:val="00F40F05"/>
    <w:rsid w:val="00F41BA7"/>
    <w:rsid w:val="00F42613"/>
    <w:rsid w:val="00F427EB"/>
    <w:rsid w:val="00F42A7B"/>
    <w:rsid w:val="00F42B39"/>
    <w:rsid w:val="00F42C9B"/>
    <w:rsid w:val="00F43160"/>
    <w:rsid w:val="00F4323A"/>
    <w:rsid w:val="00F43817"/>
    <w:rsid w:val="00F43A48"/>
    <w:rsid w:val="00F43A75"/>
    <w:rsid w:val="00F43C2F"/>
    <w:rsid w:val="00F443C7"/>
    <w:rsid w:val="00F4444E"/>
    <w:rsid w:val="00F44657"/>
    <w:rsid w:val="00F44B7B"/>
    <w:rsid w:val="00F455F3"/>
    <w:rsid w:val="00F45968"/>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EC4"/>
    <w:rsid w:val="00F5331A"/>
    <w:rsid w:val="00F5354A"/>
    <w:rsid w:val="00F53720"/>
    <w:rsid w:val="00F53740"/>
    <w:rsid w:val="00F53817"/>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588"/>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608E"/>
    <w:rsid w:val="00F6620B"/>
    <w:rsid w:val="00F6625F"/>
    <w:rsid w:val="00F66631"/>
    <w:rsid w:val="00F66722"/>
    <w:rsid w:val="00F66B82"/>
    <w:rsid w:val="00F66C8A"/>
    <w:rsid w:val="00F676F9"/>
    <w:rsid w:val="00F6775D"/>
    <w:rsid w:val="00F677EA"/>
    <w:rsid w:val="00F679DE"/>
    <w:rsid w:val="00F67D52"/>
    <w:rsid w:val="00F67DD2"/>
    <w:rsid w:val="00F70308"/>
    <w:rsid w:val="00F703BD"/>
    <w:rsid w:val="00F705EC"/>
    <w:rsid w:val="00F70602"/>
    <w:rsid w:val="00F70669"/>
    <w:rsid w:val="00F706B4"/>
    <w:rsid w:val="00F70F5B"/>
    <w:rsid w:val="00F7165F"/>
    <w:rsid w:val="00F71A12"/>
    <w:rsid w:val="00F71B1C"/>
    <w:rsid w:val="00F71B30"/>
    <w:rsid w:val="00F721F0"/>
    <w:rsid w:val="00F72482"/>
    <w:rsid w:val="00F72977"/>
    <w:rsid w:val="00F73476"/>
    <w:rsid w:val="00F7348B"/>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7977"/>
    <w:rsid w:val="00F77A4A"/>
    <w:rsid w:val="00F77A59"/>
    <w:rsid w:val="00F77DB5"/>
    <w:rsid w:val="00F80764"/>
    <w:rsid w:val="00F807EB"/>
    <w:rsid w:val="00F808CE"/>
    <w:rsid w:val="00F80A72"/>
    <w:rsid w:val="00F810C3"/>
    <w:rsid w:val="00F81370"/>
    <w:rsid w:val="00F816C4"/>
    <w:rsid w:val="00F8180F"/>
    <w:rsid w:val="00F81A28"/>
    <w:rsid w:val="00F81E5A"/>
    <w:rsid w:val="00F81FDD"/>
    <w:rsid w:val="00F821E8"/>
    <w:rsid w:val="00F82A66"/>
    <w:rsid w:val="00F82DD4"/>
    <w:rsid w:val="00F838D2"/>
    <w:rsid w:val="00F83BCA"/>
    <w:rsid w:val="00F83BCC"/>
    <w:rsid w:val="00F84160"/>
    <w:rsid w:val="00F844F2"/>
    <w:rsid w:val="00F84799"/>
    <w:rsid w:val="00F84C50"/>
    <w:rsid w:val="00F857FA"/>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53D"/>
    <w:rsid w:val="00F91ADB"/>
    <w:rsid w:val="00F92078"/>
    <w:rsid w:val="00F9219F"/>
    <w:rsid w:val="00F924AD"/>
    <w:rsid w:val="00F92F39"/>
    <w:rsid w:val="00F93024"/>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943"/>
    <w:rsid w:val="00F97E6C"/>
    <w:rsid w:val="00FA0351"/>
    <w:rsid w:val="00FA0F6F"/>
    <w:rsid w:val="00FA1134"/>
    <w:rsid w:val="00FA16B9"/>
    <w:rsid w:val="00FA1726"/>
    <w:rsid w:val="00FA1980"/>
    <w:rsid w:val="00FA1D87"/>
    <w:rsid w:val="00FA284D"/>
    <w:rsid w:val="00FA296B"/>
    <w:rsid w:val="00FA2EF0"/>
    <w:rsid w:val="00FA2FFA"/>
    <w:rsid w:val="00FA3470"/>
    <w:rsid w:val="00FA3B3A"/>
    <w:rsid w:val="00FA42D5"/>
    <w:rsid w:val="00FA45E6"/>
    <w:rsid w:val="00FA4688"/>
    <w:rsid w:val="00FA48B7"/>
    <w:rsid w:val="00FA5060"/>
    <w:rsid w:val="00FA50F9"/>
    <w:rsid w:val="00FA5574"/>
    <w:rsid w:val="00FA5580"/>
    <w:rsid w:val="00FA558C"/>
    <w:rsid w:val="00FA5B47"/>
    <w:rsid w:val="00FA5C3E"/>
    <w:rsid w:val="00FA6138"/>
    <w:rsid w:val="00FA6649"/>
    <w:rsid w:val="00FA66B1"/>
    <w:rsid w:val="00FA6982"/>
    <w:rsid w:val="00FA6FDB"/>
    <w:rsid w:val="00FA7140"/>
    <w:rsid w:val="00FA7211"/>
    <w:rsid w:val="00FA72E3"/>
    <w:rsid w:val="00FA7CC5"/>
    <w:rsid w:val="00FA7D6D"/>
    <w:rsid w:val="00FA7E55"/>
    <w:rsid w:val="00FA7F80"/>
    <w:rsid w:val="00FB01A0"/>
    <w:rsid w:val="00FB08FC"/>
    <w:rsid w:val="00FB0D95"/>
    <w:rsid w:val="00FB1A1B"/>
    <w:rsid w:val="00FB23A3"/>
    <w:rsid w:val="00FB26F2"/>
    <w:rsid w:val="00FB270D"/>
    <w:rsid w:val="00FB2909"/>
    <w:rsid w:val="00FB2C62"/>
    <w:rsid w:val="00FB2F0D"/>
    <w:rsid w:val="00FB32B9"/>
    <w:rsid w:val="00FB34E1"/>
    <w:rsid w:val="00FB38F2"/>
    <w:rsid w:val="00FB3B9A"/>
    <w:rsid w:val="00FB435C"/>
    <w:rsid w:val="00FB45F6"/>
    <w:rsid w:val="00FB4B19"/>
    <w:rsid w:val="00FB4CDD"/>
    <w:rsid w:val="00FB5287"/>
    <w:rsid w:val="00FB5789"/>
    <w:rsid w:val="00FB5B35"/>
    <w:rsid w:val="00FB62AA"/>
    <w:rsid w:val="00FB6858"/>
    <w:rsid w:val="00FB6928"/>
    <w:rsid w:val="00FB6AB1"/>
    <w:rsid w:val="00FB6EB9"/>
    <w:rsid w:val="00FB6ECD"/>
    <w:rsid w:val="00FB6F2E"/>
    <w:rsid w:val="00FB6F82"/>
    <w:rsid w:val="00FB7190"/>
    <w:rsid w:val="00FB731C"/>
    <w:rsid w:val="00FB76C8"/>
    <w:rsid w:val="00FB76E5"/>
    <w:rsid w:val="00FB7A17"/>
    <w:rsid w:val="00FC030F"/>
    <w:rsid w:val="00FC092D"/>
    <w:rsid w:val="00FC0D64"/>
    <w:rsid w:val="00FC137A"/>
    <w:rsid w:val="00FC158F"/>
    <w:rsid w:val="00FC1D68"/>
    <w:rsid w:val="00FC1E65"/>
    <w:rsid w:val="00FC2119"/>
    <w:rsid w:val="00FC2B0F"/>
    <w:rsid w:val="00FC37C5"/>
    <w:rsid w:val="00FC3893"/>
    <w:rsid w:val="00FC3BC2"/>
    <w:rsid w:val="00FC3D1F"/>
    <w:rsid w:val="00FC426A"/>
    <w:rsid w:val="00FC4326"/>
    <w:rsid w:val="00FC4B88"/>
    <w:rsid w:val="00FC4C25"/>
    <w:rsid w:val="00FC4F30"/>
    <w:rsid w:val="00FC5426"/>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4E9"/>
    <w:rsid w:val="00FD09EE"/>
    <w:rsid w:val="00FD0BD2"/>
    <w:rsid w:val="00FD1304"/>
    <w:rsid w:val="00FD13FA"/>
    <w:rsid w:val="00FD1421"/>
    <w:rsid w:val="00FD19EA"/>
    <w:rsid w:val="00FD1FF2"/>
    <w:rsid w:val="00FD24E5"/>
    <w:rsid w:val="00FD2986"/>
    <w:rsid w:val="00FD31E6"/>
    <w:rsid w:val="00FD3590"/>
    <w:rsid w:val="00FD41D8"/>
    <w:rsid w:val="00FD437B"/>
    <w:rsid w:val="00FD446E"/>
    <w:rsid w:val="00FD4626"/>
    <w:rsid w:val="00FD4881"/>
    <w:rsid w:val="00FD5525"/>
    <w:rsid w:val="00FD5553"/>
    <w:rsid w:val="00FD56F5"/>
    <w:rsid w:val="00FD58B8"/>
    <w:rsid w:val="00FD58D9"/>
    <w:rsid w:val="00FD5B0B"/>
    <w:rsid w:val="00FD5C08"/>
    <w:rsid w:val="00FD5CF6"/>
    <w:rsid w:val="00FD60F3"/>
    <w:rsid w:val="00FD6209"/>
    <w:rsid w:val="00FD6996"/>
    <w:rsid w:val="00FD7798"/>
    <w:rsid w:val="00FD7917"/>
    <w:rsid w:val="00FD7B33"/>
    <w:rsid w:val="00FD7CC4"/>
    <w:rsid w:val="00FD7EC9"/>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5975"/>
    <w:rsid w:val="00FE60CA"/>
    <w:rsid w:val="00FE60D6"/>
    <w:rsid w:val="00FE62DE"/>
    <w:rsid w:val="00FE692B"/>
    <w:rsid w:val="00FE6AC5"/>
    <w:rsid w:val="00FE6D55"/>
    <w:rsid w:val="00FE6E8C"/>
    <w:rsid w:val="00FE6EA1"/>
    <w:rsid w:val="00FE6F14"/>
    <w:rsid w:val="00FE7437"/>
    <w:rsid w:val="00FE799B"/>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31"/>
    <w:rsid w:val="00FF43D5"/>
    <w:rsid w:val="00FF4FEE"/>
    <w:rsid w:val="00FF52F7"/>
    <w:rsid w:val="00FF5417"/>
    <w:rsid w:val="00FF5869"/>
    <w:rsid w:val="00FF5ADC"/>
    <w:rsid w:val="00FF5B3D"/>
    <w:rsid w:val="00FF5C6B"/>
    <w:rsid w:val="00FF5CAC"/>
    <w:rsid w:val="00FF5EEB"/>
    <w:rsid w:val="00FF6186"/>
    <w:rsid w:val="00FF65BC"/>
    <w:rsid w:val="00FF6A62"/>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width-relative:margin;mso-height-relative:margin" fill="f" fillcolor="white" stroke="f">
      <v:fill color="white" on="f"/>
      <v:stroke on="f"/>
    </o:shapedefaults>
    <o:shapelayout v:ext="edit">
      <o:idmap v:ext="edit" data="2"/>
    </o:shapelayout>
  </w:shapeDefaults>
  <w:decimalSymbol w:val="."/>
  <w:listSeparator w:val=","/>
  <w14:docId w14:val="54D54739"/>
  <w15:docId w15:val="{7C4C92BB-C286-4837-9E4A-E4BC1831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23a370a4935e082c4cc18fc1caad18b8">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f630215aef9f892dbf186a9a26289805"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91869-6A80-4380-B4C8-BDFECDE465A6}">
  <ds:schemaRefs>
    <ds:schemaRef ds:uri="http://schemas.microsoft.com/sharepoint/v3/contenttype/forms"/>
  </ds:schemaRefs>
</ds:datastoreItem>
</file>

<file path=customXml/itemProps2.xml><?xml version="1.0" encoding="utf-8"?>
<ds:datastoreItem xmlns:ds="http://schemas.openxmlformats.org/officeDocument/2006/customXml" ds:itemID="{1EB4F6B2-13C0-4835-BE83-75A0D0B4856D}">
  <ds:schemaRefs>
    <ds:schemaRef ds:uri="http://purl.org/dc/dcmitype/"/>
    <ds:schemaRef ds:uri="http://schemas.openxmlformats.org/package/2006/metadata/core-properties"/>
    <ds:schemaRef ds:uri="9930fb2e-2b64-4524-8d19-1f206af1976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bc6437e3-65b5-4a7b-a123-cc0b1a712dbe"/>
    <ds:schemaRef ds:uri="http://www.w3.org/XML/1998/namespace"/>
  </ds:schemaRefs>
</ds:datastoreItem>
</file>

<file path=customXml/itemProps3.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customXml/itemProps4.xml><?xml version="1.0" encoding="utf-8"?>
<ds:datastoreItem xmlns:ds="http://schemas.openxmlformats.org/officeDocument/2006/customXml" ds:itemID="{4B180514-4757-46C2-935A-AA6BDDFF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5</Pages>
  <Words>2326</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17067</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Joanne McEntee</dc:creator>
  <cp:lastModifiedBy>Joanne McEntee</cp:lastModifiedBy>
  <cp:revision>25</cp:revision>
  <cp:lastPrinted>2019-12-09T12:59:00Z</cp:lastPrinted>
  <dcterms:created xsi:type="dcterms:W3CDTF">2025-11-04T07:36:00Z</dcterms:created>
  <dcterms:modified xsi:type="dcterms:W3CDTF">2025-11-05T09:33:00Z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y fmtid="{D5CDD505-2E9C-101B-9397-08002B2CF9AE}" pid="5" name="GrammarlyDocumentId">
    <vt:lpwstr>3fe80902-1d57-45d9-8e37-da05ee813383</vt:lpwstr>
  </property>
</Properties>
</file>