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56FFBCD8"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5737F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0DEE2868" w:rsidR="007A1448" w:rsidRPr="00DF77C7" w:rsidRDefault="00687B72" w:rsidP="006529F3">
      <w:pPr>
        <w:pStyle w:val="PGDTitle2"/>
      </w:pPr>
      <w:r w:rsidRPr="00687B72">
        <w:t>Supply of emtricitabine 200mg/tenofovir disoproxil 245mg (TD-FTC) as Pre-Exposure Prophylaxis (PrEP) for the prevention of HIV infection</w:t>
      </w:r>
      <w:r w:rsidRPr="00687B72">
        <w:rPr>
          <w:bCs/>
          <w:kern w:val="28"/>
          <w:sz w:val="40"/>
          <w:szCs w:val="32"/>
        </w:rPr>
        <w:t xml:space="preserve"> </w:t>
      </w:r>
      <w:r w:rsidR="005C6771" w:rsidRPr="00DF77C7">
        <w:t xml:space="preserve">in </w:t>
      </w:r>
      <w:r w:rsidR="00E46E97" w:rsidRPr="005737F0">
        <w:rPr>
          <w:highlight w:val="cyan"/>
        </w:rPr>
        <w:t>[</w:t>
      </w:r>
      <w:r w:rsidR="005C6771" w:rsidRPr="00DF77C7">
        <w:rPr>
          <w:highlight w:val="cyan"/>
        </w:rPr>
        <w:t>location/service/organisation</w:t>
      </w:r>
      <w:r w:rsidR="00E46E97" w:rsidRPr="005737F0">
        <w:rPr>
          <w:highlight w:val="cyan"/>
        </w:rPr>
        <w:t>]</w:t>
      </w:r>
    </w:p>
    <w:p w14:paraId="446CEE0D" w14:textId="77777777" w:rsidR="006529F3" w:rsidRPr="00DF77C7" w:rsidRDefault="006529F3" w:rsidP="004C1FDF">
      <w:pPr>
        <w:pStyle w:val="PGDNormal"/>
      </w:pPr>
    </w:p>
    <w:p w14:paraId="1B3B53BC" w14:textId="771746B3" w:rsidR="00813399" w:rsidRPr="00DF77C7" w:rsidRDefault="00813399" w:rsidP="00E97A6D">
      <w:r w:rsidRPr="007F687D">
        <w:rPr>
          <w:rStyle w:val="PGDVersionNumber"/>
        </w:rPr>
        <w:t xml:space="preserve">Version Number </w:t>
      </w:r>
      <w:r w:rsidR="00E97A6D">
        <w:rPr>
          <w:rStyle w:val="PGDVersionNumber"/>
        </w:rPr>
        <w:t>3</w:t>
      </w:r>
      <w:r w:rsidR="00251D91">
        <w:rPr>
          <w:rStyle w:val="PGDVersionNumber"/>
        </w:rPr>
        <w:t>.0</w:t>
      </w:r>
    </w:p>
    <w:p w14:paraId="4B28C630" w14:textId="1C130391" w:rsidR="00763E7A" w:rsidRPr="00DF77C7" w:rsidRDefault="00763E7A" w:rsidP="00AD67D4">
      <w:pPr>
        <w:pStyle w:val="Tabletitle"/>
        <w:rPr>
          <w:lang w:val="en-GB"/>
        </w:rPr>
      </w:pPr>
      <w:r w:rsidRPr="00DF77C7">
        <w:rPr>
          <w:lang w:val="en-GB"/>
        </w:rPr>
        <w:lastRenderedPageBreak/>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E170C1" w14:paraId="1AA21739" w14:textId="77777777" w:rsidTr="009853AD">
        <w:trPr>
          <w:trHeight w:val="442"/>
          <w:tblHeader/>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E170C1" w:rsidRDefault="00813399" w:rsidP="006829D5">
            <w:pPr>
              <w:pStyle w:val="TableHeaderRow"/>
              <w:rPr>
                <w:sz w:val="22"/>
                <w:szCs w:val="22"/>
              </w:rPr>
            </w:pPr>
            <w:r w:rsidRPr="00E170C1">
              <w:rPr>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E170C1" w:rsidRDefault="00813399" w:rsidP="006829D5">
            <w:pPr>
              <w:pStyle w:val="TableHeaderRow"/>
              <w:rPr>
                <w:sz w:val="22"/>
                <w:szCs w:val="22"/>
              </w:rPr>
            </w:pPr>
            <w:r w:rsidRPr="00E170C1">
              <w:rPr>
                <w:sz w:val="22"/>
                <w:szCs w:val="22"/>
              </w:rPr>
              <w:t>Change details</w:t>
            </w:r>
          </w:p>
        </w:tc>
      </w:tr>
      <w:tr w:rsidR="00945B0D" w:rsidRPr="00E170C1"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C44DF93" w14:textId="77777777" w:rsidR="00945B0D" w:rsidRPr="00E170C1" w:rsidRDefault="00945B0D" w:rsidP="00687B72">
            <w:pPr>
              <w:pStyle w:val="Tabletext"/>
              <w:rPr>
                <w:kern w:val="2"/>
                <w:sz w:val="20"/>
              </w:rPr>
            </w:pPr>
            <w:r w:rsidRPr="00E170C1">
              <w:rPr>
                <w:kern w:val="2"/>
                <w:sz w:val="20"/>
              </w:rPr>
              <w:t>Version 1</w:t>
            </w:r>
          </w:p>
          <w:p w14:paraId="564FB0F8" w14:textId="24CD0850" w:rsidR="00945B0D" w:rsidRPr="00E170C1" w:rsidRDefault="00687B72" w:rsidP="00687B72">
            <w:pPr>
              <w:pStyle w:val="Tabletext"/>
              <w:rPr>
                <w:kern w:val="2"/>
                <w:sz w:val="20"/>
              </w:rPr>
            </w:pPr>
            <w:r w:rsidRPr="00E170C1">
              <w:rPr>
                <w:kern w:val="2"/>
                <w:sz w:val="20"/>
              </w:rPr>
              <w:t>July</w:t>
            </w:r>
            <w:r w:rsidR="00945B0D" w:rsidRPr="00E170C1">
              <w:rPr>
                <w:kern w:val="2"/>
                <w:sz w:val="20"/>
              </w:rPr>
              <w:t xml:space="preserve"> 2020</w:t>
            </w:r>
          </w:p>
        </w:tc>
        <w:tc>
          <w:tcPr>
            <w:tcW w:w="7020" w:type="dxa"/>
            <w:tcBorders>
              <w:top w:val="single" w:sz="4" w:space="0" w:color="auto"/>
              <w:left w:val="single" w:sz="4" w:space="0" w:color="auto"/>
              <w:bottom w:val="single" w:sz="4" w:space="0" w:color="auto"/>
              <w:right w:val="single" w:sz="4" w:space="0" w:color="auto"/>
            </w:tcBorders>
          </w:tcPr>
          <w:p w14:paraId="4A45011F" w14:textId="1386BE26" w:rsidR="00945B0D" w:rsidRPr="00E170C1" w:rsidRDefault="00945B0D" w:rsidP="00687B72">
            <w:pPr>
              <w:pStyle w:val="Tabletext"/>
              <w:rPr>
                <w:kern w:val="2"/>
                <w:sz w:val="20"/>
              </w:rPr>
            </w:pPr>
            <w:r w:rsidRPr="00E170C1">
              <w:rPr>
                <w:kern w:val="2"/>
                <w:sz w:val="20"/>
              </w:rPr>
              <w:t>New template</w:t>
            </w:r>
          </w:p>
        </w:tc>
      </w:tr>
      <w:tr w:rsidR="00945B0D" w:rsidRPr="00E170C1"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651CC8C2" w14:textId="77777777" w:rsidR="00687B72" w:rsidRPr="00E170C1" w:rsidRDefault="00687B72" w:rsidP="00687B72">
            <w:pPr>
              <w:pStyle w:val="Tabletext"/>
              <w:rPr>
                <w:kern w:val="2"/>
                <w:sz w:val="20"/>
              </w:rPr>
            </w:pPr>
            <w:r w:rsidRPr="00E170C1">
              <w:rPr>
                <w:kern w:val="2"/>
                <w:sz w:val="20"/>
              </w:rPr>
              <w:t>Version 1.1</w:t>
            </w:r>
          </w:p>
          <w:p w14:paraId="2E8CDAF5" w14:textId="1C4EB30A" w:rsidR="00945B0D" w:rsidRPr="00E170C1" w:rsidRDefault="00687B72" w:rsidP="00687B72">
            <w:pPr>
              <w:pStyle w:val="Tabletext"/>
              <w:rPr>
                <w:kern w:val="2"/>
                <w:sz w:val="20"/>
              </w:rPr>
            </w:pPr>
            <w:r w:rsidRPr="00E170C1">
              <w:rPr>
                <w:kern w:val="2"/>
                <w:sz w:val="20"/>
              </w:rPr>
              <w:t>December 2020</w:t>
            </w:r>
          </w:p>
        </w:tc>
        <w:tc>
          <w:tcPr>
            <w:tcW w:w="7020" w:type="dxa"/>
            <w:tcBorders>
              <w:top w:val="single" w:sz="4" w:space="0" w:color="auto"/>
              <w:left w:val="single" w:sz="4" w:space="0" w:color="auto"/>
              <w:bottom w:val="single" w:sz="4" w:space="0" w:color="auto"/>
              <w:right w:val="single" w:sz="4" w:space="0" w:color="auto"/>
            </w:tcBorders>
          </w:tcPr>
          <w:p w14:paraId="4F0C3AD4" w14:textId="77777777" w:rsidR="00687B72" w:rsidRPr="00E170C1" w:rsidRDefault="00687B72" w:rsidP="00687B72">
            <w:pPr>
              <w:pStyle w:val="Tabletext"/>
              <w:rPr>
                <w:kern w:val="2"/>
                <w:sz w:val="20"/>
              </w:rPr>
            </w:pPr>
            <w:r w:rsidRPr="00E170C1">
              <w:rPr>
                <w:kern w:val="2"/>
                <w:sz w:val="20"/>
              </w:rPr>
              <w:t>Inclusion criteria amended in line with updated BHIVA/BASHH/BIA Adult HIV Testing guidelines 2020:</w:t>
            </w:r>
          </w:p>
          <w:p w14:paraId="2339C5D6" w14:textId="77777777" w:rsidR="00687B72" w:rsidRPr="00E170C1" w:rsidRDefault="00687B72" w:rsidP="00687B72">
            <w:pPr>
              <w:pStyle w:val="Bulletindent1"/>
              <w:rPr>
                <w:sz w:val="20"/>
              </w:rPr>
            </w:pPr>
            <w:r w:rsidRPr="00E170C1">
              <w:rPr>
                <w:sz w:val="20"/>
              </w:rPr>
              <w:t xml:space="preserve">Either documented negative combined HIV antigen/antibody test in the last four weeks or outside of the </w:t>
            </w:r>
            <w:proofErr w:type="gramStart"/>
            <w:r w:rsidRPr="00E170C1">
              <w:rPr>
                <w:sz w:val="20"/>
              </w:rPr>
              <w:t>four week</w:t>
            </w:r>
            <w:proofErr w:type="gramEnd"/>
            <w:r w:rsidRPr="00E170C1">
              <w:rPr>
                <w:sz w:val="20"/>
              </w:rPr>
              <w:t xml:space="preserve"> window period after last risk</w:t>
            </w:r>
          </w:p>
          <w:p w14:paraId="7A676F04" w14:textId="77777777" w:rsidR="00687B72" w:rsidRPr="00E170C1" w:rsidRDefault="00687B72" w:rsidP="00687B72">
            <w:pPr>
              <w:pStyle w:val="Tabletext"/>
              <w:rPr>
                <w:kern w:val="2"/>
                <w:sz w:val="20"/>
              </w:rPr>
            </w:pPr>
            <w:r w:rsidRPr="00E170C1">
              <w:rPr>
                <w:kern w:val="2"/>
                <w:sz w:val="20"/>
              </w:rPr>
              <w:t>amended to:</w:t>
            </w:r>
          </w:p>
          <w:p w14:paraId="6D1AE935" w14:textId="77777777" w:rsidR="00687B72" w:rsidRPr="00E170C1" w:rsidRDefault="00687B72" w:rsidP="00687B72">
            <w:pPr>
              <w:pStyle w:val="Bulletindent1"/>
              <w:rPr>
                <w:sz w:val="20"/>
              </w:rPr>
            </w:pPr>
            <w:r w:rsidRPr="00E170C1">
              <w:rPr>
                <w:sz w:val="20"/>
              </w:rPr>
              <w:t xml:space="preserve">Either documented negative combined HIV fourth-generation antigen/antibody test in the last 45 days or outside of the </w:t>
            </w:r>
            <w:proofErr w:type="gramStart"/>
            <w:r w:rsidRPr="00E170C1">
              <w:rPr>
                <w:sz w:val="20"/>
              </w:rPr>
              <w:t>45 day</w:t>
            </w:r>
            <w:proofErr w:type="gramEnd"/>
            <w:r w:rsidRPr="00E170C1">
              <w:rPr>
                <w:sz w:val="20"/>
              </w:rPr>
              <w:t xml:space="preserve"> window period after last risk </w:t>
            </w:r>
          </w:p>
          <w:p w14:paraId="3C7180BA" w14:textId="77777777" w:rsidR="00687B72" w:rsidRPr="00E170C1" w:rsidRDefault="00687B72" w:rsidP="00687B72">
            <w:pPr>
              <w:pStyle w:val="Tabletext"/>
              <w:rPr>
                <w:kern w:val="2"/>
                <w:sz w:val="20"/>
              </w:rPr>
            </w:pPr>
          </w:p>
          <w:p w14:paraId="69643DC1" w14:textId="77777777" w:rsidR="00687B72" w:rsidRPr="00E170C1" w:rsidRDefault="00687B72" w:rsidP="00687B72">
            <w:pPr>
              <w:pStyle w:val="Tabletext"/>
              <w:rPr>
                <w:kern w:val="2"/>
                <w:sz w:val="20"/>
              </w:rPr>
            </w:pPr>
            <w:r w:rsidRPr="00E170C1">
              <w:rPr>
                <w:kern w:val="2"/>
                <w:sz w:val="20"/>
              </w:rPr>
              <w:t>Inclusion criteria amended to align with BASHH/BHIVA guidance (previously reflected Impact trial criteria):</w:t>
            </w:r>
          </w:p>
          <w:p w14:paraId="45A1FB51" w14:textId="77777777" w:rsidR="00687B72" w:rsidRPr="00E170C1" w:rsidRDefault="00687B72" w:rsidP="00687B72">
            <w:pPr>
              <w:pStyle w:val="Tabletext"/>
              <w:rPr>
                <w:kern w:val="2"/>
                <w:sz w:val="20"/>
              </w:rPr>
            </w:pPr>
            <w:r w:rsidRPr="00E170C1">
              <w:rPr>
                <w:kern w:val="2"/>
                <w:sz w:val="20"/>
              </w:rPr>
              <w:t xml:space="preserve">A. Men (cisgender and transgender) and transgender women who: </w:t>
            </w:r>
          </w:p>
          <w:p w14:paraId="723322F9" w14:textId="77777777" w:rsidR="00687B72" w:rsidRPr="00E170C1" w:rsidRDefault="00687B72" w:rsidP="00687B72">
            <w:pPr>
              <w:pStyle w:val="Tabletext"/>
              <w:rPr>
                <w:kern w:val="2"/>
                <w:sz w:val="20"/>
              </w:rPr>
            </w:pPr>
            <w:r w:rsidRPr="00E170C1">
              <w:rPr>
                <w:kern w:val="2"/>
                <w:sz w:val="20"/>
              </w:rPr>
              <w:t xml:space="preserve">1.Have sex with men </w:t>
            </w:r>
          </w:p>
          <w:p w14:paraId="2ED18E6A" w14:textId="77777777" w:rsidR="00687B72" w:rsidRPr="00E170C1" w:rsidRDefault="00687B72" w:rsidP="00687B72">
            <w:pPr>
              <w:pStyle w:val="Tabletext"/>
              <w:rPr>
                <w:kern w:val="2"/>
                <w:sz w:val="20"/>
              </w:rPr>
            </w:pPr>
            <w:r w:rsidRPr="00E170C1">
              <w:rPr>
                <w:kern w:val="2"/>
                <w:sz w:val="20"/>
              </w:rPr>
              <w:t xml:space="preserve">2.Report condomless intercourse (excluding oral) in the previous 3 months </w:t>
            </w:r>
          </w:p>
          <w:p w14:paraId="385137F9" w14:textId="77777777" w:rsidR="00687B72" w:rsidRPr="00E170C1" w:rsidRDefault="00687B72" w:rsidP="00687B72">
            <w:pPr>
              <w:pStyle w:val="Tabletext"/>
              <w:rPr>
                <w:kern w:val="2"/>
                <w:sz w:val="20"/>
              </w:rPr>
            </w:pPr>
            <w:r w:rsidRPr="00E170C1">
              <w:rPr>
                <w:kern w:val="2"/>
                <w:sz w:val="20"/>
              </w:rPr>
              <w:t>3.Affirm their likelihood of having condomless intercourse (excluding oral) in the next 3 months</w:t>
            </w:r>
          </w:p>
          <w:p w14:paraId="1EDD1F87" w14:textId="77777777" w:rsidR="00687B72" w:rsidRPr="00E170C1" w:rsidRDefault="00687B72" w:rsidP="00687B72">
            <w:pPr>
              <w:pStyle w:val="Tabletext"/>
              <w:rPr>
                <w:kern w:val="2"/>
                <w:sz w:val="20"/>
              </w:rPr>
            </w:pPr>
            <w:r w:rsidRPr="00E170C1">
              <w:rPr>
                <w:kern w:val="2"/>
                <w:sz w:val="20"/>
              </w:rPr>
              <w:t>amended to:</w:t>
            </w:r>
          </w:p>
          <w:p w14:paraId="240F503E" w14:textId="77777777" w:rsidR="00687B72" w:rsidRPr="00E170C1" w:rsidRDefault="00687B72" w:rsidP="00687B72">
            <w:pPr>
              <w:pStyle w:val="Tabletext"/>
              <w:rPr>
                <w:kern w:val="2"/>
                <w:sz w:val="20"/>
              </w:rPr>
            </w:pPr>
            <w:r w:rsidRPr="00E170C1">
              <w:rPr>
                <w:kern w:val="2"/>
                <w:sz w:val="20"/>
              </w:rPr>
              <w:t xml:space="preserve">A. Men (cisgender and transgender) and transgender women who: </w:t>
            </w:r>
          </w:p>
          <w:p w14:paraId="7A8617F6" w14:textId="77777777" w:rsidR="00687B72" w:rsidRPr="00E170C1" w:rsidRDefault="00687B72" w:rsidP="00687B72">
            <w:pPr>
              <w:pStyle w:val="Tabletext"/>
              <w:rPr>
                <w:kern w:val="2"/>
                <w:sz w:val="20"/>
              </w:rPr>
            </w:pPr>
            <w:r w:rsidRPr="00E170C1">
              <w:rPr>
                <w:kern w:val="2"/>
                <w:sz w:val="20"/>
              </w:rPr>
              <w:t xml:space="preserve">1.Have sex with men </w:t>
            </w:r>
          </w:p>
          <w:p w14:paraId="0552367A" w14:textId="77777777" w:rsidR="00687B72" w:rsidRPr="00E170C1" w:rsidRDefault="00687B72" w:rsidP="00687B72">
            <w:pPr>
              <w:pStyle w:val="Tabletext"/>
              <w:rPr>
                <w:kern w:val="2"/>
                <w:sz w:val="20"/>
              </w:rPr>
            </w:pPr>
            <w:r w:rsidRPr="00E170C1">
              <w:rPr>
                <w:kern w:val="2"/>
                <w:sz w:val="20"/>
              </w:rPr>
              <w:t xml:space="preserve">2.Report condomless intercourse (excluding oral) in the previous 6 months </w:t>
            </w:r>
          </w:p>
          <w:p w14:paraId="6CB8AEC2" w14:textId="3E008E68" w:rsidR="00945B0D" w:rsidRPr="00E170C1" w:rsidRDefault="00687B72" w:rsidP="00687B72">
            <w:pPr>
              <w:pStyle w:val="Tabletext"/>
              <w:rPr>
                <w:kern w:val="2"/>
                <w:sz w:val="20"/>
              </w:rPr>
            </w:pPr>
            <w:r w:rsidRPr="00E170C1">
              <w:rPr>
                <w:kern w:val="2"/>
                <w:sz w:val="20"/>
              </w:rPr>
              <w:t>3.Affirm their likelihood of having condomless intercourse (excluding oral)</w:t>
            </w:r>
          </w:p>
        </w:tc>
      </w:tr>
      <w:tr w:rsidR="00687B72" w:rsidRPr="00E170C1"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25240C0" w14:textId="77777777" w:rsidR="00687B72" w:rsidRPr="005737F0" w:rsidRDefault="00687B72" w:rsidP="005737F0">
            <w:pPr>
              <w:spacing w:after="0"/>
              <w:rPr>
                <w:rFonts w:ascii="Arial" w:hAnsi="Arial" w:cs="Arial"/>
                <w:sz w:val="20"/>
                <w:szCs w:val="20"/>
              </w:rPr>
            </w:pPr>
            <w:r w:rsidRPr="005737F0">
              <w:rPr>
                <w:rFonts w:ascii="Arial" w:hAnsi="Arial" w:cs="Arial"/>
                <w:sz w:val="20"/>
                <w:szCs w:val="20"/>
              </w:rPr>
              <w:t>Version 1.2</w:t>
            </w:r>
          </w:p>
          <w:p w14:paraId="776AB6B6" w14:textId="288AABAA" w:rsidR="00687B72" w:rsidRPr="005737F0" w:rsidRDefault="00687B72" w:rsidP="005737F0">
            <w:pPr>
              <w:pStyle w:val="Tabletext"/>
              <w:spacing w:after="0"/>
              <w:rPr>
                <w:sz w:val="20"/>
              </w:rPr>
            </w:pPr>
            <w:r w:rsidRPr="005737F0">
              <w:rPr>
                <w:rFonts w:cs="Arial"/>
                <w:sz w:val="20"/>
              </w:rPr>
              <w:t>July 2021</w:t>
            </w:r>
          </w:p>
        </w:tc>
        <w:tc>
          <w:tcPr>
            <w:tcW w:w="7020" w:type="dxa"/>
            <w:tcBorders>
              <w:top w:val="single" w:sz="4" w:space="0" w:color="auto"/>
              <w:left w:val="single" w:sz="4" w:space="0" w:color="auto"/>
              <w:bottom w:val="single" w:sz="4" w:space="0" w:color="auto"/>
              <w:right w:val="single" w:sz="4" w:space="0" w:color="auto"/>
            </w:tcBorders>
          </w:tcPr>
          <w:p w14:paraId="53F0661E" w14:textId="71FD0634" w:rsidR="00687B72" w:rsidRPr="00E170C1" w:rsidRDefault="00687B72" w:rsidP="005737F0">
            <w:pPr>
              <w:pStyle w:val="Tabletext"/>
              <w:spacing w:after="0"/>
              <w:rPr>
                <w:sz w:val="20"/>
              </w:rPr>
            </w:pPr>
            <w:r w:rsidRPr="00E170C1">
              <w:rPr>
                <w:rFonts w:cs="Arial"/>
                <w:sz w:val="20"/>
              </w:rPr>
              <w:t xml:space="preserve">Inclusion criteria separated into initiation and continuation to clarify specific testing requirements </w:t>
            </w:r>
          </w:p>
        </w:tc>
      </w:tr>
      <w:tr w:rsidR="00687B72" w:rsidRPr="00E170C1" w14:paraId="0B6F1445"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D6B0EA2" w14:textId="77777777" w:rsidR="00687B72" w:rsidRPr="005737F0" w:rsidRDefault="00687B72" w:rsidP="005737F0">
            <w:pPr>
              <w:spacing w:after="0"/>
              <w:rPr>
                <w:rFonts w:ascii="Arial" w:hAnsi="Arial" w:cs="Arial"/>
                <w:sz w:val="20"/>
                <w:szCs w:val="20"/>
              </w:rPr>
            </w:pPr>
            <w:r w:rsidRPr="005737F0">
              <w:rPr>
                <w:rFonts w:ascii="Arial" w:hAnsi="Arial" w:cs="Arial"/>
                <w:sz w:val="20"/>
                <w:szCs w:val="20"/>
              </w:rPr>
              <w:t>Version 2.0</w:t>
            </w:r>
          </w:p>
          <w:p w14:paraId="5373DD0B" w14:textId="5F1D132C" w:rsidR="00687B72" w:rsidRPr="005737F0" w:rsidRDefault="00687B72" w:rsidP="005737F0">
            <w:pPr>
              <w:spacing w:after="0"/>
              <w:rPr>
                <w:rFonts w:ascii="Arial" w:hAnsi="Arial" w:cs="Arial"/>
                <w:sz w:val="20"/>
                <w:szCs w:val="20"/>
              </w:rPr>
            </w:pPr>
            <w:r w:rsidRPr="005737F0">
              <w:rPr>
                <w:rFonts w:ascii="Arial" w:hAnsi="Arial" w:cs="Arial"/>
                <w:sz w:val="20"/>
                <w:szCs w:val="20"/>
              </w:rPr>
              <w:t>June 2023</w:t>
            </w:r>
          </w:p>
        </w:tc>
        <w:tc>
          <w:tcPr>
            <w:tcW w:w="7020" w:type="dxa"/>
            <w:tcBorders>
              <w:top w:val="single" w:sz="4" w:space="0" w:color="auto"/>
              <w:left w:val="single" w:sz="4" w:space="0" w:color="auto"/>
              <w:bottom w:val="single" w:sz="4" w:space="0" w:color="auto"/>
              <w:right w:val="single" w:sz="4" w:space="0" w:color="auto"/>
            </w:tcBorders>
          </w:tcPr>
          <w:p w14:paraId="1EF3D640" w14:textId="1DE2E1D9" w:rsidR="00687B72" w:rsidRPr="00E170C1" w:rsidRDefault="00687B72" w:rsidP="005737F0">
            <w:pPr>
              <w:pStyle w:val="Tabletext"/>
              <w:spacing w:after="0"/>
              <w:rPr>
                <w:rFonts w:cs="Arial"/>
                <w:sz w:val="20"/>
              </w:rPr>
            </w:pPr>
            <w:r w:rsidRPr="00E170C1">
              <w:rPr>
                <w:rFonts w:cs="Arial"/>
                <w:sz w:val="20"/>
              </w:rPr>
              <w:t xml:space="preserve">Updated template – rewording in inclusion criteria to improve clarity of testing requirements.  </w:t>
            </w:r>
          </w:p>
        </w:tc>
      </w:tr>
      <w:tr w:rsidR="00687B72" w:rsidRPr="00E170C1" w14:paraId="2795880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39B61519" w14:textId="77777777" w:rsidR="00687B72" w:rsidRPr="00E170C1" w:rsidRDefault="00687B72" w:rsidP="00687B72">
            <w:pPr>
              <w:pStyle w:val="Tabletext"/>
              <w:rPr>
                <w:kern w:val="2"/>
                <w:sz w:val="20"/>
              </w:rPr>
            </w:pPr>
            <w:r w:rsidRPr="00E170C1">
              <w:rPr>
                <w:kern w:val="2"/>
                <w:sz w:val="20"/>
              </w:rPr>
              <w:t>Version 3.0</w:t>
            </w:r>
          </w:p>
          <w:p w14:paraId="67AA734F" w14:textId="195432A8" w:rsidR="00687B72" w:rsidRPr="00E170C1" w:rsidRDefault="00687B72" w:rsidP="00687B72">
            <w:pPr>
              <w:pStyle w:val="Tabletext"/>
              <w:rPr>
                <w:kern w:val="2"/>
                <w:sz w:val="20"/>
              </w:rPr>
            </w:pPr>
            <w:r w:rsidRPr="00E170C1">
              <w:rPr>
                <w:kern w:val="2"/>
                <w:sz w:val="20"/>
              </w:rPr>
              <w:t>October 2025</w:t>
            </w:r>
          </w:p>
        </w:tc>
        <w:tc>
          <w:tcPr>
            <w:tcW w:w="7020" w:type="dxa"/>
            <w:tcBorders>
              <w:top w:val="single" w:sz="4" w:space="0" w:color="auto"/>
              <w:left w:val="single" w:sz="4" w:space="0" w:color="auto"/>
              <w:bottom w:val="single" w:sz="4" w:space="0" w:color="auto"/>
              <w:right w:val="single" w:sz="4" w:space="0" w:color="auto"/>
            </w:tcBorders>
          </w:tcPr>
          <w:p w14:paraId="11168268" w14:textId="4E2810F3" w:rsidR="00687B72" w:rsidRPr="00E170C1" w:rsidRDefault="00687B72" w:rsidP="00687B72">
            <w:pPr>
              <w:pStyle w:val="Tabletext"/>
              <w:rPr>
                <w:kern w:val="2"/>
                <w:sz w:val="20"/>
              </w:rPr>
            </w:pPr>
            <w:r w:rsidRPr="00E170C1">
              <w:rPr>
                <w:kern w:val="2"/>
                <w:sz w:val="20"/>
              </w:rPr>
              <w:t xml:space="preserve">Amended in line with updated </w:t>
            </w:r>
            <w:hyperlink r:id="rId12" w:history="1">
              <w:r w:rsidRPr="00E170C1">
                <w:rPr>
                  <w:rStyle w:val="Hyperlink"/>
                  <w:sz w:val="20"/>
                </w:rPr>
                <w:t>BASHH/BHIVA guidelines on the use o</w:t>
              </w:r>
              <w:r w:rsidRPr="00E170C1">
                <w:rPr>
                  <w:rStyle w:val="Hyperlink"/>
                  <w:sz w:val="20"/>
                </w:rPr>
                <w:t>f</w:t>
              </w:r>
              <w:r w:rsidRPr="00E170C1">
                <w:rPr>
                  <w:rStyle w:val="Hyperlink"/>
                  <w:sz w:val="20"/>
                </w:rPr>
                <w:t xml:space="preserve"> HIV pre-exposure prophylaxis (PrEP) 2025</w:t>
              </w:r>
            </w:hyperlink>
          </w:p>
        </w:tc>
      </w:tr>
    </w:tbl>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564A02">
        <w:rPr>
          <w:highlight w:val="yellow"/>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3F105035" w:rsidR="0017669F" w:rsidRPr="00DF77C7" w:rsidRDefault="00E170C1" w:rsidP="00AD67D4">
            <w:pPr>
              <w:pStyle w:val="Tabletext"/>
              <w:rPr>
                <w:lang w:val="en-GB"/>
              </w:rPr>
            </w:pPr>
            <w:r>
              <w:rPr>
                <w:lang w:val="en-GB"/>
              </w:rPr>
              <w:t>31</w:t>
            </w:r>
            <w:r w:rsidRPr="00E170C1">
              <w:rPr>
                <w:vertAlign w:val="superscript"/>
                <w:lang w:val="en-GB"/>
              </w:rPr>
              <w:t>st</w:t>
            </w:r>
            <w:r>
              <w:rPr>
                <w:lang w:val="en-GB"/>
              </w:rPr>
              <w:t xml:space="preserve"> October 2025</w:t>
            </w:r>
          </w:p>
        </w:tc>
      </w:tr>
      <w:tr w:rsidR="00FC4AA5" w:rsidRPr="00DF77C7" w14:paraId="18F33630" w14:textId="77777777" w:rsidTr="00043006">
        <w:tc>
          <w:tcPr>
            <w:tcW w:w="3969" w:type="dxa"/>
          </w:tcPr>
          <w:p w14:paraId="40ECC743" w14:textId="08EF2B36" w:rsidR="00FC4AA5" w:rsidRPr="00DF77C7" w:rsidRDefault="00FC4AA5" w:rsidP="00564A02">
            <w:pPr>
              <w:pStyle w:val="Tabletext"/>
              <w:rPr>
                <w:lang w:val="en-GB"/>
              </w:rPr>
            </w:pPr>
            <w:r w:rsidRPr="00DF77C7">
              <w:rPr>
                <w:lang w:val="en-GB"/>
              </w:rPr>
              <w:t>Review date</w:t>
            </w:r>
            <w:r w:rsidR="00564A02">
              <w:rPr>
                <w:lang w:val="en-GB"/>
              </w:rPr>
              <w:t>:</w:t>
            </w:r>
          </w:p>
        </w:tc>
        <w:tc>
          <w:tcPr>
            <w:tcW w:w="4536" w:type="dxa"/>
            <w:tcBorders>
              <w:top w:val="single" w:sz="4" w:space="0" w:color="auto"/>
              <w:left w:val="single" w:sz="4" w:space="0" w:color="auto"/>
              <w:bottom w:val="single" w:sz="4" w:space="0" w:color="auto"/>
              <w:right w:val="single" w:sz="4" w:space="0" w:color="auto"/>
            </w:tcBorders>
          </w:tcPr>
          <w:p w14:paraId="56A527C3" w14:textId="085B03CB" w:rsidR="00FC4AA5" w:rsidRPr="00DF77C7" w:rsidRDefault="00E170C1" w:rsidP="00AD67D4">
            <w:pPr>
              <w:pStyle w:val="Tabletext"/>
              <w:rPr>
                <w:lang w:val="en-GB"/>
              </w:rPr>
            </w:pPr>
            <w:r>
              <w:rPr>
                <w:lang w:val="en-GB"/>
              </w:rPr>
              <w:t>30</w:t>
            </w:r>
            <w:r w:rsidRPr="00E170C1">
              <w:rPr>
                <w:vertAlign w:val="superscript"/>
                <w:lang w:val="en-GB"/>
              </w:rPr>
              <w:t>th</w:t>
            </w:r>
            <w:r>
              <w:rPr>
                <w:lang w:val="en-GB"/>
              </w:rPr>
              <w:t xml:space="preserve"> April 2028</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0965DF81" w:rsidR="00FC4AA5" w:rsidRPr="00DF77C7" w:rsidRDefault="00E170C1" w:rsidP="00AD67D4">
            <w:pPr>
              <w:pStyle w:val="Tabletext"/>
              <w:rPr>
                <w:lang w:val="en-GB"/>
              </w:rPr>
            </w:pPr>
            <w:r>
              <w:rPr>
                <w:lang w:val="en-GB"/>
              </w:rPr>
              <w:t>31</w:t>
            </w:r>
            <w:r w:rsidRPr="00E170C1">
              <w:rPr>
                <w:vertAlign w:val="superscript"/>
                <w:lang w:val="en-GB"/>
              </w:rPr>
              <w:t>st</w:t>
            </w:r>
            <w:r>
              <w:rPr>
                <w:lang w:val="en-GB"/>
              </w:rPr>
              <w:t xml:space="preserve"> October 2028</w:t>
            </w:r>
          </w:p>
        </w:tc>
      </w:tr>
    </w:tbl>
    <w:p w14:paraId="22A68ADB" w14:textId="77777777" w:rsidR="00050C45" w:rsidRPr="00DF77C7" w:rsidRDefault="00050C45" w:rsidP="00F57606">
      <w:pPr>
        <w:pStyle w:val="Tabletext"/>
      </w:pPr>
    </w:p>
    <w:p w14:paraId="6931C648" w14:textId="1F041130" w:rsidR="00251D91" w:rsidRDefault="00251D91" w:rsidP="002F652F">
      <w:pPr>
        <w:pStyle w:val="PGDNormal"/>
      </w:pPr>
      <w:r>
        <w:t xml:space="preserve">This PGD template has been peer reviewed by the </w:t>
      </w:r>
      <w:r w:rsidR="7E904954" w:rsidRPr="374C1672">
        <w:rPr>
          <w:rFonts w:eastAsia="Arial" w:cs="Arial"/>
          <w:szCs w:val="22"/>
        </w:rPr>
        <w:t xml:space="preserve">PrEP </w:t>
      </w:r>
      <w:r w:rsidR="00A8219B" w:rsidRPr="374C1672">
        <w:rPr>
          <w:rFonts w:eastAsia="Arial" w:cs="Arial"/>
          <w:szCs w:val="22"/>
        </w:rPr>
        <w:t xml:space="preserve">PGD </w:t>
      </w:r>
      <w:r w:rsidR="00A8219B">
        <w:t>Short</w:t>
      </w:r>
      <w:r>
        <w:t xml:space="preserve"> Life Working Group in accordance with their Terms of Reference. </w:t>
      </w:r>
    </w:p>
    <w:p w14:paraId="58CD625E" w14:textId="35ED42FF" w:rsidR="00050C45" w:rsidRPr="000B6FE0" w:rsidRDefault="00050C45" w:rsidP="00AD67D4">
      <w:pPr>
        <w:pStyle w:val="PGDNormal"/>
        <w:rPr>
          <w:rStyle w:val="Hyperlink"/>
          <w:lang w:val="en-GB"/>
        </w:rPr>
      </w:pPr>
      <w:r w:rsidRPr="00DF77C7">
        <w:rPr>
          <w:lang w:val="en-GB"/>
        </w:rPr>
        <w:t xml:space="preserve">Note the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r w:rsidR="000B6FE0">
        <w:rPr>
          <w:lang w:val="en-GB"/>
        </w:rPr>
        <w:fldChar w:fldCharType="begin"/>
      </w:r>
      <w:r w:rsidR="000B6FE0">
        <w:rPr>
          <w:lang w:val="en-GB"/>
        </w:rPr>
        <w:instrText>HYPERLINK "https://www.sps.nhs.uk/home/guidance/patient-group-directions-and-legal-mechanisms/national-pgd-protocol-and-written-instructions-templates/"</w:instrText>
      </w:r>
      <w:r w:rsidR="000B6FE0">
        <w:rPr>
          <w:lang w:val="en-GB"/>
        </w:rPr>
      </w:r>
      <w:r w:rsidR="000B6FE0">
        <w:rPr>
          <w:lang w:val="en-GB"/>
        </w:rPr>
        <w:fldChar w:fldCharType="separate"/>
      </w:r>
      <w:r w:rsidR="006829D5" w:rsidRPr="000B6FE0">
        <w:rPr>
          <w:rStyle w:val="Hyperlink"/>
          <w:lang w:val="en-GB"/>
        </w:rPr>
        <w:t xml:space="preserve">SPS </w:t>
      </w:r>
      <w:r w:rsidR="006829D5" w:rsidRPr="000B6FE0">
        <w:rPr>
          <w:rStyle w:val="Hyperlink"/>
          <w:lang w:val="en-GB"/>
        </w:rPr>
        <w:t>n</w:t>
      </w:r>
      <w:r w:rsidR="006829D5" w:rsidRPr="000B6FE0">
        <w:rPr>
          <w:rStyle w:val="Hyperlink"/>
          <w:lang w:val="en-GB"/>
        </w:rPr>
        <w:t>ational PGD</w:t>
      </w:r>
      <w:r w:rsidR="000B6FE0">
        <w:rPr>
          <w:rStyle w:val="Hyperlink"/>
          <w:lang w:val="en-GB"/>
        </w:rPr>
        <w:t>, protocol and written instruction</w:t>
      </w:r>
      <w:r w:rsidR="00294827">
        <w:rPr>
          <w:rStyle w:val="Hyperlink"/>
          <w:lang w:val="en-GB"/>
        </w:rPr>
        <w:t>s</w:t>
      </w:r>
      <w:r w:rsidR="006829D5" w:rsidRPr="000B6FE0">
        <w:rPr>
          <w:rStyle w:val="Hyperlink"/>
          <w:lang w:val="en-GB"/>
        </w:rPr>
        <w:t xml:space="preserve"> template webpage.</w:t>
      </w:r>
    </w:p>
    <w:p w14:paraId="6EA0E318" w14:textId="5BC95581" w:rsidR="00050C45" w:rsidRPr="00DF77C7" w:rsidRDefault="000B6FE0" w:rsidP="00F57606">
      <w:pPr>
        <w:pStyle w:val="Tabletext"/>
      </w:pPr>
      <w:r>
        <w:rPr>
          <w:lang w:val="en-GB"/>
        </w:rPr>
        <w:fldChar w:fldCharType="end"/>
      </w:r>
      <w:r w:rsidR="00050C45" w:rsidRPr="00DF77C7">
        <w:rPr>
          <w:rStyle w:val="PGDNormalBold"/>
        </w:rPr>
        <w:t>This section MUST REMAIN when a PGD is adopted by an organisation.</w:t>
      </w:r>
      <w:r w:rsidR="00050C45"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547"/>
        <w:gridCol w:w="6662"/>
      </w:tblGrid>
      <w:tr w:rsidR="005E6963" w:rsidRPr="00DF77C7" w14:paraId="0CD61D6C" w14:textId="77777777" w:rsidTr="00A22217">
        <w:trPr>
          <w:trHeight w:val="565"/>
          <w:tblHeader/>
        </w:trPr>
        <w:tc>
          <w:tcPr>
            <w:tcW w:w="2547" w:type="dxa"/>
            <w:tcBorders>
              <w:top w:val="single" w:sz="4" w:space="0" w:color="auto"/>
              <w:left w:val="single" w:sz="4" w:space="0" w:color="auto"/>
              <w:bottom w:val="single" w:sz="4" w:space="0" w:color="auto"/>
              <w:right w:val="single" w:sz="4" w:space="0" w:color="auto"/>
            </w:tcBorders>
            <w:hideMark/>
          </w:tcPr>
          <w:p w14:paraId="1432670F" w14:textId="77777777" w:rsidR="005E6963" w:rsidRPr="00DF77C7" w:rsidRDefault="005E6963" w:rsidP="00A22217">
            <w:pPr>
              <w:pStyle w:val="TableHeaderRow"/>
            </w:pPr>
            <w:r w:rsidRPr="00DF77C7">
              <w:t>Name or Role</w:t>
            </w:r>
          </w:p>
        </w:tc>
        <w:tc>
          <w:tcPr>
            <w:tcW w:w="6662" w:type="dxa"/>
            <w:tcBorders>
              <w:top w:val="single" w:sz="4" w:space="0" w:color="auto"/>
              <w:left w:val="single" w:sz="4" w:space="0" w:color="auto"/>
              <w:bottom w:val="single" w:sz="4" w:space="0" w:color="auto"/>
              <w:right w:val="single" w:sz="4" w:space="0" w:color="auto"/>
            </w:tcBorders>
            <w:hideMark/>
          </w:tcPr>
          <w:p w14:paraId="6CA85561" w14:textId="77777777" w:rsidR="005E6963" w:rsidRPr="00DF77C7" w:rsidRDefault="005E6963" w:rsidP="00A22217">
            <w:pPr>
              <w:pStyle w:val="TableHeaderRow"/>
            </w:pPr>
            <w:r w:rsidRPr="00DF77C7">
              <w:t>Position</w:t>
            </w:r>
          </w:p>
        </w:tc>
      </w:tr>
      <w:tr w:rsidR="00687B72" w:rsidRPr="00DF77C7" w14:paraId="6D7832C8" w14:textId="77777777" w:rsidTr="00A22217">
        <w:trPr>
          <w:trHeight w:val="420"/>
        </w:trPr>
        <w:tc>
          <w:tcPr>
            <w:tcW w:w="2547" w:type="dxa"/>
          </w:tcPr>
          <w:p w14:paraId="0D33821E" w14:textId="01B93EF5" w:rsidR="00687B72" w:rsidRPr="00E170C1" w:rsidRDefault="00687B72" w:rsidP="00A22217">
            <w:pPr>
              <w:pStyle w:val="Tabletext"/>
              <w:spacing w:after="0"/>
              <w:rPr>
                <w:rFonts w:eastAsia="Calibri" w:cs="Arial"/>
                <w:sz w:val="20"/>
                <w:lang w:val="en-GB"/>
              </w:rPr>
            </w:pPr>
            <w:r w:rsidRPr="00E170C1">
              <w:rPr>
                <w:rFonts w:cs="Arial"/>
                <w:sz w:val="20"/>
              </w:rPr>
              <w:t>Ali Grant</w:t>
            </w:r>
          </w:p>
        </w:tc>
        <w:tc>
          <w:tcPr>
            <w:tcW w:w="6662" w:type="dxa"/>
          </w:tcPr>
          <w:p w14:paraId="0C137020" w14:textId="3AB0FFC4" w:rsidR="00687B72" w:rsidRPr="00E170C1" w:rsidRDefault="00687B72" w:rsidP="00A22217">
            <w:pPr>
              <w:pStyle w:val="Tabletext"/>
              <w:spacing w:after="0"/>
              <w:rPr>
                <w:rFonts w:eastAsia="Calibri" w:cs="Arial"/>
                <w:sz w:val="20"/>
                <w:lang w:val="en-GB"/>
              </w:rPr>
            </w:pPr>
            <w:r w:rsidRPr="00E170C1">
              <w:rPr>
                <w:rFonts w:cs="Arial"/>
                <w:sz w:val="20"/>
              </w:rPr>
              <w:t>Consultant Pharmacist: HIV, Sexual and Reproductive Health</w:t>
            </w:r>
          </w:p>
        </w:tc>
      </w:tr>
      <w:tr w:rsidR="00687B72" w:rsidRPr="00DF77C7" w14:paraId="15A217EB" w14:textId="77777777" w:rsidTr="000C72E8">
        <w:trPr>
          <w:trHeight w:val="540"/>
        </w:trPr>
        <w:tc>
          <w:tcPr>
            <w:tcW w:w="2547" w:type="dxa"/>
          </w:tcPr>
          <w:p w14:paraId="543479AC" w14:textId="3350D5FA" w:rsidR="00687B72" w:rsidRPr="00E170C1" w:rsidRDefault="00687B72" w:rsidP="000C72E8">
            <w:pPr>
              <w:pStyle w:val="Tabletext"/>
              <w:spacing w:after="0"/>
              <w:rPr>
                <w:rFonts w:eastAsia="Calibri" w:cs="Arial"/>
                <w:sz w:val="20"/>
                <w:lang w:val="en-GB"/>
              </w:rPr>
            </w:pPr>
            <w:r w:rsidRPr="00E170C1">
              <w:rPr>
                <w:rFonts w:cs="Arial"/>
                <w:sz w:val="20"/>
                <w:lang w:val="en"/>
              </w:rPr>
              <w:t>Dr Cindy Farmer</w:t>
            </w:r>
          </w:p>
        </w:tc>
        <w:tc>
          <w:tcPr>
            <w:tcW w:w="6662" w:type="dxa"/>
          </w:tcPr>
          <w:p w14:paraId="7C2C9AF1" w14:textId="3CA7EEC6" w:rsidR="00687B72" w:rsidRPr="00294827" w:rsidRDefault="00687B72" w:rsidP="000C72E8">
            <w:pPr>
              <w:spacing w:line="240" w:lineRule="auto"/>
              <w:rPr>
                <w:rFonts w:ascii="Arial" w:hAnsi="Arial" w:cs="Arial"/>
                <w:sz w:val="20"/>
                <w:szCs w:val="20"/>
              </w:rPr>
            </w:pPr>
            <w:r w:rsidRPr="00294827">
              <w:rPr>
                <w:rFonts w:ascii="Arial" w:hAnsi="Arial" w:cs="Arial"/>
                <w:sz w:val="20"/>
                <w:szCs w:val="20"/>
              </w:rPr>
              <w:t>Vice President, General Training</w:t>
            </w:r>
            <w:r w:rsidR="00E170C1" w:rsidRPr="00294827">
              <w:rPr>
                <w:rFonts w:ascii="Arial" w:hAnsi="Arial" w:cs="Arial"/>
                <w:sz w:val="20"/>
                <w:szCs w:val="20"/>
              </w:rPr>
              <w:t xml:space="preserve">, </w:t>
            </w:r>
            <w:r w:rsidRPr="00294827">
              <w:rPr>
                <w:rFonts w:ascii="Arial" w:hAnsi="Arial" w:cs="Arial"/>
                <w:sz w:val="20"/>
                <w:szCs w:val="20"/>
              </w:rPr>
              <w:t>The College of Sexual and Reproductive Healthcare (CoSRH)</w:t>
            </w:r>
          </w:p>
        </w:tc>
      </w:tr>
      <w:tr w:rsidR="00687B72" w:rsidRPr="00DF77C7" w14:paraId="15C69C66" w14:textId="77777777" w:rsidTr="00A22217">
        <w:trPr>
          <w:trHeight w:val="408"/>
        </w:trPr>
        <w:tc>
          <w:tcPr>
            <w:tcW w:w="2547" w:type="dxa"/>
          </w:tcPr>
          <w:p w14:paraId="067C5D4E" w14:textId="1706BBD4" w:rsidR="00687B72" w:rsidRPr="00E170C1" w:rsidRDefault="00687B72" w:rsidP="00A22217">
            <w:pPr>
              <w:pStyle w:val="Tabletext"/>
              <w:spacing w:after="0"/>
              <w:rPr>
                <w:rFonts w:eastAsia="Calibri" w:cs="Arial"/>
                <w:sz w:val="20"/>
                <w:lang w:val="en-GB"/>
              </w:rPr>
            </w:pPr>
            <w:r w:rsidRPr="00E170C1">
              <w:rPr>
                <w:rFonts w:cs="Arial"/>
                <w:sz w:val="20"/>
              </w:rPr>
              <w:t>Dipti Patel</w:t>
            </w:r>
          </w:p>
        </w:tc>
        <w:tc>
          <w:tcPr>
            <w:tcW w:w="6662" w:type="dxa"/>
          </w:tcPr>
          <w:p w14:paraId="53553074" w14:textId="78606A09" w:rsidR="00687B72" w:rsidRPr="00E170C1" w:rsidRDefault="00687B72" w:rsidP="00A22217">
            <w:pPr>
              <w:pStyle w:val="Tabletext"/>
              <w:spacing w:after="0"/>
              <w:rPr>
                <w:rFonts w:eastAsia="Calibri" w:cs="Arial"/>
                <w:sz w:val="20"/>
                <w:lang w:val="en-GB"/>
              </w:rPr>
            </w:pPr>
            <w:r w:rsidRPr="00E170C1">
              <w:rPr>
                <w:rFonts w:cs="Arial"/>
                <w:sz w:val="20"/>
              </w:rPr>
              <w:t xml:space="preserve">Local authority pharmacist </w:t>
            </w:r>
          </w:p>
        </w:tc>
      </w:tr>
      <w:tr w:rsidR="00687B72" w:rsidRPr="00DF77C7" w14:paraId="2441A89E" w14:textId="77777777" w:rsidTr="00A22217">
        <w:trPr>
          <w:trHeight w:val="373"/>
        </w:trPr>
        <w:tc>
          <w:tcPr>
            <w:tcW w:w="2547" w:type="dxa"/>
          </w:tcPr>
          <w:p w14:paraId="7F6ABB2F" w14:textId="25D0DA0D" w:rsidR="00687B72" w:rsidRPr="00E170C1" w:rsidRDefault="00687B72" w:rsidP="00A22217">
            <w:pPr>
              <w:pStyle w:val="Tabletext"/>
              <w:spacing w:after="0"/>
              <w:rPr>
                <w:rFonts w:cs="Arial"/>
                <w:sz w:val="20"/>
                <w:lang w:val="en-GB"/>
              </w:rPr>
            </w:pPr>
            <w:r w:rsidRPr="00E170C1">
              <w:rPr>
                <w:rFonts w:cs="Arial"/>
                <w:sz w:val="20"/>
              </w:rPr>
              <w:t xml:space="preserve">Hasan Mirza </w:t>
            </w:r>
          </w:p>
        </w:tc>
        <w:tc>
          <w:tcPr>
            <w:tcW w:w="6662" w:type="dxa"/>
          </w:tcPr>
          <w:p w14:paraId="3C9BFAE0" w14:textId="5849E516" w:rsidR="00687B72" w:rsidRPr="00E170C1" w:rsidRDefault="00687B72" w:rsidP="00A22217">
            <w:pPr>
              <w:pStyle w:val="Tabletext"/>
              <w:spacing w:after="0"/>
              <w:rPr>
                <w:rFonts w:cs="Arial"/>
                <w:sz w:val="20"/>
                <w:lang w:val="en-GB"/>
              </w:rPr>
            </w:pPr>
            <w:r w:rsidRPr="00E170C1">
              <w:rPr>
                <w:rFonts w:cs="Arial"/>
                <w:sz w:val="20"/>
              </w:rPr>
              <w:t>PrEP and Sexual Health Pharmacist, Barts Health NHS Trust</w:t>
            </w:r>
          </w:p>
        </w:tc>
      </w:tr>
      <w:tr w:rsidR="00687B72" w:rsidRPr="00DF77C7" w14:paraId="0E576D53" w14:textId="77777777" w:rsidTr="00A22217">
        <w:trPr>
          <w:trHeight w:val="453"/>
        </w:trPr>
        <w:tc>
          <w:tcPr>
            <w:tcW w:w="2547" w:type="dxa"/>
          </w:tcPr>
          <w:p w14:paraId="05EE8281" w14:textId="25E657F5" w:rsidR="00687B72" w:rsidRPr="00E170C1" w:rsidRDefault="00687B72" w:rsidP="00A22217">
            <w:pPr>
              <w:pStyle w:val="Tabletext"/>
              <w:spacing w:after="0"/>
              <w:rPr>
                <w:rFonts w:cs="Arial"/>
                <w:sz w:val="20"/>
                <w:lang w:val="en-GB"/>
              </w:rPr>
            </w:pPr>
            <w:r w:rsidRPr="00E170C1">
              <w:rPr>
                <w:rFonts w:cs="Arial"/>
                <w:sz w:val="20"/>
              </w:rPr>
              <w:t xml:space="preserve">Jo Jenkins </w:t>
            </w:r>
          </w:p>
        </w:tc>
        <w:tc>
          <w:tcPr>
            <w:tcW w:w="6662" w:type="dxa"/>
          </w:tcPr>
          <w:p w14:paraId="2A113ED2" w14:textId="10C9191D" w:rsidR="00687B72" w:rsidRPr="00E170C1" w:rsidRDefault="00687B72" w:rsidP="00A22217">
            <w:pPr>
              <w:pStyle w:val="Tabletext"/>
              <w:spacing w:after="0"/>
              <w:rPr>
                <w:rFonts w:cs="Arial"/>
                <w:sz w:val="20"/>
                <w:lang w:val="en-GB"/>
              </w:rPr>
            </w:pPr>
            <w:r w:rsidRPr="00E170C1">
              <w:rPr>
                <w:rFonts w:cs="Arial"/>
                <w:sz w:val="20"/>
              </w:rPr>
              <w:t>Associate Director – Medicines Governance, Medicines Use and Safety Division, Specialist Pharmacy Service</w:t>
            </w:r>
          </w:p>
        </w:tc>
      </w:tr>
      <w:tr w:rsidR="00687B72" w:rsidRPr="00DF77C7" w14:paraId="06658BE4" w14:textId="77777777" w:rsidTr="00A22217">
        <w:trPr>
          <w:trHeight w:val="539"/>
        </w:trPr>
        <w:tc>
          <w:tcPr>
            <w:tcW w:w="2547" w:type="dxa"/>
          </w:tcPr>
          <w:p w14:paraId="4B09C5EB" w14:textId="0DD52F7A" w:rsidR="00687B72" w:rsidRPr="00E170C1" w:rsidRDefault="00687B72" w:rsidP="00A22217">
            <w:pPr>
              <w:pStyle w:val="Tabletext"/>
              <w:spacing w:after="0"/>
              <w:rPr>
                <w:rFonts w:cs="Arial"/>
                <w:sz w:val="20"/>
                <w:lang w:val="en-GB"/>
              </w:rPr>
            </w:pPr>
            <w:r w:rsidRPr="00E170C1">
              <w:rPr>
                <w:rFonts w:cs="Arial"/>
                <w:sz w:val="20"/>
              </w:rPr>
              <w:t>Jodie Crossman</w:t>
            </w:r>
          </w:p>
        </w:tc>
        <w:tc>
          <w:tcPr>
            <w:tcW w:w="6662" w:type="dxa"/>
          </w:tcPr>
          <w:p w14:paraId="50FAAE1F" w14:textId="468B08CD" w:rsidR="00687B72" w:rsidRPr="00E170C1" w:rsidRDefault="00687B72" w:rsidP="00A22217">
            <w:pPr>
              <w:pStyle w:val="Tabletext"/>
              <w:spacing w:after="0"/>
              <w:rPr>
                <w:rFonts w:cs="Arial"/>
                <w:sz w:val="20"/>
                <w:lang w:val="en-GB"/>
              </w:rPr>
            </w:pPr>
            <w:r w:rsidRPr="00E170C1">
              <w:rPr>
                <w:rFonts w:cs="Arial"/>
                <w:sz w:val="20"/>
              </w:rPr>
              <w:t>Clinical Nurse Specialist, BASHH Nurse representative, STI Foundation Chair</w:t>
            </w:r>
          </w:p>
        </w:tc>
      </w:tr>
      <w:tr w:rsidR="00687B72" w:rsidRPr="00DF77C7" w14:paraId="3803C8B9" w14:textId="77777777" w:rsidTr="00A22217">
        <w:trPr>
          <w:trHeight w:val="412"/>
        </w:trPr>
        <w:tc>
          <w:tcPr>
            <w:tcW w:w="2547" w:type="dxa"/>
          </w:tcPr>
          <w:p w14:paraId="00B466E6" w14:textId="5EDD8420" w:rsidR="00687B72" w:rsidRPr="00E170C1" w:rsidRDefault="00687B72" w:rsidP="00A22217">
            <w:pPr>
              <w:pStyle w:val="Tabletext"/>
              <w:spacing w:after="0"/>
              <w:rPr>
                <w:rFonts w:cs="Arial"/>
                <w:sz w:val="20"/>
                <w:lang w:val="en-GB"/>
              </w:rPr>
            </w:pPr>
            <w:r w:rsidRPr="00E170C1">
              <w:rPr>
                <w:rFonts w:cs="Arial"/>
                <w:sz w:val="20"/>
              </w:rPr>
              <w:t xml:space="preserve">Dr John Saunders </w:t>
            </w:r>
          </w:p>
        </w:tc>
        <w:tc>
          <w:tcPr>
            <w:tcW w:w="6662" w:type="dxa"/>
          </w:tcPr>
          <w:p w14:paraId="52BB571F" w14:textId="7322AFCA" w:rsidR="00687B72" w:rsidRPr="00E170C1" w:rsidRDefault="00687B72" w:rsidP="00A22217">
            <w:pPr>
              <w:pStyle w:val="Tabletext"/>
              <w:spacing w:after="0"/>
              <w:rPr>
                <w:rFonts w:cs="Arial"/>
                <w:sz w:val="20"/>
                <w:lang w:val="en-GB"/>
              </w:rPr>
            </w:pPr>
            <w:r w:rsidRPr="00E170C1">
              <w:rPr>
                <w:rFonts w:cs="Arial"/>
                <w:sz w:val="20"/>
              </w:rPr>
              <w:t>Consultant in Sexual Health and HIV</w:t>
            </w:r>
          </w:p>
        </w:tc>
      </w:tr>
      <w:tr w:rsidR="00687B72" w:rsidRPr="00DF77C7" w14:paraId="2099D9F1" w14:textId="77777777" w:rsidTr="00E143B0">
        <w:trPr>
          <w:trHeight w:val="386"/>
        </w:trPr>
        <w:tc>
          <w:tcPr>
            <w:tcW w:w="2547" w:type="dxa"/>
          </w:tcPr>
          <w:p w14:paraId="784A3A8D" w14:textId="14BED55E" w:rsidR="00687B72" w:rsidRPr="00E170C1" w:rsidRDefault="00687B72" w:rsidP="00A22217">
            <w:pPr>
              <w:pStyle w:val="Tabletext"/>
              <w:spacing w:after="0"/>
              <w:rPr>
                <w:rFonts w:cs="Arial"/>
                <w:sz w:val="20"/>
                <w:lang w:val="en-GB"/>
              </w:rPr>
            </w:pPr>
            <w:r w:rsidRPr="00E170C1">
              <w:rPr>
                <w:rFonts w:cs="Arial"/>
                <w:sz w:val="20"/>
              </w:rPr>
              <w:t>Jonathan O'Sullivan</w:t>
            </w:r>
          </w:p>
        </w:tc>
        <w:tc>
          <w:tcPr>
            <w:tcW w:w="6662" w:type="dxa"/>
          </w:tcPr>
          <w:p w14:paraId="0B5D7B8A" w14:textId="780C29B9" w:rsidR="00687B72" w:rsidRPr="00E170C1" w:rsidRDefault="00687B72" w:rsidP="00A22217">
            <w:pPr>
              <w:pStyle w:val="Tabletext"/>
              <w:spacing w:after="0"/>
              <w:rPr>
                <w:rFonts w:cs="Arial"/>
                <w:sz w:val="20"/>
                <w:lang w:val="en-GB"/>
              </w:rPr>
            </w:pPr>
            <w:r w:rsidRPr="00E170C1">
              <w:rPr>
                <w:rFonts w:cs="Arial"/>
                <w:sz w:val="20"/>
              </w:rPr>
              <w:t xml:space="preserve">Commissioner </w:t>
            </w:r>
          </w:p>
        </w:tc>
      </w:tr>
      <w:tr w:rsidR="00687B72" w:rsidRPr="00DF77C7" w14:paraId="4C01E258" w14:textId="77777777" w:rsidTr="00A22217">
        <w:trPr>
          <w:trHeight w:val="503"/>
        </w:trPr>
        <w:tc>
          <w:tcPr>
            <w:tcW w:w="2547" w:type="dxa"/>
          </w:tcPr>
          <w:p w14:paraId="494AA640" w14:textId="05A98F5A" w:rsidR="00687B72" w:rsidRPr="00E170C1" w:rsidRDefault="00687B72" w:rsidP="00A22217">
            <w:pPr>
              <w:pStyle w:val="Tabletext"/>
              <w:spacing w:after="0"/>
              <w:rPr>
                <w:rFonts w:eastAsia="Calibri" w:cs="Arial"/>
                <w:sz w:val="20"/>
                <w:lang w:val="en-GB"/>
              </w:rPr>
            </w:pPr>
            <w:r w:rsidRPr="00E170C1">
              <w:rPr>
                <w:rFonts w:cs="Arial"/>
                <w:sz w:val="20"/>
              </w:rPr>
              <w:t>Kieran Reynolds (Working Group Coordinator)</w:t>
            </w:r>
          </w:p>
        </w:tc>
        <w:tc>
          <w:tcPr>
            <w:tcW w:w="6662" w:type="dxa"/>
          </w:tcPr>
          <w:p w14:paraId="4FD8CBD4" w14:textId="54ED2DF6" w:rsidR="00687B72" w:rsidRPr="00E170C1" w:rsidRDefault="00687B72" w:rsidP="00A22217">
            <w:pPr>
              <w:pStyle w:val="Tabletext"/>
              <w:spacing w:after="0"/>
              <w:rPr>
                <w:rFonts w:eastAsia="Calibri" w:cs="Arial"/>
                <w:sz w:val="20"/>
                <w:lang w:val="en-GB"/>
              </w:rPr>
            </w:pPr>
            <w:r w:rsidRPr="00E170C1">
              <w:rPr>
                <w:rFonts w:cs="Arial"/>
                <w:sz w:val="20"/>
              </w:rPr>
              <w:t xml:space="preserve">Advanced Specialist Pharmacist – Medicines Governance, Medicines Use and Safety, Specialist Pharmacy Service </w:t>
            </w:r>
          </w:p>
        </w:tc>
      </w:tr>
      <w:tr w:rsidR="00687B72" w:rsidRPr="00DF77C7" w14:paraId="69FDDB9F" w14:textId="77777777" w:rsidTr="00A22217">
        <w:trPr>
          <w:trHeight w:val="490"/>
        </w:trPr>
        <w:tc>
          <w:tcPr>
            <w:tcW w:w="2547" w:type="dxa"/>
          </w:tcPr>
          <w:p w14:paraId="7F553184" w14:textId="2A090E09" w:rsidR="00687B72" w:rsidRPr="00DF77C7" w:rsidRDefault="00687B72" w:rsidP="00A22217">
            <w:pPr>
              <w:pStyle w:val="Tabletext"/>
              <w:spacing w:after="0"/>
              <w:rPr>
                <w:rFonts w:eastAsia="Calibri"/>
                <w:lang w:val="en-GB"/>
              </w:rPr>
            </w:pPr>
            <w:r w:rsidRPr="00526FCE">
              <w:rPr>
                <w:rFonts w:cs="Arial"/>
                <w:sz w:val="20"/>
              </w:rPr>
              <w:t>Dr Killian Quinn</w:t>
            </w:r>
          </w:p>
        </w:tc>
        <w:tc>
          <w:tcPr>
            <w:tcW w:w="6662" w:type="dxa"/>
            <w:vAlign w:val="center"/>
          </w:tcPr>
          <w:p w14:paraId="02599635" w14:textId="386C36AD" w:rsidR="00687B72" w:rsidRPr="00DF77C7" w:rsidRDefault="00687B72" w:rsidP="00A22217">
            <w:pPr>
              <w:pStyle w:val="Tabletext"/>
              <w:spacing w:after="0"/>
              <w:rPr>
                <w:rFonts w:eastAsia="Calibri"/>
                <w:lang w:val="en-GB"/>
              </w:rPr>
            </w:pPr>
            <w:r w:rsidRPr="00526FCE">
              <w:rPr>
                <w:rFonts w:cs="Arial"/>
                <w:sz w:val="20"/>
              </w:rPr>
              <w:t>Consultant in Sexual Health, HIV, Internal Medicine, King’s College Hospital NHS Foundation Trust</w:t>
            </w:r>
          </w:p>
        </w:tc>
      </w:tr>
      <w:tr w:rsidR="00687B72" w:rsidRPr="00DF77C7" w14:paraId="35233D0C" w14:textId="77777777" w:rsidTr="00A22217">
        <w:trPr>
          <w:trHeight w:val="579"/>
        </w:trPr>
        <w:tc>
          <w:tcPr>
            <w:tcW w:w="2547" w:type="dxa"/>
          </w:tcPr>
          <w:p w14:paraId="7304BC04" w14:textId="2A7A68A9" w:rsidR="00687B72" w:rsidRPr="00DF77C7" w:rsidRDefault="00687B72" w:rsidP="00A22217">
            <w:pPr>
              <w:pStyle w:val="Tabletext"/>
              <w:spacing w:after="0"/>
              <w:rPr>
                <w:rFonts w:eastAsia="Calibri"/>
                <w:lang w:val="en-GB"/>
              </w:rPr>
            </w:pPr>
            <w:r w:rsidRPr="00526FCE">
              <w:rPr>
                <w:rFonts w:cs="Arial"/>
                <w:sz w:val="20"/>
              </w:rPr>
              <w:t>Madeleine Foster (Working Group Coordinator)</w:t>
            </w:r>
          </w:p>
        </w:tc>
        <w:tc>
          <w:tcPr>
            <w:tcW w:w="6662" w:type="dxa"/>
          </w:tcPr>
          <w:p w14:paraId="17ADE788" w14:textId="350DDEC2" w:rsidR="00687B72" w:rsidRPr="00DF77C7" w:rsidRDefault="00687B72" w:rsidP="00A22217">
            <w:pPr>
              <w:pStyle w:val="Tabletext"/>
              <w:spacing w:after="0"/>
              <w:rPr>
                <w:rFonts w:eastAsia="Calibri"/>
                <w:lang w:val="en-GB"/>
              </w:rPr>
            </w:pPr>
            <w:r w:rsidRPr="00526FCE">
              <w:rPr>
                <w:rFonts w:cs="Arial"/>
                <w:sz w:val="20"/>
              </w:rPr>
              <w:t xml:space="preserve">Chief Pharmaceutical Officer’s Clinical Fellow, Specialist Pharmacy Service </w:t>
            </w:r>
          </w:p>
        </w:tc>
      </w:tr>
      <w:tr w:rsidR="00687B72" w:rsidRPr="00DF77C7" w14:paraId="1521C102" w14:textId="77777777" w:rsidTr="00E143B0">
        <w:trPr>
          <w:trHeight w:val="374"/>
        </w:trPr>
        <w:tc>
          <w:tcPr>
            <w:tcW w:w="2547" w:type="dxa"/>
          </w:tcPr>
          <w:p w14:paraId="6BE61AA6" w14:textId="70277744" w:rsidR="00687B72" w:rsidRPr="00CA4E7F" w:rsidRDefault="00687B72" w:rsidP="00A22217">
            <w:pPr>
              <w:pStyle w:val="Tabletext"/>
              <w:spacing w:after="0"/>
            </w:pPr>
            <w:r w:rsidRPr="00526FCE">
              <w:rPr>
                <w:rFonts w:cs="Arial"/>
                <w:sz w:val="20"/>
              </w:rPr>
              <w:t>Martin Murchie</w:t>
            </w:r>
          </w:p>
        </w:tc>
        <w:tc>
          <w:tcPr>
            <w:tcW w:w="6662" w:type="dxa"/>
          </w:tcPr>
          <w:p w14:paraId="75994CBC" w14:textId="35174DC9" w:rsidR="00687B72" w:rsidRPr="00CA4E7F" w:rsidRDefault="00687B72" w:rsidP="00A22217">
            <w:pPr>
              <w:pStyle w:val="Tabletext"/>
              <w:spacing w:after="0"/>
            </w:pPr>
            <w:r w:rsidRPr="00526FCE">
              <w:rPr>
                <w:rFonts w:cs="Arial"/>
                <w:sz w:val="20"/>
              </w:rPr>
              <w:t>Sexual Health Adviser</w:t>
            </w:r>
          </w:p>
        </w:tc>
      </w:tr>
      <w:tr w:rsidR="00687B72" w:rsidRPr="00DF77C7" w14:paraId="749C3D51" w14:textId="77777777" w:rsidTr="00A22217">
        <w:trPr>
          <w:trHeight w:val="396"/>
        </w:trPr>
        <w:tc>
          <w:tcPr>
            <w:tcW w:w="2547" w:type="dxa"/>
          </w:tcPr>
          <w:p w14:paraId="70111EF9" w14:textId="5A0FE904" w:rsidR="00687B72" w:rsidRPr="00CA4E7F" w:rsidRDefault="00687B72" w:rsidP="00A22217">
            <w:pPr>
              <w:pStyle w:val="Tabletext"/>
              <w:spacing w:after="0"/>
            </w:pPr>
            <w:r w:rsidRPr="00526FCE">
              <w:rPr>
                <w:rFonts w:cs="Arial"/>
                <w:sz w:val="20"/>
              </w:rPr>
              <w:t>Dr Michael Brady</w:t>
            </w:r>
          </w:p>
        </w:tc>
        <w:tc>
          <w:tcPr>
            <w:tcW w:w="6662" w:type="dxa"/>
            <w:vAlign w:val="center"/>
          </w:tcPr>
          <w:p w14:paraId="5BDE2773" w14:textId="2F6B25DB" w:rsidR="00687B72" w:rsidRPr="00CA4E7F" w:rsidRDefault="00687B72" w:rsidP="00A22217">
            <w:pPr>
              <w:pStyle w:val="Tabletext"/>
              <w:spacing w:after="0"/>
            </w:pPr>
            <w:r w:rsidRPr="00526FCE">
              <w:rPr>
                <w:rFonts w:cs="Arial"/>
                <w:sz w:val="20"/>
              </w:rPr>
              <w:t>Consultant in HIV and Sexual Health, King’s College Hospital, NHSE National Advisor for LGBT health</w:t>
            </w:r>
          </w:p>
        </w:tc>
      </w:tr>
      <w:tr w:rsidR="00687B72" w:rsidRPr="00DF77C7" w14:paraId="0FFEA69D" w14:textId="77777777" w:rsidTr="00A22217">
        <w:trPr>
          <w:trHeight w:val="559"/>
        </w:trPr>
        <w:tc>
          <w:tcPr>
            <w:tcW w:w="2547" w:type="dxa"/>
          </w:tcPr>
          <w:p w14:paraId="6BE2BE52" w14:textId="4FCA345E" w:rsidR="00687B72" w:rsidRPr="000C72E8" w:rsidRDefault="00687B72" w:rsidP="000C72E8">
            <w:pPr>
              <w:spacing w:after="0"/>
              <w:rPr>
                <w:rFonts w:ascii="Arial" w:hAnsi="Arial" w:cs="Arial"/>
                <w:sz w:val="20"/>
                <w:szCs w:val="20"/>
              </w:rPr>
            </w:pPr>
            <w:r w:rsidRPr="000C72E8">
              <w:rPr>
                <w:rFonts w:ascii="Arial" w:hAnsi="Arial" w:cs="Arial"/>
                <w:sz w:val="20"/>
                <w:szCs w:val="20"/>
              </w:rPr>
              <w:t>Michelle Jenkins</w:t>
            </w:r>
          </w:p>
        </w:tc>
        <w:tc>
          <w:tcPr>
            <w:tcW w:w="6662" w:type="dxa"/>
          </w:tcPr>
          <w:p w14:paraId="74AC45CC" w14:textId="2FFF34DB" w:rsidR="00687B72" w:rsidRPr="000C72E8" w:rsidRDefault="00687B72" w:rsidP="000C72E8">
            <w:pPr>
              <w:spacing w:after="0"/>
              <w:rPr>
                <w:rFonts w:ascii="Arial" w:hAnsi="Arial" w:cs="Arial"/>
                <w:sz w:val="20"/>
                <w:szCs w:val="20"/>
              </w:rPr>
            </w:pPr>
            <w:r w:rsidRPr="000C72E8">
              <w:rPr>
                <w:rFonts w:ascii="Arial" w:hAnsi="Arial" w:cs="Arial"/>
                <w:sz w:val="20"/>
                <w:szCs w:val="20"/>
              </w:rPr>
              <w:t>Advanced Nurse Practitioner, Clinical Standards Committee</w:t>
            </w:r>
            <w:r w:rsidR="00E170C1" w:rsidRPr="000C72E8">
              <w:rPr>
                <w:rFonts w:ascii="Arial" w:hAnsi="Arial" w:cs="Arial"/>
                <w:sz w:val="20"/>
                <w:szCs w:val="20"/>
              </w:rPr>
              <w:t>, The College of Sexual and Reproductive Healthcare (CoSRH)</w:t>
            </w:r>
          </w:p>
        </w:tc>
      </w:tr>
      <w:tr w:rsidR="00687B72" w:rsidRPr="00DF77C7" w14:paraId="789D0F32" w14:textId="77777777" w:rsidTr="00A22217">
        <w:trPr>
          <w:trHeight w:val="261"/>
        </w:trPr>
        <w:tc>
          <w:tcPr>
            <w:tcW w:w="2547" w:type="dxa"/>
          </w:tcPr>
          <w:p w14:paraId="34BBC611" w14:textId="542196B7" w:rsidR="00687B72" w:rsidRPr="00E170C1" w:rsidRDefault="00687B72" w:rsidP="00A22217">
            <w:pPr>
              <w:pStyle w:val="Tabletext"/>
              <w:spacing w:after="0"/>
              <w:rPr>
                <w:sz w:val="20"/>
              </w:rPr>
            </w:pPr>
            <w:r w:rsidRPr="00E170C1">
              <w:rPr>
                <w:rFonts w:cs="Arial"/>
                <w:sz w:val="20"/>
              </w:rPr>
              <w:t>Nadia</w:t>
            </w:r>
            <w:r w:rsidRPr="00E170C1">
              <w:rPr>
                <w:sz w:val="20"/>
              </w:rPr>
              <w:t xml:space="preserve"> </w:t>
            </w:r>
            <w:r w:rsidRPr="00E170C1">
              <w:rPr>
                <w:rFonts w:cs="Arial"/>
                <w:sz w:val="20"/>
              </w:rPr>
              <w:t>Naous</w:t>
            </w:r>
          </w:p>
        </w:tc>
        <w:tc>
          <w:tcPr>
            <w:tcW w:w="6662" w:type="dxa"/>
          </w:tcPr>
          <w:p w14:paraId="22AA416F" w14:textId="279FD481" w:rsidR="00687B72" w:rsidRPr="00E170C1" w:rsidRDefault="00687B72" w:rsidP="00A22217">
            <w:pPr>
              <w:pStyle w:val="Tabletext"/>
              <w:spacing w:after="0"/>
              <w:rPr>
                <w:sz w:val="20"/>
              </w:rPr>
            </w:pPr>
            <w:r w:rsidRPr="00E170C1">
              <w:rPr>
                <w:rFonts w:cs="Arial"/>
                <w:sz w:val="20"/>
              </w:rPr>
              <w:t>Pharmacist, Chelsea and Westminster NHS Foundation Trust</w:t>
            </w:r>
          </w:p>
        </w:tc>
      </w:tr>
      <w:tr w:rsidR="00687B72" w:rsidRPr="00DF77C7" w14:paraId="428F483B" w14:textId="77777777" w:rsidTr="00A22217">
        <w:trPr>
          <w:trHeight w:val="281"/>
        </w:trPr>
        <w:tc>
          <w:tcPr>
            <w:tcW w:w="2547" w:type="dxa"/>
          </w:tcPr>
          <w:p w14:paraId="0A713BB8" w14:textId="39A83387" w:rsidR="00687B72" w:rsidRPr="00E170C1" w:rsidRDefault="00687B72" w:rsidP="00A22217">
            <w:pPr>
              <w:pStyle w:val="Tabletext"/>
              <w:spacing w:after="0"/>
              <w:rPr>
                <w:sz w:val="20"/>
              </w:rPr>
            </w:pPr>
            <w:r w:rsidRPr="00E170C1">
              <w:rPr>
                <w:rFonts w:cs="Arial"/>
                <w:sz w:val="20"/>
              </w:rPr>
              <w:t>Odelia Eke</w:t>
            </w:r>
          </w:p>
        </w:tc>
        <w:tc>
          <w:tcPr>
            <w:tcW w:w="6662" w:type="dxa"/>
            <w:vAlign w:val="center"/>
          </w:tcPr>
          <w:p w14:paraId="350CAE81" w14:textId="04CD93A5" w:rsidR="00687B72" w:rsidRPr="00E170C1" w:rsidRDefault="00687B72" w:rsidP="00A22217">
            <w:pPr>
              <w:pStyle w:val="Tabletext"/>
              <w:spacing w:after="0"/>
              <w:rPr>
                <w:sz w:val="20"/>
              </w:rPr>
            </w:pPr>
            <w:r w:rsidRPr="00E170C1">
              <w:rPr>
                <w:rFonts w:cs="Arial"/>
                <w:sz w:val="20"/>
              </w:rPr>
              <w:t xml:space="preserve">Pharmacist, NHSE </w:t>
            </w:r>
            <w:proofErr w:type="spellStart"/>
            <w:r w:rsidRPr="00E170C1">
              <w:rPr>
                <w:rFonts w:cs="Arial"/>
                <w:sz w:val="20"/>
              </w:rPr>
              <w:t>Specialised</w:t>
            </w:r>
            <w:proofErr w:type="spellEnd"/>
            <w:r w:rsidRPr="00E170C1">
              <w:rPr>
                <w:rFonts w:cs="Arial"/>
                <w:sz w:val="20"/>
              </w:rPr>
              <w:t xml:space="preserve"> Commissioning</w:t>
            </w:r>
          </w:p>
        </w:tc>
      </w:tr>
      <w:tr w:rsidR="00687B72" w:rsidRPr="00DF77C7" w14:paraId="0A905A35" w14:textId="77777777" w:rsidTr="00A22217">
        <w:trPr>
          <w:trHeight w:val="414"/>
        </w:trPr>
        <w:tc>
          <w:tcPr>
            <w:tcW w:w="2547" w:type="dxa"/>
          </w:tcPr>
          <w:p w14:paraId="6023606E" w14:textId="6883D558" w:rsidR="00687B72" w:rsidRPr="00E170C1" w:rsidRDefault="00687B72" w:rsidP="00A22217">
            <w:pPr>
              <w:pStyle w:val="Tabletext"/>
              <w:spacing w:after="0"/>
              <w:rPr>
                <w:sz w:val="20"/>
              </w:rPr>
            </w:pPr>
            <w:r w:rsidRPr="00E170C1">
              <w:rPr>
                <w:rFonts w:cs="Arial"/>
                <w:sz w:val="20"/>
              </w:rPr>
              <w:t>Portia Jackson</w:t>
            </w:r>
          </w:p>
        </w:tc>
        <w:tc>
          <w:tcPr>
            <w:tcW w:w="6662" w:type="dxa"/>
          </w:tcPr>
          <w:p w14:paraId="48373F9E" w14:textId="249C75F9" w:rsidR="00687B72" w:rsidRPr="00E170C1" w:rsidRDefault="00687B72" w:rsidP="00A22217">
            <w:pPr>
              <w:pStyle w:val="Tabletext"/>
              <w:spacing w:after="0"/>
              <w:rPr>
                <w:sz w:val="20"/>
              </w:rPr>
            </w:pPr>
            <w:r w:rsidRPr="00E170C1">
              <w:rPr>
                <w:rFonts w:cs="Arial"/>
                <w:sz w:val="20"/>
              </w:rPr>
              <w:t>Lead Pharmacist, iCaSH</w:t>
            </w:r>
          </w:p>
        </w:tc>
      </w:tr>
      <w:tr w:rsidR="00687B72" w:rsidRPr="00DF77C7" w14:paraId="38FDED2E" w14:textId="77777777" w:rsidTr="00A22217">
        <w:trPr>
          <w:trHeight w:val="575"/>
        </w:trPr>
        <w:tc>
          <w:tcPr>
            <w:tcW w:w="2547" w:type="dxa"/>
          </w:tcPr>
          <w:p w14:paraId="62FA992C" w14:textId="2166A59B" w:rsidR="00687B72" w:rsidRPr="00E170C1" w:rsidRDefault="00687B72" w:rsidP="00A22217">
            <w:pPr>
              <w:pStyle w:val="Tabletext"/>
              <w:spacing w:after="0"/>
              <w:rPr>
                <w:sz w:val="20"/>
              </w:rPr>
            </w:pPr>
            <w:r w:rsidRPr="00E170C1">
              <w:rPr>
                <w:rFonts w:cs="Arial"/>
                <w:sz w:val="20"/>
              </w:rPr>
              <w:lastRenderedPageBreak/>
              <w:t>Dr Rachael</w:t>
            </w:r>
            <w:r w:rsidRPr="00E170C1">
              <w:rPr>
                <w:sz w:val="20"/>
              </w:rPr>
              <w:t xml:space="preserve"> </w:t>
            </w:r>
            <w:r w:rsidRPr="00E170C1">
              <w:rPr>
                <w:rFonts w:cs="Arial"/>
                <w:sz w:val="20"/>
              </w:rPr>
              <w:t>Jones</w:t>
            </w:r>
          </w:p>
        </w:tc>
        <w:tc>
          <w:tcPr>
            <w:tcW w:w="6662" w:type="dxa"/>
          </w:tcPr>
          <w:p w14:paraId="42D3234C" w14:textId="79EBDE1B" w:rsidR="00687B72" w:rsidRPr="00E170C1" w:rsidRDefault="00687B72" w:rsidP="00A22217">
            <w:pPr>
              <w:pStyle w:val="Tabletext"/>
              <w:spacing w:after="0"/>
              <w:rPr>
                <w:sz w:val="20"/>
              </w:rPr>
            </w:pPr>
            <w:r w:rsidRPr="00E170C1">
              <w:rPr>
                <w:rFonts w:cs="Arial"/>
                <w:sz w:val="20"/>
              </w:rPr>
              <w:t>Consultant in HIV and Sexual Health, Chelsea and Westminster NHS Foundation Trust</w:t>
            </w:r>
          </w:p>
        </w:tc>
      </w:tr>
      <w:tr w:rsidR="00687B72" w:rsidRPr="00DF77C7" w14:paraId="1E82AC3E" w14:textId="77777777" w:rsidTr="00A22217">
        <w:trPr>
          <w:trHeight w:val="414"/>
        </w:trPr>
        <w:tc>
          <w:tcPr>
            <w:tcW w:w="2547" w:type="dxa"/>
          </w:tcPr>
          <w:p w14:paraId="4F8B55F7" w14:textId="68B4B7DA" w:rsidR="00687B72" w:rsidRPr="00E170C1" w:rsidRDefault="00687B72" w:rsidP="00A22217">
            <w:pPr>
              <w:pStyle w:val="Tabletext"/>
              <w:spacing w:after="0"/>
              <w:rPr>
                <w:sz w:val="20"/>
              </w:rPr>
            </w:pPr>
            <w:r w:rsidRPr="00E170C1">
              <w:rPr>
                <w:rFonts w:cs="Arial"/>
                <w:sz w:val="20"/>
              </w:rPr>
              <w:t>Dr Rita Browne</w:t>
            </w:r>
          </w:p>
        </w:tc>
        <w:tc>
          <w:tcPr>
            <w:tcW w:w="6662" w:type="dxa"/>
          </w:tcPr>
          <w:p w14:paraId="2F6DB342" w14:textId="77FE24BF" w:rsidR="00687B72" w:rsidRPr="00E170C1" w:rsidRDefault="00687B72" w:rsidP="00A22217">
            <w:pPr>
              <w:pStyle w:val="Tabletext"/>
              <w:spacing w:after="0"/>
              <w:rPr>
                <w:sz w:val="20"/>
              </w:rPr>
            </w:pPr>
            <w:r w:rsidRPr="00E170C1">
              <w:rPr>
                <w:rFonts w:cs="Arial"/>
                <w:sz w:val="20"/>
              </w:rPr>
              <w:t>Consultant in Sexual Health and HIV</w:t>
            </w:r>
          </w:p>
        </w:tc>
      </w:tr>
      <w:tr w:rsidR="00687B72" w:rsidRPr="00DF77C7" w14:paraId="0D921132" w14:textId="77777777" w:rsidTr="00A22217">
        <w:trPr>
          <w:trHeight w:val="532"/>
        </w:trPr>
        <w:tc>
          <w:tcPr>
            <w:tcW w:w="2547" w:type="dxa"/>
          </w:tcPr>
          <w:p w14:paraId="610DF433" w14:textId="6BD4AB92" w:rsidR="00687B72" w:rsidRPr="00E170C1" w:rsidRDefault="00687B72" w:rsidP="00A22217">
            <w:pPr>
              <w:pStyle w:val="Tabletext"/>
              <w:spacing w:after="0"/>
              <w:rPr>
                <w:sz w:val="20"/>
              </w:rPr>
            </w:pPr>
            <w:r w:rsidRPr="00E170C1">
              <w:rPr>
                <w:rFonts w:cs="Arial"/>
                <w:sz w:val="20"/>
              </w:rPr>
              <w:t>Stephanie Katiyar</w:t>
            </w:r>
          </w:p>
        </w:tc>
        <w:tc>
          <w:tcPr>
            <w:tcW w:w="6662" w:type="dxa"/>
          </w:tcPr>
          <w:p w14:paraId="6F5E3E89" w14:textId="58C6E75D" w:rsidR="00687B72" w:rsidRPr="00E170C1" w:rsidRDefault="00687B72" w:rsidP="00A22217">
            <w:pPr>
              <w:pStyle w:val="Tabletext"/>
              <w:spacing w:after="0"/>
              <w:rPr>
                <w:sz w:val="20"/>
              </w:rPr>
            </w:pPr>
            <w:r w:rsidRPr="00E170C1">
              <w:rPr>
                <w:rFonts w:cs="Arial"/>
                <w:sz w:val="20"/>
              </w:rPr>
              <w:t xml:space="preserve">PrEP Lead and Sexual Health Pharmacist, Guy’s and St. </w:t>
            </w:r>
            <w:proofErr w:type="spellStart"/>
            <w:r w:rsidRPr="00E170C1">
              <w:rPr>
                <w:rFonts w:cs="Arial"/>
                <w:sz w:val="20"/>
              </w:rPr>
              <w:t>Thomas’</w:t>
            </w:r>
            <w:proofErr w:type="spellEnd"/>
            <w:r w:rsidRPr="00E170C1">
              <w:rPr>
                <w:rFonts w:cs="Arial"/>
                <w:sz w:val="20"/>
              </w:rPr>
              <w:t xml:space="preserve"> NHS Foundation Trust</w:t>
            </w:r>
          </w:p>
        </w:tc>
      </w:tr>
      <w:tr w:rsidR="00687B72" w:rsidRPr="00DF77C7" w14:paraId="600D2D7F" w14:textId="77777777" w:rsidTr="00A22217">
        <w:trPr>
          <w:trHeight w:val="284"/>
        </w:trPr>
        <w:tc>
          <w:tcPr>
            <w:tcW w:w="2547" w:type="dxa"/>
          </w:tcPr>
          <w:p w14:paraId="087AEB67" w14:textId="61A6C734" w:rsidR="00687B72" w:rsidRPr="00E170C1" w:rsidRDefault="00687B72" w:rsidP="00A22217">
            <w:pPr>
              <w:pStyle w:val="Tabletext"/>
              <w:spacing w:after="0"/>
              <w:rPr>
                <w:sz w:val="20"/>
              </w:rPr>
            </w:pPr>
            <w:r w:rsidRPr="00E170C1">
              <w:rPr>
                <w:rFonts w:cs="Arial"/>
                <w:sz w:val="20"/>
              </w:rPr>
              <w:t>Tracy Rogers</w:t>
            </w:r>
          </w:p>
        </w:tc>
        <w:tc>
          <w:tcPr>
            <w:tcW w:w="6662" w:type="dxa"/>
          </w:tcPr>
          <w:p w14:paraId="6EA58C88" w14:textId="56350FB9" w:rsidR="00687B72" w:rsidRPr="00E170C1" w:rsidRDefault="00687B72" w:rsidP="00A22217">
            <w:pPr>
              <w:pStyle w:val="Tabletext"/>
              <w:spacing w:after="0"/>
              <w:rPr>
                <w:sz w:val="20"/>
              </w:rPr>
            </w:pPr>
            <w:r w:rsidRPr="00E170C1">
              <w:rPr>
                <w:rFonts w:cs="Arial"/>
                <w:sz w:val="20"/>
              </w:rPr>
              <w:t xml:space="preserve">Director, Medicines Use and Safety, Specialist Pharmacy Service </w:t>
            </w:r>
          </w:p>
        </w:tc>
      </w:tr>
    </w:tbl>
    <w:p w14:paraId="4C1B77A1" w14:textId="77777777" w:rsidR="00251D91" w:rsidRPr="00AA0EFC" w:rsidRDefault="00251D91" w:rsidP="00ED232C">
      <w:pPr>
        <w:pStyle w:val="PGDNormal"/>
        <w:rPr>
          <w:rStyle w:val="PGDNormalBold"/>
          <w:highlight w:val="yellow"/>
        </w:rPr>
      </w:pPr>
    </w:p>
    <w:p w14:paraId="67AC132F" w14:textId="77777777" w:rsidR="00687B72" w:rsidRPr="00687B72" w:rsidRDefault="00687B72" w:rsidP="00105D58">
      <w:pPr>
        <w:pStyle w:val="Heading1"/>
        <w:rPr>
          <w:lang w:val="en"/>
        </w:rPr>
      </w:pPr>
      <w:r w:rsidRPr="00687B72">
        <w:rPr>
          <w:lang w:val="en"/>
        </w:rPr>
        <w:t>Glossary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6992"/>
      </w:tblGrid>
      <w:tr w:rsidR="00105D58" w:rsidRPr="00105D58" w14:paraId="4E9FCFE7" w14:textId="77777777" w:rsidTr="00105D58">
        <w:tc>
          <w:tcPr>
            <w:tcW w:w="1503" w:type="dxa"/>
          </w:tcPr>
          <w:p w14:paraId="063C7B61" w14:textId="77777777" w:rsidR="00105D58" w:rsidRPr="00105D58" w:rsidRDefault="00105D58" w:rsidP="00105D58">
            <w:pPr>
              <w:pStyle w:val="Tabletext"/>
              <w:rPr>
                <w:rStyle w:val="TableHeaderColumn"/>
              </w:rPr>
            </w:pPr>
            <w:r w:rsidRPr="00105D58">
              <w:rPr>
                <w:rStyle w:val="TableHeaderColumn"/>
              </w:rPr>
              <w:t>HIV</w:t>
            </w:r>
          </w:p>
        </w:tc>
        <w:tc>
          <w:tcPr>
            <w:tcW w:w="6992" w:type="dxa"/>
          </w:tcPr>
          <w:p w14:paraId="5955E0D9" w14:textId="77777777" w:rsidR="00105D58" w:rsidRPr="00105D58" w:rsidRDefault="00105D58" w:rsidP="00105D58">
            <w:pPr>
              <w:pStyle w:val="Tabletext"/>
            </w:pPr>
            <w:r w:rsidRPr="00105D58">
              <w:t xml:space="preserve">Human Immunodeficiency Virus </w:t>
            </w:r>
          </w:p>
        </w:tc>
      </w:tr>
      <w:tr w:rsidR="00105D58" w:rsidRPr="00105D58" w14:paraId="5A966398" w14:textId="77777777" w:rsidTr="00105D58">
        <w:tc>
          <w:tcPr>
            <w:tcW w:w="1503" w:type="dxa"/>
          </w:tcPr>
          <w:p w14:paraId="63F7C069" w14:textId="77777777" w:rsidR="00105D58" w:rsidRPr="00105D58" w:rsidRDefault="00105D58" w:rsidP="00105D58">
            <w:pPr>
              <w:pStyle w:val="Tabletext"/>
              <w:rPr>
                <w:rStyle w:val="TableHeaderColumn"/>
              </w:rPr>
            </w:pPr>
            <w:r w:rsidRPr="00105D58">
              <w:rPr>
                <w:rStyle w:val="TableHeaderColumn"/>
              </w:rPr>
              <w:t>STI</w:t>
            </w:r>
          </w:p>
        </w:tc>
        <w:tc>
          <w:tcPr>
            <w:tcW w:w="6992" w:type="dxa"/>
          </w:tcPr>
          <w:p w14:paraId="329D60C6" w14:textId="77777777" w:rsidR="00105D58" w:rsidRPr="00105D58" w:rsidRDefault="00105D58" w:rsidP="00105D58">
            <w:pPr>
              <w:pStyle w:val="Tabletext"/>
            </w:pPr>
            <w:r w:rsidRPr="00105D58">
              <w:t xml:space="preserve">Sexually Transmitted Infection </w:t>
            </w:r>
          </w:p>
        </w:tc>
      </w:tr>
      <w:tr w:rsidR="00105D58" w:rsidRPr="00105D58" w14:paraId="58590A91" w14:textId="77777777" w:rsidTr="00105D58">
        <w:tc>
          <w:tcPr>
            <w:tcW w:w="1503" w:type="dxa"/>
          </w:tcPr>
          <w:p w14:paraId="5677ABFD" w14:textId="77777777" w:rsidR="00105D58" w:rsidRPr="00105D58" w:rsidRDefault="00105D58" w:rsidP="00105D58">
            <w:pPr>
              <w:pStyle w:val="Tabletext"/>
              <w:rPr>
                <w:rStyle w:val="TableHeaderColumn"/>
              </w:rPr>
            </w:pPr>
            <w:r w:rsidRPr="00105D58">
              <w:rPr>
                <w:rStyle w:val="TableHeaderColumn"/>
              </w:rPr>
              <w:t>eGFR</w:t>
            </w:r>
          </w:p>
        </w:tc>
        <w:tc>
          <w:tcPr>
            <w:tcW w:w="6992" w:type="dxa"/>
          </w:tcPr>
          <w:p w14:paraId="480DE6B8" w14:textId="77777777" w:rsidR="00105D58" w:rsidRPr="00105D58" w:rsidRDefault="00105D58" w:rsidP="00105D58">
            <w:pPr>
              <w:pStyle w:val="Tabletext"/>
            </w:pPr>
            <w:r w:rsidRPr="00105D58">
              <w:t xml:space="preserve">Estimated Glomerular Filtration Rate </w:t>
            </w:r>
          </w:p>
        </w:tc>
      </w:tr>
      <w:tr w:rsidR="00105D58" w:rsidRPr="00105D58" w14:paraId="21324415" w14:textId="77777777" w:rsidTr="00105D58">
        <w:tc>
          <w:tcPr>
            <w:tcW w:w="1503" w:type="dxa"/>
          </w:tcPr>
          <w:p w14:paraId="6AF741D4" w14:textId="77777777" w:rsidR="00105D58" w:rsidRPr="00105D58" w:rsidRDefault="00105D58" w:rsidP="00105D58">
            <w:pPr>
              <w:pStyle w:val="Tabletext"/>
              <w:rPr>
                <w:rStyle w:val="TableHeaderColumn"/>
              </w:rPr>
            </w:pPr>
            <w:r w:rsidRPr="00105D58">
              <w:rPr>
                <w:rStyle w:val="TableHeaderColumn"/>
              </w:rPr>
              <w:t>BHIVA</w:t>
            </w:r>
          </w:p>
        </w:tc>
        <w:tc>
          <w:tcPr>
            <w:tcW w:w="6992" w:type="dxa"/>
          </w:tcPr>
          <w:p w14:paraId="2AA54419" w14:textId="77777777" w:rsidR="00105D58" w:rsidRPr="00105D58" w:rsidRDefault="00105D58" w:rsidP="00105D58">
            <w:pPr>
              <w:pStyle w:val="Tabletext"/>
            </w:pPr>
            <w:r w:rsidRPr="00105D58">
              <w:t xml:space="preserve">British HIV Association </w:t>
            </w:r>
          </w:p>
        </w:tc>
      </w:tr>
      <w:tr w:rsidR="00105D58" w:rsidRPr="00105D58" w14:paraId="39982449" w14:textId="77777777" w:rsidTr="00105D58">
        <w:tc>
          <w:tcPr>
            <w:tcW w:w="1503" w:type="dxa"/>
          </w:tcPr>
          <w:p w14:paraId="206A9AAB" w14:textId="77777777" w:rsidR="00105D58" w:rsidRPr="00105D58" w:rsidRDefault="00105D58" w:rsidP="00105D58">
            <w:pPr>
              <w:pStyle w:val="Tabletext"/>
              <w:rPr>
                <w:rStyle w:val="TableHeaderColumn"/>
              </w:rPr>
            </w:pPr>
            <w:r w:rsidRPr="00105D58">
              <w:rPr>
                <w:rStyle w:val="TableHeaderColumn"/>
              </w:rPr>
              <w:t>BASHH</w:t>
            </w:r>
          </w:p>
        </w:tc>
        <w:tc>
          <w:tcPr>
            <w:tcW w:w="6992" w:type="dxa"/>
          </w:tcPr>
          <w:p w14:paraId="34BC5F13" w14:textId="77777777" w:rsidR="00105D58" w:rsidRPr="00105D58" w:rsidRDefault="00105D58" w:rsidP="00105D58">
            <w:pPr>
              <w:pStyle w:val="Tabletext"/>
            </w:pPr>
            <w:r w:rsidRPr="00105D58">
              <w:t xml:space="preserve">British Association for Sexual Health and HIV </w:t>
            </w:r>
          </w:p>
        </w:tc>
      </w:tr>
      <w:tr w:rsidR="00105D58" w:rsidRPr="00105D58" w14:paraId="1347B912" w14:textId="77777777" w:rsidTr="00105D58">
        <w:tc>
          <w:tcPr>
            <w:tcW w:w="1503" w:type="dxa"/>
          </w:tcPr>
          <w:p w14:paraId="1CB4C9D5" w14:textId="77777777" w:rsidR="00105D58" w:rsidRPr="00105D58" w:rsidRDefault="00105D58" w:rsidP="00105D58">
            <w:pPr>
              <w:pStyle w:val="Tabletext"/>
              <w:rPr>
                <w:rStyle w:val="TableHeaderColumn"/>
              </w:rPr>
            </w:pPr>
            <w:r w:rsidRPr="00105D58">
              <w:rPr>
                <w:rStyle w:val="TableHeaderColumn"/>
              </w:rPr>
              <w:t>RCN</w:t>
            </w:r>
          </w:p>
        </w:tc>
        <w:tc>
          <w:tcPr>
            <w:tcW w:w="6992" w:type="dxa"/>
          </w:tcPr>
          <w:p w14:paraId="5EAFA487" w14:textId="77777777" w:rsidR="00105D58" w:rsidRPr="00105D58" w:rsidRDefault="00105D58" w:rsidP="00105D58">
            <w:pPr>
              <w:pStyle w:val="Tabletext"/>
            </w:pPr>
            <w:r w:rsidRPr="00105D58">
              <w:t xml:space="preserve">Royal College of Nursing </w:t>
            </w:r>
          </w:p>
        </w:tc>
      </w:tr>
      <w:tr w:rsidR="00105D58" w:rsidRPr="00105D58" w14:paraId="452DC3D0" w14:textId="77777777" w:rsidTr="00105D58">
        <w:tc>
          <w:tcPr>
            <w:tcW w:w="1503" w:type="dxa"/>
          </w:tcPr>
          <w:p w14:paraId="41939BD7" w14:textId="77777777" w:rsidR="00105D58" w:rsidRPr="00105D58" w:rsidRDefault="00105D58" w:rsidP="00105D58">
            <w:pPr>
              <w:pStyle w:val="Tabletext"/>
              <w:rPr>
                <w:rStyle w:val="TableHeaderColumn"/>
              </w:rPr>
            </w:pPr>
            <w:r w:rsidRPr="00105D58">
              <w:rPr>
                <w:rStyle w:val="TableHeaderColumn"/>
              </w:rPr>
              <w:t>CPPE</w:t>
            </w:r>
          </w:p>
        </w:tc>
        <w:tc>
          <w:tcPr>
            <w:tcW w:w="6992" w:type="dxa"/>
          </w:tcPr>
          <w:p w14:paraId="56CE58B4" w14:textId="77777777" w:rsidR="00105D58" w:rsidRPr="00105D58" w:rsidRDefault="00105D58" w:rsidP="00105D58">
            <w:pPr>
              <w:pStyle w:val="Tabletext"/>
            </w:pPr>
            <w:r w:rsidRPr="00105D58">
              <w:t xml:space="preserve">Centre for Postgraduate Pharmacy Education </w:t>
            </w:r>
          </w:p>
        </w:tc>
      </w:tr>
      <w:tr w:rsidR="00105D58" w:rsidRPr="00105D58" w14:paraId="75F647AD" w14:textId="77777777" w:rsidTr="00105D58">
        <w:tc>
          <w:tcPr>
            <w:tcW w:w="1503" w:type="dxa"/>
          </w:tcPr>
          <w:p w14:paraId="07BDD4EA" w14:textId="77777777" w:rsidR="00105D58" w:rsidRPr="00105D58" w:rsidRDefault="00105D58" w:rsidP="00105D58">
            <w:pPr>
              <w:pStyle w:val="Tabletext"/>
              <w:rPr>
                <w:rStyle w:val="TableHeaderColumn"/>
              </w:rPr>
            </w:pPr>
            <w:r w:rsidRPr="00105D58">
              <w:rPr>
                <w:rStyle w:val="TableHeaderColumn"/>
              </w:rPr>
              <w:t>GBMSM</w:t>
            </w:r>
          </w:p>
        </w:tc>
        <w:tc>
          <w:tcPr>
            <w:tcW w:w="6992" w:type="dxa"/>
          </w:tcPr>
          <w:p w14:paraId="189DBA06" w14:textId="77777777" w:rsidR="00105D58" w:rsidRPr="00105D58" w:rsidRDefault="00105D58" w:rsidP="00105D58">
            <w:pPr>
              <w:pStyle w:val="Tabletext"/>
            </w:pPr>
            <w:r w:rsidRPr="00105D58">
              <w:t xml:space="preserve">Gay, bisexual and other men who have sex with men </w:t>
            </w:r>
          </w:p>
        </w:tc>
      </w:tr>
      <w:tr w:rsidR="00105D58" w:rsidRPr="00105D58" w14:paraId="230C81B8" w14:textId="77777777" w:rsidTr="00105D58">
        <w:tc>
          <w:tcPr>
            <w:tcW w:w="1503" w:type="dxa"/>
          </w:tcPr>
          <w:p w14:paraId="0428AD57" w14:textId="77777777" w:rsidR="00105D58" w:rsidRPr="00105D58" w:rsidRDefault="00105D58" w:rsidP="00105D58">
            <w:pPr>
              <w:pStyle w:val="Tabletext"/>
              <w:rPr>
                <w:rStyle w:val="TableHeaderColumn"/>
              </w:rPr>
            </w:pPr>
            <w:r w:rsidRPr="00105D58">
              <w:rPr>
                <w:rStyle w:val="TableHeaderColumn"/>
              </w:rPr>
              <w:t>POCT</w:t>
            </w:r>
          </w:p>
        </w:tc>
        <w:tc>
          <w:tcPr>
            <w:tcW w:w="6992" w:type="dxa"/>
          </w:tcPr>
          <w:p w14:paraId="278E8EE4" w14:textId="77777777" w:rsidR="00105D58" w:rsidRPr="00105D58" w:rsidRDefault="00105D58" w:rsidP="00105D58">
            <w:pPr>
              <w:pStyle w:val="Tabletext"/>
            </w:pPr>
            <w:r w:rsidRPr="00105D58">
              <w:t>Point of Care test</w:t>
            </w:r>
          </w:p>
        </w:tc>
      </w:tr>
      <w:tr w:rsidR="00105D58" w:rsidRPr="00105D58" w14:paraId="12EE856C" w14:textId="77777777" w:rsidTr="00105D58">
        <w:tc>
          <w:tcPr>
            <w:tcW w:w="1503" w:type="dxa"/>
          </w:tcPr>
          <w:p w14:paraId="31D92EDC" w14:textId="77777777" w:rsidR="00105D58" w:rsidRPr="00105D58" w:rsidRDefault="00105D58" w:rsidP="00105D58">
            <w:pPr>
              <w:pStyle w:val="Tabletext"/>
              <w:rPr>
                <w:rStyle w:val="TableHeaderColumn"/>
              </w:rPr>
            </w:pPr>
            <w:r w:rsidRPr="00105D58">
              <w:rPr>
                <w:rStyle w:val="TableHeaderColumn"/>
              </w:rPr>
              <w:t>POM</w:t>
            </w:r>
          </w:p>
        </w:tc>
        <w:tc>
          <w:tcPr>
            <w:tcW w:w="6992" w:type="dxa"/>
          </w:tcPr>
          <w:p w14:paraId="73E77E8B" w14:textId="77777777" w:rsidR="00105D58" w:rsidRPr="00105D58" w:rsidRDefault="00105D58" w:rsidP="00105D58">
            <w:pPr>
              <w:pStyle w:val="Tabletext"/>
            </w:pPr>
            <w:r w:rsidRPr="00105D58">
              <w:t>Prescription only medicine</w:t>
            </w:r>
          </w:p>
        </w:tc>
      </w:tr>
      <w:tr w:rsidR="00105D58" w:rsidRPr="00105D58" w14:paraId="48D88967" w14:textId="77777777" w:rsidTr="00105D58">
        <w:tc>
          <w:tcPr>
            <w:tcW w:w="1503" w:type="dxa"/>
          </w:tcPr>
          <w:p w14:paraId="63813B80" w14:textId="77777777" w:rsidR="00105D58" w:rsidRPr="00105D58" w:rsidRDefault="00105D58" w:rsidP="00105D58">
            <w:pPr>
              <w:pStyle w:val="Tabletext"/>
              <w:rPr>
                <w:rStyle w:val="TableHeaderColumn"/>
              </w:rPr>
            </w:pPr>
            <w:r w:rsidRPr="00105D58">
              <w:rPr>
                <w:rStyle w:val="TableHeaderColumn"/>
              </w:rPr>
              <w:t>PrEP</w:t>
            </w:r>
          </w:p>
        </w:tc>
        <w:tc>
          <w:tcPr>
            <w:tcW w:w="6992" w:type="dxa"/>
          </w:tcPr>
          <w:p w14:paraId="6FD49156" w14:textId="77777777" w:rsidR="00105D58" w:rsidRPr="00105D58" w:rsidRDefault="00105D58" w:rsidP="00105D58">
            <w:pPr>
              <w:pStyle w:val="Tabletext"/>
            </w:pPr>
            <w:r w:rsidRPr="00105D58">
              <w:t>Pre-exposure prophylaxis</w:t>
            </w:r>
          </w:p>
        </w:tc>
      </w:tr>
      <w:tr w:rsidR="00105D58" w:rsidRPr="00105D58" w14:paraId="269DE1A9" w14:textId="77777777" w:rsidTr="00105D58">
        <w:tc>
          <w:tcPr>
            <w:tcW w:w="1503" w:type="dxa"/>
          </w:tcPr>
          <w:p w14:paraId="46BD555C" w14:textId="77777777" w:rsidR="00105D58" w:rsidRPr="00105D58" w:rsidRDefault="00105D58" w:rsidP="00105D58">
            <w:pPr>
              <w:pStyle w:val="Tabletext"/>
              <w:rPr>
                <w:rStyle w:val="TableHeaderColumn"/>
              </w:rPr>
            </w:pPr>
            <w:r w:rsidRPr="00105D58">
              <w:rPr>
                <w:rStyle w:val="TableHeaderColumn"/>
              </w:rPr>
              <w:t>TD-FTC</w:t>
            </w:r>
          </w:p>
        </w:tc>
        <w:tc>
          <w:tcPr>
            <w:tcW w:w="6992" w:type="dxa"/>
          </w:tcPr>
          <w:p w14:paraId="68808C93" w14:textId="77777777" w:rsidR="00105D58" w:rsidRPr="00105D58" w:rsidRDefault="00105D58" w:rsidP="00105D58">
            <w:pPr>
              <w:pStyle w:val="Tabletext"/>
            </w:pPr>
            <w:r w:rsidRPr="00105D58">
              <w:t xml:space="preserve">Tenofovir disoproxil/emtricitabine </w:t>
            </w:r>
          </w:p>
        </w:tc>
      </w:tr>
      <w:tr w:rsidR="00105D58" w:rsidRPr="00105D58" w14:paraId="7814A05A" w14:textId="77777777" w:rsidTr="00105D58">
        <w:tc>
          <w:tcPr>
            <w:tcW w:w="1503" w:type="dxa"/>
          </w:tcPr>
          <w:p w14:paraId="11E6C659" w14:textId="77777777" w:rsidR="00105D58" w:rsidRPr="00105D58" w:rsidRDefault="00105D58" w:rsidP="00105D58">
            <w:pPr>
              <w:pStyle w:val="Tabletext"/>
              <w:rPr>
                <w:rStyle w:val="TableHeaderColumn"/>
              </w:rPr>
            </w:pPr>
            <w:r w:rsidRPr="00105D58">
              <w:rPr>
                <w:rStyle w:val="TableHeaderColumn"/>
              </w:rPr>
              <w:t>PEP</w:t>
            </w:r>
          </w:p>
        </w:tc>
        <w:tc>
          <w:tcPr>
            <w:tcW w:w="6992" w:type="dxa"/>
          </w:tcPr>
          <w:p w14:paraId="5D53EF6A" w14:textId="77777777" w:rsidR="00105D58" w:rsidRPr="00105D58" w:rsidRDefault="00105D58" w:rsidP="00105D58">
            <w:pPr>
              <w:pStyle w:val="Tabletext"/>
            </w:pPr>
            <w:r w:rsidRPr="00105D58">
              <w:rPr>
                <w:bCs/>
                <w:lang w:val="en-GB"/>
              </w:rPr>
              <w:t>Post-exposure prophylaxis</w:t>
            </w:r>
          </w:p>
        </w:tc>
      </w:tr>
      <w:tr w:rsidR="00105D58" w:rsidRPr="00105D58" w14:paraId="7D9A8E3C" w14:textId="77777777" w:rsidTr="00105D58">
        <w:tc>
          <w:tcPr>
            <w:tcW w:w="1503" w:type="dxa"/>
          </w:tcPr>
          <w:p w14:paraId="4A589DA6" w14:textId="77777777" w:rsidR="00105D58" w:rsidRPr="00105D58" w:rsidRDefault="00105D58" w:rsidP="00105D58">
            <w:pPr>
              <w:pStyle w:val="Tabletext"/>
              <w:rPr>
                <w:rStyle w:val="TableHeaderColumn"/>
              </w:rPr>
            </w:pPr>
            <w:r w:rsidRPr="00105D58">
              <w:rPr>
                <w:rStyle w:val="TableHeaderColumn"/>
              </w:rPr>
              <w:t>NHSE</w:t>
            </w:r>
          </w:p>
        </w:tc>
        <w:tc>
          <w:tcPr>
            <w:tcW w:w="6992" w:type="dxa"/>
          </w:tcPr>
          <w:p w14:paraId="44A4B402" w14:textId="77777777" w:rsidR="00105D58" w:rsidRPr="00105D58" w:rsidRDefault="00105D58" w:rsidP="00105D58">
            <w:pPr>
              <w:pStyle w:val="Tabletext"/>
            </w:pPr>
            <w:r w:rsidRPr="00105D58">
              <w:t>NHS England</w:t>
            </w:r>
          </w:p>
        </w:tc>
      </w:tr>
      <w:tr w:rsidR="00105D58" w:rsidRPr="00105D58" w14:paraId="2994723D" w14:textId="77777777" w:rsidTr="00105D58">
        <w:tc>
          <w:tcPr>
            <w:tcW w:w="1503" w:type="dxa"/>
          </w:tcPr>
          <w:p w14:paraId="2D4F8803" w14:textId="77777777" w:rsidR="00105D58" w:rsidRPr="00105D58" w:rsidRDefault="00105D58" w:rsidP="00105D58">
            <w:pPr>
              <w:pStyle w:val="Tabletext"/>
              <w:rPr>
                <w:rStyle w:val="TableHeaderColumn"/>
              </w:rPr>
            </w:pPr>
            <w:r w:rsidRPr="00105D58">
              <w:rPr>
                <w:rStyle w:val="TableHeaderColumn"/>
              </w:rPr>
              <w:t>ALT</w:t>
            </w:r>
          </w:p>
        </w:tc>
        <w:tc>
          <w:tcPr>
            <w:tcW w:w="6992" w:type="dxa"/>
          </w:tcPr>
          <w:p w14:paraId="5F21AA70" w14:textId="77777777" w:rsidR="00105D58" w:rsidRPr="00105D58" w:rsidRDefault="00105D58" w:rsidP="00105D58">
            <w:pPr>
              <w:pStyle w:val="Tabletext"/>
            </w:pPr>
            <w:r w:rsidRPr="00105D58">
              <w:t>Alanine aminotransferase</w:t>
            </w:r>
          </w:p>
        </w:tc>
      </w:tr>
      <w:tr w:rsidR="00105D58" w:rsidRPr="00105D58" w14:paraId="1F6EFF58" w14:textId="77777777" w:rsidTr="00105D58">
        <w:tc>
          <w:tcPr>
            <w:tcW w:w="1503" w:type="dxa"/>
          </w:tcPr>
          <w:p w14:paraId="3EEF690C" w14:textId="77777777" w:rsidR="00105D58" w:rsidRPr="00105D58" w:rsidRDefault="00105D58" w:rsidP="00105D58">
            <w:pPr>
              <w:pStyle w:val="Tabletext"/>
              <w:rPr>
                <w:rStyle w:val="TableHeaderColumn"/>
              </w:rPr>
            </w:pPr>
            <w:r w:rsidRPr="00105D58">
              <w:rPr>
                <w:rStyle w:val="TableHeaderColumn"/>
              </w:rPr>
              <w:t>AST</w:t>
            </w:r>
          </w:p>
        </w:tc>
        <w:tc>
          <w:tcPr>
            <w:tcW w:w="6992" w:type="dxa"/>
          </w:tcPr>
          <w:p w14:paraId="019DD7DE" w14:textId="77777777" w:rsidR="00105D58" w:rsidRPr="00105D58" w:rsidRDefault="00105D58" w:rsidP="00105D58">
            <w:pPr>
              <w:pStyle w:val="Tabletext"/>
            </w:pPr>
            <w:r w:rsidRPr="00105D58">
              <w:t xml:space="preserve">Aspartate aminotransferase </w:t>
            </w:r>
          </w:p>
        </w:tc>
      </w:tr>
      <w:tr w:rsidR="00105D58" w:rsidRPr="00105D58" w14:paraId="18B021D9" w14:textId="77777777" w:rsidTr="00105D58">
        <w:tc>
          <w:tcPr>
            <w:tcW w:w="1503" w:type="dxa"/>
          </w:tcPr>
          <w:p w14:paraId="0046A672" w14:textId="77777777" w:rsidR="00105D58" w:rsidRPr="00105D58" w:rsidRDefault="00105D58" w:rsidP="00105D58">
            <w:pPr>
              <w:pStyle w:val="Tabletext"/>
              <w:rPr>
                <w:rStyle w:val="TableHeaderColumn"/>
              </w:rPr>
            </w:pPr>
            <w:r w:rsidRPr="00105D58">
              <w:rPr>
                <w:rStyle w:val="TableHeaderColumn"/>
              </w:rPr>
              <w:t>ULN</w:t>
            </w:r>
          </w:p>
        </w:tc>
        <w:tc>
          <w:tcPr>
            <w:tcW w:w="6992" w:type="dxa"/>
          </w:tcPr>
          <w:p w14:paraId="316C095E" w14:textId="77777777" w:rsidR="00105D58" w:rsidRPr="00105D58" w:rsidRDefault="00105D58" w:rsidP="00105D58">
            <w:pPr>
              <w:pStyle w:val="Tabletext"/>
            </w:pPr>
            <w:r w:rsidRPr="00105D58">
              <w:t>Upper limit of normal</w:t>
            </w:r>
          </w:p>
        </w:tc>
      </w:tr>
    </w:tbl>
    <w:p w14:paraId="2C635D56" w14:textId="77777777" w:rsidR="00105D58" w:rsidRDefault="00105D58" w:rsidP="00105D58">
      <w:pPr>
        <w:pStyle w:val="PGDNormal"/>
        <w:rPr>
          <w:b/>
          <w:szCs w:val="22"/>
          <w:lang w:val="en"/>
        </w:rPr>
      </w:pPr>
    </w:p>
    <w:p w14:paraId="581ECAD6" w14:textId="450A04B5" w:rsidR="00105D58" w:rsidRPr="00105D58" w:rsidRDefault="00105D58" w:rsidP="00105D58">
      <w:pPr>
        <w:pStyle w:val="PGDNormal"/>
        <w:rPr>
          <w:b/>
          <w:szCs w:val="22"/>
          <w:lang w:val="en"/>
        </w:rPr>
      </w:pPr>
      <w:r w:rsidRPr="00105D58">
        <w:rPr>
          <w:b/>
          <w:szCs w:val="22"/>
          <w:lang w:val="en"/>
        </w:rPr>
        <w:t>Inclusivity</w:t>
      </w:r>
    </w:p>
    <w:p w14:paraId="46A7FEAC" w14:textId="77777777" w:rsidR="00105D58" w:rsidRPr="00105D58" w:rsidRDefault="00105D58" w:rsidP="00105D58">
      <w:pPr>
        <w:pStyle w:val="PGDNormal"/>
        <w:rPr>
          <w:szCs w:val="22"/>
        </w:rPr>
      </w:pPr>
      <w:bookmarkStart w:id="3" w:name="_Hlk206510793"/>
      <w:r w:rsidRPr="00105D58">
        <w:rPr>
          <w:szCs w:val="22"/>
        </w:rPr>
        <w:t xml:space="preserve">In line with </w:t>
      </w:r>
      <w:hyperlink r:id="rId13">
        <w:r w:rsidRPr="00105D58">
          <w:rPr>
            <w:rStyle w:val="Hyperlink"/>
          </w:rPr>
          <w:t>BASHH/BHIVA guideline on the use of HIV Pre</w:t>
        </w:r>
        <w:r w:rsidRPr="00105D58">
          <w:rPr>
            <w:rStyle w:val="Hyperlink"/>
          </w:rPr>
          <w:t>-</w:t>
        </w:r>
        <w:r w:rsidRPr="00105D58">
          <w:rPr>
            <w:rStyle w:val="Hyperlink"/>
          </w:rPr>
          <w:t>exposure Prophylaxis</w:t>
        </w:r>
      </w:hyperlink>
      <w:r w:rsidRPr="00105D58">
        <w:rPr>
          <w:szCs w:val="22"/>
        </w:rPr>
        <w:t xml:space="preserve"> this PGD </w:t>
      </w:r>
      <w:proofErr w:type="spellStart"/>
      <w:r w:rsidRPr="00105D58">
        <w:rPr>
          <w:szCs w:val="22"/>
        </w:rPr>
        <w:t>recognises</w:t>
      </w:r>
      <w:proofErr w:type="spellEnd"/>
      <w:r w:rsidRPr="00105D58">
        <w:rPr>
          <w:szCs w:val="22"/>
        </w:rPr>
        <w:t xml:space="preserve"> the importance of the PGD being inclusive and relevant to all, regardless of sexuality or gender identity or expression. </w:t>
      </w:r>
    </w:p>
    <w:p w14:paraId="359E77B7" w14:textId="04CCE2A1" w:rsidR="00105D58" w:rsidRPr="00E170C1" w:rsidRDefault="00105D58" w:rsidP="00105D58">
      <w:pPr>
        <w:pStyle w:val="PGDNormal"/>
        <w:rPr>
          <w:szCs w:val="22"/>
          <w:lang w:val="en-GB"/>
        </w:rPr>
      </w:pPr>
      <w:bookmarkStart w:id="4" w:name="_Hlk206510786"/>
      <w:bookmarkEnd w:id="3"/>
      <w:r w:rsidRPr="00105D58">
        <w:rPr>
          <w:szCs w:val="22"/>
          <w:lang w:val="en-GB"/>
        </w:rPr>
        <w:t>For the sake of brevity in the main text of the PGD, and in line with above guidance, phrases such as “gay, bisexual and other men who have sex with men” (GBMSM) refers to cisgender, transgender or gender-queer men who have sex with men and “heterosexual men and women” refers to cisgender, transgender or gender-queer men and women who have heterosexual sex. Non-binary people and clinicians supporting non-binary people should use the advice that best aligns with their individual needs.</w:t>
      </w:r>
    </w:p>
    <w:p w14:paraId="50C176DA" w14:textId="77777777" w:rsidR="00105D58" w:rsidRDefault="00105D58" w:rsidP="00105D58">
      <w:pPr>
        <w:pStyle w:val="PGDNormal"/>
        <w:rPr>
          <w:szCs w:val="22"/>
          <w:lang w:val="en-GB"/>
        </w:rPr>
      </w:pPr>
      <w:r w:rsidRPr="00105D58">
        <w:rPr>
          <w:szCs w:val="22"/>
          <w:lang w:val="en-GB"/>
        </w:rPr>
        <w:t>Where sections are specifically relevant to transgender people, we identify this using the terms “transgender people” “transgender men” or “transgender women”.</w:t>
      </w:r>
    </w:p>
    <w:p w14:paraId="01D22990" w14:textId="77777777" w:rsidR="00105D58" w:rsidRDefault="00105D58" w:rsidP="00105D58">
      <w:pPr>
        <w:pStyle w:val="PGDNormal"/>
        <w:rPr>
          <w:b/>
          <w:bCs/>
          <w:szCs w:val="22"/>
          <w:u w:val="single"/>
        </w:rPr>
      </w:pPr>
      <w:r w:rsidRPr="00105D58">
        <w:rPr>
          <w:b/>
          <w:bCs/>
          <w:szCs w:val="22"/>
        </w:rPr>
        <w:lastRenderedPageBreak/>
        <w:t xml:space="preserve">Glossary (further information is available from </w:t>
      </w:r>
      <w:hyperlink r:id="rId14" w:history="1">
        <w:r w:rsidRPr="00105D58">
          <w:rPr>
            <w:rStyle w:val="Hyperlink"/>
            <w:b/>
            <w:bCs/>
            <w:szCs w:val="22"/>
          </w:rPr>
          <w:t>Stonewall List of LGBTQ+ terms</w:t>
        </w:r>
      </w:hyperlink>
      <w:r w:rsidRPr="00105D58">
        <w:rPr>
          <w:b/>
          <w:bCs/>
          <w:szCs w:val="22"/>
          <w:u w:val="single"/>
        </w:rPr>
        <w:t xml:space="preserve">): </w:t>
      </w:r>
    </w:p>
    <w:p w14:paraId="79024AEC" w14:textId="77777777" w:rsidR="00105D58" w:rsidRPr="00105D58" w:rsidRDefault="00105D58" w:rsidP="00105D58">
      <w:pPr>
        <w:pStyle w:val="PGDNormal"/>
        <w:rPr>
          <w:b/>
          <w:bCs/>
        </w:rPr>
      </w:pPr>
      <w:r w:rsidRPr="00105D58">
        <w:rPr>
          <w:b/>
          <w:bCs/>
        </w:rPr>
        <w:t xml:space="preserve">Cisgender or Cis: </w:t>
      </w:r>
      <w:r w:rsidRPr="00105D58">
        <w:t>someone whose gender identity is the same as the sex they were assigned at birth.</w:t>
      </w:r>
    </w:p>
    <w:p w14:paraId="145D5C29" w14:textId="2B331869" w:rsidR="00105D58" w:rsidRPr="00105D58" w:rsidRDefault="00105D58" w:rsidP="00105D58">
      <w:pPr>
        <w:pStyle w:val="PGDNormal"/>
        <w:rPr>
          <w:b/>
          <w:bCs/>
        </w:rPr>
      </w:pPr>
      <w:r w:rsidRPr="00105D58">
        <w:rPr>
          <w:b/>
          <w:bCs/>
        </w:rPr>
        <w:t xml:space="preserve">Transgender or Trans: </w:t>
      </w:r>
      <w:r w:rsidRPr="00105D58">
        <w:t>an umbrella term to describe people whose gender is not the same as, or does not sit comfortably with, the sex they were assigned at birth. This can include non-binary people, though not every non-binary person considers themselves to be trans</w:t>
      </w:r>
      <w:r w:rsidRPr="00105D58">
        <w:rPr>
          <w:b/>
          <w:bCs/>
        </w:rPr>
        <w:t>.</w:t>
      </w:r>
    </w:p>
    <w:p w14:paraId="4B9B9DEA" w14:textId="623C4C55" w:rsidR="00105D58" w:rsidRDefault="00105D58" w:rsidP="00105D58">
      <w:pPr>
        <w:pStyle w:val="PGDNormal"/>
      </w:pPr>
      <w:r w:rsidRPr="00105D58">
        <w:rPr>
          <w:b/>
          <w:bCs/>
        </w:rPr>
        <w:t xml:space="preserve">Non-binary: </w:t>
      </w:r>
      <w:r w:rsidRPr="00105D58">
        <w:t>an umbrella term for people whose gender identity doesn’t sit comfortably with ‘man’ or ‘woman’. Non-binary identities are varied and can include people who identify with some aspects of binary identities, while others reject them entirely.</w:t>
      </w:r>
    </w:p>
    <w:p w14:paraId="44B1FB41" w14:textId="77777777" w:rsidR="00105D58" w:rsidRPr="00105D58" w:rsidRDefault="00105D58" w:rsidP="00105D58">
      <w:pPr>
        <w:pStyle w:val="PGDNormal"/>
      </w:pPr>
    </w:p>
    <w:p w14:paraId="70D8935C" w14:textId="77777777" w:rsidR="00105D58" w:rsidRPr="00105D58" w:rsidRDefault="00105D58" w:rsidP="00105D58">
      <w:pPr>
        <w:pStyle w:val="PGDNormal"/>
        <w:rPr>
          <w:b/>
          <w:bCs/>
        </w:rPr>
      </w:pPr>
    </w:p>
    <w:p w14:paraId="16156674" w14:textId="77777777" w:rsidR="00105D58" w:rsidRPr="00105D58" w:rsidRDefault="00105D58" w:rsidP="00105D58">
      <w:pPr>
        <w:pStyle w:val="PGDNormal"/>
        <w:rPr>
          <w:szCs w:val="22"/>
          <w:lang w:val="en-GB"/>
        </w:rPr>
      </w:pPr>
    </w:p>
    <w:bookmarkEnd w:id="4"/>
    <w:p w14:paraId="5D513D47" w14:textId="53FA805E" w:rsidR="0059738E" w:rsidRPr="00251D91" w:rsidRDefault="00FC4AA5" w:rsidP="00ED232C">
      <w:pPr>
        <w:pStyle w:val="PGDNormal"/>
        <w:rPr>
          <w:szCs w:val="22"/>
          <w:highlight w:val="yellow"/>
        </w:rPr>
      </w:pPr>
      <w:r w:rsidRPr="00251D91">
        <w:rPr>
          <w:szCs w:val="22"/>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sidR="00813399" w:rsidRPr="00645D92">
        <w:rPr>
          <w:highlight w:val="yellow"/>
          <w:lang w:val="en-GB"/>
        </w:rPr>
        <w:t>.</w:t>
      </w:r>
      <w:r w:rsidRPr="00645D92">
        <w:rPr>
          <w:highlight w:val="yellow"/>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rsidRPr="00645D92">
        <w:rPr>
          <w:highlight w:val="yellow"/>
        </w:rPr>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5" w:history="1">
        <w:r w:rsidRPr="00DF77C7">
          <w:rPr>
            <w:rStyle w:val="Hyperlink"/>
            <w:highlight w:val="yellow"/>
            <w:lang w:val="en-GB"/>
          </w:rPr>
          <w:t xml:space="preserve">NICE </w:t>
        </w:r>
        <w:r w:rsidRPr="00DF77C7">
          <w:rPr>
            <w:rStyle w:val="Hyperlink"/>
            <w:highlight w:val="yellow"/>
            <w:lang w:val="en-GB"/>
          </w:rPr>
          <w:t>M</w:t>
        </w:r>
        <w:r w:rsidRPr="00DF77C7">
          <w:rPr>
            <w:rStyle w:val="Hyperlink"/>
            <w:highlight w:val="yellow"/>
            <w:lang w:val="en-GB"/>
          </w:rPr>
          <w:t>PG2 PGD 2017</w:t>
        </w:r>
      </w:hyperlink>
      <w:r w:rsidRPr="00DF77C7">
        <w:rPr>
          <w:highlight w:val="yellow"/>
          <w:lang w:val="en-GB"/>
        </w:rPr>
        <w:t>.</w:t>
      </w:r>
      <w:r w:rsidR="005E6491" w:rsidRPr="00645D92">
        <w:rPr>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544444" w:rsidRDefault="00813399" w:rsidP="00B65003">
            <w:pPr>
              <w:rPr>
                <w:rStyle w:val="TableHeaderColumn"/>
                <w:rFonts w:cs="Arial"/>
              </w:rPr>
            </w:pPr>
            <w:r w:rsidRPr="00544444">
              <w:rPr>
                <w:rStyle w:val="TableHeaderColumn"/>
                <w:rFonts w:cs="Arial"/>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170C1" w:rsidRDefault="00813399" w:rsidP="00B65003">
            <w:pPr>
              <w:rPr>
                <w:rStyle w:val="TableHeaderColumn"/>
                <w:rFonts w:cs="Arial"/>
              </w:rPr>
            </w:pPr>
            <w:r w:rsidRPr="00E170C1">
              <w:rPr>
                <w:rStyle w:val="TableHeaderColumn"/>
                <w:rFonts w:cs="Arial"/>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170C1" w:rsidRDefault="00813399" w:rsidP="00B65003">
            <w:pPr>
              <w:rPr>
                <w:rStyle w:val="TableHeaderColumn"/>
                <w:rFonts w:cs="Arial"/>
              </w:rPr>
            </w:pPr>
            <w:r w:rsidRPr="00E170C1">
              <w:rPr>
                <w:rStyle w:val="TableHeaderColumn"/>
                <w:rFonts w:cs="Arial"/>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170C1" w:rsidRDefault="00813399" w:rsidP="00B65003">
            <w:pPr>
              <w:rPr>
                <w:rStyle w:val="TableHeaderColumn"/>
                <w:rFonts w:cs="Arial"/>
              </w:rPr>
            </w:pPr>
            <w:r w:rsidRPr="00E170C1">
              <w:rPr>
                <w:rStyle w:val="TableHeaderColumn"/>
                <w:rFonts w:cs="Arial"/>
              </w:rPr>
              <w:t xml:space="preserve">Person signing on behalf of </w:t>
            </w:r>
            <w:r w:rsidR="009E38CA" w:rsidRPr="00E170C1">
              <w:rPr>
                <w:rStyle w:val="TableHeaderColumn"/>
                <w:rFonts w:cs="Arial"/>
              </w:rPr>
              <w:t xml:space="preserve">the </w:t>
            </w:r>
            <w:hyperlink r:id="rId16" w:anchor="terms-used-in-the-guideline" w:history="1">
              <w:r w:rsidR="00D0044C" w:rsidRPr="00160FDC">
                <w:rPr>
                  <w:rStyle w:val="Hyperlink"/>
                  <w:rFonts w:ascii="Arial" w:hAnsi="Arial" w:cs="Arial"/>
                  <w:sz w:val="20"/>
                  <w:szCs w:val="20"/>
                </w:rPr>
                <w:t>authorisin</w:t>
              </w:r>
              <w:r w:rsidR="00D0044C" w:rsidRPr="00160FDC">
                <w:rPr>
                  <w:rStyle w:val="Hyperlink"/>
                  <w:rFonts w:ascii="Arial" w:hAnsi="Arial" w:cs="Arial"/>
                  <w:sz w:val="20"/>
                  <w:szCs w:val="20"/>
                </w:rPr>
                <w:t>g</w:t>
              </w:r>
              <w:r w:rsidR="00D0044C" w:rsidRPr="00160FDC">
                <w:rPr>
                  <w:rStyle w:val="Hyperlink"/>
                  <w:rFonts w:ascii="Arial" w:hAnsi="Arial" w:cs="Arial"/>
                  <w:sz w:val="20"/>
                  <w:szCs w:val="20"/>
                </w:rPr>
                <w:t xml:space="preserve"> body</w:t>
              </w:r>
              <w:r w:rsidR="009E38CA" w:rsidRPr="00160FDC">
                <w:rPr>
                  <w:rStyle w:val="Hyperlink"/>
                  <w:rFonts w:ascii="Arial" w:hAnsi="Arial" w:cs="Arial"/>
                  <w:sz w:val="20"/>
                  <w:szCs w:val="20"/>
                </w:rPr>
                <w:t xml:space="preserve"> as defined by NICE</w:t>
              </w:r>
            </w:hyperlink>
            <w:r w:rsidR="009E38CA" w:rsidRPr="00E170C1">
              <w:rPr>
                <w:rFonts w:ascii="Arial" w:hAnsi="Arial" w:cs="Arial"/>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160FDC">
        <w:rPr>
          <w:highlight w:val="yellow"/>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6831CFD4"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3B4F64">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lastRenderedPageBreak/>
        <w:t xml:space="preserve">Audit requirements </w:t>
      </w:r>
    </w:p>
    <w:p w14:paraId="480669F8" w14:textId="375D8CD2" w:rsidR="00552D61" w:rsidRDefault="00813399" w:rsidP="00CA5AEF">
      <w:pPr>
        <w:pStyle w:val="PGDNormal"/>
      </w:pPr>
      <w:r w:rsidRPr="00DF77C7">
        <w:rPr>
          <w:highlight w:val="yellow"/>
          <w:lang w:val="en-GB"/>
        </w:rPr>
        <w:t xml:space="preserve">Any reference to a Trust protocol (either clinical to be followed as part of the administration of a </w:t>
      </w:r>
      <w:r w:rsidR="003B4F64">
        <w:rPr>
          <w:highlight w:val="yellow"/>
          <w:lang w:val="en-GB"/>
        </w:rPr>
        <w:t>medicine</w:t>
      </w:r>
      <w:r w:rsidRPr="00DF77C7">
        <w:rPr>
          <w:highlight w:val="yellow"/>
          <w:lang w:val="en-GB"/>
        </w:rPr>
        <w:t xml:space="preserve"> with the PGD or for any other purpose) must be referenced and hyperlinked to ensure the practitioner acting under the PGD has direct access to the protocol for reference.</w:t>
      </w:r>
      <w:r w:rsidR="00E46E97" w:rsidRPr="00160FDC">
        <w:rPr>
          <w:highlight w:val="yellow"/>
          <w:lang w:val="en-GB"/>
        </w:rPr>
        <w:t>]]</w:t>
      </w:r>
      <w:r w:rsidR="007A1448" w:rsidRPr="00DF77C7">
        <w:br w:type="page"/>
      </w:r>
    </w:p>
    <w:p w14:paraId="41A13A1A" w14:textId="09E732E0" w:rsidR="007A1448" w:rsidRPr="00DF77C7" w:rsidRDefault="004C39C3" w:rsidP="008762B8">
      <w:pPr>
        <w:pStyle w:val="Heading1"/>
      </w:pPr>
      <w:r>
        <w:lastRenderedPageBreak/>
        <w:t>Characteristics of staff</w:t>
      </w:r>
    </w:p>
    <w:p w14:paraId="24B546B6" w14:textId="284F636C" w:rsidR="00BB2C75" w:rsidRPr="00DF77C7" w:rsidRDefault="00251D91" w:rsidP="00BB2C75">
      <w:pPr>
        <w:pStyle w:val="PGDNormal"/>
        <w:rPr>
          <w:lang w:val="en-GB"/>
        </w:rPr>
      </w:pPr>
      <w:r w:rsidRPr="00D83FBB">
        <w:t xml:space="preserve">The decision to supply any medication rests with the individual registered health professional who must abide by the PGD and any associated organisational policies.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4A5D6DFA" w14:textId="18032E5B" w:rsidR="00251D91" w:rsidRPr="00361532" w:rsidRDefault="00251D91" w:rsidP="00234E43">
            <w:pPr>
              <w:pStyle w:val="Tabletext"/>
              <w:rPr>
                <w:rFonts w:eastAsia="Arial"/>
              </w:rPr>
            </w:pPr>
            <w:r w:rsidRPr="00361532">
              <w:rPr>
                <w:rFonts w:eastAsia="Arial"/>
              </w:rPr>
              <w:t>Current contract of employment within a Local Authority or NHS commissioned service or an NHS Trust/organisation.</w:t>
            </w:r>
          </w:p>
          <w:p w14:paraId="111D2851" w14:textId="186DE6CF" w:rsidR="00B81529" w:rsidRPr="00DF77C7" w:rsidRDefault="00251D91" w:rsidP="00234E43">
            <w:pPr>
              <w:pStyle w:val="Tabletext"/>
              <w:rPr>
                <w:lang w:val="en-GB"/>
              </w:rPr>
            </w:pPr>
            <w:r w:rsidRPr="00361532">
              <w:rPr>
                <w:rFonts w:eastAsia="Arial"/>
                <w:szCs w:val="22"/>
              </w:rPr>
              <w:t xml:space="preserve">Registered healthcare professional listed in  </w:t>
            </w:r>
            <w:hyperlink r:id="rId17" w:tgtFrame="_blank" w:tooltip="Original URL: https://www.legislation.gov.uk/uksi/2012/1916/schedule/16. Click or tap if you trust this link." w:history="1">
              <w:r w:rsidR="00631B95" w:rsidRPr="00631B95">
                <w:rPr>
                  <w:rStyle w:val="Hyperlink"/>
                  <w:rFonts w:eastAsia="Arial"/>
                  <w:szCs w:val="22"/>
                  <w:lang w:val="en-GB"/>
                </w:rPr>
                <w:t>The Human Medicines Regulation 2012, Schedule 16 Part 4 le</w:t>
              </w:r>
              <w:r w:rsidR="00631B95" w:rsidRPr="00631B95">
                <w:rPr>
                  <w:rStyle w:val="Hyperlink"/>
                  <w:rFonts w:eastAsia="Arial"/>
                  <w:szCs w:val="22"/>
                  <w:lang w:val="en-GB"/>
                </w:rPr>
                <w:t>g</w:t>
              </w:r>
              <w:r w:rsidR="00631B95" w:rsidRPr="00631B95">
                <w:rPr>
                  <w:rStyle w:val="Hyperlink"/>
                  <w:rFonts w:eastAsia="Arial"/>
                  <w:szCs w:val="22"/>
                  <w:lang w:val="en-GB"/>
                </w:rPr>
                <w:t>islation</w:t>
              </w:r>
            </w:hyperlink>
            <w:r w:rsidRPr="00361532">
              <w:rPr>
                <w:rFonts w:eastAsia="Arial"/>
                <w:szCs w:val="22"/>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B9AEBA3" w14:textId="59A8024C" w:rsidR="00251D91" w:rsidRDefault="00251D91" w:rsidP="00234E43">
            <w:pPr>
              <w:pStyle w:val="Tabletext"/>
            </w:pPr>
            <w:r w:rsidRPr="00D83FBB">
              <w:t>The registered healthcare professional</w:t>
            </w:r>
            <w:r w:rsidR="004E7E16">
              <w:t xml:space="preserve"> (HCP)</w:t>
            </w:r>
            <w:r w:rsidRPr="00D83FBB">
              <w:t xml:space="preserve"> authorised to operate under this PGD must have</w:t>
            </w:r>
            <w:r>
              <w:t>:</w:t>
            </w:r>
            <w:r w:rsidRPr="00D83FBB">
              <w:t xml:space="preserve"> </w:t>
            </w:r>
          </w:p>
          <w:p w14:paraId="61CB3C5B" w14:textId="77777777" w:rsidR="00480E06" w:rsidRPr="00480E06" w:rsidRDefault="00251D91" w:rsidP="00480E06">
            <w:pPr>
              <w:pStyle w:val="Tabletext"/>
            </w:pPr>
            <w:r w:rsidRPr="00480E06">
              <w:t>Undertaken appropriate training and successfully completed the competencies to undertake clinical assessment of individuals leading to diagnosis of the conditions listed</w:t>
            </w:r>
            <w:r w:rsidR="00480E06" w:rsidRPr="00480E06">
              <w:t>.</w:t>
            </w:r>
          </w:p>
          <w:p w14:paraId="714E98DD" w14:textId="7F8392DC" w:rsidR="00251D91" w:rsidRPr="00480E06" w:rsidRDefault="00480E06" w:rsidP="00480E06">
            <w:pPr>
              <w:pStyle w:val="Tabletext"/>
            </w:pPr>
            <w:r w:rsidRPr="00480E06">
              <w:t xml:space="preserve">Recommended requirement for training would be successful completion of a relevant sexual health module/course accredited or endorsed by </w:t>
            </w:r>
            <w:proofErr w:type="gramStart"/>
            <w:r w:rsidRPr="00480E06">
              <w:t>the BASHH</w:t>
            </w:r>
            <w:proofErr w:type="gramEnd"/>
            <w:r w:rsidRPr="00480E06">
              <w:t>, CPPE, RCN or a university or as advised in the RCN Sexual Health Education directory, or a locally developed and delivered training programme.</w:t>
            </w:r>
          </w:p>
          <w:p w14:paraId="04EFE8F3" w14:textId="607806C7" w:rsidR="00251D91" w:rsidRPr="00251D91" w:rsidRDefault="00251D91" w:rsidP="004E7E16">
            <w:pPr>
              <w:pStyle w:val="Tabletext"/>
              <w:rPr>
                <w:color w:val="000000"/>
                <w:szCs w:val="23"/>
              </w:rPr>
            </w:pPr>
            <w:r>
              <w:rPr>
                <w:color w:val="000000"/>
                <w:szCs w:val="23"/>
              </w:rPr>
              <w:t>U</w:t>
            </w:r>
            <w:r w:rsidRPr="00677C74">
              <w:rPr>
                <w:color w:val="000000"/>
                <w:szCs w:val="23"/>
              </w:rPr>
              <w:t>ndertaken appropriate training for working under PGDs for the supply and administration of medicine</w:t>
            </w:r>
            <w:r>
              <w:rPr>
                <w:color w:val="000000"/>
                <w:szCs w:val="23"/>
              </w:rPr>
              <w:t>s.  Recommended training</w:t>
            </w:r>
            <w:r w:rsidR="00234E43">
              <w:rPr>
                <w:color w:val="000000"/>
                <w:szCs w:val="23"/>
              </w:rPr>
              <w:t xml:space="preserve"> is the </w:t>
            </w:r>
            <w:r>
              <w:rPr>
                <w:color w:val="000000"/>
                <w:szCs w:val="23"/>
              </w:rPr>
              <w:t xml:space="preserve"> </w:t>
            </w:r>
            <w:hyperlink r:id="rId18" w:history="1">
              <w:r w:rsidRPr="00251D91">
                <w:rPr>
                  <w:rStyle w:val="Hyperlink"/>
                  <w:rFonts w:cs="Arial"/>
                  <w:szCs w:val="23"/>
                </w:rPr>
                <w:t>eLfH PGD elearning programme</w:t>
              </w:r>
            </w:hyperlink>
            <w:r w:rsidRPr="00251D91">
              <w:rPr>
                <w:color w:val="000000"/>
                <w:szCs w:val="23"/>
              </w:rPr>
              <w:t xml:space="preserve"> </w:t>
            </w:r>
          </w:p>
          <w:p w14:paraId="4B43E5B0" w14:textId="5C381BBC" w:rsidR="00B81529" w:rsidRPr="00251D91" w:rsidRDefault="00234E43" w:rsidP="004E7E16">
            <w:pPr>
              <w:pStyle w:val="Tabletext"/>
              <w:rPr>
                <w:color w:val="000000"/>
                <w:szCs w:val="23"/>
              </w:rPr>
            </w:pPr>
            <w:r>
              <w:rPr>
                <w:color w:val="000000"/>
                <w:szCs w:val="23"/>
                <w:highlight w:val="cyan"/>
              </w:rPr>
              <w:t>[</w:t>
            </w:r>
            <w:r w:rsidR="00251D91" w:rsidRPr="00234E43">
              <w:rPr>
                <w:color w:val="000000"/>
                <w:szCs w:val="23"/>
                <w:highlight w:val="cyan"/>
              </w:rPr>
              <w:t xml:space="preserve">Completed locally required training (including updates) in safeguarding </w:t>
            </w:r>
            <w:r w:rsidR="00480E06">
              <w:rPr>
                <w:color w:val="000000"/>
                <w:szCs w:val="23"/>
                <w:highlight w:val="cyan"/>
              </w:rPr>
              <w:t xml:space="preserve">children and </w:t>
            </w:r>
            <w:r w:rsidR="00251D91" w:rsidRPr="00234E43">
              <w:rPr>
                <w:color w:val="000000"/>
                <w:szCs w:val="23"/>
                <w:highlight w:val="cyan"/>
              </w:rPr>
              <w:t>vulnerable adult</w:t>
            </w:r>
            <w:r w:rsidR="00251D91" w:rsidRPr="00204064">
              <w:rPr>
                <w:color w:val="000000"/>
                <w:szCs w:val="23"/>
                <w:highlight w:val="cyan"/>
              </w:rPr>
              <w:t>s</w:t>
            </w:r>
            <w:r w:rsidRPr="00204064">
              <w:rPr>
                <w:color w:val="000000"/>
                <w:szCs w:val="23"/>
                <w:highlight w:val="cyan"/>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B81529">
            <w:pPr>
              <w:pStyle w:val="Tabletext"/>
              <w:rPr>
                <w:rStyle w:val="TableHeaderColumn"/>
                <w:lang w:val="en-GB"/>
              </w:rPr>
            </w:pPr>
            <w:r w:rsidRPr="00544444">
              <w:rPr>
                <w:rStyle w:val="TableHeaderColumn"/>
                <w:sz w:val="22"/>
                <w:szCs w:val="22"/>
                <w:lang w:val="en-GB"/>
              </w:rPr>
              <w:t>Competency assessment</w:t>
            </w:r>
          </w:p>
        </w:tc>
        <w:tc>
          <w:tcPr>
            <w:tcW w:w="3475" w:type="pct"/>
            <w:tcBorders>
              <w:top w:val="single" w:sz="4" w:space="0" w:color="auto"/>
              <w:left w:val="single" w:sz="4" w:space="0" w:color="auto"/>
              <w:bottom w:val="single" w:sz="4" w:space="0" w:color="auto"/>
              <w:right w:val="single" w:sz="4" w:space="0" w:color="auto"/>
            </w:tcBorders>
          </w:tcPr>
          <w:p w14:paraId="45D3960E" w14:textId="1BE4FBE5" w:rsidR="00CA5AEF" w:rsidRPr="00204064" w:rsidRDefault="00CA5AEF" w:rsidP="00CA5AEF">
            <w:pPr>
              <w:pStyle w:val="Tabletext"/>
              <w:numPr>
                <w:ilvl w:val="0"/>
                <w:numId w:val="20"/>
              </w:numPr>
            </w:pPr>
            <w:r w:rsidRPr="00204064">
              <w:rPr>
                <w:highlight w:val="cyan"/>
              </w:rPr>
              <w:t>[</w:t>
            </w:r>
            <w:r w:rsidR="004E7E16" w:rsidRPr="00204064">
              <w:rPr>
                <w:highlight w:val="cyan"/>
              </w:rPr>
              <w:t>Registered HCPs</w:t>
            </w:r>
            <w:r w:rsidR="00251D91" w:rsidRPr="00204064">
              <w:rPr>
                <w:highlight w:val="cyan"/>
              </w:rPr>
              <w:t xml:space="preserve"> under this PGD must be assessed as competent </w:t>
            </w:r>
            <w:r w:rsidR="00480E06" w:rsidRPr="00204064">
              <w:rPr>
                <w:highlight w:val="cyan"/>
                <w:lang w:val="en-GB"/>
              </w:rPr>
              <w:t xml:space="preserve">or complete a self-declaration of competence for </w:t>
            </w:r>
            <w:r w:rsidRPr="00204064">
              <w:rPr>
                <w:highlight w:val="cyan"/>
                <w:lang w:val="en-GB"/>
              </w:rPr>
              <w:t>HIV</w:t>
            </w:r>
            <w:r w:rsidR="00480E06" w:rsidRPr="00204064">
              <w:rPr>
                <w:highlight w:val="cyan"/>
                <w:lang w:val="en-GB"/>
              </w:rPr>
              <w:t xml:space="preserve"> testing and/</w:t>
            </w:r>
            <w:r w:rsidRPr="00204064">
              <w:rPr>
                <w:highlight w:val="cyan"/>
              </w:rPr>
              <w:t xml:space="preserve"> management of prevention of infection.]</w:t>
            </w:r>
          </w:p>
          <w:p w14:paraId="4D7C15B5" w14:textId="61308215" w:rsidR="00251D91" w:rsidRPr="00016BFD" w:rsidRDefault="00234E43" w:rsidP="00234E43">
            <w:pPr>
              <w:pStyle w:val="Tabletext"/>
            </w:pPr>
            <w:r w:rsidRPr="00204064">
              <w:rPr>
                <w:highlight w:val="cyan"/>
              </w:rPr>
              <w:t>[</w:t>
            </w:r>
            <w:r w:rsidR="00251D91" w:rsidRPr="00A3052A">
              <w:rPr>
                <w:highlight w:val="cyan"/>
              </w:rPr>
              <w:t>(see an example authorisation record sheet in Appendix A</w:t>
            </w:r>
            <w:r w:rsidR="00251D91" w:rsidRPr="00204064">
              <w:rPr>
                <w:highlight w:val="cyan"/>
              </w:rPr>
              <w:t>).</w:t>
            </w:r>
            <w:r w:rsidRPr="00204064">
              <w:rPr>
                <w:highlight w:val="cyan"/>
              </w:rPr>
              <w:t>]</w:t>
            </w:r>
          </w:p>
          <w:p w14:paraId="5719D930" w14:textId="755293D7" w:rsidR="00B81529" w:rsidRPr="00251D91" w:rsidRDefault="00251D91" w:rsidP="00606A8A">
            <w:pPr>
              <w:pStyle w:val="Tabletext"/>
              <w:rPr>
                <w:rFonts w:cs="Arial"/>
              </w:rPr>
            </w:pPr>
            <w:r w:rsidRPr="00016BFD">
              <w:t xml:space="preserve">Staff operating under this PGD </w:t>
            </w:r>
            <w:r w:rsidR="00480E06">
              <w:t>are encouraged to</w:t>
            </w:r>
            <w:r w:rsidRPr="00016BFD">
              <w:t xml:space="preserve"> review</w:t>
            </w:r>
            <w:r w:rsidRPr="00A3052A">
              <w:t xml:space="preserve"> their competency using the</w:t>
            </w:r>
            <w:hyperlink r:id="rId19" w:history="1">
              <w:r w:rsidRPr="00A3052A">
                <w:rPr>
                  <w:color w:val="0000FF"/>
                  <w:u w:val="single"/>
                </w:rPr>
                <w:t xml:space="preserve"> NICE Competency Framework for health professionals using patient group directions</w:t>
              </w:r>
            </w:hyperlink>
          </w:p>
        </w:tc>
      </w:tr>
      <w:tr w:rsidR="00B81529" w:rsidRPr="00251D91"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B81529">
            <w:pPr>
              <w:pStyle w:val="Tabletext"/>
              <w:rPr>
                <w:rStyle w:val="TableHeaderColumn"/>
                <w:lang w:val="en-GB"/>
              </w:rPr>
            </w:pPr>
            <w:r w:rsidRPr="00544444">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1D8C08F3" w14:textId="5A69EE37" w:rsidR="00251D91" w:rsidRPr="00251D91" w:rsidRDefault="00CA5AEF" w:rsidP="004E7E16">
            <w:pPr>
              <w:pStyle w:val="Tabletext"/>
            </w:pPr>
            <w:r>
              <w:t>Registered HCPs</w:t>
            </w:r>
            <w:r w:rsidR="00251D91" w:rsidRPr="00251D91">
              <w:t xml:space="preserve"> operating under this PGD are personally responsible for ensuring they remain up to date with the use of all medicines and guidance included in the PGD - if any training needs are identified these should be discussed with the senior individual responsible for authorising </w:t>
            </w:r>
            <w:r>
              <w:t>practitioners</w:t>
            </w:r>
            <w:r w:rsidR="00251D91" w:rsidRPr="00251D91">
              <w:t xml:space="preserve"> to act under the PGD and further training provided as required.</w:t>
            </w:r>
          </w:p>
          <w:p w14:paraId="3219E1FA" w14:textId="0EDD0944" w:rsidR="00B81529" w:rsidRPr="00251D91" w:rsidRDefault="002A15CA" w:rsidP="004E7E16">
            <w:pPr>
              <w:pStyle w:val="Tabletext"/>
            </w:pPr>
            <w:r w:rsidRPr="00204064">
              <w:rPr>
                <w:highlight w:val="cyan"/>
              </w:rPr>
              <w:t>[</w:t>
            </w:r>
            <w:r w:rsidR="00251D91" w:rsidRPr="002A15CA">
              <w:rPr>
                <w:highlight w:val="cyan"/>
              </w:rPr>
              <w:t>Organisational PGD and/or medication training as required by employing Trust/organisatio</w:t>
            </w:r>
            <w:r w:rsidR="00251D91" w:rsidRPr="00204064">
              <w:rPr>
                <w:highlight w:val="cyan"/>
              </w:rPr>
              <w:t>n.</w:t>
            </w:r>
            <w:r w:rsidRPr="00204064">
              <w:rPr>
                <w:highlight w:val="cyan"/>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seven rows which include the clinical condition or situation applicable, inclusion criteria, exclusion criteria, cautions,  specific information to be provided, actions to be taken if the individual is excluded or declines treatment and arrangements for referral for medical advice."/>
      </w:tblPr>
      <w:tblGrid>
        <w:gridCol w:w="3566"/>
        <w:gridCol w:w="4929"/>
      </w:tblGrid>
      <w:tr w:rsidR="00D36D23" w14:paraId="06FC28D1" w14:textId="77777777" w:rsidTr="003F22B7">
        <w:tc>
          <w:tcPr>
            <w:tcW w:w="3566" w:type="dxa"/>
          </w:tcPr>
          <w:p w14:paraId="7ABDE5EA" w14:textId="3B5A4183" w:rsidR="00D36D23" w:rsidRPr="00544444" w:rsidRDefault="00D36D23" w:rsidP="005A6168">
            <w:pPr>
              <w:rPr>
                <w:rStyle w:val="TableHeaderColumn"/>
                <w:sz w:val="22"/>
              </w:rPr>
            </w:pPr>
            <w:r w:rsidRPr="00544444">
              <w:rPr>
                <w:rStyle w:val="TableHeaderColumn"/>
                <w:sz w:val="22"/>
              </w:rPr>
              <w:t>Clinical condition or situation to which this PGD applies</w:t>
            </w:r>
          </w:p>
        </w:tc>
        <w:tc>
          <w:tcPr>
            <w:tcW w:w="4929" w:type="dxa"/>
          </w:tcPr>
          <w:p w14:paraId="622A2C8E" w14:textId="376884F6" w:rsidR="00D36D23" w:rsidRDefault="00CA5AEF" w:rsidP="00CA5AEF">
            <w:pPr>
              <w:pStyle w:val="Tabletext"/>
            </w:pPr>
            <w:r w:rsidRPr="00CA5AEF">
              <w:t>HIV pre-exposure prophylaxis (PrEP)</w:t>
            </w:r>
          </w:p>
        </w:tc>
      </w:tr>
      <w:tr w:rsidR="00AE4F4B" w14:paraId="423D958D" w14:textId="77777777" w:rsidTr="003F22B7">
        <w:tc>
          <w:tcPr>
            <w:tcW w:w="3566" w:type="dxa"/>
          </w:tcPr>
          <w:p w14:paraId="12B69C9D" w14:textId="0A77D3DB" w:rsidR="00AE4F4B" w:rsidRPr="00544444" w:rsidRDefault="003E69CD" w:rsidP="00251D91">
            <w:pPr>
              <w:rPr>
                <w:rStyle w:val="TableHeaderColumn"/>
                <w:sz w:val="22"/>
              </w:rPr>
            </w:pPr>
            <w:r w:rsidRPr="00544444">
              <w:rPr>
                <w:rStyle w:val="TableHeaderColumn"/>
                <w:sz w:val="22"/>
              </w:rPr>
              <w:t>Criteria for i</w:t>
            </w:r>
            <w:r w:rsidR="00CA3998" w:rsidRPr="00544444">
              <w:rPr>
                <w:rStyle w:val="TableHeaderColumn"/>
                <w:sz w:val="22"/>
              </w:rPr>
              <w:t xml:space="preserve">nclusion </w:t>
            </w:r>
          </w:p>
        </w:tc>
        <w:tc>
          <w:tcPr>
            <w:tcW w:w="4929" w:type="dxa"/>
          </w:tcPr>
          <w:p w14:paraId="08C7DD33" w14:textId="57D8BF68" w:rsidR="00CA5AEF" w:rsidRDefault="00E170C1" w:rsidP="00CA5AEF">
            <w:pPr>
              <w:pStyle w:val="Tabletext"/>
            </w:pPr>
            <w:r>
              <w:t>In</w:t>
            </w:r>
            <w:r w:rsidR="00CA5AEF">
              <w:t xml:space="preserve">dividuals, regardless of their gender or sexual orientation, who meet </w:t>
            </w:r>
            <w:r w:rsidR="00CA5AEF" w:rsidRPr="00CA5AEF">
              <w:rPr>
                <w:b/>
                <w:bCs/>
              </w:rPr>
              <w:t>one or more</w:t>
            </w:r>
            <w:r w:rsidR="00CA5AEF">
              <w:t xml:space="preserve"> of the following criteria are eligible for PrEP (as per </w:t>
            </w:r>
            <w:hyperlink r:id="rId20" w:history="1">
              <w:r w:rsidR="00CA5AEF" w:rsidRPr="00CA5AEF">
                <w:rPr>
                  <w:rStyle w:val="Hyperlink"/>
                </w:rPr>
                <w:t>BASHH/BHIVA HIV PrEP guida</w:t>
              </w:r>
              <w:r w:rsidR="00CA5AEF" w:rsidRPr="00CA5AEF">
                <w:rPr>
                  <w:rStyle w:val="Hyperlink"/>
                </w:rPr>
                <w:t>n</w:t>
              </w:r>
              <w:r w:rsidR="00CA5AEF" w:rsidRPr="00CA5AEF">
                <w:rPr>
                  <w:rStyle w:val="Hyperlink"/>
                </w:rPr>
                <w:t>ce</w:t>
              </w:r>
            </w:hyperlink>
            <w:r w:rsidR="00CA5AEF">
              <w:t xml:space="preserve">): </w:t>
            </w:r>
          </w:p>
          <w:p w14:paraId="767DACB0" w14:textId="77777777" w:rsidR="00CA5AEF" w:rsidRDefault="00CA5AEF" w:rsidP="00CA5AEF">
            <w:pPr>
              <w:pStyle w:val="Tabletext"/>
            </w:pPr>
          </w:p>
          <w:p w14:paraId="4E56E0DC" w14:textId="77777777" w:rsidR="00CA5AEF" w:rsidRDefault="00CA5AEF" w:rsidP="00CA5AEF">
            <w:pPr>
              <w:pStyle w:val="Tabletext"/>
            </w:pPr>
            <w:r>
              <w:t>A. People who request PrEP</w:t>
            </w:r>
          </w:p>
          <w:p w14:paraId="75FD3AC0" w14:textId="77777777" w:rsidR="00CA5AEF" w:rsidRDefault="00CA5AEF" w:rsidP="00CA5AEF">
            <w:pPr>
              <w:pStyle w:val="Tabletext"/>
            </w:pPr>
            <w:r>
              <w:t xml:space="preserve">B. People at risk of HIV* </w:t>
            </w:r>
          </w:p>
          <w:p w14:paraId="0EC3C7FF" w14:textId="77777777" w:rsidR="00CA5AEF" w:rsidRDefault="00CA5AEF" w:rsidP="00CA5AEF">
            <w:pPr>
              <w:pStyle w:val="Tabletext"/>
            </w:pPr>
            <w:r>
              <w:t xml:space="preserve">C. People who are likely to have condomless anal or vaginal sex with people at risk of HIV* </w:t>
            </w:r>
          </w:p>
          <w:p w14:paraId="07DC3903" w14:textId="77777777" w:rsidR="00CA5AEF" w:rsidRDefault="00CA5AEF" w:rsidP="00CA5AEF">
            <w:pPr>
              <w:pStyle w:val="Tabletext"/>
            </w:pPr>
            <w:r>
              <w:t xml:space="preserve">D. People who inject drugs who might share injecting equipment </w:t>
            </w:r>
          </w:p>
          <w:p w14:paraId="2683E47C" w14:textId="77777777" w:rsidR="00CA5AEF" w:rsidRDefault="00CA5AEF" w:rsidP="00CA5AEF">
            <w:pPr>
              <w:pStyle w:val="Tabletext"/>
            </w:pPr>
          </w:p>
          <w:p w14:paraId="2CE12BF6" w14:textId="4B007EC5" w:rsidR="00CA5AEF" w:rsidRDefault="00CA5AEF" w:rsidP="00CA5AEF">
            <w:pPr>
              <w:pStyle w:val="Tabletext"/>
            </w:pPr>
            <w:r>
              <w:t>*</w:t>
            </w:r>
            <w:proofErr w:type="gramStart"/>
            <w:r>
              <w:t>defined</w:t>
            </w:r>
            <w:proofErr w:type="gramEnd"/>
            <w:r>
              <w:t xml:space="preserve"> as where HIV risk is likely to be </w:t>
            </w:r>
            <w:proofErr w:type="gramStart"/>
            <w:r>
              <w:t>in excess of</w:t>
            </w:r>
            <w:proofErr w:type="gramEnd"/>
            <w:r>
              <w:t xml:space="preserve"> the background UK population and where benefit outweighs clinical risk of </w:t>
            </w:r>
            <w:proofErr w:type="spellStart"/>
            <w:r>
              <w:t>PrEP.</w:t>
            </w:r>
            <w:proofErr w:type="spellEnd"/>
            <w:r>
              <w:t xml:space="preserve"> </w:t>
            </w:r>
          </w:p>
          <w:p w14:paraId="556037B6" w14:textId="77777777" w:rsidR="00CA5AEF" w:rsidRDefault="00CA5AEF" w:rsidP="00CA5AEF">
            <w:pPr>
              <w:pStyle w:val="Tabletext"/>
            </w:pPr>
          </w:p>
          <w:p w14:paraId="06B603FE" w14:textId="33A3A21B" w:rsidR="00CA5AEF" w:rsidRDefault="00CA5AEF" w:rsidP="00CA5AEF">
            <w:pPr>
              <w:pStyle w:val="Tabletext"/>
            </w:pPr>
            <w:proofErr w:type="gramStart"/>
            <w:r w:rsidRPr="00CA5AEF">
              <w:rPr>
                <w:b/>
                <w:bCs/>
              </w:rPr>
              <w:t>PLUS</w:t>
            </w:r>
            <w:proofErr w:type="gramEnd"/>
            <w:r w:rsidRPr="00CA5AEF">
              <w:rPr>
                <w:b/>
                <w:bCs/>
              </w:rPr>
              <w:t xml:space="preserve"> </w:t>
            </w:r>
            <w:proofErr w:type="gramStart"/>
            <w:r w:rsidRPr="00CA5AEF">
              <w:rPr>
                <w:b/>
                <w:bCs/>
              </w:rPr>
              <w:t>all</w:t>
            </w:r>
            <w:r>
              <w:t xml:space="preserve"> of</w:t>
            </w:r>
            <w:proofErr w:type="gramEnd"/>
            <w:r>
              <w:t xml:space="preserve"> the following criteria:</w:t>
            </w:r>
          </w:p>
          <w:p w14:paraId="0FC3D01D" w14:textId="46E6175E" w:rsidR="00CA5AEF" w:rsidRDefault="00CA5AEF" w:rsidP="00E170C1">
            <w:pPr>
              <w:pStyle w:val="Bulletindent1"/>
            </w:pPr>
            <w:r>
              <w:t>Informed consent</w:t>
            </w:r>
          </w:p>
          <w:p w14:paraId="66139BC9" w14:textId="2391DAAF" w:rsidR="00CA5AEF" w:rsidRDefault="00CA5AEF" w:rsidP="00E170C1">
            <w:pPr>
              <w:pStyle w:val="Bulletindent1"/>
            </w:pPr>
            <w:r>
              <w:t>Individuals aged 18 years and over; all individuals under the age of 19 years - follow local young person’s risk assessment or equivalent local process</w:t>
            </w:r>
          </w:p>
          <w:p w14:paraId="194C5127" w14:textId="01BFDCEC" w:rsidR="00CA5AEF" w:rsidRDefault="00CA5AEF" w:rsidP="00E170C1">
            <w:pPr>
              <w:pStyle w:val="Bulletindent1"/>
            </w:pPr>
            <w:r>
              <w:t>Willing and able to test for HIV on a 3-6 monthly basis</w:t>
            </w:r>
          </w:p>
          <w:p w14:paraId="1FD2048F" w14:textId="48C75F48" w:rsidR="00CA5AEF" w:rsidRDefault="00CA5AEF" w:rsidP="00CA5AEF">
            <w:pPr>
              <w:pStyle w:val="Bulletindent1"/>
            </w:pPr>
            <w:r>
              <w:t>Willing and able to test for other STIs on a 3-6</w:t>
            </w:r>
            <w:r w:rsidRPr="00CA5AEF">
              <w:rPr>
                <w:vertAlign w:val="superscript"/>
              </w:rPr>
              <w:t>†</w:t>
            </w:r>
            <w:r>
              <w:t xml:space="preserve"> monthly basis as part of PrEP care. </w:t>
            </w:r>
          </w:p>
          <w:p w14:paraId="5705AF0D" w14:textId="2A7CE3C3" w:rsidR="00CA5AEF" w:rsidRDefault="00CA5AEF" w:rsidP="00CA5AEF">
            <w:pPr>
              <w:pStyle w:val="Bulletindent1"/>
            </w:pPr>
            <w:r>
              <w:t xml:space="preserve">Able to access at least 6 monthly </w:t>
            </w:r>
            <w:proofErr w:type="gramStart"/>
            <w:r>
              <w:t>review</w:t>
            </w:r>
            <w:proofErr w:type="gramEnd"/>
            <w:r>
              <w:t xml:space="preserve"> for safety and adherence monitoring, sexual health care and support</w:t>
            </w:r>
          </w:p>
          <w:p w14:paraId="10195C0B" w14:textId="1FECA17F" w:rsidR="00CA5AEF" w:rsidRDefault="00CA5AEF" w:rsidP="00CA5AEF">
            <w:pPr>
              <w:pStyle w:val="Bulletindent1"/>
            </w:pPr>
            <w:r>
              <w:t xml:space="preserve">Documented negative fourth-generation HIV antibody/antigen test result within the last 45 days (for initiation of PrEP) or within the last 3-6 months (for continuation of PrEP) – if not available then must be sent on the same </w:t>
            </w:r>
            <w:proofErr w:type="gramStart"/>
            <w:r>
              <w:t>day.</w:t>
            </w:r>
            <w:r w:rsidRPr="00CA5AEF">
              <w:rPr>
                <w:vertAlign w:val="superscript"/>
              </w:rPr>
              <w:t>‡</w:t>
            </w:r>
            <w:proofErr w:type="gramEnd"/>
          </w:p>
          <w:p w14:paraId="37ECCF10" w14:textId="77777777" w:rsidR="00CA5AEF" w:rsidRDefault="00CA5AEF" w:rsidP="00CA5AEF">
            <w:pPr>
              <w:pStyle w:val="Tabletext"/>
            </w:pPr>
            <w:r>
              <w:t xml:space="preserve">Note: PrEP can be initiated or continued while waiting for the above result unless individual </w:t>
            </w:r>
            <w:proofErr w:type="gramStart"/>
            <w:r>
              <w:t>is showing</w:t>
            </w:r>
            <w:proofErr w:type="gramEnd"/>
            <w:r>
              <w:t xml:space="preserve"> symptoms of HIV seroconversion.</w:t>
            </w:r>
          </w:p>
          <w:p w14:paraId="12D07414" w14:textId="77777777" w:rsidR="00CA5AEF" w:rsidRDefault="00CA5AEF" w:rsidP="00CA5AEF">
            <w:pPr>
              <w:pStyle w:val="Tabletext"/>
            </w:pPr>
            <w:r>
              <w:t xml:space="preserve"> </w:t>
            </w:r>
          </w:p>
          <w:p w14:paraId="6201DFE2" w14:textId="205D83E2" w:rsidR="00CA5AEF" w:rsidRPr="00E170C1" w:rsidRDefault="00CA5AEF" w:rsidP="00CA5AEF">
            <w:pPr>
              <w:pStyle w:val="Tabletext"/>
            </w:pPr>
            <w:r w:rsidRPr="00E170C1">
              <w:t xml:space="preserve">† 3-monthly STI testing recommended for people taking PrEP who have new or multiple </w:t>
            </w:r>
            <w:r w:rsidRPr="00E170C1">
              <w:lastRenderedPageBreak/>
              <w:t>sexual partners. Less frequent testing for STIs may be appropriate for those who, for example, have a single partner who is living with HIV and is not virally suppressed or those with less frequent partner change.</w:t>
            </w:r>
          </w:p>
          <w:p w14:paraId="7CF6B8EA" w14:textId="77777777" w:rsidR="00CA5AEF" w:rsidRPr="00E170C1" w:rsidRDefault="00CA5AEF" w:rsidP="00CA5AEF">
            <w:pPr>
              <w:pStyle w:val="Tabletext"/>
            </w:pPr>
          </w:p>
          <w:p w14:paraId="02A2FFD7" w14:textId="1953F24A" w:rsidR="00AE4F4B" w:rsidRPr="00251D91" w:rsidRDefault="00CA5AEF" w:rsidP="00CA5AEF">
            <w:pPr>
              <w:pStyle w:val="Tabletext"/>
            </w:pPr>
            <w:r w:rsidRPr="00E170C1">
              <w:t>‡ If a combined HIV fourth-generation antigen/antibody test result in the last 45 days (initiation) or 6 months (continuation) is not available on the day then a non-reactive rapid blood-based HIV POCT is advisable on the day of PrEP initiation and a laboratory HIV fourth-generation antigen/antibody test must be sent on the day; PrEP can be supplied, assuming all other criteria are met, but the result must be reviewed as soon as possible: amend to reflect local policy.</w:t>
            </w:r>
          </w:p>
        </w:tc>
      </w:tr>
      <w:tr w:rsidR="00251D91" w14:paraId="6FC007A9" w14:textId="77777777" w:rsidTr="003F22B7">
        <w:tc>
          <w:tcPr>
            <w:tcW w:w="3566" w:type="dxa"/>
          </w:tcPr>
          <w:p w14:paraId="4F9F0FC6" w14:textId="72CE5320" w:rsidR="00251D91" w:rsidRPr="005A6168" w:rsidRDefault="00251D91" w:rsidP="00251D91">
            <w:pPr>
              <w:rPr>
                <w:rStyle w:val="TableHeaderColumn"/>
              </w:rPr>
            </w:pPr>
            <w:bookmarkStart w:id="5" w:name="Exclusions"/>
            <w:bookmarkEnd w:id="5"/>
            <w:r w:rsidRPr="00544444">
              <w:rPr>
                <w:rStyle w:val="TableHeaderColumn"/>
                <w:sz w:val="22"/>
              </w:rPr>
              <w:lastRenderedPageBreak/>
              <w:t>Criteria for exclusion</w:t>
            </w:r>
          </w:p>
        </w:tc>
        <w:tc>
          <w:tcPr>
            <w:tcW w:w="4929" w:type="dxa"/>
          </w:tcPr>
          <w:p w14:paraId="3D0F07B6" w14:textId="6FA17F44" w:rsidR="001D6784" w:rsidRDefault="001D6784" w:rsidP="001D6784">
            <w:pPr>
              <w:pStyle w:val="Bulletindent1"/>
            </w:pPr>
            <w:r w:rsidRPr="008131FE">
              <w:t xml:space="preserve">Consent </w:t>
            </w:r>
            <w:r w:rsidR="00E50E7A">
              <w:t>refused</w:t>
            </w:r>
            <w:r>
              <w:t xml:space="preserve"> </w:t>
            </w:r>
            <w:r w:rsidRPr="00CC1B72">
              <w:t xml:space="preserve">and documented in the individual’s </w:t>
            </w:r>
            <w:r>
              <w:t>clinical</w:t>
            </w:r>
            <w:r w:rsidRPr="00CC1B72">
              <w:t xml:space="preserve"> notes</w:t>
            </w:r>
          </w:p>
          <w:p w14:paraId="4F4AA564" w14:textId="77777777" w:rsidR="00E50E7A" w:rsidRPr="00E50E7A" w:rsidRDefault="00E50E7A" w:rsidP="00E50E7A">
            <w:pPr>
              <w:pStyle w:val="Bulletindent1"/>
            </w:pPr>
            <w:r w:rsidRPr="00E50E7A">
              <w:t>Individuals under 18 years of age (see below for further information)</w:t>
            </w:r>
          </w:p>
          <w:p w14:paraId="7DB7D780" w14:textId="77777777" w:rsidR="00E50E7A" w:rsidRPr="00E50E7A" w:rsidRDefault="00E50E7A" w:rsidP="00E50E7A">
            <w:pPr>
              <w:pStyle w:val="Bulletindent1"/>
            </w:pPr>
            <w:r w:rsidRPr="00E50E7A">
              <w:t>Individuals 18 years of age and over and assessed as lacking capacity to consent</w:t>
            </w:r>
          </w:p>
          <w:p w14:paraId="10D3321A" w14:textId="42B9AF59" w:rsidR="00E50E7A" w:rsidRPr="00E50E7A" w:rsidRDefault="00E50E7A" w:rsidP="00E50E7A">
            <w:pPr>
              <w:pStyle w:val="Bulletindent1"/>
            </w:pPr>
            <w:r w:rsidRPr="00E50E7A">
              <w:t xml:space="preserve">Known hypersensitivity or allergy to emtricitabine or tenofovir disoproxil or to any component of the product - See current </w:t>
            </w:r>
            <w:hyperlink r:id="rId21" w:history="1">
              <w:r w:rsidRPr="00E50E7A">
                <w:rPr>
                  <w:rStyle w:val="Hyperlink"/>
                  <w:rFonts w:eastAsia="Calibri"/>
                </w:rPr>
                <w:t xml:space="preserve">Summary of Product Characteristics </w:t>
              </w:r>
              <w:r w:rsidRPr="00DC6BCF">
                <w:rPr>
                  <w:rStyle w:val="Hyperlink"/>
                </w:rPr>
                <w:t>which can be access</w:t>
              </w:r>
              <w:r w:rsidR="00DC6BCF" w:rsidRPr="00DC6BCF">
                <w:rPr>
                  <w:rStyle w:val="Hyperlink"/>
                </w:rPr>
                <w:t>ed</w:t>
              </w:r>
              <w:r w:rsidRPr="00DC6BCF">
                <w:rPr>
                  <w:rStyle w:val="Hyperlink"/>
                </w:rPr>
                <w:t xml:space="preserve"> on the EM</w:t>
              </w:r>
              <w:r w:rsidR="00DC6BCF" w:rsidRPr="00DC6BCF">
                <w:rPr>
                  <w:rStyle w:val="Hyperlink"/>
                </w:rPr>
                <w:t>C</w:t>
              </w:r>
            </w:hyperlink>
            <w:r w:rsidRPr="00E50E7A">
              <w:t xml:space="preserve"> for active ingredients and excipients. </w:t>
            </w:r>
            <w:r w:rsidRPr="00E50E7A">
              <w:rPr>
                <w:b/>
                <w:bCs/>
                <w:iCs/>
              </w:rPr>
              <w:t>Acceptable sources of allergy information include individual/carer/parent/guardian or National Care Record.</w:t>
            </w:r>
          </w:p>
          <w:p w14:paraId="1135D8CE" w14:textId="77777777" w:rsidR="00E50E7A" w:rsidRPr="00E50E7A" w:rsidRDefault="00E50E7A" w:rsidP="00E50E7A">
            <w:pPr>
              <w:pStyle w:val="Bulletindent1"/>
            </w:pPr>
            <w:r w:rsidRPr="00E50E7A">
              <w:t>Individuals with an acute viral illness at enrolment that could represent HIV seroconversion</w:t>
            </w:r>
          </w:p>
          <w:p w14:paraId="59CB03A4" w14:textId="77777777" w:rsidR="00E50E7A" w:rsidRPr="00E50E7A" w:rsidRDefault="00E50E7A" w:rsidP="00E50E7A">
            <w:pPr>
              <w:pStyle w:val="Bulletindent1"/>
              <w:rPr>
                <w:iCs/>
              </w:rPr>
            </w:pPr>
            <w:r w:rsidRPr="00E50E7A">
              <w:t xml:space="preserve">Individuals known to be living with HIV </w:t>
            </w:r>
          </w:p>
          <w:p w14:paraId="5C579C3E" w14:textId="77777777" w:rsidR="00E50E7A" w:rsidRPr="00E50E7A" w:rsidRDefault="00E50E7A" w:rsidP="00E50E7A">
            <w:pPr>
              <w:pStyle w:val="Bulletindent1"/>
            </w:pPr>
            <w:r w:rsidRPr="00E50E7A">
              <w:t>Known or suspected liver cirrhosis</w:t>
            </w:r>
          </w:p>
          <w:p w14:paraId="2811E56B" w14:textId="77777777" w:rsidR="00E50E7A" w:rsidRPr="00E50E7A" w:rsidRDefault="00E50E7A" w:rsidP="00E50E7A">
            <w:pPr>
              <w:pStyle w:val="Bulletindent1"/>
            </w:pPr>
            <w:r w:rsidRPr="00E50E7A">
              <w:t xml:space="preserve">Known liver impairment (e.g. AST or ALT &gt; 2 x ULN or bilirubin &gt; 1.5 x ULN) </w:t>
            </w:r>
          </w:p>
          <w:p w14:paraId="519B0D1E" w14:textId="3CC696C9" w:rsidR="00E50E7A" w:rsidRPr="00E50E7A" w:rsidRDefault="00E50E7A" w:rsidP="00E50E7A">
            <w:pPr>
              <w:pStyle w:val="Bulletindent1"/>
            </w:pPr>
            <w:r w:rsidRPr="00E50E7A">
              <w:t xml:space="preserve">Individuals who should be referred to a prescriber for consideration of non-TD-based PrEP (see </w:t>
            </w:r>
            <w:hyperlink r:id="rId22" w:history="1">
              <w:r w:rsidRPr="00E50E7A">
                <w:rPr>
                  <w:rStyle w:val="Hyperlink"/>
                  <w:rFonts w:eastAsia="Calibri"/>
                </w:rPr>
                <w:t>NHSE commissioning policy</w:t>
              </w:r>
            </w:hyperlink>
            <w:r w:rsidRPr="00E50E7A">
              <w:t xml:space="preserve"> for further information): </w:t>
            </w:r>
          </w:p>
          <w:p w14:paraId="44530A2B" w14:textId="77777777" w:rsidR="00E50E7A" w:rsidRPr="00E50E7A" w:rsidRDefault="00E50E7A" w:rsidP="00DC6BCF">
            <w:pPr>
              <w:pStyle w:val="Bulletindent1"/>
              <w:numPr>
                <w:ilvl w:val="1"/>
                <w:numId w:val="15"/>
              </w:numPr>
            </w:pPr>
            <w:r w:rsidRPr="00E50E7A">
              <w:t>Individuals under 18 years of age</w:t>
            </w:r>
          </w:p>
          <w:p w14:paraId="40B9FE65" w14:textId="77777777" w:rsidR="00E50E7A" w:rsidRPr="00E50E7A" w:rsidRDefault="00E50E7A" w:rsidP="00DC6BCF">
            <w:pPr>
              <w:pStyle w:val="Bulletindent1"/>
              <w:numPr>
                <w:ilvl w:val="1"/>
                <w:numId w:val="15"/>
              </w:numPr>
            </w:pPr>
            <w:r w:rsidRPr="00E50E7A">
              <w:lastRenderedPageBreak/>
              <w:t>Individuals with known or suspected chronic kidney disease (CKD) stages 3, 4 or 5 (eGFR &lt; 60ml/min/1.73m</w:t>
            </w:r>
            <w:r w:rsidRPr="00E50E7A">
              <w:rPr>
                <w:vertAlign w:val="superscript"/>
              </w:rPr>
              <w:t>2</w:t>
            </w:r>
            <w:r w:rsidRPr="00E50E7A">
              <w:t>)</w:t>
            </w:r>
          </w:p>
          <w:p w14:paraId="3A613C50" w14:textId="77777777" w:rsidR="00E50E7A" w:rsidRPr="00E50E7A" w:rsidRDefault="00E50E7A" w:rsidP="00DC6BCF">
            <w:pPr>
              <w:pStyle w:val="Bulletindent1"/>
              <w:numPr>
                <w:ilvl w:val="1"/>
                <w:numId w:val="15"/>
              </w:numPr>
            </w:pPr>
            <w:r w:rsidRPr="00E50E7A">
              <w:t>Individuals with an eGFR ≥60ml/min/1.73 m</w:t>
            </w:r>
            <w:r w:rsidRPr="00E50E7A">
              <w:rPr>
                <w:vertAlign w:val="superscript"/>
              </w:rPr>
              <w:t xml:space="preserve">2 </w:t>
            </w:r>
            <w:r w:rsidRPr="00E50E7A">
              <w:rPr>
                <w:b/>
                <w:bCs/>
              </w:rPr>
              <w:t>AND</w:t>
            </w:r>
          </w:p>
          <w:p w14:paraId="3F5397D0" w14:textId="77777777" w:rsidR="00E50E7A" w:rsidRPr="00E50E7A" w:rsidRDefault="00E50E7A" w:rsidP="00DC6BCF">
            <w:pPr>
              <w:pStyle w:val="Bulletindent1"/>
              <w:numPr>
                <w:ilvl w:val="2"/>
                <w:numId w:val="15"/>
              </w:numPr>
            </w:pPr>
            <w:r w:rsidRPr="00E50E7A">
              <w:t xml:space="preserve">A progressive reduction in eGFR </w:t>
            </w:r>
            <w:r w:rsidRPr="00E50E7A">
              <w:rPr>
                <w:vertAlign w:val="superscript"/>
              </w:rPr>
              <w:t>1</w:t>
            </w:r>
            <w:r w:rsidRPr="00E50E7A">
              <w:t xml:space="preserve"> on TD-FTC </w:t>
            </w:r>
            <w:r w:rsidRPr="00E50E7A">
              <w:rPr>
                <w:b/>
                <w:bCs/>
              </w:rPr>
              <w:t>AND</w:t>
            </w:r>
          </w:p>
          <w:p w14:paraId="04F3DCBC" w14:textId="77777777" w:rsidR="00E50E7A" w:rsidRPr="00E50E7A" w:rsidRDefault="00E50E7A" w:rsidP="00DC6BCF">
            <w:pPr>
              <w:pStyle w:val="Bulletindent1"/>
              <w:numPr>
                <w:ilvl w:val="2"/>
                <w:numId w:val="15"/>
              </w:numPr>
            </w:pPr>
            <w:r w:rsidRPr="00E50E7A">
              <w:t xml:space="preserve">Significant concurrent medical issues </w:t>
            </w:r>
            <w:r w:rsidRPr="00E50E7A">
              <w:rPr>
                <w:b/>
              </w:rPr>
              <w:t xml:space="preserve">OR </w:t>
            </w:r>
            <w:r w:rsidRPr="00E50E7A">
              <w:t>monitoring/prescribing concerns with TD-FTC</w:t>
            </w:r>
          </w:p>
          <w:p w14:paraId="1A67C76E" w14:textId="77777777" w:rsidR="00E50E7A" w:rsidRPr="00E50E7A" w:rsidRDefault="00E50E7A" w:rsidP="00DC6BCF">
            <w:pPr>
              <w:pStyle w:val="Bulletindent1"/>
              <w:numPr>
                <w:ilvl w:val="1"/>
                <w:numId w:val="15"/>
              </w:numPr>
            </w:pPr>
            <w:r w:rsidRPr="00E50E7A">
              <w:t>Individuals with proven renal toxicity (acute or chronic)</w:t>
            </w:r>
            <w:r w:rsidRPr="00E50E7A">
              <w:rPr>
                <w:vertAlign w:val="superscript"/>
              </w:rPr>
              <w:t xml:space="preserve"> 2</w:t>
            </w:r>
            <w:r w:rsidRPr="00E50E7A">
              <w:t xml:space="preserve"> with TD-FTC</w:t>
            </w:r>
          </w:p>
          <w:p w14:paraId="1A5A841B" w14:textId="77777777" w:rsidR="00E50E7A" w:rsidRPr="00E50E7A" w:rsidRDefault="00E50E7A" w:rsidP="00DC6BCF">
            <w:pPr>
              <w:pStyle w:val="Bulletindent1"/>
              <w:numPr>
                <w:ilvl w:val="1"/>
                <w:numId w:val="15"/>
              </w:numPr>
            </w:pPr>
            <w:r w:rsidRPr="00E50E7A">
              <w:t>Individuals with osteoporosis or at increased risk of facture</w:t>
            </w:r>
          </w:p>
          <w:p w14:paraId="1D8ABBAE" w14:textId="77777777" w:rsidR="00E50E7A" w:rsidRPr="00E50E7A" w:rsidRDefault="00E50E7A" w:rsidP="00E50E7A">
            <w:pPr>
              <w:pStyle w:val="Bulletindent1"/>
            </w:pPr>
            <w:r w:rsidRPr="00E50E7A">
              <w:t>Known acute or chronic hepatitis B infection</w:t>
            </w:r>
          </w:p>
          <w:p w14:paraId="6E4EBAB4" w14:textId="77777777" w:rsidR="00E50E7A" w:rsidRPr="00E50E7A" w:rsidRDefault="00E50E7A" w:rsidP="00E50E7A">
            <w:pPr>
              <w:pStyle w:val="Bulletindent1"/>
            </w:pPr>
            <w:r w:rsidRPr="00E50E7A">
              <w:t>Immunosuppressed individuals: if there is any risk of hepatitis B reactivation (in hepatitis B core antibody positive individuals)</w:t>
            </w:r>
          </w:p>
          <w:p w14:paraId="5D5D89F1" w14:textId="77777777" w:rsidR="00E50E7A" w:rsidRPr="00E50E7A" w:rsidRDefault="00E50E7A" w:rsidP="00E50E7A">
            <w:pPr>
              <w:pStyle w:val="Bulletindent1"/>
            </w:pPr>
            <w:r w:rsidRPr="00E50E7A">
              <w:t xml:space="preserve">Individuals with hereditary galactose intolerance (galactosemia), the Lapp lactase deficiency or glucose-galactose malabsorption (Note: these are not the same as lactose intolerance. Lactose intolerance is not an exclusion for PrEP) </w:t>
            </w:r>
          </w:p>
          <w:p w14:paraId="6881DACF" w14:textId="77777777" w:rsidR="00E50E7A" w:rsidRPr="00E50E7A" w:rsidRDefault="00E50E7A" w:rsidP="00E50E7A">
            <w:pPr>
              <w:pStyle w:val="Bulletindent1"/>
            </w:pPr>
            <w:r w:rsidRPr="00E50E7A">
              <w:t xml:space="preserve">Concurrent use of any interacting medicine as listed in </w:t>
            </w:r>
            <w:hyperlink w:anchor="Druginteractions" w:history="1">
              <w:r w:rsidRPr="00E50E7A">
                <w:rPr>
                  <w:rStyle w:val="Hyperlink"/>
                </w:rPr>
                <w:t>Drug Interactions</w:t>
              </w:r>
            </w:hyperlink>
            <w:r w:rsidRPr="00E50E7A">
              <w:t xml:space="preserve"> section of this PGD </w:t>
            </w:r>
          </w:p>
          <w:p w14:paraId="1A105CC5" w14:textId="544E9851" w:rsidR="00DC6BCF" w:rsidRPr="00E170C1" w:rsidRDefault="00E170C1" w:rsidP="00675BFB">
            <w:pPr>
              <w:pStyle w:val="NormalWeb"/>
              <w:spacing w:before="0" w:beforeAutospacing="0" w:after="0" w:afterAutospacing="0"/>
              <w:rPr>
                <w:rFonts w:ascii="Arial" w:hAnsi="Arial" w:cs="Arial"/>
                <w:iCs/>
                <w:sz w:val="22"/>
                <w:szCs w:val="22"/>
              </w:rPr>
            </w:pPr>
            <w:r>
              <w:rPr>
                <w:rFonts w:ascii="Arial" w:hAnsi="Arial" w:cs="Arial"/>
                <w:sz w:val="22"/>
                <w:szCs w:val="22"/>
                <w:vertAlign w:val="superscript"/>
              </w:rPr>
              <w:t xml:space="preserve">1 </w:t>
            </w:r>
            <w:r w:rsidR="00DC6BCF" w:rsidRPr="00E170C1">
              <w:rPr>
                <w:rFonts w:ascii="Arial" w:hAnsi="Arial" w:cs="Arial"/>
                <w:sz w:val="22"/>
                <w:szCs w:val="22"/>
              </w:rPr>
              <w:t xml:space="preserve">A reduction in eGFR of 15ml/min in the past 12 months or 25% reduction in eGFR in the past 12 months (definition as </w:t>
            </w:r>
            <w:r w:rsidR="00DC6BCF" w:rsidRPr="00E170C1">
              <w:rPr>
                <w:rStyle w:val="Hyperlink"/>
                <w:rFonts w:ascii="Arial" w:hAnsi="Arial" w:cs="Arial"/>
                <w:sz w:val="22"/>
                <w:szCs w:val="22"/>
              </w:rPr>
              <w:t xml:space="preserve">per </w:t>
            </w:r>
            <w:hyperlink r:id="rId23" w:history="1">
              <w:r w:rsidR="00DC6BCF" w:rsidRPr="00E170C1">
                <w:rPr>
                  <w:rStyle w:val="Hyperlink"/>
                  <w:rFonts w:ascii="Arial" w:hAnsi="Arial" w:cs="Arial"/>
                  <w:sz w:val="22"/>
                  <w:szCs w:val="22"/>
                </w:rPr>
                <w:t>NHS England commissioning policy</w:t>
              </w:r>
            </w:hyperlink>
            <w:r w:rsidR="00DC6BCF" w:rsidRPr="00E170C1">
              <w:rPr>
                <w:rFonts w:ascii="Arial" w:hAnsi="Arial" w:cs="Arial"/>
                <w:iCs/>
                <w:sz w:val="22"/>
                <w:szCs w:val="22"/>
              </w:rPr>
              <w:t>).</w:t>
            </w:r>
          </w:p>
          <w:p w14:paraId="00C3A07A" w14:textId="77777777" w:rsidR="00DC6BCF" w:rsidRPr="005E4309" w:rsidRDefault="00DC6BCF" w:rsidP="00DC6BCF">
            <w:pPr>
              <w:pStyle w:val="NormalWeb"/>
              <w:spacing w:before="0" w:beforeAutospacing="0" w:after="0" w:afterAutospacing="0"/>
              <w:rPr>
                <w:rFonts w:ascii="Arial" w:hAnsi="Arial" w:cs="Arial"/>
                <w:iCs/>
                <w:sz w:val="22"/>
                <w:szCs w:val="22"/>
              </w:rPr>
            </w:pPr>
          </w:p>
          <w:p w14:paraId="242D0FB3" w14:textId="47A66EE3" w:rsidR="00251D91" w:rsidRPr="00E170C1" w:rsidRDefault="00DC6BCF" w:rsidP="00675BFB">
            <w:pPr>
              <w:pStyle w:val="Tabletext"/>
              <w:spacing w:after="0"/>
              <w:rPr>
                <w:rFonts w:cs="Arial"/>
              </w:rPr>
            </w:pPr>
            <w:r w:rsidRPr="005E4309">
              <w:rPr>
                <w:rFonts w:cs="Arial"/>
                <w:szCs w:val="22"/>
                <w:vertAlign w:val="superscript"/>
              </w:rPr>
              <w:t xml:space="preserve">2 </w:t>
            </w:r>
            <w:r w:rsidRPr="005E4309">
              <w:rPr>
                <w:rFonts w:cs="Arial"/>
                <w:szCs w:val="22"/>
              </w:rPr>
              <w:t xml:space="preserve">Renal </w:t>
            </w:r>
            <w:bookmarkStart w:id="6" w:name="_Int_IAmpmmt0"/>
            <w:proofErr w:type="gramStart"/>
            <w:r w:rsidRPr="005E4309">
              <w:rPr>
                <w:rFonts w:cs="Arial"/>
                <w:szCs w:val="22"/>
              </w:rPr>
              <w:t>toxicity</w:t>
            </w:r>
            <w:bookmarkEnd w:id="6"/>
            <w:proofErr w:type="gramEnd"/>
            <w:r w:rsidRPr="005E4309">
              <w:rPr>
                <w:rFonts w:cs="Arial"/>
                <w:szCs w:val="22"/>
              </w:rPr>
              <w:t xml:space="preserve"> </w:t>
            </w:r>
            <w:proofErr w:type="gramStart"/>
            <w:r w:rsidRPr="005E4309">
              <w:rPr>
                <w:rFonts w:cs="Arial"/>
                <w:szCs w:val="22"/>
              </w:rPr>
              <w:t>defined</w:t>
            </w:r>
            <w:proofErr w:type="gramEnd"/>
            <w:r w:rsidRPr="005E4309">
              <w:rPr>
                <w:rFonts w:cs="Arial"/>
                <w:szCs w:val="22"/>
              </w:rPr>
              <w:t xml:space="preserve"> as a progressive, sustained decline in renal function or development of renal tubular acidosis, attributable to TD-FTC. Toxicity could also include development or worsening of existing proteinuria without another reversible or explained cause. It is </w:t>
            </w:r>
            <w:r w:rsidRPr="005E4309">
              <w:rPr>
                <w:rFonts w:cs="Arial"/>
                <w:szCs w:val="22"/>
                <w:lang w:val="en-GB"/>
              </w:rPr>
              <w:t xml:space="preserve">expected that PGD users will consult renal specialists if there is diagnostic uncertainty, as per </w:t>
            </w:r>
            <w:hyperlink r:id="rId24">
              <w:r w:rsidRPr="005E4309">
                <w:rPr>
                  <w:rStyle w:val="Hyperlink"/>
                  <w:rFonts w:eastAsiaTheme="minorHAnsi" w:cs="Arial"/>
                  <w:kern w:val="2"/>
                  <w:szCs w:val="22"/>
                  <w:lang w:val="en-GB"/>
                  <w14:ligatures w14:val="standardContextual"/>
                </w:rPr>
                <w:t>NHS England commissioning policy</w:t>
              </w:r>
            </w:hyperlink>
            <w:r w:rsidR="00E170C1" w:rsidRPr="005E4309">
              <w:rPr>
                <w:rFonts w:cs="Arial"/>
                <w:szCs w:val="22"/>
              </w:rPr>
              <w:t>.</w:t>
            </w:r>
          </w:p>
        </w:tc>
      </w:tr>
      <w:tr w:rsidR="00251D91" w14:paraId="2086F951" w14:textId="77777777" w:rsidTr="003F22B7">
        <w:tc>
          <w:tcPr>
            <w:tcW w:w="3566" w:type="dxa"/>
          </w:tcPr>
          <w:p w14:paraId="34F2E318" w14:textId="7E1AEDD6" w:rsidR="00251D91" w:rsidRPr="005A6168" w:rsidRDefault="00251D91" w:rsidP="00251D91">
            <w:pPr>
              <w:rPr>
                <w:rStyle w:val="TableHeaderColumn"/>
              </w:rPr>
            </w:pPr>
            <w:bookmarkStart w:id="7" w:name="Cautions"/>
            <w:r w:rsidRPr="00544444">
              <w:rPr>
                <w:rStyle w:val="TableHeaderColumn"/>
                <w:sz w:val="22"/>
              </w:rPr>
              <w:lastRenderedPageBreak/>
              <w:t>Cautions including any relevant action to be taken</w:t>
            </w:r>
            <w:bookmarkEnd w:id="7"/>
          </w:p>
        </w:tc>
        <w:tc>
          <w:tcPr>
            <w:tcW w:w="4929" w:type="dxa"/>
          </w:tcPr>
          <w:p w14:paraId="3D51B928" w14:textId="629DDB50" w:rsidR="0016302D" w:rsidRPr="005E4309" w:rsidRDefault="00D74F3D" w:rsidP="0016302D">
            <w:pPr>
              <w:pStyle w:val="Bulletindent1"/>
              <w:rPr>
                <w:bCs/>
              </w:rPr>
            </w:pPr>
            <w:r w:rsidRPr="00C4570D">
              <w:rPr>
                <w:bCs/>
                <w:highlight w:val="cyan"/>
              </w:rPr>
              <w:t>[</w:t>
            </w:r>
            <w:r w:rsidR="0016302D" w:rsidRPr="00D74F3D">
              <w:rPr>
                <w:bCs/>
                <w:highlight w:val="cyan"/>
              </w:rPr>
              <w:t>If a combined HIV fourth-generation antigen/antibody test result in the last 45 days (initiation) or 6 months (continuation) is</w:t>
            </w:r>
            <w:r w:rsidR="0016302D" w:rsidRPr="00D74F3D">
              <w:rPr>
                <w:b/>
                <w:highlight w:val="cyan"/>
              </w:rPr>
              <w:t xml:space="preserve"> not available on the day</w:t>
            </w:r>
            <w:r w:rsidR="0016302D" w:rsidRPr="00D74F3D">
              <w:rPr>
                <w:highlight w:val="cyan"/>
              </w:rPr>
              <w:t xml:space="preserve"> then a non-reactive rapid blood-based HIV POCT is </w:t>
            </w:r>
            <w:r w:rsidR="0016302D" w:rsidRPr="00D74F3D">
              <w:rPr>
                <w:i/>
                <w:iCs/>
                <w:highlight w:val="cyan"/>
              </w:rPr>
              <w:t>advisable</w:t>
            </w:r>
            <w:r w:rsidR="0016302D" w:rsidRPr="00D74F3D">
              <w:rPr>
                <w:highlight w:val="cyan"/>
              </w:rPr>
              <w:t xml:space="preserve"> on the day of PrEP initiation and a laboratory HIV fourth-generation antigen/antibody test </w:t>
            </w:r>
            <w:r w:rsidR="0016302D" w:rsidRPr="00D74F3D">
              <w:rPr>
                <w:b/>
                <w:bCs/>
                <w:highlight w:val="cyan"/>
              </w:rPr>
              <w:t>must</w:t>
            </w:r>
            <w:r w:rsidR="0016302D" w:rsidRPr="00D74F3D">
              <w:rPr>
                <w:highlight w:val="cyan"/>
              </w:rPr>
              <w:t xml:space="preserve"> be sent on the day; PrEP can be supplied, assuming all other criteria are met, but the result must be reviewed as soon as possible</w:t>
            </w:r>
            <w:r w:rsidRPr="00C4570D">
              <w:rPr>
                <w:highlight w:val="cyan"/>
              </w:rPr>
              <w:t>]</w:t>
            </w:r>
          </w:p>
          <w:p w14:paraId="03390941" w14:textId="77777777" w:rsidR="0016302D" w:rsidRPr="0016302D" w:rsidRDefault="0016302D" w:rsidP="0016302D">
            <w:pPr>
              <w:pStyle w:val="Bulletindent1"/>
              <w:rPr>
                <w:rStyle w:val="Hyperlink"/>
                <w:rFonts w:eastAsia="Calibri"/>
              </w:rPr>
            </w:pPr>
            <w:r w:rsidRPr="0016302D">
              <w:t xml:space="preserve">If an individual has had a high-risk exposure to HIV within the 72 hours prior to PrEP initiation, PEP should be considered prior to transitioning to PrEP in line with </w:t>
            </w:r>
            <w:hyperlink r:id="rId25" w:history="1">
              <w:r w:rsidRPr="0016302D">
                <w:rPr>
                  <w:rStyle w:val="Hyperlink"/>
                  <w:rFonts w:eastAsia="Calibri"/>
                </w:rPr>
                <w:t>BASHH/BHIVA H</w:t>
              </w:r>
              <w:r w:rsidRPr="0016302D">
                <w:rPr>
                  <w:rStyle w:val="Hyperlink"/>
                  <w:rFonts w:eastAsia="Calibri"/>
                </w:rPr>
                <w:t>I</w:t>
              </w:r>
              <w:r w:rsidRPr="0016302D">
                <w:rPr>
                  <w:rStyle w:val="Hyperlink"/>
                  <w:rFonts w:eastAsia="Calibri"/>
                </w:rPr>
                <w:t>V PrEP guidance</w:t>
              </w:r>
            </w:hyperlink>
            <w:r w:rsidRPr="0016302D">
              <w:rPr>
                <w:rStyle w:val="Hyperlink"/>
                <w:rFonts w:eastAsia="Arial"/>
              </w:rPr>
              <w:t>.</w:t>
            </w:r>
          </w:p>
          <w:p w14:paraId="3E24AE4C" w14:textId="77777777" w:rsidR="0016302D" w:rsidRPr="0016302D" w:rsidRDefault="0016302D" w:rsidP="0016302D">
            <w:pPr>
              <w:pStyle w:val="Bulletindent1"/>
            </w:pPr>
            <w:r w:rsidRPr="0016302D">
              <w:rPr>
                <w:bCs/>
              </w:rPr>
              <w:t xml:space="preserve">Ongoing monitoring as per local pathway, in line with </w:t>
            </w:r>
            <w:hyperlink r:id="rId26" w:history="1">
              <w:r w:rsidRPr="0016302D">
                <w:rPr>
                  <w:rStyle w:val="Hyperlink"/>
                  <w:rFonts w:eastAsia="Calibri"/>
                </w:rPr>
                <w:t>BASHH</w:t>
              </w:r>
              <w:r w:rsidRPr="0016302D">
                <w:rPr>
                  <w:rStyle w:val="Hyperlink"/>
                  <w:rFonts w:eastAsia="Calibri"/>
                </w:rPr>
                <w:t>/</w:t>
              </w:r>
              <w:r w:rsidRPr="0016302D">
                <w:rPr>
                  <w:rStyle w:val="Hyperlink"/>
                  <w:rFonts w:eastAsia="Calibri"/>
                </w:rPr>
                <w:t>BHIVA HIV PrEP guidance</w:t>
              </w:r>
            </w:hyperlink>
            <w:r w:rsidRPr="0016302D">
              <w:rPr>
                <w:rStyle w:val="Hyperlink"/>
                <w:rFonts w:eastAsia="Calibri"/>
              </w:rPr>
              <w:t>.</w:t>
            </w:r>
          </w:p>
          <w:p w14:paraId="203F6F7B" w14:textId="77777777" w:rsidR="0016302D" w:rsidRPr="0016302D" w:rsidRDefault="0016302D" w:rsidP="0016302D">
            <w:pPr>
              <w:pStyle w:val="Bulletindent1"/>
            </w:pPr>
            <w:r w:rsidRPr="0016302D">
              <w:t>Individuals with an eGFR at baseline &lt; 90 ml/min/1.73m</w:t>
            </w:r>
            <w:r w:rsidRPr="0016302D">
              <w:rPr>
                <w:vertAlign w:val="superscript"/>
              </w:rPr>
              <w:t>2</w:t>
            </w:r>
            <w:r w:rsidRPr="0016302D">
              <w:t xml:space="preserve"> should be managed in line with </w:t>
            </w:r>
            <w:hyperlink r:id="rId27" w:history="1">
              <w:r w:rsidRPr="0016302D">
                <w:rPr>
                  <w:rStyle w:val="Hyperlink"/>
                  <w:rFonts w:eastAsia="Calibri"/>
                </w:rPr>
                <w:t>BASHH/BHIVA HI</w:t>
              </w:r>
              <w:r w:rsidRPr="0016302D">
                <w:rPr>
                  <w:rStyle w:val="Hyperlink"/>
                  <w:rFonts w:eastAsia="Calibri"/>
                </w:rPr>
                <w:t>V</w:t>
              </w:r>
              <w:r w:rsidRPr="0016302D">
                <w:rPr>
                  <w:rStyle w:val="Hyperlink"/>
                  <w:rFonts w:eastAsia="Calibri"/>
                </w:rPr>
                <w:t xml:space="preserve"> PrEP guidance</w:t>
              </w:r>
            </w:hyperlink>
            <w:r w:rsidRPr="0016302D">
              <w:t>.</w:t>
            </w:r>
          </w:p>
          <w:p w14:paraId="3CA4924F" w14:textId="77777777" w:rsidR="0016302D" w:rsidRPr="0016302D" w:rsidRDefault="0016302D" w:rsidP="0016302D">
            <w:pPr>
              <w:pStyle w:val="Bulletindent1"/>
            </w:pPr>
            <w:r w:rsidRPr="0016302D">
              <w:rPr>
                <w:bCs/>
              </w:rPr>
              <w:t xml:space="preserve">Individuals aged ≥50 years and/or with risk factors for osteoporosis should have a fracture risk calculated (using </w:t>
            </w:r>
            <w:proofErr w:type="spellStart"/>
            <w:r w:rsidRPr="0016302D">
              <w:rPr>
                <w:bCs/>
              </w:rPr>
              <w:t>QFracture</w:t>
            </w:r>
            <w:proofErr w:type="spellEnd"/>
            <w:r w:rsidRPr="0016302D">
              <w:rPr>
                <w:bCs/>
                <w:vertAlign w:val="superscript"/>
              </w:rPr>
              <w:t>®</w:t>
            </w:r>
            <w:r w:rsidRPr="0016302D">
              <w:rPr>
                <w:bCs/>
              </w:rPr>
              <w:t xml:space="preserve"> or FRAX</w:t>
            </w:r>
            <w:r w:rsidRPr="0016302D">
              <w:rPr>
                <w:bCs/>
                <w:vertAlign w:val="superscript"/>
              </w:rPr>
              <w:t>®</w:t>
            </w:r>
            <w:r w:rsidRPr="0016302D">
              <w:rPr>
                <w:bCs/>
              </w:rPr>
              <w:t xml:space="preserve">): those at high risk should be referred to a prescriber for consideration of non-TD-based </w:t>
            </w:r>
            <w:proofErr w:type="spellStart"/>
            <w:r w:rsidRPr="0016302D">
              <w:rPr>
                <w:bCs/>
              </w:rPr>
              <w:t>PrEP.</w:t>
            </w:r>
            <w:proofErr w:type="spellEnd"/>
          </w:p>
          <w:p w14:paraId="108DA543" w14:textId="77777777" w:rsidR="0016302D" w:rsidRPr="0016302D" w:rsidRDefault="0016302D" w:rsidP="0016302D">
            <w:pPr>
              <w:pStyle w:val="Bulletindent1"/>
              <w:rPr>
                <w:iCs/>
              </w:rPr>
            </w:pPr>
            <w:r w:rsidRPr="0016302D">
              <w:rPr>
                <w:iCs/>
              </w:rPr>
              <w:t xml:space="preserve">Individuals with impaired absorption of oral medications (e.g. due to malabsorption or bariatric surgery etc.) </w:t>
            </w:r>
            <w:r w:rsidRPr="0016302D">
              <w:t xml:space="preserve">see </w:t>
            </w:r>
            <w:hyperlink r:id="rId28" w:history="1">
              <w:r w:rsidRPr="0016302D">
                <w:rPr>
                  <w:rStyle w:val="Hyperlink"/>
                  <w:rFonts w:eastAsia="Calibri"/>
                </w:rPr>
                <w:t>BASHH/BHIVA HIV PrEP guidance</w:t>
              </w:r>
            </w:hyperlink>
            <w:r w:rsidRPr="0016302D">
              <w:rPr>
                <w:bCs/>
              </w:rPr>
              <w:t xml:space="preserve"> for further information. </w:t>
            </w:r>
          </w:p>
          <w:p w14:paraId="2509B689" w14:textId="77777777" w:rsidR="0016302D" w:rsidRPr="0016302D" w:rsidRDefault="0016302D" w:rsidP="0016302D">
            <w:pPr>
              <w:pStyle w:val="Bulletindent1"/>
            </w:pPr>
            <w:r w:rsidRPr="0016302D">
              <w:t>If treatment is interrupted, discontinued or poor adherence is reported then treat as a new episode of care under the PGD having reviewed inclusion/exclusion criteria</w:t>
            </w:r>
          </w:p>
          <w:p w14:paraId="00AC6C48" w14:textId="77777777" w:rsidR="0016302D" w:rsidRPr="0016302D" w:rsidRDefault="0016302D" w:rsidP="0016302D">
            <w:pPr>
              <w:pStyle w:val="Bulletindent1"/>
            </w:pPr>
            <w:r w:rsidRPr="0016302D">
              <w:t xml:space="preserve">Discuss with a prescriber regarding conditions/medicines/side effects of which the health care professional is unsure. </w:t>
            </w:r>
          </w:p>
          <w:p w14:paraId="64FEDD91" w14:textId="71C2B6B5" w:rsidR="00251D91" w:rsidRDefault="0016302D" w:rsidP="0016302D">
            <w:pPr>
              <w:pStyle w:val="Bulletindent1"/>
            </w:pPr>
            <w:r w:rsidRPr="0016302D">
              <w:t xml:space="preserve">In the event of dose modifications, interruptions, overdoses and treatment discontinuations, a prescriber should be </w:t>
            </w:r>
            <w:r w:rsidRPr="0016302D">
              <w:rPr>
                <w:lang w:val="en-US"/>
              </w:rPr>
              <w:lastRenderedPageBreak/>
              <w:t>notified, and the individual managed according to the current local guidelines.</w:t>
            </w:r>
          </w:p>
        </w:tc>
      </w:tr>
      <w:tr w:rsidR="0016302D" w14:paraId="6E35D52F" w14:textId="77777777" w:rsidTr="003F22B7">
        <w:tc>
          <w:tcPr>
            <w:tcW w:w="3566" w:type="dxa"/>
          </w:tcPr>
          <w:p w14:paraId="2A1A67A5" w14:textId="3EE498CE" w:rsidR="0016302D" w:rsidRPr="0016302D" w:rsidRDefault="0016302D" w:rsidP="00251D91">
            <w:pPr>
              <w:rPr>
                <w:rStyle w:val="TableHeaderColumn"/>
                <w:sz w:val="22"/>
              </w:rPr>
            </w:pPr>
            <w:r w:rsidRPr="0016302D">
              <w:rPr>
                <w:rStyle w:val="TableHeaderColumn"/>
                <w:sz w:val="22"/>
              </w:rPr>
              <w:lastRenderedPageBreak/>
              <w:t>Specific information to be provided</w:t>
            </w:r>
          </w:p>
        </w:tc>
        <w:tc>
          <w:tcPr>
            <w:tcW w:w="4929" w:type="dxa"/>
          </w:tcPr>
          <w:p w14:paraId="21122047" w14:textId="4AAD370D" w:rsidR="0016302D" w:rsidRDefault="0016302D" w:rsidP="0016302D">
            <w:pPr>
              <w:pStyle w:val="Tabletext"/>
              <w:rPr>
                <w:rFonts w:eastAsia="Arial" w:cs="Arial"/>
                <w:szCs w:val="22"/>
              </w:rPr>
            </w:pPr>
            <w:r w:rsidRPr="0016302D">
              <w:t>PrEP should be offered as part of a package of care which includes comprehensive sexual and reproductive healthcare services.</w:t>
            </w:r>
          </w:p>
          <w:p w14:paraId="4F6D02F5" w14:textId="77777777" w:rsidR="0016302D" w:rsidRDefault="0016302D" w:rsidP="0016302D">
            <w:pPr>
              <w:pStyle w:val="Bulletindent1"/>
              <w:rPr>
                <w:rFonts w:eastAsia="Arial"/>
              </w:rPr>
            </w:pPr>
            <w:r w:rsidRPr="00C977CF">
              <w:rPr>
                <w:rFonts w:eastAsia="Arial"/>
                <w:b/>
                <w:bCs/>
              </w:rPr>
              <w:t>Pregnancy or suspected pregnancy:</w:t>
            </w:r>
            <w:r>
              <w:rPr>
                <w:rFonts w:eastAsia="Arial"/>
                <w:b/>
                <w:bCs/>
              </w:rPr>
              <w:t xml:space="preserve"> </w:t>
            </w:r>
            <w:r w:rsidRPr="007D7346">
              <w:rPr>
                <w:rFonts w:eastAsia="Arial"/>
              </w:rPr>
              <w:t xml:space="preserve">The benefits of preventing HIV acquisition in pregnancy greatly outweigh any potential negative consequences for the </w:t>
            </w:r>
            <w:r>
              <w:rPr>
                <w:rFonts w:eastAsia="Arial"/>
              </w:rPr>
              <w:t>parent</w:t>
            </w:r>
            <w:r w:rsidRPr="007D7346">
              <w:rPr>
                <w:rFonts w:eastAsia="Arial"/>
              </w:rPr>
              <w:t xml:space="preserve"> or infant.</w:t>
            </w:r>
          </w:p>
          <w:p w14:paraId="3940E452" w14:textId="77777777" w:rsidR="0016302D" w:rsidRPr="0016302D" w:rsidRDefault="0016302D" w:rsidP="0016302D">
            <w:pPr>
              <w:pStyle w:val="Bulletindent1"/>
            </w:pPr>
            <w:r w:rsidRPr="007D7346">
              <w:rPr>
                <w:rFonts w:eastAsia="Arial"/>
                <w:b/>
                <w:bCs/>
              </w:rPr>
              <w:t>Breastfeeding individuals:</w:t>
            </w:r>
            <w:r w:rsidRPr="007D7346">
              <w:rPr>
                <w:rFonts w:eastAsia="Arial"/>
              </w:rPr>
              <w:t xml:space="preserve"> The available evidence suggests that PrEP is safe </w:t>
            </w:r>
            <w:r>
              <w:rPr>
                <w:rFonts w:eastAsia="Arial"/>
              </w:rPr>
              <w:t>in breastfeeding</w:t>
            </w:r>
          </w:p>
          <w:p w14:paraId="5206E96D" w14:textId="16E19B2E" w:rsidR="0016302D" w:rsidRPr="00D07428" w:rsidRDefault="0016302D" w:rsidP="0016302D">
            <w:pPr>
              <w:pStyle w:val="Tabletext"/>
            </w:pPr>
            <w:r w:rsidRPr="0016302D">
              <w:rPr>
                <w:lang w:val="en-GB"/>
              </w:rPr>
              <w:t xml:space="preserve">For further information see: </w:t>
            </w:r>
            <w:hyperlink r:id="rId29" w:history="1">
              <w:r w:rsidRPr="0016302D">
                <w:rPr>
                  <w:rStyle w:val="Hyperlink"/>
                  <w:rFonts w:eastAsia="Calibri"/>
                  <w:lang w:val="en-GB"/>
                </w:rPr>
                <w:t>BASHH/BHIVA HIV PrEP guidance</w:t>
              </w:r>
            </w:hyperlink>
          </w:p>
        </w:tc>
      </w:tr>
      <w:tr w:rsidR="0016302D" w14:paraId="6142EA67" w14:textId="77777777" w:rsidTr="003F22B7">
        <w:tc>
          <w:tcPr>
            <w:tcW w:w="3566" w:type="dxa"/>
          </w:tcPr>
          <w:p w14:paraId="751752A4" w14:textId="1D0EE306" w:rsidR="0016302D" w:rsidRPr="00544444" w:rsidRDefault="0016302D" w:rsidP="0016302D">
            <w:pPr>
              <w:rPr>
                <w:rStyle w:val="TableHeaderColumn"/>
                <w:sz w:val="22"/>
              </w:rPr>
            </w:pPr>
            <w:r w:rsidRPr="00544444">
              <w:rPr>
                <w:rStyle w:val="TableHeaderColumn"/>
                <w:sz w:val="22"/>
              </w:rPr>
              <w:t xml:space="preserve">Actions to be taken if the individual is excluded </w:t>
            </w:r>
            <w:r>
              <w:rPr>
                <w:rStyle w:val="TableHeaderColumn"/>
                <w:sz w:val="22"/>
              </w:rPr>
              <w:t>or declines treatment</w:t>
            </w:r>
          </w:p>
        </w:tc>
        <w:tc>
          <w:tcPr>
            <w:tcW w:w="4929" w:type="dxa"/>
          </w:tcPr>
          <w:p w14:paraId="3C59ACE7" w14:textId="77777777" w:rsidR="0016302D" w:rsidRDefault="0016302D" w:rsidP="0016302D">
            <w:pPr>
              <w:pStyle w:val="Bulletindent1"/>
              <w:rPr>
                <w:rFonts w:eastAsia="Calibri"/>
              </w:rPr>
            </w:pPr>
            <w:r w:rsidRPr="00967DC6">
              <w:rPr>
                <w:rFonts w:eastAsia="Calibri"/>
              </w:rPr>
              <w:t xml:space="preserve">If </w:t>
            </w:r>
            <w:r>
              <w:rPr>
                <w:rFonts w:eastAsia="Calibri"/>
              </w:rPr>
              <w:t>an individual declines PrEP,</w:t>
            </w:r>
            <w:r w:rsidRPr="00967DC6">
              <w:rPr>
                <w:rFonts w:eastAsia="Calibri"/>
              </w:rPr>
              <w:t xml:space="preserve"> ensure </w:t>
            </w:r>
            <w:r>
              <w:rPr>
                <w:rFonts w:eastAsia="Calibri"/>
              </w:rPr>
              <w:t xml:space="preserve">they understand why this medication has been offered </w:t>
            </w:r>
            <w:r w:rsidRPr="00967DC6">
              <w:rPr>
                <w:rFonts w:eastAsia="Calibri"/>
              </w:rPr>
              <w:t xml:space="preserve">and the potential consequences of not receiving </w:t>
            </w:r>
            <w:r>
              <w:rPr>
                <w:rFonts w:eastAsia="Calibri"/>
              </w:rPr>
              <w:t>it</w:t>
            </w:r>
            <w:r w:rsidRPr="00967DC6">
              <w:rPr>
                <w:rFonts w:eastAsia="Calibri"/>
              </w:rPr>
              <w:t>.</w:t>
            </w:r>
            <w:r>
              <w:rPr>
                <w:rFonts w:eastAsia="Calibri"/>
              </w:rPr>
              <w:t xml:space="preserve"> Record reason for declining in individual’s medical record.  </w:t>
            </w:r>
          </w:p>
          <w:p w14:paraId="574ADD34" w14:textId="77777777" w:rsidR="0016302D" w:rsidRPr="0016302D" w:rsidRDefault="0016302D" w:rsidP="0016302D">
            <w:pPr>
              <w:pStyle w:val="Bulletindent1"/>
              <w:rPr>
                <w:rFonts w:eastAsia="Calibri"/>
              </w:rPr>
            </w:pPr>
            <w:r w:rsidRPr="0016302D">
              <w:rPr>
                <w:rFonts w:eastAsia="Calibri"/>
              </w:rPr>
              <w:t>If individual tests HIV positive or has an indeterminate HIV test at PrEP initiation or continuation: manage as per local pathway.</w:t>
            </w:r>
          </w:p>
          <w:p w14:paraId="6E150913" w14:textId="77777777" w:rsidR="0016302D" w:rsidRPr="0016302D" w:rsidRDefault="0016302D" w:rsidP="0016302D">
            <w:pPr>
              <w:pStyle w:val="Bulletindent1"/>
              <w:rPr>
                <w:rFonts w:eastAsia="Calibri"/>
              </w:rPr>
            </w:pPr>
            <w:r w:rsidRPr="0016302D">
              <w:rPr>
                <w:rFonts w:eastAsia="Calibri"/>
              </w:rPr>
              <w:t>If recent HIV seroconversion is suspected, defer initiation of PrEP until HIV infection has been excluded:</w:t>
            </w:r>
          </w:p>
          <w:p w14:paraId="380A2167" w14:textId="77777777" w:rsidR="0016302D" w:rsidRPr="0016302D" w:rsidRDefault="0016302D" w:rsidP="0016302D">
            <w:pPr>
              <w:pStyle w:val="Bulletindent1"/>
              <w:numPr>
                <w:ilvl w:val="1"/>
                <w:numId w:val="15"/>
              </w:numPr>
              <w:rPr>
                <w:rFonts w:eastAsia="Calibri"/>
              </w:rPr>
            </w:pPr>
            <w:r w:rsidRPr="0016302D">
              <w:rPr>
                <w:rFonts w:eastAsia="Calibri"/>
              </w:rPr>
              <w:t xml:space="preserve">If the individual tests HIV negative, can proceed under PGD </w:t>
            </w:r>
          </w:p>
          <w:p w14:paraId="77B03DDD" w14:textId="77777777" w:rsidR="0016302D" w:rsidRPr="0016302D" w:rsidRDefault="0016302D" w:rsidP="0016302D">
            <w:pPr>
              <w:pStyle w:val="Bulletindent1"/>
              <w:numPr>
                <w:ilvl w:val="1"/>
                <w:numId w:val="15"/>
              </w:numPr>
              <w:rPr>
                <w:rFonts w:eastAsia="Calibri"/>
              </w:rPr>
            </w:pPr>
            <w:r w:rsidRPr="0016302D">
              <w:rPr>
                <w:rFonts w:eastAsia="Calibri"/>
              </w:rPr>
              <w:t>If the individual tests positive, refer to HIV services as per local pathway</w:t>
            </w:r>
          </w:p>
          <w:p w14:paraId="3F423222" w14:textId="77777777" w:rsidR="0016302D" w:rsidRPr="0016302D" w:rsidRDefault="0016302D" w:rsidP="0016302D">
            <w:pPr>
              <w:pStyle w:val="Bulletindent1"/>
              <w:rPr>
                <w:rFonts w:eastAsia="Calibri"/>
              </w:rPr>
            </w:pPr>
            <w:r w:rsidRPr="0016302D">
              <w:rPr>
                <w:rFonts w:eastAsia="Calibri"/>
              </w:rPr>
              <w:t>If currently showing symptoms of HIV seroconversion - refer to the appropriate prescriber</w:t>
            </w:r>
          </w:p>
          <w:p w14:paraId="698A1D16" w14:textId="77777777" w:rsidR="0016302D" w:rsidRPr="0016302D" w:rsidRDefault="0016302D" w:rsidP="0016302D">
            <w:pPr>
              <w:pStyle w:val="Bulletindent1"/>
              <w:rPr>
                <w:rFonts w:eastAsia="Calibri"/>
              </w:rPr>
            </w:pPr>
            <w:r w:rsidRPr="0016302D">
              <w:rPr>
                <w:rFonts w:eastAsia="Calibri"/>
              </w:rPr>
              <w:t xml:space="preserve">If a HIV test is reactive/positive whilst taking PrEP, perform confirmatory serology with a combined antigen / antibody test, HIV viral load and resistance testing. Refer to HIV service urgently as per local pathway for intensification of HIV treatment. </w:t>
            </w:r>
          </w:p>
          <w:p w14:paraId="728AD3EB" w14:textId="77777777" w:rsidR="0016302D" w:rsidRPr="0016302D" w:rsidRDefault="0016302D" w:rsidP="0016302D">
            <w:pPr>
              <w:pStyle w:val="Bulletindent1"/>
              <w:rPr>
                <w:rFonts w:eastAsia="Calibri"/>
              </w:rPr>
            </w:pPr>
            <w:r w:rsidRPr="0016302D">
              <w:rPr>
                <w:rFonts w:eastAsia="Calibri"/>
              </w:rPr>
              <w:t xml:space="preserve">Individuals with acute or chronic hepatitis B should be referred to a </w:t>
            </w:r>
            <w:r w:rsidRPr="0016302D">
              <w:rPr>
                <w:rFonts w:eastAsia="Calibri"/>
              </w:rPr>
              <w:lastRenderedPageBreak/>
              <w:t>prescriber and are excluded from being treated under this PGD.</w:t>
            </w:r>
          </w:p>
          <w:p w14:paraId="52F0D309" w14:textId="77777777" w:rsidR="0016302D" w:rsidRPr="0016302D" w:rsidRDefault="0016302D" w:rsidP="0016302D">
            <w:pPr>
              <w:pStyle w:val="Bulletindent1"/>
              <w:rPr>
                <w:rFonts w:eastAsia="Calibri"/>
              </w:rPr>
            </w:pPr>
            <w:r w:rsidRPr="0016302D">
              <w:rPr>
                <w:rFonts w:eastAsia="Calibri"/>
              </w:rPr>
              <w:t>If excluded, explain the reasons for exclusion to the individual and document in the individual’s medical record</w:t>
            </w:r>
          </w:p>
          <w:p w14:paraId="7BDCD310" w14:textId="77777777" w:rsidR="0016302D" w:rsidRPr="0016302D" w:rsidRDefault="0016302D" w:rsidP="0016302D">
            <w:pPr>
              <w:pStyle w:val="Bulletindent1"/>
              <w:rPr>
                <w:rFonts w:eastAsia="Calibri"/>
              </w:rPr>
            </w:pPr>
            <w:r w:rsidRPr="0016302D">
              <w:rPr>
                <w:rFonts w:eastAsia="Calibri"/>
              </w:rPr>
              <w:t>Where required, refer the individual to a suitable health service provider if appropriate and/or provide them with information about further options</w:t>
            </w:r>
          </w:p>
          <w:p w14:paraId="619A0200" w14:textId="77777777" w:rsidR="0016302D" w:rsidRPr="0016302D" w:rsidRDefault="0016302D" w:rsidP="0016302D">
            <w:pPr>
              <w:pStyle w:val="Bulletindent1"/>
              <w:rPr>
                <w:rFonts w:eastAsia="Calibri"/>
              </w:rPr>
            </w:pPr>
            <w:r w:rsidRPr="0016302D">
              <w:rPr>
                <w:rFonts w:eastAsia="Calibri"/>
              </w:rPr>
              <w:t xml:space="preserve">Individuals who should be referred to a prescriber for consideration of non-TD-based PrEP (see </w:t>
            </w:r>
            <w:hyperlink r:id="rId30" w:history="1">
              <w:r w:rsidRPr="0088215D">
                <w:rPr>
                  <w:rStyle w:val="Hyperlink"/>
                  <w:rFonts w:eastAsia="Calibri"/>
                </w:rPr>
                <w:t>NHSE commissioning policy</w:t>
              </w:r>
            </w:hyperlink>
            <w:r w:rsidRPr="0016302D">
              <w:rPr>
                <w:rStyle w:val="Hyperlink"/>
                <w:rFonts w:ascii="Times New Roman" w:eastAsiaTheme="minorHAnsi" w:hAnsi="Times New Roman"/>
                <w:kern w:val="2"/>
                <w:szCs w:val="22"/>
                <w14:ligatures w14:val="standardContextual"/>
              </w:rPr>
              <w:t xml:space="preserve"> </w:t>
            </w:r>
            <w:r w:rsidRPr="0016302D">
              <w:rPr>
                <w:rFonts w:eastAsia="Calibri"/>
              </w:rPr>
              <w:t>for further information)</w:t>
            </w:r>
          </w:p>
          <w:p w14:paraId="6C4B9722" w14:textId="77777777" w:rsidR="0016302D" w:rsidRDefault="0016302D" w:rsidP="0088215D">
            <w:pPr>
              <w:pStyle w:val="Bulletindent1"/>
              <w:numPr>
                <w:ilvl w:val="1"/>
                <w:numId w:val="15"/>
              </w:numPr>
              <w:rPr>
                <w:rFonts w:eastAsia="Calibri"/>
              </w:rPr>
            </w:pPr>
            <w:r>
              <w:rPr>
                <w:rFonts w:eastAsia="Calibri"/>
              </w:rPr>
              <w:t>Individuals under 18 years of age</w:t>
            </w:r>
          </w:p>
          <w:p w14:paraId="2AF1EB17" w14:textId="77777777" w:rsidR="0016302D" w:rsidRPr="00A577D2" w:rsidRDefault="0016302D" w:rsidP="0088215D">
            <w:pPr>
              <w:pStyle w:val="Bulletindent1"/>
              <w:numPr>
                <w:ilvl w:val="1"/>
                <w:numId w:val="15"/>
              </w:numPr>
              <w:rPr>
                <w:rFonts w:eastAsia="Arial"/>
              </w:rPr>
            </w:pPr>
            <w:r>
              <w:rPr>
                <w:rFonts w:eastAsia="Arial"/>
                <w:position w:val="-1"/>
              </w:rPr>
              <w:t>Individuals with k</w:t>
            </w:r>
            <w:r w:rsidRPr="002D29AE">
              <w:rPr>
                <w:rFonts w:eastAsia="Arial"/>
                <w:position w:val="-1"/>
              </w:rPr>
              <w:t>nown</w:t>
            </w:r>
            <w:r>
              <w:rPr>
                <w:rFonts w:eastAsia="Arial"/>
                <w:position w:val="-1"/>
              </w:rPr>
              <w:t xml:space="preserve"> or suspected</w:t>
            </w:r>
            <w:r w:rsidRPr="002D29AE">
              <w:rPr>
                <w:rFonts w:eastAsia="Arial"/>
                <w:position w:val="-1"/>
              </w:rPr>
              <w:t xml:space="preserve"> chronic kidney disease </w:t>
            </w:r>
            <w:r>
              <w:rPr>
                <w:rFonts w:eastAsia="Arial"/>
                <w:position w:val="-1"/>
              </w:rPr>
              <w:t xml:space="preserve">(CKD) </w:t>
            </w:r>
            <w:r w:rsidRPr="002D29AE">
              <w:rPr>
                <w:rFonts w:eastAsia="Arial"/>
                <w:position w:val="-1"/>
              </w:rPr>
              <w:t>stage</w:t>
            </w:r>
            <w:r>
              <w:rPr>
                <w:rFonts w:eastAsia="Arial"/>
                <w:position w:val="-1"/>
              </w:rPr>
              <w:t>s</w:t>
            </w:r>
            <w:r w:rsidRPr="002D29AE">
              <w:rPr>
                <w:rFonts w:eastAsia="Arial"/>
                <w:position w:val="-1"/>
              </w:rPr>
              <w:t xml:space="preserve"> 3</w:t>
            </w:r>
            <w:r>
              <w:rPr>
                <w:rFonts w:eastAsia="Arial"/>
                <w:position w:val="-1"/>
              </w:rPr>
              <w:t xml:space="preserve">, 4 or </w:t>
            </w:r>
            <w:r w:rsidRPr="002D29AE">
              <w:rPr>
                <w:rFonts w:eastAsia="Arial"/>
                <w:position w:val="-1"/>
              </w:rPr>
              <w:t xml:space="preserve">5 (eGFR </w:t>
            </w:r>
            <w:r>
              <w:rPr>
                <w:rFonts w:eastAsia="Arial"/>
                <w:position w:val="-1"/>
              </w:rPr>
              <w:t xml:space="preserve">&lt; </w:t>
            </w:r>
            <w:r w:rsidRPr="002D29AE">
              <w:rPr>
                <w:rFonts w:eastAsia="Arial"/>
                <w:position w:val="-1"/>
              </w:rPr>
              <w:t>60ml/min</w:t>
            </w:r>
            <w:r>
              <w:rPr>
                <w:rFonts w:eastAsia="Arial"/>
                <w:position w:val="-1"/>
              </w:rPr>
              <w:t>/1.73m</w:t>
            </w:r>
            <w:r w:rsidRPr="00D353DE">
              <w:rPr>
                <w:rFonts w:eastAsia="Arial"/>
                <w:position w:val="-1"/>
                <w:vertAlign w:val="superscript"/>
              </w:rPr>
              <w:t>2</w:t>
            </w:r>
            <w:r w:rsidRPr="002D29AE">
              <w:rPr>
                <w:rFonts w:eastAsia="Arial"/>
                <w:position w:val="-1"/>
              </w:rPr>
              <w:t>)</w:t>
            </w:r>
          </w:p>
          <w:p w14:paraId="1DD48F06" w14:textId="77777777" w:rsidR="0016302D" w:rsidRPr="00A577D2" w:rsidRDefault="0016302D" w:rsidP="0088215D">
            <w:pPr>
              <w:pStyle w:val="Bulletindent1"/>
              <w:numPr>
                <w:ilvl w:val="1"/>
                <w:numId w:val="15"/>
              </w:numPr>
              <w:rPr>
                <w:rFonts w:eastAsia="Arial"/>
              </w:rPr>
            </w:pPr>
            <w:r>
              <w:rPr>
                <w:rFonts w:eastAsia="Arial"/>
                <w:position w:val="-1"/>
              </w:rPr>
              <w:t>Individuals with an eGFR ≥60ml/min/1.73 m</w:t>
            </w:r>
            <w:r w:rsidRPr="00D353DE">
              <w:rPr>
                <w:rFonts w:eastAsia="Arial"/>
                <w:position w:val="-1"/>
                <w:vertAlign w:val="superscript"/>
              </w:rPr>
              <w:t>2</w:t>
            </w:r>
            <w:r>
              <w:rPr>
                <w:rFonts w:eastAsia="Arial"/>
                <w:position w:val="-1"/>
                <w:vertAlign w:val="superscript"/>
              </w:rPr>
              <w:t xml:space="preserve"> </w:t>
            </w:r>
            <w:r w:rsidRPr="00A577D2">
              <w:rPr>
                <w:rFonts w:eastAsia="Arial"/>
                <w:b/>
                <w:bCs/>
                <w:position w:val="-1"/>
              </w:rPr>
              <w:t>AND</w:t>
            </w:r>
          </w:p>
          <w:p w14:paraId="7E7F9F75" w14:textId="77777777" w:rsidR="0016302D" w:rsidRPr="00A577D2" w:rsidRDefault="0016302D" w:rsidP="0088215D">
            <w:pPr>
              <w:pStyle w:val="Bulletindent1"/>
              <w:numPr>
                <w:ilvl w:val="2"/>
                <w:numId w:val="15"/>
              </w:numPr>
              <w:rPr>
                <w:rFonts w:eastAsia="Arial"/>
              </w:rPr>
            </w:pPr>
            <w:r>
              <w:rPr>
                <w:rFonts w:eastAsia="Arial"/>
              </w:rPr>
              <w:t xml:space="preserve">A progressive reduction in eGFR </w:t>
            </w:r>
            <w:r>
              <w:rPr>
                <w:rFonts w:eastAsia="Arial"/>
                <w:vertAlign w:val="superscript"/>
              </w:rPr>
              <w:t>1</w:t>
            </w:r>
            <w:r>
              <w:rPr>
                <w:rFonts w:eastAsia="Arial"/>
              </w:rPr>
              <w:t xml:space="preserve"> on TD-FTC </w:t>
            </w:r>
            <w:r w:rsidRPr="00A577D2">
              <w:rPr>
                <w:rFonts w:eastAsia="Arial"/>
                <w:b/>
                <w:bCs/>
              </w:rPr>
              <w:t>AND</w:t>
            </w:r>
          </w:p>
          <w:p w14:paraId="01155A3F" w14:textId="77777777" w:rsidR="0016302D" w:rsidRPr="00A577D2" w:rsidRDefault="0016302D" w:rsidP="0088215D">
            <w:pPr>
              <w:pStyle w:val="Bulletindent1"/>
              <w:numPr>
                <w:ilvl w:val="2"/>
                <w:numId w:val="15"/>
              </w:numPr>
              <w:rPr>
                <w:rFonts w:eastAsia="Arial"/>
              </w:rPr>
            </w:pPr>
            <w:r>
              <w:rPr>
                <w:rFonts w:eastAsia="Arial"/>
              </w:rPr>
              <w:t xml:space="preserve">Significant concurrent medical issues </w:t>
            </w:r>
            <w:r w:rsidRPr="00A577D2">
              <w:rPr>
                <w:rFonts w:eastAsia="Arial"/>
                <w:b/>
              </w:rPr>
              <w:t xml:space="preserve">OR </w:t>
            </w:r>
            <w:r>
              <w:rPr>
                <w:rFonts w:eastAsia="Arial"/>
              </w:rPr>
              <w:t>monitoring/prescribing concerns with TD-FTC</w:t>
            </w:r>
          </w:p>
          <w:p w14:paraId="2B33D76A" w14:textId="77777777" w:rsidR="0016302D" w:rsidRPr="00B972B8" w:rsidRDefault="0016302D" w:rsidP="0088215D">
            <w:pPr>
              <w:pStyle w:val="Bulletindent1"/>
              <w:numPr>
                <w:ilvl w:val="1"/>
                <w:numId w:val="15"/>
              </w:numPr>
              <w:rPr>
                <w:rFonts w:eastAsia="Arial"/>
              </w:rPr>
            </w:pPr>
            <w:r>
              <w:rPr>
                <w:rFonts w:eastAsia="Arial"/>
              </w:rPr>
              <w:t>Individuals with proven renal toxicity (acute or chronic)</w:t>
            </w:r>
            <w:r>
              <w:rPr>
                <w:rFonts w:eastAsia="Arial"/>
                <w:vertAlign w:val="superscript"/>
              </w:rPr>
              <w:t xml:space="preserve"> 2</w:t>
            </w:r>
            <w:r>
              <w:rPr>
                <w:rFonts w:eastAsia="Arial"/>
              </w:rPr>
              <w:t xml:space="preserve"> with TD-FTC</w:t>
            </w:r>
          </w:p>
          <w:p w14:paraId="1ACA62F4" w14:textId="7EDBBDA5" w:rsidR="0016302D" w:rsidRDefault="0016302D" w:rsidP="0088215D">
            <w:pPr>
              <w:pStyle w:val="Bulletindent1"/>
              <w:numPr>
                <w:ilvl w:val="1"/>
                <w:numId w:val="15"/>
              </w:numPr>
            </w:pPr>
            <w:r>
              <w:rPr>
                <w:rFonts w:eastAsia="Arial" w:cs="Arial"/>
                <w:szCs w:val="22"/>
              </w:rPr>
              <w:t>Individuals with o</w:t>
            </w:r>
            <w:r w:rsidRPr="00E95CED">
              <w:rPr>
                <w:rFonts w:eastAsia="Arial" w:cs="Arial"/>
                <w:szCs w:val="22"/>
              </w:rPr>
              <w:t>st</w:t>
            </w:r>
            <w:r w:rsidRPr="00E95CED">
              <w:rPr>
                <w:rFonts w:eastAsia="Arial" w:cs="Arial"/>
                <w:spacing w:val="1"/>
                <w:szCs w:val="22"/>
              </w:rPr>
              <w:t>eopo</w:t>
            </w:r>
            <w:r w:rsidRPr="006D5AB3">
              <w:rPr>
                <w:rFonts w:eastAsia="Arial" w:cs="Arial"/>
                <w:spacing w:val="-3"/>
                <w:szCs w:val="22"/>
              </w:rPr>
              <w:t>r</w:t>
            </w:r>
            <w:r w:rsidRPr="006D5AB3">
              <w:rPr>
                <w:rFonts w:eastAsia="Arial" w:cs="Arial"/>
                <w:spacing w:val="1"/>
                <w:szCs w:val="22"/>
              </w:rPr>
              <w:t>o</w:t>
            </w:r>
            <w:r w:rsidRPr="006D5AB3">
              <w:rPr>
                <w:rFonts w:eastAsia="Arial" w:cs="Arial"/>
                <w:spacing w:val="-5"/>
                <w:szCs w:val="22"/>
              </w:rPr>
              <w:t>s</w:t>
            </w:r>
            <w:r w:rsidRPr="006D5AB3">
              <w:rPr>
                <w:rFonts w:eastAsia="Arial" w:cs="Arial"/>
                <w:spacing w:val="4"/>
                <w:szCs w:val="22"/>
              </w:rPr>
              <w:t>i</w:t>
            </w:r>
            <w:r w:rsidRPr="006D5AB3">
              <w:rPr>
                <w:rFonts w:eastAsia="Arial" w:cs="Arial"/>
                <w:szCs w:val="22"/>
              </w:rPr>
              <w:t xml:space="preserve">s or </w:t>
            </w:r>
            <w:r>
              <w:rPr>
                <w:rFonts w:eastAsia="Arial" w:cs="Arial"/>
                <w:szCs w:val="22"/>
              </w:rPr>
              <w:t xml:space="preserve">at </w:t>
            </w:r>
            <w:r w:rsidRPr="006D5AB3">
              <w:rPr>
                <w:rFonts w:eastAsia="Arial" w:cs="Arial"/>
                <w:szCs w:val="22"/>
              </w:rPr>
              <w:t>increased risk of facture</w:t>
            </w:r>
          </w:p>
        </w:tc>
      </w:tr>
      <w:tr w:rsidR="0088215D" w14:paraId="7B53BE11" w14:textId="77777777" w:rsidTr="003F22B7">
        <w:tc>
          <w:tcPr>
            <w:tcW w:w="3566" w:type="dxa"/>
          </w:tcPr>
          <w:p w14:paraId="27EF789B" w14:textId="005F2125" w:rsidR="0088215D" w:rsidRPr="0088215D" w:rsidRDefault="0088215D" w:rsidP="0088215D">
            <w:pPr>
              <w:rPr>
                <w:rStyle w:val="TableHeaderColumn"/>
              </w:rPr>
            </w:pPr>
            <w:r w:rsidRPr="0088215D">
              <w:rPr>
                <w:rStyle w:val="TableHeaderColumn"/>
                <w:sz w:val="22"/>
              </w:rPr>
              <w:lastRenderedPageBreak/>
              <w:t>Arrangements for referral for medical advice</w:t>
            </w:r>
          </w:p>
        </w:tc>
        <w:tc>
          <w:tcPr>
            <w:tcW w:w="4929" w:type="dxa"/>
          </w:tcPr>
          <w:p w14:paraId="28F287E2" w14:textId="5A8484C7" w:rsidR="0088215D" w:rsidRPr="00967DC6" w:rsidRDefault="0088215D" w:rsidP="0088215D">
            <w:pPr>
              <w:pStyle w:val="Tabletext"/>
              <w:rPr>
                <w:rFonts w:eastAsia="Calibri"/>
              </w:rPr>
            </w:pPr>
            <w:r w:rsidRPr="0088215D">
              <w:rPr>
                <w:rFonts w:eastAsia="Calibri"/>
              </w:rPr>
              <w:t>Refer to the appropriate medical practitioner in the care pathway</w:t>
            </w:r>
          </w:p>
        </w:tc>
      </w:tr>
    </w:tbl>
    <w:p w14:paraId="33A25EBD" w14:textId="75A4AEE9" w:rsidR="00BB2599" w:rsidRDefault="00BB2599" w:rsidP="005A6168">
      <w:pPr>
        <w:pStyle w:val="PGDNormal"/>
      </w:pPr>
    </w:p>
    <w:p w14:paraId="6AE7A2DE" w14:textId="536012DD" w:rsidR="00E50940" w:rsidRDefault="00E50940">
      <w:pPr>
        <w:spacing w:after="0" w:line="240" w:lineRule="auto"/>
        <w:rPr>
          <w:rFonts w:ascii="Arial" w:eastAsia="Times New Roman" w:hAnsi="Arial" w:cs="Times New Roman"/>
          <w:kern w:val="0"/>
          <w:sz w:val="22"/>
          <w:szCs w:val="20"/>
          <w:lang w:val="en-US"/>
          <w14:ligatures w14:val="none"/>
        </w:rPr>
      </w:pPr>
      <w:r>
        <w:br w:type="page"/>
      </w:r>
    </w:p>
    <w:p w14:paraId="035E86F2" w14:textId="4D5F1530" w:rsidR="007A1448" w:rsidRDefault="00C25DE0" w:rsidP="00BB2C75">
      <w:pPr>
        <w:pStyle w:val="Heading1"/>
      </w:pPr>
      <w:r w:rsidRPr="00DF77C7">
        <w:t>D</w:t>
      </w:r>
      <w:r w:rsidR="007A1448" w:rsidRPr="00DF77C7">
        <w:t>e</w:t>
      </w:r>
      <w:r w:rsidR="003E69CD">
        <w:t>scription of treatment</w:t>
      </w:r>
    </w:p>
    <w:tbl>
      <w:tblPr>
        <w:tblStyle w:val="TableGrid"/>
        <w:tblW w:w="9222"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10;"/>
      </w:tblPr>
      <w:tblGrid>
        <w:gridCol w:w="3566"/>
        <w:gridCol w:w="5656"/>
      </w:tblGrid>
      <w:tr w:rsidR="00165DD9" w14:paraId="2B351AEC" w14:textId="77777777" w:rsidTr="374C1672">
        <w:tc>
          <w:tcPr>
            <w:tcW w:w="3566" w:type="dxa"/>
          </w:tcPr>
          <w:p w14:paraId="6EB1838B" w14:textId="51FA7B9B" w:rsidR="00165DD9" w:rsidRPr="00544444" w:rsidRDefault="00165DD9" w:rsidP="33BB7BE5">
            <w:pPr>
              <w:rPr>
                <w:rStyle w:val="TableHeaderColumn"/>
                <w:sz w:val="22"/>
                <w:szCs w:val="22"/>
              </w:rPr>
            </w:pPr>
            <w:r w:rsidRPr="33BB7BE5">
              <w:rPr>
                <w:rStyle w:val="TableHeaderColumn"/>
                <w:sz w:val="22"/>
                <w:szCs w:val="22"/>
              </w:rPr>
              <w:t>Name, form and strength of</w:t>
            </w:r>
            <w:r w:rsidR="5C15BBA7" w:rsidRPr="33BB7BE5">
              <w:rPr>
                <w:rStyle w:val="TableHeaderColumn"/>
                <w:sz w:val="22"/>
                <w:szCs w:val="22"/>
              </w:rPr>
              <w:t xml:space="preserve"> medicine</w:t>
            </w:r>
          </w:p>
        </w:tc>
        <w:tc>
          <w:tcPr>
            <w:tcW w:w="5656" w:type="dxa"/>
          </w:tcPr>
          <w:p w14:paraId="3B7520F1" w14:textId="43F2D030" w:rsidR="000F39F6" w:rsidRDefault="0088215D" w:rsidP="000F39F6">
            <w:pPr>
              <w:pStyle w:val="Tabletext"/>
            </w:pPr>
            <w:r w:rsidRPr="0088215D">
              <w:rPr>
                <w:lang w:val="en-GB"/>
              </w:rPr>
              <w:t>Emtricitabine 200mg/tenofovir disoproxil 245mg tablet</w:t>
            </w:r>
          </w:p>
          <w:p w14:paraId="2B104BB5" w14:textId="07ED3385" w:rsidR="00165DD9" w:rsidRDefault="00165DD9" w:rsidP="000F39F6">
            <w:pPr>
              <w:pStyle w:val="Tabletext"/>
            </w:pPr>
          </w:p>
        </w:tc>
      </w:tr>
      <w:tr w:rsidR="00165DD9" w14:paraId="6DAA0645" w14:textId="77777777" w:rsidTr="374C1672">
        <w:tc>
          <w:tcPr>
            <w:tcW w:w="3566" w:type="dxa"/>
          </w:tcPr>
          <w:p w14:paraId="2F56A41B" w14:textId="05091A78" w:rsidR="00165DD9" w:rsidRPr="00544444" w:rsidRDefault="00165DD9" w:rsidP="005A6168">
            <w:pPr>
              <w:rPr>
                <w:rStyle w:val="TableHeaderColumn"/>
                <w:sz w:val="22"/>
              </w:rPr>
            </w:pPr>
            <w:r w:rsidRPr="00544444">
              <w:rPr>
                <w:rStyle w:val="TableHeaderColumn"/>
                <w:sz w:val="22"/>
              </w:rPr>
              <w:t>Legal category</w:t>
            </w:r>
          </w:p>
        </w:tc>
        <w:tc>
          <w:tcPr>
            <w:tcW w:w="5656" w:type="dxa"/>
          </w:tcPr>
          <w:p w14:paraId="29E26784" w14:textId="49492B56" w:rsidR="00165DD9" w:rsidRDefault="00165DD9" w:rsidP="009B62D2">
            <w:pPr>
              <w:pStyle w:val="Tabletext"/>
            </w:pPr>
            <w:r w:rsidRPr="008676A6">
              <w:t>POM</w:t>
            </w:r>
          </w:p>
        </w:tc>
      </w:tr>
      <w:tr w:rsidR="00165DD9" w14:paraId="44E2B1CC" w14:textId="77777777" w:rsidTr="374C1672">
        <w:tc>
          <w:tcPr>
            <w:tcW w:w="3566" w:type="dxa"/>
          </w:tcPr>
          <w:p w14:paraId="2EBF84AC" w14:textId="3F02AFE0" w:rsidR="00165DD9" w:rsidRPr="00544444" w:rsidRDefault="00165DD9" w:rsidP="005A6168">
            <w:pPr>
              <w:rPr>
                <w:rStyle w:val="TableHeaderColumn"/>
                <w:sz w:val="22"/>
              </w:rPr>
            </w:pPr>
            <w:r w:rsidRPr="00544444">
              <w:rPr>
                <w:rStyle w:val="TableHeaderColumn"/>
                <w:sz w:val="22"/>
              </w:rPr>
              <w:t>Route</w:t>
            </w:r>
            <w:r w:rsidR="009604EE" w:rsidRPr="00544444">
              <w:rPr>
                <w:rStyle w:val="TableHeaderColumn"/>
                <w:sz w:val="22"/>
              </w:rPr>
              <w:t xml:space="preserve"> or </w:t>
            </w:r>
            <w:r w:rsidRPr="00544444">
              <w:rPr>
                <w:rStyle w:val="TableHeaderColumn"/>
                <w:sz w:val="22"/>
              </w:rPr>
              <w:t>method of administration</w:t>
            </w:r>
          </w:p>
        </w:tc>
        <w:tc>
          <w:tcPr>
            <w:tcW w:w="5656" w:type="dxa"/>
          </w:tcPr>
          <w:p w14:paraId="6D379B0B" w14:textId="00772C97" w:rsidR="008D525C" w:rsidRPr="008D525C" w:rsidRDefault="008D525C" w:rsidP="008D525C">
            <w:pPr>
              <w:pStyle w:val="Tabletext"/>
              <w:rPr>
                <w:iCs/>
                <w:lang w:val="en-GB"/>
              </w:rPr>
            </w:pPr>
            <w:r w:rsidRPr="008D525C">
              <w:rPr>
                <w:iCs/>
                <w:lang w:val="en-GB"/>
              </w:rPr>
              <w:t>Orally</w:t>
            </w:r>
          </w:p>
          <w:p w14:paraId="0943F591" w14:textId="77777777" w:rsidR="008D525C" w:rsidRPr="008D525C" w:rsidRDefault="008D525C" w:rsidP="008D525C">
            <w:pPr>
              <w:pStyle w:val="Tabletext"/>
              <w:rPr>
                <w:iCs/>
                <w:lang w:val="en-GB"/>
              </w:rPr>
            </w:pPr>
          </w:p>
          <w:p w14:paraId="04517ADA" w14:textId="3E6E7FBF" w:rsidR="000F39F6" w:rsidRPr="00A95DEB" w:rsidRDefault="0088215D" w:rsidP="008D525C">
            <w:pPr>
              <w:pStyle w:val="Tabletext"/>
            </w:pPr>
            <w:r w:rsidRPr="0088215D">
              <w:rPr>
                <w:i/>
                <w:iCs/>
                <w:lang w:val="en-GB"/>
              </w:rPr>
              <w:t>If individual is unable to swallow tablet whole, the tablets may be dispersed in half a glass of water, orange juice, or grape juice.</w:t>
            </w:r>
          </w:p>
        </w:tc>
      </w:tr>
      <w:tr w:rsidR="003E69CD" w14:paraId="264CA183" w14:textId="77777777" w:rsidTr="374C1672">
        <w:tc>
          <w:tcPr>
            <w:tcW w:w="3566" w:type="dxa"/>
          </w:tcPr>
          <w:p w14:paraId="011DED45" w14:textId="00483255" w:rsidR="003E69CD" w:rsidRPr="00544444" w:rsidRDefault="003E69CD" w:rsidP="005A6168">
            <w:pPr>
              <w:rPr>
                <w:rStyle w:val="TableHeaderColumn"/>
                <w:sz w:val="22"/>
              </w:rPr>
            </w:pPr>
            <w:r w:rsidRPr="00544444">
              <w:rPr>
                <w:rStyle w:val="TableHeaderColumn"/>
                <w:sz w:val="22"/>
              </w:rPr>
              <w:t>Off</w:t>
            </w:r>
            <w:r w:rsidR="00675BFB">
              <w:rPr>
                <w:rStyle w:val="TableHeaderColumn"/>
                <w:sz w:val="22"/>
              </w:rPr>
              <w:t>-</w:t>
            </w:r>
            <w:r w:rsidRPr="00544444">
              <w:rPr>
                <w:rStyle w:val="TableHeaderColumn"/>
                <w:sz w:val="22"/>
              </w:rPr>
              <w:t>label use</w:t>
            </w:r>
          </w:p>
        </w:tc>
        <w:tc>
          <w:tcPr>
            <w:tcW w:w="5656" w:type="dxa"/>
          </w:tcPr>
          <w:p w14:paraId="3E48CB5A" w14:textId="69AF05B7" w:rsidR="008A3BEE" w:rsidRDefault="008A3BEE" w:rsidP="008A3BEE">
            <w:pPr>
              <w:pStyle w:val="Tabletext"/>
              <w:rPr>
                <w:b/>
                <w:bCs/>
                <w:lang w:val="en-GB"/>
              </w:rPr>
            </w:pPr>
            <w:r>
              <w:rPr>
                <w:b/>
                <w:bCs/>
                <w:lang w:val="en-GB"/>
              </w:rPr>
              <w:t>Off-label use</w:t>
            </w:r>
          </w:p>
          <w:p w14:paraId="7B22E0F6" w14:textId="77777777" w:rsidR="0088215D" w:rsidRPr="0088215D" w:rsidRDefault="0088215D" w:rsidP="0088215D">
            <w:pPr>
              <w:pStyle w:val="Tabletext"/>
            </w:pPr>
            <w:r w:rsidRPr="0088215D">
              <w:t xml:space="preserve">The use of a double dose lead-in, dosing regimens other than continuous daily dosing and use in pregnancy or breastfeeding are </w:t>
            </w:r>
            <w:bookmarkStart w:id="8" w:name="_Int_NmU5JW6M"/>
            <w:proofErr w:type="gramStart"/>
            <w:r w:rsidRPr="0088215D">
              <w:t>off-label</w:t>
            </w:r>
            <w:bookmarkEnd w:id="8"/>
            <w:proofErr w:type="gramEnd"/>
            <w:r w:rsidRPr="0088215D">
              <w:t xml:space="preserve">. However, use in these ways are supported by </w:t>
            </w:r>
            <w:hyperlink r:id="rId31">
              <w:r w:rsidRPr="0088215D">
                <w:rPr>
                  <w:rStyle w:val="Hyperlink"/>
                  <w:rFonts w:eastAsia="Calibri"/>
                  <w:lang w:val="en-GB"/>
                </w:rPr>
                <w:t>BASHH/BHIVA HIV PrEP guidance</w:t>
              </w:r>
            </w:hyperlink>
            <w:r w:rsidRPr="0088215D">
              <w:t xml:space="preserve"> and use in these ways is supported by this PGD. </w:t>
            </w:r>
          </w:p>
          <w:p w14:paraId="387BF0C0" w14:textId="77777777" w:rsidR="008A3BEE" w:rsidRPr="008A3BEE" w:rsidRDefault="008A3BEE" w:rsidP="008A3BEE">
            <w:pPr>
              <w:pStyle w:val="Tabletext"/>
            </w:pPr>
          </w:p>
          <w:p w14:paraId="21453689" w14:textId="12995F2E" w:rsidR="00393D73" w:rsidRPr="00393D73" w:rsidRDefault="00393D73" w:rsidP="00A95DEB">
            <w:pPr>
              <w:pStyle w:val="Tabletext"/>
            </w:pPr>
            <w:r w:rsidRPr="008A3BEE">
              <w:rPr>
                <w:b/>
                <w:bCs/>
              </w:rPr>
              <w:t>Temperature variations</w:t>
            </w:r>
            <w:r>
              <w:t>:</w:t>
            </w:r>
          </w:p>
          <w:p w14:paraId="216C33A8" w14:textId="11B8921C" w:rsidR="008D525C" w:rsidRPr="008D525C" w:rsidRDefault="00393D73" w:rsidP="008D525C">
            <w:pPr>
              <w:pStyle w:val="Tabletext"/>
              <w:rPr>
                <w:b/>
                <w:bCs/>
              </w:rPr>
            </w:pPr>
            <w:r>
              <w:t xml:space="preserve">Medicines should be stored according to the conditions detailed in the </w:t>
            </w:r>
            <w:hyperlink w:anchor="Storage">
              <w:r w:rsidRPr="374C1672">
                <w:rPr>
                  <w:rStyle w:val="Hyperlink"/>
                </w:rPr>
                <w:t>Storage</w:t>
              </w:r>
              <w:r w:rsidR="3C77307A" w:rsidRPr="374C1672">
                <w:rPr>
                  <w:rStyle w:val="Hyperlink"/>
                </w:rPr>
                <w:t xml:space="preserve"> section below.</w:t>
              </w:r>
            </w:hyperlink>
            <w:r>
              <w:t xml:space="preserve"> </w:t>
            </w:r>
            <w:r w:rsidR="28F615EF">
              <w:t xml:space="preserve">However, in the event of an inadvertent or unavoidable deviation of these conditions the local pharmacy or Medicines Management team must be consulted.  </w:t>
            </w:r>
          </w:p>
          <w:p w14:paraId="5EC9E3C9" w14:textId="023480B9" w:rsidR="008D525C" w:rsidRDefault="008D525C" w:rsidP="008D525C">
            <w:pPr>
              <w:pStyle w:val="Tabletext"/>
            </w:pPr>
          </w:p>
          <w:p w14:paraId="0A958248" w14:textId="19EAC666" w:rsidR="008D525C" w:rsidRPr="008D525C" w:rsidRDefault="008D525C" w:rsidP="008D525C">
            <w:pPr>
              <w:pStyle w:val="Tabletext"/>
              <w:rPr>
                <w:lang w:val="en-GB"/>
              </w:rPr>
            </w:pPr>
            <w:r w:rsidRPr="008D525C">
              <w:rPr>
                <w:lang w:val="en-GB"/>
              </w:rPr>
              <w:t>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5E8E064A" w14:textId="749CDE02" w:rsidR="00393D73" w:rsidRPr="00677C74" w:rsidRDefault="00393D73" w:rsidP="00A95DEB">
            <w:pPr>
              <w:pStyle w:val="Tabletext"/>
            </w:pPr>
            <w:r w:rsidRPr="00677C74">
              <w:t xml:space="preserve"> </w:t>
            </w:r>
          </w:p>
          <w:p w14:paraId="74240E7C" w14:textId="13BEA19F" w:rsidR="003E69CD" w:rsidRPr="003B61FD" w:rsidRDefault="00393D73" w:rsidP="00A95DEB">
            <w:pPr>
              <w:pStyle w:val="Tabletext"/>
              <w:rPr>
                <w:szCs w:val="22"/>
              </w:rPr>
            </w:pPr>
            <w:r w:rsidRPr="00677C74">
              <w:t xml:space="preserve">Where a drug is recommended </w:t>
            </w:r>
            <w:proofErr w:type="gramStart"/>
            <w:r w:rsidRPr="00677C74">
              <w:t>off-label</w:t>
            </w:r>
            <w:proofErr w:type="gramEnd"/>
            <w:r w:rsidRPr="00677C74">
              <w:t xml:space="preserve"> consider, as part of the consent process, informing the individual</w:t>
            </w:r>
            <w:r>
              <w:t>/</w:t>
            </w:r>
            <w:r w:rsidRPr="00677C74">
              <w:t>carer</w:t>
            </w:r>
            <w:r>
              <w:t xml:space="preserve">/parent/guardian </w:t>
            </w:r>
            <w:r w:rsidRPr="00677C74">
              <w:t>that the drug is being offered in accordance with national guidance but that this is outside the product licen</w:t>
            </w:r>
            <w:r>
              <w:t>s</w:t>
            </w:r>
            <w:r w:rsidRPr="00677C74">
              <w:t>e.</w:t>
            </w:r>
          </w:p>
        </w:tc>
      </w:tr>
      <w:tr w:rsidR="006C31A5" w14:paraId="5F025438" w14:textId="77777777" w:rsidTr="374C1672">
        <w:tc>
          <w:tcPr>
            <w:tcW w:w="3566" w:type="dxa"/>
          </w:tcPr>
          <w:p w14:paraId="4284C645" w14:textId="2A2D9BE4" w:rsidR="006C31A5" w:rsidRPr="00544444" w:rsidRDefault="006C31A5" w:rsidP="006C31A5">
            <w:pPr>
              <w:rPr>
                <w:rStyle w:val="TableHeaderColumn"/>
                <w:sz w:val="22"/>
              </w:rPr>
            </w:pPr>
            <w:r w:rsidRPr="00544444">
              <w:rPr>
                <w:rStyle w:val="TableHeaderColumn"/>
                <w:sz w:val="22"/>
              </w:rPr>
              <w:lastRenderedPageBreak/>
              <w:t>Dose and frequency of administration</w:t>
            </w:r>
          </w:p>
        </w:tc>
        <w:tc>
          <w:tcPr>
            <w:tcW w:w="5656" w:type="dxa"/>
          </w:tcPr>
          <w:p w14:paraId="32C23134" w14:textId="77777777" w:rsidR="006C31A5" w:rsidRPr="00D54440" w:rsidRDefault="006C31A5" w:rsidP="006C31A5">
            <w:pPr>
              <w:pStyle w:val="Tabletext"/>
              <w:rPr>
                <w:lang w:val="en-GB"/>
              </w:rPr>
            </w:pPr>
            <w:r w:rsidRPr="00D54440">
              <w:rPr>
                <w:lang w:val="en-GB"/>
              </w:rPr>
              <w:t>Risk assessment and discussion between individual and practitioner will determine the regimen to be followed.</w:t>
            </w:r>
          </w:p>
          <w:p w14:paraId="5EE65448" w14:textId="77777777" w:rsidR="006C31A5" w:rsidRPr="00D54440" w:rsidRDefault="006C31A5" w:rsidP="006C31A5">
            <w:pPr>
              <w:pStyle w:val="Tabletext"/>
              <w:rPr>
                <w:b/>
                <w:bCs/>
                <w:u w:val="single"/>
                <w:lang w:val="en-GB"/>
              </w:rPr>
            </w:pPr>
            <w:r w:rsidRPr="00D54440">
              <w:rPr>
                <w:b/>
                <w:bCs/>
                <w:u w:val="single"/>
                <w:lang w:val="en-GB"/>
              </w:rPr>
              <w:t>TD-FTC PrEP dosing options:</w:t>
            </w:r>
          </w:p>
          <w:p w14:paraId="453C376E" w14:textId="77777777" w:rsidR="006C31A5" w:rsidRPr="00D54440" w:rsidRDefault="006C31A5" w:rsidP="006C31A5">
            <w:pPr>
              <w:pStyle w:val="Tabletext"/>
              <w:numPr>
                <w:ilvl w:val="0"/>
                <w:numId w:val="39"/>
              </w:numPr>
              <w:rPr>
                <w:b/>
                <w:bCs/>
                <w:lang w:val="en-GB"/>
              </w:rPr>
            </w:pPr>
            <w:r w:rsidRPr="00D54440">
              <w:rPr>
                <w:b/>
                <w:bCs/>
                <w:lang w:val="en-GB"/>
              </w:rPr>
              <w:t xml:space="preserve">Regular dosing options: </w:t>
            </w:r>
          </w:p>
          <w:p w14:paraId="322758AB" w14:textId="77777777" w:rsidR="006C31A5" w:rsidRPr="00D54440" w:rsidRDefault="006C31A5" w:rsidP="006C31A5">
            <w:pPr>
              <w:pStyle w:val="Tabletext"/>
              <w:numPr>
                <w:ilvl w:val="0"/>
                <w:numId w:val="38"/>
              </w:numPr>
              <w:rPr>
                <w:lang w:val="en-GB"/>
              </w:rPr>
            </w:pPr>
            <w:r w:rsidRPr="00D54440">
              <w:rPr>
                <w:b/>
                <w:bCs/>
                <w:lang w:val="en-GB"/>
              </w:rPr>
              <w:t>Daily dosing:</w:t>
            </w:r>
            <w:r w:rsidRPr="00D54440">
              <w:rPr>
                <w:lang w:val="en-GB"/>
              </w:rPr>
              <w:t xml:space="preserve"> one tablet once daily, taken continuously</w:t>
            </w:r>
          </w:p>
          <w:p w14:paraId="2A816C91" w14:textId="77777777" w:rsidR="006C31A5" w:rsidRPr="00D54440" w:rsidRDefault="006C31A5" w:rsidP="006C31A5">
            <w:pPr>
              <w:pStyle w:val="Tabletext"/>
              <w:rPr>
                <w:lang w:val="en-GB"/>
              </w:rPr>
            </w:pPr>
          </w:p>
          <w:p w14:paraId="422EC55A" w14:textId="77777777" w:rsidR="006C31A5" w:rsidRPr="00D54440" w:rsidRDefault="006C31A5" w:rsidP="006C31A5">
            <w:pPr>
              <w:pStyle w:val="Tabletext"/>
              <w:numPr>
                <w:ilvl w:val="0"/>
                <w:numId w:val="38"/>
              </w:numPr>
              <w:rPr>
                <w:lang w:val="en-GB"/>
              </w:rPr>
            </w:pPr>
            <w:r w:rsidRPr="00D54440">
              <w:rPr>
                <w:b/>
                <w:bCs/>
                <w:lang w:val="en-GB"/>
              </w:rPr>
              <w:t>TTSS:</w:t>
            </w:r>
            <w:r w:rsidRPr="00D54440">
              <w:rPr>
                <w:lang w:val="en-GB"/>
              </w:rPr>
              <w:t xml:space="preserve"> one tablet once daily on a Tues/Thurs/Sat/Sun (4 tablets per week). </w:t>
            </w:r>
          </w:p>
          <w:p w14:paraId="1755DCE6" w14:textId="77777777" w:rsidR="006C31A5" w:rsidRPr="00D54440" w:rsidRDefault="006C31A5" w:rsidP="006C31A5">
            <w:pPr>
              <w:pStyle w:val="Tabletext"/>
              <w:rPr>
                <w:lang w:val="en-GB"/>
              </w:rPr>
            </w:pPr>
            <w:r w:rsidRPr="00D54440">
              <w:rPr>
                <w:lang w:val="en-GB"/>
              </w:rPr>
              <w:t xml:space="preserve">(See </w:t>
            </w:r>
            <w:hyperlink r:id="rId32">
              <w:r w:rsidRPr="00D54440">
                <w:rPr>
                  <w:rStyle w:val="Hyperlink"/>
                  <w:lang w:val="en-GB"/>
                </w:rPr>
                <w:t>BASHH/BHIVA HIV PrEP guidance</w:t>
              </w:r>
            </w:hyperlink>
            <w:r w:rsidRPr="00D54440">
              <w:rPr>
                <w:lang w:val="en-GB"/>
              </w:rPr>
              <w:t xml:space="preserve"> for further information)</w:t>
            </w:r>
          </w:p>
          <w:p w14:paraId="540816CE" w14:textId="77777777" w:rsidR="006C31A5" w:rsidRPr="00D54440" w:rsidRDefault="006C31A5" w:rsidP="006C31A5">
            <w:pPr>
              <w:pStyle w:val="Tabletext"/>
              <w:rPr>
                <w:lang w:val="en-GB"/>
              </w:rPr>
            </w:pPr>
          </w:p>
          <w:p w14:paraId="555FBFF7" w14:textId="77D2231E" w:rsidR="006C31A5" w:rsidRPr="00D54440" w:rsidRDefault="006C31A5" w:rsidP="006C31A5">
            <w:pPr>
              <w:pStyle w:val="Tabletext"/>
              <w:numPr>
                <w:ilvl w:val="0"/>
                <w:numId w:val="39"/>
              </w:numPr>
              <w:rPr>
                <w:rStyle w:val="Hyperlink"/>
                <w:lang w:val="en-GB"/>
              </w:rPr>
            </w:pPr>
            <w:r w:rsidRPr="00D54440">
              <w:rPr>
                <w:b/>
                <w:bCs/>
                <w:lang w:val="en-GB"/>
              </w:rPr>
              <w:t>Event based dosing options:</w:t>
            </w:r>
            <w:r>
              <w:rPr>
                <w:b/>
                <w:bCs/>
                <w:lang w:val="en-GB"/>
              </w:rPr>
              <w:t xml:space="preserve"> </w:t>
            </w:r>
            <w:hyperlink w:anchor="risk" w:history="1">
              <w:r w:rsidRPr="006C31A5">
                <w:rPr>
                  <w:rStyle w:val="Hyperlink"/>
                  <w:lang w:val="en-GB"/>
                </w:rPr>
                <w:t>See summary in table below</w:t>
              </w:r>
            </w:hyperlink>
          </w:p>
          <w:p w14:paraId="55544C7B" w14:textId="77777777" w:rsidR="006C31A5" w:rsidRPr="00D54440" w:rsidRDefault="006C31A5" w:rsidP="006C31A5">
            <w:pPr>
              <w:pStyle w:val="Tabletext"/>
              <w:numPr>
                <w:ilvl w:val="0"/>
                <w:numId w:val="38"/>
              </w:numPr>
              <w:rPr>
                <w:lang w:val="en-GB"/>
              </w:rPr>
            </w:pPr>
            <w:r w:rsidRPr="00D54440">
              <w:rPr>
                <w:b/>
                <w:bCs/>
                <w:lang w:val="en-GB"/>
              </w:rPr>
              <w:t>2:1:1 dosing:</w:t>
            </w:r>
            <w:r w:rsidRPr="00D54440">
              <w:rPr>
                <w:lang w:val="en-GB"/>
              </w:rPr>
              <w:t xml:space="preserve"> two tablets 2-24 hours before risk and one tablet 24 and 48 hours following the initial double dose</w:t>
            </w:r>
          </w:p>
          <w:p w14:paraId="1E06FE27" w14:textId="77777777" w:rsidR="006C31A5" w:rsidRPr="00D54440" w:rsidRDefault="006C31A5" w:rsidP="006C31A5">
            <w:pPr>
              <w:pStyle w:val="Tabletext"/>
              <w:rPr>
                <w:b/>
                <w:bCs/>
                <w:lang w:val="en-GB"/>
              </w:rPr>
            </w:pPr>
          </w:p>
          <w:p w14:paraId="0D50CE20" w14:textId="77777777" w:rsidR="006C31A5" w:rsidRDefault="006C31A5" w:rsidP="006C31A5">
            <w:pPr>
              <w:pStyle w:val="Tabletext"/>
              <w:numPr>
                <w:ilvl w:val="0"/>
                <w:numId w:val="38"/>
              </w:numPr>
              <w:rPr>
                <w:lang w:val="en-GB"/>
              </w:rPr>
            </w:pPr>
            <w:r w:rsidRPr="00D54440">
              <w:rPr>
                <w:b/>
                <w:bCs/>
                <w:lang w:val="en-GB"/>
              </w:rPr>
              <w:t>2:7 dosing:</w:t>
            </w:r>
            <w:r w:rsidRPr="00D54440">
              <w:rPr>
                <w:lang w:val="en-GB"/>
              </w:rPr>
              <w:t xml:space="preserve"> two tablets 2-24 hours before risk and one tablet once daily for 7 days following the initial double dose</w:t>
            </w:r>
          </w:p>
          <w:p w14:paraId="72C65981" w14:textId="77777777" w:rsidR="005E4309" w:rsidRPr="00D54440" w:rsidRDefault="005E4309" w:rsidP="005E4309">
            <w:pPr>
              <w:pStyle w:val="Tabletext"/>
              <w:rPr>
                <w:lang w:val="en-GB"/>
              </w:rPr>
            </w:pPr>
          </w:p>
          <w:p w14:paraId="07201F8F" w14:textId="79D7807F" w:rsidR="005E4309" w:rsidRDefault="005E4309" w:rsidP="006C31A5">
            <w:pPr>
              <w:rPr>
                <w:rFonts w:ascii="Arial" w:eastAsia="Calibri" w:hAnsi="Arial" w:cs="Arial"/>
                <w:sz w:val="22"/>
                <w:szCs w:val="22"/>
              </w:rPr>
            </w:pPr>
            <w:r>
              <w:rPr>
                <w:rFonts w:ascii="Arial" w:hAnsi="Arial" w:cs="Arial"/>
                <w:sz w:val="22"/>
                <w:szCs w:val="22"/>
              </w:rPr>
              <w:t xml:space="preserve">For information on restarting TD-FTC PrEP: see </w:t>
            </w:r>
            <w:hyperlink r:id="rId33" w:history="1">
              <w:r w:rsidRPr="00A827B8">
                <w:rPr>
                  <w:rStyle w:val="Hyperlink"/>
                  <w:rFonts w:ascii="Arial" w:eastAsia="Calibri" w:hAnsi="Arial" w:cs="Arial"/>
                  <w:sz w:val="22"/>
                  <w:szCs w:val="22"/>
                </w:rPr>
                <w:t>BASHH/BHIVA HIV PrEP guidance</w:t>
              </w:r>
            </w:hyperlink>
            <w:r>
              <w:rPr>
                <w:rFonts w:ascii="Arial" w:eastAsia="Calibri" w:hAnsi="Arial" w:cs="Arial"/>
                <w:sz w:val="22"/>
                <w:szCs w:val="22"/>
              </w:rPr>
              <w:t>.</w:t>
            </w:r>
          </w:p>
          <w:p w14:paraId="28868272" w14:textId="77777777" w:rsidR="006C31A5" w:rsidRPr="00233485" w:rsidRDefault="006C31A5" w:rsidP="006C31A5">
            <w:pPr>
              <w:rPr>
                <w:rFonts w:ascii="Arial" w:hAnsi="Arial" w:cs="Arial"/>
                <w:b/>
                <w:bCs/>
                <w:sz w:val="22"/>
                <w:szCs w:val="22"/>
              </w:rPr>
            </w:pPr>
            <w:r w:rsidRPr="00233485">
              <w:rPr>
                <w:rFonts w:ascii="Arial" w:hAnsi="Arial" w:cs="Arial"/>
                <w:b/>
                <w:bCs/>
                <w:sz w:val="22"/>
                <w:szCs w:val="22"/>
              </w:rPr>
              <w:t>The labelling instructions must be completed to reflect the advised regimen.  </w:t>
            </w:r>
          </w:p>
          <w:p w14:paraId="000FC1F1" w14:textId="70048A41" w:rsidR="006C31A5" w:rsidRPr="005E4309" w:rsidRDefault="006C31A5" w:rsidP="006C31A5">
            <w:pPr>
              <w:rPr>
                <w:rFonts w:ascii="Arial" w:hAnsi="Arial" w:cs="Arial"/>
                <w:b/>
                <w:bCs/>
                <w:sz w:val="22"/>
                <w:szCs w:val="22"/>
              </w:rPr>
            </w:pPr>
            <w:r w:rsidRPr="00233485">
              <w:rPr>
                <w:rFonts w:ascii="Arial" w:hAnsi="Arial" w:cs="Arial"/>
                <w:b/>
                <w:bCs/>
                <w:sz w:val="22"/>
                <w:szCs w:val="22"/>
              </w:rPr>
              <w:t>Where relevant,</w:t>
            </w:r>
            <w:r>
              <w:rPr>
                <w:rFonts w:ascii="Arial" w:hAnsi="Arial" w:cs="Arial"/>
                <w:b/>
                <w:bCs/>
                <w:sz w:val="22"/>
                <w:szCs w:val="22"/>
              </w:rPr>
              <w:t xml:space="preserve"> t</w:t>
            </w:r>
            <w:r w:rsidRPr="00655F28">
              <w:rPr>
                <w:rFonts w:ascii="Arial" w:hAnsi="Arial" w:cs="Arial"/>
                <w:b/>
                <w:bCs/>
                <w:sz w:val="22"/>
                <w:szCs w:val="22"/>
              </w:rPr>
              <w:t xml:space="preserve">he dosing regimen that is NOT applicable should be crossed out on the label when the medication is supplied. </w:t>
            </w:r>
          </w:p>
          <w:p w14:paraId="67243A4B" w14:textId="7938D480" w:rsidR="006C31A5" w:rsidRDefault="006C31A5" w:rsidP="006C31A5">
            <w:pPr>
              <w:rPr>
                <w:rFonts w:ascii="Arial" w:hAnsi="Arial" w:cs="Arial"/>
                <w:b/>
                <w:bCs/>
                <w:sz w:val="22"/>
              </w:rPr>
            </w:pPr>
            <w:r w:rsidRPr="007B59AE">
              <w:rPr>
                <w:rFonts w:ascii="Arial" w:hAnsi="Arial" w:cs="Arial"/>
                <w:b/>
                <w:bCs/>
                <w:sz w:val="22"/>
              </w:rPr>
              <w:t>Ensure the individual is counselled as to which regimen is to be followed and that they also have additional clear written information provided on the appropriate regimen. </w:t>
            </w:r>
          </w:p>
          <w:p w14:paraId="73DD3838" w14:textId="77777777" w:rsidR="006C31A5" w:rsidRPr="008D525C" w:rsidRDefault="006C31A5" w:rsidP="006C31A5">
            <w:pPr>
              <w:pStyle w:val="Tabletext"/>
            </w:pPr>
            <w:r w:rsidRPr="00546F14">
              <w:rPr>
                <w:rFonts w:cs="Arial"/>
                <w:b/>
                <w:bCs/>
              </w:rPr>
              <w:t xml:space="preserve">Ensure </w:t>
            </w:r>
            <w:r>
              <w:rPr>
                <w:rFonts w:cs="Arial"/>
                <w:b/>
                <w:bCs/>
              </w:rPr>
              <w:t xml:space="preserve">the </w:t>
            </w:r>
            <w:r w:rsidRPr="00546F14">
              <w:rPr>
                <w:rFonts w:cs="Arial"/>
                <w:b/>
                <w:bCs/>
              </w:rPr>
              <w:t xml:space="preserve">individual is counselled </w:t>
            </w:r>
            <w:r w:rsidRPr="001E698A">
              <w:rPr>
                <w:rFonts w:cs="Arial"/>
                <w:b/>
                <w:bCs/>
              </w:rPr>
              <w:t xml:space="preserve">as to </w:t>
            </w:r>
            <w:r w:rsidRPr="001E698A">
              <w:rPr>
                <w:rFonts w:eastAsia="Calibri-Bold" w:cs="Arial"/>
                <w:b/>
                <w:bCs/>
                <w:szCs w:val="22"/>
              </w:rPr>
              <w:t xml:space="preserve">the lead-in time to protection </w:t>
            </w:r>
            <w:r w:rsidRPr="001E698A">
              <w:rPr>
                <w:rFonts w:eastAsia="Calibri-Bold" w:cs="Arial"/>
                <w:b/>
                <w:bCs/>
                <w:szCs w:val="22"/>
                <w:u w:val="single"/>
              </w:rPr>
              <w:t>and</w:t>
            </w:r>
            <w:r w:rsidRPr="001E698A">
              <w:rPr>
                <w:rFonts w:eastAsia="Calibri-Bold" w:cs="Arial"/>
                <w:b/>
                <w:bCs/>
                <w:szCs w:val="22"/>
              </w:rPr>
              <w:t xml:space="preserve"> duration it needs to be taken for after last risk exposure to ensure protection</w:t>
            </w:r>
            <w:r>
              <w:rPr>
                <w:rFonts w:eastAsia="Calibri-Bold" w:cs="Arial"/>
                <w:bCs/>
                <w:szCs w:val="22"/>
              </w:rPr>
              <w:t>.</w:t>
            </w:r>
          </w:p>
          <w:p w14:paraId="7AB7248E" w14:textId="77777777" w:rsidR="006C31A5" w:rsidRDefault="006C31A5" w:rsidP="006C31A5">
            <w:pPr>
              <w:pStyle w:val="Tabletext"/>
              <w:rPr>
                <w:b/>
                <w:bCs/>
                <w:lang w:val="en-GB"/>
              </w:rPr>
            </w:pPr>
          </w:p>
        </w:tc>
      </w:tr>
    </w:tbl>
    <w:p w14:paraId="53D365FD" w14:textId="7289C339" w:rsidR="006C31A5" w:rsidRDefault="006C31A5" w:rsidP="00644774">
      <w:pPr>
        <w:pStyle w:val="Tabletitle"/>
      </w:pPr>
    </w:p>
    <w:p w14:paraId="2A1349A2" w14:textId="77777777" w:rsidR="006C31A5" w:rsidRDefault="006C31A5">
      <w:pPr>
        <w:rPr>
          <w:rFonts w:ascii="Arial" w:eastAsia="Times New Roman" w:hAnsi="Arial"/>
          <w:b/>
          <w:kern w:val="0"/>
          <w:lang w:val="en-US"/>
          <w14:ligatures w14:val="none"/>
        </w:rPr>
      </w:pPr>
      <w:r>
        <w:br w:type="page"/>
      </w:r>
    </w:p>
    <w:p w14:paraId="7A7B982C" w14:textId="77777777" w:rsidR="006C31A5" w:rsidRDefault="006C31A5" w:rsidP="00644774">
      <w:pPr>
        <w:pStyle w:val="Tabletitle"/>
      </w:pPr>
    </w:p>
    <w:p w14:paraId="3B6BC02F" w14:textId="2FB8A092" w:rsidR="00D74F3D" w:rsidRDefault="00644774" w:rsidP="00D74F3D">
      <w:pPr>
        <w:pStyle w:val="Tabletitle"/>
        <w:rPr>
          <w:bCs/>
          <w:sz w:val="22"/>
          <w:szCs w:val="22"/>
        </w:rPr>
      </w:pPr>
      <w:r w:rsidRPr="005E4309">
        <w:rPr>
          <w:sz w:val="22"/>
          <w:szCs w:val="22"/>
        </w:rPr>
        <w:t xml:space="preserve">Summary of starting and stopping TD-FTC, from </w:t>
      </w:r>
      <w:hyperlink r:id="rId34" w:history="1">
        <w:r w:rsidRPr="005E4309">
          <w:rPr>
            <w:rStyle w:val="Hyperlink"/>
            <w:rFonts w:eastAsia="Calibri"/>
            <w:sz w:val="22"/>
            <w:szCs w:val="22"/>
          </w:rPr>
          <w:t>BASHH/BHIVA HIV PrEP guidance</w:t>
        </w:r>
      </w:hyperlink>
      <w:r w:rsidR="005E4309">
        <w:rPr>
          <w:sz w:val="22"/>
          <w:szCs w:val="22"/>
        </w:rPr>
        <w:t xml:space="preserve"> </w:t>
      </w:r>
      <w:r w:rsidRPr="005E4309">
        <w:rPr>
          <w:bCs/>
          <w:sz w:val="22"/>
          <w:szCs w:val="22"/>
        </w:rPr>
        <w:t>TD-FTC 200/245mg fixed dose combinations</w:t>
      </w:r>
    </w:p>
    <w:p w14:paraId="4030CCF1" w14:textId="77777777" w:rsidR="00D74F3D" w:rsidRPr="00D74F3D" w:rsidRDefault="00D74F3D" w:rsidP="00D74F3D">
      <w:pPr>
        <w:pStyle w:val="NICEnormal"/>
      </w:pPr>
    </w:p>
    <w:tbl>
      <w:tblPr>
        <w:tblStyle w:val="TableGrid"/>
        <w:tblW w:w="9067" w:type="dxa"/>
        <w:tblLook w:val="04A0" w:firstRow="1" w:lastRow="0" w:firstColumn="1" w:lastColumn="0" w:noHBand="0" w:noVBand="1"/>
        <w:tblCaption w:val="Summary of starting and stopping"/>
        <w:tblDescription w:val="This table details the starting and stopping information for four of risks.  it consists of 3 columns titled risk, time to start of protection and safely stopping."/>
      </w:tblPr>
      <w:tblGrid>
        <w:gridCol w:w="2686"/>
        <w:gridCol w:w="3168"/>
        <w:gridCol w:w="3213"/>
      </w:tblGrid>
      <w:tr w:rsidR="00644774" w14:paraId="4AFCFCC5" w14:textId="77777777" w:rsidTr="00644774">
        <w:tc>
          <w:tcPr>
            <w:tcW w:w="2686" w:type="dxa"/>
          </w:tcPr>
          <w:p w14:paraId="099EA283" w14:textId="654050C7" w:rsidR="00644774" w:rsidRPr="00644774" w:rsidRDefault="00644774" w:rsidP="00644774">
            <w:pPr>
              <w:pStyle w:val="TableHeaderRow"/>
              <w:rPr>
                <w:rStyle w:val="TableHeaderColumn"/>
                <w:b/>
                <w:bCs/>
                <w:kern w:val="0"/>
                <w:sz w:val="22"/>
              </w:rPr>
            </w:pPr>
            <w:bookmarkStart w:id="9" w:name="risk"/>
            <w:bookmarkEnd w:id="9"/>
            <w:r w:rsidRPr="00644774">
              <w:rPr>
                <w:rStyle w:val="TableHeaderColumn"/>
                <w:b/>
                <w:bCs/>
                <w:kern w:val="0"/>
                <w:sz w:val="22"/>
              </w:rPr>
              <w:t>Risk</w:t>
            </w:r>
          </w:p>
        </w:tc>
        <w:tc>
          <w:tcPr>
            <w:tcW w:w="3168" w:type="dxa"/>
          </w:tcPr>
          <w:p w14:paraId="25CD2EB1" w14:textId="029F68DE" w:rsidR="00644774" w:rsidRPr="00644774" w:rsidRDefault="00644774" w:rsidP="00644774">
            <w:pPr>
              <w:pStyle w:val="Tabletitle"/>
              <w:rPr>
                <w:rStyle w:val="TableHeaderColumn"/>
                <w:b/>
                <w:kern w:val="2"/>
                <w:sz w:val="22"/>
              </w:rPr>
            </w:pPr>
            <w:r w:rsidRPr="00644774">
              <w:rPr>
                <w:rStyle w:val="TableHeaderColumn"/>
                <w:b/>
                <w:kern w:val="2"/>
                <w:sz w:val="22"/>
              </w:rPr>
              <w:t>Time to start of protection</w:t>
            </w:r>
          </w:p>
        </w:tc>
        <w:tc>
          <w:tcPr>
            <w:tcW w:w="3213" w:type="dxa"/>
          </w:tcPr>
          <w:p w14:paraId="4B85117E" w14:textId="3886C7D8" w:rsidR="00644774" w:rsidRPr="00644774" w:rsidRDefault="00644774" w:rsidP="00644774">
            <w:pPr>
              <w:pStyle w:val="Tabletitle"/>
              <w:rPr>
                <w:rStyle w:val="TableHeaderColumn"/>
                <w:b/>
                <w:kern w:val="2"/>
                <w:sz w:val="22"/>
              </w:rPr>
            </w:pPr>
            <w:r w:rsidRPr="00644774">
              <w:rPr>
                <w:rStyle w:val="TableHeaderColumn"/>
                <w:b/>
                <w:kern w:val="2"/>
                <w:sz w:val="22"/>
              </w:rPr>
              <w:t>Safely stopping</w:t>
            </w:r>
          </w:p>
        </w:tc>
      </w:tr>
      <w:tr w:rsidR="00644774" w14:paraId="2B87B036" w14:textId="77777777" w:rsidTr="00644774">
        <w:tc>
          <w:tcPr>
            <w:tcW w:w="2686" w:type="dxa"/>
          </w:tcPr>
          <w:p w14:paraId="6679DDEB" w14:textId="461AD4BE" w:rsidR="00644774" w:rsidRPr="00644774" w:rsidRDefault="00644774" w:rsidP="00644774">
            <w:pPr>
              <w:pStyle w:val="TableHeaderRow"/>
              <w:rPr>
                <w:rStyle w:val="TableHeaderColumn"/>
                <w:b/>
                <w:bCs/>
                <w:kern w:val="0"/>
                <w:sz w:val="22"/>
              </w:rPr>
            </w:pPr>
            <w:r w:rsidRPr="00644774">
              <w:rPr>
                <w:rStyle w:val="TableHeaderColumn"/>
                <w:b/>
                <w:bCs/>
                <w:kern w:val="0"/>
                <w:sz w:val="22"/>
              </w:rPr>
              <w:t>Receptive anal</w:t>
            </w:r>
          </w:p>
        </w:tc>
        <w:tc>
          <w:tcPr>
            <w:tcW w:w="3168" w:type="dxa"/>
          </w:tcPr>
          <w:p w14:paraId="6C435DBB" w14:textId="25AD6FFB" w:rsidR="00644774" w:rsidRDefault="00644774" w:rsidP="00644774">
            <w:pPr>
              <w:pStyle w:val="Tabletext"/>
              <w:rPr>
                <w:rFonts w:ascii="Calibri" w:hAnsi="Calibri"/>
              </w:rPr>
            </w:pPr>
            <w:r w:rsidRPr="00607DEE">
              <w:t xml:space="preserve">Double dose (2 tablets) 2-24 hours before risk </w:t>
            </w:r>
          </w:p>
        </w:tc>
        <w:tc>
          <w:tcPr>
            <w:tcW w:w="3213" w:type="dxa"/>
          </w:tcPr>
          <w:p w14:paraId="6F6FB535" w14:textId="09ADB7BE" w:rsidR="00644774" w:rsidRDefault="00644774" w:rsidP="00644774">
            <w:pPr>
              <w:pStyle w:val="Tabletext"/>
              <w:rPr>
                <w:rFonts w:ascii="Calibri" w:hAnsi="Calibri"/>
              </w:rPr>
            </w:pPr>
            <w:r w:rsidRPr="00BC2B87">
              <w:t>Continue single dose daily for 2 days after last risk</w:t>
            </w:r>
          </w:p>
        </w:tc>
      </w:tr>
      <w:tr w:rsidR="00644774" w14:paraId="007D265B" w14:textId="77777777" w:rsidTr="00644774">
        <w:tc>
          <w:tcPr>
            <w:tcW w:w="2686" w:type="dxa"/>
          </w:tcPr>
          <w:p w14:paraId="0F7FC822" w14:textId="275AAB9C" w:rsidR="00644774" w:rsidRPr="00644774" w:rsidRDefault="00644774" w:rsidP="00644774">
            <w:pPr>
              <w:pStyle w:val="TableHeaderRow"/>
              <w:rPr>
                <w:rStyle w:val="TableHeaderColumn"/>
                <w:b/>
                <w:bCs/>
                <w:kern w:val="0"/>
                <w:sz w:val="22"/>
              </w:rPr>
            </w:pPr>
            <w:proofErr w:type="spellStart"/>
            <w:r w:rsidRPr="00644774">
              <w:rPr>
                <w:rStyle w:val="TableHeaderColumn"/>
                <w:b/>
                <w:bCs/>
                <w:kern w:val="0"/>
                <w:sz w:val="22"/>
              </w:rPr>
              <w:t>Insertive</w:t>
            </w:r>
            <w:proofErr w:type="spellEnd"/>
            <w:r w:rsidRPr="00644774">
              <w:rPr>
                <w:rStyle w:val="TableHeaderColumn"/>
                <w:b/>
                <w:bCs/>
                <w:kern w:val="0"/>
                <w:sz w:val="22"/>
              </w:rPr>
              <w:t xml:space="preserve"> vaginal/neovaginal/anal</w:t>
            </w:r>
          </w:p>
        </w:tc>
        <w:tc>
          <w:tcPr>
            <w:tcW w:w="3168" w:type="dxa"/>
          </w:tcPr>
          <w:p w14:paraId="342D82E4" w14:textId="686EB968" w:rsidR="00644774" w:rsidRDefault="00644774" w:rsidP="00644774">
            <w:pPr>
              <w:pStyle w:val="Tabletext"/>
              <w:rPr>
                <w:rFonts w:ascii="Calibri" w:hAnsi="Calibri"/>
              </w:rPr>
            </w:pPr>
            <w:r w:rsidRPr="00BC2B87">
              <w:t>Double dose (2 tablets) 2-24 hours before risk</w:t>
            </w:r>
          </w:p>
        </w:tc>
        <w:tc>
          <w:tcPr>
            <w:tcW w:w="3213" w:type="dxa"/>
          </w:tcPr>
          <w:p w14:paraId="510323B1" w14:textId="7ACBAC42" w:rsidR="00644774" w:rsidRDefault="00644774" w:rsidP="00644774">
            <w:pPr>
              <w:pStyle w:val="Tabletext"/>
              <w:rPr>
                <w:rFonts w:ascii="Calibri" w:hAnsi="Calibri"/>
              </w:rPr>
            </w:pPr>
            <w:r w:rsidRPr="00CD09B6">
              <w:t>Continue single dose daily for 2 days after last risk</w:t>
            </w:r>
          </w:p>
        </w:tc>
      </w:tr>
      <w:tr w:rsidR="00644774" w14:paraId="74864334" w14:textId="77777777" w:rsidTr="00644774">
        <w:tc>
          <w:tcPr>
            <w:tcW w:w="2686" w:type="dxa"/>
          </w:tcPr>
          <w:p w14:paraId="5C35177F" w14:textId="59ABAF76" w:rsidR="00644774" w:rsidRPr="00644774" w:rsidRDefault="00644774" w:rsidP="00644774">
            <w:pPr>
              <w:pStyle w:val="TableHeaderRow"/>
              <w:rPr>
                <w:rStyle w:val="TableHeaderColumn"/>
                <w:b/>
                <w:bCs/>
                <w:kern w:val="0"/>
                <w:sz w:val="22"/>
              </w:rPr>
            </w:pPr>
            <w:r w:rsidRPr="00644774">
              <w:rPr>
                <w:rStyle w:val="TableHeaderColumn"/>
                <w:b/>
                <w:bCs/>
                <w:kern w:val="0"/>
                <w:sz w:val="22"/>
              </w:rPr>
              <w:t>Receptive vaginal/neovaginal</w:t>
            </w:r>
          </w:p>
        </w:tc>
        <w:tc>
          <w:tcPr>
            <w:tcW w:w="3168" w:type="dxa"/>
          </w:tcPr>
          <w:p w14:paraId="7BD343F1" w14:textId="729C6C3D" w:rsidR="00644774" w:rsidRDefault="00644774" w:rsidP="00644774">
            <w:pPr>
              <w:pStyle w:val="Tabletext"/>
              <w:rPr>
                <w:rFonts w:ascii="Calibri" w:hAnsi="Calibri"/>
              </w:rPr>
            </w:pPr>
            <w:r w:rsidRPr="00BC2B87">
              <w:t>Double dose (2 tablets) 2-24 hours before risk</w:t>
            </w:r>
          </w:p>
        </w:tc>
        <w:tc>
          <w:tcPr>
            <w:tcW w:w="3213" w:type="dxa"/>
          </w:tcPr>
          <w:p w14:paraId="72E273ED" w14:textId="75F1618F" w:rsidR="00644774" w:rsidRDefault="00644774" w:rsidP="00644774">
            <w:pPr>
              <w:pStyle w:val="Tabletext"/>
              <w:rPr>
                <w:rFonts w:ascii="Calibri" w:hAnsi="Calibri"/>
              </w:rPr>
            </w:pPr>
            <w:r w:rsidRPr="00CD09B6">
              <w:t>Continue single dose daily for 7 days after last risk</w:t>
            </w:r>
            <w:r>
              <w:t xml:space="preserve"> </w:t>
            </w:r>
            <w:r w:rsidRPr="00B972B8">
              <w:t>*</w:t>
            </w:r>
          </w:p>
        </w:tc>
      </w:tr>
      <w:tr w:rsidR="00644774" w14:paraId="381BA1CE" w14:textId="77777777" w:rsidTr="00644774">
        <w:tc>
          <w:tcPr>
            <w:tcW w:w="2686" w:type="dxa"/>
          </w:tcPr>
          <w:p w14:paraId="5DCD28AF" w14:textId="47E48D62" w:rsidR="00644774" w:rsidRPr="00644774" w:rsidRDefault="00644774" w:rsidP="00644774">
            <w:pPr>
              <w:pStyle w:val="TableHeaderRow"/>
              <w:rPr>
                <w:rStyle w:val="TableHeaderColumn"/>
                <w:b/>
                <w:bCs/>
                <w:kern w:val="0"/>
                <w:sz w:val="22"/>
              </w:rPr>
            </w:pPr>
            <w:r w:rsidRPr="00644774">
              <w:rPr>
                <w:rStyle w:val="TableHeaderColumn"/>
                <w:b/>
                <w:bCs/>
                <w:kern w:val="0"/>
                <w:sz w:val="22"/>
              </w:rPr>
              <w:t>People who inject drugs</w:t>
            </w:r>
          </w:p>
        </w:tc>
        <w:tc>
          <w:tcPr>
            <w:tcW w:w="3168" w:type="dxa"/>
          </w:tcPr>
          <w:p w14:paraId="229EB916" w14:textId="48389F76" w:rsidR="00644774" w:rsidRDefault="00644774" w:rsidP="00644774">
            <w:pPr>
              <w:pStyle w:val="Tabletext"/>
              <w:rPr>
                <w:rFonts w:ascii="Calibri" w:hAnsi="Calibri"/>
              </w:rPr>
            </w:pPr>
            <w:r w:rsidRPr="00BC2B87">
              <w:t>Double dose (2 tablets) 2-24 hours before risk</w:t>
            </w:r>
          </w:p>
        </w:tc>
        <w:tc>
          <w:tcPr>
            <w:tcW w:w="3213" w:type="dxa"/>
          </w:tcPr>
          <w:p w14:paraId="3E2F4FF8" w14:textId="354AB830" w:rsidR="00644774" w:rsidRDefault="00644774" w:rsidP="00644774">
            <w:pPr>
              <w:pStyle w:val="Tabletext"/>
              <w:rPr>
                <w:rFonts w:ascii="Calibri" w:hAnsi="Calibri"/>
              </w:rPr>
            </w:pPr>
            <w:r w:rsidRPr="1DA26A39">
              <w:t xml:space="preserve">Continue single dose daily for </w:t>
            </w:r>
            <w:bookmarkStart w:id="10" w:name="_Int_CdimYLQ3"/>
            <w:r w:rsidRPr="1DA26A39">
              <w:t>7 days</w:t>
            </w:r>
            <w:bookmarkEnd w:id="10"/>
            <w:r w:rsidRPr="1DA26A39">
              <w:t xml:space="preserve"> after last risk *</w:t>
            </w:r>
          </w:p>
        </w:tc>
      </w:tr>
    </w:tbl>
    <w:p w14:paraId="0336E276" w14:textId="77777777" w:rsidR="00D74F3D" w:rsidRDefault="00D74F3D" w:rsidP="005E4309">
      <w:pPr>
        <w:pStyle w:val="PGDNormal"/>
      </w:pPr>
      <w:bookmarkStart w:id="11" w:name="_Int_o98W6IIG"/>
    </w:p>
    <w:p w14:paraId="5DEDC04C" w14:textId="3AD545C2" w:rsidR="00644774" w:rsidRDefault="005E4309" w:rsidP="005E4309">
      <w:pPr>
        <w:pStyle w:val="PGDNormal"/>
      </w:pPr>
      <w:r>
        <w:t>*</w:t>
      </w:r>
      <w:r w:rsidR="00A22217">
        <w:t xml:space="preserve"> </w:t>
      </w:r>
      <w:proofErr w:type="gramStart"/>
      <w:r w:rsidRPr="006C31A5">
        <w:t>individuals</w:t>
      </w:r>
      <w:bookmarkEnd w:id="11"/>
      <w:proofErr w:type="gramEnd"/>
      <w:r w:rsidRPr="006C31A5">
        <w:t xml:space="preserve"> having </w:t>
      </w:r>
      <w:r w:rsidRPr="006C31A5">
        <w:rPr>
          <w:b/>
          <w:bCs/>
        </w:rPr>
        <w:t>both</w:t>
      </w:r>
      <w:r w:rsidRPr="006C31A5">
        <w:t xml:space="preserve"> receptive vaginal/neovaginal sex </w:t>
      </w:r>
      <w:r w:rsidRPr="006C31A5">
        <w:rPr>
          <w:b/>
          <w:bCs/>
        </w:rPr>
        <w:t>and</w:t>
      </w:r>
      <w:r w:rsidRPr="006C31A5">
        <w:t xml:space="preserve"> receptive anal sex should be advised to safely stop PrEP by continuing for 7 days after the last episode of condomless sex. Similarly, individuals who inject drugs should be advised to continue PrE</w:t>
      </w:r>
      <w:bookmarkStart w:id="12" w:name="Summary"/>
      <w:bookmarkEnd w:id="12"/>
      <w:r w:rsidRPr="006C31A5">
        <w:t>P for 7 days after last injecting, irrespective of the kind of sex they have.</w:t>
      </w:r>
    </w:p>
    <w:tbl>
      <w:tblPr>
        <w:tblStyle w:val="TableGrid"/>
        <w:tblW w:w="9222" w:type="dxa"/>
        <w:tblLook w:val="04A0" w:firstRow="1" w:lastRow="0" w:firstColumn="1" w:lastColumn="0" w:noHBand="0" w:noVBand="1"/>
        <w:tblCaption w:val="Table including details of the treatment."/>
        <w:tblDescription w:val="This table continues with details of the treatment included in the PGD template.  It consists of nine rows which include duration of treatment, quantity to be supplied, storage, drug interactions, identification and management of adverse effects, management and reporting of  adverse reactions,  written information for the individual, carer, parent or guardian, follow-up treatment and records to be kept.&#10;"/>
      </w:tblPr>
      <w:tblGrid>
        <w:gridCol w:w="3566"/>
        <w:gridCol w:w="5656"/>
      </w:tblGrid>
      <w:tr w:rsidR="00393D73" w14:paraId="25154B5D" w14:textId="77777777" w:rsidTr="00D54440">
        <w:tc>
          <w:tcPr>
            <w:tcW w:w="3566" w:type="dxa"/>
          </w:tcPr>
          <w:p w14:paraId="7C60F676" w14:textId="77777777" w:rsidR="00393D73" w:rsidRPr="00544444" w:rsidRDefault="00393D73" w:rsidP="00393D73">
            <w:pPr>
              <w:rPr>
                <w:rStyle w:val="TableHeaderColumn"/>
                <w:sz w:val="22"/>
              </w:rPr>
            </w:pPr>
            <w:r w:rsidRPr="00544444">
              <w:rPr>
                <w:rStyle w:val="TableHeaderColumn"/>
                <w:sz w:val="22"/>
              </w:rPr>
              <w:t xml:space="preserve">Duration of treatment </w:t>
            </w:r>
          </w:p>
          <w:p w14:paraId="01685DA9" w14:textId="4AAB1F66" w:rsidR="00393D73" w:rsidRPr="00544444" w:rsidRDefault="00393D73" w:rsidP="00393D73">
            <w:pPr>
              <w:rPr>
                <w:rStyle w:val="TableHeaderColumn"/>
                <w:sz w:val="22"/>
              </w:rPr>
            </w:pPr>
          </w:p>
        </w:tc>
        <w:tc>
          <w:tcPr>
            <w:tcW w:w="5656" w:type="dxa"/>
          </w:tcPr>
          <w:p w14:paraId="4261217B" w14:textId="77777777" w:rsidR="006C31A5" w:rsidRPr="006C31A5" w:rsidRDefault="006C31A5" w:rsidP="006C31A5">
            <w:pPr>
              <w:pStyle w:val="Tabletext"/>
              <w:rPr>
                <w:rFonts w:eastAsia="Calibri"/>
              </w:rPr>
            </w:pPr>
            <w:r w:rsidRPr="006C31A5">
              <w:rPr>
                <w:rFonts w:eastAsia="Calibri"/>
              </w:rPr>
              <w:t xml:space="preserve">No maximum or minimum period. Duration of treatment will be determined by the individual’s exposure to risk. </w:t>
            </w:r>
          </w:p>
          <w:p w14:paraId="234E4334" w14:textId="77777777" w:rsidR="006C31A5" w:rsidRPr="006C31A5" w:rsidRDefault="006C31A5" w:rsidP="006C31A5">
            <w:pPr>
              <w:pStyle w:val="Tabletext"/>
              <w:rPr>
                <w:rFonts w:eastAsia="Calibri"/>
              </w:rPr>
            </w:pPr>
          </w:p>
          <w:p w14:paraId="1BDDBFD7" w14:textId="0C74DB5D" w:rsidR="00393D73" w:rsidRPr="00393D73" w:rsidRDefault="006C31A5" w:rsidP="006C31A5">
            <w:pPr>
              <w:pStyle w:val="Tabletext"/>
              <w:rPr>
                <w:bCs/>
              </w:rPr>
            </w:pPr>
            <w:r w:rsidRPr="006C31A5">
              <w:rPr>
                <w:rFonts w:eastAsia="Calibri"/>
                <w:lang w:val="en-GB"/>
              </w:rPr>
              <w:t xml:space="preserve">Participants may stop PrEP at any time. Ensure they are aware of the </w:t>
            </w:r>
            <w:r w:rsidRPr="006C31A5">
              <w:rPr>
                <w:rFonts w:eastAsia="Calibri"/>
                <w:bCs/>
                <w:lang w:val="en-GB"/>
              </w:rPr>
              <w:t>duration PrEP needs to be taken for after last risk exposure to ensure protection.</w:t>
            </w:r>
          </w:p>
        </w:tc>
      </w:tr>
      <w:tr w:rsidR="00393D73" w14:paraId="073231F9" w14:textId="77777777" w:rsidTr="00D54440">
        <w:tc>
          <w:tcPr>
            <w:tcW w:w="3566" w:type="dxa"/>
            <w:tcBorders>
              <w:top w:val="single" w:sz="4" w:space="0" w:color="auto"/>
              <w:left w:val="single" w:sz="4" w:space="0" w:color="auto"/>
              <w:bottom w:val="single" w:sz="4" w:space="0" w:color="auto"/>
              <w:right w:val="single" w:sz="4" w:space="0" w:color="auto"/>
            </w:tcBorders>
          </w:tcPr>
          <w:p w14:paraId="3CF8ECDD" w14:textId="0AB526F0" w:rsidR="00393D73" w:rsidRPr="00544444" w:rsidRDefault="00393D73" w:rsidP="00393D73">
            <w:pPr>
              <w:rPr>
                <w:rStyle w:val="TableHeaderColumn"/>
                <w:sz w:val="22"/>
              </w:rPr>
            </w:pPr>
            <w:r w:rsidRPr="00544444">
              <w:rPr>
                <w:rStyle w:val="TableHeaderColumn"/>
                <w:sz w:val="22"/>
              </w:rPr>
              <w:t>Quantity to be supplied</w:t>
            </w:r>
          </w:p>
        </w:tc>
        <w:tc>
          <w:tcPr>
            <w:tcW w:w="5656" w:type="dxa"/>
            <w:tcBorders>
              <w:top w:val="single" w:sz="4" w:space="0" w:color="auto"/>
              <w:left w:val="single" w:sz="4" w:space="0" w:color="auto"/>
              <w:bottom w:val="single" w:sz="4" w:space="0" w:color="auto"/>
              <w:right w:val="single" w:sz="4" w:space="0" w:color="auto"/>
            </w:tcBorders>
          </w:tcPr>
          <w:p w14:paraId="1F534664" w14:textId="77777777" w:rsidR="006C31A5" w:rsidRPr="006C31A5" w:rsidRDefault="006C31A5" w:rsidP="006C31A5">
            <w:pPr>
              <w:pStyle w:val="Tabletext"/>
              <w:rPr>
                <w:rFonts w:cs="Arial"/>
                <w:bCs/>
                <w:iCs/>
              </w:rPr>
            </w:pPr>
            <w:r w:rsidRPr="006C31A5">
              <w:rPr>
                <w:rFonts w:cs="Arial"/>
                <w:bCs/>
                <w:iCs/>
              </w:rPr>
              <w:t xml:space="preserve">Appropriately labelled, packs of 30 tablets up to a maximum of 6 packs </w:t>
            </w:r>
            <w:proofErr w:type="gramStart"/>
            <w:r w:rsidRPr="006C31A5">
              <w:rPr>
                <w:rFonts w:cs="Arial"/>
                <w:bCs/>
                <w:iCs/>
              </w:rPr>
              <w:t>to</w:t>
            </w:r>
            <w:proofErr w:type="gramEnd"/>
            <w:r w:rsidRPr="006C31A5">
              <w:rPr>
                <w:rFonts w:cs="Arial"/>
                <w:bCs/>
                <w:iCs/>
              </w:rPr>
              <w:t xml:space="preserve"> be supplied. </w:t>
            </w:r>
          </w:p>
          <w:p w14:paraId="58C02B84" w14:textId="77777777" w:rsidR="006C31A5" w:rsidRPr="006C31A5" w:rsidRDefault="006C31A5" w:rsidP="006C31A5">
            <w:pPr>
              <w:pStyle w:val="Tabletext"/>
              <w:rPr>
                <w:rFonts w:cs="Arial"/>
                <w:bCs/>
                <w:iCs/>
              </w:rPr>
            </w:pPr>
            <w:r w:rsidRPr="006C31A5">
              <w:rPr>
                <w:rFonts w:cs="Arial"/>
                <w:bCs/>
                <w:iCs/>
              </w:rPr>
              <w:t xml:space="preserve">It is recommended that 3 months be supplied when initiating or re-starting </w:t>
            </w:r>
            <w:proofErr w:type="spellStart"/>
            <w:r w:rsidRPr="006C31A5">
              <w:rPr>
                <w:rFonts w:cs="Arial"/>
                <w:bCs/>
                <w:iCs/>
              </w:rPr>
              <w:t>PrEP.</w:t>
            </w:r>
            <w:proofErr w:type="spellEnd"/>
            <w:r w:rsidRPr="006C31A5">
              <w:rPr>
                <w:rFonts w:cs="Arial"/>
                <w:bCs/>
                <w:iCs/>
              </w:rPr>
              <w:t xml:space="preserve"> For individuals with low risk of toxicity and good adherence, a subsequent 6-month supply can be given if arrangements are made for 3-6 monthly STI† and 3-6 monthly HIV tests (either face-to-face or online). </w:t>
            </w:r>
          </w:p>
          <w:p w14:paraId="34A3B3B7" w14:textId="0E918115" w:rsidR="00393D73" w:rsidRDefault="000063B5" w:rsidP="006C31A5">
            <w:pPr>
              <w:pStyle w:val="Tabletext"/>
            </w:pPr>
            <w:r>
              <w:rPr>
                <w:rFonts w:cs="Arial"/>
                <w:bCs/>
                <w:iCs/>
                <w:highlight w:val="cyan"/>
              </w:rPr>
              <w:t>[</w:t>
            </w:r>
            <w:r w:rsidR="006C31A5" w:rsidRPr="000063B5">
              <w:rPr>
                <w:rFonts w:cs="Arial"/>
                <w:bCs/>
                <w:iCs/>
                <w:highlight w:val="cyan"/>
              </w:rPr>
              <w:t>Quantity to supply will be defined by need, expected usage and local commissioning framewor</w:t>
            </w:r>
            <w:r w:rsidR="006C31A5" w:rsidRPr="00F67E37">
              <w:rPr>
                <w:rFonts w:cs="Arial"/>
                <w:bCs/>
                <w:iCs/>
                <w:highlight w:val="cyan"/>
              </w:rPr>
              <w:t>k.</w:t>
            </w:r>
            <w:r w:rsidRPr="00F67E37">
              <w:rPr>
                <w:rFonts w:cs="Arial"/>
                <w:bCs/>
                <w:iCs/>
                <w:highlight w:val="cyan"/>
              </w:rPr>
              <w:t>]</w:t>
            </w:r>
          </w:p>
        </w:tc>
      </w:tr>
      <w:tr w:rsidR="00393D73" w14:paraId="28CB51BD" w14:textId="77777777" w:rsidTr="00D54440">
        <w:tc>
          <w:tcPr>
            <w:tcW w:w="3566" w:type="dxa"/>
            <w:tcBorders>
              <w:top w:val="single" w:sz="4" w:space="0" w:color="auto"/>
              <w:left w:val="single" w:sz="4" w:space="0" w:color="auto"/>
              <w:bottom w:val="single" w:sz="4" w:space="0" w:color="auto"/>
              <w:right w:val="single" w:sz="4" w:space="0" w:color="auto"/>
            </w:tcBorders>
          </w:tcPr>
          <w:p w14:paraId="69119C98" w14:textId="4AFD6B1F" w:rsidR="00393D73" w:rsidRPr="00544444" w:rsidRDefault="00393D73" w:rsidP="00393D73">
            <w:pPr>
              <w:rPr>
                <w:rStyle w:val="TableHeaderColumn"/>
                <w:sz w:val="22"/>
              </w:rPr>
            </w:pPr>
            <w:bookmarkStart w:id="13" w:name="Storage"/>
            <w:r w:rsidRPr="00544444">
              <w:rPr>
                <w:rStyle w:val="TableHeaderColumn"/>
                <w:sz w:val="22"/>
              </w:rPr>
              <w:t>Storag</w:t>
            </w:r>
            <w:bookmarkEnd w:id="13"/>
            <w:r w:rsidRPr="00544444">
              <w:rPr>
                <w:rStyle w:val="TableHeaderColumn"/>
                <w:sz w:val="22"/>
              </w:rPr>
              <w:t>e</w:t>
            </w:r>
          </w:p>
        </w:tc>
        <w:tc>
          <w:tcPr>
            <w:tcW w:w="5656" w:type="dxa"/>
            <w:tcBorders>
              <w:top w:val="single" w:sz="4" w:space="0" w:color="auto"/>
              <w:left w:val="single" w:sz="4" w:space="0" w:color="auto"/>
              <w:bottom w:val="single" w:sz="4" w:space="0" w:color="auto"/>
              <w:right w:val="single" w:sz="4" w:space="0" w:color="auto"/>
            </w:tcBorders>
          </w:tcPr>
          <w:p w14:paraId="63B16DBA" w14:textId="1906EC6F" w:rsidR="00393D73" w:rsidRPr="007D1E21" w:rsidRDefault="00393D73" w:rsidP="00581C9E">
            <w:pPr>
              <w:pStyle w:val="Tabletext"/>
              <w:rPr>
                <w:rFonts w:cs="Arial"/>
              </w:rPr>
            </w:pPr>
            <w:r w:rsidRPr="00BD1D91">
              <w:rPr>
                <w:rFonts w:eastAsia="Calibri"/>
              </w:rPr>
              <w:t xml:space="preserve">Stock </w:t>
            </w:r>
            <w:r w:rsidRPr="00581C9E">
              <w:rPr>
                <w:rFonts w:eastAsia="Calibri"/>
              </w:rPr>
              <w:t>must be securely stored according to organisation m</w:t>
            </w:r>
            <w:r w:rsidRPr="00BD1D91">
              <w:rPr>
                <w:rFonts w:eastAsia="Calibri"/>
              </w:rPr>
              <w:t>edicines policy and in conditions in line with</w:t>
            </w:r>
            <w:r w:rsidR="00E005E8">
              <w:rPr>
                <w:rFonts w:eastAsia="Calibri"/>
              </w:rPr>
              <w:t xml:space="preserve"> the </w:t>
            </w:r>
            <w:r w:rsidRPr="00BD1D91">
              <w:rPr>
                <w:rFonts w:eastAsia="Calibri"/>
              </w:rPr>
              <w:t xml:space="preserve"> </w:t>
            </w:r>
            <w:hyperlink r:id="rId35" w:history="1">
              <w:r w:rsidRPr="00BD1D91">
                <w:rPr>
                  <w:rStyle w:val="Hyperlink"/>
                  <w:rFonts w:eastAsia="Calibri"/>
                </w:rPr>
                <w:t>S</w:t>
              </w:r>
              <w:r w:rsidR="00BD1D91" w:rsidRPr="00BD1D91">
                <w:rPr>
                  <w:rStyle w:val="Hyperlink"/>
                  <w:rFonts w:eastAsia="Calibri"/>
                </w:rPr>
                <w:t>m</w:t>
              </w:r>
              <w:r w:rsidRPr="00BD1D91">
                <w:rPr>
                  <w:rStyle w:val="Hyperlink"/>
                  <w:rFonts w:eastAsia="Calibri"/>
                </w:rPr>
                <w:t>PC, which is available from the el</w:t>
              </w:r>
              <w:r w:rsidRPr="00BD1D91">
                <w:rPr>
                  <w:rStyle w:val="Hyperlink"/>
                  <w:rFonts w:eastAsia="Calibri"/>
                </w:rPr>
                <w:t>e</w:t>
              </w:r>
              <w:r w:rsidRPr="00BD1D91">
                <w:rPr>
                  <w:rStyle w:val="Hyperlink"/>
                  <w:rFonts w:eastAsia="Calibri"/>
                </w:rPr>
                <w:t>ctronic Medicines Compendium website</w:t>
              </w:r>
            </w:hyperlink>
            <w:r w:rsidRPr="00BD1D91">
              <w:rPr>
                <w:rFonts w:eastAsia="Calibri"/>
              </w:rPr>
              <w:t>:</w:t>
            </w:r>
            <w:r w:rsidRPr="00677C74">
              <w:rPr>
                <w:rFonts w:cs="Arial"/>
                <w:szCs w:val="22"/>
              </w:rPr>
              <w:t xml:space="preserve"> </w:t>
            </w:r>
          </w:p>
        </w:tc>
      </w:tr>
      <w:tr w:rsidR="00393D73" w14:paraId="2CD9E9DF" w14:textId="77777777" w:rsidTr="00D54440">
        <w:tc>
          <w:tcPr>
            <w:tcW w:w="3566" w:type="dxa"/>
            <w:tcBorders>
              <w:top w:val="single" w:sz="4" w:space="0" w:color="auto"/>
              <w:left w:val="single" w:sz="4" w:space="0" w:color="auto"/>
              <w:bottom w:val="single" w:sz="4" w:space="0" w:color="auto"/>
              <w:right w:val="single" w:sz="4" w:space="0" w:color="auto"/>
            </w:tcBorders>
          </w:tcPr>
          <w:p w14:paraId="580D0647" w14:textId="706B8F3C" w:rsidR="00393D73" w:rsidRPr="00544444" w:rsidRDefault="00393D73" w:rsidP="00393D73">
            <w:pPr>
              <w:rPr>
                <w:rStyle w:val="TableHeaderColumn"/>
                <w:sz w:val="22"/>
              </w:rPr>
            </w:pPr>
            <w:bookmarkStart w:id="14" w:name="Interactions"/>
            <w:r w:rsidRPr="00544444">
              <w:rPr>
                <w:rStyle w:val="TableHeaderColumn"/>
                <w:sz w:val="22"/>
              </w:rPr>
              <w:t>Drug interactions</w:t>
            </w:r>
            <w:bookmarkEnd w:id="14"/>
          </w:p>
        </w:tc>
        <w:tc>
          <w:tcPr>
            <w:tcW w:w="5656" w:type="dxa"/>
            <w:tcBorders>
              <w:top w:val="single" w:sz="4" w:space="0" w:color="auto"/>
              <w:left w:val="single" w:sz="4" w:space="0" w:color="auto"/>
              <w:bottom w:val="single" w:sz="4" w:space="0" w:color="auto"/>
              <w:right w:val="single" w:sz="4" w:space="0" w:color="auto"/>
            </w:tcBorders>
          </w:tcPr>
          <w:p w14:paraId="10333E69" w14:textId="77777777" w:rsidR="000063B5" w:rsidRPr="000063B5" w:rsidRDefault="000063B5" w:rsidP="000063B5">
            <w:pPr>
              <w:pStyle w:val="Tabletext"/>
              <w:rPr>
                <w:lang w:val="en-GB"/>
              </w:rPr>
            </w:pPr>
            <w:r w:rsidRPr="000063B5">
              <w:rPr>
                <w:lang w:val="en-GB"/>
              </w:rPr>
              <w:t>All concurrent medications should be reviewed for interactions.</w:t>
            </w:r>
          </w:p>
          <w:p w14:paraId="18EE006A" w14:textId="77777777" w:rsidR="000063B5" w:rsidRPr="000063B5" w:rsidRDefault="000063B5" w:rsidP="000063B5">
            <w:pPr>
              <w:pStyle w:val="Tabletext"/>
              <w:rPr>
                <w:lang w:val="en-GB"/>
              </w:rPr>
            </w:pPr>
          </w:p>
          <w:p w14:paraId="7D9293CF" w14:textId="77777777" w:rsidR="000063B5" w:rsidRPr="000063B5" w:rsidRDefault="000063B5" w:rsidP="000063B5">
            <w:pPr>
              <w:pStyle w:val="Tabletext"/>
              <w:rPr>
                <w:lang w:val="en-GB"/>
              </w:rPr>
            </w:pPr>
            <w:r w:rsidRPr="000063B5">
              <w:rPr>
                <w:lang w:val="en-GB"/>
              </w:rPr>
              <w:t xml:space="preserve">Where it is known an individual is concurrently taking one of the following medicines, emtricitabine/tenofovir </w:t>
            </w:r>
            <w:r w:rsidRPr="000063B5">
              <w:rPr>
                <w:lang w:val="en-GB"/>
              </w:rPr>
              <w:lastRenderedPageBreak/>
              <w:t>disoproxil must not be supplied under this PGD and the individual referred to a prescriber:</w:t>
            </w:r>
          </w:p>
          <w:p w14:paraId="7B3D59F7" w14:textId="77777777" w:rsidR="000063B5" w:rsidRPr="000063B5" w:rsidRDefault="000063B5" w:rsidP="000063B5">
            <w:pPr>
              <w:pStyle w:val="Bulletindent1"/>
            </w:pPr>
            <w:r w:rsidRPr="000063B5">
              <w:t>Emtricitabine</w:t>
            </w:r>
          </w:p>
          <w:p w14:paraId="7BB15CFA" w14:textId="77777777" w:rsidR="000063B5" w:rsidRPr="000063B5" w:rsidRDefault="000063B5" w:rsidP="000063B5">
            <w:pPr>
              <w:pStyle w:val="Bulletindent1"/>
            </w:pPr>
            <w:r w:rsidRPr="000063B5">
              <w:t>Tenofovir (all salts)</w:t>
            </w:r>
          </w:p>
          <w:p w14:paraId="5E48D396" w14:textId="77777777" w:rsidR="000063B5" w:rsidRPr="000063B5" w:rsidRDefault="000063B5" w:rsidP="000063B5">
            <w:pPr>
              <w:pStyle w:val="Bulletindent1"/>
            </w:pPr>
            <w:r w:rsidRPr="000063B5">
              <w:t xml:space="preserve">Adefovir </w:t>
            </w:r>
            <w:proofErr w:type="spellStart"/>
            <w:r w:rsidRPr="000063B5">
              <w:t>dipivoxil</w:t>
            </w:r>
            <w:proofErr w:type="spellEnd"/>
          </w:p>
          <w:p w14:paraId="2AEA0992" w14:textId="77777777" w:rsidR="000063B5" w:rsidRPr="000063B5" w:rsidRDefault="000063B5" w:rsidP="000063B5">
            <w:pPr>
              <w:pStyle w:val="Bulletindent1"/>
            </w:pPr>
            <w:r w:rsidRPr="000063B5">
              <w:t>Lamivudine and other cytidine analogues</w:t>
            </w:r>
          </w:p>
          <w:p w14:paraId="6F7DE4FA" w14:textId="77777777" w:rsidR="000063B5" w:rsidRPr="005E4309" w:rsidRDefault="000063B5" w:rsidP="000063B5">
            <w:pPr>
              <w:pStyle w:val="Bulletindent1"/>
            </w:pPr>
            <w:r w:rsidRPr="005E4309">
              <w:t>Cidofovir and other medicines that compete for active tubular secretion</w:t>
            </w:r>
          </w:p>
          <w:p w14:paraId="4BC63AD6" w14:textId="5C671278" w:rsidR="000063B5" w:rsidRPr="000063B5" w:rsidRDefault="000063B5" w:rsidP="000063B5">
            <w:pPr>
              <w:pStyle w:val="Bulletindent1"/>
              <w:rPr>
                <w:rStyle w:val="Hyperlink"/>
              </w:rPr>
            </w:pPr>
            <w:r w:rsidRPr="005E4309">
              <w:t xml:space="preserve">Any other </w:t>
            </w:r>
            <w:r w:rsidRPr="000063B5">
              <w:t xml:space="preserve">medicine with a red (contraindicated and should not be co-administered) or amber (potential interaction) warning on the </w:t>
            </w:r>
            <w:r w:rsidRPr="000063B5">
              <w:rPr>
                <w:rStyle w:val="Hyperlink"/>
              </w:rPr>
              <w:fldChar w:fldCharType="begin"/>
            </w:r>
            <w:r w:rsidRPr="000063B5">
              <w:rPr>
                <w:rStyle w:val="Hyperlink"/>
              </w:rPr>
              <w:instrText>HYPERLINK "https://hiv-druginteractions.org/" \o "https://www.hep-druginteractions.org/" \t "_blank"</w:instrText>
            </w:r>
            <w:r w:rsidRPr="000063B5">
              <w:rPr>
                <w:rStyle w:val="Hyperlink"/>
              </w:rPr>
            </w:r>
            <w:r w:rsidRPr="000063B5">
              <w:rPr>
                <w:rStyle w:val="Hyperlink"/>
              </w:rPr>
              <w:fldChar w:fldCharType="separate"/>
            </w:r>
            <w:r w:rsidRPr="000063B5">
              <w:rPr>
                <w:rStyle w:val="Hyperlink"/>
              </w:rPr>
              <w:t>Univer</w:t>
            </w:r>
            <w:r w:rsidRPr="000063B5">
              <w:rPr>
                <w:rStyle w:val="Hyperlink"/>
              </w:rPr>
              <w:t>s</w:t>
            </w:r>
            <w:r w:rsidRPr="000063B5">
              <w:rPr>
                <w:rStyle w:val="Hyperlink"/>
              </w:rPr>
              <w:t>ity of Liverpool HIV Drug Interactions website.</w:t>
            </w:r>
          </w:p>
          <w:p w14:paraId="0ECC12DD" w14:textId="476A0FA4" w:rsidR="000063B5" w:rsidRPr="000063B5" w:rsidRDefault="000063B5" w:rsidP="000063B5">
            <w:pPr>
              <w:pStyle w:val="Tabletext"/>
              <w:rPr>
                <w:lang w:val="en-GB"/>
              </w:rPr>
            </w:pPr>
            <w:r w:rsidRPr="000063B5">
              <w:rPr>
                <w:rStyle w:val="Hyperlink"/>
              </w:rPr>
              <w:fldChar w:fldCharType="end"/>
            </w:r>
          </w:p>
          <w:p w14:paraId="45FC6A12" w14:textId="4F7E5C30" w:rsidR="000063B5" w:rsidRPr="000063B5" w:rsidRDefault="000063B5" w:rsidP="000063B5">
            <w:pPr>
              <w:pStyle w:val="Tabletext"/>
              <w:rPr>
                <w:lang w:val="en-GB"/>
              </w:rPr>
            </w:pPr>
            <w:r w:rsidRPr="000063B5">
              <w:rPr>
                <w:lang w:val="en-GB"/>
              </w:rPr>
              <w:t xml:space="preserve">A detailed list of all drug interactions is available in the </w:t>
            </w:r>
            <w:hyperlink r:id="rId36" w:history="1">
              <w:r w:rsidRPr="000063B5">
                <w:rPr>
                  <w:rStyle w:val="Hyperlink"/>
                  <w:lang w:val="en-GB"/>
                </w:rPr>
                <w:t>BNF</w:t>
              </w:r>
            </w:hyperlink>
            <w:r w:rsidRPr="000063B5">
              <w:rPr>
                <w:lang w:val="en-GB"/>
              </w:rPr>
              <w:t xml:space="preserve">, the product </w:t>
            </w:r>
            <w:hyperlink r:id="rId37" w:history="1">
              <w:r>
                <w:rPr>
                  <w:rStyle w:val="Hyperlink"/>
                </w:rPr>
                <w:t>SmPC which is available from the EMC website</w:t>
              </w:r>
            </w:hyperlink>
            <w:r w:rsidRPr="000063B5">
              <w:rPr>
                <w:lang w:val="en-GB"/>
              </w:rPr>
              <w:t xml:space="preserve"> or the </w:t>
            </w:r>
            <w:hyperlink r:id="rId38" w:tgtFrame="_blank" w:tooltip="https://www.hep-druginteractions.org/" w:history="1">
              <w:r w:rsidRPr="000063B5">
                <w:rPr>
                  <w:rStyle w:val="Hyperlink"/>
                  <w:rFonts w:eastAsia="Arial"/>
                  <w:lang w:val="en-GB"/>
                </w:rPr>
                <w:t>Unive</w:t>
              </w:r>
              <w:r w:rsidRPr="000063B5">
                <w:rPr>
                  <w:rStyle w:val="Hyperlink"/>
                  <w:rFonts w:eastAsia="Arial"/>
                  <w:lang w:val="en-GB"/>
                </w:rPr>
                <w:t>r</w:t>
              </w:r>
              <w:r w:rsidRPr="000063B5">
                <w:rPr>
                  <w:rStyle w:val="Hyperlink"/>
                  <w:rFonts w:eastAsia="Arial"/>
                  <w:lang w:val="en-GB"/>
                </w:rPr>
                <w:t>sity of Liverpool HIV Drug Interactions website</w:t>
              </w:r>
            </w:hyperlink>
            <w:r w:rsidRPr="000063B5">
              <w:rPr>
                <w:rStyle w:val="Hyperlink"/>
                <w:rFonts w:eastAsia="Arial"/>
                <w:lang w:val="en-GB"/>
              </w:rPr>
              <w:t>.</w:t>
            </w:r>
          </w:p>
          <w:p w14:paraId="7F7E20CF" w14:textId="77777777" w:rsidR="000063B5" w:rsidRPr="000063B5" w:rsidRDefault="000063B5" w:rsidP="000063B5">
            <w:pPr>
              <w:pStyle w:val="Tabletext"/>
              <w:rPr>
                <w:lang w:val="en-GB"/>
              </w:rPr>
            </w:pPr>
          </w:p>
          <w:p w14:paraId="06B6C616" w14:textId="24BD9119" w:rsidR="00393D73" w:rsidRDefault="000063B5" w:rsidP="000063B5">
            <w:pPr>
              <w:pStyle w:val="Tabletext"/>
            </w:pPr>
            <w:r w:rsidRPr="000063B5">
              <w:rPr>
                <w:u w:val="single"/>
                <w:lang w:val="en-GB"/>
              </w:rPr>
              <w:t>Note:</w:t>
            </w:r>
            <w:r w:rsidRPr="000063B5">
              <w:rPr>
                <w:lang w:val="en-GB"/>
              </w:rPr>
              <w:t xml:space="preserve"> The possibility of drug–drug interactions between PrEP and gender affirming hormone therapy (GAHT) remains a concern for some transgender people and reassurances should be given that there are </w:t>
            </w:r>
            <w:r w:rsidRPr="000063B5">
              <w:rPr>
                <w:b/>
                <w:bCs/>
                <w:lang w:val="en-GB"/>
              </w:rPr>
              <w:t>no expected interactions.</w:t>
            </w:r>
          </w:p>
        </w:tc>
      </w:tr>
      <w:tr w:rsidR="00393D73" w14:paraId="39E46197" w14:textId="77777777" w:rsidTr="00D54440">
        <w:tc>
          <w:tcPr>
            <w:tcW w:w="3566" w:type="dxa"/>
            <w:tcBorders>
              <w:top w:val="single" w:sz="4" w:space="0" w:color="auto"/>
              <w:left w:val="single" w:sz="4" w:space="0" w:color="auto"/>
              <w:bottom w:val="single" w:sz="4" w:space="0" w:color="auto"/>
              <w:right w:val="single" w:sz="4" w:space="0" w:color="auto"/>
            </w:tcBorders>
          </w:tcPr>
          <w:p w14:paraId="338D9536" w14:textId="7100B09A" w:rsidR="00393D73" w:rsidRPr="005A6168" w:rsidRDefault="00393D73" w:rsidP="00393D73">
            <w:pPr>
              <w:rPr>
                <w:rStyle w:val="TableHeaderColumn"/>
              </w:rPr>
            </w:pPr>
            <w:r w:rsidRPr="00544444">
              <w:rPr>
                <w:rStyle w:val="TableHeaderColumn"/>
                <w:sz w:val="22"/>
              </w:rPr>
              <w:lastRenderedPageBreak/>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03C60F2D" w14:textId="3410868B" w:rsidR="00393D73" w:rsidRPr="00BD1D91" w:rsidRDefault="00393D73" w:rsidP="002F652F">
            <w:pPr>
              <w:pStyle w:val="Tabletext"/>
            </w:pPr>
            <w:r w:rsidRPr="00BD1D91">
              <w:t xml:space="preserve">A detailed list of adverse reactions is available in </w:t>
            </w:r>
            <w:r w:rsidR="00BD1D91" w:rsidRPr="00BD1D91">
              <w:t xml:space="preserve">the </w:t>
            </w:r>
            <w:hyperlink r:id="rId39" w:history="1">
              <w:r w:rsidR="000063B5" w:rsidRPr="000063B5">
                <w:rPr>
                  <w:rStyle w:val="Hyperlink"/>
                  <w:lang w:val="en-GB"/>
                </w:rPr>
                <w:t>SmPC which is available from the EMC we</w:t>
              </w:r>
              <w:r w:rsidR="000063B5" w:rsidRPr="000063B5">
                <w:rPr>
                  <w:rStyle w:val="Hyperlink"/>
                  <w:lang w:val="en-GB"/>
                </w:rPr>
                <w:t>b</w:t>
              </w:r>
              <w:r w:rsidR="000063B5" w:rsidRPr="000063B5">
                <w:rPr>
                  <w:rStyle w:val="Hyperlink"/>
                  <w:lang w:val="en-GB"/>
                </w:rPr>
                <w:t>site</w:t>
              </w:r>
            </w:hyperlink>
            <w:r w:rsidR="00BD1D91" w:rsidRPr="00BD1D91">
              <w:t xml:space="preserve"> a</w:t>
            </w:r>
            <w:r w:rsidRPr="00BD1D91">
              <w:t>nd</w:t>
            </w:r>
            <w:r w:rsidR="00BD1D91">
              <w:t xml:space="preserve"> </w:t>
            </w:r>
            <w:hyperlink r:id="rId40" w:history="1">
              <w:r w:rsidR="00BD1D91" w:rsidRPr="00BD1D91">
                <w:rPr>
                  <w:rStyle w:val="Hyperlink"/>
                  <w:rFonts w:cs="Arial"/>
                  <w:bCs/>
                  <w:iCs/>
                </w:rPr>
                <w:t>th</w:t>
              </w:r>
              <w:r w:rsidR="00BD1D91" w:rsidRPr="00BD1D91">
                <w:rPr>
                  <w:rStyle w:val="Hyperlink"/>
                  <w:rFonts w:cs="Arial"/>
                  <w:bCs/>
                  <w:iCs/>
                </w:rPr>
                <w:t>e</w:t>
              </w:r>
              <w:r w:rsidR="00BD1D91" w:rsidRPr="00BD1D91">
                <w:rPr>
                  <w:rStyle w:val="Hyperlink"/>
                  <w:rFonts w:cs="Arial"/>
                  <w:bCs/>
                  <w:iCs/>
                </w:rPr>
                <w:t xml:space="preserve"> </w:t>
              </w:r>
              <w:r w:rsidRPr="00BD1D91">
                <w:rPr>
                  <w:rStyle w:val="Hyperlink"/>
                  <w:rFonts w:cs="Arial"/>
                  <w:bCs/>
                  <w:iCs/>
                </w:rPr>
                <w:t>BNF</w:t>
              </w:r>
            </w:hyperlink>
            <w:r w:rsidRPr="00BD1D91">
              <w:t xml:space="preserve"> </w:t>
            </w:r>
          </w:p>
          <w:p w14:paraId="771C1645" w14:textId="77777777" w:rsidR="00581C9E" w:rsidRDefault="00581C9E" w:rsidP="002F652F">
            <w:pPr>
              <w:pStyle w:val="Tabletext"/>
            </w:pPr>
          </w:p>
          <w:p w14:paraId="58B93E73" w14:textId="77777777" w:rsidR="000063B5" w:rsidRPr="000063B5" w:rsidRDefault="000063B5" w:rsidP="000063B5">
            <w:pPr>
              <w:pStyle w:val="Tabletext"/>
              <w:rPr>
                <w:lang w:val="en-GB"/>
              </w:rPr>
            </w:pPr>
            <w:r w:rsidRPr="000063B5">
              <w:rPr>
                <w:lang w:val="en-GB"/>
              </w:rPr>
              <w:t xml:space="preserve">The following side effects are reported as </w:t>
            </w:r>
            <w:r w:rsidRPr="000063B5">
              <w:rPr>
                <w:b/>
                <w:lang w:val="en-GB"/>
              </w:rPr>
              <w:t>very common</w:t>
            </w:r>
            <w:r w:rsidRPr="000063B5">
              <w:rPr>
                <w:lang w:val="en-GB"/>
              </w:rPr>
              <w:t xml:space="preserve"> or </w:t>
            </w:r>
            <w:r w:rsidRPr="000063B5">
              <w:rPr>
                <w:b/>
                <w:lang w:val="en-GB"/>
              </w:rPr>
              <w:t>common</w:t>
            </w:r>
            <w:r w:rsidRPr="000063B5">
              <w:rPr>
                <w:lang w:val="en-GB"/>
              </w:rPr>
              <w:t xml:space="preserve"> with</w:t>
            </w:r>
            <w:r w:rsidRPr="000063B5">
              <w:t xml:space="preserve"> </w:t>
            </w:r>
            <w:r w:rsidRPr="000063B5">
              <w:rPr>
                <w:lang w:val="en-GB"/>
              </w:rPr>
              <w:t>emtricitabine/tenofovir disoproxil:</w:t>
            </w:r>
          </w:p>
          <w:p w14:paraId="559DB82A" w14:textId="77777777" w:rsidR="000063B5" w:rsidRPr="000063B5" w:rsidRDefault="000063B5" w:rsidP="000063B5">
            <w:pPr>
              <w:pStyle w:val="Bulletindent1"/>
            </w:pPr>
            <w:r w:rsidRPr="000063B5">
              <w:t xml:space="preserve">Diarrhoea, vomiting, nausea </w:t>
            </w:r>
          </w:p>
          <w:p w14:paraId="1EAEFCCD" w14:textId="77777777" w:rsidR="000063B5" w:rsidRPr="000063B5" w:rsidRDefault="000063B5" w:rsidP="000063B5">
            <w:pPr>
              <w:pStyle w:val="Bulletindent1"/>
            </w:pPr>
            <w:r w:rsidRPr="000063B5">
              <w:t>Dizziness, headache</w:t>
            </w:r>
          </w:p>
          <w:p w14:paraId="3A24FA46" w14:textId="77777777" w:rsidR="000063B5" w:rsidRPr="000063B5" w:rsidRDefault="000063B5" w:rsidP="000063B5">
            <w:pPr>
              <w:pStyle w:val="Bulletindent1"/>
            </w:pPr>
            <w:r w:rsidRPr="000063B5">
              <w:t>Feeling weak</w:t>
            </w:r>
          </w:p>
          <w:p w14:paraId="37A212F1" w14:textId="77777777" w:rsidR="000063B5" w:rsidRPr="000063B5" w:rsidRDefault="000063B5" w:rsidP="000063B5">
            <w:pPr>
              <w:pStyle w:val="Bulletindent1"/>
            </w:pPr>
            <w:r w:rsidRPr="000063B5">
              <w:t>Pain, stomach pain</w:t>
            </w:r>
          </w:p>
          <w:p w14:paraId="5FBD7447" w14:textId="77777777" w:rsidR="000063B5" w:rsidRPr="000063B5" w:rsidRDefault="000063B5" w:rsidP="000063B5">
            <w:pPr>
              <w:pStyle w:val="Bulletindent1"/>
            </w:pPr>
            <w:r w:rsidRPr="000063B5">
              <w:t>Difficulty sleeping, abnormal dreams</w:t>
            </w:r>
          </w:p>
          <w:p w14:paraId="0222A1A3" w14:textId="77777777" w:rsidR="000063B5" w:rsidRDefault="000063B5" w:rsidP="000063B5">
            <w:pPr>
              <w:pStyle w:val="Bulletindent1"/>
            </w:pPr>
            <w:r w:rsidRPr="000063B5">
              <w:t>Problems with digestion resulting in discomfort after meals, feeling bloated, flatulence</w:t>
            </w:r>
          </w:p>
          <w:p w14:paraId="36425F5B" w14:textId="77777777" w:rsidR="000063B5" w:rsidRPr="000063B5" w:rsidRDefault="000063B5" w:rsidP="000063B5">
            <w:pPr>
              <w:pStyle w:val="Bulletindent1"/>
            </w:pPr>
            <w:r w:rsidRPr="000063B5">
              <w:t>Rashes (including red spots or blotches sometimes with blistering and swelling of the skin), which may be allergic reactions, itching, changes in skin colour including darkening of the skin in patches</w:t>
            </w:r>
          </w:p>
          <w:p w14:paraId="2B50FAA7" w14:textId="77777777" w:rsidR="000063B5" w:rsidRPr="000063B5" w:rsidRDefault="000063B5" w:rsidP="000063B5">
            <w:pPr>
              <w:pStyle w:val="Bulletindent1"/>
            </w:pPr>
            <w:r w:rsidRPr="000063B5">
              <w:lastRenderedPageBreak/>
              <w:t xml:space="preserve">Deranged blood tests including liver function tests and electrolytes. </w:t>
            </w:r>
          </w:p>
          <w:p w14:paraId="5CACB547" w14:textId="77777777" w:rsidR="000063B5" w:rsidRPr="000063B5" w:rsidRDefault="000063B5" w:rsidP="000063B5">
            <w:pPr>
              <w:pStyle w:val="Bulletindent1"/>
            </w:pPr>
            <w:r w:rsidRPr="000063B5">
              <w:t>Other allergic reactions, such as wheezing, swelling, or feeling light-headed, swelling of the face, lips, tongue or throat</w:t>
            </w:r>
          </w:p>
          <w:p w14:paraId="3EE36FBC" w14:textId="77777777" w:rsidR="000063B5" w:rsidRPr="000063B5" w:rsidRDefault="000063B5" w:rsidP="000063B5">
            <w:pPr>
              <w:pStyle w:val="Bulletindent1"/>
              <w:numPr>
                <w:ilvl w:val="0"/>
                <w:numId w:val="0"/>
              </w:numPr>
              <w:ind w:left="720"/>
            </w:pPr>
          </w:p>
          <w:p w14:paraId="307342DB" w14:textId="77777777" w:rsidR="000063B5" w:rsidRDefault="000063B5" w:rsidP="000063B5">
            <w:pPr>
              <w:pStyle w:val="Tabletext"/>
              <w:rPr>
                <w:rFonts w:eastAsia="Arial"/>
              </w:rPr>
            </w:pPr>
            <w:r>
              <w:rPr>
                <w:rFonts w:eastAsia="Arial"/>
              </w:rPr>
              <w:t xml:space="preserve">Reassure the individual that nausea, gastrointestinal disturbance, dizziness and headache are generally mild in severity and usually go away with continued use. </w:t>
            </w:r>
          </w:p>
          <w:p w14:paraId="50D88D7F" w14:textId="77777777" w:rsidR="000063B5" w:rsidRDefault="000063B5" w:rsidP="000063B5">
            <w:pPr>
              <w:pStyle w:val="Tabletext"/>
              <w:rPr>
                <w:rFonts w:eastAsia="Arial"/>
              </w:rPr>
            </w:pPr>
          </w:p>
          <w:p w14:paraId="1EB914FC" w14:textId="77777777" w:rsidR="000063B5" w:rsidRDefault="000063B5" w:rsidP="000063B5">
            <w:pPr>
              <w:pStyle w:val="Tabletext"/>
              <w:rPr>
                <w:rFonts w:eastAsia="Arial"/>
              </w:rPr>
            </w:pPr>
            <w:r>
              <w:rPr>
                <w:rFonts w:eastAsia="Arial"/>
              </w:rPr>
              <w:t xml:space="preserve">If an individual experiences gastrointestinal side effects whilst taking PrEP advise them to take it with food. </w:t>
            </w:r>
          </w:p>
          <w:p w14:paraId="3D66C4D7" w14:textId="77777777" w:rsidR="000063B5" w:rsidRDefault="000063B5" w:rsidP="000063B5">
            <w:pPr>
              <w:pStyle w:val="Tabletext"/>
              <w:rPr>
                <w:rFonts w:eastAsia="Arial"/>
              </w:rPr>
            </w:pPr>
          </w:p>
          <w:p w14:paraId="59A213F4" w14:textId="2A9A35E9" w:rsidR="00393D73" w:rsidRDefault="000063B5" w:rsidP="000063B5">
            <w:pPr>
              <w:pStyle w:val="Tabletext"/>
            </w:pPr>
            <w:r w:rsidRPr="002B6CFA">
              <w:t>In the event of a severe adverse reaction, the individual must be advised to stop treatment immediately and seek urgent medical advice.</w:t>
            </w:r>
          </w:p>
        </w:tc>
      </w:tr>
      <w:tr w:rsidR="00393D73" w14:paraId="08C3469A" w14:textId="77777777" w:rsidTr="00D54440">
        <w:tc>
          <w:tcPr>
            <w:tcW w:w="3566" w:type="dxa"/>
          </w:tcPr>
          <w:p w14:paraId="0980B18E" w14:textId="77777777" w:rsidR="00393D73" w:rsidRPr="00544444" w:rsidRDefault="00393D73" w:rsidP="00393D73">
            <w:pPr>
              <w:rPr>
                <w:rStyle w:val="TableHeaderColumn"/>
                <w:sz w:val="22"/>
              </w:rPr>
            </w:pPr>
            <w:r w:rsidRPr="00544444">
              <w:rPr>
                <w:rStyle w:val="TableHeaderColumn"/>
                <w:sz w:val="22"/>
              </w:rPr>
              <w:lastRenderedPageBreak/>
              <w:t>Management of and reporting procedures for adverse reactions</w:t>
            </w:r>
          </w:p>
        </w:tc>
        <w:tc>
          <w:tcPr>
            <w:tcW w:w="5656" w:type="dxa"/>
          </w:tcPr>
          <w:p w14:paraId="5B9E6BE1" w14:textId="24E0762F" w:rsidR="00393D73" w:rsidRPr="00677C74" w:rsidRDefault="00393D73" w:rsidP="00393D73">
            <w:pPr>
              <w:pStyle w:val="Bulletindent1"/>
            </w:pPr>
            <w:r w:rsidRPr="00677C74">
              <w:t>Healthcare professionals and individuals/carers</w:t>
            </w:r>
            <w:r>
              <w:t>/parents/guardians</w:t>
            </w:r>
            <w:r w:rsidRPr="00677C74">
              <w:t xml:space="preserve"> are encouraged to report suspected adverse reactions to the </w:t>
            </w:r>
            <w:hyperlink r:id="rId41" w:history="1">
              <w:r w:rsidR="008D52EE" w:rsidRPr="00504FB7">
                <w:rPr>
                  <w:rStyle w:val="Hyperlink"/>
                </w:rPr>
                <w:t>MHRA's Yellow Card Sch</w:t>
              </w:r>
              <w:r w:rsidR="008D52EE" w:rsidRPr="00504FB7">
                <w:rPr>
                  <w:rStyle w:val="Hyperlink"/>
                </w:rPr>
                <w:t>e</w:t>
              </w:r>
              <w:r w:rsidR="008D52EE" w:rsidRPr="00504FB7">
                <w:rPr>
                  <w:rStyle w:val="Hyperlink"/>
                </w:rPr>
                <w:t>me</w:t>
              </w:r>
            </w:hyperlink>
          </w:p>
          <w:p w14:paraId="679D7140" w14:textId="77777777" w:rsidR="00393D73" w:rsidRPr="00677C74" w:rsidRDefault="00393D73" w:rsidP="00393D73">
            <w:pPr>
              <w:pStyle w:val="Bulletindent1"/>
            </w:pPr>
            <w:r w:rsidRPr="00677C74">
              <w:t>Record all adverse drug reactions (ADRs) in the individual’s clinical record.</w:t>
            </w:r>
          </w:p>
          <w:p w14:paraId="1E0E8E47" w14:textId="183C23E7" w:rsidR="00393D73" w:rsidRPr="00F56845" w:rsidRDefault="008D52EE" w:rsidP="00393D73">
            <w:pPr>
              <w:pStyle w:val="Bulletindent1"/>
            </w:pPr>
            <w:r w:rsidRPr="00F56845">
              <w:rPr>
                <w:highlight w:val="cyan"/>
              </w:rPr>
              <w:t>[</w:t>
            </w:r>
            <w:r w:rsidR="00393D73" w:rsidRPr="00F56845">
              <w:rPr>
                <w:highlight w:val="cyan"/>
              </w:rPr>
              <w:t>Report via organisation incident policy.</w:t>
            </w:r>
            <w:r w:rsidRPr="00F56845">
              <w:rPr>
                <w:highlight w:val="cyan"/>
              </w:rPr>
              <w:t>]</w:t>
            </w:r>
          </w:p>
          <w:p w14:paraId="292843F1" w14:textId="2F74EE18" w:rsidR="00393D73" w:rsidRPr="00504FB7" w:rsidRDefault="00393D73" w:rsidP="00393D73">
            <w:pPr>
              <w:pStyle w:val="Bulletindent1"/>
            </w:pPr>
            <w:r w:rsidRPr="00677C74">
              <w:t>It is considered good practice to notify the individual’s GP in the event of an adverse reaction.</w:t>
            </w:r>
          </w:p>
        </w:tc>
      </w:tr>
      <w:tr w:rsidR="00393D73" w14:paraId="243843CD" w14:textId="77777777" w:rsidTr="00D54440">
        <w:tc>
          <w:tcPr>
            <w:tcW w:w="3566" w:type="dxa"/>
          </w:tcPr>
          <w:p w14:paraId="5A563D4B" w14:textId="0853BC76" w:rsidR="00393D73" w:rsidRPr="00544444" w:rsidRDefault="00393D73" w:rsidP="00393D73">
            <w:pPr>
              <w:rPr>
                <w:rStyle w:val="TableHeaderColumn"/>
                <w:sz w:val="22"/>
              </w:rPr>
            </w:pPr>
            <w:r w:rsidRPr="00544444">
              <w:rPr>
                <w:rStyle w:val="TableHeaderColumn"/>
                <w:sz w:val="22"/>
              </w:rPr>
              <w:t>Written or other information to be given to individual/carer/parent/guardian</w:t>
            </w:r>
          </w:p>
        </w:tc>
        <w:tc>
          <w:tcPr>
            <w:tcW w:w="5656" w:type="dxa"/>
          </w:tcPr>
          <w:p w14:paraId="3CB0577F" w14:textId="77777777" w:rsidR="00C06F39" w:rsidRPr="00C06F39" w:rsidRDefault="00C06F39" w:rsidP="00C06F39">
            <w:pPr>
              <w:pStyle w:val="Tabletext"/>
              <w:rPr>
                <w:b/>
                <w:bCs/>
              </w:rPr>
            </w:pPr>
            <w:r w:rsidRPr="00C06F39">
              <w:rPr>
                <w:b/>
                <w:bCs/>
              </w:rPr>
              <w:t>Medicine:</w:t>
            </w:r>
          </w:p>
          <w:p w14:paraId="1ADE071B" w14:textId="77777777" w:rsidR="00C06F39" w:rsidRDefault="00C06F39" w:rsidP="00C06F39">
            <w:pPr>
              <w:pStyle w:val="Bulletindent1"/>
              <w:rPr>
                <w:rFonts w:eastAsia="Arial"/>
              </w:rPr>
            </w:pPr>
            <w:r w:rsidRPr="00456995">
              <w:rPr>
                <w:rFonts w:eastAsia="Arial"/>
              </w:rPr>
              <w:t xml:space="preserve">Give </w:t>
            </w:r>
            <w:r>
              <w:rPr>
                <w:rFonts w:eastAsia="Arial"/>
              </w:rPr>
              <w:t xml:space="preserve">manufacturer’s </w:t>
            </w:r>
            <w:r w:rsidRPr="00456995">
              <w:rPr>
                <w:rFonts w:eastAsia="Arial"/>
              </w:rPr>
              <w:t>information leaflet (PIL) provided with the original pack. Explain mode of action, side effects, and benefits of the medicine</w:t>
            </w:r>
            <w:r>
              <w:rPr>
                <w:rFonts w:eastAsia="Arial"/>
              </w:rPr>
              <w:t>.</w:t>
            </w:r>
          </w:p>
          <w:p w14:paraId="52C35BAB" w14:textId="77777777" w:rsidR="00C06F39" w:rsidRPr="007B59AE" w:rsidRDefault="00C06F39" w:rsidP="00C06F39">
            <w:pPr>
              <w:pStyle w:val="Bulletindent1"/>
              <w:rPr>
                <w:rFonts w:eastAsia="Arial"/>
              </w:rPr>
            </w:pPr>
            <w:r>
              <w:rPr>
                <w:rFonts w:eastAsia="Arial"/>
              </w:rPr>
              <w:t xml:space="preserve">Ensure individual is counselled as to which regimen is to be followed and that they also have clear written information provided on the appropriate regimen and the non-applicable regimen has been crossed out on the supplied product label.  </w:t>
            </w:r>
          </w:p>
          <w:p w14:paraId="2BA08630" w14:textId="77777777" w:rsidR="00C06F39" w:rsidRDefault="00C06F39" w:rsidP="00C06F39">
            <w:pPr>
              <w:pStyle w:val="Bulletindent1"/>
              <w:rPr>
                <w:rFonts w:eastAsia="Arial"/>
              </w:rPr>
            </w:pPr>
            <w:r w:rsidRPr="005B1705">
              <w:rPr>
                <w:rFonts w:eastAsia="Arial"/>
              </w:rPr>
              <w:t>If</w:t>
            </w:r>
            <w:r w:rsidRPr="005B1705">
              <w:rPr>
                <w:rFonts w:eastAsia="Arial"/>
                <w:spacing w:val="63"/>
              </w:rPr>
              <w:t xml:space="preserve"> </w:t>
            </w:r>
            <w:r w:rsidRPr="005B1705">
              <w:rPr>
                <w:rFonts w:eastAsia="Arial"/>
              </w:rPr>
              <w:t>needed,</w:t>
            </w:r>
            <w:r w:rsidRPr="005B1705">
              <w:rPr>
                <w:rFonts w:eastAsia="Arial"/>
                <w:spacing w:val="63"/>
              </w:rPr>
              <w:t xml:space="preserve"> </w:t>
            </w:r>
            <w:r w:rsidRPr="005B1705">
              <w:rPr>
                <w:rFonts w:eastAsia="Arial"/>
              </w:rPr>
              <w:t>the</w:t>
            </w:r>
            <w:r w:rsidRPr="005B1705">
              <w:rPr>
                <w:rFonts w:eastAsia="Arial"/>
                <w:spacing w:val="63"/>
              </w:rPr>
              <w:t xml:space="preserve"> </w:t>
            </w:r>
            <w:r w:rsidRPr="005B1705">
              <w:rPr>
                <w:rFonts w:eastAsia="Arial"/>
                <w:spacing w:val="-4"/>
              </w:rPr>
              <w:t>t</w:t>
            </w:r>
            <w:r w:rsidRPr="005B1705">
              <w:rPr>
                <w:rFonts w:eastAsia="Arial"/>
              </w:rPr>
              <w:t>a</w:t>
            </w:r>
            <w:r w:rsidRPr="005B1705">
              <w:rPr>
                <w:rFonts w:eastAsia="Arial"/>
                <w:spacing w:val="-4"/>
              </w:rPr>
              <w:t>b</w:t>
            </w:r>
            <w:r w:rsidRPr="005B1705">
              <w:rPr>
                <w:rFonts w:eastAsia="Arial"/>
                <w:spacing w:val="4"/>
              </w:rPr>
              <w:t>l</w:t>
            </w:r>
            <w:r w:rsidRPr="005B1705">
              <w:rPr>
                <w:rFonts w:eastAsia="Arial"/>
              </w:rPr>
              <w:t>et</w:t>
            </w:r>
            <w:r w:rsidRPr="005B1705">
              <w:rPr>
                <w:rFonts w:eastAsia="Arial"/>
                <w:spacing w:val="2"/>
              </w:rPr>
              <w:t>(</w:t>
            </w:r>
            <w:r w:rsidRPr="005B1705">
              <w:rPr>
                <w:rFonts w:eastAsia="Arial"/>
                <w:spacing w:val="-5"/>
              </w:rPr>
              <w:t>s</w:t>
            </w:r>
            <w:r w:rsidRPr="005B1705">
              <w:rPr>
                <w:rFonts w:eastAsia="Arial"/>
              </w:rPr>
              <w:t>)</w:t>
            </w:r>
            <w:r w:rsidRPr="005B1705">
              <w:rPr>
                <w:rFonts w:eastAsia="Arial"/>
                <w:spacing w:val="64"/>
              </w:rPr>
              <w:t xml:space="preserve"> </w:t>
            </w:r>
            <w:r w:rsidRPr="005B1705">
              <w:rPr>
                <w:rFonts w:eastAsia="Arial"/>
              </w:rPr>
              <w:t>can</w:t>
            </w:r>
            <w:r w:rsidRPr="005B1705">
              <w:rPr>
                <w:rFonts w:eastAsia="Arial"/>
                <w:spacing w:val="63"/>
              </w:rPr>
              <w:t xml:space="preserve"> </w:t>
            </w:r>
            <w:r w:rsidRPr="005B1705">
              <w:rPr>
                <w:rFonts w:eastAsia="Arial"/>
              </w:rPr>
              <w:t>be</w:t>
            </w:r>
            <w:r w:rsidRPr="005B1705">
              <w:rPr>
                <w:rFonts w:eastAsia="Arial"/>
                <w:spacing w:val="63"/>
              </w:rPr>
              <w:t xml:space="preserve"> </w:t>
            </w:r>
            <w:r w:rsidRPr="005B1705">
              <w:rPr>
                <w:rFonts w:eastAsia="Arial"/>
                <w:spacing w:val="-4"/>
              </w:rPr>
              <w:t>d</w:t>
            </w:r>
            <w:r w:rsidRPr="005B1705">
              <w:rPr>
                <w:rFonts w:eastAsia="Arial"/>
                <w:spacing w:val="4"/>
              </w:rPr>
              <w:t>i</w:t>
            </w:r>
            <w:r w:rsidRPr="005B1705">
              <w:rPr>
                <w:rFonts w:eastAsia="Arial"/>
              </w:rPr>
              <w:t>sper</w:t>
            </w:r>
            <w:r w:rsidRPr="005B1705">
              <w:rPr>
                <w:rFonts w:eastAsia="Arial"/>
                <w:spacing w:val="-5"/>
              </w:rPr>
              <w:t>s</w:t>
            </w:r>
            <w:r w:rsidRPr="005B1705">
              <w:rPr>
                <w:rFonts w:eastAsia="Arial"/>
              </w:rPr>
              <w:t>ed</w:t>
            </w:r>
            <w:r w:rsidRPr="005B1705">
              <w:rPr>
                <w:rFonts w:eastAsia="Arial"/>
                <w:spacing w:val="63"/>
              </w:rPr>
              <w:t xml:space="preserve"> </w:t>
            </w:r>
            <w:r w:rsidRPr="005B1705">
              <w:rPr>
                <w:rFonts w:eastAsia="Arial"/>
              </w:rPr>
              <w:t>in</w:t>
            </w:r>
            <w:r w:rsidRPr="005B1705">
              <w:rPr>
                <w:rFonts w:eastAsia="Arial"/>
                <w:spacing w:val="63"/>
              </w:rPr>
              <w:t xml:space="preserve"> </w:t>
            </w:r>
            <w:r w:rsidRPr="005B1705">
              <w:rPr>
                <w:rFonts w:eastAsia="Arial"/>
              </w:rPr>
              <w:t>appro</w:t>
            </w:r>
            <w:r w:rsidRPr="005B1705">
              <w:rPr>
                <w:rFonts w:eastAsia="Arial"/>
                <w:spacing w:val="-5"/>
              </w:rPr>
              <w:t>x</w:t>
            </w:r>
            <w:r w:rsidRPr="005B1705">
              <w:rPr>
                <w:rFonts w:eastAsia="Arial"/>
                <w:spacing w:val="4"/>
              </w:rPr>
              <w:t>i</w:t>
            </w:r>
            <w:r w:rsidRPr="005B1705">
              <w:rPr>
                <w:rFonts w:eastAsia="Arial"/>
                <w:spacing w:val="-8"/>
              </w:rPr>
              <w:t>m</w:t>
            </w:r>
            <w:r w:rsidRPr="005B1705">
              <w:rPr>
                <w:rFonts w:eastAsia="Arial"/>
              </w:rPr>
              <w:t>ate</w:t>
            </w:r>
            <w:r w:rsidRPr="005B1705">
              <w:rPr>
                <w:rFonts w:eastAsia="Arial"/>
                <w:spacing w:val="4"/>
              </w:rPr>
              <w:t>l</w:t>
            </w:r>
            <w:r w:rsidRPr="005B1705">
              <w:rPr>
                <w:rFonts w:eastAsia="Arial"/>
              </w:rPr>
              <w:t>y</w:t>
            </w:r>
            <w:r>
              <w:rPr>
                <w:rFonts w:eastAsia="Arial"/>
              </w:rPr>
              <w:t xml:space="preserve"> </w:t>
            </w:r>
            <w:r w:rsidRPr="005B1705">
              <w:rPr>
                <w:rFonts w:eastAsia="Arial"/>
              </w:rPr>
              <w:t>100</w:t>
            </w:r>
            <w:r w:rsidRPr="005B1705">
              <w:rPr>
                <w:rFonts w:eastAsia="Arial"/>
                <w:spacing w:val="-8"/>
              </w:rPr>
              <w:t>m</w:t>
            </w:r>
            <w:r w:rsidRPr="005B1705">
              <w:rPr>
                <w:rFonts w:eastAsia="Arial"/>
              </w:rPr>
              <w:t>l</w:t>
            </w:r>
            <w:r w:rsidRPr="005B1705">
              <w:rPr>
                <w:rFonts w:eastAsia="Arial"/>
                <w:spacing w:val="43"/>
              </w:rPr>
              <w:t xml:space="preserve"> </w:t>
            </w:r>
            <w:r w:rsidRPr="005B1705">
              <w:rPr>
                <w:rFonts w:eastAsia="Arial"/>
              </w:rPr>
              <w:t>of</w:t>
            </w:r>
            <w:r w:rsidRPr="005B1705">
              <w:rPr>
                <w:rFonts w:eastAsia="Arial"/>
                <w:spacing w:val="44"/>
              </w:rPr>
              <w:t xml:space="preserve"> </w:t>
            </w:r>
            <w:r w:rsidRPr="005B1705">
              <w:rPr>
                <w:rFonts w:eastAsia="Arial"/>
                <w:spacing w:val="-5"/>
              </w:rPr>
              <w:t>w</w:t>
            </w:r>
            <w:r w:rsidRPr="005B1705">
              <w:rPr>
                <w:rFonts w:eastAsia="Arial"/>
              </w:rPr>
              <w:t>ater,</w:t>
            </w:r>
            <w:r w:rsidRPr="005B1705">
              <w:rPr>
                <w:rFonts w:eastAsia="Arial"/>
                <w:spacing w:val="40"/>
              </w:rPr>
              <w:t xml:space="preserve"> </w:t>
            </w:r>
            <w:r w:rsidRPr="005B1705">
              <w:rPr>
                <w:rFonts w:eastAsia="Arial"/>
              </w:rPr>
              <w:t>oran</w:t>
            </w:r>
            <w:r w:rsidRPr="005B1705">
              <w:rPr>
                <w:rFonts w:eastAsia="Arial"/>
                <w:spacing w:val="-4"/>
              </w:rPr>
              <w:t>g</w:t>
            </w:r>
            <w:r w:rsidRPr="005B1705">
              <w:rPr>
                <w:rFonts w:eastAsia="Arial"/>
              </w:rPr>
              <w:t>e</w:t>
            </w:r>
            <w:r w:rsidRPr="005B1705">
              <w:rPr>
                <w:rFonts w:eastAsia="Arial"/>
                <w:spacing w:val="40"/>
              </w:rPr>
              <w:t xml:space="preserve"> </w:t>
            </w:r>
            <w:r w:rsidRPr="005B1705">
              <w:rPr>
                <w:rFonts w:eastAsia="Arial"/>
                <w:spacing w:val="-5"/>
              </w:rPr>
              <w:t>j</w:t>
            </w:r>
            <w:r w:rsidRPr="005B1705">
              <w:rPr>
                <w:rFonts w:eastAsia="Arial"/>
              </w:rPr>
              <w:t>u</w:t>
            </w:r>
            <w:r w:rsidRPr="005B1705">
              <w:rPr>
                <w:rFonts w:eastAsia="Arial"/>
                <w:spacing w:val="4"/>
              </w:rPr>
              <w:t>i</w:t>
            </w:r>
            <w:r w:rsidRPr="005B1705">
              <w:rPr>
                <w:rFonts w:eastAsia="Arial"/>
              </w:rPr>
              <w:t>ce</w:t>
            </w:r>
            <w:r w:rsidRPr="005B1705">
              <w:rPr>
                <w:rFonts w:eastAsia="Arial"/>
                <w:spacing w:val="40"/>
              </w:rPr>
              <w:t xml:space="preserve"> </w:t>
            </w:r>
            <w:r w:rsidRPr="005B1705">
              <w:rPr>
                <w:rFonts w:eastAsia="Arial"/>
              </w:rPr>
              <w:t>or</w:t>
            </w:r>
            <w:r w:rsidRPr="005B1705">
              <w:rPr>
                <w:rFonts w:eastAsia="Arial"/>
                <w:spacing w:val="41"/>
              </w:rPr>
              <w:t xml:space="preserve"> </w:t>
            </w:r>
            <w:r w:rsidRPr="005B1705">
              <w:rPr>
                <w:rFonts w:eastAsia="Arial"/>
              </w:rPr>
              <w:t>gra</w:t>
            </w:r>
            <w:r w:rsidRPr="005B1705">
              <w:rPr>
                <w:rFonts w:eastAsia="Arial"/>
                <w:spacing w:val="-4"/>
              </w:rPr>
              <w:t>p</w:t>
            </w:r>
            <w:r w:rsidRPr="005B1705">
              <w:rPr>
                <w:rFonts w:eastAsia="Arial"/>
              </w:rPr>
              <w:t>e</w:t>
            </w:r>
            <w:r w:rsidRPr="005B1705">
              <w:rPr>
                <w:rFonts w:eastAsia="Arial"/>
                <w:spacing w:val="40"/>
              </w:rPr>
              <w:t xml:space="preserve"> </w:t>
            </w:r>
            <w:r w:rsidRPr="005B1705">
              <w:rPr>
                <w:rFonts w:eastAsia="Arial"/>
              </w:rPr>
              <w:t>ju</w:t>
            </w:r>
            <w:r w:rsidRPr="005B1705">
              <w:rPr>
                <w:rFonts w:eastAsia="Arial"/>
                <w:spacing w:val="5"/>
              </w:rPr>
              <w:t>i</w:t>
            </w:r>
            <w:r w:rsidRPr="005B1705">
              <w:rPr>
                <w:rFonts w:eastAsia="Arial"/>
              </w:rPr>
              <w:t>ce</w:t>
            </w:r>
            <w:r w:rsidRPr="005B1705">
              <w:rPr>
                <w:rFonts w:eastAsia="Arial"/>
                <w:spacing w:val="40"/>
              </w:rPr>
              <w:t xml:space="preserve"> </w:t>
            </w:r>
            <w:r w:rsidRPr="005B1705">
              <w:rPr>
                <w:rFonts w:eastAsia="Arial"/>
              </w:rPr>
              <w:t>a</w:t>
            </w:r>
            <w:r w:rsidRPr="005B1705">
              <w:rPr>
                <w:rFonts w:eastAsia="Arial"/>
                <w:spacing w:val="-4"/>
              </w:rPr>
              <w:t>n</w:t>
            </w:r>
            <w:r w:rsidRPr="005B1705">
              <w:rPr>
                <w:rFonts w:eastAsia="Arial"/>
              </w:rPr>
              <w:t>d</w:t>
            </w:r>
            <w:r w:rsidRPr="005B1705">
              <w:rPr>
                <w:rFonts w:eastAsia="Arial"/>
                <w:spacing w:val="40"/>
              </w:rPr>
              <w:t xml:space="preserve"> </w:t>
            </w:r>
            <w:r w:rsidRPr="005B1705">
              <w:rPr>
                <w:rFonts w:eastAsia="Arial"/>
              </w:rPr>
              <w:t xml:space="preserve">taken </w:t>
            </w:r>
            <w:r w:rsidRPr="005B1705">
              <w:rPr>
                <w:rFonts w:eastAsia="Arial"/>
                <w:spacing w:val="4"/>
              </w:rPr>
              <w:t>i</w:t>
            </w:r>
            <w:r w:rsidRPr="005B1705">
              <w:rPr>
                <w:rFonts w:eastAsia="Arial"/>
                <w:spacing w:val="-3"/>
              </w:rPr>
              <w:t>m</w:t>
            </w:r>
            <w:r w:rsidRPr="005B1705">
              <w:rPr>
                <w:rFonts w:eastAsia="Arial"/>
                <w:spacing w:val="-8"/>
              </w:rPr>
              <w:t>m</w:t>
            </w:r>
            <w:r w:rsidRPr="005B1705">
              <w:rPr>
                <w:rFonts w:eastAsia="Arial"/>
              </w:rPr>
              <w:t>ed</w:t>
            </w:r>
            <w:r w:rsidRPr="005B1705">
              <w:rPr>
                <w:rFonts w:eastAsia="Arial"/>
                <w:spacing w:val="4"/>
              </w:rPr>
              <w:t>i</w:t>
            </w:r>
            <w:r w:rsidRPr="005B1705">
              <w:rPr>
                <w:rFonts w:eastAsia="Arial"/>
              </w:rPr>
              <w:t>ate</w:t>
            </w:r>
            <w:r w:rsidRPr="005B1705">
              <w:rPr>
                <w:rFonts w:eastAsia="Arial"/>
                <w:spacing w:val="4"/>
              </w:rPr>
              <w:t>l</w:t>
            </w:r>
            <w:r w:rsidRPr="005B1705">
              <w:rPr>
                <w:rFonts w:eastAsia="Arial"/>
              </w:rPr>
              <w:t>y</w:t>
            </w:r>
          </w:p>
          <w:p w14:paraId="4848BBD3" w14:textId="77777777" w:rsidR="00C06F39" w:rsidRDefault="00C06F39" w:rsidP="00C06F39">
            <w:pPr>
              <w:pStyle w:val="Bulletindent1"/>
              <w:rPr>
                <w:rFonts w:eastAsia="Arial"/>
              </w:rPr>
            </w:pPr>
            <w:r w:rsidRPr="00764247">
              <w:rPr>
                <w:rFonts w:eastAsia="Arial"/>
              </w:rPr>
              <w:t xml:space="preserve">There </w:t>
            </w:r>
            <w:r>
              <w:rPr>
                <w:rFonts w:eastAsia="Arial"/>
              </w:rPr>
              <w:t>is</w:t>
            </w:r>
            <w:r w:rsidRPr="00764247">
              <w:rPr>
                <w:rFonts w:eastAsia="Arial"/>
              </w:rPr>
              <w:t xml:space="preserve"> no requirement for PrEP to be taken with/after food</w:t>
            </w:r>
            <w:r>
              <w:rPr>
                <w:rFonts w:eastAsia="Arial"/>
              </w:rPr>
              <w:t>. However, if an individual experiences gastrointestinal side effects whilst taking PrEP advise them to take it with food.</w:t>
            </w:r>
          </w:p>
          <w:p w14:paraId="295A6612" w14:textId="77777777" w:rsidR="00C06F39" w:rsidRDefault="00C06F39" w:rsidP="00C06F39">
            <w:pPr>
              <w:pStyle w:val="Bulletindent1"/>
              <w:numPr>
                <w:ilvl w:val="1"/>
                <w:numId w:val="15"/>
              </w:numPr>
              <w:rPr>
                <w:rFonts w:eastAsia="Arial"/>
              </w:rPr>
            </w:pPr>
            <w:r>
              <w:rPr>
                <w:rFonts w:eastAsia="Arial"/>
              </w:rPr>
              <w:lastRenderedPageBreak/>
              <w:t>Individuals</w:t>
            </w:r>
            <w:r w:rsidRPr="008F3EEC">
              <w:rPr>
                <w:rFonts w:eastAsia="Arial"/>
              </w:rPr>
              <w:t xml:space="preserve"> who experience moderate</w:t>
            </w:r>
            <w:r>
              <w:rPr>
                <w:rFonts w:eastAsia="Arial"/>
              </w:rPr>
              <w:t xml:space="preserve"> - </w:t>
            </w:r>
            <w:r w:rsidRPr="008F3EEC">
              <w:rPr>
                <w:rFonts w:eastAsia="Arial"/>
              </w:rPr>
              <w:t xml:space="preserve">severe gastrointestinal side effects following the double dose (two </w:t>
            </w:r>
            <w:r>
              <w:rPr>
                <w:rFonts w:eastAsia="Arial"/>
              </w:rPr>
              <w:t>tablets</w:t>
            </w:r>
            <w:r w:rsidRPr="008F3EEC">
              <w:rPr>
                <w:rFonts w:eastAsia="Arial"/>
              </w:rPr>
              <w:t>), can take the dose as two separate tablets 6</w:t>
            </w:r>
            <w:r>
              <w:rPr>
                <w:rFonts w:eastAsia="Arial"/>
              </w:rPr>
              <w:t xml:space="preserve"> - </w:t>
            </w:r>
            <w:r w:rsidRPr="008F3EEC">
              <w:rPr>
                <w:rFonts w:eastAsia="Arial"/>
              </w:rPr>
              <w:t>12 hours apart within the 2- to 24-hour window period. The second tablet should be taken at least 2 hours before risk.</w:t>
            </w:r>
          </w:p>
          <w:p w14:paraId="0C0A80E8" w14:textId="77777777" w:rsidR="00C06F39" w:rsidRDefault="00C06F39" w:rsidP="00C06F39">
            <w:pPr>
              <w:pStyle w:val="Bulletindent1"/>
              <w:rPr>
                <w:rFonts w:eastAsia="Arial"/>
              </w:rPr>
            </w:pPr>
            <w:r w:rsidRPr="00261917">
              <w:rPr>
                <w:rFonts w:eastAsia="Arial"/>
              </w:rPr>
              <w:t>Advise</w:t>
            </w:r>
            <w:r>
              <w:rPr>
                <w:rFonts w:eastAsia="Arial"/>
              </w:rPr>
              <w:t xml:space="preserve"> the</w:t>
            </w:r>
            <w:r w:rsidRPr="00261917">
              <w:rPr>
                <w:rFonts w:eastAsia="Arial"/>
              </w:rPr>
              <w:t xml:space="preserve"> individual that if they vomit within 1 hour of taking a dose a single repeat dose should be taken.  </w:t>
            </w:r>
          </w:p>
          <w:p w14:paraId="31026716" w14:textId="77777777" w:rsidR="00C06F39" w:rsidRDefault="00C06F39" w:rsidP="00C06F39">
            <w:pPr>
              <w:pStyle w:val="Bulletindent1"/>
              <w:rPr>
                <w:rFonts w:eastAsia="Arial"/>
              </w:rPr>
            </w:pPr>
            <w:r>
              <w:rPr>
                <w:rFonts w:eastAsia="Arial"/>
              </w:rPr>
              <w:t>Advise the individual that if a dose is missed it should be taken as soon as it is remembered unless it is more than 12 hours late, when it should be omitted. Advise them to take the next dose at the correct time.</w:t>
            </w:r>
          </w:p>
          <w:p w14:paraId="44397927" w14:textId="77777777" w:rsidR="00C06F39" w:rsidRDefault="00C06F39" w:rsidP="00C06F39">
            <w:pPr>
              <w:pStyle w:val="Bulletindent1"/>
              <w:rPr>
                <w:rFonts w:eastAsia="Arial"/>
              </w:rPr>
            </w:pPr>
            <w:r w:rsidRPr="006B0A43">
              <w:rPr>
                <w:rFonts w:eastAsia="Arial"/>
              </w:rPr>
              <w:t>Advise individual of the risk of reduction in BMD (</w:t>
            </w:r>
            <w:r>
              <w:rPr>
                <w:rFonts w:eastAsia="Arial"/>
              </w:rPr>
              <w:t>~</w:t>
            </w:r>
            <w:r w:rsidRPr="006B0A43">
              <w:rPr>
                <w:rFonts w:eastAsia="Arial"/>
              </w:rPr>
              <w:t xml:space="preserve">2%) but that there is no evidence of an increased risk of fractures while taking </w:t>
            </w:r>
            <w:proofErr w:type="spellStart"/>
            <w:r w:rsidRPr="006B0A43">
              <w:rPr>
                <w:rFonts w:eastAsia="Arial"/>
              </w:rPr>
              <w:t>PrEP.</w:t>
            </w:r>
            <w:proofErr w:type="spellEnd"/>
          </w:p>
          <w:p w14:paraId="6BE9B5EA" w14:textId="77777777" w:rsidR="00C06F39" w:rsidRPr="00261917" w:rsidRDefault="00C06F39" w:rsidP="00C06F39">
            <w:pPr>
              <w:pStyle w:val="Bulletindent1"/>
              <w:rPr>
                <w:rFonts w:eastAsia="Arial"/>
              </w:rPr>
            </w:pPr>
            <w:r w:rsidRPr="00261917">
              <w:rPr>
                <w:rFonts w:eastAsia="Arial"/>
              </w:rPr>
              <w:t xml:space="preserve">Advise to </w:t>
            </w:r>
            <w:r>
              <w:rPr>
                <w:rFonts w:eastAsia="Arial"/>
              </w:rPr>
              <w:t xml:space="preserve">note date a new medicine’s container is opened and to either </w:t>
            </w:r>
            <w:r w:rsidRPr="00261917">
              <w:rPr>
                <w:rFonts w:eastAsia="Arial"/>
              </w:rPr>
              <w:t xml:space="preserve">use or discard medicines in line with </w:t>
            </w:r>
            <w:r>
              <w:rPr>
                <w:rFonts w:eastAsia="Arial"/>
              </w:rPr>
              <w:t xml:space="preserve">expiry </w:t>
            </w:r>
            <w:r w:rsidRPr="00261917">
              <w:rPr>
                <w:rFonts w:eastAsia="Arial"/>
              </w:rPr>
              <w:t>information on the container</w:t>
            </w:r>
          </w:p>
          <w:p w14:paraId="7FF4CFA9" w14:textId="77777777" w:rsidR="00C06F39" w:rsidRDefault="00C06F39" w:rsidP="00C06F39">
            <w:pPr>
              <w:pStyle w:val="Bulletindent1"/>
              <w:rPr>
                <w:rFonts w:eastAsia="Arial"/>
              </w:rPr>
            </w:pPr>
            <w:r w:rsidRPr="00261917">
              <w:rPr>
                <w:rFonts w:eastAsia="Arial"/>
              </w:rPr>
              <w:t xml:space="preserve">Advise </w:t>
            </w:r>
            <w:r>
              <w:rPr>
                <w:rFonts w:eastAsia="Arial"/>
              </w:rPr>
              <w:t xml:space="preserve">the </w:t>
            </w:r>
            <w:r w:rsidRPr="00261917">
              <w:rPr>
                <w:rFonts w:eastAsia="Arial"/>
              </w:rPr>
              <w:t xml:space="preserve">individual </w:t>
            </w:r>
            <w:r>
              <w:rPr>
                <w:rFonts w:eastAsia="Arial"/>
              </w:rPr>
              <w:t>that if they are</w:t>
            </w:r>
            <w:r w:rsidRPr="00261917">
              <w:rPr>
                <w:rFonts w:eastAsia="Arial"/>
              </w:rPr>
              <w:t xml:space="preserve"> concerned about any side effects they experience</w:t>
            </w:r>
            <w:r>
              <w:rPr>
                <w:rFonts w:eastAsia="Arial"/>
              </w:rPr>
              <w:t>,</w:t>
            </w:r>
            <w:r w:rsidRPr="00261917">
              <w:rPr>
                <w:rFonts w:eastAsia="Arial"/>
              </w:rPr>
              <w:t xml:space="preserve"> they should contact their clinic as soon as possible</w:t>
            </w:r>
          </w:p>
          <w:p w14:paraId="6DCF77C2" w14:textId="77777777" w:rsidR="00C06F39" w:rsidRDefault="00C06F39" w:rsidP="00C06F39">
            <w:pPr>
              <w:pStyle w:val="Bulletindent1"/>
              <w:rPr>
                <w:rFonts w:eastAsia="Arial"/>
              </w:rPr>
            </w:pPr>
            <w:r w:rsidRPr="00261917">
              <w:rPr>
                <w:rFonts w:eastAsia="Arial"/>
              </w:rPr>
              <w:t xml:space="preserve">Advise </w:t>
            </w:r>
            <w:r>
              <w:rPr>
                <w:rFonts w:eastAsia="Arial"/>
              </w:rPr>
              <w:t xml:space="preserve">the </w:t>
            </w:r>
            <w:r w:rsidRPr="00261917">
              <w:rPr>
                <w:rFonts w:eastAsia="Arial"/>
              </w:rPr>
              <w:t xml:space="preserve">individual to report any new medicines to prescriber/pharmacist to check for </w:t>
            </w:r>
            <w:r>
              <w:rPr>
                <w:rFonts w:eastAsia="Arial"/>
              </w:rPr>
              <w:t xml:space="preserve">drug-drug </w:t>
            </w:r>
            <w:r w:rsidRPr="00261917">
              <w:rPr>
                <w:rFonts w:eastAsia="Arial"/>
              </w:rPr>
              <w:t>interactions</w:t>
            </w:r>
            <w:r>
              <w:rPr>
                <w:rFonts w:eastAsia="Arial"/>
              </w:rPr>
              <w:t>.</w:t>
            </w:r>
          </w:p>
          <w:p w14:paraId="4B3246EF" w14:textId="77777777" w:rsidR="00C06F39" w:rsidRPr="00A577D2" w:rsidRDefault="00C06F39" w:rsidP="00C06F39">
            <w:pPr>
              <w:pStyle w:val="Bulletindent1"/>
              <w:rPr>
                <w:rFonts w:eastAsia="Arial"/>
              </w:rPr>
            </w:pPr>
            <w:r w:rsidRPr="00D720D4">
              <w:rPr>
                <w:rFonts w:eastAsia="Calibri-Bold"/>
              </w:rPr>
              <w:t xml:space="preserve">Advise the individual to return any unused medicines to a pharmacy for disposal: </w:t>
            </w:r>
            <w:r>
              <w:rPr>
                <w:rFonts w:eastAsia="Calibri-Bold"/>
              </w:rPr>
              <w:t>D</w:t>
            </w:r>
            <w:r w:rsidRPr="00D720D4">
              <w:rPr>
                <w:rFonts w:eastAsia="Calibri-Bold"/>
              </w:rPr>
              <w:t>o not dispose of medicines in the</w:t>
            </w:r>
            <w:r>
              <w:rPr>
                <w:rFonts w:eastAsia="Calibri-Bold"/>
              </w:rPr>
              <w:t xml:space="preserve"> </w:t>
            </w:r>
            <w:r w:rsidRPr="00D720D4">
              <w:rPr>
                <w:rFonts w:eastAsia="Calibri-Bold"/>
              </w:rPr>
              <w:t>bin, down the sink or toilet</w:t>
            </w:r>
          </w:p>
          <w:p w14:paraId="38408CE1" w14:textId="77777777" w:rsidR="00393D73" w:rsidRDefault="00C06F39" w:rsidP="00C06F39">
            <w:pPr>
              <w:pStyle w:val="Tabletext"/>
              <w:rPr>
                <w:rFonts w:eastAsia="Arial" w:cs="Arial"/>
                <w:b/>
                <w:szCs w:val="22"/>
                <w:u w:val="single"/>
              </w:rPr>
            </w:pPr>
            <w:r w:rsidRPr="00261917">
              <w:rPr>
                <w:rFonts w:eastAsia="Arial" w:cs="Arial"/>
                <w:b/>
                <w:szCs w:val="22"/>
                <w:u w:val="single"/>
              </w:rPr>
              <w:t>Clinical</w:t>
            </w:r>
          </w:p>
          <w:p w14:paraId="4C2C84BE" w14:textId="77777777" w:rsidR="00C06F39" w:rsidRPr="00261917" w:rsidRDefault="00C06F39" w:rsidP="00C06F39">
            <w:pPr>
              <w:pStyle w:val="Bulletindent1"/>
              <w:rPr>
                <w:rFonts w:eastAsia="Arial"/>
              </w:rPr>
            </w:pPr>
            <w:r w:rsidRPr="00261917">
              <w:rPr>
                <w:rFonts w:eastAsia="Arial"/>
                <w:spacing w:val="-2"/>
                <w:position w:val="-1"/>
              </w:rPr>
              <w:t>A</w:t>
            </w:r>
            <w:r w:rsidRPr="00261917">
              <w:rPr>
                <w:rFonts w:eastAsia="Arial"/>
                <w:spacing w:val="1"/>
                <w:position w:val="-1"/>
              </w:rPr>
              <w:t>dheren</w:t>
            </w:r>
            <w:r w:rsidRPr="00261917">
              <w:rPr>
                <w:rFonts w:eastAsia="Arial"/>
                <w:position w:val="-1"/>
              </w:rPr>
              <w:t xml:space="preserve">ce  </w:t>
            </w:r>
            <w:r w:rsidRPr="00261917">
              <w:rPr>
                <w:rFonts w:eastAsia="Arial"/>
                <w:spacing w:val="36"/>
                <w:position w:val="-1"/>
              </w:rPr>
              <w:t xml:space="preserve"> </w:t>
            </w:r>
            <w:r w:rsidRPr="00261917">
              <w:rPr>
                <w:rFonts w:eastAsia="Arial"/>
                <w:spacing w:val="1"/>
                <w:position w:val="-1"/>
              </w:rPr>
              <w:t>an</w:t>
            </w:r>
            <w:r w:rsidRPr="00261917">
              <w:rPr>
                <w:rFonts w:eastAsia="Arial"/>
                <w:position w:val="-1"/>
              </w:rPr>
              <w:t xml:space="preserve">d  </w:t>
            </w:r>
            <w:r w:rsidRPr="00261917">
              <w:rPr>
                <w:rFonts w:eastAsia="Arial"/>
                <w:spacing w:val="36"/>
                <w:position w:val="-1"/>
              </w:rPr>
              <w:t xml:space="preserve"> </w:t>
            </w:r>
            <w:r w:rsidRPr="00261917">
              <w:rPr>
                <w:rFonts w:eastAsia="Arial"/>
                <w:spacing w:val="-4"/>
                <w:position w:val="-1"/>
              </w:rPr>
              <w:t>d</w:t>
            </w:r>
            <w:r w:rsidRPr="00261917">
              <w:rPr>
                <w:rFonts w:eastAsia="Arial"/>
                <w:spacing w:val="1"/>
                <w:position w:val="-1"/>
              </w:rPr>
              <w:t>o</w:t>
            </w:r>
            <w:r w:rsidRPr="00261917">
              <w:rPr>
                <w:rFonts w:eastAsia="Arial"/>
                <w:position w:val="-1"/>
              </w:rPr>
              <w:t xml:space="preserve">sing  </w:t>
            </w:r>
            <w:r w:rsidRPr="00261917">
              <w:rPr>
                <w:rFonts w:eastAsia="Arial"/>
                <w:spacing w:val="36"/>
                <w:position w:val="-1"/>
              </w:rPr>
              <w:t xml:space="preserve"> </w:t>
            </w:r>
            <w:r w:rsidRPr="00261917">
              <w:rPr>
                <w:rFonts w:eastAsia="Arial"/>
                <w:position w:val="-1"/>
              </w:rPr>
              <w:t>in</w:t>
            </w:r>
            <w:r w:rsidRPr="00261917">
              <w:rPr>
                <w:rFonts w:eastAsia="Arial"/>
                <w:spacing w:val="1"/>
                <w:position w:val="-1"/>
              </w:rPr>
              <w:t>for</w:t>
            </w:r>
            <w:r w:rsidRPr="00261917">
              <w:rPr>
                <w:rFonts w:eastAsia="Arial"/>
                <w:spacing w:val="-8"/>
                <w:position w:val="-1"/>
              </w:rPr>
              <w:t>m</w:t>
            </w:r>
            <w:r w:rsidRPr="00261917">
              <w:rPr>
                <w:rFonts w:eastAsia="Arial"/>
                <w:spacing w:val="1"/>
                <w:position w:val="-1"/>
              </w:rPr>
              <w:t>a</w:t>
            </w:r>
            <w:r w:rsidRPr="00261917">
              <w:rPr>
                <w:rFonts w:eastAsia="Arial"/>
                <w:position w:val="-1"/>
              </w:rPr>
              <w:t>t</w:t>
            </w:r>
            <w:r w:rsidRPr="00261917">
              <w:rPr>
                <w:rFonts w:eastAsia="Arial"/>
                <w:spacing w:val="5"/>
                <w:position w:val="-1"/>
              </w:rPr>
              <w:t>i</w:t>
            </w:r>
            <w:r w:rsidRPr="00261917">
              <w:rPr>
                <w:rFonts w:eastAsia="Arial"/>
                <w:spacing w:val="1"/>
                <w:position w:val="-1"/>
              </w:rPr>
              <w:t>o</w:t>
            </w:r>
            <w:r w:rsidRPr="00261917">
              <w:rPr>
                <w:rFonts w:eastAsia="Arial"/>
                <w:position w:val="-1"/>
              </w:rPr>
              <w:t xml:space="preserve">n  </w:t>
            </w:r>
            <w:r w:rsidRPr="00261917">
              <w:rPr>
                <w:rFonts w:eastAsia="Arial"/>
                <w:spacing w:val="31"/>
                <w:position w:val="-1"/>
              </w:rPr>
              <w:t xml:space="preserve"> </w:t>
            </w:r>
            <w:r w:rsidRPr="00261917">
              <w:rPr>
                <w:rFonts w:eastAsia="Arial"/>
                <w:spacing w:val="4"/>
                <w:position w:val="-1"/>
              </w:rPr>
              <w:t>i</w:t>
            </w:r>
            <w:r w:rsidRPr="00261917">
              <w:rPr>
                <w:rFonts w:eastAsia="Arial"/>
                <w:spacing w:val="1"/>
                <w:position w:val="-1"/>
              </w:rPr>
              <w:t>n</w:t>
            </w:r>
            <w:r w:rsidRPr="00261917">
              <w:rPr>
                <w:rFonts w:eastAsia="Arial"/>
                <w:spacing w:val="-5"/>
                <w:position w:val="-1"/>
              </w:rPr>
              <w:t>c</w:t>
            </w:r>
            <w:r w:rsidRPr="00261917">
              <w:rPr>
                <w:rFonts w:eastAsia="Arial"/>
                <w:spacing w:val="4"/>
                <w:position w:val="-1"/>
              </w:rPr>
              <w:t>l</w:t>
            </w:r>
            <w:r w:rsidRPr="00261917">
              <w:rPr>
                <w:rFonts w:eastAsia="Arial"/>
                <w:spacing w:val="-4"/>
                <w:position w:val="-1"/>
              </w:rPr>
              <w:t>u</w:t>
            </w:r>
            <w:r w:rsidRPr="00261917">
              <w:rPr>
                <w:rFonts w:eastAsia="Arial"/>
                <w:spacing w:val="1"/>
                <w:position w:val="-1"/>
              </w:rPr>
              <w:t>d</w:t>
            </w:r>
            <w:r w:rsidRPr="00261917">
              <w:rPr>
                <w:rFonts w:eastAsia="Arial"/>
                <w:spacing w:val="4"/>
                <w:position w:val="-1"/>
              </w:rPr>
              <w:t>i</w:t>
            </w:r>
            <w:r w:rsidRPr="00261917">
              <w:rPr>
                <w:rFonts w:eastAsia="Arial"/>
                <w:spacing w:val="1"/>
                <w:position w:val="-1"/>
              </w:rPr>
              <w:t>n</w:t>
            </w:r>
            <w:r w:rsidRPr="00261917">
              <w:rPr>
                <w:rFonts w:eastAsia="Arial"/>
                <w:position w:val="-1"/>
              </w:rPr>
              <w:t>g</w:t>
            </w:r>
            <w:r w:rsidRPr="00261917">
              <w:rPr>
                <w:rFonts w:eastAsia="Arial"/>
                <w:spacing w:val="29"/>
              </w:rPr>
              <w:t xml:space="preserve"> </w:t>
            </w:r>
            <w:r>
              <w:rPr>
                <w:rFonts w:eastAsia="Arial"/>
                <w:spacing w:val="1"/>
              </w:rPr>
              <w:t>manufacturers’ product information</w:t>
            </w:r>
            <w:r w:rsidRPr="00261917">
              <w:rPr>
                <w:rFonts w:eastAsia="Arial"/>
                <w:spacing w:val="30"/>
              </w:rPr>
              <w:t xml:space="preserve"> </w:t>
            </w:r>
            <w:r w:rsidRPr="00261917">
              <w:rPr>
                <w:rFonts w:eastAsia="Arial"/>
              </w:rPr>
              <w:t>le</w:t>
            </w:r>
            <w:r w:rsidRPr="00261917">
              <w:rPr>
                <w:rFonts w:eastAsia="Arial"/>
                <w:spacing w:val="1"/>
              </w:rPr>
              <w:t>a</w:t>
            </w:r>
            <w:r w:rsidRPr="00261917">
              <w:rPr>
                <w:rFonts w:eastAsia="Arial"/>
                <w:spacing w:val="-4"/>
              </w:rPr>
              <w:t>f</w:t>
            </w:r>
            <w:r w:rsidRPr="00261917">
              <w:rPr>
                <w:rFonts w:eastAsia="Arial"/>
                <w:spacing w:val="4"/>
              </w:rPr>
              <w:t>l</w:t>
            </w:r>
            <w:r w:rsidRPr="00261917">
              <w:rPr>
                <w:rFonts w:eastAsia="Arial"/>
                <w:spacing w:val="1"/>
              </w:rPr>
              <w:t>e</w:t>
            </w:r>
            <w:r w:rsidRPr="00261917">
              <w:rPr>
                <w:rFonts w:eastAsia="Arial"/>
              </w:rPr>
              <w:t>t</w:t>
            </w:r>
            <w:r w:rsidRPr="00261917">
              <w:rPr>
                <w:rFonts w:eastAsia="Arial"/>
                <w:spacing w:val="30"/>
              </w:rPr>
              <w:t xml:space="preserve"> </w:t>
            </w:r>
            <w:r w:rsidRPr="00261917">
              <w:rPr>
                <w:rFonts w:eastAsia="Arial"/>
                <w:spacing w:val="1"/>
              </w:rPr>
              <w:t>o</w:t>
            </w:r>
            <w:r w:rsidRPr="00261917">
              <w:rPr>
                <w:rFonts w:eastAsia="Arial"/>
              </w:rPr>
              <w:t>r</w:t>
            </w:r>
            <w:r w:rsidRPr="00261917">
              <w:rPr>
                <w:rFonts w:eastAsia="Arial"/>
                <w:spacing w:val="41"/>
              </w:rPr>
              <w:t xml:space="preserve"> </w:t>
            </w:r>
            <w:r w:rsidRPr="00261917">
              <w:rPr>
                <w:rFonts w:eastAsia="Arial"/>
              </w:rPr>
              <w:t>locally agreed alternative</w:t>
            </w:r>
            <w:r w:rsidRPr="00261917">
              <w:rPr>
                <w:rFonts w:eastAsia="Arial"/>
                <w:spacing w:val="34"/>
              </w:rPr>
              <w:t xml:space="preserve"> </w:t>
            </w:r>
            <w:r w:rsidRPr="00261917">
              <w:rPr>
                <w:rFonts w:eastAsia="Arial"/>
              </w:rPr>
              <w:t>to</w:t>
            </w:r>
            <w:r w:rsidRPr="00261917">
              <w:rPr>
                <w:rFonts w:eastAsia="Arial"/>
                <w:spacing w:val="26"/>
              </w:rPr>
              <w:t xml:space="preserve"> </w:t>
            </w:r>
            <w:r w:rsidRPr="00261917">
              <w:rPr>
                <w:rFonts w:eastAsia="Arial"/>
              </w:rPr>
              <w:t>s</w:t>
            </w:r>
            <w:r w:rsidRPr="00261917">
              <w:rPr>
                <w:rFonts w:eastAsia="Arial"/>
                <w:spacing w:val="1"/>
              </w:rPr>
              <w:t>uppor</w:t>
            </w:r>
            <w:r w:rsidRPr="00261917">
              <w:rPr>
                <w:rFonts w:eastAsia="Arial"/>
              </w:rPr>
              <w:t>t</w:t>
            </w:r>
            <w:r w:rsidRPr="00261917">
              <w:rPr>
                <w:rFonts w:eastAsia="Arial"/>
                <w:spacing w:val="30"/>
              </w:rPr>
              <w:t xml:space="preserve"> </w:t>
            </w:r>
            <w:r w:rsidRPr="00261917">
              <w:rPr>
                <w:rFonts w:eastAsia="Arial"/>
                <w:spacing w:val="1"/>
              </w:rPr>
              <w:t>u</w:t>
            </w:r>
            <w:r w:rsidRPr="00261917">
              <w:rPr>
                <w:rFonts w:eastAsia="Arial"/>
              </w:rPr>
              <w:t>se</w:t>
            </w:r>
            <w:r w:rsidRPr="00261917">
              <w:rPr>
                <w:rFonts w:eastAsia="Arial"/>
                <w:spacing w:val="34"/>
              </w:rPr>
              <w:t xml:space="preserve"> </w:t>
            </w:r>
            <w:r w:rsidRPr="00261917">
              <w:rPr>
                <w:rFonts w:eastAsia="Arial"/>
                <w:spacing w:val="1"/>
              </w:rPr>
              <w:t>a</w:t>
            </w:r>
            <w:r w:rsidRPr="00261917">
              <w:rPr>
                <w:rFonts w:eastAsia="Arial"/>
                <w:spacing w:val="-4"/>
              </w:rPr>
              <w:t>n</w:t>
            </w:r>
            <w:r w:rsidRPr="00261917">
              <w:rPr>
                <w:rFonts w:eastAsia="Arial"/>
              </w:rPr>
              <w:t xml:space="preserve">d </w:t>
            </w:r>
            <w:r w:rsidRPr="00261917">
              <w:rPr>
                <w:rFonts w:eastAsia="Arial"/>
                <w:spacing w:val="1"/>
              </w:rPr>
              <w:t>under</w:t>
            </w:r>
            <w:r w:rsidRPr="00261917">
              <w:rPr>
                <w:rFonts w:eastAsia="Arial"/>
              </w:rPr>
              <w:t>st</w:t>
            </w:r>
            <w:r w:rsidRPr="00261917">
              <w:rPr>
                <w:rFonts w:eastAsia="Arial"/>
                <w:spacing w:val="-3"/>
              </w:rPr>
              <w:t>a</w:t>
            </w:r>
            <w:r w:rsidRPr="00261917">
              <w:rPr>
                <w:rFonts w:eastAsia="Arial"/>
                <w:spacing w:val="1"/>
              </w:rPr>
              <w:t>n</w:t>
            </w:r>
            <w:r w:rsidRPr="00261917">
              <w:rPr>
                <w:rFonts w:eastAsia="Arial"/>
                <w:spacing w:val="-4"/>
              </w:rPr>
              <w:t>d</w:t>
            </w:r>
            <w:r w:rsidRPr="00261917">
              <w:rPr>
                <w:rFonts w:eastAsia="Arial"/>
                <w:spacing w:val="4"/>
              </w:rPr>
              <w:t>i</w:t>
            </w:r>
            <w:r w:rsidRPr="00261917">
              <w:rPr>
                <w:rFonts w:eastAsia="Arial"/>
                <w:spacing w:val="1"/>
              </w:rPr>
              <w:t>n</w:t>
            </w:r>
            <w:r w:rsidRPr="00261917">
              <w:rPr>
                <w:rFonts w:eastAsia="Arial"/>
              </w:rPr>
              <w:t>g</w:t>
            </w:r>
            <w:r w:rsidRPr="00261917">
              <w:rPr>
                <w:rFonts w:eastAsia="Arial"/>
                <w:spacing w:val="1"/>
              </w:rPr>
              <w:t xml:space="preserve"> </w:t>
            </w:r>
            <w:r w:rsidRPr="00261917">
              <w:rPr>
                <w:rFonts w:eastAsia="Arial"/>
                <w:spacing w:val="-3"/>
              </w:rPr>
              <w:t>o</w:t>
            </w:r>
            <w:r w:rsidRPr="00261917">
              <w:rPr>
                <w:rFonts w:eastAsia="Arial"/>
              </w:rPr>
              <w:t>f</w:t>
            </w:r>
            <w:r w:rsidRPr="00261917">
              <w:rPr>
                <w:rFonts w:eastAsia="Arial"/>
                <w:spacing w:val="1"/>
              </w:rPr>
              <w:t xml:space="preserve"> u</w:t>
            </w:r>
            <w:r w:rsidRPr="00261917">
              <w:rPr>
                <w:rFonts w:eastAsia="Arial"/>
              </w:rPr>
              <w:t>se.  Information is available through:</w:t>
            </w:r>
          </w:p>
          <w:p w14:paraId="62ED3FAB" w14:textId="5522AB57" w:rsidR="00C06F39" w:rsidRPr="00C06F39" w:rsidRDefault="00C06F39" w:rsidP="00C06F39">
            <w:pPr>
              <w:numPr>
                <w:ilvl w:val="1"/>
                <w:numId w:val="15"/>
              </w:numPr>
              <w:overflowPunct w:val="0"/>
              <w:autoSpaceDE w:val="0"/>
              <w:autoSpaceDN w:val="0"/>
              <w:adjustRightInd w:val="0"/>
              <w:contextualSpacing/>
              <w:textAlignment w:val="baseline"/>
              <w:rPr>
                <w:rStyle w:val="Hyperlink"/>
                <w:rFonts w:ascii="Arial" w:eastAsia="Times New Roman" w:hAnsi="Arial"/>
                <w:kern w:val="0"/>
                <w:sz w:val="22"/>
                <w14:ligatures w14:val="none"/>
              </w:rPr>
            </w:pPr>
            <w:hyperlink r:id="rId42" w:history="1">
              <w:proofErr w:type="spellStart"/>
              <w:r w:rsidRPr="00C06F39">
                <w:rPr>
                  <w:rStyle w:val="Hyperlink"/>
                  <w:rFonts w:ascii="Arial" w:eastAsia="Times New Roman" w:hAnsi="Arial"/>
                  <w:kern w:val="0"/>
                  <w:sz w:val="22"/>
                  <w14:ligatures w14:val="none"/>
                </w:rPr>
                <w:t>IWantPrEPNow</w:t>
              </w:r>
              <w:proofErr w:type="spellEnd"/>
            </w:hyperlink>
            <w:r w:rsidRPr="00C06F39">
              <w:rPr>
                <w:rStyle w:val="Hyperlink"/>
                <w:rFonts w:ascii="Arial" w:eastAsia="Times New Roman" w:hAnsi="Arial"/>
                <w:kern w:val="0"/>
                <w:sz w:val="22"/>
                <w14:ligatures w14:val="none"/>
              </w:rPr>
              <w:t xml:space="preserve"> </w:t>
            </w:r>
          </w:p>
          <w:p w14:paraId="42B06A5F" w14:textId="7DDCC936" w:rsidR="00C06F39" w:rsidRPr="00C06F39" w:rsidRDefault="00C06F39" w:rsidP="00C06F39">
            <w:pPr>
              <w:numPr>
                <w:ilvl w:val="1"/>
                <w:numId w:val="15"/>
              </w:numPr>
              <w:overflowPunct w:val="0"/>
              <w:autoSpaceDE w:val="0"/>
              <w:autoSpaceDN w:val="0"/>
              <w:adjustRightInd w:val="0"/>
              <w:contextualSpacing/>
              <w:textAlignment w:val="baseline"/>
              <w:rPr>
                <w:rStyle w:val="Hyperlink"/>
                <w:rFonts w:ascii="Arial" w:eastAsia="Times New Roman" w:hAnsi="Arial"/>
                <w:kern w:val="0"/>
                <w:sz w:val="22"/>
                <w14:ligatures w14:val="none"/>
              </w:rPr>
            </w:pPr>
            <w:hyperlink r:id="rId43" w:history="1">
              <w:r w:rsidRPr="00C06F39">
                <w:rPr>
                  <w:rStyle w:val="Hyperlink"/>
                  <w:rFonts w:ascii="Arial" w:eastAsia="Times New Roman" w:hAnsi="Arial"/>
                  <w:kern w:val="0"/>
                  <w:sz w:val="22"/>
                  <w14:ligatures w14:val="none"/>
                </w:rPr>
                <w:t>Terrence Higgins Trust</w:t>
              </w:r>
            </w:hyperlink>
            <w:r w:rsidRPr="00C06F39">
              <w:rPr>
                <w:rStyle w:val="Hyperlink"/>
                <w:rFonts w:ascii="Arial" w:eastAsia="Times New Roman" w:hAnsi="Arial"/>
                <w:kern w:val="0"/>
                <w:sz w:val="22"/>
                <w14:ligatures w14:val="none"/>
              </w:rPr>
              <w:t xml:space="preserve"> </w:t>
            </w:r>
          </w:p>
          <w:p w14:paraId="04EDA3E5" w14:textId="2C3979D9" w:rsidR="00C06F39" w:rsidRPr="00C06F39" w:rsidRDefault="00C06F39" w:rsidP="00C06F39">
            <w:pPr>
              <w:numPr>
                <w:ilvl w:val="1"/>
                <w:numId w:val="15"/>
              </w:numPr>
              <w:overflowPunct w:val="0"/>
              <w:autoSpaceDE w:val="0"/>
              <w:autoSpaceDN w:val="0"/>
              <w:adjustRightInd w:val="0"/>
              <w:contextualSpacing/>
              <w:textAlignment w:val="baseline"/>
              <w:rPr>
                <w:rStyle w:val="Hyperlink"/>
                <w:rFonts w:ascii="Arial" w:eastAsia="Times New Roman" w:hAnsi="Arial"/>
                <w:kern w:val="0"/>
                <w:sz w:val="22"/>
                <w14:ligatures w14:val="none"/>
              </w:rPr>
            </w:pPr>
            <w:hyperlink r:id="rId44" w:history="1">
              <w:proofErr w:type="spellStart"/>
              <w:r w:rsidRPr="00C06F39">
                <w:rPr>
                  <w:rStyle w:val="Hyperlink"/>
                  <w:rFonts w:ascii="Arial" w:eastAsia="Times New Roman" w:hAnsi="Arial"/>
                  <w:kern w:val="0"/>
                  <w:sz w:val="22"/>
                  <w14:ligatures w14:val="none"/>
                </w:rPr>
                <w:t>PrEPster</w:t>
              </w:r>
              <w:proofErr w:type="spellEnd"/>
            </w:hyperlink>
          </w:p>
          <w:p w14:paraId="2BB53274" w14:textId="16574534" w:rsidR="00C06F39" w:rsidRPr="00C06F39" w:rsidRDefault="00C06F39" w:rsidP="00C06F39">
            <w:pPr>
              <w:numPr>
                <w:ilvl w:val="1"/>
                <w:numId w:val="15"/>
              </w:numPr>
              <w:overflowPunct w:val="0"/>
              <w:autoSpaceDE w:val="0"/>
              <w:autoSpaceDN w:val="0"/>
              <w:adjustRightInd w:val="0"/>
              <w:contextualSpacing/>
              <w:textAlignment w:val="baseline"/>
              <w:rPr>
                <w:rFonts w:ascii="Arial" w:eastAsia="Arial" w:hAnsi="Arial" w:cs="Arial"/>
                <w:sz w:val="22"/>
                <w:szCs w:val="22"/>
              </w:rPr>
            </w:pPr>
            <w:hyperlink r:id="rId45" w:history="1">
              <w:proofErr w:type="spellStart"/>
              <w:r w:rsidRPr="00C06F39">
                <w:rPr>
                  <w:rStyle w:val="Hyperlink"/>
                  <w:rFonts w:ascii="Arial" w:eastAsia="Times New Roman" w:hAnsi="Arial"/>
                  <w:kern w:val="0"/>
                  <w:sz w:val="22"/>
                  <w14:ligatures w14:val="none"/>
                </w:rPr>
                <w:t>i</w:t>
              </w:r>
              <w:proofErr w:type="spellEnd"/>
              <w:r w:rsidRPr="00C06F39">
                <w:rPr>
                  <w:rStyle w:val="Hyperlink"/>
                  <w:rFonts w:ascii="Arial" w:eastAsia="Times New Roman" w:hAnsi="Arial"/>
                  <w:kern w:val="0"/>
                  <w:sz w:val="22"/>
                  <w14:ligatures w14:val="none"/>
                </w:rPr>
                <w:t>-base information</w:t>
              </w:r>
            </w:hyperlink>
            <w:r w:rsidRPr="0090474B">
              <w:rPr>
                <w:rFonts w:ascii="Arial" w:eastAsia="Arial" w:hAnsi="Arial" w:cs="Arial"/>
                <w:sz w:val="22"/>
                <w:szCs w:val="22"/>
              </w:rPr>
              <w:t xml:space="preserve"> </w:t>
            </w:r>
            <w:r w:rsidRPr="0090474B">
              <w:rPr>
                <w:rFonts w:ascii="Arial" w:hAnsi="Arial" w:cs="Arial"/>
                <w:color w:val="000000"/>
                <w:sz w:val="22"/>
                <w:szCs w:val="22"/>
              </w:rPr>
              <w:t>and</w:t>
            </w:r>
            <w:r>
              <w:rPr>
                <w:rFonts w:ascii="Arial" w:hAnsi="Arial" w:cs="Arial"/>
                <w:color w:val="0000FF"/>
                <w:sz w:val="22"/>
                <w:szCs w:val="22"/>
                <w:u w:val="single"/>
              </w:rPr>
              <w:t xml:space="preserve"> </w:t>
            </w:r>
          </w:p>
          <w:p w14:paraId="2FFB91A1" w14:textId="2FB8BE3F" w:rsidR="00C06F39" w:rsidRPr="00C06F39" w:rsidRDefault="00C06F39" w:rsidP="00C06F39">
            <w:pPr>
              <w:numPr>
                <w:ilvl w:val="1"/>
                <w:numId w:val="15"/>
              </w:numPr>
              <w:overflowPunct w:val="0"/>
              <w:autoSpaceDE w:val="0"/>
              <w:autoSpaceDN w:val="0"/>
              <w:adjustRightInd w:val="0"/>
              <w:contextualSpacing/>
              <w:textAlignment w:val="baseline"/>
              <w:rPr>
                <w:rStyle w:val="Hyperlink"/>
                <w:rFonts w:eastAsia="Times New Roman"/>
                <w:kern w:val="0"/>
                <w14:ligatures w14:val="none"/>
              </w:rPr>
            </w:pPr>
            <w:hyperlink r:id="rId46" w:history="1">
              <w:proofErr w:type="spellStart"/>
              <w:r w:rsidRPr="00C06F39">
                <w:rPr>
                  <w:rStyle w:val="Hyperlink"/>
                  <w:rFonts w:ascii="Arial" w:eastAsia="Times New Roman" w:hAnsi="Arial"/>
                  <w:kern w:val="0"/>
                  <w:sz w:val="22"/>
                  <w14:ligatures w14:val="none"/>
                </w:rPr>
                <w:t>i</w:t>
              </w:r>
              <w:proofErr w:type="spellEnd"/>
              <w:r w:rsidRPr="00C06F39">
                <w:rPr>
                  <w:rStyle w:val="Hyperlink"/>
                  <w:rFonts w:ascii="Arial" w:eastAsia="Times New Roman" w:hAnsi="Arial"/>
                  <w:kern w:val="0"/>
                  <w:sz w:val="22"/>
                  <w14:ligatures w14:val="none"/>
                </w:rPr>
                <w:t>-base guides</w:t>
              </w:r>
            </w:hyperlink>
          </w:p>
          <w:p w14:paraId="53EDC495" w14:textId="77777777" w:rsidR="00C06F39" w:rsidRDefault="00C06F39" w:rsidP="00C06F39">
            <w:pPr>
              <w:pStyle w:val="Bulletindent1"/>
              <w:rPr>
                <w:rFonts w:eastAsia="Arial"/>
              </w:rPr>
            </w:pPr>
            <w:r w:rsidRPr="000204DC">
              <w:rPr>
                <w:rFonts w:eastAsia="Arial"/>
              </w:rPr>
              <w:lastRenderedPageBreak/>
              <w:t xml:space="preserve">Advise on </w:t>
            </w:r>
            <w:r>
              <w:rPr>
                <w:rFonts w:eastAsia="Arial"/>
                <w:spacing w:val="1"/>
              </w:rPr>
              <w:t>sa</w:t>
            </w:r>
            <w:r w:rsidRPr="000204DC">
              <w:rPr>
                <w:rFonts w:eastAsia="Arial"/>
              </w:rPr>
              <w:t>f</w:t>
            </w:r>
            <w:r w:rsidRPr="000204DC">
              <w:rPr>
                <w:rFonts w:eastAsia="Arial"/>
                <w:spacing w:val="1"/>
              </w:rPr>
              <w:t>e</w:t>
            </w:r>
            <w:r w:rsidRPr="000204DC">
              <w:rPr>
                <w:rFonts w:eastAsia="Arial"/>
              </w:rPr>
              <w:t>r</w:t>
            </w:r>
            <w:r w:rsidRPr="000204DC">
              <w:rPr>
                <w:rFonts w:eastAsia="Arial"/>
                <w:spacing w:val="2"/>
              </w:rPr>
              <w:t xml:space="preserve"> </w:t>
            </w:r>
            <w:r w:rsidRPr="000204DC">
              <w:rPr>
                <w:rFonts w:eastAsia="Arial"/>
              </w:rPr>
              <w:t>s</w:t>
            </w:r>
            <w:r w:rsidRPr="000204DC">
              <w:rPr>
                <w:rFonts w:eastAsia="Arial"/>
                <w:spacing w:val="1"/>
              </w:rPr>
              <w:t>e</w:t>
            </w:r>
            <w:r w:rsidRPr="000204DC">
              <w:rPr>
                <w:rFonts w:eastAsia="Arial"/>
              </w:rPr>
              <w:t>x</w:t>
            </w:r>
            <w:r w:rsidRPr="000204DC">
              <w:rPr>
                <w:rFonts w:eastAsia="Arial"/>
                <w:spacing w:val="-5"/>
              </w:rPr>
              <w:t xml:space="preserve"> </w:t>
            </w:r>
            <w:r w:rsidRPr="000204DC">
              <w:rPr>
                <w:rFonts w:eastAsia="Arial"/>
                <w:spacing w:val="1"/>
              </w:rPr>
              <w:t>an</w:t>
            </w:r>
            <w:r w:rsidRPr="000204DC">
              <w:rPr>
                <w:rFonts w:eastAsia="Arial"/>
              </w:rPr>
              <w:t>d</w:t>
            </w:r>
            <w:r w:rsidRPr="000204DC">
              <w:rPr>
                <w:rFonts w:eastAsia="Arial"/>
                <w:spacing w:val="1"/>
              </w:rPr>
              <w:t xml:space="preserve"> </w:t>
            </w:r>
            <w:r w:rsidRPr="000204DC">
              <w:rPr>
                <w:rFonts w:eastAsia="Arial"/>
              </w:rPr>
              <w:t>c</w:t>
            </w:r>
            <w:r w:rsidRPr="000204DC">
              <w:rPr>
                <w:rFonts w:eastAsia="Arial"/>
                <w:spacing w:val="1"/>
              </w:rPr>
              <w:t>ondo</w:t>
            </w:r>
            <w:r w:rsidRPr="000204DC">
              <w:rPr>
                <w:rFonts w:eastAsia="Arial"/>
              </w:rPr>
              <w:t>m</w:t>
            </w:r>
            <w:r w:rsidRPr="000204DC">
              <w:rPr>
                <w:rFonts w:eastAsia="Arial"/>
                <w:spacing w:val="-8"/>
              </w:rPr>
              <w:t xml:space="preserve"> </w:t>
            </w:r>
            <w:r w:rsidRPr="000204DC">
              <w:rPr>
                <w:rFonts w:eastAsia="Arial"/>
                <w:spacing w:val="1"/>
              </w:rPr>
              <w:t>u</w:t>
            </w:r>
            <w:r w:rsidRPr="000204DC">
              <w:rPr>
                <w:rFonts w:eastAsia="Arial"/>
              </w:rPr>
              <w:t>s</w:t>
            </w:r>
            <w:r w:rsidRPr="000204DC">
              <w:rPr>
                <w:rFonts w:eastAsia="Arial"/>
                <w:spacing w:val="1"/>
              </w:rPr>
              <w:t>e</w:t>
            </w:r>
            <w:r>
              <w:rPr>
                <w:rFonts w:eastAsia="Arial"/>
              </w:rPr>
              <w:t xml:space="preserve"> and</w:t>
            </w:r>
            <w:r w:rsidRPr="000204DC">
              <w:rPr>
                <w:rFonts w:eastAsia="Arial"/>
                <w:spacing w:val="1"/>
              </w:rPr>
              <w:t xml:space="preserve"> </w:t>
            </w:r>
            <w:r w:rsidRPr="000204DC">
              <w:rPr>
                <w:rFonts w:eastAsia="Arial"/>
                <w:spacing w:val="-3"/>
              </w:rPr>
              <w:t>r</w:t>
            </w:r>
            <w:r w:rsidRPr="000204DC">
              <w:rPr>
                <w:rFonts w:eastAsia="Arial"/>
                <w:spacing w:val="4"/>
              </w:rPr>
              <w:t>i</w:t>
            </w:r>
            <w:r w:rsidRPr="000204DC">
              <w:rPr>
                <w:rFonts w:eastAsia="Arial"/>
              </w:rPr>
              <w:t xml:space="preserve">sk </w:t>
            </w:r>
            <w:r w:rsidRPr="000204DC">
              <w:rPr>
                <w:rFonts w:eastAsia="Arial"/>
                <w:spacing w:val="1"/>
              </w:rPr>
              <w:t>o</w:t>
            </w:r>
            <w:r w:rsidRPr="000204DC">
              <w:rPr>
                <w:rFonts w:eastAsia="Arial"/>
              </w:rPr>
              <w:t>f</w:t>
            </w:r>
            <w:r w:rsidRPr="000204DC">
              <w:rPr>
                <w:rFonts w:eastAsia="Arial"/>
                <w:spacing w:val="1"/>
              </w:rPr>
              <w:t xml:space="preserve"> </w:t>
            </w:r>
            <w:r w:rsidRPr="000204DC">
              <w:rPr>
                <w:rFonts w:eastAsia="Arial"/>
                <w:spacing w:val="-4"/>
              </w:rPr>
              <w:t>o</w:t>
            </w:r>
            <w:r w:rsidRPr="000204DC">
              <w:rPr>
                <w:rFonts w:eastAsia="Arial"/>
              </w:rPr>
              <w:t>t</w:t>
            </w:r>
            <w:r w:rsidRPr="000204DC">
              <w:rPr>
                <w:rFonts w:eastAsia="Arial"/>
                <w:spacing w:val="1"/>
              </w:rPr>
              <w:t>he</w:t>
            </w:r>
            <w:r w:rsidRPr="000204DC">
              <w:rPr>
                <w:rFonts w:eastAsia="Arial"/>
              </w:rPr>
              <w:t>r</w:t>
            </w:r>
            <w:r w:rsidRPr="000204DC">
              <w:rPr>
                <w:rFonts w:eastAsia="Arial"/>
                <w:spacing w:val="2"/>
              </w:rPr>
              <w:t xml:space="preserve"> ST</w:t>
            </w:r>
            <w:r w:rsidRPr="000204DC">
              <w:rPr>
                <w:rFonts w:eastAsia="Arial"/>
              </w:rPr>
              <w:t>Is</w:t>
            </w:r>
            <w:r>
              <w:rPr>
                <w:rFonts w:eastAsia="Arial"/>
              </w:rPr>
              <w:t xml:space="preserve">. </w:t>
            </w:r>
            <w:r w:rsidRPr="00D123E8">
              <w:rPr>
                <w:rFonts w:eastAsia="Arial"/>
              </w:rPr>
              <w:t>PrEP provision should include condom provision and behavioural support</w:t>
            </w:r>
          </w:p>
          <w:p w14:paraId="639B74FF" w14:textId="77777777" w:rsidR="00C06F39" w:rsidRPr="00D123E8" w:rsidRDefault="00C06F39" w:rsidP="00C06F39">
            <w:pPr>
              <w:pStyle w:val="Bulletindent1"/>
              <w:rPr>
                <w:rFonts w:eastAsia="Arial"/>
              </w:rPr>
            </w:pPr>
            <w:r>
              <w:rPr>
                <w:rFonts w:eastAsia="Arial"/>
              </w:rPr>
              <w:t>Advise that PrEP is not a contraceptive</w:t>
            </w:r>
          </w:p>
          <w:p w14:paraId="5DE457EA" w14:textId="77777777" w:rsidR="00C06F39" w:rsidRPr="005531A1" w:rsidRDefault="00C06F39" w:rsidP="00C06F39">
            <w:pPr>
              <w:pStyle w:val="Bulletindent1"/>
              <w:rPr>
                <w:rFonts w:eastAsia="Calibri-Bold"/>
                <w:bCs/>
              </w:rPr>
            </w:pPr>
            <w:r w:rsidRPr="00E95CED">
              <w:rPr>
                <w:rFonts w:eastAsia="Arial"/>
              </w:rPr>
              <w:t xml:space="preserve">Advise on the importance of regular 3-6 monthly HIV testing and </w:t>
            </w:r>
            <w:r w:rsidRPr="006D5AB3">
              <w:rPr>
                <w:rFonts w:eastAsia="Arial"/>
              </w:rPr>
              <w:t>3</w:t>
            </w:r>
            <w:r>
              <w:rPr>
                <w:rFonts w:eastAsia="Arial"/>
              </w:rPr>
              <w:t>-6</w:t>
            </w:r>
            <w:r w:rsidRPr="006D5AB3">
              <w:rPr>
                <w:rFonts w:eastAsia="Arial"/>
              </w:rPr>
              <w:t xml:space="preserve"> monthly STI</w:t>
            </w:r>
            <w:r w:rsidRPr="00E77BA3">
              <w:rPr>
                <w:rFonts w:eastAsia="Calibri"/>
                <w:vertAlign w:val="superscript"/>
              </w:rPr>
              <w:t>†</w:t>
            </w:r>
            <w:r w:rsidRPr="006D5AB3">
              <w:rPr>
                <w:rFonts w:eastAsia="Arial"/>
              </w:rPr>
              <w:t xml:space="preserve"> </w:t>
            </w:r>
            <w:r w:rsidRPr="00A5146E">
              <w:rPr>
                <w:rFonts w:eastAsia="Arial"/>
              </w:rPr>
              <w:t>testing if new or multiple sexual partners</w:t>
            </w:r>
            <w:r w:rsidRPr="00E95CED">
              <w:rPr>
                <w:rFonts w:eastAsia="Arial"/>
              </w:rPr>
              <w:t xml:space="preserve"> </w:t>
            </w:r>
            <w:r w:rsidRPr="00E95CED">
              <w:rPr>
                <w:color w:val="000000"/>
              </w:rPr>
              <w:t>(either face-to-face or online).</w:t>
            </w:r>
            <w:r>
              <w:rPr>
                <w:color w:val="000000"/>
              </w:rPr>
              <w:t xml:space="preserve"> </w:t>
            </w:r>
          </w:p>
          <w:p w14:paraId="1C0DA0D3" w14:textId="77777777" w:rsidR="00C06F39" w:rsidRPr="006D5AB3" w:rsidRDefault="00C06F39" w:rsidP="00C06F39">
            <w:pPr>
              <w:pStyle w:val="Bulletindent1"/>
              <w:rPr>
                <w:rFonts w:eastAsia="Calibri-Bold"/>
              </w:rPr>
            </w:pPr>
            <w:r w:rsidRPr="00E95CED">
              <w:rPr>
                <w:rFonts w:eastAsia="Calibri-Bold"/>
              </w:rPr>
              <w:t>Information should be provided to all individuals</w:t>
            </w:r>
            <w:r w:rsidRPr="006D5AB3">
              <w:rPr>
                <w:rFonts w:eastAsia="Calibri-Bold"/>
              </w:rPr>
              <w:t xml:space="preserve"> on:</w:t>
            </w:r>
          </w:p>
          <w:p w14:paraId="51DF78F2" w14:textId="77777777" w:rsidR="00C06F39" w:rsidRDefault="00C06F39" w:rsidP="00C06F39">
            <w:pPr>
              <w:numPr>
                <w:ilvl w:val="1"/>
                <w:numId w:val="15"/>
              </w:numPr>
              <w:rPr>
                <w:rFonts w:ascii="Arial" w:eastAsia="Calibri-Bold" w:hAnsi="Arial" w:cs="Arial"/>
                <w:bCs/>
                <w:sz w:val="22"/>
                <w:szCs w:val="22"/>
              </w:rPr>
            </w:pPr>
            <w:r w:rsidRPr="00383B22">
              <w:rPr>
                <w:rFonts w:ascii="Arial" w:eastAsia="Calibri-Bold" w:hAnsi="Arial" w:cs="Arial"/>
                <w:bCs/>
                <w:sz w:val="22"/>
                <w:szCs w:val="22"/>
              </w:rPr>
              <w:t>PrEP medication dose and schedule</w:t>
            </w:r>
          </w:p>
          <w:p w14:paraId="052FC1E5" w14:textId="77777777" w:rsidR="00C06F39" w:rsidRDefault="00C06F39" w:rsidP="00C06F39">
            <w:pPr>
              <w:numPr>
                <w:ilvl w:val="1"/>
                <w:numId w:val="15"/>
              </w:numPr>
              <w:rPr>
                <w:rFonts w:ascii="Arial" w:eastAsia="Calibri-Bold" w:hAnsi="Arial" w:cs="Arial"/>
                <w:bCs/>
                <w:sz w:val="22"/>
                <w:szCs w:val="22"/>
              </w:rPr>
            </w:pPr>
            <w:r w:rsidRPr="005531A1">
              <w:rPr>
                <w:rFonts w:ascii="Arial" w:eastAsia="Calibri-Bold" w:hAnsi="Arial" w:cs="Arial"/>
                <w:bCs/>
                <w:sz w:val="22"/>
                <w:szCs w:val="22"/>
              </w:rPr>
              <w:t>When HIV post-exposure prophylaxis</w:t>
            </w:r>
            <w:r>
              <w:rPr>
                <w:rFonts w:ascii="Arial" w:eastAsia="Calibri-Bold" w:hAnsi="Arial" w:cs="Arial"/>
                <w:bCs/>
                <w:sz w:val="22"/>
                <w:szCs w:val="22"/>
              </w:rPr>
              <w:t xml:space="preserve"> </w:t>
            </w:r>
            <w:r w:rsidRPr="005531A1">
              <w:rPr>
                <w:rFonts w:ascii="Arial" w:eastAsia="Calibri-Bold" w:hAnsi="Arial" w:cs="Arial"/>
                <w:bCs/>
                <w:sz w:val="22"/>
                <w:szCs w:val="22"/>
              </w:rPr>
              <w:t xml:space="preserve">(PEP) is needed following missed PrEP doses </w:t>
            </w:r>
            <w:r w:rsidRPr="005531A1">
              <w:rPr>
                <w:rFonts w:ascii="Arial" w:eastAsia="Calibri-Bold" w:hAnsi="Arial" w:cs="Arial"/>
                <w:bCs/>
                <w:sz w:val="22"/>
                <w:szCs w:val="22"/>
                <w:u w:val="single"/>
              </w:rPr>
              <w:t>and</w:t>
            </w:r>
            <w:r w:rsidRPr="005531A1">
              <w:rPr>
                <w:rFonts w:ascii="Arial" w:eastAsia="Calibri-Bold" w:hAnsi="Arial" w:cs="Arial"/>
                <w:bCs/>
                <w:sz w:val="22"/>
                <w:szCs w:val="22"/>
              </w:rPr>
              <w:t xml:space="preserve"> how to access PEP</w:t>
            </w:r>
          </w:p>
          <w:p w14:paraId="142E29D6" w14:textId="77777777" w:rsidR="00C06F39" w:rsidRPr="005531A1" w:rsidRDefault="00C06F39" w:rsidP="00C06F39">
            <w:pPr>
              <w:numPr>
                <w:ilvl w:val="1"/>
                <w:numId w:val="15"/>
              </w:numPr>
              <w:rPr>
                <w:rFonts w:ascii="Arial" w:eastAsia="Calibri-Bold" w:hAnsi="Arial" w:cs="Arial"/>
                <w:bCs/>
                <w:sz w:val="22"/>
                <w:szCs w:val="22"/>
              </w:rPr>
            </w:pPr>
            <w:r w:rsidRPr="005531A1">
              <w:rPr>
                <w:rFonts w:ascii="Arial" w:eastAsia="Calibri-Bold" w:hAnsi="Arial" w:cs="Arial"/>
                <w:bCs/>
                <w:sz w:val="22"/>
                <w:szCs w:val="22"/>
              </w:rPr>
              <w:t xml:space="preserve">Lead-in time to protection </w:t>
            </w:r>
            <w:r w:rsidRPr="005531A1">
              <w:rPr>
                <w:rFonts w:ascii="Arial" w:eastAsia="Calibri-Bold" w:hAnsi="Arial" w:cs="Arial"/>
                <w:bCs/>
                <w:sz w:val="22"/>
                <w:szCs w:val="22"/>
                <w:u w:val="single"/>
              </w:rPr>
              <w:t>and</w:t>
            </w:r>
            <w:r w:rsidRPr="005531A1">
              <w:rPr>
                <w:rFonts w:ascii="Arial" w:eastAsia="Calibri-Bold" w:hAnsi="Arial" w:cs="Arial"/>
                <w:bCs/>
                <w:sz w:val="22"/>
                <w:szCs w:val="22"/>
              </w:rPr>
              <w:t xml:space="preserve"> duration it needs to be taken for after last risk exposure to ensure protection </w:t>
            </w:r>
          </w:p>
          <w:p w14:paraId="4A07C0B2" w14:textId="77777777" w:rsidR="00C06F39" w:rsidRPr="00383B22" w:rsidRDefault="00C06F39" w:rsidP="00C06F39">
            <w:pPr>
              <w:numPr>
                <w:ilvl w:val="1"/>
                <w:numId w:val="15"/>
              </w:numPr>
              <w:rPr>
                <w:rFonts w:ascii="Arial" w:eastAsia="Calibri-Bold" w:hAnsi="Arial" w:cs="Arial"/>
                <w:bCs/>
                <w:sz w:val="22"/>
                <w:szCs w:val="22"/>
              </w:rPr>
            </w:pPr>
            <w:r w:rsidRPr="002E3514">
              <w:rPr>
                <w:rFonts w:ascii="Arial" w:eastAsia="Calibri-Bold" w:hAnsi="Arial" w:cs="Arial"/>
                <w:bCs/>
                <w:sz w:val="22"/>
                <w:szCs w:val="22"/>
              </w:rPr>
              <w:t>Relationship of adherence to PrEP efficacy</w:t>
            </w:r>
          </w:p>
          <w:p w14:paraId="26785138" w14:textId="77777777" w:rsidR="00C06F39" w:rsidRPr="00383B22" w:rsidRDefault="00C06F39" w:rsidP="00C06F39">
            <w:pPr>
              <w:numPr>
                <w:ilvl w:val="1"/>
                <w:numId w:val="15"/>
              </w:numPr>
              <w:rPr>
                <w:rFonts w:ascii="Arial" w:eastAsia="Calibri-Bold" w:hAnsi="Arial" w:cs="Arial"/>
                <w:bCs/>
                <w:sz w:val="22"/>
                <w:szCs w:val="22"/>
              </w:rPr>
            </w:pPr>
            <w:r w:rsidRPr="002E3514">
              <w:rPr>
                <w:rFonts w:ascii="Arial" w:eastAsia="Calibri-Bold" w:hAnsi="Arial" w:cs="Arial"/>
                <w:bCs/>
                <w:sz w:val="22"/>
                <w:szCs w:val="22"/>
              </w:rPr>
              <w:t>Risks of HIV infection and antiretroviral resistance from suboptimal adherence</w:t>
            </w:r>
          </w:p>
          <w:p w14:paraId="397A4F12" w14:textId="70D0A20A" w:rsidR="00C06F39" w:rsidRPr="00C06F39" w:rsidRDefault="00C06F39" w:rsidP="00B514C7">
            <w:pPr>
              <w:pStyle w:val="Bulletindent1"/>
              <w:numPr>
                <w:ilvl w:val="1"/>
                <w:numId w:val="15"/>
              </w:numPr>
            </w:pPr>
            <w:r w:rsidRPr="002E3514">
              <w:rPr>
                <w:rFonts w:eastAsia="Calibri-Bold"/>
              </w:rPr>
              <w:t>Symptoms of HIV seroconversion that require assessment</w:t>
            </w:r>
          </w:p>
        </w:tc>
      </w:tr>
      <w:tr w:rsidR="00393D73" w14:paraId="09A371CA" w14:textId="77777777" w:rsidTr="00D54440">
        <w:tc>
          <w:tcPr>
            <w:tcW w:w="3566" w:type="dxa"/>
          </w:tcPr>
          <w:p w14:paraId="0AB3BA26" w14:textId="63B73D61" w:rsidR="00393D73" w:rsidRPr="00544444" w:rsidRDefault="00B514C7" w:rsidP="00393D73">
            <w:pPr>
              <w:rPr>
                <w:rStyle w:val="TableHeaderColumn"/>
                <w:sz w:val="22"/>
              </w:rPr>
            </w:pPr>
            <w:r>
              <w:rPr>
                <w:rStyle w:val="TableHeaderColumn"/>
                <w:sz w:val="22"/>
              </w:rPr>
              <w:lastRenderedPageBreak/>
              <w:t>F</w:t>
            </w:r>
            <w:r w:rsidR="00393D73" w:rsidRPr="00544444">
              <w:rPr>
                <w:rStyle w:val="TableHeaderColumn"/>
                <w:sz w:val="22"/>
              </w:rPr>
              <w:t>ollow up treatment</w:t>
            </w:r>
          </w:p>
        </w:tc>
        <w:tc>
          <w:tcPr>
            <w:tcW w:w="5656" w:type="dxa"/>
          </w:tcPr>
          <w:p w14:paraId="2BF8FA34" w14:textId="7272D11A" w:rsidR="00393D73" w:rsidRPr="00393D73" w:rsidRDefault="00B514C7" w:rsidP="00B514C7">
            <w:pPr>
              <w:pStyle w:val="Tabletext"/>
            </w:pPr>
            <w:bookmarkStart w:id="15" w:name="_Hlk44941506"/>
            <w:r>
              <w:rPr>
                <w:highlight w:val="cyan"/>
              </w:rPr>
              <w:t>[</w:t>
            </w:r>
            <w:r w:rsidRPr="00B514C7">
              <w:rPr>
                <w:highlight w:val="cyan"/>
              </w:rPr>
              <w:t>Follow up with the individual should be arranged in line with local processes</w:t>
            </w:r>
            <w:r w:rsidRPr="008E498F">
              <w:rPr>
                <w:highlight w:val="cyan"/>
              </w:rPr>
              <w:t>]</w:t>
            </w:r>
            <w:r w:rsidRPr="00B514C7">
              <w:t xml:space="preserve"> </w:t>
            </w:r>
            <w:bookmarkEnd w:id="15"/>
          </w:p>
        </w:tc>
      </w:tr>
      <w:tr w:rsidR="00393D73" w14:paraId="589EF44D" w14:textId="77777777" w:rsidTr="00D54440">
        <w:tc>
          <w:tcPr>
            <w:tcW w:w="3566" w:type="dxa"/>
          </w:tcPr>
          <w:p w14:paraId="0194F7E0" w14:textId="7E52FBD6" w:rsidR="00393D73" w:rsidRPr="005A6168" w:rsidRDefault="00393D73" w:rsidP="00393D73">
            <w:pPr>
              <w:rPr>
                <w:rStyle w:val="TableHeaderColumn"/>
              </w:rPr>
            </w:pPr>
            <w:r w:rsidRPr="00544444">
              <w:rPr>
                <w:rStyle w:val="TableHeaderColumn"/>
                <w:sz w:val="22"/>
              </w:rPr>
              <w:t>Records to be kept</w:t>
            </w:r>
          </w:p>
        </w:tc>
        <w:tc>
          <w:tcPr>
            <w:tcW w:w="5656" w:type="dxa"/>
          </w:tcPr>
          <w:p w14:paraId="09C8E253" w14:textId="04D70FA0" w:rsidR="00393D73" w:rsidRPr="00227D22" w:rsidRDefault="00393D73" w:rsidP="00227D22">
            <w:pPr>
              <w:pStyle w:val="Tabletext"/>
              <w:rPr>
                <w:rFonts w:eastAsia="Arial"/>
              </w:rPr>
            </w:pPr>
            <w:r w:rsidRPr="00073FD5">
              <w:rPr>
                <w:rFonts w:eastAsia="Arial"/>
              </w:rPr>
              <w:t>Appropriate records must include the following:</w:t>
            </w:r>
          </w:p>
          <w:p w14:paraId="0A234182" w14:textId="77777777" w:rsidR="00B514C7" w:rsidRPr="00B514C7" w:rsidRDefault="00B514C7" w:rsidP="00B514C7">
            <w:pPr>
              <w:pStyle w:val="Bulletindent1"/>
              <w:rPr>
                <w:iCs/>
              </w:rPr>
            </w:pPr>
            <w:r w:rsidRPr="00B514C7">
              <w:rPr>
                <w:iCs/>
              </w:rPr>
              <w:t xml:space="preserve">That valid informed consent has been given </w:t>
            </w:r>
          </w:p>
          <w:p w14:paraId="0594CE9E" w14:textId="77777777" w:rsidR="00B514C7" w:rsidRPr="00B514C7" w:rsidRDefault="00B514C7" w:rsidP="00B514C7">
            <w:pPr>
              <w:pStyle w:val="Bulletindent1"/>
              <w:rPr>
                <w:iCs/>
              </w:rPr>
            </w:pPr>
            <w:r w:rsidRPr="00B514C7">
              <w:rPr>
                <w:iCs/>
              </w:rPr>
              <w:t xml:space="preserve">Name of individual, address, date of birth </w:t>
            </w:r>
          </w:p>
          <w:p w14:paraId="38C74909" w14:textId="77777777" w:rsidR="00B514C7" w:rsidRPr="00B514C7" w:rsidRDefault="00B514C7" w:rsidP="00B514C7">
            <w:pPr>
              <w:pStyle w:val="Bulletindent1"/>
              <w:rPr>
                <w:iCs/>
              </w:rPr>
            </w:pPr>
            <w:r w:rsidRPr="00B514C7">
              <w:rPr>
                <w:iCs/>
              </w:rPr>
              <w:t>GP contact details where appropriate</w:t>
            </w:r>
          </w:p>
          <w:p w14:paraId="5049B5B3" w14:textId="77777777" w:rsidR="00B514C7" w:rsidRPr="00B514C7" w:rsidRDefault="00B514C7" w:rsidP="00B514C7">
            <w:pPr>
              <w:pStyle w:val="Bulletindent1"/>
              <w:rPr>
                <w:iCs/>
              </w:rPr>
            </w:pPr>
            <w:r w:rsidRPr="00B514C7">
              <w:rPr>
                <w:iCs/>
              </w:rPr>
              <w:t>Relevant past and present medical history</w:t>
            </w:r>
          </w:p>
          <w:p w14:paraId="36CC83F9" w14:textId="77777777" w:rsidR="00B514C7" w:rsidRPr="00B514C7" w:rsidRDefault="00B514C7" w:rsidP="00B514C7">
            <w:pPr>
              <w:pStyle w:val="Bulletindent1"/>
              <w:rPr>
                <w:iCs/>
              </w:rPr>
            </w:pPr>
            <w:r w:rsidRPr="00B514C7">
              <w:rPr>
                <w:iCs/>
              </w:rPr>
              <w:t xml:space="preserve">Relevant medication history (to include over the counter, herbal medications, supplements and recreational drug use).  </w:t>
            </w:r>
          </w:p>
          <w:p w14:paraId="5EEFA92B" w14:textId="77777777" w:rsidR="00B514C7" w:rsidRPr="00B514C7" w:rsidRDefault="00B514C7" w:rsidP="00B514C7">
            <w:pPr>
              <w:pStyle w:val="Bulletindent1"/>
              <w:rPr>
                <w:iCs/>
              </w:rPr>
            </w:pPr>
            <w:r w:rsidRPr="00B514C7">
              <w:rPr>
                <w:iCs/>
              </w:rPr>
              <w:t xml:space="preserve">Examination or microbiology finding/s where relevant.  </w:t>
            </w:r>
          </w:p>
          <w:p w14:paraId="2B39BBED" w14:textId="77777777" w:rsidR="00B514C7" w:rsidRPr="00B514C7" w:rsidRDefault="00B514C7" w:rsidP="00B514C7">
            <w:pPr>
              <w:pStyle w:val="Bulletindent1"/>
              <w:rPr>
                <w:iCs/>
              </w:rPr>
            </w:pPr>
            <w:r w:rsidRPr="00B514C7">
              <w:rPr>
                <w:iCs/>
              </w:rPr>
              <w:t>Any known allergies</w:t>
            </w:r>
          </w:p>
          <w:p w14:paraId="60EB3CC0" w14:textId="77777777" w:rsidR="00B514C7" w:rsidRPr="00B514C7" w:rsidRDefault="00B514C7" w:rsidP="00B514C7">
            <w:pPr>
              <w:pStyle w:val="Bulletindent1"/>
              <w:rPr>
                <w:iCs/>
              </w:rPr>
            </w:pPr>
            <w:r w:rsidRPr="00B514C7">
              <w:rPr>
                <w:iCs/>
              </w:rPr>
              <w:t>Name of registered health professional</w:t>
            </w:r>
          </w:p>
          <w:p w14:paraId="3B8680CB" w14:textId="77777777" w:rsidR="00B514C7" w:rsidRPr="00B514C7" w:rsidRDefault="00B514C7" w:rsidP="00B514C7">
            <w:pPr>
              <w:pStyle w:val="Bulletindent1"/>
              <w:rPr>
                <w:iCs/>
              </w:rPr>
            </w:pPr>
            <w:r w:rsidRPr="00B514C7">
              <w:rPr>
                <w:iCs/>
              </w:rPr>
              <w:t xml:space="preserve">Name of medication supplied </w:t>
            </w:r>
          </w:p>
          <w:p w14:paraId="3207CCEE" w14:textId="77777777" w:rsidR="00B514C7" w:rsidRPr="00B514C7" w:rsidRDefault="00B514C7" w:rsidP="00B514C7">
            <w:pPr>
              <w:pStyle w:val="Bulletindent1"/>
              <w:rPr>
                <w:iCs/>
              </w:rPr>
            </w:pPr>
            <w:r w:rsidRPr="00B514C7">
              <w:rPr>
                <w:iCs/>
              </w:rPr>
              <w:t>Date of supply</w:t>
            </w:r>
          </w:p>
          <w:p w14:paraId="704D907D" w14:textId="77777777" w:rsidR="00B514C7" w:rsidRPr="00B514C7" w:rsidRDefault="00B514C7" w:rsidP="00B514C7">
            <w:pPr>
              <w:pStyle w:val="Bulletindent1"/>
              <w:rPr>
                <w:iCs/>
              </w:rPr>
            </w:pPr>
            <w:r w:rsidRPr="00B514C7">
              <w:rPr>
                <w:iCs/>
              </w:rPr>
              <w:lastRenderedPageBreak/>
              <w:t>Dose supplied</w:t>
            </w:r>
          </w:p>
          <w:p w14:paraId="6AACF6EE" w14:textId="77777777" w:rsidR="00B514C7" w:rsidRPr="00B514C7" w:rsidRDefault="00B514C7" w:rsidP="00B514C7">
            <w:pPr>
              <w:pStyle w:val="Bulletindent1"/>
              <w:rPr>
                <w:iCs/>
              </w:rPr>
            </w:pPr>
            <w:r w:rsidRPr="00B514C7">
              <w:rPr>
                <w:iCs/>
              </w:rPr>
              <w:t>Quantity supplied</w:t>
            </w:r>
          </w:p>
          <w:p w14:paraId="0889FB7B" w14:textId="77777777" w:rsidR="00B514C7" w:rsidRPr="00B514C7" w:rsidRDefault="00B514C7" w:rsidP="00B514C7">
            <w:pPr>
              <w:pStyle w:val="Bulletindent1"/>
              <w:rPr>
                <w:iCs/>
              </w:rPr>
            </w:pPr>
            <w:r w:rsidRPr="00B514C7">
              <w:rPr>
                <w:iCs/>
              </w:rPr>
              <w:t>Advice given, including advice given if excluded or declines treatment</w:t>
            </w:r>
          </w:p>
          <w:p w14:paraId="30814A31" w14:textId="77777777" w:rsidR="00B514C7" w:rsidRPr="00B514C7" w:rsidRDefault="00B514C7" w:rsidP="00B514C7">
            <w:pPr>
              <w:pStyle w:val="Bulletindent1"/>
              <w:rPr>
                <w:iCs/>
              </w:rPr>
            </w:pPr>
            <w:r w:rsidRPr="00B514C7">
              <w:rPr>
                <w:iCs/>
              </w:rPr>
              <w:t>Details of any adverse drug reactions and actions taken</w:t>
            </w:r>
          </w:p>
          <w:p w14:paraId="6B080F97" w14:textId="77777777" w:rsidR="00B514C7" w:rsidRPr="00B514C7" w:rsidRDefault="00B514C7" w:rsidP="00B514C7">
            <w:pPr>
              <w:pStyle w:val="Bulletindent1"/>
              <w:rPr>
                <w:iCs/>
              </w:rPr>
            </w:pPr>
            <w:r w:rsidRPr="00B514C7">
              <w:rPr>
                <w:iCs/>
              </w:rPr>
              <w:t xml:space="preserve">Advice given about the medication including, dosing regimen, side effects, benefits, and when and what to do if any concerns </w:t>
            </w:r>
          </w:p>
          <w:p w14:paraId="2F4B133C" w14:textId="77777777" w:rsidR="00B514C7" w:rsidRPr="00B514C7" w:rsidRDefault="00B514C7" w:rsidP="00B514C7">
            <w:pPr>
              <w:pStyle w:val="Bulletindent1"/>
              <w:rPr>
                <w:iCs/>
              </w:rPr>
            </w:pPr>
            <w:r w:rsidRPr="00B514C7">
              <w:rPr>
                <w:iCs/>
              </w:rPr>
              <w:t>Any referral arrangements made</w:t>
            </w:r>
          </w:p>
          <w:p w14:paraId="6E2DB68B" w14:textId="77777777" w:rsidR="00B514C7" w:rsidRPr="00B514C7" w:rsidRDefault="00B514C7" w:rsidP="00B514C7">
            <w:pPr>
              <w:pStyle w:val="Bulletindent1"/>
              <w:rPr>
                <w:iCs/>
              </w:rPr>
            </w:pPr>
            <w:r w:rsidRPr="00B514C7">
              <w:rPr>
                <w:iCs/>
              </w:rPr>
              <w:t>Any supply outside the terms of the product marketing authorisation</w:t>
            </w:r>
          </w:p>
          <w:p w14:paraId="6AC0D2DA" w14:textId="77777777" w:rsidR="00B514C7" w:rsidRPr="00B514C7" w:rsidRDefault="00B514C7" w:rsidP="00B514C7">
            <w:pPr>
              <w:pStyle w:val="Bulletindent1"/>
              <w:rPr>
                <w:iCs/>
              </w:rPr>
            </w:pPr>
            <w:r w:rsidRPr="00B514C7">
              <w:rPr>
                <w:iCs/>
              </w:rPr>
              <w:t>Recorded that supplied via Patient Group Direction (PGD)</w:t>
            </w:r>
          </w:p>
          <w:p w14:paraId="0265E5D1" w14:textId="0F9E4BE6" w:rsidR="00B514C7" w:rsidRPr="008E498F" w:rsidRDefault="00B514C7" w:rsidP="00B514C7">
            <w:pPr>
              <w:pStyle w:val="Bulletindent1"/>
              <w:rPr>
                <w:iCs/>
              </w:rPr>
            </w:pPr>
            <w:r w:rsidRPr="008E498F">
              <w:rPr>
                <w:iCs/>
                <w:highlight w:val="yellow"/>
              </w:rPr>
              <w:t>[[Any additional requirements in accordance with the local service specification]]</w:t>
            </w:r>
          </w:p>
          <w:p w14:paraId="48948A95" w14:textId="52B009C2" w:rsidR="00AD19F7" w:rsidRPr="00B514C7" w:rsidRDefault="00393D73" w:rsidP="00B514C7">
            <w:pPr>
              <w:pStyle w:val="Tabletext"/>
              <w:rPr>
                <w:b/>
                <w:bCs/>
                <w:lang w:val="en-GB"/>
              </w:rPr>
            </w:pPr>
            <w:r w:rsidRPr="00B514C7">
              <w:rPr>
                <w:b/>
                <w:bCs/>
              </w:rPr>
              <w:t>Records must be signed and dated (</w:t>
            </w:r>
            <w:r w:rsidR="00AD19F7" w:rsidRPr="00B514C7">
              <w:rPr>
                <w:b/>
                <w:bCs/>
              </w:rPr>
              <w:t xml:space="preserve">or </w:t>
            </w:r>
            <w:r w:rsidR="00B514C7" w:rsidRPr="00B514C7">
              <w:rPr>
                <w:b/>
                <w:bCs/>
              </w:rPr>
              <w:t xml:space="preserve">documented in a </w:t>
            </w:r>
            <w:proofErr w:type="gramStart"/>
            <w:r w:rsidR="00AD19F7" w:rsidRPr="00B514C7">
              <w:rPr>
                <w:b/>
                <w:bCs/>
              </w:rPr>
              <w:t>password</w:t>
            </w:r>
            <w:r w:rsidRPr="00B514C7">
              <w:rPr>
                <w:b/>
                <w:bCs/>
              </w:rPr>
              <w:t xml:space="preserve"> controlled</w:t>
            </w:r>
            <w:proofErr w:type="gramEnd"/>
            <w:r w:rsidRPr="00B514C7">
              <w:rPr>
                <w:b/>
                <w:bCs/>
              </w:rPr>
              <w:t xml:space="preserve"> e-record)</w:t>
            </w:r>
            <w:r w:rsidR="00AD19F7" w:rsidRPr="00B514C7">
              <w:rPr>
                <w:b/>
                <w:bCs/>
              </w:rPr>
              <w:t xml:space="preserve"> </w:t>
            </w:r>
            <w:r w:rsidR="00AD19F7" w:rsidRPr="00B514C7">
              <w:rPr>
                <w:b/>
                <w:bCs/>
                <w:lang w:val="en-GB"/>
              </w:rPr>
              <w:t xml:space="preserve">and securely kept for a defined period in line with local policy. </w:t>
            </w:r>
          </w:p>
          <w:p w14:paraId="12961DC7" w14:textId="02CACED1" w:rsidR="00393D73" w:rsidRPr="00B514C7" w:rsidRDefault="00393D73" w:rsidP="00B514C7">
            <w:pPr>
              <w:pStyle w:val="Tabletext"/>
              <w:rPr>
                <w:b/>
                <w:bCs/>
              </w:rPr>
            </w:pPr>
          </w:p>
          <w:p w14:paraId="24010435" w14:textId="77777777" w:rsidR="00393D73" w:rsidRPr="00B514C7" w:rsidRDefault="00393D73" w:rsidP="00B514C7">
            <w:pPr>
              <w:pStyle w:val="Tabletext"/>
              <w:rPr>
                <w:b/>
                <w:bCs/>
              </w:rPr>
            </w:pPr>
            <w:r w:rsidRPr="00B514C7">
              <w:rPr>
                <w:b/>
                <w:bCs/>
              </w:rPr>
              <w:t>All records must be clear, legible and contemporaneous.</w:t>
            </w:r>
          </w:p>
          <w:p w14:paraId="560B1F79" w14:textId="77777777" w:rsidR="00393D73" w:rsidRPr="00B514C7" w:rsidRDefault="00393D73" w:rsidP="00B514C7">
            <w:pPr>
              <w:pStyle w:val="Tabletext"/>
              <w:rPr>
                <w:b/>
                <w:bCs/>
              </w:rPr>
            </w:pPr>
          </w:p>
          <w:p w14:paraId="47F21EB6" w14:textId="766A78BC" w:rsidR="00581C9E" w:rsidRPr="00B514C7" w:rsidRDefault="00393D73" w:rsidP="00B514C7">
            <w:pPr>
              <w:pStyle w:val="Tabletext"/>
              <w:rPr>
                <w:b/>
                <w:bCs/>
              </w:rPr>
            </w:pPr>
            <w:r w:rsidRPr="00B514C7">
              <w:rPr>
                <w:b/>
                <w:bCs/>
              </w:rPr>
              <w:t xml:space="preserve">A record of all individuals receiving treatment under this PGD should also be kept for audit purposes in accordance with local policy. </w:t>
            </w:r>
          </w:p>
          <w:p w14:paraId="4AF5F403" w14:textId="22B630B4" w:rsidR="00393D73" w:rsidRDefault="00393D73" w:rsidP="00AD19F7">
            <w:pPr>
              <w:pStyle w:val="Tabletext"/>
            </w:pPr>
          </w:p>
        </w:tc>
      </w:tr>
    </w:tbl>
    <w:p w14:paraId="53B0192F" w14:textId="77777777" w:rsidR="00BB2599" w:rsidRPr="00BB2599" w:rsidRDefault="00BB2599" w:rsidP="005A6168">
      <w:pPr>
        <w:pStyle w:val="PGDNormal"/>
      </w:pPr>
    </w:p>
    <w:p w14:paraId="74DEDA30" w14:textId="753D9CBF" w:rsidR="00725927" w:rsidRDefault="00725927" w:rsidP="00BB2C75">
      <w:pPr>
        <w:pStyle w:val="Heading1"/>
      </w:pPr>
      <w:r w:rsidRPr="00832CD7">
        <w:t>Key references</w:t>
      </w:r>
      <w:r w:rsidRPr="00DF77C7">
        <w:t xml:space="preserve"> </w:t>
      </w:r>
      <w:r w:rsidR="00510425" w:rsidRPr="00DF77C7">
        <w:t>(</w:t>
      </w:r>
      <w:r w:rsidR="00393D73">
        <w:t xml:space="preserve">last </w:t>
      </w:r>
      <w:r w:rsidR="00510425" w:rsidRPr="00DF77C7">
        <w:t>accessed</w:t>
      </w:r>
      <w:r w:rsidR="00D0044C" w:rsidRPr="00DF77C7">
        <w:t xml:space="preserve"> </w:t>
      </w:r>
      <w:r w:rsidR="00AD19F7">
        <w:t>August</w:t>
      </w:r>
      <w:r w:rsidR="00393D73">
        <w:t xml:space="preserve"> 2025</w:t>
      </w:r>
      <w:r w:rsidR="00510425" w:rsidRPr="00DF77C7">
        <w:t>)</w:t>
      </w:r>
    </w:p>
    <w:p w14:paraId="6C602359" w14:textId="7F8B2C25" w:rsidR="00393D73" w:rsidRPr="00393D73" w:rsidRDefault="00393D73" w:rsidP="00393D73">
      <w:pPr>
        <w:pStyle w:val="Bulletindent1"/>
        <w:rPr>
          <w:szCs w:val="22"/>
          <w:lang w:eastAsia="en-GB"/>
        </w:rPr>
      </w:pPr>
      <w:hyperlink r:id="rId47" w:history="1">
        <w:r w:rsidRPr="00487448">
          <w:rPr>
            <w:rStyle w:val="Hyperlink"/>
            <w:szCs w:val="22"/>
            <w:lang w:eastAsia="en-GB"/>
          </w:rPr>
          <w:t>Electronic Medicines Compendiu</w:t>
        </w:r>
        <w:r w:rsidRPr="00487448">
          <w:rPr>
            <w:rStyle w:val="Hyperlink"/>
            <w:szCs w:val="22"/>
            <w:lang w:eastAsia="en-GB"/>
          </w:rPr>
          <w:t>m</w:t>
        </w:r>
      </w:hyperlink>
    </w:p>
    <w:p w14:paraId="3F390465" w14:textId="68250BE3" w:rsidR="00393D73" w:rsidRPr="007A0B43" w:rsidRDefault="00393D73" w:rsidP="00393D73">
      <w:pPr>
        <w:pStyle w:val="Bulletindent1"/>
        <w:rPr>
          <w:rStyle w:val="Hyperlink"/>
        </w:rPr>
      </w:pPr>
      <w:hyperlink r:id="rId48" w:history="1">
        <w:r w:rsidRPr="00487448">
          <w:rPr>
            <w:rStyle w:val="Hyperlink"/>
            <w:szCs w:val="22"/>
            <w:lang w:eastAsia="en-GB"/>
          </w:rPr>
          <w:t>Electronic BNF</w:t>
        </w:r>
      </w:hyperlink>
    </w:p>
    <w:p w14:paraId="5149BBA6" w14:textId="784E4B83" w:rsidR="00393D73" w:rsidRPr="007A0B43" w:rsidRDefault="00454638" w:rsidP="00393D73">
      <w:pPr>
        <w:pStyle w:val="Bulletindent1"/>
        <w:rPr>
          <w:rStyle w:val="Hyperlink"/>
          <w:lang w:eastAsia="en-GB"/>
        </w:rPr>
      </w:pPr>
      <w:hyperlink r:id="rId49" w:history="1">
        <w:r>
          <w:rPr>
            <w:rStyle w:val="Hyperlink"/>
            <w:szCs w:val="22"/>
            <w:lang w:eastAsia="en-GB"/>
          </w:rPr>
          <w:t>NICE Medicines practice guideline MPG2 - Patie</w:t>
        </w:r>
        <w:r>
          <w:rPr>
            <w:rStyle w:val="Hyperlink"/>
            <w:szCs w:val="22"/>
            <w:lang w:eastAsia="en-GB"/>
          </w:rPr>
          <w:t>n</w:t>
        </w:r>
        <w:r>
          <w:rPr>
            <w:rStyle w:val="Hyperlink"/>
            <w:szCs w:val="22"/>
            <w:lang w:eastAsia="en-GB"/>
          </w:rPr>
          <w:t>t Group Directions - Last Updated 27 March 2017</w:t>
        </w:r>
      </w:hyperlink>
    </w:p>
    <w:p w14:paraId="4133AAFF" w14:textId="30889544" w:rsidR="007A0B43" w:rsidRPr="007A0B43" w:rsidRDefault="007A0B43" w:rsidP="00393D73">
      <w:pPr>
        <w:pStyle w:val="Bulletindent1"/>
        <w:rPr>
          <w:rStyle w:val="Hyperlink"/>
          <w:lang w:eastAsia="en-GB"/>
        </w:rPr>
      </w:pPr>
      <w:hyperlink r:id="rId50" w:history="1">
        <w:r w:rsidRPr="007A0B43">
          <w:rPr>
            <w:rStyle w:val="Hyperlink"/>
            <w:szCs w:val="22"/>
            <w:lang w:eastAsia="en-GB"/>
          </w:rPr>
          <w:t>Royal Pharmaceutical Society Safe and Secure H</w:t>
        </w:r>
        <w:r w:rsidRPr="007A0B43">
          <w:rPr>
            <w:rStyle w:val="Hyperlink"/>
            <w:szCs w:val="22"/>
            <w:lang w:eastAsia="en-GB"/>
          </w:rPr>
          <w:t>a</w:t>
        </w:r>
        <w:r w:rsidRPr="007A0B43">
          <w:rPr>
            <w:rStyle w:val="Hyperlink"/>
            <w:szCs w:val="22"/>
            <w:lang w:eastAsia="en-GB"/>
          </w:rPr>
          <w:t>ndling of Medicines December 2018</w:t>
        </w:r>
      </w:hyperlink>
    </w:p>
    <w:p w14:paraId="29E7D604" w14:textId="7DE300A8" w:rsidR="007A0B43" w:rsidRPr="007A0B43" w:rsidRDefault="007A0B43" w:rsidP="00393D73">
      <w:pPr>
        <w:pStyle w:val="Bulletindent1"/>
        <w:rPr>
          <w:rStyle w:val="Hyperlink"/>
        </w:rPr>
      </w:pPr>
      <w:hyperlink r:id="rId51" w:history="1">
        <w:r w:rsidRPr="007A0B43">
          <w:rPr>
            <w:rStyle w:val="Hyperlink"/>
            <w:szCs w:val="22"/>
            <w:lang w:eastAsia="en-GB"/>
          </w:rPr>
          <w:t xml:space="preserve">BASHH/BHIVA guidelines </w:t>
        </w:r>
        <w:r w:rsidRPr="007A0B43">
          <w:rPr>
            <w:rStyle w:val="Hyperlink"/>
            <w:szCs w:val="22"/>
            <w:lang w:eastAsia="en-GB"/>
          </w:rPr>
          <w:t>o</w:t>
        </w:r>
        <w:r w:rsidRPr="007A0B43">
          <w:rPr>
            <w:rStyle w:val="Hyperlink"/>
            <w:szCs w:val="22"/>
            <w:lang w:eastAsia="en-GB"/>
          </w:rPr>
          <w:t>n the use of HIV pre-exposure prophylaxis (PrEP) (2025)</w:t>
        </w:r>
      </w:hyperlink>
    </w:p>
    <w:p w14:paraId="5F8CF26E" w14:textId="39F7EAB7" w:rsidR="007A0B43" w:rsidRPr="007A0B43" w:rsidRDefault="007A0B43" w:rsidP="007A0B43">
      <w:pPr>
        <w:pStyle w:val="Bulletindent1"/>
        <w:rPr>
          <w:rStyle w:val="Hyperlink"/>
          <w:lang w:eastAsia="en-GB"/>
        </w:rPr>
      </w:pPr>
      <w:hyperlink r:id="rId52" w:history="1">
        <w:r w:rsidRPr="007A0B43">
          <w:rPr>
            <w:rStyle w:val="Hyperlink"/>
            <w:szCs w:val="22"/>
            <w:lang w:eastAsia="en-GB"/>
          </w:rPr>
          <w:t xml:space="preserve">NHS England commissioning policy on Reimbursement for the use of generic and second line drugs for </w:t>
        </w:r>
        <w:proofErr w:type="gramStart"/>
        <w:r w:rsidRPr="007A0B43">
          <w:rPr>
            <w:rStyle w:val="Hyperlink"/>
            <w:szCs w:val="22"/>
            <w:lang w:eastAsia="en-GB"/>
          </w:rPr>
          <w:t>p</w:t>
        </w:r>
        <w:r w:rsidRPr="007A0B43">
          <w:rPr>
            <w:rStyle w:val="Hyperlink"/>
            <w:szCs w:val="22"/>
            <w:lang w:eastAsia="en-GB"/>
          </w:rPr>
          <w:t>r</w:t>
        </w:r>
        <w:r w:rsidRPr="007A0B43">
          <w:rPr>
            <w:rStyle w:val="Hyperlink"/>
            <w:szCs w:val="22"/>
            <w:lang w:eastAsia="en-GB"/>
          </w:rPr>
          <w:t>e exposure</w:t>
        </w:r>
        <w:proofErr w:type="gramEnd"/>
        <w:r w:rsidRPr="007A0B43">
          <w:rPr>
            <w:rStyle w:val="Hyperlink"/>
            <w:szCs w:val="22"/>
            <w:lang w:eastAsia="en-GB"/>
          </w:rPr>
          <w:t xml:space="preserve"> prophylaxis (PrEP) for the prevention of</w:t>
        </w:r>
        <w:r w:rsidR="001542C2">
          <w:rPr>
            <w:rStyle w:val="Hyperlink"/>
            <w:szCs w:val="22"/>
            <w:lang w:eastAsia="en-GB"/>
          </w:rPr>
          <w:t xml:space="preserve"> HIV (2020)</w:t>
        </w:r>
      </w:hyperlink>
    </w:p>
    <w:p w14:paraId="12479788" w14:textId="26672646" w:rsidR="007A0B43" w:rsidRPr="007A0B43" w:rsidRDefault="007A0B43" w:rsidP="00393D73">
      <w:pPr>
        <w:pStyle w:val="Bulletindent1"/>
        <w:rPr>
          <w:rStyle w:val="Hyperlink"/>
        </w:rPr>
      </w:pPr>
      <w:hyperlink r:id="rId53" w:history="1">
        <w:r w:rsidRPr="007A0B43">
          <w:rPr>
            <w:rStyle w:val="Hyperlink"/>
            <w:szCs w:val="22"/>
            <w:lang w:eastAsia="en-GB"/>
          </w:rPr>
          <w:t>Scottish Medicines Consorti</w:t>
        </w:r>
        <w:r w:rsidRPr="007A0B43">
          <w:rPr>
            <w:rStyle w:val="Hyperlink"/>
            <w:szCs w:val="22"/>
            <w:lang w:eastAsia="en-GB"/>
          </w:rPr>
          <w:t>u</w:t>
        </w:r>
        <w:r w:rsidRPr="007A0B43">
          <w:rPr>
            <w:rStyle w:val="Hyperlink"/>
            <w:szCs w:val="22"/>
            <w:lang w:eastAsia="en-GB"/>
          </w:rPr>
          <w:t>m report</w:t>
        </w:r>
      </w:hyperlink>
    </w:p>
    <w:p w14:paraId="0800CCC3" w14:textId="3614D27D" w:rsidR="007A0B43" w:rsidRPr="007A0B43" w:rsidRDefault="007A0B43" w:rsidP="00393D73">
      <w:pPr>
        <w:pStyle w:val="Bulletindent1"/>
        <w:rPr>
          <w:rStyle w:val="Hyperlink"/>
        </w:rPr>
      </w:pPr>
      <w:hyperlink r:id="rId54" w:history="1">
        <w:r w:rsidRPr="007A0B43">
          <w:rPr>
            <w:rStyle w:val="Hyperlink"/>
            <w:szCs w:val="22"/>
            <w:lang w:eastAsia="en-GB"/>
          </w:rPr>
          <w:t>BHIVA/BASHH/BIA Adult HIV Testing guidelines 2020</w:t>
        </w:r>
      </w:hyperlink>
    </w:p>
    <w:p w14:paraId="29BA044B" w14:textId="7A52A571" w:rsidR="007A0B43" w:rsidRPr="007A0B43" w:rsidRDefault="007A0B43" w:rsidP="00393D73">
      <w:pPr>
        <w:pStyle w:val="Bulletindent1"/>
        <w:rPr>
          <w:szCs w:val="22"/>
          <w:lang w:eastAsia="en-GB"/>
        </w:rPr>
      </w:pPr>
      <w:hyperlink r:id="rId55" w:history="1">
        <w:r w:rsidRPr="007A0B43">
          <w:rPr>
            <w:rStyle w:val="Hyperlink"/>
            <w:szCs w:val="22"/>
            <w:lang w:eastAsia="en-GB"/>
          </w:rPr>
          <w:t>University of Liverpool. Liverpool HIV Drug Interactions checker</w:t>
        </w:r>
      </w:hyperlink>
    </w:p>
    <w:p w14:paraId="068AB94A" w14:textId="3E03DBAD" w:rsidR="00533F89" w:rsidRPr="00533F89" w:rsidRDefault="007A1448" w:rsidP="00832CD7">
      <w:pPr>
        <w:pStyle w:val="Heading1"/>
        <w:rPr>
          <w:lang w:eastAsia="en-GB"/>
        </w:rPr>
      </w:pPr>
      <w:r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C52616">
        <w:rPr>
          <w:highlight w:val="yellow"/>
        </w:rPr>
        <w:t>[[</w:t>
      </w:r>
      <w:r w:rsidR="00510425" w:rsidRPr="00C52616">
        <w:rPr>
          <w:highlight w:val="yellow"/>
        </w:rPr>
        <w:t>(appendices may be added as agreed locally including relevant patient questionnaires, links to protocols and any patient information)</w:t>
      </w:r>
      <w:r w:rsidRPr="00C52616">
        <w:rPr>
          <w:highlight w:val="yellow"/>
        </w:rP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C52616">
        <w:rPr>
          <w:highlight w:val="yellow"/>
        </w:rPr>
        <w:t>[[</w:t>
      </w:r>
      <w:r w:rsidR="00510425" w:rsidRPr="00C52616">
        <w:rPr>
          <w:highlight w:val="yellow"/>
        </w:rPr>
        <w:t>(example – local versions/electronic systems may be used)</w:t>
      </w:r>
      <w:r w:rsidRPr="00C52616">
        <w:rPr>
          <w:highlight w:val="yellow"/>
        </w:rP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57515B32" w14:textId="703364AF" w:rsidR="00A45A11"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15AD1FAB" w:rsid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1A11C9" w:rsidRPr="00C52616">
        <w:rPr>
          <w:rFonts w:cs="Arial"/>
          <w:highlight w:val="cyan"/>
        </w:rPr>
        <w:t>[</w:t>
      </w:r>
      <w:r w:rsidRPr="00C52616">
        <w:rPr>
          <w:rFonts w:cs="Arial"/>
          <w:highlight w:val="cyan"/>
        </w:rPr>
        <w:t xml:space="preserve">insert </w:t>
      </w:r>
      <w:r w:rsidRPr="001A11C9">
        <w:rPr>
          <w:rFonts w:cs="Arial"/>
          <w:highlight w:val="cyan"/>
        </w:rPr>
        <w:t>name of organisation</w:t>
      </w:r>
      <w:r w:rsidR="001A11C9" w:rsidRPr="00C52616">
        <w:rPr>
          <w:rFonts w:cs="Arial"/>
          <w:highlight w:val="cyan"/>
        </w:rPr>
        <w:t>]</w:t>
      </w:r>
      <w:r w:rsidRPr="00825B58">
        <w:rPr>
          <w:rFonts w:cs="Arial"/>
        </w:rPr>
        <w:t xml:space="preserve"> for the above-named health care professionals who have signed the PGD to work under it</w:t>
      </w:r>
    </w:p>
    <w:p w14:paraId="7D8153B8" w14:textId="77777777" w:rsidR="00C52616" w:rsidRPr="00825B58" w:rsidRDefault="00C52616" w:rsidP="00825B5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C52616">
        <w:rPr>
          <w:highlight w:val="cyan"/>
        </w:rPr>
        <w:t>[</w:t>
      </w:r>
      <w:r w:rsidR="00510425" w:rsidRPr="00C52616">
        <w:rPr>
          <w:highlight w:val="cyan"/>
        </w:rPr>
        <w:t>Add details on how this information is to be retained according to organisation PGD policy.</w:t>
      </w:r>
      <w:r w:rsidRPr="00C52616">
        <w:rPr>
          <w:highlight w:val="cyan"/>
        </w:rPr>
        <w:t>]</w:t>
      </w:r>
    </w:p>
    <w:p w14:paraId="495DAEDB" w14:textId="77777777" w:rsidR="00E11FE0" w:rsidRDefault="00E11FE0" w:rsidP="00ED232C">
      <w:pPr>
        <w:pStyle w:val="PGDNormal"/>
      </w:pPr>
    </w:p>
    <w:sectPr w:rsidR="00E11FE0" w:rsidSect="00537E57">
      <w:headerReference w:type="even" r:id="rId56"/>
      <w:headerReference w:type="default" r:id="rId57"/>
      <w:footerReference w:type="default" r:id="rId58"/>
      <w:headerReference w:type="first" r:id="rId59"/>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FDC4" w14:textId="77777777" w:rsidR="007A08D5" w:rsidRPr="00DF77C7" w:rsidRDefault="007A08D5">
      <w:r w:rsidRPr="00DF77C7">
        <w:separator/>
      </w:r>
    </w:p>
  </w:endnote>
  <w:endnote w:type="continuationSeparator" w:id="0">
    <w:p w14:paraId="03554186" w14:textId="77777777" w:rsidR="007A08D5" w:rsidRPr="00DF77C7" w:rsidRDefault="007A08D5">
      <w:r w:rsidRPr="00DF77C7">
        <w:continuationSeparator/>
      </w:r>
    </w:p>
  </w:endnote>
  <w:endnote w:type="continuationNotice" w:id="1">
    <w:p w14:paraId="601192CB" w14:textId="77777777" w:rsidR="007A08D5" w:rsidRDefault="007A0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5737F0" w:rsidRDefault="005E6491" w:rsidP="005737F0">
    <w:pPr>
      <w:pStyle w:val="Footer"/>
      <w:spacing w:after="0"/>
      <w:rPr>
        <w:sz w:val="20"/>
        <w:szCs w:val="20"/>
        <w:highlight w:val="cyan"/>
      </w:rPr>
    </w:pPr>
    <w:r w:rsidRPr="005737F0">
      <w:rPr>
        <w:sz w:val="20"/>
        <w:szCs w:val="20"/>
        <w:highlight w:val="cyan"/>
      </w:rPr>
      <w:t>[</w:t>
    </w:r>
    <w:r w:rsidR="007F0048" w:rsidRPr="005737F0">
      <w:rPr>
        <w:sz w:val="20"/>
        <w:szCs w:val="20"/>
        <w:highlight w:val="cyan"/>
      </w:rPr>
      <w:t>Reference Number:</w:t>
    </w:r>
  </w:p>
  <w:p w14:paraId="37AB56FF" w14:textId="77777777" w:rsidR="007F0048" w:rsidRPr="005737F0" w:rsidRDefault="007F0048" w:rsidP="005737F0">
    <w:pPr>
      <w:pStyle w:val="PGDNormal"/>
      <w:spacing w:after="0"/>
      <w:rPr>
        <w:sz w:val="20"/>
        <w:highlight w:val="cyan"/>
      </w:rPr>
    </w:pPr>
    <w:r w:rsidRPr="005737F0">
      <w:rPr>
        <w:sz w:val="20"/>
        <w:highlight w:val="cyan"/>
      </w:rPr>
      <w:t>Valid from:</w:t>
    </w:r>
  </w:p>
  <w:p w14:paraId="433533CD" w14:textId="77777777" w:rsidR="007F0048" w:rsidRPr="005737F0" w:rsidRDefault="007F0048" w:rsidP="005737F0">
    <w:pPr>
      <w:pStyle w:val="Footer"/>
      <w:spacing w:after="0"/>
      <w:rPr>
        <w:sz w:val="20"/>
        <w:szCs w:val="20"/>
        <w:highlight w:val="cyan"/>
      </w:rPr>
    </w:pPr>
    <w:r w:rsidRPr="005737F0">
      <w:rPr>
        <w:sz w:val="20"/>
        <w:szCs w:val="20"/>
        <w:highlight w:val="cyan"/>
      </w:rPr>
      <w:t>Review date:</w:t>
    </w:r>
  </w:p>
  <w:p w14:paraId="6B111E08" w14:textId="239AE8CD" w:rsidR="007F0048" w:rsidRPr="00DF77C7" w:rsidRDefault="007F0048" w:rsidP="005737F0">
    <w:pPr>
      <w:pStyle w:val="Footer"/>
      <w:spacing w:after="0"/>
    </w:pPr>
    <w:r w:rsidRPr="005737F0">
      <w:rPr>
        <w:sz w:val="20"/>
        <w:szCs w:val="20"/>
        <w:highlight w:val="cyan"/>
      </w:rPr>
      <w:t>Expiry date:</w:t>
    </w:r>
    <w:r w:rsidR="005E6491" w:rsidRPr="005737F0">
      <w:rPr>
        <w:sz w:val="20"/>
        <w:szCs w:val="20"/>
        <w:highlight w:val="cyan"/>
      </w:rPr>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D673" w14:textId="77777777" w:rsidR="007A08D5" w:rsidRPr="00DF77C7" w:rsidRDefault="007A08D5">
      <w:r w:rsidRPr="00DF77C7">
        <w:separator/>
      </w:r>
    </w:p>
  </w:footnote>
  <w:footnote w:type="continuationSeparator" w:id="0">
    <w:p w14:paraId="06A9306C" w14:textId="77777777" w:rsidR="007A08D5" w:rsidRPr="00DF77C7" w:rsidRDefault="007A08D5">
      <w:r w:rsidRPr="00DF77C7">
        <w:continuationSeparator/>
      </w:r>
    </w:p>
  </w:footnote>
  <w:footnote w:type="continuationNotice" w:id="1">
    <w:p w14:paraId="2F11BD77" w14:textId="77777777" w:rsidR="007A08D5" w:rsidRDefault="007A08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C52616">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C52616"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sidRPr="005737F0">
      <w:rPr>
        <w:sz w:val="16"/>
        <w:szCs w:val="16"/>
        <w:highlight w:val="cyan"/>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w:t>
    </w:r>
    <w:r w:rsidR="009C2AEE" w:rsidRPr="005737F0">
      <w:rPr>
        <w:sz w:val="16"/>
        <w:szCs w:val="16"/>
        <w:highlight w:val="cyan"/>
      </w:rPr>
      <w:t>s]</w:t>
    </w:r>
    <w:r w:rsidR="00B11B08" w:rsidRPr="00B11B08">
      <w:rPr>
        <w:sz w:val="16"/>
        <w:szCs w:val="16"/>
      </w:rPr>
      <w:t xml:space="preserve"> should be replaced with the user organisation’s own text. Text </w:t>
    </w:r>
    <w:r w:rsidR="005E6491" w:rsidRPr="005737F0">
      <w:rPr>
        <w:sz w:val="16"/>
        <w:szCs w:val="16"/>
        <w:highlight w:val="yellow"/>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sidRPr="005737F0">
      <w:rPr>
        <w:sz w:val="16"/>
        <w:szCs w:val="16"/>
        <w:highlight w:val="yellow"/>
      </w:rPr>
      <w:t>]]</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C52616">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F6C7D"/>
    <w:multiLevelType w:val="hybridMultilevel"/>
    <w:tmpl w:val="B20A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36636"/>
    <w:multiLevelType w:val="hybridMultilevel"/>
    <w:tmpl w:val="F6AE21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E2ADC"/>
    <w:multiLevelType w:val="hybridMultilevel"/>
    <w:tmpl w:val="895AD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4134DB"/>
    <w:multiLevelType w:val="hybridMultilevel"/>
    <w:tmpl w:val="1364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84751"/>
    <w:multiLevelType w:val="hybridMultilevel"/>
    <w:tmpl w:val="E6F286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ECF038F"/>
    <w:multiLevelType w:val="hybridMultilevel"/>
    <w:tmpl w:val="5DF4E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0826D5"/>
    <w:multiLevelType w:val="hybridMultilevel"/>
    <w:tmpl w:val="FE2CA476"/>
    <w:lvl w:ilvl="0" w:tplc="08090001">
      <w:start w:val="1"/>
      <w:numFmt w:val="bullet"/>
      <w:lvlText w:val=""/>
      <w:lvlJc w:val="left"/>
      <w:pPr>
        <w:ind w:left="360" w:hanging="360"/>
      </w:pPr>
      <w:rPr>
        <w:rFonts w:ascii="Symbol" w:hAnsi="Symbol" w:hint="default"/>
      </w:rPr>
    </w:lvl>
    <w:lvl w:ilvl="1" w:tplc="BF603952">
      <w:numFmt w:val="bullet"/>
      <w:lvlText w:val="•"/>
      <w:lvlJc w:val="left"/>
      <w:pPr>
        <w:ind w:left="1320" w:hanging="60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B42800"/>
    <w:multiLevelType w:val="hybridMultilevel"/>
    <w:tmpl w:val="E132D4D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B96E3D"/>
    <w:multiLevelType w:val="hybridMultilevel"/>
    <w:tmpl w:val="81F4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3649E"/>
    <w:multiLevelType w:val="hybridMultilevel"/>
    <w:tmpl w:val="5E9A8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FE2A08"/>
    <w:multiLevelType w:val="hybridMultilevel"/>
    <w:tmpl w:val="D8C0F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33324D16">
      <w:start w:val="1"/>
      <w:numFmt w:val="bullet"/>
      <w:lvlText w:val=""/>
      <w:lvlJc w:val="left"/>
      <w:pPr>
        <w:ind w:left="2520" w:hanging="360"/>
      </w:pPr>
      <w:rPr>
        <w:rFonts w:ascii="Symbol" w:hAnsi="Symbol" w:hint="default"/>
        <w:b/>
        <w:bCs/>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2768C1"/>
    <w:multiLevelType w:val="hybridMultilevel"/>
    <w:tmpl w:val="0F42B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737EA8"/>
    <w:multiLevelType w:val="hybridMultilevel"/>
    <w:tmpl w:val="75A2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403C6"/>
    <w:multiLevelType w:val="hybridMultilevel"/>
    <w:tmpl w:val="FEF6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915AA"/>
    <w:multiLevelType w:val="hybridMultilevel"/>
    <w:tmpl w:val="3F727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0A4A8DA">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D777A"/>
    <w:multiLevelType w:val="hybridMultilevel"/>
    <w:tmpl w:val="B1E8C2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B8C42A6"/>
    <w:multiLevelType w:val="hybridMultilevel"/>
    <w:tmpl w:val="2EC0FA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C4F0F"/>
    <w:multiLevelType w:val="hybridMultilevel"/>
    <w:tmpl w:val="9FF2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4" w15:restartNumberingAfterBreak="0">
    <w:nsid w:val="72A6234E"/>
    <w:multiLevelType w:val="hybridMultilevel"/>
    <w:tmpl w:val="03EE1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E27BB0"/>
    <w:multiLevelType w:val="hybridMultilevel"/>
    <w:tmpl w:val="4CDAD484"/>
    <w:lvl w:ilvl="0" w:tplc="5822963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8" w15:restartNumberingAfterBreak="0">
    <w:nsid w:val="78BE70D9"/>
    <w:multiLevelType w:val="hybridMultilevel"/>
    <w:tmpl w:val="AE765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C04D46"/>
    <w:multiLevelType w:val="hybridMultilevel"/>
    <w:tmpl w:val="548A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42" w15:restartNumberingAfterBreak="0">
    <w:nsid w:val="7EC46A70"/>
    <w:multiLevelType w:val="hybridMultilevel"/>
    <w:tmpl w:val="C12A04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30"/>
  </w:num>
  <w:num w:numId="2" w16cid:durableId="460340545">
    <w:abstractNumId w:val="13"/>
  </w:num>
  <w:num w:numId="3" w16cid:durableId="862549155">
    <w:abstractNumId w:val="36"/>
  </w:num>
  <w:num w:numId="4" w16cid:durableId="1902785077">
    <w:abstractNumId w:val="37"/>
  </w:num>
  <w:num w:numId="5" w16cid:durableId="1400252542">
    <w:abstractNumId w:val="27"/>
  </w:num>
  <w:num w:numId="6" w16cid:durableId="585113440">
    <w:abstractNumId w:val="12"/>
  </w:num>
  <w:num w:numId="7" w16cid:durableId="1512915418">
    <w:abstractNumId w:val="33"/>
  </w:num>
  <w:num w:numId="8" w16cid:durableId="759831936">
    <w:abstractNumId w:val="41"/>
  </w:num>
  <w:num w:numId="9" w16cid:durableId="1747412429">
    <w:abstractNumId w:val="4"/>
  </w:num>
  <w:num w:numId="10" w16cid:durableId="1297833641">
    <w:abstractNumId w:val="1"/>
  </w:num>
  <w:num w:numId="11" w16cid:durableId="1684160055">
    <w:abstractNumId w:val="40"/>
  </w:num>
  <w:num w:numId="12" w16cid:durableId="1610894224">
    <w:abstractNumId w:val="43"/>
  </w:num>
  <w:num w:numId="13" w16cid:durableId="1880973297">
    <w:abstractNumId w:val="22"/>
  </w:num>
  <w:num w:numId="14" w16cid:durableId="77676389">
    <w:abstractNumId w:val="7"/>
  </w:num>
  <w:num w:numId="15" w16cid:durableId="1496384920">
    <w:abstractNumId w:val="19"/>
  </w:num>
  <w:num w:numId="16" w16cid:durableId="441388192">
    <w:abstractNumId w:val="31"/>
    <w:lvlOverride w:ilvl="0">
      <w:startOverride w:val="1"/>
    </w:lvlOverride>
  </w:num>
  <w:num w:numId="17" w16cid:durableId="73867840">
    <w:abstractNumId w:val="8"/>
    <w:lvlOverride w:ilvl="0">
      <w:startOverride w:val="1"/>
    </w:lvlOverride>
  </w:num>
  <w:num w:numId="18" w16cid:durableId="373623662">
    <w:abstractNumId w:val="0"/>
  </w:num>
  <w:num w:numId="19" w16cid:durableId="1055201983">
    <w:abstractNumId w:val="25"/>
  </w:num>
  <w:num w:numId="20" w16cid:durableId="207575239">
    <w:abstractNumId w:val="32"/>
  </w:num>
  <w:num w:numId="21" w16cid:durableId="936132325">
    <w:abstractNumId w:val="14"/>
  </w:num>
  <w:num w:numId="22" w16cid:durableId="803158628">
    <w:abstractNumId w:val="17"/>
  </w:num>
  <w:num w:numId="23" w16cid:durableId="932860">
    <w:abstractNumId w:val="3"/>
  </w:num>
  <w:num w:numId="24" w16cid:durableId="1479684388">
    <w:abstractNumId w:val="34"/>
  </w:num>
  <w:num w:numId="25" w16cid:durableId="1227032495">
    <w:abstractNumId w:val="15"/>
  </w:num>
  <w:num w:numId="26" w16cid:durableId="2041739214">
    <w:abstractNumId w:val="24"/>
  </w:num>
  <w:num w:numId="27" w16cid:durableId="1614052336">
    <w:abstractNumId w:val="16"/>
  </w:num>
  <w:num w:numId="28" w16cid:durableId="1596134487">
    <w:abstractNumId w:val="5"/>
  </w:num>
  <w:num w:numId="29" w16cid:durableId="75440843">
    <w:abstractNumId w:val="38"/>
  </w:num>
  <w:num w:numId="30" w16cid:durableId="605356053">
    <w:abstractNumId w:val="21"/>
  </w:num>
  <w:num w:numId="31" w16cid:durableId="354959738">
    <w:abstractNumId w:val="29"/>
  </w:num>
  <w:num w:numId="32" w16cid:durableId="603802223">
    <w:abstractNumId w:val="6"/>
  </w:num>
  <w:num w:numId="33" w16cid:durableId="903835469">
    <w:abstractNumId w:val="42"/>
  </w:num>
  <w:num w:numId="34" w16cid:durableId="344678014">
    <w:abstractNumId w:val="26"/>
  </w:num>
  <w:num w:numId="35" w16cid:durableId="730465289">
    <w:abstractNumId w:val="11"/>
  </w:num>
  <w:num w:numId="36" w16cid:durableId="44528466">
    <w:abstractNumId w:val="19"/>
  </w:num>
  <w:num w:numId="37" w16cid:durableId="1276903700">
    <w:abstractNumId w:val="19"/>
  </w:num>
  <w:num w:numId="38" w16cid:durableId="2019573239">
    <w:abstractNumId w:val="2"/>
  </w:num>
  <w:num w:numId="39" w16cid:durableId="1909342516">
    <w:abstractNumId w:val="35"/>
  </w:num>
  <w:num w:numId="40" w16cid:durableId="1712152171">
    <w:abstractNumId w:val="39"/>
  </w:num>
  <w:num w:numId="41" w16cid:durableId="484398686">
    <w:abstractNumId w:val="20"/>
  </w:num>
  <w:num w:numId="42" w16cid:durableId="1856504156">
    <w:abstractNumId w:val="23"/>
  </w:num>
  <w:num w:numId="43" w16cid:durableId="647631924">
    <w:abstractNumId w:val="19"/>
  </w:num>
  <w:num w:numId="44" w16cid:durableId="884413189">
    <w:abstractNumId w:val="9"/>
  </w:num>
  <w:num w:numId="45" w16cid:durableId="125058124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3B5"/>
    <w:rsid w:val="000065D4"/>
    <w:rsid w:val="0001063D"/>
    <w:rsid w:val="00017F41"/>
    <w:rsid w:val="00020F4D"/>
    <w:rsid w:val="00022601"/>
    <w:rsid w:val="0002298F"/>
    <w:rsid w:val="00022E97"/>
    <w:rsid w:val="00024FDE"/>
    <w:rsid w:val="00026393"/>
    <w:rsid w:val="00031DE4"/>
    <w:rsid w:val="0003249A"/>
    <w:rsid w:val="0003670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B6FE0"/>
    <w:rsid w:val="000C2D31"/>
    <w:rsid w:val="000C72E8"/>
    <w:rsid w:val="000D7704"/>
    <w:rsid w:val="000E2765"/>
    <w:rsid w:val="000E2E30"/>
    <w:rsid w:val="000E2E96"/>
    <w:rsid w:val="000E4DDA"/>
    <w:rsid w:val="000E6EC0"/>
    <w:rsid w:val="000E71C7"/>
    <w:rsid w:val="000F1CAB"/>
    <w:rsid w:val="000F2350"/>
    <w:rsid w:val="000F2D3B"/>
    <w:rsid w:val="000F2DC4"/>
    <w:rsid w:val="000F39F6"/>
    <w:rsid w:val="000F4B18"/>
    <w:rsid w:val="000F4FC5"/>
    <w:rsid w:val="000F52B4"/>
    <w:rsid w:val="000F6DF5"/>
    <w:rsid w:val="001016BC"/>
    <w:rsid w:val="00105D58"/>
    <w:rsid w:val="00110308"/>
    <w:rsid w:val="00110E70"/>
    <w:rsid w:val="00112BE0"/>
    <w:rsid w:val="00113701"/>
    <w:rsid w:val="00114F02"/>
    <w:rsid w:val="0011562D"/>
    <w:rsid w:val="00120033"/>
    <w:rsid w:val="00120C76"/>
    <w:rsid w:val="001260CA"/>
    <w:rsid w:val="001309D6"/>
    <w:rsid w:val="00130C0D"/>
    <w:rsid w:val="00135D99"/>
    <w:rsid w:val="00136BE0"/>
    <w:rsid w:val="001374DF"/>
    <w:rsid w:val="00137A0B"/>
    <w:rsid w:val="00142D2D"/>
    <w:rsid w:val="00143108"/>
    <w:rsid w:val="00143215"/>
    <w:rsid w:val="001438F2"/>
    <w:rsid w:val="001450CF"/>
    <w:rsid w:val="001452AF"/>
    <w:rsid w:val="00146C70"/>
    <w:rsid w:val="001521AF"/>
    <w:rsid w:val="001542C2"/>
    <w:rsid w:val="00154679"/>
    <w:rsid w:val="00157C5B"/>
    <w:rsid w:val="00160B58"/>
    <w:rsid w:val="00160FDC"/>
    <w:rsid w:val="001618F9"/>
    <w:rsid w:val="00161BBD"/>
    <w:rsid w:val="001629CB"/>
    <w:rsid w:val="0016302D"/>
    <w:rsid w:val="00163BBB"/>
    <w:rsid w:val="00163CE8"/>
    <w:rsid w:val="00165DD9"/>
    <w:rsid w:val="00170722"/>
    <w:rsid w:val="00170A19"/>
    <w:rsid w:val="00171245"/>
    <w:rsid w:val="0017281B"/>
    <w:rsid w:val="00173124"/>
    <w:rsid w:val="0017669F"/>
    <w:rsid w:val="001767BB"/>
    <w:rsid w:val="001774D2"/>
    <w:rsid w:val="00184E40"/>
    <w:rsid w:val="0018512B"/>
    <w:rsid w:val="0018568F"/>
    <w:rsid w:val="00185D9C"/>
    <w:rsid w:val="00191DF2"/>
    <w:rsid w:val="00191FDD"/>
    <w:rsid w:val="0019584B"/>
    <w:rsid w:val="00195BE6"/>
    <w:rsid w:val="0019622E"/>
    <w:rsid w:val="001964F5"/>
    <w:rsid w:val="001966D1"/>
    <w:rsid w:val="00197EBE"/>
    <w:rsid w:val="001A0A45"/>
    <w:rsid w:val="001A11C9"/>
    <w:rsid w:val="001A20E4"/>
    <w:rsid w:val="001B0585"/>
    <w:rsid w:val="001B1208"/>
    <w:rsid w:val="001B1F2C"/>
    <w:rsid w:val="001B3087"/>
    <w:rsid w:val="001B3D6C"/>
    <w:rsid w:val="001B4F48"/>
    <w:rsid w:val="001B5C09"/>
    <w:rsid w:val="001B63A5"/>
    <w:rsid w:val="001B7FDB"/>
    <w:rsid w:val="001C02E3"/>
    <w:rsid w:val="001C241E"/>
    <w:rsid w:val="001C24ED"/>
    <w:rsid w:val="001D4AB6"/>
    <w:rsid w:val="001D6784"/>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6C9E"/>
    <w:rsid w:val="001F7697"/>
    <w:rsid w:val="0020051D"/>
    <w:rsid w:val="002009FA"/>
    <w:rsid w:val="00202047"/>
    <w:rsid w:val="00202712"/>
    <w:rsid w:val="00204064"/>
    <w:rsid w:val="002046F9"/>
    <w:rsid w:val="00210B7C"/>
    <w:rsid w:val="00217CF8"/>
    <w:rsid w:val="002206F3"/>
    <w:rsid w:val="00221439"/>
    <w:rsid w:val="00225F9D"/>
    <w:rsid w:val="00226222"/>
    <w:rsid w:val="00227D22"/>
    <w:rsid w:val="00234E43"/>
    <w:rsid w:val="00235023"/>
    <w:rsid w:val="00237A35"/>
    <w:rsid w:val="002406C4"/>
    <w:rsid w:val="00243191"/>
    <w:rsid w:val="00244593"/>
    <w:rsid w:val="00244F1F"/>
    <w:rsid w:val="0025085E"/>
    <w:rsid w:val="00251D91"/>
    <w:rsid w:val="002529F3"/>
    <w:rsid w:val="002606E1"/>
    <w:rsid w:val="002651BA"/>
    <w:rsid w:val="00265C0F"/>
    <w:rsid w:val="0026660B"/>
    <w:rsid w:val="0027153F"/>
    <w:rsid w:val="00272136"/>
    <w:rsid w:val="002740D9"/>
    <w:rsid w:val="00274956"/>
    <w:rsid w:val="002759EC"/>
    <w:rsid w:val="00276789"/>
    <w:rsid w:val="0028152F"/>
    <w:rsid w:val="00285B42"/>
    <w:rsid w:val="00290FAB"/>
    <w:rsid w:val="00293756"/>
    <w:rsid w:val="00294355"/>
    <w:rsid w:val="00294827"/>
    <w:rsid w:val="00295278"/>
    <w:rsid w:val="00296701"/>
    <w:rsid w:val="002A15CA"/>
    <w:rsid w:val="002A26DA"/>
    <w:rsid w:val="002A6CB8"/>
    <w:rsid w:val="002A7D61"/>
    <w:rsid w:val="002B1479"/>
    <w:rsid w:val="002B16AA"/>
    <w:rsid w:val="002B334F"/>
    <w:rsid w:val="002B3A69"/>
    <w:rsid w:val="002B4181"/>
    <w:rsid w:val="002B5BAC"/>
    <w:rsid w:val="002B5E5D"/>
    <w:rsid w:val="002B62CC"/>
    <w:rsid w:val="002B6400"/>
    <w:rsid w:val="002C19DC"/>
    <w:rsid w:val="002C1F27"/>
    <w:rsid w:val="002C24CE"/>
    <w:rsid w:val="002C5736"/>
    <w:rsid w:val="002D4185"/>
    <w:rsid w:val="002E0743"/>
    <w:rsid w:val="002E1FB8"/>
    <w:rsid w:val="002F134E"/>
    <w:rsid w:val="002F4DEC"/>
    <w:rsid w:val="002F5864"/>
    <w:rsid w:val="002F652F"/>
    <w:rsid w:val="00301008"/>
    <w:rsid w:val="00302939"/>
    <w:rsid w:val="003111B2"/>
    <w:rsid w:val="00315465"/>
    <w:rsid w:val="003156DC"/>
    <w:rsid w:val="00317C16"/>
    <w:rsid w:val="003203A2"/>
    <w:rsid w:val="003225C3"/>
    <w:rsid w:val="00323120"/>
    <w:rsid w:val="00323184"/>
    <w:rsid w:val="0032348B"/>
    <w:rsid w:val="0032462A"/>
    <w:rsid w:val="0032598F"/>
    <w:rsid w:val="00327599"/>
    <w:rsid w:val="00330081"/>
    <w:rsid w:val="00334B40"/>
    <w:rsid w:val="0033580B"/>
    <w:rsid w:val="00335913"/>
    <w:rsid w:val="00337E0A"/>
    <w:rsid w:val="00341D83"/>
    <w:rsid w:val="00351BBC"/>
    <w:rsid w:val="00355735"/>
    <w:rsid w:val="00356794"/>
    <w:rsid w:val="00361290"/>
    <w:rsid w:val="0036186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D73"/>
    <w:rsid w:val="00395DA3"/>
    <w:rsid w:val="003969FE"/>
    <w:rsid w:val="003A0E76"/>
    <w:rsid w:val="003A2CBA"/>
    <w:rsid w:val="003A30B2"/>
    <w:rsid w:val="003B167D"/>
    <w:rsid w:val="003B3492"/>
    <w:rsid w:val="003B3958"/>
    <w:rsid w:val="003B4C5E"/>
    <w:rsid w:val="003B4F64"/>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2B7"/>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CE7"/>
    <w:rsid w:val="004075B1"/>
    <w:rsid w:val="00417611"/>
    <w:rsid w:val="00421452"/>
    <w:rsid w:val="00421D74"/>
    <w:rsid w:val="00424C2D"/>
    <w:rsid w:val="00432289"/>
    <w:rsid w:val="00433897"/>
    <w:rsid w:val="004340EF"/>
    <w:rsid w:val="00434610"/>
    <w:rsid w:val="00440E43"/>
    <w:rsid w:val="0044281C"/>
    <w:rsid w:val="00447D9C"/>
    <w:rsid w:val="004510BE"/>
    <w:rsid w:val="0045127E"/>
    <w:rsid w:val="00453867"/>
    <w:rsid w:val="00453B8C"/>
    <w:rsid w:val="00454638"/>
    <w:rsid w:val="004554AB"/>
    <w:rsid w:val="004564FB"/>
    <w:rsid w:val="0045723E"/>
    <w:rsid w:val="00463FF5"/>
    <w:rsid w:val="00467940"/>
    <w:rsid w:val="00473E4D"/>
    <w:rsid w:val="00474C3B"/>
    <w:rsid w:val="00476876"/>
    <w:rsid w:val="0048006E"/>
    <w:rsid w:val="00480581"/>
    <w:rsid w:val="00480E06"/>
    <w:rsid w:val="0048223A"/>
    <w:rsid w:val="004826F5"/>
    <w:rsid w:val="00482D75"/>
    <w:rsid w:val="004870F8"/>
    <w:rsid w:val="00487448"/>
    <w:rsid w:val="00490B13"/>
    <w:rsid w:val="00490E24"/>
    <w:rsid w:val="00492064"/>
    <w:rsid w:val="004921B6"/>
    <w:rsid w:val="004A34E1"/>
    <w:rsid w:val="004A6E53"/>
    <w:rsid w:val="004A7E93"/>
    <w:rsid w:val="004B0F38"/>
    <w:rsid w:val="004B17CE"/>
    <w:rsid w:val="004B1E73"/>
    <w:rsid w:val="004B2C19"/>
    <w:rsid w:val="004B3F95"/>
    <w:rsid w:val="004B55C6"/>
    <w:rsid w:val="004B5926"/>
    <w:rsid w:val="004B610E"/>
    <w:rsid w:val="004C0BD9"/>
    <w:rsid w:val="004C18D1"/>
    <w:rsid w:val="004C1FDF"/>
    <w:rsid w:val="004C243F"/>
    <w:rsid w:val="004C39C3"/>
    <w:rsid w:val="004C51BE"/>
    <w:rsid w:val="004C67A9"/>
    <w:rsid w:val="004C74E5"/>
    <w:rsid w:val="004C78B4"/>
    <w:rsid w:val="004D11DE"/>
    <w:rsid w:val="004D1C74"/>
    <w:rsid w:val="004D30C0"/>
    <w:rsid w:val="004D3649"/>
    <w:rsid w:val="004D4FB3"/>
    <w:rsid w:val="004D6E41"/>
    <w:rsid w:val="004E044C"/>
    <w:rsid w:val="004E48B7"/>
    <w:rsid w:val="004E59D9"/>
    <w:rsid w:val="004E7E16"/>
    <w:rsid w:val="004F55B1"/>
    <w:rsid w:val="005001FC"/>
    <w:rsid w:val="00501566"/>
    <w:rsid w:val="00501FBD"/>
    <w:rsid w:val="00502626"/>
    <w:rsid w:val="00504FB7"/>
    <w:rsid w:val="00510425"/>
    <w:rsid w:val="00510803"/>
    <w:rsid w:val="00520D02"/>
    <w:rsid w:val="0052670D"/>
    <w:rsid w:val="00533F89"/>
    <w:rsid w:val="005347B6"/>
    <w:rsid w:val="00537D8A"/>
    <w:rsid w:val="00537E57"/>
    <w:rsid w:val="00541759"/>
    <w:rsid w:val="00544444"/>
    <w:rsid w:val="005446AE"/>
    <w:rsid w:val="00544E14"/>
    <w:rsid w:val="00547D7B"/>
    <w:rsid w:val="00552D61"/>
    <w:rsid w:val="00557D6E"/>
    <w:rsid w:val="00557DB1"/>
    <w:rsid w:val="00561CE9"/>
    <w:rsid w:val="0056237E"/>
    <w:rsid w:val="00564A02"/>
    <w:rsid w:val="00565738"/>
    <w:rsid w:val="005662A5"/>
    <w:rsid w:val="0056643E"/>
    <w:rsid w:val="005666A9"/>
    <w:rsid w:val="00567220"/>
    <w:rsid w:val="00567847"/>
    <w:rsid w:val="00570E3D"/>
    <w:rsid w:val="00572A06"/>
    <w:rsid w:val="005737F0"/>
    <w:rsid w:val="005751F6"/>
    <w:rsid w:val="00575A04"/>
    <w:rsid w:val="00576318"/>
    <w:rsid w:val="005806DB"/>
    <w:rsid w:val="00580EBB"/>
    <w:rsid w:val="00581C9E"/>
    <w:rsid w:val="00583011"/>
    <w:rsid w:val="005903AC"/>
    <w:rsid w:val="0059165A"/>
    <w:rsid w:val="00592D87"/>
    <w:rsid w:val="00593089"/>
    <w:rsid w:val="005949EA"/>
    <w:rsid w:val="0059738E"/>
    <w:rsid w:val="005A0BCC"/>
    <w:rsid w:val="005A11C4"/>
    <w:rsid w:val="005A16B8"/>
    <w:rsid w:val="005A2C55"/>
    <w:rsid w:val="005A3C13"/>
    <w:rsid w:val="005A582B"/>
    <w:rsid w:val="005A5897"/>
    <w:rsid w:val="005A6168"/>
    <w:rsid w:val="005A61E9"/>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4309"/>
    <w:rsid w:val="005E6491"/>
    <w:rsid w:val="005E6963"/>
    <w:rsid w:val="005F1323"/>
    <w:rsid w:val="005F1603"/>
    <w:rsid w:val="005F17C5"/>
    <w:rsid w:val="005F3623"/>
    <w:rsid w:val="005F4864"/>
    <w:rsid w:val="005F4940"/>
    <w:rsid w:val="00600F2A"/>
    <w:rsid w:val="00602CB0"/>
    <w:rsid w:val="0060527A"/>
    <w:rsid w:val="00606A8A"/>
    <w:rsid w:val="00607C5D"/>
    <w:rsid w:val="006125EC"/>
    <w:rsid w:val="006154DD"/>
    <w:rsid w:val="006165DF"/>
    <w:rsid w:val="006208D3"/>
    <w:rsid w:val="0062242D"/>
    <w:rsid w:val="00623945"/>
    <w:rsid w:val="006245F7"/>
    <w:rsid w:val="00624F56"/>
    <w:rsid w:val="00625E4A"/>
    <w:rsid w:val="0062633A"/>
    <w:rsid w:val="00630168"/>
    <w:rsid w:val="006315FC"/>
    <w:rsid w:val="00631B95"/>
    <w:rsid w:val="00631BE9"/>
    <w:rsid w:val="00633A98"/>
    <w:rsid w:val="006417CE"/>
    <w:rsid w:val="006419B7"/>
    <w:rsid w:val="00644774"/>
    <w:rsid w:val="00645D92"/>
    <w:rsid w:val="0065050E"/>
    <w:rsid w:val="0065215A"/>
    <w:rsid w:val="006529F3"/>
    <w:rsid w:val="00654491"/>
    <w:rsid w:val="006565AD"/>
    <w:rsid w:val="00660106"/>
    <w:rsid w:val="006604BA"/>
    <w:rsid w:val="006610ED"/>
    <w:rsid w:val="00665687"/>
    <w:rsid w:val="0067000A"/>
    <w:rsid w:val="00671697"/>
    <w:rsid w:val="00675BFB"/>
    <w:rsid w:val="00677DD2"/>
    <w:rsid w:val="00677FE6"/>
    <w:rsid w:val="0068233F"/>
    <w:rsid w:val="006829D5"/>
    <w:rsid w:val="006833EE"/>
    <w:rsid w:val="006843FA"/>
    <w:rsid w:val="00685DE2"/>
    <w:rsid w:val="00687B72"/>
    <w:rsid w:val="006911EE"/>
    <w:rsid w:val="006A1225"/>
    <w:rsid w:val="006A4706"/>
    <w:rsid w:val="006A7AF1"/>
    <w:rsid w:val="006B2D85"/>
    <w:rsid w:val="006B39B2"/>
    <w:rsid w:val="006C005F"/>
    <w:rsid w:val="006C0B7C"/>
    <w:rsid w:val="006C196B"/>
    <w:rsid w:val="006C22A9"/>
    <w:rsid w:val="006C2CDE"/>
    <w:rsid w:val="006C31A5"/>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555A"/>
    <w:rsid w:val="006F6E18"/>
    <w:rsid w:val="00700627"/>
    <w:rsid w:val="00700A9C"/>
    <w:rsid w:val="0070211B"/>
    <w:rsid w:val="00702A95"/>
    <w:rsid w:val="00711452"/>
    <w:rsid w:val="00713AB2"/>
    <w:rsid w:val="0071562D"/>
    <w:rsid w:val="00716DE0"/>
    <w:rsid w:val="00724859"/>
    <w:rsid w:val="00725927"/>
    <w:rsid w:val="0073097E"/>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E7A"/>
    <w:rsid w:val="007644BC"/>
    <w:rsid w:val="00765CE6"/>
    <w:rsid w:val="0077187C"/>
    <w:rsid w:val="00773971"/>
    <w:rsid w:val="0078141A"/>
    <w:rsid w:val="0078597F"/>
    <w:rsid w:val="00787175"/>
    <w:rsid w:val="00790438"/>
    <w:rsid w:val="00792BF7"/>
    <w:rsid w:val="00792F90"/>
    <w:rsid w:val="00794857"/>
    <w:rsid w:val="00797CA6"/>
    <w:rsid w:val="007A04E2"/>
    <w:rsid w:val="007A06E9"/>
    <w:rsid w:val="007A08D5"/>
    <w:rsid w:val="007A0B43"/>
    <w:rsid w:val="007A1448"/>
    <w:rsid w:val="007A1BBB"/>
    <w:rsid w:val="007A276C"/>
    <w:rsid w:val="007B4395"/>
    <w:rsid w:val="007B6F3F"/>
    <w:rsid w:val="007C1FDB"/>
    <w:rsid w:val="007C287F"/>
    <w:rsid w:val="007D3AE2"/>
    <w:rsid w:val="007D47D1"/>
    <w:rsid w:val="007D6643"/>
    <w:rsid w:val="007D6C6B"/>
    <w:rsid w:val="007E1262"/>
    <w:rsid w:val="007E5832"/>
    <w:rsid w:val="007E763A"/>
    <w:rsid w:val="007E7CC9"/>
    <w:rsid w:val="007F0048"/>
    <w:rsid w:val="007F3C0C"/>
    <w:rsid w:val="007F41FA"/>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26C73"/>
    <w:rsid w:val="0083012C"/>
    <w:rsid w:val="0083041B"/>
    <w:rsid w:val="008305D7"/>
    <w:rsid w:val="008313BF"/>
    <w:rsid w:val="00832CD7"/>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215D"/>
    <w:rsid w:val="00883AD3"/>
    <w:rsid w:val="00883EDC"/>
    <w:rsid w:val="0088563D"/>
    <w:rsid w:val="00886211"/>
    <w:rsid w:val="00886FD6"/>
    <w:rsid w:val="008956F5"/>
    <w:rsid w:val="00895776"/>
    <w:rsid w:val="00895961"/>
    <w:rsid w:val="0089661B"/>
    <w:rsid w:val="008A24EB"/>
    <w:rsid w:val="008A3BEE"/>
    <w:rsid w:val="008A5671"/>
    <w:rsid w:val="008A6198"/>
    <w:rsid w:val="008A78EE"/>
    <w:rsid w:val="008B2A57"/>
    <w:rsid w:val="008B30AB"/>
    <w:rsid w:val="008B3958"/>
    <w:rsid w:val="008B4145"/>
    <w:rsid w:val="008C121C"/>
    <w:rsid w:val="008C2F75"/>
    <w:rsid w:val="008C3DAE"/>
    <w:rsid w:val="008C6AC3"/>
    <w:rsid w:val="008D186B"/>
    <w:rsid w:val="008D3327"/>
    <w:rsid w:val="008D4441"/>
    <w:rsid w:val="008D4727"/>
    <w:rsid w:val="008D525C"/>
    <w:rsid w:val="008D52EE"/>
    <w:rsid w:val="008D5E28"/>
    <w:rsid w:val="008D6D14"/>
    <w:rsid w:val="008D75CF"/>
    <w:rsid w:val="008D7606"/>
    <w:rsid w:val="008E42BC"/>
    <w:rsid w:val="008E498F"/>
    <w:rsid w:val="008E511A"/>
    <w:rsid w:val="008E64FB"/>
    <w:rsid w:val="008F042D"/>
    <w:rsid w:val="008F09E1"/>
    <w:rsid w:val="008F30A1"/>
    <w:rsid w:val="008F3711"/>
    <w:rsid w:val="008F6FF7"/>
    <w:rsid w:val="0090096D"/>
    <w:rsid w:val="0090103B"/>
    <w:rsid w:val="00903548"/>
    <w:rsid w:val="009038A4"/>
    <w:rsid w:val="00904151"/>
    <w:rsid w:val="009078A7"/>
    <w:rsid w:val="00907A4B"/>
    <w:rsid w:val="00910DB7"/>
    <w:rsid w:val="00910F79"/>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B0D"/>
    <w:rsid w:val="00945C75"/>
    <w:rsid w:val="009504E0"/>
    <w:rsid w:val="00951B97"/>
    <w:rsid w:val="0095271C"/>
    <w:rsid w:val="00952F5D"/>
    <w:rsid w:val="00953D3A"/>
    <w:rsid w:val="00955B40"/>
    <w:rsid w:val="009604EE"/>
    <w:rsid w:val="009607E2"/>
    <w:rsid w:val="009652F3"/>
    <w:rsid w:val="00966D2D"/>
    <w:rsid w:val="00970400"/>
    <w:rsid w:val="00970EA1"/>
    <w:rsid w:val="00973131"/>
    <w:rsid w:val="0097352C"/>
    <w:rsid w:val="00973CBB"/>
    <w:rsid w:val="00974477"/>
    <w:rsid w:val="0097481D"/>
    <w:rsid w:val="00974FCB"/>
    <w:rsid w:val="00976054"/>
    <w:rsid w:val="00976E7F"/>
    <w:rsid w:val="00980479"/>
    <w:rsid w:val="00980CE6"/>
    <w:rsid w:val="009811EA"/>
    <w:rsid w:val="009826DD"/>
    <w:rsid w:val="00984482"/>
    <w:rsid w:val="009853AD"/>
    <w:rsid w:val="00985BE0"/>
    <w:rsid w:val="00985C7C"/>
    <w:rsid w:val="009876F3"/>
    <w:rsid w:val="0099097B"/>
    <w:rsid w:val="00991A23"/>
    <w:rsid w:val="009950F3"/>
    <w:rsid w:val="00996AFB"/>
    <w:rsid w:val="009A2D6C"/>
    <w:rsid w:val="009A3A3E"/>
    <w:rsid w:val="009B0179"/>
    <w:rsid w:val="009B05E9"/>
    <w:rsid w:val="009B195D"/>
    <w:rsid w:val="009B444E"/>
    <w:rsid w:val="009B4905"/>
    <w:rsid w:val="009B4E98"/>
    <w:rsid w:val="009B6239"/>
    <w:rsid w:val="009B62D2"/>
    <w:rsid w:val="009B6FA5"/>
    <w:rsid w:val="009B7A66"/>
    <w:rsid w:val="009B7FB5"/>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07E44"/>
    <w:rsid w:val="00A125D4"/>
    <w:rsid w:val="00A1309B"/>
    <w:rsid w:val="00A1358E"/>
    <w:rsid w:val="00A1461E"/>
    <w:rsid w:val="00A146D9"/>
    <w:rsid w:val="00A14981"/>
    <w:rsid w:val="00A154A4"/>
    <w:rsid w:val="00A2089E"/>
    <w:rsid w:val="00A20FBD"/>
    <w:rsid w:val="00A2119C"/>
    <w:rsid w:val="00A213AA"/>
    <w:rsid w:val="00A22217"/>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8219B"/>
    <w:rsid w:val="00A82F08"/>
    <w:rsid w:val="00A9433C"/>
    <w:rsid w:val="00A95DEB"/>
    <w:rsid w:val="00AA0666"/>
    <w:rsid w:val="00AA0EFC"/>
    <w:rsid w:val="00AA0F5B"/>
    <w:rsid w:val="00AA150C"/>
    <w:rsid w:val="00AA16A5"/>
    <w:rsid w:val="00AA18EC"/>
    <w:rsid w:val="00AA200A"/>
    <w:rsid w:val="00AA2DC6"/>
    <w:rsid w:val="00AA4332"/>
    <w:rsid w:val="00AA5A30"/>
    <w:rsid w:val="00AA7592"/>
    <w:rsid w:val="00AB2F4B"/>
    <w:rsid w:val="00AB40E4"/>
    <w:rsid w:val="00AB5D04"/>
    <w:rsid w:val="00AC0BE9"/>
    <w:rsid w:val="00AC2167"/>
    <w:rsid w:val="00AC54FE"/>
    <w:rsid w:val="00AC58F7"/>
    <w:rsid w:val="00AC7BB4"/>
    <w:rsid w:val="00AD19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35DA"/>
    <w:rsid w:val="00B04310"/>
    <w:rsid w:val="00B065AA"/>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14C7"/>
    <w:rsid w:val="00B52679"/>
    <w:rsid w:val="00B538F2"/>
    <w:rsid w:val="00B552E6"/>
    <w:rsid w:val="00B553BE"/>
    <w:rsid w:val="00B65003"/>
    <w:rsid w:val="00B6670A"/>
    <w:rsid w:val="00B71542"/>
    <w:rsid w:val="00B73659"/>
    <w:rsid w:val="00B74946"/>
    <w:rsid w:val="00B74B8F"/>
    <w:rsid w:val="00B75FB4"/>
    <w:rsid w:val="00B76F86"/>
    <w:rsid w:val="00B80DF7"/>
    <w:rsid w:val="00B810C3"/>
    <w:rsid w:val="00B81529"/>
    <w:rsid w:val="00B87905"/>
    <w:rsid w:val="00B912CD"/>
    <w:rsid w:val="00B91A55"/>
    <w:rsid w:val="00B922C4"/>
    <w:rsid w:val="00B92435"/>
    <w:rsid w:val="00BA19CD"/>
    <w:rsid w:val="00BA4095"/>
    <w:rsid w:val="00BA4672"/>
    <w:rsid w:val="00BA57B1"/>
    <w:rsid w:val="00BA6AF1"/>
    <w:rsid w:val="00BB2599"/>
    <w:rsid w:val="00BB27C7"/>
    <w:rsid w:val="00BB2C75"/>
    <w:rsid w:val="00BB3155"/>
    <w:rsid w:val="00BC2FFD"/>
    <w:rsid w:val="00BC445E"/>
    <w:rsid w:val="00BD1D91"/>
    <w:rsid w:val="00BD28D4"/>
    <w:rsid w:val="00BE0E22"/>
    <w:rsid w:val="00BE6C68"/>
    <w:rsid w:val="00BE7661"/>
    <w:rsid w:val="00BE7810"/>
    <w:rsid w:val="00BF09D0"/>
    <w:rsid w:val="00BF1BB5"/>
    <w:rsid w:val="00BF711A"/>
    <w:rsid w:val="00C005D8"/>
    <w:rsid w:val="00C02400"/>
    <w:rsid w:val="00C06E05"/>
    <w:rsid w:val="00C06F39"/>
    <w:rsid w:val="00C07D58"/>
    <w:rsid w:val="00C10DAE"/>
    <w:rsid w:val="00C1149F"/>
    <w:rsid w:val="00C17411"/>
    <w:rsid w:val="00C22683"/>
    <w:rsid w:val="00C22834"/>
    <w:rsid w:val="00C25DE0"/>
    <w:rsid w:val="00C25F31"/>
    <w:rsid w:val="00C2654A"/>
    <w:rsid w:val="00C34902"/>
    <w:rsid w:val="00C373F2"/>
    <w:rsid w:val="00C37CA7"/>
    <w:rsid w:val="00C37FC1"/>
    <w:rsid w:val="00C403CE"/>
    <w:rsid w:val="00C44CE3"/>
    <w:rsid w:val="00C4570D"/>
    <w:rsid w:val="00C46788"/>
    <w:rsid w:val="00C46A10"/>
    <w:rsid w:val="00C5216A"/>
    <w:rsid w:val="00C52205"/>
    <w:rsid w:val="00C52616"/>
    <w:rsid w:val="00C6094B"/>
    <w:rsid w:val="00C64E9F"/>
    <w:rsid w:val="00C65187"/>
    <w:rsid w:val="00C65D55"/>
    <w:rsid w:val="00C6768D"/>
    <w:rsid w:val="00C70B21"/>
    <w:rsid w:val="00C73DAF"/>
    <w:rsid w:val="00C75401"/>
    <w:rsid w:val="00C76555"/>
    <w:rsid w:val="00C82252"/>
    <w:rsid w:val="00C84817"/>
    <w:rsid w:val="00C860E9"/>
    <w:rsid w:val="00C87548"/>
    <w:rsid w:val="00C91BD8"/>
    <w:rsid w:val="00C91C8B"/>
    <w:rsid w:val="00C9295A"/>
    <w:rsid w:val="00C93428"/>
    <w:rsid w:val="00C93CEB"/>
    <w:rsid w:val="00C94C8A"/>
    <w:rsid w:val="00C95CF9"/>
    <w:rsid w:val="00C95EE9"/>
    <w:rsid w:val="00C974AB"/>
    <w:rsid w:val="00CA20DD"/>
    <w:rsid w:val="00CA2E81"/>
    <w:rsid w:val="00CA3998"/>
    <w:rsid w:val="00CA5AEF"/>
    <w:rsid w:val="00CA5EA5"/>
    <w:rsid w:val="00CA77CF"/>
    <w:rsid w:val="00CA7C4E"/>
    <w:rsid w:val="00CB13D1"/>
    <w:rsid w:val="00CB3552"/>
    <w:rsid w:val="00CB44C0"/>
    <w:rsid w:val="00CB4D8A"/>
    <w:rsid w:val="00CC395D"/>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07428"/>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4440"/>
    <w:rsid w:val="00D57D1C"/>
    <w:rsid w:val="00D62CAD"/>
    <w:rsid w:val="00D726AB"/>
    <w:rsid w:val="00D7409D"/>
    <w:rsid w:val="00D745FE"/>
    <w:rsid w:val="00D74F3D"/>
    <w:rsid w:val="00D76682"/>
    <w:rsid w:val="00D77616"/>
    <w:rsid w:val="00D843E4"/>
    <w:rsid w:val="00D86168"/>
    <w:rsid w:val="00D87AC1"/>
    <w:rsid w:val="00D975BB"/>
    <w:rsid w:val="00DA12F7"/>
    <w:rsid w:val="00DA2E53"/>
    <w:rsid w:val="00DA38F2"/>
    <w:rsid w:val="00DA746D"/>
    <w:rsid w:val="00DB1926"/>
    <w:rsid w:val="00DB1CD1"/>
    <w:rsid w:val="00DB294F"/>
    <w:rsid w:val="00DB3A43"/>
    <w:rsid w:val="00DB4005"/>
    <w:rsid w:val="00DB4B21"/>
    <w:rsid w:val="00DC31D6"/>
    <w:rsid w:val="00DC6BCF"/>
    <w:rsid w:val="00DC70A9"/>
    <w:rsid w:val="00DC71C0"/>
    <w:rsid w:val="00DC7588"/>
    <w:rsid w:val="00DC785A"/>
    <w:rsid w:val="00DD046E"/>
    <w:rsid w:val="00DD1D18"/>
    <w:rsid w:val="00DD3AFB"/>
    <w:rsid w:val="00DD6E31"/>
    <w:rsid w:val="00DD72E4"/>
    <w:rsid w:val="00DE01E7"/>
    <w:rsid w:val="00DE2E06"/>
    <w:rsid w:val="00DE4D52"/>
    <w:rsid w:val="00DE4DF2"/>
    <w:rsid w:val="00DE5424"/>
    <w:rsid w:val="00DE6107"/>
    <w:rsid w:val="00DF1EE1"/>
    <w:rsid w:val="00DF1F20"/>
    <w:rsid w:val="00DF4003"/>
    <w:rsid w:val="00DF416E"/>
    <w:rsid w:val="00DF77C7"/>
    <w:rsid w:val="00E005E8"/>
    <w:rsid w:val="00E0109F"/>
    <w:rsid w:val="00E04B4E"/>
    <w:rsid w:val="00E1069A"/>
    <w:rsid w:val="00E11FE0"/>
    <w:rsid w:val="00E139D7"/>
    <w:rsid w:val="00E143B0"/>
    <w:rsid w:val="00E155DA"/>
    <w:rsid w:val="00E16CB2"/>
    <w:rsid w:val="00E170C1"/>
    <w:rsid w:val="00E24D2F"/>
    <w:rsid w:val="00E27083"/>
    <w:rsid w:val="00E27D26"/>
    <w:rsid w:val="00E30A2D"/>
    <w:rsid w:val="00E334E6"/>
    <w:rsid w:val="00E437E5"/>
    <w:rsid w:val="00E4552C"/>
    <w:rsid w:val="00E45889"/>
    <w:rsid w:val="00E45954"/>
    <w:rsid w:val="00E46E97"/>
    <w:rsid w:val="00E50940"/>
    <w:rsid w:val="00E50E7A"/>
    <w:rsid w:val="00E511F5"/>
    <w:rsid w:val="00E513E3"/>
    <w:rsid w:val="00E57A07"/>
    <w:rsid w:val="00E60C36"/>
    <w:rsid w:val="00E6166A"/>
    <w:rsid w:val="00E64981"/>
    <w:rsid w:val="00E66383"/>
    <w:rsid w:val="00E66580"/>
    <w:rsid w:val="00E70843"/>
    <w:rsid w:val="00E71C5C"/>
    <w:rsid w:val="00E73E24"/>
    <w:rsid w:val="00E764AB"/>
    <w:rsid w:val="00E80341"/>
    <w:rsid w:val="00E8089E"/>
    <w:rsid w:val="00E8169E"/>
    <w:rsid w:val="00E8187D"/>
    <w:rsid w:val="00E837AA"/>
    <w:rsid w:val="00E905A4"/>
    <w:rsid w:val="00E952BB"/>
    <w:rsid w:val="00E97A6D"/>
    <w:rsid w:val="00EA36BD"/>
    <w:rsid w:val="00EA389C"/>
    <w:rsid w:val="00EA3DB6"/>
    <w:rsid w:val="00EB0F75"/>
    <w:rsid w:val="00EB1C3F"/>
    <w:rsid w:val="00EC5BB8"/>
    <w:rsid w:val="00ED232C"/>
    <w:rsid w:val="00ED251C"/>
    <w:rsid w:val="00ED4BF7"/>
    <w:rsid w:val="00EE2FE2"/>
    <w:rsid w:val="00EE5261"/>
    <w:rsid w:val="00EE659F"/>
    <w:rsid w:val="00EF09E0"/>
    <w:rsid w:val="00EF146C"/>
    <w:rsid w:val="00EF380B"/>
    <w:rsid w:val="00EF3BB2"/>
    <w:rsid w:val="00EF69F8"/>
    <w:rsid w:val="00EF6A7F"/>
    <w:rsid w:val="00F000F8"/>
    <w:rsid w:val="00F02A57"/>
    <w:rsid w:val="00F074B1"/>
    <w:rsid w:val="00F141C0"/>
    <w:rsid w:val="00F14FA7"/>
    <w:rsid w:val="00F224C7"/>
    <w:rsid w:val="00F2404C"/>
    <w:rsid w:val="00F265BA"/>
    <w:rsid w:val="00F278B8"/>
    <w:rsid w:val="00F32D01"/>
    <w:rsid w:val="00F34643"/>
    <w:rsid w:val="00F34644"/>
    <w:rsid w:val="00F34FB1"/>
    <w:rsid w:val="00F44107"/>
    <w:rsid w:val="00F44969"/>
    <w:rsid w:val="00F44C14"/>
    <w:rsid w:val="00F46A0E"/>
    <w:rsid w:val="00F53868"/>
    <w:rsid w:val="00F56845"/>
    <w:rsid w:val="00F57606"/>
    <w:rsid w:val="00F605E6"/>
    <w:rsid w:val="00F62C86"/>
    <w:rsid w:val="00F6305E"/>
    <w:rsid w:val="00F67E37"/>
    <w:rsid w:val="00F71C6F"/>
    <w:rsid w:val="00F71E03"/>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44F2"/>
    <w:rsid w:val="00FE7EA2"/>
    <w:rsid w:val="00FF0313"/>
    <w:rsid w:val="00FF0842"/>
    <w:rsid w:val="01AD093C"/>
    <w:rsid w:val="1642D54A"/>
    <w:rsid w:val="28F615EF"/>
    <w:rsid w:val="2B92C2CB"/>
    <w:rsid w:val="2D79AA45"/>
    <w:rsid w:val="302C67D8"/>
    <w:rsid w:val="33BB7BE5"/>
    <w:rsid w:val="374C1672"/>
    <w:rsid w:val="3C77307A"/>
    <w:rsid w:val="4CE7FA5B"/>
    <w:rsid w:val="5586DB0D"/>
    <w:rsid w:val="5C15BBA7"/>
    <w:rsid w:val="5DA7B21E"/>
    <w:rsid w:val="5EA8D733"/>
    <w:rsid w:val="6566E730"/>
    <w:rsid w:val="70CA21CC"/>
    <w:rsid w:val="72B103A1"/>
    <w:rsid w:val="7E90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7F0"/>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CA20DD"/>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CA2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CA20DD"/>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CA20DD"/>
    <w:pPr>
      <w:spacing w:before="200"/>
      <w:outlineLvl w:val="3"/>
    </w:pPr>
    <w:rPr>
      <w:rFonts w:ascii="Cambria" w:hAnsi="Cambria"/>
      <w:b/>
      <w:bCs/>
      <w:i/>
      <w:iCs/>
    </w:rPr>
  </w:style>
  <w:style w:type="paragraph" w:styleId="Heading5">
    <w:name w:val="heading 5"/>
    <w:basedOn w:val="Normal"/>
    <w:next w:val="Normal"/>
    <w:link w:val="Heading5Char"/>
    <w:uiPriority w:val="9"/>
    <w:qFormat/>
    <w:rsid w:val="00CA20DD"/>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CA20DD"/>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CA20DD"/>
    <w:pPr>
      <w:outlineLvl w:val="6"/>
    </w:pPr>
    <w:rPr>
      <w:rFonts w:ascii="Cambria" w:hAnsi="Cambria"/>
      <w:i/>
      <w:iCs/>
    </w:rPr>
  </w:style>
  <w:style w:type="paragraph" w:styleId="Heading8">
    <w:name w:val="heading 8"/>
    <w:basedOn w:val="Normal"/>
    <w:next w:val="Normal"/>
    <w:link w:val="Heading8Char"/>
    <w:uiPriority w:val="9"/>
    <w:qFormat/>
    <w:rsid w:val="00CA20DD"/>
    <w:pPr>
      <w:outlineLvl w:val="7"/>
    </w:pPr>
    <w:rPr>
      <w:rFonts w:ascii="Cambria" w:hAnsi="Cambria"/>
    </w:rPr>
  </w:style>
  <w:style w:type="paragraph" w:styleId="Heading9">
    <w:name w:val="heading 9"/>
    <w:basedOn w:val="Normal"/>
    <w:next w:val="Normal"/>
    <w:link w:val="Heading9Char"/>
    <w:uiPriority w:val="9"/>
    <w:qFormat/>
    <w:rsid w:val="00CA20DD"/>
    <w:pPr>
      <w:outlineLvl w:val="8"/>
    </w:pPr>
    <w:rPr>
      <w:rFonts w:ascii="Cambria" w:hAnsi="Cambria"/>
      <w:i/>
      <w:iCs/>
      <w:spacing w:val="5"/>
    </w:rPr>
  </w:style>
  <w:style w:type="character" w:default="1" w:styleId="DefaultParagraphFont">
    <w:name w:val="Default Paragraph Font"/>
    <w:uiPriority w:val="1"/>
    <w:semiHidden/>
    <w:unhideWhenUsed/>
    <w:rsid w:val="005737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37F0"/>
  </w:style>
  <w:style w:type="paragraph" w:customStyle="1" w:styleId="NICEnormal">
    <w:name w:val="NICE normal"/>
    <w:rsid w:val="00CA20DD"/>
    <w:pPr>
      <w:spacing w:after="240" w:line="360" w:lineRule="auto"/>
    </w:pPr>
    <w:rPr>
      <w:rFonts w:ascii="Arial" w:eastAsia="Times New Roman" w:hAnsi="Arial"/>
      <w:lang w:val="en-US" w:eastAsia="en-US"/>
    </w:rPr>
  </w:style>
  <w:style w:type="character" w:customStyle="1" w:styleId="NICEnormalChar">
    <w:name w:val="NICE normal Char"/>
    <w:rsid w:val="00CA20DD"/>
    <w:rPr>
      <w:rFonts w:ascii="Arial" w:eastAsia="Times New Roman" w:hAnsi="Arial"/>
      <w:sz w:val="24"/>
      <w:szCs w:val="24"/>
      <w:lang w:val="en-GB" w:eastAsia="en-US" w:bidi="ar-SA"/>
    </w:rPr>
  </w:style>
  <w:style w:type="character" w:customStyle="1" w:styleId="Heading1Char">
    <w:name w:val="Heading 1 Char"/>
    <w:link w:val="Heading1"/>
    <w:uiPriority w:val="1"/>
    <w:rsid w:val="00CA20DD"/>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CA20DD"/>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CA20DD"/>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CA20DD"/>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A20DD"/>
    <w:pPr>
      <w:ind w:left="720"/>
      <w:contextualSpacing/>
    </w:pPr>
    <w:rPr>
      <w:rFonts w:eastAsia="Calibri"/>
    </w:rPr>
  </w:style>
  <w:style w:type="character" w:styleId="Hyperlink">
    <w:name w:val="Hyperlink"/>
    <w:uiPriority w:val="99"/>
    <w:rsid w:val="00CA20DD"/>
    <w:rPr>
      <w:color w:val="0000FF"/>
      <w:u w:val="single"/>
    </w:rPr>
  </w:style>
  <w:style w:type="paragraph" w:styleId="Header">
    <w:name w:val="header"/>
    <w:basedOn w:val="Normal"/>
    <w:link w:val="HeaderChar"/>
    <w:uiPriority w:val="99"/>
    <w:rsid w:val="00CA20DD"/>
    <w:pPr>
      <w:tabs>
        <w:tab w:val="center" w:pos="4513"/>
        <w:tab w:val="right" w:pos="9026"/>
      </w:tabs>
    </w:pPr>
    <w:rPr>
      <w:rFonts w:ascii="Arial" w:hAnsi="Arial"/>
    </w:rPr>
  </w:style>
  <w:style w:type="paragraph" w:customStyle="1" w:styleId="NICEnormaldoublespacing">
    <w:name w:val="NICE normal double spacing"/>
    <w:basedOn w:val="NICEnormal"/>
    <w:rsid w:val="00CA20DD"/>
  </w:style>
  <w:style w:type="character" w:customStyle="1" w:styleId="HeaderChar">
    <w:name w:val="Header Char"/>
    <w:link w:val="Header"/>
    <w:uiPriority w:val="99"/>
    <w:rsid w:val="00CA20DD"/>
    <w:rPr>
      <w:rFonts w:ascii="Arial" w:eastAsiaTheme="minorHAnsi" w:hAnsi="Arial"/>
      <w:kern w:val="2"/>
      <w:lang w:eastAsia="en-US"/>
      <w14:ligatures w14:val="standardContextual"/>
    </w:rPr>
  </w:style>
  <w:style w:type="paragraph" w:styleId="Footer">
    <w:name w:val="footer"/>
    <w:basedOn w:val="Normal"/>
    <w:link w:val="FooterChar"/>
    <w:uiPriority w:val="99"/>
    <w:rsid w:val="00CA20DD"/>
    <w:pPr>
      <w:tabs>
        <w:tab w:val="center" w:pos="4513"/>
        <w:tab w:val="right" w:pos="9026"/>
      </w:tabs>
    </w:pPr>
    <w:rPr>
      <w:rFonts w:ascii="Arial" w:hAnsi="Arial"/>
    </w:rPr>
  </w:style>
  <w:style w:type="character" w:customStyle="1" w:styleId="FooterChar">
    <w:name w:val="Footer Char"/>
    <w:link w:val="Footer"/>
    <w:uiPriority w:val="99"/>
    <w:rsid w:val="00CA20DD"/>
    <w:rPr>
      <w:rFonts w:ascii="Arial" w:eastAsiaTheme="minorHAnsi" w:hAnsi="Arial"/>
      <w:kern w:val="2"/>
      <w:lang w:eastAsia="en-US"/>
      <w14:ligatures w14:val="standardContextual"/>
    </w:rPr>
  </w:style>
  <w:style w:type="paragraph" w:customStyle="1" w:styleId="Style1">
    <w:name w:val="Style1"/>
    <w:basedOn w:val="Normal"/>
    <w:autoRedefine/>
    <w:rsid w:val="00CA20DD"/>
    <w:pPr>
      <w:keepNext/>
      <w:spacing w:line="360" w:lineRule="auto"/>
      <w:ind w:left="567"/>
    </w:pPr>
    <w:rPr>
      <w:rFonts w:ascii="Arial" w:hAnsi="Arial" w:cs="Arial"/>
      <w:szCs w:val="16"/>
    </w:rPr>
  </w:style>
  <w:style w:type="paragraph" w:customStyle="1" w:styleId="Unnumberedboldheading">
    <w:name w:val="Unnumbered bold heading"/>
    <w:next w:val="NICEnormal"/>
    <w:rsid w:val="00CA20DD"/>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CA20DD"/>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CA20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0DD"/>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CA20DD"/>
  </w:style>
  <w:style w:type="paragraph" w:customStyle="1" w:styleId="Introtext">
    <w:name w:val="Intro text"/>
    <w:basedOn w:val="PGDNormal"/>
    <w:rsid w:val="00CA20DD"/>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A20DD"/>
    <w:pPr>
      <w:tabs>
        <w:tab w:val="num" w:pos="360"/>
      </w:tabs>
    </w:pPr>
    <w:rPr>
      <w:szCs w:val="24"/>
    </w:rPr>
  </w:style>
  <w:style w:type="character" w:customStyle="1" w:styleId="Numberedheading1CharChar">
    <w:name w:val="Numbered heading 1 Char Char"/>
    <w:link w:val="Numberedheading1"/>
    <w:rsid w:val="00CA20DD"/>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CA20DD"/>
    <w:pPr>
      <w:tabs>
        <w:tab w:val="num" w:pos="360"/>
      </w:tabs>
    </w:pPr>
  </w:style>
  <w:style w:type="character" w:customStyle="1" w:styleId="Numberedheading2Char">
    <w:name w:val="Numbered heading 2 Char"/>
    <w:basedOn w:val="Heading2Char"/>
    <w:link w:val="Numberedheading2"/>
    <w:rsid w:val="00CA20DD"/>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CA20DD"/>
    <w:pPr>
      <w:tabs>
        <w:tab w:val="num" w:pos="360"/>
      </w:tabs>
    </w:pPr>
    <w:rPr>
      <w:sz w:val="26"/>
    </w:rPr>
  </w:style>
  <w:style w:type="paragraph" w:customStyle="1" w:styleId="Numberedlevel4text">
    <w:name w:val="Numbered level 4 text"/>
    <w:basedOn w:val="NICEnormal"/>
    <w:next w:val="NICEnormal"/>
    <w:rsid w:val="00CA20DD"/>
    <w:pPr>
      <w:tabs>
        <w:tab w:val="num" w:pos="360"/>
      </w:tabs>
    </w:pPr>
  </w:style>
  <w:style w:type="paragraph" w:customStyle="1" w:styleId="Numberedlevel3text">
    <w:name w:val="Numbered level 3 text"/>
    <w:basedOn w:val="Numberedheading3"/>
    <w:rsid w:val="00CA20DD"/>
    <w:pPr>
      <w:spacing w:after="240"/>
    </w:pPr>
    <w:rPr>
      <w:b w:val="0"/>
      <w:sz w:val="24"/>
    </w:rPr>
  </w:style>
  <w:style w:type="paragraph" w:customStyle="1" w:styleId="Bulletindent2">
    <w:name w:val="Bullet indent 2"/>
    <w:basedOn w:val="NICEnormal"/>
    <w:rsid w:val="00CA20DD"/>
    <w:pPr>
      <w:tabs>
        <w:tab w:val="num" w:pos="360"/>
      </w:tabs>
      <w:spacing w:after="0"/>
      <w:ind w:left="1702" w:hanging="284"/>
    </w:pPr>
  </w:style>
  <w:style w:type="paragraph" w:customStyle="1" w:styleId="Title16ptleft">
    <w:name w:val="Title 16 pt left"/>
    <w:basedOn w:val="Title16pt"/>
    <w:rsid w:val="00CA20DD"/>
  </w:style>
  <w:style w:type="paragraph" w:customStyle="1" w:styleId="Bulletleft1">
    <w:name w:val="Bullet left 1"/>
    <w:basedOn w:val="NICEnormal"/>
    <w:rsid w:val="00CA20DD"/>
    <w:pPr>
      <w:tabs>
        <w:tab w:val="num" w:pos="360"/>
      </w:tabs>
      <w:spacing w:after="0"/>
    </w:pPr>
  </w:style>
  <w:style w:type="character" w:customStyle="1" w:styleId="Bulletleft1Char">
    <w:name w:val="Bullet left 1 Char"/>
    <w:basedOn w:val="NICEnormalChar"/>
    <w:rsid w:val="00CA20DD"/>
    <w:rPr>
      <w:rFonts w:ascii="Arial" w:eastAsia="Times New Roman" w:hAnsi="Arial"/>
      <w:sz w:val="24"/>
      <w:szCs w:val="24"/>
      <w:lang w:val="en-GB" w:eastAsia="en-US" w:bidi="ar-SA"/>
    </w:rPr>
  </w:style>
  <w:style w:type="paragraph" w:customStyle="1" w:styleId="Bulletleft2">
    <w:name w:val="Bullet left 2"/>
    <w:basedOn w:val="NICEnormal"/>
    <w:rsid w:val="00CA20DD"/>
    <w:pPr>
      <w:tabs>
        <w:tab w:val="num" w:pos="360"/>
      </w:tabs>
      <w:spacing w:after="0"/>
      <w:ind w:left="568" w:hanging="284"/>
    </w:pPr>
  </w:style>
  <w:style w:type="paragraph" w:customStyle="1" w:styleId="Bulletleft3">
    <w:name w:val="Bullet left 3"/>
    <w:basedOn w:val="NICEnormal"/>
    <w:rsid w:val="00CA20DD"/>
    <w:pPr>
      <w:tabs>
        <w:tab w:val="num" w:pos="360"/>
      </w:tabs>
      <w:spacing w:after="0"/>
    </w:pPr>
  </w:style>
  <w:style w:type="paragraph" w:customStyle="1" w:styleId="Bulletindent1">
    <w:name w:val="Bullet indent 1"/>
    <w:basedOn w:val="NICEnormal"/>
    <w:rsid w:val="00CA20DD"/>
    <w:pPr>
      <w:numPr>
        <w:numId w:val="15"/>
      </w:numPr>
      <w:spacing w:before="120" w:after="120" w:line="240" w:lineRule="auto"/>
    </w:pPr>
    <w:rPr>
      <w:sz w:val="22"/>
      <w:lang w:val="en-GB"/>
    </w:rPr>
  </w:style>
  <w:style w:type="paragraph" w:customStyle="1" w:styleId="Bulletindent3">
    <w:name w:val="Bullet indent 3"/>
    <w:basedOn w:val="NICEnormal"/>
    <w:rsid w:val="00CA20DD"/>
    <w:pPr>
      <w:tabs>
        <w:tab w:val="num" w:pos="360"/>
      </w:tabs>
      <w:spacing w:after="0"/>
    </w:pPr>
  </w:style>
  <w:style w:type="paragraph" w:customStyle="1" w:styleId="Numberedlevel2text">
    <w:name w:val="Numbered level 2 text"/>
    <w:basedOn w:val="Numberedheading2"/>
    <w:rsid w:val="00CA20DD"/>
    <w:pPr>
      <w:spacing w:after="240"/>
    </w:pPr>
    <w:rPr>
      <w:b/>
      <w:i/>
    </w:rPr>
  </w:style>
  <w:style w:type="paragraph" w:customStyle="1" w:styleId="Bulletleft1last">
    <w:name w:val="Bullet left 1 last"/>
    <w:basedOn w:val="NICEnormal"/>
    <w:rsid w:val="00CA20DD"/>
    <w:pPr>
      <w:tabs>
        <w:tab w:val="num" w:pos="360"/>
      </w:tabs>
    </w:pPr>
    <w:rPr>
      <w:rFonts w:cs="Arial"/>
    </w:rPr>
  </w:style>
  <w:style w:type="character" w:customStyle="1" w:styleId="Bulletleft1lastChar">
    <w:name w:val="Bullet left 1 last Char"/>
    <w:rsid w:val="00CA20DD"/>
    <w:rPr>
      <w:rFonts w:ascii="Arial" w:eastAsia="Times New Roman" w:hAnsi="Arial" w:cs="Arial"/>
      <w:sz w:val="24"/>
      <w:szCs w:val="24"/>
      <w:lang w:eastAsia="en-US"/>
    </w:rPr>
  </w:style>
  <w:style w:type="paragraph" w:customStyle="1" w:styleId="boxedtext">
    <w:name w:val="boxed text"/>
    <w:basedOn w:val="NICEnormal"/>
    <w:rsid w:val="00CA20DD"/>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CA20DD"/>
    <w:rPr>
      <w:rFonts w:ascii="Arial" w:hAnsi="Arial"/>
      <w:sz w:val="24"/>
    </w:rPr>
  </w:style>
  <w:style w:type="paragraph" w:customStyle="1" w:styleId="Bulletindent1last">
    <w:name w:val="Bullet indent 1 last"/>
    <w:basedOn w:val="NICEnormal"/>
    <w:next w:val="NICEnormal"/>
    <w:rsid w:val="00CA20DD"/>
    <w:pPr>
      <w:numPr>
        <w:numId w:val="11"/>
      </w:numPr>
    </w:pPr>
    <w:rPr>
      <w:sz w:val="22"/>
      <w:lang w:val="en-GB"/>
    </w:rPr>
  </w:style>
  <w:style w:type="paragraph" w:customStyle="1" w:styleId="NICEnormalindented">
    <w:name w:val="NICE normal indented"/>
    <w:basedOn w:val="NICEnormal"/>
    <w:rsid w:val="00CA20DD"/>
    <w:pPr>
      <w:tabs>
        <w:tab w:val="left" w:pos="1134"/>
      </w:tabs>
      <w:ind w:left="1134"/>
    </w:pPr>
  </w:style>
  <w:style w:type="paragraph" w:customStyle="1" w:styleId="Tabletitle">
    <w:name w:val="Table title"/>
    <w:basedOn w:val="NICEnormal"/>
    <w:next w:val="NICEnormal"/>
    <w:rsid w:val="00CA20DD"/>
    <w:pPr>
      <w:keepNext/>
      <w:spacing w:after="60" w:line="240" w:lineRule="auto"/>
    </w:pPr>
    <w:rPr>
      <w:b/>
    </w:rPr>
  </w:style>
  <w:style w:type="paragraph" w:customStyle="1" w:styleId="Tabletext">
    <w:name w:val="Table text"/>
    <w:basedOn w:val="PGDNormal"/>
    <w:rsid w:val="00CA20DD"/>
    <w:pPr>
      <w:keepNext/>
      <w:spacing w:after="60"/>
    </w:pPr>
  </w:style>
  <w:style w:type="paragraph" w:customStyle="1" w:styleId="Section2paragraphs">
    <w:name w:val="Section 2 paragraphs"/>
    <w:basedOn w:val="NICEnormal"/>
    <w:rsid w:val="00CA20DD"/>
    <w:pPr>
      <w:tabs>
        <w:tab w:val="num" w:pos="360"/>
      </w:tabs>
    </w:pPr>
  </w:style>
  <w:style w:type="paragraph" w:customStyle="1" w:styleId="Section3paragraphs">
    <w:name w:val="Section 3 paragraphs"/>
    <w:basedOn w:val="NICEnormal"/>
    <w:rsid w:val="00CA20DD"/>
    <w:pPr>
      <w:tabs>
        <w:tab w:val="num" w:pos="360"/>
      </w:tabs>
    </w:pPr>
  </w:style>
  <w:style w:type="paragraph" w:customStyle="1" w:styleId="Section411paragraphs">
    <w:name w:val="Section 4.1.1 paragraphs"/>
    <w:basedOn w:val="NICEnormal"/>
    <w:rsid w:val="00CA20DD"/>
    <w:pPr>
      <w:tabs>
        <w:tab w:val="num" w:pos="360"/>
      </w:tabs>
    </w:pPr>
  </w:style>
  <w:style w:type="paragraph" w:customStyle="1" w:styleId="Section412paragraphs">
    <w:name w:val="Section 4.1.2 paragraphs"/>
    <w:basedOn w:val="NICEnormal"/>
    <w:rsid w:val="00CA20DD"/>
    <w:pPr>
      <w:tabs>
        <w:tab w:val="num" w:pos="360"/>
      </w:tabs>
    </w:pPr>
  </w:style>
  <w:style w:type="paragraph" w:customStyle="1" w:styleId="Section42paragraphs">
    <w:name w:val="Section 4.2 paragraphs"/>
    <w:basedOn w:val="NICEnormal"/>
    <w:rsid w:val="00CA20DD"/>
    <w:pPr>
      <w:tabs>
        <w:tab w:val="num" w:pos="360"/>
      </w:tabs>
    </w:pPr>
  </w:style>
  <w:style w:type="paragraph" w:customStyle="1" w:styleId="Section43paragraphs">
    <w:name w:val="Section 4.3 paragraphs"/>
    <w:basedOn w:val="NICEnormal"/>
    <w:rsid w:val="00CA20DD"/>
    <w:pPr>
      <w:tabs>
        <w:tab w:val="num" w:pos="360"/>
      </w:tabs>
    </w:pPr>
  </w:style>
  <w:style w:type="paragraph" w:customStyle="1" w:styleId="Appendixlevel1">
    <w:name w:val="Appendix level 1"/>
    <w:basedOn w:val="NICEnormal"/>
    <w:autoRedefine/>
    <w:rsid w:val="00CA20DD"/>
    <w:pPr>
      <w:tabs>
        <w:tab w:val="num" w:pos="360"/>
      </w:tabs>
      <w:spacing w:before="240"/>
    </w:pPr>
  </w:style>
  <w:style w:type="paragraph" w:customStyle="1" w:styleId="Appendixlevel2">
    <w:name w:val="Appendix level 2"/>
    <w:basedOn w:val="NICEnormal"/>
    <w:rsid w:val="00CA20DD"/>
    <w:pPr>
      <w:tabs>
        <w:tab w:val="num" w:pos="360"/>
      </w:tabs>
      <w:spacing w:before="240"/>
    </w:pPr>
  </w:style>
  <w:style w:type="paragraph" w:customStyle="1" w:styleId="Appendixbullet">
    <w:name w:val="Appendix bullet"/>
    <w:basedOn w:val="NICEnormal"/>
    <w:rsid w:val="00CA20DD"/>
    <w:pPr>
      <w:tabs>
        <w:tab w:val="num" w:pos="360"/>
      </w:tabs>
      <w:spacing w:after="0" w:line="240" w:lineRule="auto"/>
    </w:pPr>
  </w:style>
  <w:style w:type="paragraph" w:customStyle="1" w:styleId="Appendixreferences">
    <w:name w:val="Appendix references"/>
    <w:basedOn w:val="NICEnormal"/>
    <w:rsid w:val="00CA20DD"/>
    <w:pPr>
      <w:tabs>
        <w:tab w:val="left" w:pos="567"/>
      </w:tabs>
      <w:spacing w:after="120" w:line="240" w:lineRule="auto"/>
      <w:ind w:left="567"/>
    </w:pPr>
  </w:style>
  <w:style w:type="paragraph" w:customStyle="1" w:styleId="References">
    <w:name w:val="References"/>
    <w:basedOn w:val="PGDNormal"/>
    <w:rsid w:val="00CA20DD"/>
    <w:pPr>
      <w:tabs>
        <w:tab w:val="num" w:pos="360"/>
      </w:tabs>
      <w:spacing w:after="120"/>
    </w:pPr>
  </w:style>
  <w:style w:type="paragraph" w:styleId="BalloonText">
    <w:name w:val="Balloon Text"/>
    <w:basedOn w:val="Normal"/>
    <w:link w:val="BalloonTextChar"/>
    <w:semiHidden/>
    <w:rsid w:val="00CA20DD"/>
    <w:rPr>
      <w:rFonts w:ascii="Tahoma" w:hAnsi="Tahoma" w:cs="Tahoma"/>
      <w:sz w:val="16"/>
      <w:szCs w:val="16"/>
    </w:rPr>
  </w:style>
  <w:style w:type="character" w:customStyle="1" w:styleId="BalloonTextChar">
    <w:name w:val="Balloon Text Char"/>
    <w:link w:val="BalloonText"/>
    <w:semiHidden/>
    <w:rsid w:val="00CA20DD"/>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CA20DD"/>
    <w:rPr>
      <w:sz w:val="16"/>
      <w:szCs w:val="16"/>
    </w:rPr>
  </w:style>
  <w:style w:type="paragraph" w:styleId="CommentText">
    <w:name w:val="annotation text"/>
    <w:basedOn w:val="Normal"/>
    <w:link w:val="CommentTextChar1"/>
    <w:uiPriority w:val="99"/>
    <w:unhideWhenUsed/>
    <w:rsid w:val="00CA20DD"/>
  </w:style>
  <w:style w:type="character" w:customStyle="1" w:styleId="CommentTextChar">
    <w:name w:val="Comment Text Char"/>
    <w:uiPriority w:val="99"/>
    <w:rsid w:val="00CA20DD"/>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CA20DD"/>
    <w:rPr>
      <w:b/>
      <w:bCs/>
    </w:rPr>
  </w:style>
  <w:style w:type="character" w:customStyle="1" w:styleId="CommentSubjectChar">
    <w:name w:val="Comment Subject Char"/>
    <w:semiHidden/>
    <w:rsid w:val="00CA20DD"/>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CA20DD"/>
    <w:pPr>
      <w:spacing w:before="100" w:beforeAutospacing="1" w:after="100" w:afterAutospacing="1"/>
    </w:pPr>
  </w:style>
  <w:style w:type="paragraph" w:styleId="TOC1">
    <w:name w:val="toc 1"/>
    <w:basedOn w:val="Normal"/>
    <w:next w:val="Normal"/>
    <w:autoRedefine/>
    <w:rsid w:val="00CA20DD"/>
    <w:rPr>
      <w:rFonts w:ascii="Arial" w:hAnsi="Arial"/>
    </w:rPr>
  </w:style>
  <w:style w:type="paragraph" w:styleId="TOC2">
    <w:name w:val="toc 2"/>
    <w:basedOn w:val="Normal"/>
    <w:next w:val="Normal"/>
    <w:autoRedefine/>
    <w:rsid w:val="00CA20DD"/>
    <w:pPr>
      <w:ind w:left="240"/>
    </w:pPr>
    <w:rPr>
      <w:rFonts w:ascii="Arial" w:hAnsi="Arial"/>
    </w:rPr>
  </w:style>
  <w:style w:type="paragraph" w:customStyle="1" w:styleId="Frontpagetitle">
    <w:name w:val="Front page title"/>
    <w:basedOn w:val="Normal"/>
    <w:rsid w:val="00CA20DD"/>
    <w:pPr>
      <w:spacing w:after="240"/>
      <w:jc w:val="center"/>
    </w:pPr>
    <w:rPr>
      <w:rFonts w:ascii="Arial" w:hAnsi="Arial" w:cs="Arial"/>
      <w:sz w:val="48"/>
      <w:szCs w:val="48"/>
      <w:lang w:val="en-US"/>
    </w:rPr>
  </w:style>
  <w:style w:type="paragraph" w:customStyle="1" w:styleId="Frontpagedate">
    <w:name w:val="Front page date"/>
    <w:basedOn w:val="Normal"/>
    <w:rsid w:val="00CA20DD"/>
    <w:pPr>
      <w:spacing w:after="240"/>
    </w:pPr>
    <w:rPr>
      <w:rFonts w:ascii="Arial" w:hAnsi="Arial" w:cs="Arial"/>
      <w:sz w:val="32"/>
      <w:szCs w:val="32"/>
      <w:lang w:val="en-US"/>
    </w:rPr>
  </w:style>
  <w:style w:type="paragraph" w:customStyle="1" w:styleId="Frontpageguidelinenumber">
    <w:name w:val="Front page guideline number"/>
    <w:basedOn w:val="Normal"/>
    <w:rsid w:val="00CA20DD"/>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CA20DD"/>
    <w:pPr>
      <w:outlineLvl w:val="9"/>
    </w:pPr>
    <w:rPr>
      <w:lang w:bidi="en-US"/>
    </w:rPr>
  </w:style>
  <w:style w:type="paragraph" w:styleId="TOC3">
    <w:name w:val="toc 3"/>
    <w:basedOn w:val="Normal"/>
    <w:next w:val="Normal"/>
    <w:autoRedefine/>
    <w:semiHidden/>
    <w:rsid w:val="00CA20DD"/>
    <w:pPr>
      <w:ind w:left="480"/>
    </w:pPr>
    <w:rPr>
      <w:rFonts w:ascii="Arial" w:hAnsi="Arial"/>
    </w:rPr>
  </w:style>
  <w:style w:type="character" w:styleId="FollowedHyperlink">
    <w:name w:val="FollowedHyperlink"/>
    <w:unhideWhenUsed/>
    <w:rsid w:val="00CA20DD"/>
    <w:rPr>
      <w:color w:val="800080"/>
      <w:u w:val="single"/>
    </w:rPr>
  </w:style>
  <w:style w:type="paragraph" w:customStyle="1" w:styleId="Level2text">
    <w:name w:val="Level 2 text"/>
    <w:basedOn w:val="Numberedheading2"/>
    <w:locked/>
    <w:rsid w:val="00CA20DD"/>
    <w:pPr>
      <w:numPr>
        <w:ilvl w:val="1"/>
        <w:numId w:val="1"/>
      </w:numPr>
    </w:pPr>
    <w:rPr>
      <w:b/>
      <w:i/>
    </w:rPr>
  </w:style>
  <w:style w:type="paragraph" w:styleId="FootnoteText">
    <w:name w:val="footnote text"/>
    <w:basedOn w:val="Normal"/>
    <w:link w:val="FootnoteTextChar1"/>
    <w:semiHidden/>
    <w:rsid w:val="00CA20DD"/>
    <w:rPr>
      <w:rFonts w:ascii="Arial" w:eastAsia="Calibri" w:hAnsi="Arial"/>
    </w:rPr>
  </w:style>
  <w:style w:type="character" w:customStyle="1" w:styleId="FootnoteTextChar">
    <w:name w:val="Footnote Text Char"/>
    <w:rsid w:val="00CA20DD"/>
    <w:rPr>
      <w:rFonts w:ascii="Arial" w:eastAsia="Times New Roman" w:hAnsi="Arial"/>
    </w:rPr>
  </w:style>
  <w:style w:type="character" w:styleId="FootnoteReference">
    <w:name w:val="footnote reference"/>
    <w:rsid w:val="00CA20DD"/>
    <w:rPr>
      <w:vertAlign w:val="superscript"/>
    </w:rPr>
  </w:style>
  <w:style w:type="paragraph" w:customStyle="1" w:styleId="Paragraph">
    <w:name w:val="Paragraph"/>
    <w:basedOn w:val="Paragraphnonumbers"/>
    <w:uiPriority w:val="4"/>
    <w:qFormat/>
    <w:rsid w:val="00CA20DD"/>
    <w:pPr>
      <w:numPr>
        <w:numId w:val="9"/>
      </w:numPr>
      <w:tabs>
        <w:tab w:val="left" w:pos="567"/>
      </w:tabs>
    </w:pPr>
  </w:style>
  <w:style w:type="paragraph" w:customStyle="1" w:styleId="Bullets">
    <w:name w:val="Bullets"/>
    <w:basedOn w:val="Normal"/>
    <w:uiPriority w:val="5"/>
    <w:qFormat/>
    <w:rsid w:val="00CA20DD"/>
    <w:pPr>
      <w:numPr>
        <w:numId w:val="16"/>
      </w:numPr>
      <w:spacing w:after="120" w:line="276" w:lineRule="auto"/>
    </w:pPr>
    <w:rPr>
      <w:rFonts w:ascii="Arial" w:hAnsi="Arial"/>
    </w:rPr>
  </w:style>
  <w:style w:type="paragraph" w:customStyle="1" w:styleId="Subbullets">
    <w:name w:val="Sub bullets"/>
    <w:basedOn w:val="Normal"/>
    <w:uiPriority w:val="6"/>
    <w:qFormat/>
    <w:rsid w:val="00CA20DD"/>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CA20DD"/>
    <w:pPr>
      <w:spacing w:after="240" w:line="276" w:lineRule="auto"/>
    </w:pPr>
    <w:rPr>
      <w:rFonts w:ascii="Arial" w:hAnsi="Arial"/>
    </w:rPr>
  </w:style>
  <w:style w:type="paragraph" w:styleId="TOAHeading">
    <w:name w:val="toa heading"/>
    <w:basedOn w:val="Normal"/>
    <w:next w:val="Normal"/>
    <w:semiHidden/>
    <w:rsid w:val="00CA20DD"/>
    <w:pPr>
      <w:spacing w:before="120"/>
    </w:pPr>
    <w:rPr>
      <w:rFonts w:ascii="Arial" w:hAnsi="Arial"/>
      <w:b/>
      <w:bCs/>
    </w:rPr>
  </w:style>
  <w:style w:type="paragraph" w:styleId="TOC4">
    <w:name w:val="toc 4"/>
    <w:basedOn w:val="Normal"/>
    <w:next w:val="Normal"/>
    <w:autoRedefine/>
    <w:semiHidden/>
    <w:rsid w:val="00CA20DD"/>
    <w:pPr>
      <w:ind w:left="720"/>
    </w:pPr>
    <w:rPr>
      <w:rFonts w:ascii="Arial" w:hAnsi="Arial"/>
    </w:rPr>
  </w:style>
  <w:style w:type="paragraph" w:customStyle="1" w:styleId="Bulletindent1alast">
    <w:name w:val="Bullet indent 1a last"/>
    <w:basedOn w:val="Bulletindent1last"/>
    <w:qFormat/>
    <w:rsid w:val="00CA20DD"/>
    <w:pPr>
      <w:ind w:left="2552"/>
    </w:pPr>
  </w:style>
  <w:style w:type="paragraph" w:customStyle="1" w:styleId="Bulletindent2a">
    <w:name w:val="Bullet indent 2a"/>
    <w:basedOn w:val="Normal"/>
    <w:qFormat/>
    <w:rsid w:val="00CA20DD"/>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CA20DD"/>
    <w:pPr>
      <w:tabs>
        <w:tab w:val="num" w:pos="2552"/>
      </w:tabs>
      <w:ind w:left="2552"/>
    </w:pPr>
  </w:style>
  <w:style w:type="paragraph" w:customStyle="1" w:styleId="Frontpagegreentitle">
    <w:name w:val="Front page green title"/>
    <w:basedOn w:val="Normal"/>
    <w:rsid w:val="00CA20DD"/>
    <w:pPr>
      <w:jc w:val="center"/>
    </w:pPr>
    <w:rPr>
      <w:rFonts w:ascii="Arial" w:hAnsi="Arial" w:cs="Arial"/>
      <w:b/>
      <w:color w:val="009999"/>
      <w:sz w:val="64"/>
      <w:szCs w:val="64"/>
    </w:rPr>
  </w:style>
  <w:style w:type="paragraph" w:styleId="TOC5">
    <w:name w:val="toc 5"/>
    <w:basedOn w:val="Normal"/>
    <w:next w:val="Normal"/>
    <w:autoRedefine/>
    <w:semiHidden/>
    <w:unhideWhenUsed/>
    <w:rsid w:val="00CA20DD"/>
    <w:pPr>
      <w:spacing w:after="100" w:line="276" w:lineRule="auto"/>
      <w:ind w:left="880"/>
    </w:pPr>
  </w:style>
  <w:style w:type="paragraph" w:styleId="TOC6">
    <w:name w:val="toc 6"/>
    <w:basedOn w:val="Normal"/>
    <w:next w:val="Normal"/>
    <w:autoRedefine/>
    <w:semiHidden/>
    <w:unhideWhenUsed/>
    <w:rsid w:val="00CA20DD"/>
    <w:pPr>
      <w:spacing w:after="100" w:line="276" w:lineRule="auto"/>
      <w:ind w:left="1100"/>
    </w:pPr>
  </w:style>
  <w:style w:type="paragraph" w:styleId="TOC7">
    <w:name w:val="toc 7"/>
    <w:basedOn w:val="Normal"/>
    <w:next w:val="Normal"/>
    <w:autoRedefine/>
    <w:semiHidden/>
    <w:unhideWhenUsed/>
    <w:rsid w:val="00CA20DD"/>
    <w:pPr>
      <w:spacing w:after="100" w:line="276" w:lineRule="auto"/>
      <w:ind w:left="1320"/>
    </w:pPr>
  </w:style>
  <w:style w:type="paragraph" w:styleId="TOC8">
    <w:name w:val="toc 8"/>
    <w:basedOn w:val="Normal"/>
    <w:next w:val="Normal"/>
    <w:autoRedefine/>
    <w:semiHidden/>
    <w:unhideWhenUsed/>
    <w:rsid w:val="00CA20DD"/>
    <w:pPr>
      <w:spacing w:after="100" w:line="276" w:lineRule="auto"/>
      <w:ind w:left="1540"/>
    </w:pPr>
  </w:style>
  <w:style w:type="paragraph" w:styleId="TOC9">
    <w:name w:val="toc 9"/>
    <w:basedOn w:val="Normal"/>
    <w:next w:val="Normal"/>
    <w:autoRedefine/>
    <w:semiHidden/>
    <w:unhideWhenUsed/>
    <w:rsid w:val="00CA20DD"/>
    <w:pPr>
      <w:spacing w:after="100" w:line="276" w:lineRule="auto"/>
      <w:ind w:left="1760"/>
    </w:pPr>
  </w:style>
  <w:style w:type="paragraph" w:customStyle="1" w:styleId="Question">
    <w:name w:val="Question"/>
    <w:basedOn w:val="References"/>
    <w:qFormat/>
    <w:rsid w:val="00CA20DD"/>
    <w:pPr>
      <w:keepNext/>
      <w:numPr>
        <w:numId w:val="2"/>
      </w:numPr>
    </w:pPr>
    <w:rPr>
      <w:b/>
    </w:rPr>
  </w:style>
  <w:style w:type="paragraph" w:styleId="EndnoteText">
    <w:name w:val="endnote text"/>
    <w:basedOn w:val="Normal"/>
    <w:link w:val="EndnoteTextChar1"/>
    <w:semiHidden/>
    <w:unhideWhenUsed/>
    <w:rsid w:val="00CA20DD"/>
  </w:style>
  <w:style w:type="character" w:customStyle="1" w:styleId="EndnoteTextChar">
    <w:name w:val="Endnote Text Char"/>
    <w:semiHidden/>
    <w:rsid w:val="00CA20DD"/>
    <w:rPr>
      <w:rFonts w:ascii="Times New Roman" w:eastAsia="Times New Roman" w:hAnsi="Times New Roman"/>
    </w:rPr>
  </w:style>
  <w:style w:type="character" w:styleId="EndnoteReference">
    <w:name w:val="endnote reference"/>
    <w:semiHidden/>
    <w:unhideWhenUsed/>
    <w:rsid w:val="00CA20DD"/>
    <w:rPr>
      <w:vertAlign w:val="superscript"/>
    </w:rPr>
  </w:style>
  <w:style w:type="paragraph" w:customStyle="1" w:styleId="Style4">
    <w:name w:val="Style4"/>
    <w:basedOn w:val="Normal"/>
    <w:autoRedefine/>
    <w:rsid w:val="00CA20DD"/>
    <w:pPr>
      <w:keepNext/>
      <w:spacing w:line="360" w:lineRule="auto"/>
      <w:ind w:left="567"/>
    </w:pPr>
    <w:rPr>
      <w:rFonts w:ascii="Arial" w:hAnsi="Arial" w:cs="Arial"/>
    </w:rPr>
  </w:style>
  <w:style w:type="paragraph" w:customStyle="1" w:styleId="Bodytextosteo">
    <w:name w:val="Body text osteo"/>
    <w:basedOn w:val="BodyText"/>
    <w:autoRedefine/>
    <w:rsid w:val="00CA20DD"/>
    <w:pPr>
      <w:spacing w:after="0" w:line="360" w:lineRule="auto"/>
      <w:ind w:left="567"/>
    </w:pPr>
    <w:rPr>
      <w:rFonts w:ascii="Arial" w:hAnsi="Arial" w:cs="Arial"/>
    </w:rPr>
  </w:style>
  <w:style w:type="paragraph" w:styleId="BodyText">
    <w:name w:val="Body Text"/>
    <w:basedOn w:val="Normal"/>
    <w:link w:val="BodyTextChar"/>
    <w:rsid w:val="00CA20DD"/>
    <w:pPr>
      <w:spacing w:after="120"/>
    </w:pPr>
  </w:style>
  <w:style w:type="paragraph" w:customStyle="1" w:styleId="bulletdoubleindent">
    <w:name w:val="bullet double indent"/>
    <w:basedOn w:val="Normal"/>
    <w:autoRedefine/>
    <w:rsid w:val="00CA20DD"/>
    <w:pPr>
      <w:numPr>
        <w:numId w:val="3"/>
      </w:numPr>
      <w:spacing w:line="360" w:lineRule="auto"/>
    </w:pPr>
    <w:rPr>
      <w:rFonts w:ascii="Arial" w:eastAsia="Calibri" w:hAnsi="Arial"/>
    </w:rPr>
  </w:style>
  <w:style w:type="paragraph" w:customStyle="1" w:styleId="bulletindentosteo">
    <w:name w:val="bullet indent osteo"/>
    <w:basedOn w:val="Normal"/>
    <w:autoRedefine/>
    <w:rsid w:val="00CA20DD"/>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CA20DD"/>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CA20DD"/>
    <w:pPr>
      <w:spacing w:after="0" w:line="360" w:lineRule="auto"/>
      <w:ind w:left="567"/>
    </w:pPr>
  </w:style>
  <w:style w:type="paragraph" w:customStyle="1" w:styleId="subheadingosteo">
    <w:name w:val="subheading osteo"/>
    <w:basedOn w:val="Heading6"/>
    <w:autoRedefine/>
    <w:rsid w:val="00CA20DD"/>
    <w:pPr>
      <w:keepNext/>
      <w:spacing w:line="360" w:lineRule="auto"/>
      <w:ind w:left="539"/>
    </w:pPr>
    <w:rPr>
      <w:rFonts w:ascii="Arial" w:hAnsi="Arial"/>
    </w:rPr>
  </w:style>
  <w:style w:type="paragraph" w:customStyle="1" w:styleId="bulletdoubleindentosteo">
    <w:name w:val="bullet double indent osteo"/>
    <w:basedOn w:val="bulletindentosteo"/>
    <w:autoRedefine/>
    <w:rsid w:val="00CA20DD"/>
    <w:pPr>
      <w:numPr>
        <w:numId w:val="5"/>
      </w:numPr>
    </w:pPr>
    <w:rPr>
      <w:rFonts w:eastAsia="Times New Roman"/>
      <w:lang w:eastAsia="en-GB"/>
    </w:rPr>
  </w:style>
  <w:style w:type="paragraph" w:styleId="ListBullet3">
    <w:name w:val="List Bullet 3"/>
    <w:basedOn w:val="Normal"/>
    <w:autoRedefine/>
    <w:rsid w:val="00CA20DD"/>
  </w:style>
  <w:style w:type="paragraph" w:customStyle="1" w:styleId="Bulletosteotable">
    <w:name w:val="Bullet osteo table"/>
    <w:basedOn w:val="bulletosteoporosis"/>
    <w:autoRedefine/>
    <w:rsid w:val="00CA20DD"/>
    <w:pPr>
      <w:numPr>
        <w:numId w:val="6"/>
      </w:numPr>
    </w:pPr>
  </w:style>
  <w:style w:type="paragraph" w:customStyle="1" w:styleId="StyleHeading2Before0ptAfter0ptLinespacing15l">
    <w:name w:val="Style Heading 2 + Before:  0 pt After:  0 pt Line spacing:  1.5 l..."/>
    <w:basedOn w:val="Heading2"/>
    <w:autoRedefine/>
    <w:rsid w:val="00CA20DD"/>
    <w:pPr>
      <w:spacing w:after="0" w:line="360" w:lineRule="auto"/>
    </w:pPr>
    <w:rPr>
      <w:szCs w:val="20"/>
      <w:lang w:val="en-US"/>
    </w:rPr>
  </w:style>
  <w:style w:type="paragraph" w:customStyle="1" w:styleId="NCC-ACChaptertitle">
    <w:name w:val="NCC-AC Chapter title"/>
    <w:basedOn w:val="Numberedheading1"/>
    <w:next w:val="Normal"/>
    <w:autoRedefine/>
    <w:rsid w:val="00CA20D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CA20D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CA20DD"/>
    <w:pPr>
      <w:numPr>
        <w:ilvl w:val="3"/>
        <w:numId w:val="8"/>
      </w:numPr>
    </w:pPr>
    <w:rPr>
      <w:b w:val="0"/>
    </w:rPr>
  </w:style>
  <w:style w:type="numbering" w:customStyle="1" w:styleId="NiceNumbering">
    <w:name w:val="Nice Numbering"/>
    <w:rsid w:val="00CA20DD"/>
    <w:pPr>
      <w:numPr>
        <w:numId w:val="8"/>
      </w:numPr>
    </w:pPr>
  </w:style>
  <w:style w:type="character" w:customStyle="1" w:styleId="FootnoteTextChar1">
    <w:name w:val="Footnote Text Char1"/>
    <w:link w:val="FootnoteText"/>
    <w:semiHidden/>
    <w:rsid w:val="00CA20DD"/>
    <w:rPr>
      <w:rFonts w:ascii="Arial" w:hAnsi="Arial"/>
      <w:kern w:val="2"/>
      <w:lang w:eastAsia="en-US"/>
      <w14:ligatures w14:val="standardContextual"/>
    </w:rPr>
  </w:style>
  <w:style w:type="table" w:styleId="TableGrid">
    <w:name w:val="Table Grid"/>
    <w:basedOn w:val="TableNormal"/>
    <w:rsid w:val="00CA20D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CA20DD"/>
    <w:rPr>
      <w:rFonts w:ascii="Arial" w:hAnsi="Arial" w:cs="Arial"/>
      <w:color w:val="FFFFFF"/>
      <w:sz w:val="32"/>
      <w:szCs w:val="32"/>
    </w:rPr>
  </w:style>
  <w:style w:type="paragraph" w:customStyle="1" w:styleId="Default">
    <w:name w:val="Default"/>
    <w:rsid w:val="00CA20DD"/>
    <w:pPr>
      <w:autoSpaceDE w:val="0"/>
      <w:autoSpaceDN w:val="0"/>
      <w:adjustRightInd w:val="0"/>
    </w:pPr>
    <w:rPr>
      <w:rFonts w:eastAsia="Times New Roman" w:cs="Calibri"/>
      <w:color w:val="000000"/>
    </w:rPr>
  </w:style>
  <w:style w:type="paragraph" w:customStyle="1" w:styleId="PGDNormal">
    <w:name w:val="PGD Normal"/>
    <w:basedOn w:val="NICEnormal"/>
    <w:rsid w:val="00CA20DD"/>
    <w:pPr>
      <w:spacing w:line="240" w:lineRule="auto"/>
    </w:pPr>
    <w:rPr>
      <w:sz w:val="22"/>
    </w:rPr>
  </w:style>
  <w:style w:type="paragraph" w:customStyle="1" w:styleId="TabletextIPoverviewevidence">
    <w:name w:val="Table text IP overview evidence"/>
    <w:basedOn w:val="Tabletext"/>
    <w:rsid w:val="00CA20DD"/>
    <w:rPr>
      <w:sz w:val="18"/>
    </w:rPr>
  </w:style>
  <w:style w:type="character" w:customStyle="1" w:styleId="Heading5Char">
    <w:name w:val="Heading 5 Char"/>
    <w:link w:val="Heading5"/>
    <w:uiPriority w:val="9"/>
    <w:rsid w:val="00CA20DD"/>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CA20DD"/>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CA20DD"/>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CA20DD"/>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CA20DD"/>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CA20DD"/>
    <w:pPr>
      <w:spacing w:after="600"/>
    </w:pPr>
    <w:rPr>
      <w:rFonts w:ascii="Cambria" w:hAnsi="Cambria"/>
      <w:i/>
      <w:iCs/>
      <w:spacing w:val="13"/>
    </w:rPr>
  </w:style>
  <w:style w:type="character" w:customStyle="1" w:styleId="SubtitleChar">
    <w:name w:val="Subtitle Char"/>
    <w:link w:val="Subtitle"/>
    <w:uiPriority w:val="11"/>
    <w:rsid w:val="00CA20DD"/>
    <w:rPr>
      <w:rFonts w:ascii="Cambria" w:eastAsiaTheme="minorHAnsi" w:hAnsi="Cambria"/>
      <w:i/>
      <w:iCs/>
      <w:spacing w:val="13"/>
      <w:kern w:val="2"/>
      <w:lang w:eastAsia="en-US"/>
      <w14:ligatures w14:val="standardContextual"/>
    </w:rPr>
  </w:style>
  <w:style w:type="character" w:styleId="Strong">
    <w:name w:val="Strong"/>
    <w:uiPriority w:val="22"/>
    <w:qFormat/>
    <w:rsid w:val="00CA20DD"/>
    <w:rPr>
      <w:b/>
      <w:bCs/>
    </w:rPr>
  </w:style>
  <w:style w:type="character" w:styleId="Emphasis">
    <w:name w:val="Emphasis"/>
    <w:uiPriority w:val="20"/>
    <w:qFormat/>
    <w:rsid w:val="00CA20DD"/>
    <w:rPr>
      <w:b/>
      <w:bCs/>
      <w:i/>
      <w:iCs/>
      <w:spacing w:val="10"/>
      <w:bdr w:val="none" w:sz="0" w:space="0" w:color="auto"/>
      <w:shd w:val="clear" w:color="auto" w:fill="auto"/>
    </w:rPr>
  </w:style>
  <w:style w:type="paragraph" w:styleId="NoSpacing">
    <w:name w:val="No Spacing"/>
    <w:basedOn w:val="Normal"/>
    <w:uiPriority w:val="1"/>
    <w:qFormat/>
    <w:rsid w:val="00CA20DD"/>
    <w:rPr>
      <w:rFonts w:eastAsia="Calibri"/>
    </w:rPr>
  </w:style>
  <w:style w:type="paragraph" w:styleId="Quote">
    <w:name w:val="Quote"/>
    <w:basedOn w:val="Normal"/>
    <w:next w:val="Normal"/>
    <w:link w:val="QuoteChar"/>
    <w:uiPriority w:val="29"/>
    <w:qFormat/>
    <w:rsid w:val="00CA20DD"/>
    <w:pPr>
      <w:spacing w:before="200"/>
      <w:ind w:left="360" w:right="360"/>
    </w:pPr>
    <w:rPr>
      <w:i/>
      <w:iCs/>
    </w:rPr>
  </w:style>
  <w:style w:type="character" w:customStyle="1" w:styleId="QuoteChar">
    <w:name w:val="Quote Char"/>
    <w:link w:val="Quote"/>
    <w:uiPriority w:val="29"/>
    <w:rsid w:val="00CA20DD"/>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CA20D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A20DD"/>
    <w:rPr>
      <w:rFonts w:eastAsiaTheme="minorHAnsi"/>
      <w:b/>
      <w:bCs/>
      <w:i/>
      <w:iCs/>
      <w:kern w:val="2"/>
      <w:lang w:eastAsia="en-US"/>
      <w14:ligatures w14:val="standardContextual"/>
    </w:rPr>
  </w:style>
  <w:style w:type="character" w:styleId="SubtleEmphasis">
    <w:name w:val="Subtle Emphasis"/>
    <w:uiPriority w:val="19"/>
    <w:qFormat/>
    <w:rsid w:val="00CA20DD"/>
    <w:rPr>
      <w:i/>
      <w:iCs/>
    </w:rPr>
  </w:style>
  <w:style w:type="character" w:styleId="IntenseEmphasis">
    <w:name w:val="Intense Emphasis"/>
    <w:uiPriority w:val="21"/>
    <w:qFormat/>
    <w:rsid w:val="00CA20DD"/>
    <w:rPr>
      <w:b/>
      <w:bCs/>
    </w:rPr>
  </w:style>
  <w:style w:type="character" w:styleId="SubtleReference">
    <w:name w:val="Subtle Reference"/>
    <w:uiPriority w:val="31"/>
    <w:qFormat/>
    <w:rsid w:val="00CA20DD"/>
    <w:rPr>
      <w:smallCaps/>
    </w:rPr>
  </w:style>
  <w:style w:type="character" w:styleId="IntenseReference">
    <w:name w:val="Intense Reference"/>
    <w:uiPriority w:val="32"/>
    <w:qFormat/>
    <w:rsid w:val="00CA20DD"/>
    <w:rPr>
      <w:smallCaps/>
      <w:spacing w:val="5"/>
      <w:u w:val="single"/>
    </w:rPr>
  </w:style>
  <w:style w:type="character" w:styleId="BookTitle">
    <w:name w:val="Book Title"/>
    <w:uiPriority w:val="33"/>
    <w:qFormat/>
    <w:rsid w:val="00CA20DD"/>
    <w:rPr>
      <w:i/>
      <w:iCs/>
      <w:smallCaps/>
      <w:spacing w:val="5"/>
    </w:rPr>
  </w:style>
  <w:style w:type="paragraph" w:customStyle="1" w:styleId="NICETitle2">
    <w:name w:val="NICE Title 2"/>
    <w:basedOn w:val="Normal"/>
    <w:qFormat/>
    <w:rsid w:val="00CA20DD"/>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CA20DD"/>
    <w:pPr>
      <w:spacing w:after="120" w:line="480" w:lineRule="auto"/>
    </w:pPr>
  </w:style>
  <w:style w:type="character" w:customStyle="1" w:styleId="BodyText2Char">
    <w:name w:val="Body Text 2 Char"/>
    <w:link w:val="BodyText2"/>
    <w:uiPriority w:val="99"/>
    <w:semiHidden/>
    <w:rsid w:val="00CA20DD"/>
    <w:rPr>
      <w:rFonts w:eastAsiaTheme="minorHAnsi"/>
      <w:kern w:val="2"/>
      <w:lang w:eastAsia="en-US"/>
      <w14:ligatures w14:val="standardContextual"/>
    </w:rPr>
  </w:style>
  <w:style w:type="character" w:styleId="UnresolvedMention">
    <w:name w:val="Unresolved Mention"/>
    <w:uiPriority w:val="99"/>
    <w:semiHidden/>
    <w:unhideWhenUsed/>
    <w:rsid w:val="00CA20DD"/>
    <w:rPr>
      <w:color w:val="605E5C"/>
      <w:shd w:val="clear" w:color="auto" w:fill="E1DFDD"/>
    </w:rPr>
  </w:style>
  <w:style w:type="paragraph" w:customStyle="1" w:styleId="PGDTitle2">
    <w:name w:val="PGD Title 2"/>
    <w:basedOn w:val="Normal"/>
    <w:rsid w:val="00CA20DD"/>
    <w:pPr>
      <w:jc w:val="center"/>
    </w:pPr>
    <w:rPr>
      <w:rFonts w:ascii="Arial" w:hAnsi="Arial"/>
      <w:b/>
      <w:sz w:val="36"/>
      <w:szCs w:val="36"/>
    </w:rPr>
  </w:style>
  <w:style w:type="paragraph" w:customStyle="1" w:styleId="PGDTitle1">
    <w:name w:val="PGD Title 1"/>
    <w:basedOn w:val="Normal"/>
    <w:rsid w:val="00CA20DD"/>
    <w:pPr>
      <w:jc w:val="center"/>
    </w:pPr>
    <w:rPr>
      <w:rFonts w:ascii="Arial" w:hAnsi="Arial"/>
      <w:b/>
      <w:bCs/>
      <w:sz w:val="44"/>
    </w:rPr>
  </w:style>
  <w:style w:type="character" w:customStyle="1" w:styleId="PGDVersionNumber">
    <w:name w:val="PGD Version Number"/>
    <w:basedOn w:val="DefaultParagraphFont"/>
    <w:qFormat/>
    <w:rsid w:val="00CA20DD"/>
    <w:rPr>
      <w:rFonts w:ascii="Arial" w:hAnsi="Arial"/>
      <w:sz w:val="28"/>
    </w:rPr>
  </w:style>
  <w:style w:type="paragraph" w:customStyle="1" w:styleId="TableHeaderRow">
    <w:name w:val="Table Header Row"/>
    <w:basedOn w:val="Normal"/>
    <w:rsid w:val="00CA20DD"/>
    <w:rPr>
      <w:rFonts w:ascii="Arial" w:hAnsi="Arial"/>
      <w:b/>
      <w:bCs/>
    </w:rPr>
  </w:style>
  <w:style w:type="character" w:customStyle="1" w:styleId="PGDNormalBold">
    <w:name w:val="PGD Normal Bold"/>
    <w:basedOn w:val="DefaultParagraphFont"/>
    <w:rsid w:val="00CA20DD"/>
    <w:rPr>
      <w:rFonts w:ascii="Arial" w:hAnsi="Arial"/>
      <w:b/>
      <w:bCs/>
    </w:rPr>
  </w:style>
  <w:style w:type="character" w:customStyle="1" w:styleId="TableHeaderColumn">
    <w:name w:val="Table Header Column"/>
    <w:basedOn w:val="DefaultParagraphFont"/>
    <w:rsid w:val="00CA20DD"/>
    <w:rPr>
      <w:rFonts w:ascii="Arial" w:hAnsi="Arial"/>
      <w:b/>
      <w:bCs/>
      <w:sz w:val="20"/>
    </w:rPr>
  </w:style>
  <w:style w:type="paragraph" w:customStyle="1" w:styleId="Title1">
    <w:name w:val="Title 1"/>
    <w:basedOn w:val="Title"/>
    <w:qFormat/>
    <w:rsid w:val="00CA20DD"/>
    <w:rPr>
      <w:rFonts w:ascii="Arial" w:hAnsi="Arial" w:cs="Arial"/>
      <w:sz w:val="44"/>
      <w:szCs w:val="44"/>
    </w:rPr>
  </w:style>
  <w:style w:type="paragraph" w:customStyle="1" w:styleId="Title2">
    <w:name w:val="Title 2"/>
    <w:basedOn w:val="Title"/>
    <w:qFormat/>
    <w:rsid w:val="00CA20DD"/>
    <w:rPr>
      <w:rFonts w:ascii="Arial" w:hAnsi="Arial" w:cs="Arial"/>
      <w:sz w:val="40"/>
      <w:szCs w:val="40"/>
    </w:rPr>
  </w:style>
  <w:style w:type="paragraph" w:customStyle="1" w:styleId="PGDHeading2">
    <w:name w:val="PGD Heading 2"/>
    <w:basedOn w:val="Heading2"/>
    <w:qFormat/>
    <w:rsid w:val="00CA20DD"/>
    <w:rPr>
      <w:rFonts w:ascii="Arial" w:hAnsi="Arial" w:cs="Arial"/>
      <w:color w:val="auto"/>
      <w:sz w:val="28"/>
      <w:szCs w:val="28"/>
    </w:rPr>
  </w:style>
  <w:style w:type="table" w:customStyle="1" w:styleId="Tableheading">
    <w:name w:val="Table heading"/>
    <w:basedOn w:val="TableNormal"/>
    <w:uiPriority w:val="99"/>
    <w:rsid w:val="00CA20DD"/>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CA20DD"/>
    <w:pPr>
      <w:spacing w:line="240" w:lineRule="auto"/>
    </w:pPr>
  </w:style>
  <w:style w:type="paragraph" w:customStyle="1" w:styleId="PGDtablebullet0">
    <w:name w:val="PGD table bullet"/>
    <w:basedOn w:val="Normal"/>
    <w:rsid w:val="00CA20DD"/>
    <w:rPr>
      <w:rFonts w:ascii="Arial" w:eastAsia="Times New Roman" w:hAnsi="Arial"/>
    </w:rPr>
  </w:style>
  <w:style w:type="numbering" w:customStyle="1" w:styleId="PGDTableBullet">
    <w:name w:val="PGD Table Bullet"/>
    <w:basedOn w:val="NoList"/>
    <w:uiPriority w:val="99"/>
    <w:rsid w:val="00CA20DD"/>
    <w:pPr>
      <w:numPr>
        <w:numId w:val="10"/>
      </w:numPr>
    </w:pPr>
  </w:style>
  <w:style w:type="paragraph" w:customStyle="1" w:styleId="StyleLatinArialAfter0ptLinespacingsingle">
    <w:name w:val="Style (Latin) Arial After:  0 pt Line spacing:  single"/>
    <w:basedOn w:val="Normal"/>
    <w:rsid w:val="00CA20DD"/>
    <w:rPr>
      <w:rFonts w:ascii="Arial" w:eastAsia="Times New Roman" w:hAnsi="Arial"/>
    </w:rPr>
  </w:style>
  <w:style w:type="paragraph" w:customStyle="1" w:styleId="PGDlogo">
    <w:name w:val="PGD logo"/>
    <w:basedOn w:val="NICEnormal"/>
    <w:rsid w:val="00CA20DD"/>
    <w:pPr>
      <w:jc w:val="right"/>
    </w:pPr>
  </w:style>
  <w:style w:type="paragraph" w:customStyle="1" w:styleId="PGDLogo0">
    <w:name w:val="PGD Logo"/>
    <w:basedOn w:val="PGDNormal"/>
    <w:rsid w:val="00CA20DD"/>
    <w:pPr>
      <w:jc w:val="right"/>
    </w:pPr>
  </w:style>
  <w:style w:type="paragraph" w:customStyle="1" w:styleId="PGDVersion">
    <w:name w:val="PGD Version"/>
    <w:basedOn w:val="Normal"/>
    <w:rsid w:val="00CA20DD"/>
    <w:pPr>
      <w:jc w:val="center"/>
    </w:pPr>
    <w:rPr>
      <w:rFonts w:ascii="Arial" w:eastAsia="Times New Roman" w:hAnsi="Arial"/>
      <w:sz w:val="28"/>
    </w:rPr>
  </w:style>
  <w:style w:type="numbering" w:customStyle="1" w:styleId="PGDtablebullet2">
    <w:name w:val="PGD table bullet 2"/>
    <w:basedOn w:val="NoList"/>
    <w:rsid w:val="00CA20DD"/>
    <w:pPr>
      <w:numPr>
        <w:numId w:val="12"/>
      </w:numPr>
    </w:pPr>
  </w:style>
  <w:style w:type="numbering" w:customStyle="1" w:styleId="PGDbullet2">
    <w:name w:val="PGD bullet 2"/>
    <w:basedOn w:val="NoList"/>
    <w:rsid w:val="00CA20DD"/>
    <w:pPr>
      <w:numPr>
        <w:numId w:val="13"/>
      </w:numPr>
    </w:pPr>
  </w:style>
  <w:style w:type="numbering" w:customStyle="1" w:styleId="PGDtablebullet1">
    <w:name w:val="PGD table bullet 1"/>
    <w:basedOn w:val="NoList"/>
    <w:rsid w:val="00CA20DD"/>
    <w:pPr>
      <w:numPr>
        <w:numId w:val="14"/>
      </w:numPr>
    </w:pPr>
  </w:style>
  <w:style w:type="character" w:customStyle="1" w:styleId="BodyTextChar">
    <w:name w:val="Body Text Char"/>
    <w:basedOn w:val="DefaultParagraphFont"/>
    <w:link w:val="BodyText"/>
    <w:rsid w:val="00CA20DD"/>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CA20DD"/>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CA20DD"/>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CA20DD"/>
    <w:rPr>
      <w:rFonts w:eastAsiaTheme="minorHAnsi"/>
      <w:b/>
      <w:bCs/>
      <w:kern w:val="2"/>
      <w:lang w:eastAsia="en-US"/>
      <w14:ligatures w14:val="standardContextual"/>
    </w:rPr>
  </w:style>
  <w:style w:type="paragraph" w:customStyle="1" w:styleId="TableParagraph">
    <w:name w:val="Table Paragraph"/>
    <w:basedOn w:val="Normal"/>
    <w:uiPriority w:val="1"/>
    <w:qFormat/>
    <w:rsid w:val="00251D91"/>
    <w:pPr>
      <w:widowControl w:val="0"/>
    </w:pPr>
    <w:rPr>
      <w:rFonts w:eastAsia="Calibri"/>
      <w:kern w:val="0"/>
      <w:lang w:val="en-US"/>
      <w14:ligatures w14:val="none"/>
    </w:rPr>
  </w:style>
  <w:style w:type="paragraph" w:customStyle="1" w:styleId="xmsonormal">
    <w:name w:val="x_msonormal"/>
    <w:basedOn w:val="Normal"/>
    <w:rsid w:val="00251D91"/>
    <w:pPr>
      <w:spacing w:before="100" w:beforeAutospacing="1" w:after="100" w:afterAutospacing="1"/>
    </w:pPr>
    <w:rPr>
      <w:rFonts w:ascii="Times New Roman" w:eastAsia="Times New Roman" w:hAnsi="Times New Roman"/>
      <w:kern w:val="0"/>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customStyle="1" w:styleId="CM13">
    <w:name w:val="CM13"/>
    <w:basedOn w:val="Default"/>
    <w:next w:val="Default"/>
    <w:uiPriority w:val="99"/>
    <w:rsid w:val="00251D91"/>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ashh.org/resources/5/hiv_preexposure_prophylaxis_2025" TargetMode="External"/><Relationship Id="rId18" Type="http://schemas.openxmlformats.org/officeDocument/2006/relationships/hyperlink" Target="https://www.e-lfh.org.uk/programmes/patient-group-directions/" TargetMode="External"/><Relationship Id="rId26" Type="http://schemas.openxmlformats.org/officeDocument/2006/relationships/hyperlink" Target="https://www.bashh.org/resources/5/hiv_preexposure_prophylaxis_2025" TargetMode="External"/><Relationship Id="rId39" Type="http://schemas.openxmlformats.org/officeDocument/2006/relationships/hyperlink" Target="https://www.medicines.org.uk/emc/product/13581/smpc" TargetMode="External"/><Relationship Id="rId21" Type="http://schemas.openxmlformats.org/officeDocument/2006/relationships/hyperlink" Target="https://www.medicines.org.uk/emc/product/13581/smpc" TargetMode="External"/><Relationship Id="rId34" Type="http://schemas.openxmlformats.org/officeDocument/2006/relationships/hyperlink" Target="https://www.bashh.org/resources/5/hiv_preexposure_prophylaxis_2025" TargetMode="External"/><Relationship Id="rId42" Type="http://schemas.openxmlformats.org/officeDocument/2006/relationships/hyperlink" Target="https://www.iwantprepnow.co.uk/" TargetMode="External"/><Relationship Id="rId47" Type="http://schemas.openxmlformats.org/officeDocument/2006/relationships/hyperlink" Target="https://www.medicines.org.uk/emc" TargetMode="External"/><Relationship Id="rId50" Type="http://schemas.openxmlformats.org/officeDocument/2006/relationships/hyperlink" Target="https://www.rcpharm.org/professional-standards/professional-guidance-on-the-safe-and-secure-handling-of-medicines/" TargetMode="External"/><Relationship Id="rId55" Type="http://schemas.openxmlformats.org/officeDocument/2006/relationships/hyperlink" Target="https://www.hiv-druginteractions.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ice.org.uk/guidance/mpg2/chapter/Recommendations" TargetMode="External"/><Relationship Id="rId29" Type="http://schemas.openxmlformats.org/officeDocument/2006/relationships/hyperlink" Target="https://www.bashh.org/resources/5/hiv_preexposure_prophylaxis_2025"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www.england.nhs.uk/wp-content/uploads/2020/10/2112-PrEP-policy-statement-version-2.pdf" TargetMode="External"/><Relationship Id="rId32" Type="http://schemas.openxmlformats.org/officeDocument/2006/relationships/hyperlink" Target="https://www.bashh.org/resources/5/hiv_preexposure_prophylaxis_2025" TargetMode="External"/><Relationship Id="rId37" Type="http://schemas.openxmlformats.org/officeDocument/2006/relationships/hyperlink" Target="https://www.medicines.org.uk/emc/product/13581/smpc" TargetMode="External"/><Relationship Id="rId40" Type="http://schemas.openxmlformats.org/officeDocument/2006/relationships/hyperlink" Target="https://bnf.nice.org.uk/" TargetMode="External"/><Relationship Id="rId45" Type="http://schemas.openxmlformats.org/officeDocument/2006/relationships/hyperlink" Target="https://i-base.info/prep/" TargetMode="External"/><Relationship Id="rId53" Type="http://schemas.openxmlformats.org/officeDocument/2006/relationships/hyperlink" Target="https://www.scottishmedicines.org.uk/medicines-advice/emtricitabinetenofovir-disoproxil-truvada-fullsubmission-122517/"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nice.org.uk/guidance/mpg2/resources" TargetMode="External"/><Relationship Id="rId14" Type="http://schemas.openxmlformats.org/officeDocument/2006/relationships/hyperlink" Target="https://www.stonewall.org.uk/list-lgbtq-terms" TargetMode="External"/><Relationship Id="rId22" Type="http://schemas.openxmlformats.org/officeDocument/2006/relationships/hyperlink" Target="https://www.england.nhs.uk/wp-content/uploads/2020/10/2112-PrEP-policy-statement-version-2.pdf" TargetMode="External"/><Relationship Id="rId27" Type="http://schemas.openxmlformats.org/officeDocument/2006/relationships/hyperlink" Target="https://www.bashh.org/resources/5/hiv_preexposure_prophylaxis_2025" TargetMode="External"/><Relationship Id="rId30" Type="http://schemas.openxmlformats.org/officeDocument/2006/relationships/hyperlink" Target="https://www.england.nhs.uk/wp-content/uploads/2020/10/2112-PrEP-policy-statement-version-2.pdf" TargetMode="External"/><Relationship Id="rId35" Type="http://schemas.openxmlformats.org/officeDocument/2006/relationships/hyperlink" Target="https://www.medicines.org.uk/emc/product/13581/smpc" TargetMode="External"/><Relationship Id="rId43" Type="http://schemas.openxmlformats.org/officeDocument/2006/relationships/hyperlink" Target="https://tht.org.uk/hiv/protection/prep-pre-exposure-prophylaxis" TargetMode="External"/><Relationship Id="rId48" Type="http://schemas.openxmlformats.org/officeDocument/2006/relationships/hyperlink" Target="https://bnf.nice.org.uk/"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bashh.org/resources/5/hiv_preexposure_prophylaxis_2025" TargetMode="External"/><Relationship Id="rId3" Type="http://schemas.openxmlformats.org/officeDocument/2006/relationships/customXml" Target="../customXml/item3.xml"/><Relationship Id="rId12" Type="http://schemas.openxmlformats.org/officeDocument/2006/relationships/hyperlink" Target="https://www.bashh.org/resources/5/guidelines_hiv_preexposure_prophylaxis_2025_updated_guideline" TargetMode="External"/><Relationship Id="rId17"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5" Type="http://schemas.openxmlformats.org/officeDocument/2006/relationships/hyperlink" Target="https://www.bashh.org/resources/5/hiv_preexposure_prophylaxis_2025" TargetMode="External"/><Relationship Id="rId33" Type="http://schemas.openxmlformats.org/officeDocument/2006/relationships/hyperlink" Target="https://www.bashh.org/resources/5/hiv_preexposure_prophylaxis_2025" TargetMode="External"/><Relationship Id="rId38" Type="http://schemas.openxmlformats.org/officeDocument/2006/relationships/hyperlink" Target="https://hiv-druginteractions.org/" TargetMode="External"/><Relationship Id="rId46" Type="http://schemas.openxmlformats.org/officeDocument/2006/relationships/hyperlink" Target="https://i-base.info/guides/prep" TargetMode="External"/><Relationship Id="rId59" Type="http://schemas.openxmlformats.org/officeDocument/2006/relationships/header" Target="header3.xml"/><Relationship Id="rId20" Type="http://schemas.openxmlformats.org/officeDocument/2006/relationships/hyperlink" Target="https://www.bashh.org/resources/5/hiv_preexposure_prophylaxis_2025" TargetMode="External"/><Relationship Id="rId41" Type="http://schemas.openxmlformats.org/officeDocument/2006/relationships/hyperlink" Target="https://yellowcard.mhra.gov.uk/" TargetMode="External"/><Relationship Id="rId54" Type="http://schemas.openxmlformats.org/officeDocument/2006/relationships/hyperlink" Target="https://www.bhiva.org/HIV-testing-guidelin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ice.org.uk/Guidance/MPG2" TargetMode="External"/><Relationship Id="rId23" Type="http://schemas.openxmlformats.org/officeDocument/2006/relationships/hyperlink" Target="https://www.england.nhs.uk/wp-content/uploads/2020/10/2112-PrEP-policy-statement-version-2.pdf" TargetMode="External"/><Relationship Id="rId28" Type="http://schemas.openxmlformats.org/officeDocument/2006/relationships/hyperlink" Target="https://www.bashh.org/resources/5/hiv_preexposure_prophylaxis_2025" TargetMode="External"/><Relationship Id="rId36" Type="http://schemas.openxmlformats.org/officeDocument/2006/relationships/hyperlink" Target="https://bnf.nice.org.uk/" TargetMode="External"/><Relationship Id="rId49" Type="http://schemas.openxmlformats.org/officeDocument/2006/relationships/hyperlink" Target="https://www.nice.org.uk/guidance/mpg2"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bashh.org/resources/5/hiv_preexposure_prophylaxis_2025" TargetMode="External"/><Relationship Id="rId44" Type="http://schemas.openxmlformats.org/officeDocument/2006/relationships/hyperlink" Target="https://prepster.info/" TargetMode="External"/><Relationship Id="rId52" Type="http://schemas.openxmlformats.org/officeDocument/2006/relationships/hyperlink" Target="https://www.england.nhs.uk/wp-content/uploads/2020/10/2112-PrEP-policy-statement-version-2.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Sexual Health</Workstream>
    <ReviewDate xmlns="f161132f-3af4-47f5-b28f-8075dccddbe8">2028-04-29T23:00:00+00:00</ReviewDate>
    <Versionnumber xmlns="f161132f-3af4-47f5-b28f-8075dccddbe8">3</Versionnumber>
    <ProgrammeBoardMeeting xmlns="f161132f-3af4-47f5-b28f-8075dccddbe8">2028-07-19T23:00:00+00:00</ProgrammeBoardMeeting>
    <PublishedDate xmlns="f161132f-3af4-47f5-b28f-8075dccddbe8">2025-10-31T00:00:00+00:00</PublishedDate>
    <Effectivefromdate xmlns="f161132f-3af4-47f5-b28f-8075dccddbe8">2025-10-31T00:00:00+00:00</Effectivefromdate>
    <RAGrating xmlns="f161132f-3af4-47f5-b28f-8075dccddbe8" xsi:nil="true"/>
    <ExpiryDate xmlns="f161132f-3af4-47f5-b28f-8075dccddbe8">2028-10-31T00:00:00+00:00</ExpiryDate>
    <Accessibletemplate xmlns="f161132f-3af4-47f5-b28f-8075dccddbe8">true</Accessibletemplate>
    <Cardcreated xmlns="f161132f-3af4-47f5-b28f-8075dccddbe8">
      <Url>https://digitalliverpool.sharepoint.com/sites/SPSDigital/Lists/Content%20Directory/DispForm.aspx?ID=2897</Url>
      <Description>PrEP card</Description>
    </Cardcreated>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6CB9F-8EA7-4303-9C7D-6AA9E03E0ED0}">
  <ds:schemaRefs>
    <ds:schemaRef ds:uri="http://purl.org/dc/elements/1.1/"/>
    <ds:schemaRef ds:uri="http://purl.org/dc/dcmitype/"/>
    <ds:schemaRef ds:uri="http://purl.org/dc/terms/"/>
    <ds:schemaRef ds:uri="http://schemas.microsoft.com/office/2006/documentManagement/types"/>
    <ds:schemaRef ds:uri="f161132f-3af4-47f5-b28f-8075dccddbe8"/>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3.xml><?xml version="1.0" encoding="utf-8"?>
<ds:datastoreItem xmlns:ds="http://schemas.openxmlformats.org/officeDocument/2006/customXml" ds:itemID="{7806FED4-272F-4B3F-8322-FE47BE8B0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23</TotalTime>
  <Pages>25</Pages>
  <Words>5992</Words>
  <Characters>34160</Characters>
  <Application>Microsoft Office Word</Application>
  <DocSecurity>0</DocSecurity>
  <Lines>284</Lines>
  <Paragraphs>80</Paragraphs>
  <ScaleCrop>false</ScaleCrop>
  <Company>NICE</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 Administrator</dc:creator>
  <cp:keywords/>
  <cp:lastModifiedBy>Rosie Furner</cp:lastModifiedBy>
  <cp:revision>31</cp:revision>
  <cp:lastPrinted>2017-03-27T13:58:00Z</cp:lastPrinted>
  <dcterms:created xsi:type="dcterms:W3CDTF">2025-10-30T16:30:00Z</dcterms:created>
  <dcterms:modified xsi:type="dcterms:W3CDTF">2026-04-28T13:43:00Z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