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46E41C" w:rsidR="00FE6E1E" w:rsidRPr="00FE6E1E" w:rsidRDefault="00FE6E1E" w:rsidP="369258F3">
      <w:pPr>
        <w:pStyle w:val="PGDNormal"/>
        <w:rPr>
          <w:highlight w:val="cyan"/>
        </w:rPr>
      </w:pPr>
      <w:bookmarkStart w:id="0" w:name="_Toc258333614"/>
      <w:bookmarkStart w:id="1" w:name="_Toc263684039"/>
      <w:bookmarkStart w:id="2" w:name="_Toc264471101"/>
    </w:p>
    <w:p w14:paraId="71B767E5" w14:textId="2B46791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1B7359">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279CF4FA" w:rsidR="007A1448" w:rsidRPr="00DF77C7" w:rsidRDefault="00D45B99" w:rsidP="006529F3">
      <w:pPr>
        <w:pStyle w:val="PGDTitle2"/>
      </w:pPr>
      <w:r w:rsidRPr="00D45B99">
        <w:rPr>
          <w:bCs/>
        </w:rPr>
        <w:t xml:space="preserve">Insertion of etonogestrel (e.g. Nexplanon®) 68mg subdermal implant for contraception </w:t>
      </w:r>
      <w:r w:rsidR="008B106D" w:rsidRPr="008B106D">
        <w:t xml:space="preserve">in </w:t>
      </w:r>
      <w:r w:rsidR="00E46E97" w:rsidRPr="00136582">
        <w:rPr>
          <w:highlight w:val="cyan"/>
        </w:rPr>
        <w:t>[</w:t>
      </w:r>
      <w:r w:rsidR="005C6771" w:rsidRPr="00DF77C7">
        <w:rPr>
          <w:highlight w:val="cyan"/>
        </w:rPr>
        <w:t>location/service/organisation</w:t>
      </w:r>
      <w:r w:rsidR="00E46E97" w:rsidRPr="00136582">
        <w:rPr>
          <w:highlight w:val="cyan"/>
        </w:rPr>
        <w:t>]</w:t>
      </w:r>
    </w:p>
    <w:p w14:paraId="446CEE0D" w14:textId="77777777" w:rsidR="006529F3" w:rsidRPr="00DF77C7" w:rsidRDefault="006529F3" w:rsidP="004C1FDF">
      <w:pPr>
        <w:pStyle w:val="PGDNormal"/>
      </w:pPr>
    </w:p>
    <w:p w14:paraId="70665420" w14:textId="69FE942A"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144AA2">
        <w:rPr>
          <w:rStyle w:val="PGDVersionNumber"/>
        </w:rPr>
        <w:t>Num</w:t>
      </w:r>
      <w:r w:rsidRPr="006025A3">
        <w:rPr>
          <w:rStyle w:val="PGDVersionNumber"/>
        </w:rPr>
        <w:t xml:space="preserve">ber </w:t>
      </w:r>
      <w:r w:rsidR="004A5C27" w:rsidRPr="006025A3">
        <w:rPr>
          <w:rStyle w:val="PGDVersionNumber"/>
        </w:rPr>
        <w:t>3.</w:t>
      </w:r>
      <w:r w:rsidR="005509F5" w:rsidRPr="006025A3">
        <w:rPr>
          <w:rStyle w:val="PGDVersionNumber"/>
        </w:rPr>
        <w:t>1</w:t>
      </w:r>
    </w:p>
    <w:p w14:paraId="20B630F6" w14:textId="77777777" w:rsidR="00813399" w:rsidRPr="00DF77C7" w:rsidRDefault="00813399" w:rsidP="00F57606">
      <w:pPr>
        <w:pStyle w:val="Tabletext"/>
      </w:pPr>
    </w:p>
    <w:p w14:paraId="4B28C630" w14:textId="1C130391" w:rsidR="00763E7A" w:rsidRPr="00401EDB" w:rsidRDefault="00763E7A" w:rsidP="00AD67D4">
      <w:pPr>
        <w:pStyle w:val="Tabletitle"/>
        <w:rPr>
          <w:sz w:val="22"/>
          <w:szCs w:val="22"/>
          <w:lang w:val="en-GB"/>
        </w:rPr>
      </w:pPr>
      <w:r w:rsidRPr="00401EDB">
        <w:rPr>
          <w:sz w:val="22"/>
          <w:szCs w:val="22"/>
          <w:lang w:val="en-GB"/>
        </w:rPr>
        <w:t>Change history</w:t>
      </w:r>
    </w:p>
    <w:p w14:paraId="2FE4E82B" w14:textId="77777777" w:rsidR="004A5C27" w:rsidRPr="00DF77C7" w:rsidRDefault="004A5C27"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D45B99"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C5A50FC" w14:textId="77777777" w:rsidR="00D45B99" w:rsidRPr="00FA0028" w:rsidRDefault="00D45B99" w:rsidP="00D45B99">
            <w:pPr>
              <w:pStyle w:val="Tabletext"/>
            </w:pPr>
            <w:r w:rsidRPr="00FA0028">
              <w:t>Version 1.1</w:t>
            </w:r>
          </w:p>
          <w:p w14:paraId="706980D9" w14:textId="4FE1A452" w:rsidR="00D45B99" w:rsidRPr="00044C6C" w:rsidRDefault="00D45B99" w:rsidP="00D45B99">
            <w:pPr>
              <w:pStyle w:val="Tabletext"/>
            </w:pPr>
            <w:r w:rsidRPr="00FA0028">
              <w:t xml:space="preserve">November 2020 </w:t>
            </w:r>
          </w:p>
        </w:tc>
        <w:tc>
          <w:tcPr>
            <w:tcW w:w="7087" w:type="dxa"/>
            <w:tcBorders>
              <w:top w:val="single" w:sz="4" w:space="0" w:color="auto"/>
              <w:left w:val="single" w:sz="4" w:space="0" w:color="auto"/>
              <w:bottom w:val="single" w:sz="4" w:space="0" w:color="auto"/>
              <w:right w:val="single" w:sz="4" w:space="0" w:color="auto"/>
            </w:tcBorders>
          </w:tcPr>
          <w:p w14:paraId="1A80F6F3" w14:textId="579CB9D5" w:rsidR="00D45B99" w:rsidRPr="003F15B0" w:rsidRDefault="00D45B99" w:rsidP="00D45B99">
            <w:pPr>
              <w:pStyle w:val="Tabletext"/>
            </w:pPr>
            <w:r w:rsidRPr="00FA0028">
              <w:t xml:space="preserve">Addition of acute porphyria to exclusion criteria </w:t>
            </w:r>
          </w:p>
        </w:tc>
      </w:tr>
      <w:tr w:rsidR="00D45B99"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82FE5E0" w14:textId="77777777" w:rsidR="00D45B99" w:rsidRPr="00FA0028" w:rsidRDefault="00D45B99" w:rsidP="00D45B99">
            <w:pPr>
              <w:pStyle w:val="Tabletext"/>
            </w:pPr>
            <w:r w:rsidRPr="00FA0028">
              <w:t>Version 1.2</w:t>
            </w:r>
          </w:p>
          <w:p w14:paraId="79F6B530" w14:textId="50928DFA" w:rsidR="00D45B99" w:rsidRPr="00044C6C" w:rsidRDefault="00D45B99" w:rsidP="00D45B99">
            <w:pPr>
              <w:pStyle w:val="Tabletext"/>
              <w:rPr>
                <w:lang w:val="en-GB"/>
              </w:rPr>
            </w:pPr>
            <w:r w:rsidRPr="00FA0028">
              <w:t>June 2021</w:t>
            </w:r>
          </w:p>
        </w:tc>
        <w:tc>
          <w:tcPr>
            <w:tcW w:w="7087" w:type="dxa"/>
            <w:tcBorders>
              <w:top w:val="single" w:sz="4" w:space="0" w:color="auto"/>
              <w:left w:val="single" w:sz="4" w:space="0" w:color="auto"/>
              <w:bottom w:val="single" w:sz="4" w:space="0" w:color="auto"/>
              <w:right w:val="single" w:sz="4" w:space="0" w:color="auto"/>
            </w:tcBorders>
          </w:tcPr>
          <w:p w14:paraId="1E0C37D5" w14:textId="77777777" w:rsidR="00D45B99" w:rsidRPr="00FA0028" w:rsidRDefault="00D45B99" w:rsidP="00D45B99">
            <w:pPr>
              <w:pStyle w:val="Tabletext"/>
            </w:pPr>
            <w:r w:rsidRPr="00FA0028">
              <w:t>Special considerations – addition of the following wording:</w:t>
            </w:r>
          </w:p>
          <w:p w14:paraId="0891E2D5" w14:textId="55C6BA26" w:rsidR="00D45B99" w:rsidRPr="008B106D" w:rsidRDefault="00D45B99" w:rsidP="00D45B99">
            <w:pPr>
              <w:pStyle w:val="Tabletext"/>
            </w:pPr>
            <w:r w:rsidRPr="00FA0028">
              <w:rPr>
                <w:i/>
              </w:rPr>
              <w:t>Other possible complications of insertion and removal procedures include local reaction, nerve damage, and deep or intramuscular insertion.</w:t>
            </w:r>
          </w:p>
        </w:tc>
      </w:tr>
      <w:tr w:rsidR="00D45B99"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84B4FB4" w14:textId="77777777" w:rsidR="00D45B99" w:rsidRPr="00E805FC" w:rsidRDefault="00D45B99" w:rsidP="00D45B99">
            <w:pPr>
              <w:pStyle w:val="Tabletext"/>
            </w:pPr>
            <w:r w:rsidRPr="00E805FC">
              <w:t>Version 2.0</w:t>
            </w:r>
          </w:p>
          <w:p w14:paraId="2F280948" w14:textId="4C3D5C45" w:rsidR="00D45B99" w:rsidRPr="00B1425A" w:rsidRDefault="00D45B99" w:rsidP="00D45B99">
            <w:pPr>
              <w:pStyle w:val="Tabletext"/>
            </w:pPr>
            <w:r w:rsidRPr="00E805FC">
              <w:t>May 2023</w:t>
            </w:r>
          </w:p>
        </w:tc>
        <w:tc>
          <w:tcPr>
            <w:tcW w:w="7087" w:type="dxa"/>
            <w:tcBorders>
              <w:top w:val="single" w:sz="4" w:space="0" w:color="auto"/>
              <w:left w:val="single" w:sz="4" w:space="0" w:color="auto"/>
              <w:bottom w:val="single" w:sz="4" w:space="0" w:color="auto"/>
              <w:right w:val="single" w:sz="4" w:space="0" w:color="auto"/>
            </w:tcBorders>
          </w:tcPr>
          <w:p w14:paraId="3F54A43A" w14:textId="3139DD6E" w:rsidR="00D45B99" w:rsidRPr="00B1425A" w:rsidRDefault="00D45B99" w:rsidP="00D45B99">
            <w:pPr>
              <w:pStyle w:val="Tabletext"/>
            </w:pPr>
            <w:r w:rsidRPr="00E805FC">
              <w:t>Updated template (no clinical changes to expired V1). Updated adverse effects and references. Removed statement relating to Covid-19. Minor changes to some wording and formatting. Aligned content with other PGDs for same or associated medicine / group. Updated PGD development group members.</w:t>
            </w:r>
          </w:p>
        </w:tc>
      </w:tr>
      <w:tr w:rsidR="00D45B99" w:rsidRPr="00404E02" w14:paraId="273DDF71"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C99833B" w14:textId="77777777" w:rsidR="00D45B99" w:rsidRPr="00E805FC" w:rsidRDefault="00D45B99" w:rsidP="00D45B99">
            <w:pPr>
              <w:pStyle w:val="Tabletext"/>
            </w:pPr>
            <w:r w:rsidRPr="00E805FC">
              <w:t>Version 2.1</w:t>
            </w:r>
          </w:p>
          <w:p w14:paraId="2B4ADCF1" w14:textId="784C3204" w:rsidR="00D45B99" w:rsidRPr="00044C6C" w:rsidRDefault="00D45B99" w:rsidP="00D45B99">
            <w:pPr>
              <w:pStyle w:val="Tabletext"/>
            </w:pPr>
            <w:r w:rsidRPr="00E805FC">
              <w:t>April 2024</w:t>
            </w:r>
          </w:p>
        </w:tc>
        <w:tc>
          <w:tcPr>
            <w:tcW w:w="7087" w:type="dxa"/>
            <w:tcBorders>
              <w:top w:val="single" w:sz="4" w:space="0" w:color="auto"/>
              <w:left w:val="single" w:sz="4" w:space="0" w:color="auto"/>
              <w:bottom w:val="single" w:sz="4" w:space="0" w:color="auto"/>
              <w:right w:val="single" w:sz="4" w:space="0" w:color="auto"/>
            </w:tcBorders>
          </w:tcPr>
          <w:p w14:paraId="720AE69C" w14:textId="759E2061" w:rsidR="00D45B99" w:rsidRPr="008B106D" w:rsidRDefault="00D45B99" w:rsidP="00D45B99">
            <w:pPr>
              <w:pStyle w:val="Tabletext"/>
            </w:pPr>
            <w:r w:rsidRPr="00E805FC">
              <w:t>Added note re low risk of breast cancer. Updated references. Updated SLWG.</w:t>
            </w:r>
          </w:p>
        </w:tc>
      </w:tr>
      <w:tr w:rsidR="00144AA2" w:rsidRPr="00144AA2" w14:paraId="1D2EC82A"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BD0052E" w14:textId="77777777" w:rsidR="004A5C27" w:rsidRPr="00144AA2" w:rsidRDefault="004A5C27" w:rsidP="00D45B99">
            <w:pPr>
              <w:pStyle w:val="Tabletext"/>
            </w:pPr>
            <w:r w:rsidRPr="00144AA2">
              <w:t>Version 3.0</w:t>
            </w:r>
          </w:p>
          <w:p w14:paraId="11C43809" w14:textId="5380EF15" w:rsidR="004A5C27" w:rsidRPr="00144AA2" w:rsidRDefault="00A6663A" w:rsidP="00D45B99">
            <w:pPr>
              <w:pStyle w:val="Tabletext"/>
            </w:pPr>
            <w:r w:rsidRPr="00144AA2">
              <w:t>April</w:t>
            </w:r>
            <w:r w:rsidR="004A5C27" w:rsidRPr="00144AA2">
              <w:t xml:space="preserve"> 2026</w:t>
            </w:r>
          </w:p>
        </w:tc>
        <w:tc>
          <w:tcPr>
            <w:tcW w:w="7087" w:type="dxa"/>
            <w:tcBorders>
              <w:top w:val="single" w:sz="4" w:space="0" w:color="auto"/>
              <w:left w:val="single" w:sz="4" w:space="0" w:color="auto"/>
              <w:bottom w:val="single" w:sz="4" w:space="0" w:color="auto"/>
              <w:right w:val="single" w:sz="4" w:space="0" w:color="auto"/>
            </w:tcBorders>
          </w:tcPr>
          <w:p w14:paraId="2FA662F3" w14:textId="72EF47C1" w:rsidR="001B7359" w:rsidRPr="00144AA2" w:rsidRDefault="002A34C4" w:rsidP="00DD4493">
            <w:pPr>
              <w:pStyle w:val="Tabletext"/>
            </w:pPr>
            <w:r w:rsidRPr="00144AA2">
              <w:t>Planned end-of-life review</w:t>
            </w:r>
            <w:r w:rsidR="00B0139D" w:rsidRPr="00144AA2">
              <w:t xml:space="preserve"> (no clinical changes from </w:t>
            </w:r>
            <w:r w:rsidR="00537F8C" w:rsidRPr="00144AA2">
              <w:t xml:space="preserve">expired </w:t>
            </w:r>
            <w:r w:rsidR="00B0139D" w:rsidRPr="00144AA2">
              <w:t>version</w:t>
            </w:r>
            <w:r w:rsidR="00BD4B5A" w:rsidRPr="00144AA2">
              <w:t xml:space="preserve"> 2.1</w:t>
            </w:r>
            <w:r w:rsidR="00B0139D" w:rsidRPr="00144AA2">
              <w:t>)</w:t>
            </w:r>
            <w:r w:rsidRPr="00144AA2">
              <w:t>.</w:t>
            </w:r>
            <w:r w:rsidR="006031DF" w:rsidRPr="00144AA2">
              <w:t xml:space="preserve"> </w:t>
            </w:r>
            <w:r w:rsidR="000E0ABA" w:rsidRPr="00144AA2">
              <w:rPr>
                <w:rFonts w:asciiTheme="minorHAnsi" w:eastAsiaTheme="minorHAnsi" w:hAnsiTheme="minorHAnsi" w:cstheme="minorBidi"/>
                <w:kern w:val="2"/>
                <w:sz w:val="24"/>
                <w:szCs w:val="24"/>
                <w:lang w:val="en-GB"/>
                <w14:ligatures w14:val="standardContextual"/>
              </w:rPr>
              <w:t xml:space="preserve"> </w:t>
            </w:r>
            <w:r w:rsidR="000E0ABA" w:rsidRPr="00144AA2">
              <w:rPr>
                <w:lang w:val="en-GB"/>
              </w:rPr>
              <w:t>Updated references to FSRH to CoSRH.</w:t>
            </w:r>
            <w:r w:rsidR="00DD4493" w:rsidRPr="00144AA2">
              <w:rPr>
                <w:lang w:val="en-GB"/>
              </w:rPr>
              <w:t xml:space="preserve"> </w:t>
            </w:r>
            <w:r w:rsidR="001B7359" w:rsidRPr="00144AA2">
              <w:t>Updated references. Updated SLWG</w:t>
            </w:r>
            <w:r w:rsidR="007B3D49" w:rsidRPr="00144AA2">
              <w:t xml:space="preserve"> membership</w:t>
            </w:r>
            <w:r w:rsidR="001B7359" w:rsidRPr="00144AA2">
              <w:t>.</w:t>
            </w:r>
          </w:p>
        </w:tc>
      </w:tr>
      <w:tr w:rsidR="005E6AAA" w:rsidRPr="00144AA2" w14:paraId="3976BE3B"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792E38E5" w14:textId="77777777" w:rsidR="005E6AAA" w:rsidRPr="006025A3" w:rsidRDefault="005E6AAA" w:rsidP="00D45B99">
            <w:pPr>
              <w:pStyle w:val="Tabletext"/>
            </w:pPr>
            <w:r w:rsidRPr="006025A3">
              <w:lastRenderedPageBreak/>
              <w:t>Version 3.1</w:t>
            </w:r>
          </w:p>
          <w:p w14:paraId="4C915788" w14:textId="2F4153FD" w:rsidR="005E6AAA" w:rsidRPr="006025A3" w:rsidRDefault="005E6AAA" w:rsidP="00D45B99">
            <w:pPr>
              <w:pStyle w:val="Tabletext"/>
            </w:pPr>
            <w:r w:rsidRPr="006025A3">
              <w:t>May 2026</w:t>
            </w:r>
          </w:p>
        </w:tc>
        <w:tc>
          <w:tcPr>
            <w:tcW w:w="7087" w:type="dxa"/>
            <w:tcBorders>
              <w:top w:val="single" w:sz="4" w:space="0" w:color="auto"/>
              <w:left w:val="single" w:sz="4" w:space="0" w:color="auto"/>
              <w:bottom w:val="single" w:sz="4" w:space="0" w:color="auto"/>
              <w:right w:val="single" w:sz="4" w:space="0" w:color="auto"/>
            </w:tcBorders>
          </w:tcPr>
          <w:p w14:paraId="7ED7D797" w14:textId="763447E1" w:rsidR="005E6AAA" w:rsidRPr="006025A3" w:rsidRDefault="00E22A40" w:rsidP="00DD4493">
            <w:pPr>
              <w:pStyle w:val="Tabletext"/>
            </w:pPr>
            <w:r w:rsidRPr="006025A3">
              <w:t xml:space="preserve">Duration of use amended </w:t>
            </w:r>
            <w:r w:rsidR="00891886">
              <w:t xml:space="preserve">to 5 years </w:t>
            </w:r>
            <w:r w:rsidRPr="006025A3">
              <w:t>in line with updated SPC and CoSRH statement.</w:t>
            </w:r>
          </w:p>
        </w:tc>
      </w:tr>
    </w:tbl>
    <w:p w14:paraId="7417367E" w14:textId="77777777" w:rsidR="004874F5" w:rsidRPr="00E22A40"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1B7359">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125"/>
        <w:gridCol w:w="4380"/>
      </w:tblGrid>
      <w:tr w:rsidR="00B1425A" w:rsidRPr="00DF77C7" w14:paraId="2D1BCEA8" w14:textId="77777777" w:rsidTr="1A3F1B2B">
        <w:tc>
          <w:tcPr>
            <w:tcW w:w="4125"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380" w:type="dxa"/>
            <w:tcBorders>
              <w:top w:val="single" w:sz="4" w:space="0" w:color="auto"/>
              <w:left w:val="single" w:sz="4" w:space="0" w:color="auto"/>
              <w:bottom w:val="single" w:sz="4" w:space="0" w:color="auto"/>
              <w:right w:val="single" w:sz="4" w:space="0" w:color="auto"/>
            </w:tcBorders>
          </w:tcPr>
          <w:p w14:paraId="1C02A90B" w14:textId="3AAB3599" w:rsidR="00B1425A" w:rsidRPr="00806A33" w:rsidRDefault="00B1425A" w:rsidP="00B1425A">
            <w:pPr>
              <w:pStyle w:val="Tabletext"/>
              <w:rPr>
                <w:lang w:val="en-GB"/>
              </w:rPr>
            </w:pPr>
            <w:r w:rsidRPr="00806A33">
              <w:rPr>
                <w:rFonts w:cs="Arial"/>
              </w:rPr>
              <w:t>1</w:t>
            </w:r>
            <w:r w:rsidRPr="00806A33">
              <w:rPr>
                <w:rFonts w:cs="Arial"/>
                <w:vertAlign w:val="superscript"/>
              </w:rPr>
              <w:t>st</w:t>
            </w:r>
            <w:r w:rsidRPr="00806A33">
              <w:rPr>
                <w:rFonts w:cs="Arial"/>
              </w:rPr>
              <w:t xml:space="preserve"> </w:t>
            </w:r>
            <w:r w:rsidR="00D45B99" w:rsidRPr="00806A33">
              <w:rPr>
                <w:rFonts w:cs="Arial"/>
              </w:rPr>
              <w:t>September</w:t>
            </w:r>
            <w:r w:rsidR="001C56A4" w:rsidRPr="00806A33">
              <w:rPr>
                <w:rFonts w:cs="Arial"/>
              </w:rPr>
              <w:t xml:space="preserve"> </w:t>
            </w:r>
            <w:r w:rsidRPr="00806A33">
              <w:rPr>
                <w:rFonts w:cs="Arial"/>
              </w:rPr>
              <w:t>202</w:t>
            </w:r>
            <w:r w:rsidR="001B7359" w:rsidRPr="00806A33">
              <w:rPr>
                <w:rFonts w:cs="Arial"/>
              </w:rPr>
              <w:t>6</w:t>
            </w:r>
          </w:p>
        </w:tc>
      </w:tr>
      <w:tr w:rsidR="00B1425A" w:rsidRPr="00DF77C7" w14:paraId="18F33630" w14:textId="77777777" w:rsidTr="1A3F1B2B">
        <w:tc>
          <w:tcPr>
            <w:tcW w:w="4125" w:type="dxa"/>
          </w:tcPr>
          <w:p w14:paraId="40ECC743" w14:textId="7F4BD51B" w:rsidR="00B1425A" w:rsidRPr="00DF77C7" w:rsidRDefault="00B1425A" w:rsidP="00B1425A">
            <w:pPr>
              <w:pStyle w:val="Tabletext"/>
              <w:rPr>
                <w:lang w:val="en-GB"/>
              </w:rPr>
            </w:pPr>
            <w:r w:rsidRPr="00DF77C7">
              <w:rPr>
                <w:lang w:val="en-GB"/>
              </w:rPr>
              <w:t>Review date</w:t>
            </w:r>
          </w:p>
        </w:tc>
        <w:tc>
          <w:tcPr>
            <w:tcW w:w="4380" w:type="dxa"/>
            <w:tcBorders>
              <w:top w:val="single" w:sz="4" w:space="0" w:color="auto"/>
              <w:left w:val="single" w:sz="4" w:space="0" w:color="auto"/>
              <w:bottom w:val="single" w:sz="4" w:space="0" w:color="auto"/>
              <w:right w:val="single" w:sz="4" w:space="0" w:color="auto"/>
            </w:tcBorders>
          </w:tcPr>
          <w:p w14:paraId="56A527C3" w14:textId="44B31142" w:rsidR="00B1425A" w:rsidRPr="00806A33" w:rsidRDefault="00B1425A" w:rsidP="00B1425A">
            <w:pPr>
              <w:pStyle w:val="Tabletext"/>
              <w:rPr>
                <w:lang w:val="en-GB"/>
              </w:rPr>
            </w:pPr>
            <w:r w:rsidRPr="00806A33">
              <w:rPr>
                <w:rFonts w:cs="Arial"/>
              </w:rPr>
              <w:t>1</w:t>
            </w:r>
            <w:r w:rsidRPr="00806A33">
              <w:rPr>
                <w:rFonts w:cs="Arial"/>
                <w:vertAlign w:val="superscript"/>
              </w:rPr>
              <w:t>st</w:t>
            </w:r>
            <w:r w:rsidRPr="00806A33">
              <w:rPr>
                <w:rFonts w:cs="Arial"/>
              </w:rPr>
              <w:t xml:space="preserve"> </w:t>
            </w:r>
            <w:r w:rsidR="00D45B99" w:rsidRPr="00806A33">
              <w:rPr>
                <w:rFonts w:cs="Arial"/>
              </w:rPr>
              <w:t xml:space="preserve">March </w:t>
            </w:r>
            <w:r w:rsidRPr="00806A33">
              <w:rPr>
                <w:rFonts w:cs="Arial"/>
              </w:rPr>
              <w:t>202</w:t>
            </w:r>
            <w:r w:rsidR="001B7359" w:rsidRPr="00806A33">
              <w:rPr>
                <w:rFonts w:cs="Arial"/>
              </w:rPr>
              <w:t>9</w:t>
            </w:r>
          </w:p>
        </w:tc>
      </w:tr>
      <w:tr w:rsidR="00B1425A" w:rsidRPr="00DF77C7" w14:paraId="0FB80BBA" w14:textId="77777777" w:rsidTr="1A3F1B2B">
        <w:tc>
          <w:tcPr>
            <w:tcW w:w="4125"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380" w:type="dxa"/>
            <w:tcBorders>
              <w:top w:val="single" w:sz="4" w:space="0" w:color="auto"/>
              <w:left w:val="single" w:sz="4" w:space="0" w:color="auto"/>
              <w:bottom w:val="single" w:sz="4" w:space="0" w:color="auto"/>
              <w:right w:val="single" w:sz="4" w:space="0" w:color="auto"/>
            </w:tcBorders>
          </w:tcPr>
          <w:p w14:paraId="58AA136C" w14:textId="080D4094" w:rsidR="00B1425A" w:rsidRPr="00806A33" w:rsidRDefault="00B1425A" w:rsidP="00B1425A">
            <w:pPr>
              <w:pStyle w:val="Tabletext"/>
              <w:rPr>
                <w:lang w:val="en-GB"/>
              </w:rPr>
            </w:pPr>
            <w:r w:rsidRPr="00806A33">
              <w:rPr>
                <w:rFonts w:cs="Arial"/>
              </w:rPr>
              <w:t>31</w:t>
            </w:r>
            <w:r w:rsidRPr="00806A33">
              <w:rPr>
                <w:rFonts w:cs="Arial"/>
                <w:vertAlign w:val="superscript"/>
              </w:rPr>
              <w:t>st</w:t>
            </w:r>
            <w:r w:rsidRPr="00806A33">
              <w:rPr>
                <w:rFonts w:cs="Arial"/>
              </w:rPr>
              <w:t xml:space="preserve"> </w:t>
            </w:r>
            <w:r w:rsidR="00D45B99" w:rsidRPr="00806A33">
              <w:rPr>
                <w:rFonts w:cs="Arial"/>
              </w:rPr>
              <w:t>August</w:t>
            </w:r>
            <w:r w:rsidRPr="00806A33">
              <w:rPr>
                <w:rFonts w:cs="Arial"/>
              </w:rPr>
              <w:t xml:space="preserve"> 202</w:t>
            </w:r>
            <w:r w:rsidR="001B7359" w:rsidRPr="00806A33">
              <w:rPr>
                <w:rFonts w:cs="Arial"/>
              </w:rPr>
              <w:t>9</w:t>
            </w:r>
          </w:p>
        </w:tc>
      </w:tr>
    </w:tbl>
    <w:p w14:paraId="22A68ADB" w14:textId="77777777" w:rsidR="00050C45" w:rsidRPr="00DF77C7" w:rsidRDefault="00050C45" w:rsidP="00F57606">
      <w:pPr>
        <w:pStyle w:val="Tabletext"/>
      </w:pPr>
    </w:p>
    <w:p w14:paraId="3AE659F6" w14:textId="590CEDCC"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6031DF">
        <w:t>College of</w:t>
      </w:r>
      <w:r w:rsidR="00B1425A" w:rsidRPr="00B1425A">
        <w:t xml:space="preserve"> Sexual and Reproductive Health</w:t>
      </w:r>
      <w:r w:rsidR="00D33063">
        <w:t>care</w:t>
      </w:r>
      <w:r w:rsidR="00B1425A" w:rsidRPr="00B1425A">
        <w:t xml:space="preserve"> (</w:t>
      </w:r>
      <w:r w:rsidR="001604FE" w:rsidRPr="0005700D">
        <w:t>Co</w:t>
      </w:r>
      <w:r w:rsidR="00B1425A" w:rsidRPr="0005700D">
        <w:t>SRH</w:t>
      </w:r>
      <w:r w:rsidR="00B1425A" w:rsidRPr="00B1425A">
        <w:t xml:space="preserve">) in </w:t>
      </w:r>
      <w:r w:rsidR="00806A33" w:rsidRPr="00806A33">
        <w:t>April</w:t>
      </w:r>
      <w:r w:rsidR="00B1425A" w:rsidRPr="00806A33">
        <w:t xml:space="preserve"> 202</w:t>
      </w:r>
      <w:r w:rsidR="006031DF" w:rsidRPr="00806A33">
        <w:t>6</w:t>
      </w:r>
      <w:r w:rsidR="00B1425A" w:rsidRPr="00806A33">
        <w:t>.</w:t>
      </w:r>
    </w:p>
    <w:p w14:paraId="3A13A1CF" w14:textId="5BB602A2" w:rsidR="00B1425A" w:rsidRPr="00F8408E"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F8408E">
        <w:rPr>
          <w:lang w:val="en-GB"/>
        </w:rPr>
        <w:fldChar w:fldCharType="begin"/>
      </w:r>
      <w:r w:rsidR="00F8408E">
        <w:rPr>
          <w:lang w:val="en-GB"/>
        </w:rPr>
        <w:instrText>HYPERLINK "https://www.sps.nhs.uk/home/guidance/patient-group-directions-and-legal-mechanisms/national-pgd-protocol-and-written-instructions-templates/"</w:instrText>
      </w:r>
      <w:r w:rsidR="00F8408E">
        <w:rPr>
          <w:lang w:val="en-GB"/>
        </w:rPr>
      </w:r>
      <w:r w:rsidR="00F8408E">
        <w:rPr>
          <w:lang w:val="en-GB"/>
        </w:rPr>
        <w:fldChar w:fldCharType="separate"/>
      </w:r>
      <w:r w:rsidR="00B1425A" w:rsidRPr="00F8408E">
        <w:rPr>
          <w:rStyle w:val="Hyperlink"/>
          <w:lang w:val="en-GB"/>
        </w:rPr>
        <w:t>SPS national PGD, protocol and written instructions templates webpage.</w:t>
      </w:r>
    </w:p>
    <w:p w14:paraId="6EA0E318" w14:textId="56512356" w:rsidR="00050C45" w:rsidRPr="00DF77C7" w:rsidRDefault="00F8408E"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89689D" w:rsidRPr="00DF77C7" w14:paraId="15F96AEB" w14:textId="77777777">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0C67E8A6" w14:textId="77777777" w:rsidR="0089689D" w:rsidRPr="008B4094" w:rsidRDefault="0089689D">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0954D198" w14:textId="77777777" w:rsidR="0089689D" w:rsidRPr="008B4094" w:rsidRDefault="0089689D">
            <w:pPr>
              <w:pStyle w:val="TableHeaderRow"/>
              <w:rPr>
                <w:rStyle w:val="TableHeaderColumn"/>
                <w:b/>
                <w:bCs/>
                <w:sz w:val="22"/>
              </w:rPr>
            </w:pPr>
            <w:r w:rsidRPr="008B4094">
              <w:rPr>
                <w:rStyle w:val="TableHeaderColumn"/>
                <w:b/>
                <w:bCs/>
                <w:sz w:val="22"/>
              </w:rPr>
              <w:t>Position</w:t>
            </w:r>
          </w:p>
        </w:tc>
      </w:tr>
      <w:tr w:rsidR="0089689D" w:rsidRPr="00DF77C7" w14:paraId="7A96CACB" w14:textId="77777777">
        <w:trPr>
          <w:trHeight w:val="413"/>
        </w:trPr>
        <w:tc>
          <w:tcPr>
            <w:tcW w:w="2297" w:type="dxa"/>
            <w:vAlign w:val="center"/>
          </w:tcPr>
          <w:p w14:paraId="1C8783C7" w14:textId="77777777" w:rsidR="0089689D" w:rsidRPr="00DF59C5" w:rsidRDefault="0089689D">
            <w:pPr>
              <w:pStyle w:val="Tabletext"/>
              <w:rPr>
                <w:rFonts w:eastAsia="Calibri"/>
                <w:lang w:val="en-GB"/>
              </w:rPr>
            </w:pPr>
            <w:r w:rsidRPr="0050579C">
              <w:t>Alison Crompton</w:t>
            </w:r>
          </w:p>
        </w:tc>
        <w:tc>
          <w:tcPr>
            <w:tcW w:w="6912" w:type="dxa"/>
            <w:vAlign w:val="center"/>
          </w:tcPr>
          <w:p w14:paraId="15D72AEF" w14:textId="77777777" w:rsidR="0089689D" w:rsidRPr="002416AD" w:rsidRDefault="0089689D">
            <w:pPr>
              <w:pStyle w:val="Tabletext"/>
              <w:rPr>
                <w:rFonts w:eastAsia="Calibri"/>
                <w:lang w:val="en-GB"/>
              </w:rPr>
            </w:pPr>
            <w:r w:rsidRPr="0050579C">
              <w:rPr>
                <w:rFonts w:cs="Arial"/>
              </w:rPr>
              <w:t>Community pharmacist</w:t>
            </w:r>
          </w:p>
        </w:tc>
      </w:tr>
      <w:tr w:rsidR="0089689D" w:rsidRPr="00DF77C7" w14:paraId="596ACF03" w14:textId="77777777">
        <w:trPr>
          <w:trHeight w:val="413"/>
        </w:trPr>
        <w:tc>
          <w:tcPr>
            <w:tcW w:w="2297" w:type="dxa"/>
            <w:vAlign w:val="center"/>
          </w:tcPr>
          <w:p w14:paraId="05EEC1E4" w14:textId="77777777" w:rsidR="0089689D" w:rsidRPr="00DF59C5" w:rsidRDefault="0089689D">
            <w:pPr>
              <w:pStyle w:val="Tabletext"/>
              <w:rPr>
                <w:rFonts w:eastAsia="Calibri"/>
                <w:lang w:val="en-GB"/>
              </w:rPr>
            </w:pPr>
            <w:r w:rsidRPr="00C749BF">
              <w:t>Bola Sotubo</w:t>
            </w:r>
          </w:p>
        </w:tc>
        <w:tc>
          <w:tcPr>
            <w:tcW w:w="6912" w:type="dxa"/>
            <w:vAlign w:val="center"/>
          </w:tcPr>
          <w:p w14:paraId="3390E9EC" w14:textId="77777777" w:rsidR="0089689D" w:rsidRPr="002416AD" w:rsidRDefault="0089689D">
            <w:pPr>
              <w:pStyle w:val="Tabletext"/>
              <w:rPr>
                <w:rFonts w:eastAsia="Calibri"/>
                <w:lang w:val="en-GB"/>
              </w:rPr>
            </w:pPr>
            <w:r w:rsidRPr="00C749BF">
              <w:rPr>
                <w:rFonts w:cs="Arial"/>
              </w:rPr>
              <w:t>NHS North East London ICB pharmacist</w:t>
            </w:r>
          </w:p>
        </w:tc>
      </w:tr>
      <w:tr w:rsidR="0089689D" w:rsidRPr="00DF77C7" w14:paraId="7132E662" w14:textId="77777777">
        <w:trPr>
          <w:trHeight w:val="382"/>
        </w:trPr>
        <w:tc>
          <w:tcPr>
            <w:tcW w:w="2297" w:type="dxa"/>
            <w:vAlign w:val="center"/>
          </w:tcPr>
          <w:p w14:paraId="137941ED" w14:textId="77777777" w:rsidR="0089689D" w:rsidRPr="00DF59C5" w:rsidRDefault="0089689D">
            <w:pPr>
              <w:pStyle w:val="Tabletext"/>
              <w:rPr>
                <w:lang w:val="en-GB"/>
              </w:rPr>
            </w:pPr>
            <w:r w:rsidRPr="00C749BF">
              <w:t>Dr Cindy Farmer</w:t>
            </w:r>
          </w:p>
        </w:tc>
        <w:tc>
          <w:tcPr>
            <w:tcW w:w="6912" w:type="dxa"/>
            <w:vAlign w:val="center"/>
          </w:tcPr>
          <w:p w14:paraId="2DE2CF2E" w14:textId="77777777" w:rsidR="0089689D" w:rsidRPr="002416AD" w:rsidRDefault="0089689D">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89689D" w:rsidRPr="00DF77C7" w14:paraId="20B14D04" w14:textId="77777777">
        <w:trPr>
          <w:trHeight w:val="383"/>
        </w:trPr>
        <w:tc>
          <w:tcPr>
            <w:tcW w:w="2297" w:type="dxa"/>
            <w:vAlign w:val="center"/>
          </w:tcPr>
          <w:p w14:paraId="48BD332A" w14:textId="77777777" w:rsidR="0089689D" w:rsidRPr="00DF59C5" w:rsidRDefault="0089689D">
            <w:pPr>
              <w:pStyle w:val="Tabletext"/>
              <w:rPr>
                <w:lang w:val="en-GB"/>
              </w:rPr>
            </w:pPr>
            <w:r w:rsidRPr="00C749BF">
              <w:t>Clare Livingstone</w:t>
            </w:r>
          </w:p>
        </w:tc>
        <w:tc>
          <w:tcPr>
            <w:tcW w:w="6912" w:type="dxa"/>
            <w:vAlign w:val="center"/>
          </w:tcPr>
          <w:p w14:paraId="1D60ABF3" w14:textId="77777777" w:rsidR="0089689D" w:rsidRPr="002416AD" w:rsidRDefault="0089689D">
            <w:pPr>
              <w:pStyle w:val="Tabletext"/>
              <w:rPr>
                <w:lang w:val="en-GB"/>
              </w:rPr>
            </w:pPr>
            <w:r w:rsidRPr="00D10926">
              <w:rPr>
                <w:rFonts w:cs="Arial"/>
              </w:rPr>
              <w:t>Royal College of Midwives (RCM)</w:t>
            </w:r>
          </w:p>
        </w:tc>
      </w:tr>
      <w:tr w:rsidR="0089689D" w:rsidRPr="00DF77C7" w14:paraId="5BDD2F5E" w14:textId="77777777">
        <w:trPr>
          <w:trHeight w:val="383"/>
        </w:trPr>
        <w:tc>
          <w:tcPr>
            <w:tcW w:w="2297" w:type="dxa"/>
            <w:vAlign w:val="center"/>
          </w:tcPr>
          <w:p w14:paraId="4CE44DB9" w14:textId="77777777" w:rsidR="0089689D" w:rsidRPr="00DF59C5" w:rsidRDefault="0089689D">
            <w:pPr>
              <w:pStyle w:val="Tabletext"/>
              <w:rPr>
                <w:lang w:val="en-GB"/>
              </w:rPr>
            </w:pPr>
            <w:r w:rsidRPr="00C749BF">
              <w:t>Dipti Patel</w:t>
            </w:r>
          </w:p>
        </w:tc>
        <w:tc>
          <w:tcPr>
            <w:tcW w:w="6912" w:type="dxa"/>
            <w:vAlign w:val="center"/>
          </w:tcPr>
          <w:p w14:paraId="6D867FAE" w14:textId="77777777" w:rsidR="0089689D" w:rsidRPr="002416AD" w:rsidRDefault="0089689D">
            <w:pPr>
              <w:pStyle w:val="Tabletext"/>
              <w:rPr>
                <w:lang w:val="en-GB"/>
              </w:rPr>
            </w:pPr>
            <w:r w:rsidRPr="00D10926">
              <w:t xml:space="preserve">Local authority pharmacist </w:t>
            </w:r>
          </w:p>
        </w:tc>
      </w:tr>
      <w:tr w:rsidR="0089689D" w:rsidRPr="00DF77C7" w14:paraId="7DA1127F" w14:textId="77777777">
        <w:trPr>
          <w:trHeight w:val="383"/>
        </w:trPr>
        <w:tc>
          <w:tcPr>
            <w:tcW w:w="2297" w:type="dxa"/>
            <w:vAlign w:val="center"/>
          </w:tcPr>
          <w:p w14:paraId="4F6F1E69" w14:textId="77777777" w:rsidR="0089689D" w:rsidRPr="00DF59C5" w:rsidRDefault="0089689D">
            <w:pPr>
              <w:pStyle w:val="Tabletext"/>
              <w:rPr>
                <w:lang w:val="en-GB"/>
              </w:rPr>
            </w:pPr>
            <w:r w:rsidRPr="00C749BF">
              <w:t>Emma Anderson</w:t>
            </w:r>
          </w:p>
        </w:tc>
        <w:tc>
          <w:tcPr>
            <w:tcW w:w="6912" w:type="dxa"/>
            <w:vAlign w:val="center"/>
          </w:tcPr>
          <w:p w14:paraId="74EE863F" w14:textId="77777777" w:rsidR="0089689D" w:rsidRPr="002416AD" w:rsidRDefault="0089689D">
            <w:pPr>
              <w:pStyle w:val="Tabletext"/>
              <w:rPr>
                <w:lang w:val="en-GB"/>
              </w:rPr>
            </w:pPr>
            <w:r w:rsidRPr="00D10926">
              <w:t>Centre for Postgraduate Pharmacy Education (CPPE)</w:t>
            </w:r>
          </w:p>
        </w:tc>
      </w:tr>
      <w:tr w:rsidR="0089689D" w:rsidRPr="00DF77C7" w14:paraId="22C676BF" w14:textId="77777777">
        <w:trPr>
          <w:trHeight w:val="383"/>
        </w:trPr>
        <w:tc>
          <w:tcPr>
            <w:tcW w:w="2297" w:type="dxa"/>
            <w:vAlign w:val="center"/>
          </w:tcPr>
          <w:p w14:paraId="274F9CD5" w14:textId="77777777" w:rsidR="0089689D" w:rsidRPr="00DF59C5" w:rsidRDefault="0089689D">
            <w:pPr>
              <w:pStyle w:val="Tabletext"/>
              <w:rPr>
                <w:rFonts w:eastAsia="Calibri"/>
                <w:szCs w:val="22"/>
                <w:lang w:val="en-GB"/>
              </w:rPr>
            </w:pPr>
            <w:r w:rsidRPr="00C749BF">
              <w:t>Heather Randle</w:t>
            </w:r>
          </w:p>
        </w:tc>
        <w:tc>
          <w:tcPr>
            <w:tcW w:w="6912" w:type="dxa"/>
            <w:vAlign w:val="center"/>
          </w:tcPr>
          <w:p w14:paraId="3440533F" w14:textId="77777777" w:rsidR="0089689D" w:rsidRPr="002416AD" w:rsidRDefault="0089689D">
            <w:pPr>
              <w:pStyle w:val="Tabletext"/>
              <w:rPr>
                <w:rFonts w:eastAsia="Calibri"/>
                <w:lang w:val="en-GB"/>
              </w:rPr>
            </w:pPr>
            <w:r w:rsidRPr="00121A81">
              <w:t>Royal College of Nursing</w:t>
            </w:r>
          </w:p>
        </w:tc>
      </w:tr>
      <w:tr w:rsidR="0089689D" w:rsidRPr="00DF77C7" w14:paraId="5E2DC1D1" w14:textId="77777777">
        <w:trPr>
          <w:trHeight w:val="383"/>
        </w:trPr>
        <w:tc>
          <w:tcPr>
            <w:tcW w:w="2297" w:type="dxa"/>
            <w:vAlign w:val="center"/>
          </w:tcPr>
          <w:p w14:paraId="32C65594" w14:textId="77777777" w:rsidR="0089689D" w:rsidRPr="00DF59C5" w:rsidRDefault="0089689D">
            <w:pPr>
              <w:pStyle w:val="Tabletext"/>
              <w:rPr>
                <w:rFonts w:eastAsia="Calibri"/>
                <w:lang w:val="en-GB"/>
              </w:rPr>
            </w:pPr>
            <w:r w:rsidRPr="00C749BF">
              <w:t>Julia Hogan</w:t>
            </w:r>
          </w:p>
        </w:tc>
        <w:tc>
          <w:tcPr>
            <w:tcW w:w="6912" w:type="dxa"/>
            <w:vAlign w:val="center"/>
          </w:tcPr>
          <w:p w14:paraId="7DCDE095" w14:textId="77777777" w:rsidR="0089689D" w:rsidRPr="00DF77C7" w:rsidRDefault="0089689D">
            <w:pPr>
              <w:pStyle w:val="Tabletext"/>
              <w:rPr>
                <w:rFonts w:eastAsia="Calibri"/>
                <w:lang w:val="en-GB"/>
              </w:rPr>
            </w:pPr>
            <w:r w:rsidRPr="0050579C">
              <w:t>Clinical Nurse Specialist</w:t>
            </w:r>
          </w:p>
        </w:tc>
      </w:tr>
      <w:tr w:rsidR="0089689D" w:rsidRPr="00094B2C" w14:paraId="3FF1F7A6" w14:textId="77777777">
        <w:trPr>
          <w:trHeight w:val="383"/>
        </w:trPr>
        <w:tc>
          <w:tcPr>
            <w:tcW w:w="2297" w:type="dxa"/>
            <w:vAlign w:val="center"/>
          </w:tcPr>
          <w:p w14:paraId="1C715B59" w14:textId="77777777" w:rsidR="0089689D" w:rsidRPr="00094B2C" w:rsidRDefault="0089689D">
            <w:pPr>
              <w:pStyle w:val="Tabletext"/>
              <w:rPr>
                <w:kern w:val="2"/>
              </w:rPr>
            </w:pPr>
            <w:r w:rsidRPr="00C749BF">
              <w:t>Kate Devonport</w:t>
            </w:r>
          </w:p>
        </w:tc>
        <w:tc>
          <w:tcPr>
            <w:tcW w:w="6912" w:type="dxa"/>
            <w:vAlign w:val="center"/>
          </w:tcPr>
          <w:p w14:paraId="43CA38CD" w14:textId="77777777" w:rsidR="0089689D" w:rsidRPr="00094B2C" w:rsidRDefault="0089689D">
            <w:pPr>
              <w:pStyle w:val="Tabletext"/>
              <w:rPr>
                <w:kern w:val="2"/>
              </w:rPr>
            </w:pPr>
            <w:r w:rsidRPr="00D04FDD">
              <w:t>National Unplanned Pregnancy Association (NUPAS)</w:t>
            </w:r>
          </w:p>
        </w:tc>
      </w:tr>
      <w:tr w:rsidR="00BD6A66" w:rsidRPr="00DF77C7" w14:paraId="3FF51341" w14:textId="77777777">
        <w:trPr>
          <w:trHeight w:val="383"/>
        </w:trPr>
        <w:tc>
          <w:tcPr>
            <w:tcW w:w="2297" w:type="dxa"/>
            <w:vAlign w:val="center"/>
          </w:tcPr>
          <w:p w14:paraId="40B679B7" w14:textId="77777777" w:rsidR="00BD6A66" w:rsidRPr="00DF59C5" w:rsidRDefault="00BD6A66" w:rsidP="00BD6A66">
            <w:pPr>
              <w:pStyle w:val="Tabletext"/>
              <w:rPr>
                <w:rFonts w:eastAsia="Calibri"/>
                <w:lang w:val="en-GB"/>
              </w:rPr>
            </w:pPr>
            <w:r w:rsidRPr="00C749BF">
              <w:rPr>
                <w:rFonts w:cs="Arial"/>
              </w:rPr>
              <w:t xml:space="preserve">Kirsty Armstrong  </w:t>
            </w:r>
          </w:p>
        </w:tc>
        <w:tc>
          <w:tcPr>
            <w:tcW w:w="6912" w:type="dxa"/>
            <w:vAlign w:val="center"/>
          </w:tcPr>
          <w:p w14:paraId="3368363A" w14:textId="2E9510C8" w:rsidR="00BD6A66" w:rsidRPr="002416AD" w:rsidRDefault="00BD6A66" w:rsidP="00BD6A66">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BD6A66" w:rsidRPr="00DF77C7" w14:paraId="08D1858E" w14:textId="77777777">
        <w:trPr>
          <w:trHeight w:val="383"/>
        </w:trPr>
        <w:tc>
          <w:tcPr>
            <w:tcW w:w="2297" w:type="dxa"/>
            <w:vAlign w:val="center"/>
          </w:tcPr>
          <w:p w14:paraId="37F089B1" w14:textId="77777777" w:rsidR="00BD6A66" w:rsidRPr="00DF59C5" w:rsidRDefault="00BD6A66" w:rsidP="00BD6A66">
            <w:pPr>
              <w:pStyle w:val="Tabletext"/>
              <w:rPr>
                <w:rFonts w:eastAsia="Calibri"/>
                <w:lang w:val="en-GB"/>
              </w:rPr>
            </w:pPr>
            <w:r w:rsidRPr="00C749BF">
              <w:t>Lisa Knight</w:t>
            </w:r>
          </w:p>
        </w:tc>
        <w:tc>
          <w:tcPr>
            <w:tcW w:w="6912" w:type="dxa"/>
            <w:vAlign w:val="center"/>
          </w:tcPr>
          <w:p w14:paraId="21DF266A" w14:textId="77777777" w:rsidR="00BD6A66" w:rsidRPr="002416AD" w:rsidRDefault="00BD6A66" w:rsidP="00BD6A66">
            <w:pPr>
              <w:pStyle w:val="Tabletext"/>
              <w:rPr>
                <w:rFonts w:eastAsia="Calibri"/>
                <w:color w:val="000000"/>
                <w:lang w:val="en-GB"/>
              </w:rPr>
            </w:pPr>
            <w:r w:rsidRPr="00D10926">
              <w:t xml:space="preserve">Community Health Services pharmacist </w:t>
            </w:r>
          </w:p>
        </w:tc>
      </w:tr>
      <w:tr w:rsidR="00BD6A66" w:rsidRPr="00DF77C7" w14:paraId="70DFAB62" w14:textId="77777777">
        <w:trPr>
          <w:trHeight w:val="428"/>
        </w:trPr>
        <w:tc>
          <w:tcPr>
            <w:tcW w:w="2297" w:type="dxa"/>
            <w:vAlign w:val="center"/>
          </w:tcPr>
          <w:p w14:paraId="68FD5247" w14:textId="77777777" w:rsidR="00BD6A66" w:rsidRPr="00C749BF" w:rsidRDefault="00BD6A66" w:rsidP="00BD6A66">
            <w:pPr>
              <w:pStyle w:val="Tabletext"/>
            </w:pPr>
            <w:r w:rsidRPr="00C749BF">
              <w:t>Michelle Jenkins</w:t>
            </w:r>
          </w:p>
          <w:p w14:paraId="594A68C0" w14:textId="77777777" w:rsidR="00BD6A66" w:rsidRPr="00DF59C5" w:rsidRDefault="00BD6A66" w:rsidP="00BD6A66">
            <w:pPr>
              <w:pStyle w:val="Tabletext"/>
              <w:rPr>
                <w:rFonts w:eastAsia="Calibri"/>
                <w:lang w:val="en-GB"/>
              </w:rPr>
            </w:pPr>
          </w:p>
        </w:tc>
        <w:tc>
          <w:tcPr>
            <w:tcW w:w="6912" w:type="dxa"/>
            <w:vAlign w:val="center"/>
          </w:tcPr>
          <w:p w14:paraId="16A16A5D" w14:textId="77777777" w:rsidR="00BD6A66" w:rsidRDefault="00BD6A66" w:rsidP="00BD6A66">
            <w:pPr>
              <w:pStyle w:val="Tabletext"/>
            </w:pPr>
            <w:r>
              <w:t>C</w:t>
            </w:r>
            <w:r w:rsidRPr="005E2D3D">
              <w:t xml:space="preserve">linical Nurse </w:t>
            </w:r>
            <w:r>
              <w:t>S</w:t>
            </w:r>
            <w:r w:rsidRPr="005E2D3D">
              <w:t>pecialist Sexual Health Blackpool Teaching Hospitals</w:t>
            </w:r>
            <w:r>
              <w:t xml:space="preserve">, and member of </w:t>
            </w:r>
          </w:p>
          <w:p w14:paraId="497A38BE" w14:textId="77777777" w:rsidR="00BD6A66" w:rsidRPr="002416AD" w:rsidRDefault="00BD6A66" w:rsidP="00BD6A6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BD6A66" w:rsidRPr="00DF77C7" w14:paraId="0F484B36" w14:textId="77777777">
        <w:trPr>
          <w:trHeight w:val="331"/>
        </w:trPr>
        <w:tc>
          <w:tcPr>
            <w:tcW w:w="2297" w:type="dxa"/>
            <w:vAlign w:val="center"/>
          </w:tcPr>
          <w:p w14:paraId="4FBED10D" w14:textId="77777777" w:rsidR="00BD6A66" w:rsidRPr="00900916" w:rsidRDefault="00BD6A66" w:rsidP="00BD6A66">
            <w:pPr>
              <w:pStyle w:val="Tabletext"/>
            </w:pPr>
            <w:r w:rsidRPr="00C749BF">
              <w:t>Portia Jackson</w:t>
            </w:r>
          </w:p>
        </w:tc>
        <w:tc>
          <w:tcPr>
            <w:tcW w:w="6912" w:type="dxa"/>
            <w:vAlign w:val="center"/>
          </w:tcPr>
          <w:p w14:paraId="6666C2B3" w14:textId="77777777" w:rsidR="00BD6A66" w:rsidRPr="00900916" w:rsidRDefault="00BD6A66" w:rsidP="00BD6A66">
            <w:pPr>
              <w:pStyle w:val="Tabletext"/>
            </w:pPr>
            <w:r w:rsidRPr="00121A81">
              <w:t>Lead Pharmacist iCaSH, Cambridgeshire Community Services</w:t>
            </w:r>
          </w:p>
        </w:tc>
      </w:tr>
      <w:tr w:rsidR="00BD6A66" w:rsidRPr="00DF77C7" w14:paraId="31816047" w14:textId="77777777">
        <w:trPr>
          <w:trHeight w:val="331"/>
        </w:trPr>
        <w:tc>
          <w:tcPr>
            <w:tcW w:w="2297" w:type="dxa"/>
            <w:vAlign w:val="center"/>
          </w:tcPr>
          <w:p w14:paraId="637A0598" w14:textId="77777777" w:rsidR="00BD6A66" w:rsidRPr="00900916" w:rsidRDefault="00BD6A66" w:rsidP="00BD6A66">
            <w:pPr>
              <w:pStyle w:val="Tabletext"/>
            </w:pPr>
            <w:r w:rsidRPr="00121A81">
              <w:t>Rachel Logan</w:t>
            </w:r>
          </w:p>
        </w:tc>
        <w:tc>
          <w:tcPr>
            <w:tcW w:w="6912" w:type="dxa"/>
            <w:vAlign w:val="center"/>
          </w:tcPr>
          <w:p w14:paraId="5B359426" w14:textId="77777777" w:rsidR="00BD6A66" w:rsidRPr="00900916" w:rsidRDefault="00BD6A66" w:rsidP="00BD6A66">
            <w:pPr>
              <w:pStyle w:val="Tabletext"/>
            </w:pPr>
            <w:r w:rsidRPr="00121A81">
              <w:t>Senior Pharmacist, BPAS</w:t>
            </w:r>
          </w:p>
        </w:tc>
      </w:tr>
      <w:tr w:rsidR="00BD6A66" w:rsidRPr="00DF77C7" w14:paraId="11193ED7" w14:textId="77777777">
        <w:trPr>
          <w:trHeight w:val="331"/>
        </w:trPr>
        <w:tc>
          <w:tcPr>
            <w:tcW w:w="2297" w:type="dxa"/>
            <w:vAlign w:val="center"/>
          </w:tcPr>
          <w:p w14:paraId="4B5761E7" w14:textId="77777777" w:rsidR="00BD6A66" w:rsidRPr="00900916" w:rsidRDefault="00BD6A66" w:rsidP="00BD6A66">
            <w:pPr>
              <w:pStyle w:val="Tabletext"/>
            </w:pPr>
            <w:r>
              <w:t>Tanya Lane</w:t>
            </w:r>
          </w:p>
        </w:tc>
        <w:tc>
          <w:tcPr>
            <w:tcW w:w="6912" w:type="dxa"/>
            <w:vAlign w:val="center"/>
          </w:tcPr>
          <w:p w14:paraId="7253BA26" w14:textId="77777777" w:rsidR="00BD6A66" w:rsidRPr="00900916" w:rsidRDefault="00BD6A66" w:rsidP="00BD6A66">
            <w:pPr>
              <w:pStyle w:val="Tabletext"/>
            </w:pPr>
            <w:r>
              <w:t>Co</w:t>
            </w:r>
            <w:r w:rsidRPr="00121A81">
              <w:t xml:space="preserve">SRH Registered Trainer MSI </w:t>
            </w:r>
            <w:r>
              <w:t>R</w:t>
            </w:r>
            <w:r w:rsidRPr="00121A81">
              <w:t>eproductive Choices</w:t>
            </w:r>
          </w:p>
        </w:tc>
      </w:tr>
      <w:tr w:rsidR="00BD6A66" w:rsidRPr="00DF77C7" w14:paraId="076E556F" w14:textId="77777777">
        <w:trPr>
          <w:trHeight w:val="394"/>
        </w:trPr>
        <w:tc>
          <w:tcPr>
            <w:tcW w:w="2297" w:type="dxa"/>
            <w:vAlign w:val="center"/>
          </w:tcPr>
          <w:p w14:paraId="108C7B7A" w14:textId="77777777" w:rsidR="00BD6A66" w:rsidRPr="00900916" w:rsidRDefault="00BD6A66" w:rsidP="00BD6A66">
            <w:pPr>
              <w:pStyle w:val="Tabletext"/>
            </w:pPr>
            <w:r w:rsidRPr="00D10926">
              <w:t xml:space="preserve">Jo Jenkins </w:t>
            </w:r>
          </w:p>
        </w:tc>
        <w:tc>
          <w:tcPr>
            <w:tcW w:w="6912" w:type="dxa"/>
            <w:vAlign w:val="center"/>
          </w:tcPr>
          <w:p w14:paraId="7869A1BA" w14:textId="77777777" w:rsidR="00BD6A66" w:rsidRPr="00900916" w:rsidRDefault="00BD6A66" w:rsidP="00BD6A66">
            <w:pPr>
              <w:pStyle w:val="Tabletext"/>
            </w:pPr>
            <w:r w:rsidRPr="00121A81">
              <w:t>Associate Director Medicines Governance</w:t>
            </w:r>
            <w:r>
              <w:t>,</w:t>
            </w:r>
            <w:r w:rsidRPr="00121A81">
              <w:t> Medicines Use and Safety</w:t>
            </w:r>
            <w:r>
              <w:t xml:space="preserve">, </w:t>
            </w:r>
            <w:r w:rsidRPr="00D10926">
              <w:t>Specialist Pharmacy Service</w:t>
            </w:r>
          </w:p>
        </w:tc>
      </w:tr>
      <w:tr w:rsidR="00BD6A66" w:rsidRPr="00DF77C7" w14:paraId="1E11717D" w14:textId="77777777">
        <w:trPr>
          <w:trHeight w:val="436"/>
        </w:trPr>
        <w:tc>
          <w:tcPr>
            <w:tcW w:w="2297" w:type="dxa"/>
            <w:vAlign w:val="center"/>
          </w:tcPr>
          <w:p w14:paraId="2ED0365A" w14:textId="77777777" w:rsidR="00BD6A66" w:rsidRPr="00900916" w:rsidRDefault="00BD6A66" w:rsidP="00BD6A66">
            <w:pPr>
              <w:pStyle w:val="Tabletext"/>
            </w:pPr>
            <w:r w:rsidRPr="00C749BF">
              <w:lastRenderedPageBreak/>
              <w:t>Kieran Reynolds</w:t>
            </w:r>
          </w:p>
        </w:tc>
        <w:tc>
          <w:tcPr>
            <w:tcW w:w="6912" w:type="dxa"/>
            <w:vAlign w:val="center"/>
          </w:tcPr>
          <w:p w14:paraId="04C1E8ED" w14:textId="77777777" w:rsidR="00BD6A66" w:rsidRPr="00900916" w:rsidRDefault="00BD6A66" w:rsidP="00BD6A66">
            <w:pPr>
              <w:pStyle w:val="Tabletext"/>
            </w:pPr>
            <w:r w:rsidRPr="00121A81">
              <w:t>Advanced Specialist Pharmacist - Medicines Governance</w:t>
            </w:r>
            <w:r>
              <w:t>,</w:t>
            </w:r>
            <w:r w:rsidRPr="00121A81">
              <w:t> </w:t>
            </w:r>
            <w:r w:rsidRPr="00D10926">
              <w:t>Specialist Pharmacy Service</w:t>
            </w:r>
          </w:p>
        </w:tc>
      </w:tr>
      <w:tr w:rsidR="00BD6A66" w:rsidRPr="00DF77C7" w14:paraId="364DAB5A" w14:textId="77777777">
        <w:trPr>
          <w:trHeight w:val="458"/>
        </w:trPr>
        <w:tc>
          <w:tcPr>
            <w:tcW w:w="2297" w:type="dxa"/>
            <w:vAlign w:val="center"/>
          </w:tcPr>
          <w:p w14:paraId="1E3B9464" w14:textId="77777777" w:rsidR="00BD6A66" w:rsidRPr="008B4094" w:rsidRDefault="00BD6A66" w:rsidP="00BD6A66">
            <w:pPr>
              <w:pStyle w:val="Tabletext"/>
              <w:rPr>
                <w:i/>
                <w:iCs/>
              </w:rPr>
            </w:pPr>
            <w:r w:rsidRPr="00C749BF">
              <w:t>Rosie Furner (Working Group Co-Ordinator)</w:t>
            </w:r>
          </w:p>
        </w:tc>
        <w:tc>
          <w:tcPr>
            <w:tcW w:w="6912" w:type="dxa"/>
            <w:vAlign w:val="center"/>
          </w:tcPr>
          <w:p w14:paraId="6EB87AD8" w14:textId="5AFDD032" w:rsidR="00BD6A66" w:rsidRPr="00900916" w:rsidRDefault="00401EDB" w:rsidP="00BD6A66">
            <w:pPr>
              <w:pStyle w:val="Tabletext"/>
            </w:pPr>
            <w:r w:rsidRPr="00121A81">
              <w:t>Advanced Specialist Pharmacist - Medicines Governance</w:t>
            </w:r>
            <w:r>
              <w:t>,</w:t>
            </w:r>
            <w:r w:rsidRPr="00121A81">
              <w:t> </w:t>
            </w:r>
            <w:r w:rsidRPr="00D10926">
              <w:t>Specialist Pharmacy Service</w:t>
            </w:r>
          </w:p>
        </w:tc>
      </w:tr>
      <w:tr w:rsidR="00BD6A66" w:rsidRPr="00DF77C7" w14:paraId="5B51D090" w14:textId="77777777">
        <w:trPr>
          <w:trHeight w:val="362"/>
        </w:trPr>
        <w:tc>
          <w:tcPr>
            <w:tcW w:w="2297" w:type="dxa"/>
            <w:vAlign w:val="center"/>
          </w:tcPr>
          <w:p w14:paraId="5CB37156" w14:textId="77777777" w:rsidR="00BD6A66" w:rsidRPr="00900916" w:rsidRDefault="00BD6A66" w:rsidP="00BD6A66">
            <w:pPr>
              <w:pStyle w:val="Tabletext"/>
            </w:pPr>
            <w:r w:rsidRPr="00D10926">
              <w:t xml:space="preserve">Sandra Wolper </w:t>
            </w:r>
          </w:p>
        </w:tc>
        <w:tc>
          <w:tcPr>
            <w:tcW w:w="6912" w:type="dxa"/>
            <w:vAlign w:val="center"/>
          </w:tcPr>
          <w:p w14:paraId="6B0FE1AE" w14:textId="77777777" w:rsidR="00BD6A66" w:rsidRPr="00900916" w:rsidRDefault="00BD6A66" w:rsidP="00BD6A6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260F85A7"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sidR="00813399" w:rsidRPr="00867767">
        <w:rPr>
          <w:highlight w:val="yellow"/>
          <w:lang w:val="en-GB"/>
        </w:rPr>
        <w:t>.</w:t>
      </w:r>
      <w:r w:rsidRPr="00867767">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CF14FD">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1" w:history="1">
        <w:r w:rsidRPr="00DF77C7">
          <w:rPr>
            <w:rStyle w:val="Hyperlink"/>
            <w:highlight w:val="yellow"/>
            <w:lang w:val="en-GB"/>
          </w:rPr>
          <w:t>NICE MPG2 PGD 2017</w:t>
        </w:r>
      </w:hyperlink>
      <w:r w:rsidRPr="00DF77C7">
        <w:rPr>
          <w:highlight w:val="yellow"/>
          <w:lang w:val="en-GB"/>
        </w:rPr>
        <w:t>.</w:t>
      </w:r>
      <w:r w:rsidR="005E6491" w:rsidRPr="00867767">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2"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CF14FD">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CF14FD">
        <w:rPr>
          <w:highlight w:val="yellow"/>
          <w:lang w:val="en-GB"/>
        </w:rPr>
        <w:t>.</w:t>
      </w:r>
      <w:r w:rsidR="00E46E97" w:rsidRPr="00CF14FD">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3A847E5"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3"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EB69EA2" w14:textId="70FAB1F9" w:rsidR="00D45B99" w:rsidRPr="00D45B99" w:rsidRDefault="00822895" w:rsidP="00D45B99">
            <w:pPr>
              <w:pStyle w:val="Tabletext"/>
            </w:pPr>
            <w:r w:rsidRPr="00822895">
              <w:rPr>
                <w:lang w:val="en-GB"/>
              </w:rPr>
              <w:t xml:space="preserve">Recommended requirement for training would be successful completion of a relevant contraception module/course accredited or endorsed by the </w:t>
            </w:r>
            <w:r w:rsidR="00CF14FD">
              <w:rPr>
                <w:lang w:val="en-GB"/>
              </w:rPr>
              <w:t>Co</w:t>
            </w:r>
            <w:r w:rsidRPr="00822895">
              <w:rPr>
                <w:lang w:val="en-GB"/>
              </w:rPr>
              <w:t xml:space="preserve">SRH, CPPE or a university or as advised in the RCN training directory.  </w:t>
            </w:r>
            <w:r w:rsidR="00D45B99" w:rsidRPr="00D45B99">
              <w:t xml:space="preserve">In addition, completion of the </w:t>
            </w:r>
            <w:r w:rsidR="00CF14FD">
              <w:t>Co</w:t>
            </w:r>
            <w:r w:rsidR="00D45B99" w:rsidRPr="00D45B99">
              <w:t xml:space="preserve">SRH Letter of competence (LOC) in Subdermal implants (LOC SDI-IR/LOC SDI-IO) or locally agreed additional training and been assessed as competent at the insertion and removal, if applicable, of the subdermal implant.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4"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64BA238B" w:rsidR="00822895" w:rsidRPr="00822895" w:rsidRDefault="00822895" w:rsidP="00822895">
            <w:pPr>
              <w:pStyle w:val="Tabletext"/>
              <w:rPr>
                <w:highlight w:val="cyan"/>
              </w:rPr>
            </w:pPr>
            <w:r>
              <w:rPr>
                <w:highlight w:val="cyan"/>
              </w:rPr>
              <w:t>[</w:t>
            </w:r>
            <w:r w:rsidRPr="00822895">
              <w:rPr>
                <w:highlight w:val="cyan"/>
              </w:rPr>
              <w:t>Individuals working under this PGD will be required to administer local anaesthesia in line with local protocols/PGDs.</w:t>
            </w:r>
            <w:r>
              <w:rPr>
                <w:highlight w:val="cyan"/>
              </w:rPr>
              <w:t>]</w:t>
            </w:r>
          </w:p>
          <w:p w14:paraId="7677DD9B" w14:textId="77777777" w:rsidR="00822895" w:rsidRDefault="00822895" w:rsidP="00FE6E1E">
            <w:pPr>
              <w:pStyle w:val="Tabletext"/>
              <w:rPr>
                <w:rStyle w:val="Hyperlink"/>
                <w:highlight w:val="cyan"/>
              </w:rPr>
            </w:pPr>
          </w:p>
          <w:p w14:paraId="1D10F78C" w14:textId="31514839" w:rsidR="00D45B99" w:rsidRPr="00D45B99" w:rsidRDefault="00D45B99" w:rsidP="00D45B99">
            <w:pPr>
              <w:pStyle w:val="Tabletext"/>
            </w:pPr>
            <w:r w:rsidRPr="00D45B99">
              <w:t xml:space="preserve">The healthcare professional must keep up to date with current </w:t>
            </w:r>
            <w:r w:rsidR="00CF14FD">
              <w:t>Co</w:t>
            </w:r>
            <w:r w:rsidRPr="00D45B99">
              <w:t>SRH guidance on the insertion site, including any relevant MHRA Drug Safety Updates.</w:t>
            </w:r>
          </w:p>
          <w:p w14:paraId="4F58CF2E" w14:textId="77777777" w:rsidR="00D45B99" w:rsidRPr="00FE6E1E" w:rsidRDefault="00D45B99" w:rsidP="00FE6E1E">
            <w:pPr>
              <w:pStyle w:val="Tabletext"/>
              <w:rPr>
                <w:rStyle w:val="Hyperlink"/>
                <w:highlight w:val="cyan"/>
              </w:rPr>
            </w:pPr>
          </w:p>
          <w:p w14:paraId="017F4CD6" w14:textId="32E167F6" w:rsidR="00B81529" w:rsidRDefault="0060182D"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49EF7552" w14:textId="77777777" w:rsidR="0060182D" w:rsidRDefault="0060182D"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 xml:space="preserve">The healthcare professional must ensure that they have an up to date certificate for Basic Life Support (BLS) and </w:t>
            </w:r>
            <w:r w:rsidRPr="00822895">
              <w:rPr>
                <w:lang w:val="en-GB"/>
              </w:rPr>
              <w:lastRenderedPageBreak/>
              <w:t>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40F51BE8" w:rsidR="00822895" w:rsidRPr="00822895" w:rsidRDefault="00822895" w:rsidP="00822895">
            <w:pPr>
              <w:pStyle w:val="Tabletext"/>
              <w:rPr>
                <w:b/>
              </w:rPr>
            </w:pPr>
            <w:r w:rsidRPr="00822895">
              <w:t>Individuals operating under this PGD must be assessed as competent (see Appendix A) or complete a self-</w:t>
            </w:r>
            <w:r w:rsidRPr="004D0D87">
              <w:t xml:space="preserve">declaration of competence for </w:t>
            </w:r>
            <w:r w:rsidR="001F76B8" w:rsidRPr="004D0D87">
              <w:t>etonogestrel implant</w:t>
            </w:r>
            <w:r w:rsidRPr="004D0D87">
              <w:t xml:space="preserve"> insertion</w:t>
            </w:r>
            <w:r w:rsidR="00316A7A">
              <w:t>/removal</w:t>
            </w:r>
            <w:r w:rsidRPr="004D0D87">
              <w:t>.</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4D0D87">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4D0D87">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1D4CFC76" w14:textId="0D9C1A29" w:rsidR="000C38D9" w:rsidRDefault="000C38D9" w:rsidP="000C38D9">
            <w:pPr>
              <w:pStyle w:val="Bulletindent1"/>
            </w:pPr>
            <w:r>
              <w:t>Where appropriate i</w:t>
            </w:r>
            <w:r w:rsidRPr="00C8124E">
              <w:t xml:space="preserve">ndividuals requiring insertion of </w:t>
            </w:r>
            <w:r>
              <w:t xml:space="preserve">this </w:t>
            </w:r>
            <w:r w:rsidRPr="00C8124E">
              <w:t xml:space="preserve">subdermal contraceptive implant should also meet the inclusion criteria of the </w:t>
            </w:r>
            <w:hyperlink r:id="rId16" w:history="1">
              <w:r w:rsidR="001C56A4" w:rsidRPr="001C56A4">
                <w:rPr>
                  <w:rStyle w:val="Hyperlink"/>
                </w:rPr>
                <w:t>lidocaine 1% PGD template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7FF9AEAB" w14:textId="72396221" w:rsidR="00617AA0" w:rsidRPr="00CE57EC" w:rsidRDefault="00617AA0" w:rsidP="000C38D9">
            <w:pPr>
              <w:pStyle w:val="Bulletindent1"/>
              <w:rPr>
                <w:rFonts w:eastAsia="Arial"/>
              </w:rPr>
            </w:pPr>
            <w:r w:rsidRPr="00CE57EC">
              <w:rPr>
                <w:rFonts w:eastAsia="Arial"/>
              </w:rPr>
              <w:t xml:space="preserve">Known hypersensitivity to an active ingredient or to any constituent of the product </w:t>
            </w:r>
            <w:r w:rsidRPr="00CE57EC">
              <w:t>– see the</w:t>
            </w:r>
            <w:r w:rsidR="00773410" w:rsidRPr="00CE57EC">
              <w:t xml:space="preserve"> </w:t>
            </w:r>
            <w:hyperlink r:id="rId17" w:history="1">
              <w:r w:rsidR="00773410" w:rsidRPr="000C38D9">
                <w:rPr>
                  <w:rStyle w:val="Hyperlink"/>
                </w:rPr>
                <w:t>Summary of Product Characteristics</w:t>
              </w:r>
              <w:r w:rsidR="00CE57EC" w:rsidRPr="000C38D9">
                <w:rPr>
                  <w:rStyle w:val="Hyperlink"/>
                </w:rPr>
                <w:t xml:space="preserve"> (SmPC) </w:t>
              </w:r>
              <w:r w:rsidR="00773410" w:rsidRPr="000C38D9">
                <w:rPr>
                  <w:rStyle w:val="Hyperlink"/>
                </w:rPr>
                <w:t xml:space="preserve"> which can be accessed on </w:t>
              </w:r>
              <w:r w:rsidR="00773410" w:rsidRPr="000C38D9">
                <w:rPr>
                  <w:rStyle w:val="Hyperlink"/>
                  <w:kern w:val="2"/>
                </w:rPr>
                <w:t>the EMC website</w:t>
              </w:r>
            </w:hyperlink>
          </w:p>
          <w:p w14:paraId="39A2CB03" w14:textId="6C159185" w:rsidR="000C38D9" w:rsidRPr="004F5D1D" w:rsidRDefault="000C38D9" w:rsidP="000C38D9">
            <w:pPr>
              <w:pStyle w:val="Bulletindent1"/>
            </w:pPr>
            <w:r w:rsidRPr="004F5D1D">
              <w:t>Established pregnancy. Note</w:t>
            </w:r>
            <w:r w:rsidR="00B370D2">
              <w:t xml:space="preserve"> </w:t>
            </w:r>
            <w:r w:rsidRPr="004F5D1D">
              <w:t>-</w:t>
            </w:r>
            <w:r w:rsidR="00B370D2">
              <w:t xml:space="preserve"> </w:t>
            </w:r>
            <w:r w:rsidRPr="004F5D1D">
              <w:t>risk of pregnancy with a negative pregnancy test is not an absolute exclusion.</w:t>
            </w:r>
          </w:p>
          <w:p w14:paraId="3552FCF2" w14:textId="77777777" w:rsidR="000C38D9" w:rsidRDefault="000C38D9" w:rsidP="000C38D9">
            <w:pPr>
              <w:pStyle w:val="Bulletindent1"/>
              <w:rPr>
                <w:lang w:val="en-US"/>
              </w:rPr>
            </w:pPr>
            <w:r w:rsidRPr="004F5D1D">
              <w:rPr>
                <w:lang w:val="en-US"/>
              </w:rPr>
              <w:t xml:space="preserve">Unexplained vaginal bleeding (suspicious of serious condition) before </w:t>
            </w:r>
            <w:r w:rsidRPr="003A4896">
              <w:rPr>
                <w:lang w:val="en-US"/>
              </w:rPr>
              <w:t>evaluation</w:t>
            </w:r>
          </w:p>
          <w:p w14:paraId="4BBE94FF" w14:textId="77777777" w:rsidR="000C38D9" w:rsidRPr="00F72D4F" w:rsidRDefault="000C38D9" w:rsidP="000C38D9">
            <w:pPr>
              <w:pStyle w:val="Bulletindent1"/>
              <w:rPr>
                <w:lang w:val="en-US"/>
              </w:rPr>
            </w:pPr>
            <w:r w:rsidRPr="00F72D4F">
              <w:rPr>
                <w:lang w:val="en-US"/>
              </w:rPr>
              <w:t>Acute porphyria</w:t>
            </w:r>
          </w:p>
          <w:p w14:paraId="53F71D12" w14:textId="77777777" w:rsidR="00CB4A2B" w:rsidRDefault="00617AA0" w:rsidP="00617AA0">
            <w:pPr>
              <w:pStyle w:val="Tabletext"/>
              <w:rPr>
                <w:b/>
                <w:bCs/>
              </w:rPr>
            </w:pPr>
            <w:r w:rsidRPr="00617AA0">
              <w:rPr>
                <w:b/>
                <w:bCs/>
              </w:rPr>
              <w:t>Cardiovascular disease</w:t>
            </w:r>
          </w:p>
          <w:p w14:paraId="4B3502A5" w14:textId="77777777" w:rsidR="000C38D9" w:rsidRPr="000C38D9" w:rsidRDefault="000C38D9" w:rsidP="000C38D9">
            <w:pPr>
              <w:pStyle w:val="Bulletindent1"/>
              <w:rPr>
                <w:lang w:val="en-US"/>
              </w:rPr>
            </w:pPr>
            <w:r w:rsidRPr="000C38D9">
              <w:rPr>
                <w:lang w:val="en-US"/>
              </w:rPr>
              <w:t>Current or past history of ischaemic heart disease, vascular disease, stroke or transient ischaemic first attack only if these events first occurred during use of the etonogestrel implant.</w:t>
            </w:r>
          </w:p>
          <w:p w14:paraId="576D3FFF" w14:textId="44DD9E11" w:rsidR="00617AA0" w:rsidRPr="00710CF4" w:rsidRDefault="00617AA0" w:rsidP="00710CF4">
            <w:pPr>
              <w:pStyle w:val="Tabletext"/>
              <w:rPr>
                <w:b/>
                <w:bCs/>
              </w:rPr>
            </w:pPr>
            <w:r w:rsidRPr="00710CF4">
              <w:rPr>
                <w:b/>
                <w:bCs/>
              </w:rPr>
              <w:t>Cancers</w:t>
            </w:r>
          </w:p>
          <w:p w14:paraId="015DAF8A" w14:textId="6149B951" w:rsidR="002851D4" w:rsidRPr="006F3C9C" w:rsidRDefault="002851D4" w:rsidP="000C38D9">
            <w:pPr>
              <w:pStyle w:val="Bulletindent1"/>
              <w:rPr>
                <w:b/>
                <w:lang w:val="en-US"/>
              </w:rPr>
            </w:pPr>
            <w:r w:rsidRPr="006F3C9C">
              <w:rPr>
                <w:lang w:val="en-US"/>
              </w:rPr>
              <w:t xml:space="preserve">Current or past history of breast cancer </w:t>
            </w:r>
          </w:p>
          <w:p w14:paraId="78F8FEAC" w14:textId="77777777" w:rsidR="000C38D9" w:rsidRPr="00542DED" w:rsidRDefault="000C38D9" w:rsidP="000C38D9">
            <w:pPr>
              <w:pStyle w:val="Bulletindent1"/>
              <w:rPr>
                <w:lang w:val="en-US"/>
              </w:rPr>
            </w:pPr>
            <w:r w:rsidRPr="00542DED">
              <w:rPr>
                <w:lang w:val="en-US"/>
              </w:rPr>
              <w:t>Benign liver tumour (hepatocellular adenoma).</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0C38D9">
            <w:pPr>
              <w:pStyle w:val="Bulletindent1"/>
            </w:pPr>
            <w:r w:rsidRPr="00617AA0">
              <w:t>Severe decompensated cirrhosis</w:t>
            </w:r>
          </w:p>
          <w:p w14:paraId="3B0BCE72" w14:textId="77777777" w:rsidR="000C38D9" w:rsidRPr="002E6C7D" w:rsidRDefault="000C38D9" w:rsidP="000C38D9">
            <w:pPr>
              <w:pStyle w:val="Bulletindent1"/>
              <w:rPr>
                <w:lang w:val="en-US"/>
              </w:rPr>
            </w:pPr>
            <w:r w:rsidRPr="00542DED">
              <w:rPr>
                <w:lang w:val="en-US"/>
              </w:rPr>
              <w:t xml:space="preserve">Malignant liver tumour (hepatocellular carcinoma). </w:t>
            </w:r>
          </w:p>
          <w:p w14:paraId="1DA9D7ED" w14:textId="77777777" w:rsidR="00FD1D8C" w:rsidRPr="00FD1D8C" w:rsidRDefault="00FD1D8C" w:rsidP="00FD1D8C">
            <w:pPr>
              <w:pStyle w:val="Tabletext"/>
              <w:rPr>
                <w:b/>
                <w:bCs/>
              </w:rPr>
            </w:pPr>
            <w:r w:rsidRPr="00FD1D8C">
              <w:rPr>
                <w:b/>
                <w:bCs/>
              </w:rPr>
              <w:lastRenderedPageBreak/>
              <w:t>Interacting medicines</w:t>
            </w:r>
          </w:p>
          <w:p w14:paraId="242D0FB3" w14:textId="17CD5F77" w:rsidR="00617AA0" w:rsidRPr="00617AA0" w:rsidRDefault="00FD1D8C" w:rsidP="00FD1D8C">
            <w:pPr>
              <w:pStyle w:val="Bulletindent1"/>
            </w:pPr>
            <w:r w:rsidRPr="00A66863">
              <w:t>Individuals using enzyme-inducing drugs/herbal products or within 28 days of stopping them.</w:t>
            </w:r>
            <w:r>
              <w:t xml:space="preserve">  See Interactions section.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55B048F3" w14:textId="35DD61D9" w:rsidR="00FD1D8C" w:rsidRDefault="00FD1D8C" w:rsidP="00710CF4">
            <w:pPr>
              <w:pStyle w:val="Bulletindent1"/>
            </w:pPr>
            <w:r w:rsidRPr="00FD1D8C">
              <w:t xml:space="preserve">If the individual is taking any anticoagulant therapy, an experienced clinician should perform the procedure due to the risk of bleeding and a pressure bandage should be applied after insertion.  </w:t>
            </w:r>
            <w:hyperlink r:id="rId18" w:history="1">
              <w:r w:rsidRPr="00FD1D8C">
                <w:rPr>
                  <w:rStyle w:val="Hyperlink"/>
                </w:rPr>
                <w:t xml:space="preserve">See </w:t>
              </w:r>
              <w:r w:rsidR="00B370D2">
                <w:rPr>
                  <w:rStyle w:val="Hyperlink"/>
                </w:rPr>
                <w:t>Co</w:t>
              </w:r>
              <w:r w:rsidRPr="00FD1D8C">
                <w:rPr>
                  <w:rStyle w:val="Hyperlink"/>
                </w:rPr>
                <w:t>SRH guidance - Management of women taking anticoagulants or antiplatelet medications who request intrauterine contraception or subdermal implant</w:t>
              </w:r>
              <w:r w:rsidR="00C362E5">
                <w:rPr>
                  <w:rStyle w:val="Hyperlink"/>
                </w:rPr>
                <w:t>s (2017)</w:t>
              </w:r>
            </w:hyperlink>
            <w:r w:rsidRPr="00FD1D8C">
              <w:t xml:space="preserve"> for information about timing the insertion in relation to the anticoagulant dose</w:t>
            </w:r>
          </w:p>
          <w:p w14:paraId="64FEDD91" w14:textId="4279CCBD" w:rsidR="007043FB" w:rsidRDefault="00710CF4" w:rsidP="00710CF4">
            <w:pPr>
              <w:pStyle w:val="Bulletindent1"/>
            </w:pPr>
            <w:r>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A51069C" w:rsidR="00165DD9" w:rsidRPr="003A6065" w:rsidRDefault="00FD1D8C" w:rsidP="00FD1D8C">
            <w:pPr>
              <w:pStyle w:val="Tabletext"/>
            </w:pPr>
            <w:r w:rsidRPr="00FD1D8C">
              <w:rPr>
                <w:lang w:val="en-GB"/>
              </w:rPr>
              <w:t>Etonogestrel 68 mg subdermal implant</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77611146" w14:textId="77777777" w:rsidR="00FD1D8C" w:rsidRPr="00FD1D8C" w:rsidRDefault="00FD1D8C" w:rsidP="00FD1D8C">
            <w:pPr>
              <w:pStyle w:val="Tabletext"/>
              <w:rPr>
                <w:lang w:val="en-GB"/>
              </w:rPr>
            </w:pPr>
            <w:r w:rsidRPr="00FD1D8C">
              <w:rPr>
                <w:lang w:val="en-GB"/>
              </w:rPr>
              <w:t xml:space="preserve">Superficial subdermal implant inserted, preferably into non-dominant arm, under aseptic conditions following administration of local anaesthetic, where appropriate (see PGD for lidocaine 1% injection). </w:t>
            </w:r>
          </w:p>
          <w:p w14:paraId="04517ADA" w14:textId="61E0B33F" w:rsidR="004A295D" w:rsidRDefault="00FD1D8C" w:rsidP="00FD1D8C">
            <w:pPr>
              <w:pStyle w:val="Tabletext"/>
            </w:pPr>
            <w:r w:rsidRPr="00FD1D8C">
              <w:rPr>
                <w:lang w:val="en-GB"/>
              </w:rPr>
              <w:t>Manufacturer (SPC) and current MHRA guidance must be followed.</w:t>
            </w:r>
          </w:p>
        </w:tc>
      </w:tr>
      <w:tr w:rsidR="001A764B" w14:paraId="264CA183" w14:textId="77777777">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lastRenderedPageBreak/>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6FCD6D6D" w:rsidR="001A764B" w:rsidRDefault="001A764B" w:rsidP="001A764B">
            <w:pPr>
              <w:pStyle w:val="Tabletext"/>
              <w:rPr>
                <w:rFonts w:eastAsiaTheme="minorHAnsi"/>
                <w:kern w:val="2"/>
                <w14:ligatures w14:val="standardContextual"/>
              </w:rPr>
            </w:pPr>
            <w:r>
              <w:t xml:space="preserve">Best practice advice is given by the </w:t>
            </w:r>
            <w:r w:rsidR="007A1CA1">
              <w:t>Co</w:t>
            </w:r>
            <w:r>
              <w:t>SRH and is used for guidance in this PGD and may vary from the Summary of Product Characteristics (S</w:t>
            </w:r>
            <w:r w:rsidR="00FD1D8C">
              <w:t>m</w:t>
            </w:r>
            <w:r>
              <w:t>PC).</w:t>
            </w:r>
          </w:p>
          <w:p w14:paraId="47EE49FB" w14:textId="77777777" w:rsidR="001A764B" w:rsidRDefault="001A764B" w:rsidP="001A764B">
            <w:pPr>
              <w:pStyle w:val="Tabletext"/>
            </w:pPr>
          </w:p>
          <w:p w14:paraId="211680ED" w14:textId="77777777" w:rsidR="00FD1D8C" w:rsidRPr="00C8124E" w:rsidRDefault="00FD1D8C" w:rsidP="00FD1D8C">
            <w:pPr>
              <w:pStyle w:val="Tabletext"/>
            </w:pPr>
            <w:r w:rsidRPr="00C8124E">
              <w:t>This PGD includes the following unlicensed use(s):</w:t>
            </w:r>
          </w:p>
          <w:p w14:paraId="775CD3E5" w14:textId="77777777" w:rsidR="00FD1D8C" w:rsidRPr="00C8124E" w:rsidRDefault="00FD1D8C" w:rsidP="00FD1D8C">
            <w:pPr>
              <w:pStyle w:val="Bulletindent1"/>
            </w:pPr>
            <w:r>
              <w:t>Insertion in</w:t>
            </w:r>
            <w:r w:rsidRPr="00C8124E">
              <w:t xml:space="preserve"> individuals over 40 years of age</w:t>
            </w:r>
          </w:p>
          <w:p w14:paraId="3F39E330" w14:textId="77777777" w:rsidR="00FD1D8C" w:rsidRPr="00C8124E" w:rsidRDefault="00FD1D8C" w:rsidP="00FD1D8C">
            <w:pPr>
              <w:pStyle w:val="Bulletindent1"/>
            </w:pPr>
            <w:r>
              <w:t>Insertion in</w:t>
            </w:r>
            <w:r w:rsidRPr="00C8124E">
              <w:t xml:space="preserve"> individuals under 18 years of age </w:t>
            </w:r>
          </w:p>
          <w:p w14:paraId="2ACD90F7" w14:textId="77777777" w:rsidR="00FD1D8C" w:rsidRPr="00C8124E" w:rsidRDefault="00FD1D8C" w:rsidP="00FD1D8C">
            <w:pPr>
              <w:pStyle w:val="Bulletindent1"/>
            </w:pPr>
            <w:r w:rsidRPr="00C8124E">
              <w:t>Active venous thromboembolic disorder</w:t>
            </w:r>
          </w:p>
          <w:p w14:paraId="2B3F161E" w14:textId="77777777" w:rsidR="00FD1D8C" w:rsidRDefault="00FD1D8C" w:rsidP="00FD1D8C">
            <w:pPr>
              <w:pStyle w:val="Bulletindent1"/>
            </w:pPr>
            <w:r w:rsidRPr="00C8124E">
              <w:t>The implant may be inserted or reinserted at any time as a quick start method if it is reasonably certain that the individual is not pregnant. Additional contraception is then required for 7 days after insertion.</w:t>
            </w:r>
          </w:p>
          <w:p w14:paraId="2E405431" w14:textId="77777777" w:rsidR="00FD1D8C" w:rsidRDefault="00FD1D8C" w:rsidP="00FD1D8C">
            <w:pPr>
              <w:pStyle w:val="Bulletindent1"/>
            </w:pPr>
            <w:r w:rsidRPr="00A66863">
              <w:t>The implant may be inserted</w:t>
            </w:r>
            <w:r w:rsidRPr="00FA0028">
              <w:t xml:space="preserve"> </w:t>
            </w:r>
            <w:r w:rsidRPr="00A66863">
              <w:t>immediate</w:t>
            </w:r>
            <w:r>
              <w:t>ly</w:t>
            </w:r>
            <w:r w:rsidRPr="00A66863">
              <w:t xml:space="preserve"> post-partum and after 2nd trimester abortion or miscarriage</w:t>
            </w:r>
            <w:r>
              <w:t>.</w:t>
            </w:r>
          </w:p>
          <w:p w14:paraId="74EAA6BA" w14:textId="77777777" w:rsidR="00FD1D8C" w:rsidRPr="00ED5333" w:rsidRDefault="00FD1D8C" w:rsidP="00FD1D8C">
            <w:pPr>
              <w:pStyle w:val="Bulletindent1"/>
            </w:pPr>
            <w:r w:rsidRPr="00ED5333">
              <w:t>The implant may be inserted at any time after mifepristone administration at medical abortion or at any stage in a surgical abortion process.</w:t>
            </w:r>
          </w:p>
          <w:p w14:paraId="5857C5D0" w14:textId="55F64BD8"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t>Dose and frequency</w:t>
            </w:r>
            <w:r w:rsidR="005F17C5" w:rsidRPr="00D131FF">
              <w:rPr>
                <w:rStyle w:val="TableHeaderColumn"/>
                <w:b/>
                <w:bCs/>
                <w:sz w:val="22"/>
              </w:rPr>
              <w:t xml:space="preserve"> of administration</w:t>
            </w:r>
          </w:p>
        </w:tc>
        <w:tc>
          <w:tcPr>
            <w:tcW w:w="5245" w:type="dxa"/>
          </w:tcPr>
          <w:p w14:paraId="716A987B" w14:textId="599193C7" w:rsidR="00FD1D8C" w:rsidRPr="004F5D1D" w:rsidRDefault="00FD1D8C" w:rsidP="00137E8C">
            <w:pPr>
              <w:pStyle w:val="Bulletindent1"/>
            </w:pPr>
            <w:r w:rsidRPr="004F5D1D">
              <w:t xml:space="preserve">Insert or change implant every </w:t>
            </w:r>
            <w:r w:rsidR="001D7E55">
              <w:t>5</w:t>
            </w:r>
            <w:r w:rsidRPr="004F5D1D">
              <w:t xml:space="preserve"> years. Implants should be removed once expired and/ or prior to inserting a new implant.  </w:t>
            </w:r>
          </w:p>
          <w:p w14:paraId="216895BB" w14:textId="77777777" w:rsidR="00FD1D8C" w:rsidRPr="004F5D1D" w:rsidRDefault="00FD1D8C" w:rsidP="00137E8C">
            <w:pPr>
              <w:pStyle w:val="Bulletindent1"/>
            </w:pPr>
            <w:r w:rsidRPr="004F5D1D">
              <w:t xml:space="preserve">Insert between day 1-5 of the menstrual cycle with no need for additional precautions </w:t>
            </w:r>
          </w:p>
          <w:p w14:paraId="68B1C775" w14:textId="77777777" w:rsidR="00FD1D8C" w:rsidRPr="004F5D1D" w:rsidRDefault="00FD1D8C" w:rsidP="00137E8C">
            <w:pPr>
              <w:pStyle w:val="Bulletindent1"/>
            </w:pPr>
            <w:r w:rsidRPr="004F5D1D">
              <w:lastRenderedPageBreak/>
              <w:t xml:space="preserve">The implant may be inserted or reinserted at any time as quick start if it is reasonably certain that the individual is not pregnant. Additional contraception is then required for 7 days after insertion </w:t>
            </w:r>
          </w:p>
          <w:p w14:paraId="073DBECE" w14:textId="57E874E9" w:rsidR="00FD1D8C" w:rsidRPr="004F5D1D" w:rsidRDefault="00FD1D8C" w:rsidP="00137E8C">
            <w:pPr>
              <w:pStyle w:val="Bulletindent1"/>
            </w:pPr>
            <w:r w:rsidRPr="004F5D1D">
              <w:t xml:space="preserve">If the individual has an implant in situ which has been in place for under </w:t>
            </w:r>
            <w:r w:rsidR="001D7E55">
              <w:t>5</w:t>
            </w:r>
            <w:r w:rsidRPr="004F5D1D">
              <w:t xml:space="preserve"> years the implant can be removed and replaced immediately.  </w:t>
            </w:r>
          </w:p>
          <w:p w14:paraId="71B701E4" w14:textId="7581CD6D" w:rsidR="00984795" w:rsidRDefault="00984795" w:rsidP="00984795">
            <w:pPr>
              <w:pStyle w:val="Bulletindent1"/>
            </w:pPr>
            <w:r w:rsidRPr="004F5D1D">
              <w:t xml:space="preserve">If the individual has an implant in situ which has been in place for over </w:t>
            </w:r>
            <w:r w:rsidR="001D7E55">
              <w:t>5</w:t>
            </w:r>
            <w:r w:rsidRPr="004F5D1D">
              <w:t xml:space="preserve"> years the implant can be removed and replaced immediately.</w:t>
            </w:r>
          </w:p>
          <w:p w14:paraId="60842C51" w14:textId="1FA6658F" w:rsidR="00D73D3A" w:rsidRPr="00144AA2" w:rsidRDefault="00D73D3A" w:rsidP="00D73D3A">
            <w:pPr>
              <w:pStyle w:val="Bulletindent1"/>
              <w:numPr>
                <w:ilvl w:val="1"/>
                <w:numId w:val="32"/>
              </w:numPr>
            </w:pPr>
            <w:r w:rsidRPr="00144AA2">
              <w:t xml:space="preserve">If UPSI has occurred within the last 21 days, a pregnancy test should be performed. If negative, replace the implant and advise additional contraception (condoms) for 7 days after insertion with a repeat pregnancy test after 3 weeks. </w:t>
            </w:r>
          </w:p>
          <w:p w14:paraId="715DB9CA" w14:textId="17964F21" w:rsidR="00D73D3A" w:rsidRPr="00144AA2" w:rsidRDefault="00D73D3A" w:rsidP="00D73D3A">
            <w:pPr>
              <w:pStyle w:val="Bulletindent1"/>
              <w:numPr>
                <w:ilvl w:val="1"/>
                <w:numId w:val="32"/>
              </w:numPr>
            </w:pPr>
            <w:r w:rsidRPr="00144AA2">
              <w:t xml:space="preserve">If UPSI has occurred 21 days or more previously, a pregnancy test should be performed.  If negative, replace the implant and advise additional contraception (condoms) for 7 days after insertion. No follow-up pregnancy test required after 3 weeks. </w:t>
            </w:r>
          </w:p>
          <w:p w14:paraId="29CB5D91" w14:textId="77777777" w:rsidR="00FD1D8C" w:rsidRPr="004F5D1D" w:rsidRDefault="00FD1D8C" w:rsidP="00D73D3A">
            <w:pPr>
              <w:pStyle w:val="Bulletindent1"/>
            </w:pPr>
            <w:r w:rsidRPr="004F5D1D">
              <w:t>If inserting the implant after levonorgestrel emergency contraception, a barrier contraception is required for 7 days.</w:t>
            </w:r>
          </w:p>
          <w:p w14:paraId="79D14097" w14:textId="77777777" w:rsidR="00FD1D8C" w:rsidRDefault="00FD1D8C" w:rsidP="00137E8C">
            <w:pPr>
              <w:pStyle w:val="Bulletindent1"/>
            </w:pPr>
            <w:r w:rsidRPr="004F5D1D">
              <w:t xml:space="preserve">After the use of ulipristal acetate emergency contraception the implant should not be inserted for five days. A barrier contraceptive should then be used for a further 7 days. </w:t>
            </w:r>
          </w:p>
          <w:p w14:paraId="2128767E" w14:textId="2EE639C9" w:rsidR="00137E8C" w:rsidRPr="004F5D1D" w:rsidRDefault="00137E8C" w:rsidP="00137E8C">
            <w:pPr>
              <w:pStyle w:val="Bulletindent1"/>
              <w:rPr>
                <w:rFonts w:cs="Arial"/>
              </w:rPr>
            </w:pPr>
            <w:r w:rsidRPr="004F5D1D">
              <w:rPr>
                <w:rFonts w:cs="Arial"/>
              </w:rPr>
              <w:t xml:space="preserve">A pregnancy test is advised three weeks after any oral emergency contraception - see </w:t>
            </w:r>
            <w:hyperlink r:id="rId19" w:history="1">
              <w:r w:rsidR="007A1CA1">
                <w:rPr>
                  <w:rStyle w:val="Hyperlink"/>
                </w:rPr>
                <w:t>Co</w:t>
              </w:r>
              <w:r w:rsidRPr="00C26190">
                <w:rPr>
                  <w:rStyle w:val="Hyperlink"/>
                </w:rPr>
                <w:t>SRH guidance - Emergency Contraception</w:t>
              </w:r>
            </w:hyperlink>
            <w:r w:rsidRPr="004F5D1D">
              <w:rPr>
                <w:rFonts w:cs="Arial"/>
              </w:rPr>
              <w:t xml:space="preserve"> </w:t>
            </w:r>
          </w:p>
          <w:p w14:paraId="6AB47447" w14:textId="32B38651" w:rsidR="00B65EE5" w:rsidRDefault="00461139" w:rsidP="00137E8C">
            <w:pPr>
              <w:pStyle w:val="Bulletindent1"/>
            </w:pPr>
            <w:r w:rsidRPr="001568C6">
              <w:t xml:space="preserve"> </w:t>
            </w:r>
            <w:r w:rsidR="001A764B" w:rsidRPr="001A764B">
              <w:t>For guidance on changing from one contraceptive method to another, and when to start after an abortion</w:t>
            </w:r>
            <w:r w:rsidR="00137E8C">
              <w:t xml:space="preserve">, miscarriage </w:t>
            </w:r>
            <w:r w:rsidR="001A764B" w:rsidRPr="001A764B">
              <w:t xml:space="preserve">and postpartum, refer to  </w:t>
            </w:r>
            <w:hyperlink r:id="rId20" w:history="1">
              <w:r w:rsidR="007A1CA1">
                <w:rPr>
                  <w:rStyle w:val="Hyperlink"/>
                </w:rPr>
                <w:t>Co</w:t>
              </w:r>
              <w:r w:rsidR="00FF7A9A">
                <w:rPr>
                  <w:rStyle w:val="Hyperlink"/>
                </w:rPr>
                <w:t>SRH Clinical Guideline: Contraception after Pregnancy</w:t>
              </w:r>
            </w:hyperlink>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lastRenderedPageBreak/>
              <w:t>Duration of treatment</w:t>
            </w:r>
          </w:p>
        </w:tc>
        <w:tc>
          <w:tcPr>
            <w:tcW w:w="5245" w:type="dxa"/>
          </w:tcPr>
          <w:p w14:paraId="073CB622" w14:textId="2740377C" w:rsidR="00137E8C" w:rsidRPr="00137E8C" w:rsidRDefault="00137E8C" w:rsidP="00137E8C">
            <w:pPr>
              <w:pStyle w:val="Bulletindent1"/>
            </w:pPr>
            <w:r w:rsidRPr="00137E8C">
              <w:t xml:space="preserve">Each implant is effective for </w:t>
            </w:r>
            <w:r w:rsidR="001D7E55">
              <w:t>five</w:t>
            </w:r>
            <w:r w:rsidRPr="00137E8C">
              <w:t xml:space="preserve"> years.</w:t>
            </w:r>
          </w:p>
          <w:p w14:paraId="68D379EC" w14:textId="3F23EFE6" w:rsidR="00D01625" w:rsidRPr="00D01625" w:rsidRDefault="00137E8C" w:rsidP="00137E8C">
            <w:pPr>
              <w:pStyle w:val="Bulletindent1"/>
            </w:pPr>
            <w:r w:rsidRPr="00137E8C">
              <w:lastRenderedPageBreak/>
              <w:t>Repeat implants can be inserted for as long as the individual requires the implant and has no contraindications to its use.</w:t>
            </w:r>
          </w:p>
        </w:tc>
      </w:tr>
      <w:tr w:rsidR="00137E8C" w14:paraId="4D2F547E" w14:textId="77777777" w:rsidTr="00461139">
        <w:tc>
          <w:tcPr>
            <w:tcW w:w="3397" w:type="dxa"/>
          </w:tcPr>
          <w:p w14:paraId="6C24AF97" w14:textId="40D49FB9" w:rsidR="00137E8C" w:rsidRPr="00137E8C" w:rsidRDefault="00137E8C" w:rsidP="00137E8C">
            <w:pPr>
              <w:pStyle w:val="TableHeaderRow"/>
              <w:rPr>
                <w:rStyle w:val="TableHeaderColumn"/>
                <w:b/>
                <w:bCs/>
                <w:sz w:val="22"/>
              </w:rPr>
            </w:pPr>
            <w:r w:rsidRPr="00137E8C">
              <w:rPr>
                <w:rStyle w:val="TableHeaderColumn"/>
                <w:b/>
                <w:bCs/>
                <w:sz w:val="22"/>
              </w:rPr>
              <w:lastRenderedPageBreak/>
              <w:t>Special considerations</w:t>
            </w:r>
          </w:p>
        </w:tc>
        <w:tc>
          <w:tcPr>
            <w:tcW w:w="5245" w:type="dxa"/>
          </w:tcPr>
          <w:p w14:paraId="1212A0F2" w14:textId="77777777" w:rsidR="00137E8C" w:rsidRPr="00137E8C" w:rsidRDefault="00137E8C" w:rsidP="00137E8C">
            <w:pPr>
              <w:pStyle w:val="Tabletext"/>
              <w:rPr>
                <w:lang w:val="en-GB"/>
              </w:rPr>
            </w:pPr>
            <w:r w:rsidRPr="00137E8C">
              <w:rPr>
                <w:lang w:val="en-GB"/>
              </w:rPr>
              <w:t>There have been rare reports of local and distant intravascular migration of Nexplanon® implants. An implant that cannot be palpated at the insertion site should be located as soon as possible; if unable to locate implant within the arm, the MHRA recommends using chest imaging. Refer individual with suspected migration as required.</w:t>
            </w:r>
          </w:p>
          <w:p w14:paraId="6FB52852" w14:textId="77777777" w:rsidR="00137E8C" w:rsidRPr="00137E8C" w:rsidRDefault="00137E8C" w:rsidP="00137E8C">
            <w:pPr>
              <w:pStyle w:val="Tabletext"/>
              <w:rPr>
                <w:lang w:val="en-GB"/>
              </w:rPr>
            </w:pPr>
          </w:p>
          <w:p w14:paraId="13D8CBC6" w14:textId="77777777" w:rsidR="00137E8C" w:rsidRPr="00137E8C" w:rsidRDefault="00137E8C" w:rsidP="00137E8C">
            <w:pPr>
              <w:pStyle w:val="Tabletext"/>
              <w:rPr>
                <w:lang w:val="en-GB"/>
              </w:rPr>
            </w:pPr>
            <w:r w:rsidRPr="00137E8C">
              <w:rPr>
                <w:lang w:val="en-GB"/>
              </w:rPr>
              <w:t>Correct subdermal insertion reduces the risk of these events.</w:t>
            </w:r>
          </w:p>
          <w:p w14:paraId="7F0E39AD" w14:textId="77777777" w:rsidR="00137E8C" w:rsidRPr="00137E8C" w:rsidRDefault="00137E8C" w:rsidP="00137E8C">
            <w:pPr>
              <w:pStyle w:val="Tabletext"/>
              <w:rPr>
                <w:lang w:val="en-GB"/>
              </w:rPr>
            </w:pPr>
          </w:p>
          <w:p w14:paraId="5FC79E60" w14:textId="77777777" w:rsidR="00137E8C" w:rsidRPr="00137E8C" w:rsidRDefault="00137E8C" w:rsidP="00137E8C">
            <w:pPr>
              <w:pStyle w:val="Tabletext"/>
              <w:rPr>
                <w:lang w:val="en-GB"/>
              </w:rPr>
            </w:pPr>
            <w:r w:rsidRPr="00137E8C">
              <w:rPr>
                <w:lang w:val="en-GB"/>
              </w:rPr>
              <w:t>Insertion or removal of the implant may cause some bruising, including haematoma in some cases, slight local irritation, pain or itching. Other possible complications include nerve damage, and deep or intramuscular insertion.</w:t>
            </w:r>
          </w:p>
          <w:p w14:paraId="567121ED" w14:textId="0813C4E3" w:rsidR="00137E8C" w:rsidRPr="00137E8C" w:rsidRDefault="00137E8C" w:rsidP="00137E8C">
            <w:pPr>
              <w:pStyle w:val="Tabletext"/>
            </w:pPr>
            <w:r w:rsidRPr="00137E8C">
              <w:rPr>
                <w:lang w:val="en-GB"/>
              </w:rPr>
              <w:t>Insertion of the implant may cause vasovagal reactions (such as hypotension, dizziness, or syncope).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t>Storage</w:t>
            </w:r>
          </w:p>
        </w:tc>
        <w:tc>
          <w:tcPr>
            <w:tcW w:w="5245" w:type="dxa"/>
          </w:tcPr>
          <w:p w14:paraId="0A7D5CC5" w14:textId="4F0F7A64" w:rsidR="00D01625" w:rsidRPr="00B65EE5" w:rsidRDefault="00D01625" w:rsidP="00461139">
            <w:pPr>
              <w:pStyle w:val="Tabletext"/>
              <w:rPr>
                <w:b/>
                <w:bCs/>
              </w:rPr>
            </w:pPr>
            <w:r w:rsidRPr="005A6885">
              <w:rPr>
                <w:rFonts w:cs="Arial"/>
              </w:rPr>
              <w:t>Medicines must be stored securely according to national guidelines</w:t>
            </w:r>
            <w:r w:rsidR="00137E8C">
              <w:rPr>
                <w:rFonts w:cs="Arial"/>
              </w:rPr>
              <w:t xml:space="preserve"> </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hyperlink r:id="rId21" w:history="1">
              <w:r w:rsidR="00137E8C" w:rsidRPr="00137E8C">
                <w:rPr>
                  <w:rStyle w:val="Hyperlink"/>
                  <w:rFonts w:cs="Arial"/>
                  <w:lang w:val="en-GB"/>
                </w:rPr>
                <w:t>Summary of Product Characteristics (SmPC)  which can be accessed on 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0BEFE7D0" w14:textId="70789C23" w:rsidR="00137E8C" w:rsidRPr="00137E8C" w:rsidRDefault="00137E8C" w:rsidP="00137E8C">
            <w:pPr>
              <w:pStyle w:val="Tabletext"/>
              <w:rPr>
                <w:lang w:val="en-GB"/>
              </w:rPr>
            </w:pPr>
            <w:r w:rsidRPr="00137E8C">
              <w:rPr>
                <w:lang w:val="en-GB"/>
              </w:rPr>
              <w:t xml:space="preserve">Individuals using enzyme-inducing drugs/herbal products or within 28 days of stopping them are excluded from this PGD.  Refer to  </w:t>
            </w:r>
            <w:hyperlink r:id="rId22" w:history="1">
              <w:hyperlink r:id="rId23" w:history="1">
                <w:r w:rsidR="00D8011E">
                  <w:rPr>
                    <w:rStyle w:val="Hyperlink"/>
                  </w:rPr>
                  <w:t>Co</w:t>
                </w:r>
                <w:r w:rsidR="00D8011E" w:rsidRPr="001A764B">
                  <w:rPr>
                    <w:rStyle w:val="Hyperlink"/>
                  </w:rPr>
                  <w:t xml:space="preserve">SRH CEU Guidance: Drug Interactions with Hormonal Contraception (May 2022) | </w:t>
                </w:r>
                <w:r w:rsidR="00D8011E">
                  <w:rPr>
                    <w:rStyle w:val="Hyperlink"/>
                  </w:rPr>
                  <w:t>Co</w:t>
                </w:r>
                <w:r w:rsidR="00D8011E" w:rsidRPr="001A764B">
                  <w:rPr>
                    <w:rStyle w:val="Hyperlink"/>
                  </w:rPr>
                  <w:t>SRH</w:t>
                </w:r>
              </w:hyperlink>
              <w:r w:rsidR="00D8011E" w:rsidRPr="001A764B">
                <w:rPr>
                  <w:rStyle w:val="Hyperlink"/>
                </w:rPr>
                <w:t xml:space="preserve"> </w:t>
              </w:r>
            </w:hyperlink>
            <w:r w:rsidRPr="00137E8C">
              <w:rPr>
                <w:lang w:val="en-GB"/>
              </w:rPr>
              <w:t xml:space="preserve"> for further detail.</w:t>
            </w:r>
          </w:p>
          <w:p w14:paraId="0D9CC0FA" w14:textId="77777777" w:rsidR="00137E8C" w:rsidRPr="00137E8C" w:rsidRDefault="00137E8C" w:rsidP="00137E8C">
            <w:pPr>
              <w:pStyle w:val="Tabletext"/>
              <w:rPr>
                <w:lang w:val="en-GB"/>
              </w:rPr>
            </w:pPr>
          </w:p>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B56A04A" w14:textId="4BE52E07" w:rsidR="001A764B" w:rsidRPr="001A764B" w:rsidRDefault="001A764B" w:rsidP="001A764B">
            <w:pPr>
              <w:pStyle w:val="Tabletext"/>
              <w:rPr>
                <w:u w:val="single"/>
              </w:rPr>
            </w:pPr>
            <w:r w:rsidRPr="001A764B">
              <w:t xml:space="preserve">A detailed list of drug interactions is available in the </w:t>
            </w:r>
            <w:hyperlink r:id="rId24" w:history="1">
              <w:r w:rsidR="00137E8C" w:rsidRPr="00137E8C">
                <w:rPr>
                  <w:rStyle w:val="Hyperlink"/>
                  <w:lang w:val="en-GB"/>
                </w:rPr>
                <w:t>Summary of Product Characteristics (SmPC)  which can be accessed on the EMC website</w:t>
              </w:r>
            </w:hyperlink>
            <w:r w:rsidR="00FF7A9A">
              <w:t xml:space="preserve">, </w:t>
            </w:r>
            <w:hyperlink r:id="rId25"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26" w:history="1">
              <w:hyperlink r:id="rId27" w:history="1">
                <w:r w:rsidR="0039766B">
                  <w:rPr>
                    <w:rStyle w:val="Hyperlink"/>
                  </w:rPr>
                  <w:t>Co</w:t>
                </w:r>
                <w:r w:rsidRPr="001A764B">
                  <w:rPr>
                    <w:rStyle w:val="Hyperlink"/>
                  </w:rPr>
                  <w:t xml:space="preserve">SRH CEU Guidance: Drug Interactions with Hormonal Contraception (May 2022) | </w:t>
                </w:r>
                <w:r w:rsidR="001604FE">
                  <w:rPr>
                    <w:rStyle w:val="Hyperlink"/>
                  </w:rPr>
                  <w:t>Co</w:t>
                </w:r>
                <w:r w:rsidRPr="001A764B">
                  <w:rPr>
                    <w:rStyle w:val="Hyperlink"/>
                  </w:rPr>
                  <w:t>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59B51D16"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 </w:t>
            </w:r>
            <w:hyperlink r:id="rId28" w:history="1">
              <w:r w:rsidR="00137E8C" w:rsidRPr="00137E8C">
                <w:rPr>
                  <w:rStyle w:val="Hyperlink"/>
                  <w:lang w:val="en-GB"/>
                </w:rPr>
                <w:t>Summary of Product Characteristics (SmPC)  which can be accessed on the EMC website</w:t>
              </w:r>
            </w:hyperlink>
            <w:r w:rsidRPr="00FA5956">
              <w:rPr>
                <w:lang w:val="en-GB"/>
              </w:rPr>
              <w:t xml:space="preserve"> or </w:t>
            </w:r>
            <w:hyperlink r:id="rId29"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17656600" w14:textId="77777777" w:rsidR="00A96AEA" w:rsidRPr="00A96AEA" w:rsidRDefault="00A96AEA" w:rsidP="00A96AEA">
            <w:pPr>
              <w:pStyle w:val="Tabletext"/>
              <w:rPr>
                <w:lang w:val="en-GB"/>
              </w:rPr>
            </w:pPr>
            <w:r w:rsidRPr="00A96AEA">
              <w:rPr>
                <w:lang w:val="en-GB"/>
              </w:rPr>
              <w:t>The implant is generally well tolerated. The main reported side effects include:</w:t>
            </w:r>
          </w:p>
          <w:p w14:paraId="2806D808" w14:textId="77777777" w:rsidR="00A96AEA" w:rsidRPr="00A96AEA" w:rsidRDefault="00A96AEA" w:rsidP="00A96AEA">
            <w:pPr>
              <w:pStyle w:val="Tabletext"/>
              <w:rPr>
                <w:b/>
                <w:lang w:val="en-GB"/>
              </w:rPr>
            </w:pPr>
            <w:r w:rsidRPr="00A96AEA">
              <w:rPr>
                <w:b/>
                <w:lang w:val="en-GB"/>
              </w:rPr>
              <w:t xml:space="preserve">Common </w:t>
            </w:r>
          </w:p>
          <w:p w14:paraId="591F7DFF" w14:textId="77777777" w:rsidR="00A96AEA" w:rsidRDefault="00A96AEA" w:rsidP="0039766B">
            <w:pPr>
              <w:pStyle w:val="Bulletindent1"/>
            </w:pPr>
            <w:r w:rsidRPr="00A96AEA">
              <w:t xml:space="preserve">Irregular, unpredictable bleeding which includes: </w:t>
            </w:r>
          </w:p>
          <w:p w14:paraId="7EC102C7" w14:textId="4D94757E" w:rsidR="00A96AEA" w:rsidRDefault="00A96AEA" w:rsidP="00D67EC3">
            <w:pPr>
              <w:pStyle w:val="Bulletindent1"/>
              <w:numPr>
                <w:ilvl w:val="2"/>
                <w:numId w:val="15"/>
              </w:numPr>
              <w:ind w:left="1591" w:hanging="283"/>
            </w:pPr>
            <w:r w:rsidRPr="00A96AEA">
              <w:t>amenorrhoea,</w:t>
            </w:r>
          </w:p>
          <w:p w14:paraId="299A7011" w14:textId="5F23E2CF" w:rsidR="00A96AEA" w:rsidRPr="00A96AEA" w:rsidRDefault="00A96AEA" w:rsidP="00D67EC3">
            <w:pPr>
              <w:pStyle w:val="Bulletindent1"/>
              <w:numPr>
                <w:ilvl w:val="2"/>
                <w:numId w:val="15"/>
              </w:numPr>
              <w:ind w:left="1591" w:hanging="283"/>
            </w:pPr>
            <w:r w:rsidRPr="00A96AEA">
              <w:t xml:space="preserve">frequent or prolonged bleeding </w:t>
            </w:r>
          </w:p>
          <w:p w14:paraId="24CA08C1" w14:textId="77777777" w:rsidR="00A96AEA" w:rsidRPr="00A96AEA" w:rsidRDefault="00A96AEA" w:rsidP="0039766B">
            <w:pPr>
              <w:pStyle w:val="Bulletindent1"/>
            </w:pPr>
            <w:r w:rsidRPr="00A96AEA">
              <w:t xml:space="preserve">Headache </w:t>
            </w:r>
          </w:p>
          <w:p w14:paraId="75BEA003" w14:textId="77777777" w:rsidR="00A96AEA" w:rsidRPr="00A96AEA" w:rsidRDefault="00A96AEA" w:rsidP="0039766B">
            <w:pPr>
              <w:pStyle w:val="Bulletindent1"/>
            </w:pPr>
            <w:r w:rsidRPr="00A96AEA">
              <w:t>Acne</w:t>
            </w:r>
          </w:p>
          <w:p w14:paraId="2D0D935E" w14:textId="77777777" w:rsidR="00A96AEA" w:rsidRPr="00A96AEA" w:rsidRDefault="00A96AEA" w:rsidP="0039766B">
            <w:pPr>
              <w:pStyle w:val="Tabletext"/>
              <w:numPr>
                <w:ilvl w:val="0"/>
                <w:numId w:val="24"/>
              </w:numPr>
              <w:ind w:left="720"/>
              <w:rPr>
                <w:lang w:val="en-GB"/>
              </w:rPr>
            </w:pPr>
            <w:r w:rsidRPr="00A96AEA">
              <w:rPr>
                <w:lang w:val="en-GB"/>
              </w:rPr>
              <w:t xml:space="preserve">Breast tenderness and pain </w:t>
            </w:r>
          </w:p>
          <w:p w14:paraId="7CDB55C9" w14:textId="77777777" w:rsidR="00A96AEA" w:rsidRPr="00A96AEA" w:rsidRDefault="00A96AEA" w:rsidP="00A96AEA">
            <w:pPr>
              <w:pStyle w:val="Tabletext"/>
              <w:rPr>
                <w:b/>
                <w:lang w:val="en-GB"/>
              </w:rPr>
            </w:pPr>
            <w:r w:rsidRPr="00A96AEA">
              <w:rPr>
                <w:b/>
                <w:lang w:val="en-GB"/>
              </w:rPr>
              <w:t xml:space="preserve">Less common </w:t>
            </w:r>
          </w:p>
          <w:p w14:paraId="0576FBA8" w14:textId="77777777" w:rsidR="00A96AEA" w:rsidRPr="00A96AEA" w:rsidRDefault="00A96AEA" w:rsidP="00A96AEA">
            <w:pPr>
              <w:pStyle w:val="Tabletext"/>
              <w:numPr>
                <w:ilvl w:val="0"/>
                <w:numId w:val="25"/>
              </w:numPr>
              <w:rPr>
                <w:lang w:val="en-GB"/>
              </w:rPr>
            </w:pPr>
            <w:r w:rsidRPr="00A96AEA">
              <w:rPr>
                <w:lang w:val="en-GB"/>
              </w:rPr>
              <w:t xml:space="preserve">Mood changes </w:t>
            </w:r>
          </w:p>
          <w:p w14:paraId="40A1046B" w14:textId="77777777" w:rsidR="00A96AEA" w:rsidRPr="00A96AEA" w:rsidRDefault="00A96AEA" w:rsidP="00A96AEA">
            <w:pPr>
              <w:pStyle w:val="Tabletext"/>
              <w:numPr>
                <w:ilvl w:val="0"/>
                <w:numId w:val="25"/>
              </w:numPr>
              <w:rPr>
                <w:lang w:val="en-GB"/>
              </w:rPr>
            </w:pPr>
            <w:r w:rsidRPr="00A96AEA">
              <w:rPr>
                <w:lang w:val="en-GB"/>
              </w:rPr>
              <w:t xml:space="preserve">Reduced libido </w:t>
            </w:r>
          </w:p>
          <w:p w14:paraId="7C335309" w14:textId="77777777" w:rsidR="00A96AEA" w:rsidRPr="00A96AEA" w:rsidRDefault="00A96AEA" w:rsidP="00A96AEA">
            <w:pPr>
              <w:pStyle w:val="Tabletext"/>
              <w:numPr>
                <w:ilvl w:val="0"/>
                <w:numId w:val="25"/>
              </w:numPr>
              <w:rPr>
                <w:lang w:val="en-GB"/>
              </w:rPr>
            </w:pPr>
            <w:r w:rsidRPr="00A96AEA">
              <w:rPr>
                <w:lang w:val="en-GB"/>
              </w:rPr>
              <w:t xml:space="preserve">Nausea </w:t>
            </w:r>
          </w:p>
          <w:p w14:paraId="58057C20" w14:textId="77777777" w:rsidR="00A96AEA" w:rsidRPr="00A96AEA" w:rsidRDefault="00A96AEA" w:rsidP="00A96AEA">
            <w:pPr>
              <w:pStyle w:val="Tabletext"/>
              <w:numPr>
                <w:ilvl w:val="0"/>
                <w:numId w:val="25"/>
              </w:numPr>
              <w:rPr>
                <w:lang w:val="en-GB"/>
              </w:rPr>
            </w:pPr>
            <w:r w:rsidRPr="00A96AEA">
              <w:rPr>
                <w:lang w:val="en-GB"/>
              </w:rPr>
              <w:t>Fluid retention</w:t>
            </w:r>
          </w:p>
          <w:p w14:paraId="6577BB34" w14:textId="77777777" w:rsidR="00A96AEA" w:rsidRPr="00A96AEA" w:rsidRDefault="00A96AEA" w:rsidP="00A96AEA">
            <w:pPr>
              <w:pStyle w:val="Tabletext"/>
              <w:numPr>
                <w:ilvl w:val="0"/>
                <w:numId w:val="25"/>
              </w:numPr>
              <w:rPr>
                <w:lang w:val="en-GB"/>
              </w:rPr>
            </w:pPr>
            <w:r w:rsidRPr="00A96AEA">
              <w:rPr>
                <w:lang w:val="en-GB"/>
              </w:rPr>
              <w:t xml:space="preserve">Some local scarring </w:t>
            </w:r>
          </w:p>
          <w:p w14:paraId="57E868C4" w14:textId="77777777" w:rsidR="00C01C81" w:rsidRDefault="00C01C81" w:rsidP="00FF7A9A">
            <w:pPr>
              <w:pStyle w:val="Tabletext"/>
              <w:rPr>
                <w:highlight w:val="cyan"/>
                <w:lang w:val="en-GB"/>
              </w:rPr>
            </w:pPr>
          </w:p>
          <w:p w14:paraId="02EDFA64" w14:textId="716C0428" w:rsidR="00D01625" w:rsidRPr="00B65EE5" w:rsidRDefault="00A96AEA" w:rsidP="00FF7A9A">
            <w:pPr>
              <w:pStyle w:val="Tabletext"/>
            </w:pPr>
            <w:r w:rsidRPr="0039766B">
              <w:rPr>
                <w:highlight w:val="cyan"/>
                <w:lang w:val="en-GB"/>
              </w:rPr>
              <w:t>[</w:t>
            </w:r>
            <w:r w:rsidRPr="00A96AEA">
              <w:rPr>
                <w:highlight w:val="cyan"/>
                <w:lang w:val="en-GB"/>
              </w:rPr>
              <w:t>If overdose or severe adverse reaction suspected manage following local policy</w:t>
            </w:r>
            <w:r w:rsidRPr="0039766B">
              <w:rPr>
                <w:highlight w:val="cyan"/>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0" w:history="1">
              <w:r w:rsidRPr="00F6120B">
                <w:rPr>
                  <w:rStyle w:val="Hyperlink"/>
                </w:rPr>
                <w:t>MHRA's Yellow Card Scheme</w:t>
              </w:r>
            </w:hyperlink>
            <w:r>
              <w:t xml:space="preserve"> </w:t>
            </w:r>
            <w:r w:rsidRPr="0039766B">
              <w:rPr>
                <w:highlight w:val="cyan"/>
              </w:rPr>
              <w:t>[</w:t>
            </w:r>
            <w:r w:rsidRPr="00504FB7">
              <w:rPr>
                <w:highlight w:val="cyan"/>
              </w:rPr>
              <w:t>follow organisation policy (include link and any further detail required)</w:t>
            </w:r>
            <w:r w:rsidRPr="0039766B">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39766B">
              <w:rPr>
                <w:highlight w:val="cyan"/>
              </w:rPr>
              <w:t>[</w:t>
            </w:r>
            <w:r w:rsidRPr="00802041">
              <w:rPr>
                <w:highlight w:val="cyan"/>
              </w:rPr>
              <w:t>Report via organisation incident policy (include link and any further detail required)</w:t>
            </w:r>
            <w:r w:rsidRPr="0039766B">
              <w:rPr>
                <w:highlight w:val="cyan"/>
              </w:rPr>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0D397B97" w14:textId="77777777" w:rsidR="00A96AEA" w:rsidRPr="007744FC" w:rsidRDefault="00A96AEA" w:rsidP="00A96AEA">
            <w:pPr>
              <w:pStyle w:val="Bulletindent1"/>
              <w:rPr>
                <w:rFonts w:eastAsia="Arial"/>
              </w:rPr>
            </w:pPr>
            <w:r w:rsidRPr="007744FC">
              <w:rPr>
                <w:rFonts w:eastAsia="Arial"/>
              </w:rPr>
              <w:t xml:space="preserve">Ensure access to product information prior to insertion or supply of the medicine and especially discuss the side effects and how to report.  </w:t>
            </w:r>
          </w:p>
          <w:p w14:paraId="7146FA90" w14:textId="77777777" w:rsidR="00A96AEA" w:rsidRPr="007744FC" w:rsidRDefault="00A96AEA" w:rsidP="00A96AEA">
            <w:pPr>
              <w:pStyle w:val="Bulletindent1"/>
              <w:rPr>
                <w:rFonts w:eastAsia="Arial"/>
              </w:rPr>
            </w:pPr>
            <w:r w:rsidRPr="007744FC">
              <w:rPr>
                <w:rFonts w:eastAsia="Arial"/>
              </w:rPr>
              <w:t>Provide Manufacturer’s Patient Information Leaflet (PIL).</w:t>
            </w:r>
          </w:p>
          <w:p w14:paraId="4B0754AE" w14:textId="77777777" w:rsidR="00A96AEA" w:rsidRPr="007744FC" w:rsidRDefault="00A96AEA" w:rsidP="00A96AEA">
            <w:pPr>
              <w:pStyle w:val="Bulletindent1"/>
              <w:rPr>
                <w:rFonts w:eastAsia="Arial"/>
              </w:rPr>
            </w:pPr>
            <w:r w:rsidRPr="007744FC">
              <w:rPr>
                <w:rFonts w:eastAsia="Arial"/>
              </w:rPr>
              <w:lastRenderedPageBreak/>
              <w:t>Explain mode of action, side effects, and benefits of the medicine.</w:t>
            </w:r>
          </w:p>
          <w:p w14:paraId="7348867A" w14:textId="77777777" w:rsidR="00A96AEA" w:rsidRPr="00586202" w:rsidRDefault="00A96AEA" w:rsidP="00A96AEA">
            <w:pPr>
              <w:pStyle w:val="Bulletindent1"/>
              <w:rPr>
                <w:rFonts w:eastAsia="Arial"/>
              </w:rPr>
            </w:pPr>
            <w:r w:rsidRPr="007744FC">
              <w:rPr>
                <w:rFonts w:eastAsia="Arial"/>
              </w:rPr>
              <w:t xml:space="preserve">Advise that limited evidence suggests no increased risk of venous or arterial thromboembolic events associated with use of the implant.  </w:t>
            </w:r>
          </w:p>
          <w:p w14:paraId="405BEC68" w14:textId="77777777" w:rsidR="00A96AEA" w:rsidRPr="007744FC" w:rsidRDefault="00A96AEA" w:rsidP="00A96AEA">
            <w:pPr>
              <w:pStyle w:val="Bulletindent1"/>
              <w:rPr>
                <w:rFonts w:eastAsia="Arial"/>
              </w:rPr>
            </w:pPr>
            <w:r w:rsidRPr="007744FC">
              <w:rPr>
                <w:rFonts w:eastAsia="Arial"/>
              </w:rPr>
              <w:t>Advise on need for additional barrier method</w:t>
            </w:r>
            <w:r>
              <w:rPr>
                <w:rFonts w:eastAsia="Arial"/>
              </w:rPr>
              <w:t xml:space="preserve"> and pregnancy test</w:t>
            </w:r>
            <w:r w:rsidRPr="007744FC">
              <w:rPr>
                <w:rFonts w:eastAsia="Arial"/>
              </w:rPr>
              <w:t xml:space="preserve"> as appropriate.  </w:t>
            </w:r>
          </w:p>
          <w:p w14:paraId="218935D0" w14:textId="77777777" w:rsidR="00A96AEA" w:rsidRPr="007744FC" w:rsidRDefault="00A96AEA" w:rsidP="00A96AEA">
            <w:pPr>
              <w:pStyle w:val="Bulletindent1"/>
              <w:rPr>
                <w:rFonts w:eastAsia="Arial"/>
              </w:rPr>
            </w:pPr>
            <w:r w:rsidRPr="007744FC">
              <w:rPr>
                <w:rFonts w:eastAsia="Arial"/>
              </w:rPr>
              <w:t>How to care for the insertion site and advise to return</w:t>
            </w:r>
            <w:r>
              <w:rPr>
                <w:rFonts w:eastAsia="Arial"/>
              </w:rPr>
              <w:t xml:space="preserve"> (or where to seek advice)</w:t>
            </w:r>
            <w:r w:rsidRPr="007744FC">
              <w:rPr>
                <w:rFonts w:eastAsia="Arial"/>
              </w:rPr>
              <w:t xml:space="preserve"> if concerns about insertion site</w:t>
            </w:r>
          </w:p>
          <w:p w14:paraId="27E232D9" w14:textId="77777777" w:rsidR="00A96AEA" w:rsidRPr="007744FC" w:rsidRDefault="00A96AEA" w:rsidP="00A96AEA">
            <w:pPr>
              <w:pStyle w:val="Bulletindent1"/>
              <w:rPr>
                <w:rFonts w:eastAsia="Arial"/>
              </w:rPr>
            </w:pPr>
            <w:r w:rsidRPr="007744FC">
              <w:rPr>
                <w:rFonts w:eastAsia="Arial"/>
              </w:rPr>
              <w:t xml:space="preserve">Advise that a change in bleeding pattern is likely and provide clear, accessible information about possible bleeding patterns and advise how to access support for management of problematic bleeding and advise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they are concerned or if irregular bleeding persists. </w:t>
            </w:r>
          </w:p>
          <w:p w14:paraId="2BC570D8" w14:textId="77777777" w:rsidR="00A96AEA" w:rsidRPr="00E805FC" w:rsidRDefault="00A96AEA" w:rsidP="00A96AEA">
            <w:pPr>
              <w:pStyle w:val="Bulletindent1"/>
              <w:rPr>
                <w:rFonts w:eastAsia="Arial"/>
              </w:rPr>
            </w:pPr>
            <w:r w:rsidRPr="007744FC">
              <w:rPr>
                <w:rFonts w:eastAsia="Arial"/>
              </w:rPr>
              <w:t xml:space="preserve">Individuals should be advised that intravascular insertion and distant migration are rare complications of the implant insertion procedure.  Advise individual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unable to palpate implant, it changes shape or </w:t>
            </w:r>
            <w:r>
              <w:rPr>
                <w:rFonts w:eastAsia="Arial"/>
              </w:rPr>
              <w:t>individual</w:t>
            </w:r>
            <w:r w:rsidRPr="007744FC">
              <w:rPr>
                <w:rFonts w:eastAsia="Arial"/>
              </w:rPr>
              <w:t xml:space="preserve"> </w:t>
            </w:r>
            <w:r w:rsidRPr="00E805FC">
              <w:rPr>
                <w:rFonts w:eastAsia="Arial"/>
              </w:rPr>
              <w:t xml:space="preserve">develops pain around the site. </w:t>
            </w:r>
          </w:p>
          <w:p w14:paraId="5086E948" w14:textId="77777777" w:rsidR="00A96AEA" w:rsidRPr="00E805FC" w:rsidRDefault="00A96AEA" w:rsidP="00A96AEA">
            <w:pPr>
              <w:pStyle w:val="Bulletindent1"/>
              <w:rPr>
                <w:rFonts w:eastAsia="Arial"/>
              </w:rPr>
            </w:pPr>
            <w:bookmarkStart w:id="7" w:name="_Hlk158725086"/>
            <w:r w:rsidRPr="00E805FC">
              <w:t>Individuals should be advised that current use of progestogen-only contraceptives is associated with a small increased risk of breast cancer which reduces with time after stopping</w:t>
            </w:r>
            <w:bookmarkEnd w:id="7"/>
            <w:r w:rsidRPr="00E805FC">
              <w:t>.</w:t>
            </w:r>
          </w:p>
          <w:p w14:paraId="62B04EB0" w14:textId="77777777" w:rsidR="00A96AEA" w:rsidRPr="00491753" w:rsidRDefault="00A96AEA" w:rsidP="00A96AEA">
            <w:pPr>
              <w:pStyle w:val="Bulletindent1"/>
              <w:rPr>
                <w:rFonts w:eastAsia="Arial"/>
              </w:rPr>
            </w:pPr>
            <w:r w:rsidRPr="00E805FC">
              <w:rPr>
                <w:rFonts w:eastAsia="Arial"/>
              </w:rPr>
              <w:t xml:space="preserve">Give information on who to </w:t>
            </w:r>
            <w:r w:rsidRPr="00491753">
              <w:rPr>
                <w:rFonts w:eastAsia="Arial"/>
              </w:rPr>
              <w:t>contact in the event of an adverse reaction or concerns.</w:t>
            </w:r>
          </w:p>
          <w:p w14:paraId="5140B229" w14:textId="20C7A67B" w:rsidR="00A96AEA" w:rsidRPr="00B65EE5" w:rsidRDefault="00A96AEA" w:rsidP="00A96AEA">
            <w:pPr>
              <w:pStyle w:val="Bulletindent1"/>
            </w:pPr>
            <w:r w:rsidRPr="007744FC">
              <w:rPr>
                <w:rFonts w:eastAsia="Arial"/>
              </w:rPr>
              <w:t>Provide verbal and written information on the implant.</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79BA2FF4" w14:textId="77777777" w:rsidR="00A96AEA" w:rsidRPr="007744FC" w:rsidRDefault="00A96AEA" w:rsidP="00A96AEA">
            <w:pPr>
              <w:pStyle w:val="Bulletindent1"/>
              <w:rPr>
                <w:rFonts w:eastAsia="Arial"/>
              </w:rPr>
            </w:pPr>
            <w:r w:rsidRPr="007744FC">
              <w:rPr>
                <w:rFonts w:eastAsia="Arial"/>
              </w:rPr>
              <w:t xml:space="preserve">How long the implant lasts for – when they need to arrange for removal and replacement.  </w:t>
            </w:r>
          </w:p>
          <w:p w14:paraId="7F8353A7" w14:textId="439EB66C" w:rsidR="00C75F95" w:rsidRPr="00A96AEA" w:rsidRDefault="00A96AEA" w:rsidP="00A96AEA">
            <w:pPr>
              <w:pStyle w:val="Bulletindent1"/>
              <w:rPr>
                <w:rFonts w:eastAsia="Arial"/>
              </w:rPr>
            </w:pPr>
            <w:r w:rsidRPr="00A96AEA">
              <w:rPr>
                <w:rFonts w:eastAsia="Arial"/>
              </w:rPr>
              <w:t>To return to clinic (or where to seek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lastRenderedPageBreak/>
              <w:t xml:space="preserve">If individual is under 16 years of age document capacity using Fraser guidelines.  If not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09EC728D" w14:textId="77777777"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Pr="00FA0028" w:rsidRDefault="0094164C" w:rsidP="0094164C">
            <w:pPr>
              <w:pStyle w:val="Bulletindent1"/>
            </w:pPr>
            <w:r w:rsidRPr="00FA0028">
              <w:t>Inclusion or exclusion from PGD</w:t>
            </w:r>
          </w:p>
          <w:p w14:paraId="7C1BEDCF" w14:textId="77777777" w:rsidR="0094164C" w:rsidRPr="00FA0028" w:rsidRDefault="0094164C" w:rsidP="0094164C">
            <w:pPr>
              <w:pStyle w:val="Bulletindent1"/>
            </w:pPr>
            <w:r w:rsidRPr="00FA0028">
              <w:t>Advice given about the implant including side effects, benefits, and when and what to do if any concerns</w:t>
            </w:r>
          </w:p>
          <w:p w14:paraId="567F2718" w14:textId="77777777" w:rsidR="0094164C" w:rsidRPr="00FA0028" w:rsidRDefault="0094164C" w:rsidP="0094164C">
            <w:pPr>
              <w:pStyle w:val="Bulletindent1"/>
            </w:pPr>
            <w:r w:rsidRPr="00FA0028">
              <w:t>Details of any adverse drug reactions and what action taken</w:t>
            </w:r>
          </w:p>
          <w:p w14:paraId="670B9829" w14:textId="77777777" w:rsidR="0094164C" w:rsidRPr="00FA0028" w:rsidRDefault="0094164C" w:rsidP="0094164C">
            <w:pPr>
              <w:pStyle w:val="Bulletindent1"/>
            </w:pPr>
            <w:r w:rsidRPr="00FA0028">
              <w:t>Any administration outside the marketing authorisation</w:t>
            </w:r>
          </w:p>
          <w:p w14:paraId="42D951EF" w14:textId="77777777" w:rsidR="0094164C" w:rsidRDefault="0094164C" w:rsidP="0094164C">
            <w:pPr>
              <w:pStyle w:val="Bulletindent1"/>
            </w:pPr>
            <w:r w:rsidRPr="00FA0028">
              <w:t>Record the name/brand, dose of the medication, site of insertion (including which arm and exact location), and palpation of implant following procedure by both the nurse and the individual</w:t>
            </w:r>
          </w:p>
          <w:p w14:paraId="674BFFC5" w14:textId="7EC27024" w:rsidR="0094164C" w:rsidRPr="005509F5" w:rsidRDefault="0094164C" w:rsidP="0094164C">
            <w:pPr>
              <w:pStyle w:val="Bulletindent1"/>
            </w:pPr>
            <w:r w:rsidRPr="005509F5">
              <w:rPr>
                <w:highlight w:val="cyan"/>
              </w:rPr>
              <w:t>[Batch number and expiry date of product in line with local procedure]</w:t>
            </w:r>
          </w:p>
          <w:p w14:paraId="0FE578CC" w14:textId="77777777" w:rsidR="0094164C" w:rsidRPr="00FA0028" w:rsidRDefault="0094164C" w:rsidP="0094164C">
            <w:pPr>
              <w:pStyle w:val="Bulletindent1"/>
            </w:pPr>
            <w:r w:rsidRPr="00FA0028">
              <w:t xml:space="preserve">Record any referral, follow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4410520" w14:textId="77777777" w:rsidR="0094164C" w:rsidRPr="00FA0028" w:rsidRDefault="0094164C" w:rsidP="0094164C">
            <w:pPr>
              <w:pStyle w:val="Bulletindent1"/>
            </w:pPr>
            <w:r w:rsidRPr="00FA0028">
              <w:t>A statement that supply and insertion is by using a PGD</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331582EE" w14:textId="77777777" w:rsidR="00C75F95" w:rsidRDefault="00C75F95" w:rsidP="00461139">
            <w:pPr>
              <w:pStyle w:val="Tabletext"/>
            </w:pPr>
            <w:r w:rsidRPr="00B75499">
              <w:lastRenderedPageBreak/>
              <w:t>A record of all individuals receiving treatment under this PGD should also be kept for audit purposes in accordance with local policy.</w:t>
            </w:r>
          </w:p>
          <w:p w14:paraId="08BE06BC" w14:textId="503E740A" w:rsidR="00872343" w:rsidRPr="00EE599B" w:rsidRDefault="00872343" w:rsidP="00461139">
            <w:pPr>
              <w:pStyle w:val="Tabletext"/>
              <w:rPr>
                <w:rFonts w:eastAsia="Arial"/>
              </w:rPr>
            </w:pPr>
            <w:r w:rsidRPr="00872343">
              <w:rPr>
                <w:rFonts w:eastAsia="Arial"/>
                <w:lang w:val="en-GB"/>
              </w:rPr>
              <w:t xml:space="preserve">All records should be kept in line with </w:t>
            </w:r>
            <w:hyperlink r:id="rId31" w:history="1">
              <w:r w:rsidRPr="00872343">
                <w:rPr>
                  <w:rStyle w:val="Hyperlink"/>
                  <w:rFonts w:eastAsia="Arial"/>
                  <w:lang w:val="en-GB"/>
                </w:rPr>
                <w:t>NHS England Records Management Code of Practice</w:t>
              </w:r>
            </w:hyperlink>
            <w:r w:rsidRPr="00872343">
              <w:rPr>
                <w:rFonts w:eastAsia="Arial"/>
                <w:lang w:val="en-GB"/>
              </w:rPr>
              <w:t>. This includes individual data, master copies of the PGD and lists of authorised practitioners.</w:t>
            </w:r>
          </w:p>
        </w:tc>
      </w:tr>
    </w:tbl>
    <w:p w14:paraId="3621EC27" w14:textId="77777777" w:rsidR="00096D14" w:rsidRDefault="00096D14" w:rsidP="00096D14">
      <w:pPr>
        <w:pStyle w:val="Heading1"/>
        <w:spacing w:after="0"/>
      </w:pPr>
      <w:bookmarkStart w:id="8" w:name="Regimens"/>
      <w:bookmarkEnd w:id="3"/>
      <w:bookmarkEnd w:id="8"/>
    </w:p>
    <w:p w14:paraId="0E6FB204" w14:textId="0FAD58C5" w:rsidR="00170A61" w:rsidRPr="00144AA2" w:rsidRDefault="00725927" w:rsidP="00170A61">
      <w:pPr>
        <w:pStyle w:val="Heading1"/>
      </w:pPr>
      <w:r w:rsidRPr="00144AA2">
        <w:t xml:space="preserve">Key references </w:t>
      </w:r>
      <w:r w:rsidR="00170A61" w:rsidRPr="00144AA2">
        <w:t>(accessed</w:t>
      </w:r>
      <w:r w:rsidR="00B65E35" w:rsidRPr="00144AA2">
        <w:t xml:space="preserve"> February </w:t>
      </w:r>
      <w:r w:rsidR="00B65E35" w:rsidRPr="001D7E55">
        <w:t>202</w:t>
      </w:r>
      <w:r w:rsidR="00946613" w:rsidRPr="001D7E55">
        <w:t>6</w:t>
      </w:r>
      <w:r w:rsidR="005A3534" w:rsidRPr="001D7E55">
        <w:t>, updated May 2026</w:t>
      </w:r>
      <w:r w:rsidR="00170A61" w:rsidRPr="00144AA2">
        <w:t>)</w:t>
      </w:r>
    </w:p>
    <w:p w14:paraId="50E4146D" w14:textId="50B4416A" w:rsidR="00CE7FFC" w:rsidRPr="003743CF" w:rsidRDefault="00C640C0" w:rsidP="00170A61">
      <w:pPr>
        <w:pStyle w:val="Bulletindent1"/>
        <w:rPr>
          <w:rStyle w:val="Hyperlink"/>
        </w:rPr>
      </w:pPr>
      <w:hyperlink r:id="rId32"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33" w:history="1">
        <w:r w:rsidRPr="003743CF">
          <w:rPr>
            <w:rStyle w:val="Hyperlink"/>
          </w:rPr>
          <w:t>Current edition of British National Formulary</w:t>
        </w:r>
      </w:hyperlink>
    </w:p>
    <w:p w14:paraId="0360EE5F" w14:textId="1E215AA2" w:rsidR="00A05022" w:rsidRPr="003743CF" w:rsidRDefault="00A05022" w:rsidP="00A05022">
      <w:pPr>
        <w:pStyle w:val="Bulletindent1"/>
        <w:rPr>
          <w:rStyle w:val="Hyperlink"/>
        </w:rPr>
      </w:pPr>
      <w:hyperlink r:id="rId34" w:history="1">
        <w:r w:rsidRPr="003743CF">
          <w:rPr>
            <w:rStyle w:val="Hyperlink"/>
          </w:rPr>
          <w:t>NICE Medicines practice guideline MPG2 - Patient Group Directions - Last Updated 27 March 2017</w:t>
        </w:r>
      </w:hyperlink>
    </w:p>
    <w:p w14:paraId="67D4308C" w14:textId="200AE4B7" w:rsidR="003743CF" w:rsidRPr="005D5C1A" w:rsidRDefault="005D5C1A" w:rsidP="003743CF">
      <w:pPr>
        <w:pStyle w:val="Bulletindent1"/>
        <w:rPr>
          <w:rStyle w:val="Hyperlink"/>
        </w:rPr>
      </w:pPr>
      <w:r>
        <w:rPr>
          <w:lang w:val="en-US"/>
        </w:rPr>
        <w:fldChar w:fldCharType="begin"/>
      </w:r>
      <w:r w:rsidR="00DD3D6C">
        <w:rPr>
          <w:lang w:val="en-US"/>
        </w:rPr>
        <w:instrText>HYPERLINK "https://www.nice.org.uk/guidance/cg30"</w:instrText>
      </w:r>
      <w:r>
        <w:rPr>
          <w:lang w:val="en-US"/>
        </w:rPr>
      </w:r>
      <w:r>
        <w:rPr>
          <w:lang w:val="en-US"/>
        </w:rPr>
        <w:fldChar w:fldCharType="separate"/>
      </w:r>
      <w:r w:rsidR="003743CF" w:rsidRPr="005D5C1A">
        <w:rPr>
          <w:rStyle w:val="Hyperlink"/>
          <w:lang w:val="en-US"/>
        </w:rPr>
        <w:t>National Institute of Health and Clinical Excellence; Long Acting Reversible Contraception CG30 (2005) Last revised July 2019</w:t>
      </w:r>
    </w:p>
    <w:p w14:paraId="7A53903C" w14:textId="16953074" w:rsidR="003743CF" w:rsidRPr="00096D14" w:rsidRDefault="005D5C1A" w:rsidP="003743CF">
      <w:pPr>
        <w:pStyle w:val="Bulletindent1"/>
        <w:rPr>
          <w:color w:val="0000FF"/>
          <w:u w:val="single"/>
        </w:rPr>
      </w:pPr>
      <w:r>
        <w:rPr>
          <w:lang w:val="en-US"/>
        </w:rPr>
        <w:fldChar w:fldCharType="end"/>
      </w:r>
      <w:hyperlink r:id="rId35" w:history="1">
        <w:r w:rsidR="00D80E2C">
          <w:rPr>
            <w:rStyle w:val="Hyperlink"/>
          </w:rPr>
          <w:t>Co</w:t>
        </w:r>
        <w:r w:rsidR="003743CF" w:rsidRPr="003743CF">
          <w:rPr>
            <w:rStyle w:val="Hyperlink"/>
          </w:rPr>
          <w:t>SRH Clinical Guideline: Progestogen-only Implant (February 2021</w:t>
        </w:r>
        <w:r w:rsidR="001A7E04">
          <w:rPr>
            <w:rStyle w:val="Hyperlink"/>
          </w:rPr>
          <w:t xml:space="preserve">, </w:t>
        </w:r>
        <w:r w:rsidR="001A7E04" w:rsidRPr="00144AA2">
          <w:rPr>
            <w:rStyle w:val="Hyperlink"/>
          </w:rPr>
          <w:t>amended</w:t>
        </w:r>
        <w:r w:rsidR="001A7E04" w:rsidRPr="001A7E04">
          <w:rPr>
            <w:rStyle w:val="Hyperlink"/>
            <w:color w:val="FF0000"/>
          </w:rPr>
          <w:t xml:space="preserve"> </w:t>
        </w:r>
        <w:r w:rsidR="001A7E04" w:rsidRPr="00144AA2">
          <w:rPr>
            <w:rStyle w:val="Hyperlink"/>
          </w:rPr>
          <w:t>Jul 2</w:t>
        </w:r>
        <w:r w:rsidR="00144AA2">
          <w:rPr>
            <w:rStyle w:val="Hyperlink"/>
          </w:rPr>
          <w:t>023</w:t>
        </w:r>
        <w:r w:rsidR="003743CF" w:rsidRPr="003743CF">
          <w:rPr>
            <w:rStyle w:val="Hyperlink"/>
          </w:rPr>
          <w:t>)</w:t>
        </w:r>
      </w:hyperlink>
    </w:p>
    <w:p w14:paraId="19F378CD" w14:textId="465BF9FF" w:rsidR="00096D14" w:rsidRPr="001D7E55" w:rsidRDefault="00682078" w:rsidP="003743CF">
      <w:pPr>
        <w:pStyle w:val="Bulletindent1"/>
        <w:rPr>
          <w:rStyle w:val="Hyperlink"/>
        </w:rPr>
      </w:pPr>
      <w:hyperlink r:id="rId36" w:history="1">
        <w:r w:rsidRPr="001D7E55">
          <w:rPr>
            <w:rStyle w:val="Hyperlink"/>
          </w:rPr>
          <w:t>CoSRH CEU Statement: extension of use of the etonogestrel implant (Nexplanon®) to 5 years (May 2026)</w:t>
        </w:r>
      </w:hyperlink>
    </w:p>
    <w:p w14:paraId="4BAFE4D7" w14:textId="5510FD76" w:rsidR="003743CF" w:rsidRPr="003743CF" w:rsidRDefault="00D80E2C" w:rsidP="003743CF">
      <w:pPr>
        <w:pStyle w:val="Bulletindent1"/>
        <w:rPr>
          <w:rStyle w:val="Hyperlink"/>
        </w:rPr>
      </w:pPr>
      <w:hyperlink r:id="rId37" w:history="1">
        <w:r>
          <w:rPr>
            <w:rStyle w:val="Hyperlink"/>
          </w:rPr>
          <w:t xml:space="preserve">College </w:t>
        </w:r>
        <w:r w:rsidR="003743CF" w:rsidRPr="003743CF">
          <w:rPr>
            <w:rStyle w:val="Hyperlink"/>
          </w:rPr>
          <w:t>of Sexual and Reproductive Health</w:t>
        </w:r>
        <w:r w:rsidR="006549A6">
          <w:rPr>
            <w:rStyle w:val="Hyperlink"/>
          </w:rPr>
          <w:t>care</w:t>
        </w:r>
        <w:r w:rsidR="003743CF" w:rsidRPr="003743CF">
          <w:rPr>
            <w:rStyle w:val="Hyperlink"/>
          </w:rPr>
          <w:t xml:space="preserve"> Drug Interactions with Hormonal Contraception </w:t>
        </w:r>
        <w:r w:rsidR="001C275B">
          <w:rPr>
            <w:rStyle w:val="Hyperlink"/>
          </w:rPr>
          <w:t>(</w:t>
        </w:r>
        <w:r w:rsidR="003743CF" w:rsidRPr="003743CF">
          <w:rPr>
            <w:rStyle w:val="Hyperlink"/>
          </w:rPr>
          <w:t>May 202</w:t>
        </w:r>
        <w:r w:rsidR="001C275B">
          <w:rPr>
            <w:rStyle w:val="Hyperlink"/>
          </w:rPr>
          <w:t>2)</w:t>
        </w:r>
      </w:hyperlink>
    </w:p>
    <w:p w14:paraId="403493D3" w14:textId="040C2257" w:rsidR="003743CF" w:rsidRPr="003743CF" w:rsidRDefault="00D80E2C" w:rsidP="003743CF">
      <w:pPr>
        <w:pStyle w:val="Bulletindent1"/>
        <w:rPr>
          <w:rStyle w:val="Hyperlink"/>
        </w:rPr>
      </w:pPr>
      <w:hyperlink r:id="rId38" w:history="1">
        <w:r>
          <w:rPr>
            <w:rStyle w:val="Hyperlink"/>
          </w:rPr>
          <w:t>College</w:t>
        </w:r>
        <w:r w:rsidR="003743CF" w:rsidRPr="003743CF">
          <w:rPr>
            <w:rStyle w:val="Hyperlink"/>
          </w:rPr>
          <w:t xml:space="preserve"> of Sexual and Reproductive Healthcare (</w:t>
        </w:r>
        <w:r w:rsidR="00144AA2">
          <w:rPr>
            <w:rStyle w:val="Hyperlink"/>
          </w:rPr>
          <w:t>20</w:t>
        </w:r>
        <w:r w:rsidR="004A5C27" w:rsidRPr="00144AA2">
          <w:rPr>
            <w:rStyle w:val="Hyperlink"/>
          </w:rPr>
          <w:t>25</w:t>
        </w:r>
        <w:r w:rsidR="003743CF" w:rsidRPr="003743CF">
          <w:rPr>
            <w:rStyle w:val="Hyperlink"/>
          </w:rPr>
          <w:t xml:space="preserve">) UK Medical Eligibility Criteria for Contraceptive Use.     </w:t>
        </w:r>
      </w:hyperlink>
      <w:r w:rsidR="003743CF" w:rsidRPr="003743CF">
        <w:rPr>
          <w:rStyle w:val="Hyperlink"/>
        </w:rPr>
        <w:t xml:space="preserve"> </w:t>
      </w:r>
    </w:p>
    <w:p w14:paraId="1D34CC29" w14:textId="20538682" w:rsidR="003743CF" w:rsidRDefault="00D80E2C" w:rsidP="003743CF">
      <w:pPr>
        <w:pStyle w:val="Bulletindent1"/>
        <w:rPr>
          <w:rStyle w:val="Hyperlink"/>
        </w:rPr>
      </w:pPr>
      <w:hyperlink r:id="rId39" w:history="1">
        <w:r>
          <w:rPr>
            <w:rStyle w:val="Hyperlink"/>
          </w:rPr>
          <w:t>College</w:t>
        </w:r>
        <w:r w:rsidR="003743CF" w:rsidRPr="003743CF">
          <w:rPr>
            <w:rStyle w:val="Hyperlink"/>
          </w:rPr>
          <w:t xml:space="preserve"> of Sexual and Reproductive Healthcare Clinical Guideline: Quick Starting Contraception (April 2017)</w:t>
        </w:r>
      </w:hyperlink>
      <w:r w:rsidR="003743CF" w:rsidRPr="003743CF">
        <w:rPr>
          <w:rStyle w:val="Hyperlink"/>
        </w:rPr>
        <w:t xml:space="preserve"> </w:t>
      </w:r>
    </w:p>
    <w:p w14:paraId="0DA80640" w14:textId="09D8A54A" w:rsidR="00BD52E0" w:rsidRPr="003743CF" w:rsidRDefault="00BD52E0" w:rsidP="003743CF">
      <w:pPr>
        <w:pStyle w:val="Bulletindent1"/>
        <w:rPr>
          <w:rStyle w:val="Hyperlink"/>
        </w:rPr>
      </w:pPr>
      <w:hyperlink r:id="rId40" w:history="1">
        <w:r>
          <w:rPr>
            <w:rStyle w:val="Hyperlink"/>
          </w:rPr>
          <w:t>Co</w:t>
        </w:r>
        <w:r w:rsidRPr="00BD52E0">
          <w:rPr>
            <w:rStyle w:val="Hyperlink"/>
          </w:rPr>
          <w:t>SRH Clinical Guideline: Emergency Contraception (March 2017, amended July 2023) | CoSRH</w:t>
        </w:r>
      </w:hyperlink>
    </w:p>
    <w:p w14:paraId="213747E3" w14:textId="3A7CC2F0" w:rsidR="003743CF" w:rsidRPr="00C226B6" w:rsidRDefault="00C226B6" w:rsidP="003743CF">
      <w:pPr>
        <w:pStyle w:val="Bulletindent1"/>
        <w:rPr>
          <w:rStyle w:val="Hyperlink"/>
        </w:rPr>
      </w:pPr>
      <w:r>
        <w:rPr>
          <w:lang w:val="en-US"/>
        </w:rPr>
        <w:fldChar w:fldCharType="begin"/>
      </w:r>
      <w:r>
        <w:rPr>
          <w:lang w:val="en-US"/>
        </w:rPr>
        <w:instrText>HYPERLINK "https://www.fsrh.org/Public/Documents/ceu-guidance-problematic-bleeding-hormonal-contraception.aspx?WebsiteKey=f858b086-d221-4a83-9688-824162920b1b"</w:instrText>
      </w:r>
      <w:r>
        <w:rPr>
          <w:lang w:val="en-US"/>
        </w:rPr>
      </w:r>
      <w:r>
        <w:rPr>
          <w:lang w:val="en-US"/>
        </w:rPr>
        <w:fldChar w:fldCharType="separate"/>
      </w:r>
      <w:r w:rsidR="00D80E2C" w:rsidRPr="00C226B6">
        <w:rPr>
          <w:rStyle w:val="Hyperlink"/>
          <w:lang w:val="en-US"/>
        </w:rPr>
        <w:t>Co</w:t>
      </w:r>
      <w:r w:rsidR="003743CF" w:rsidRPr="00C226B6">
        <w:rPr>
          <w:rStyle w:val="Hyperlink"/>
          <w:lang w:val="en-US"/>
        </w:rPr>
        <w:t>SRH Clinical Guideline: Problematic Bleeding with Hormonal Contraception (July 2015)</w:t>
      </w:r>
    </w:p>
    <w:p w14:paraId="1AB044F2" w14:textId="5076C007" w:rsidR="003743CF" w:rsidRPr="003743CF" w:rsidRDefault="00C226B6" w:rsidP="003743CF">
      <w:pPr>
        <w:pStyle w:val="Bulletindent1"/>
        <w:rPr>
          <w:rStyle w:val="Hyperlink"/>
        </w:rPr>
      </w:pPr>
      <w:r>
        <w:rPr>
          <w:lang w:val="en-US"/>
        </w:rPr>
        <w:fldChar w:fldCharType="end"/>
      </w:r>
      <w:hyperlink r:id="rId41" w:history="1">
        <w:r w:rsidR="00D80E2C">
          <w:rPr>
            <w:rStyle w:val="Hyperlink"/>
            <w:lang w:val="en-US"/>
          </w:rPr>
          <w:t>College</w:t>
        </w:r>
        <w:r w:rsidR="003743CF" w:rsidRPr="003743CF">
          <w:rPr>
            <w:rStyle w:val="Hyperlink"/>
            <w:lang w:val="en-US"/>
          </w:rPr>
          <w:t xml:space="preserve"> of Sexual and Reproductive Healthcare (2014) Contraceptive choices for women with cardiac disease </w:t>
        </w:r>
      </w:hyperlink>
      <w:r w:rsidR="003743CF" w:rsidRPr="003743CF">
        <w:rPr>
          <w:rStyle w:val="Hyperlink"/>
          <w:lang w:val="en-US"/>
        </w:rPr>
        <w:t xml:space="preserve"> </w:t>
      </w:r>
    </w:p>
    <w:p w14:paraId="47178206" w14:textId="17F622C1" w:rsidR="003743CF" w:rsidRPr="003743CF" w:rsidRDefault="00D80E2C" w:rsidP="00A05022">
      <w:pPr>
        <w:pStyle w:val="Bulletindent1"/>
        <w:rPr>
          <w:rStyle w:val="Hyperlink"/>
        </w:rPr>
      </w:pPr>
      <w:hyperlink r:id="rId42" w:history="1">
        <w:r>
          <w:rPr>
            <w:rStyle w:val="Hyperlink"/>
            <w:lang w:val="en-US"/>
          </w:rPr>
          <w:t>College</w:t>
        </w:r>
        <w:r w:rsidR="003743CF" w:rsidRPr="003743CF">
          <w:rPr>
            <w:rStyle w:val="Hyperlink"/>
            <w:lang w:val="en-US"/>
          </w:rPr>
          <w:t xml:space="preserve"> of Sexual and Reproductive Healthcare (2017</w:t>
        </w:r>
        <w:r w:rsidR="006B0112">
          <w:rPr>
            <w:rStyle w:val="Hyperlink"/>
            <w:lang w:val="en-US"/>
          </w:rPr>
          <w:t>,</w:t>
        </w:r>
        <w:r w:rsidR="003743CF" w:rsidRPr="003743CF">
          <w:rPr>
            <w:rStyle w:val="Hyperlink"/>
            <w:lang w:val="en-US"/>
          </w:rPr>
          <w:t xml:space="preserve"> </w:t>
        </w:r>
        <w:r w:rsidR="001C275B">
          <w:rPr>
            <w:rStyle w:val="Hyperlink"/>
            <w:lang w:val="en-US"/>
          </w:rPr>
          <w:t>a</w:t>
        </w:r>
        <w:r w:rsidR="003743CF" w:rsidRPr="003743CF">
          <w:rPr>
            <w:rStyle w:val="Hyperlink"/>
            <w:lang w:val="en-US"/>
          </w:rPr>
          <w:t>mended October 2020</w:t>
        </w:r>
        <w:r w:rsidR="006B0112">
          <w:rPr>
            <w:rStyle w:val="Hyperlink"/>
            <w:lang w:val="en-US"/>
          </w:rPr>
          <w:t>)</w:t>
        </w:r>
        <w:r w:rsidR="003743CF" w:rsidRPr="003743CF">
          <w:rPr>
            <w:rStyle w:val="Hyperlink"/>
            <w:lang w:val="en-US"/>
          </w:rPr>
          <w:t xml:space="preserve"> Contraception After Pregnancy</w:t>
        </w:r>
      </w:hyperlink>
    </w:p>
    <w:p w14:paraId="0DED5FB1" w14:textId="56C947FE" w:rsidR="003743CF" w:rsidRPr="00C01C81" w:rsidRDefault="00C01C81">
      <w:pPr>
        <w:pStyle w:val="Bulletindent1"/>
        <w:rPr>
          <w:rStyle w:val="Hyperlink"/>
        </w:rPr>
      </w:pPr>
      <w:r>
        <w:fldChar w:fldCharType="begin"/>
      </w:r>
      <w:r>
        <w:instrText>HYPERLINK "https://www.fsrh.org/Public/Documents/response-to-study-on-use-of-chc-and-poc-and-breast-cancer.aspx"</w:instrText>
      </w:r>
      <w:r>
        <w:fldChar w:fldCharType="separate"/>
      </w:r>
      <w:r w:rsidR="00D80E2C" w:rsidRPr="00C01C81">
        <w:rPr>
          <w:rStyle w:val="Hyperlink"/>
        </w:rPr>
        <w:t>College</w:t>
      </w:r>
      <w:r w:rsidR="003743CF" w:rsidRPr="00C01C81">
        <w:rPr>
          <w:rStyle w:val="Hyperlink"/>
        </w:rPr>
        <w:t xml:space="preserve"> of Sexual and Reproductive Healthcare (2023) Response to new study on use of combined and progestogen-only hormonal contraception and breast cancer risk.</w:t>
      </w:r>
    </w:p>
    <w:p w14:paraId="78C89768" w14:textId="294345A5" w:rsidR="00B65E35" w:rsidRPr="003C462F" w:rsidRDefault="00C01C81" w:rsidP="005A3534">
      <w:pPr>
        <w:pStyle w:val="Bulletindent1"/>
        <w:rPr>
          <w:color w:val="0000FF"/>
          <w:u w:val="single"/>
        </w:rPr>
      </w:pPr>
      <w:r>
        <w:fldChar w:fldCharType="end"/>
      </w:r>
      <w:hyperlink r:id="rId43" w:history="1">
        <w:r w:rsidR="003743CF" w:rsidRPr="003743CF">
          <w:rPr>
            <w:rStyle w:val="Hyperlink"/>
          </w:rPr>
          <w:t>Medicines and Healthcare Regulatory Agency (2016) Nexplanon (etonogestrel) contraceptive implants: reports of device in vasculature and lung</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1C275B">
        <w:rPr>
          <w:highlight w:val="yellow"/>
        </w:rPr>
        <w:t>[[</w:t>
      </w:r>
      <w:r w:rsidR="00510425" w:rsidRPr="001C275B">
        <w:rPr>
          <w:highlight w:val="yellow"/>
        </w:rPr>
        <w:t>(</w:t>
      </w:r>
      <w:r w:rsidR="00510425" w:rsidRPr="00DF77C7">
        <w:rPr>
          <w:highlight w:val="yellow"/>
        </w:rPr>
        <w:t>appendices may be added as agreed locally including relevant patient questionnaires, links to protocols and any patient information</w:t>
      </w:r>
      <w:r w:rsidR="00510425" w:rsidRPr="001C275B">
        <w:rPr>
          <w:highlight w:val="yellow"/>
        </w:rPr>
        <w:t>)</w:t>
      </w:r>
      <w:r w:rsidRPr="001C275B">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1C275B">
        <w:rPr>
          <w:highlight w:val="yellow"/>
        </w:rPr>
        <w:t>[[</w:t>
      </w:r>
      <w:r w:rsidR="00510425" w:rsidRPr="001C275B">
        <w:rPr>
          <w:highlight w:val="yellow"/>
        </w:rPr>
        <w:t>(e</w:t>
      </w:r>
      <w:r w:rsidR="00510425" w:rsidRPr="00DF77C7">
        <w:rPr>
          <w:highlight w:val="yellow"/>
        </w:rPr>
        <w:t>xample – local versions/electronic systems may be used</w:t>
      </w:r>
      <w:r w:rsidR="00510425" w:rsidRPr="001C275B">
        <w:rPr>
          <w:highlight w:val="yellow"/>
        </w:rPr>
        <w:t>)</w:t>
      </w:r>
      <w:r w:rsidRPr="001C275B">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1C275B" w:rsidRPr="00DF77C7" w14:paraId="7D451408" w14:textId="77777777" w:rsidTr="00600F2A">
        <w:tc>
          <w:tcPr>
            <w:tcW w:w="2122" w:type="dxa"/>
          </w:tcPr>
          <w:p w14:paraId="539DE9F8" w14:textId="77777777" w:rsidR="001C275B" w:rsidRDefault="001C275B" w:rsidP="00ED232C">
            <w:pPr>
              <w:pStyle w:val="Tabletext"/>
            </w:pPr>
          </w:p>
          <w:p w14:paraId="7DE35775" w14:textId="77777777" w:rsidR="001C275B" w:rsidRPr="00DF77C7" w:rsidRDefault="001C275B" w:rsidP="00ED232C">
            <w:pPr>
              <w:pStyle w:val="Tabletext"/>
            </w:pPr>
          </w:p>
        </w:tc>
        <w:tc>
          <w:tcPr>
            <w:tcW w:w="2551" w:type="dxa"/>
          </w:tcPr>
          <w:p w14:paraId="159F2189" w14:textId="77777777" w:rsidR="001C275B" w:rsidRPr="00DF77C7" w:rsidRDefault="001C275B" w:rsidP="00ED232C">
            <w:pPr>
              <w:pStyle w:val="Tabletext"/>
            </w:pPr>
          </w:p>
        </w:tc>
        <w:tc>
          <w:tcPr>
            <w:tcW w:w="2693" w:type="dxa"/>
          </w:tcPr>
          <w:p w14:paraId="14D64C54" w14:textId="77777777" w:rsidR="001C275B" w:rsidRPr="00DF77C7" w:rsidRDefault="001C275B" w:rsidP="00ED232C">
            <w:pPr>
              <w:pStyle w:val="Tabletext"/>
            </w:pPr>
          </w:p>
        </w:tc>
        <w:tc>
          <w:tcPr>
            <w:tcW w:w="1560" w:type="dxa"/>
          </w:tcPr>
          <w:p w14:paraId="7C3AF7E5" w14:textId="77777777" w:rsidR="001C275B" w:rsidRPr="00DF77C7" w:rsidRDefault="001C275B"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1CA35A45"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861237">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861237">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lastRenderedPageBreak/>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4545EF">
        <w:rPr>
          <w:highlight w:val="cyan"/>
        </w:rPr>
        <w:t>[</w:t>
      </w:r>
      <w:r w:rsidR="00510425" w:rsidRPr="004545EF">
        <w:rPr>
          <w:highlight w:val="cyan"/>
        </w:rPr>
        <w:t>Add details on how this information is to be retained according to organisation PGD policy.</w:t>
      </w:r>
      <w:r w:rsidRPr="004545EF">
        <w:rPr>
          <w:highlight w:val="cyan"/>
        </w:rPr>
        <w:t>]</w:t>
      </w:r>
    </w:p>
    <w:p w14:paraId="495DAEDB" w14:textId="77777777" w:rsidR="00E11FE0" w:rsidRDefault="00E11FE0" w:rsidP="00ED232C">
      <w:pPr>
        <w:pStyle w:val="PGDNormal"/>
      </w:pPr>
    </w:p>
    <w:sectPr w:rsidR="00E11FE0" w:rsidSect="00537E57">
      <w:headerReference w:type="even" r:id="rId44"/>
      <w:headerReference w:type="default" r:id="rId45"/>
      <w:footerReference w:type="default" r:id="rId46"/>
      <w:headerReference w:type="first" r:id="rId4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37CA" w14:textId="77777777" w:rsidR="007809A8" w:rsidRPr="00DF77C7" w:rsidRDefault="007809A8">
      <w:r w:rsidRPr="00DF77C7">
        <w:separator/>
      </w:r>
    </w:p>
  </w:endnote>
  <w:endnote w:type="continuationSeparator" w:id="0">
    <w:p w14:paraId="718F4FE6" w14:textId="77777777" w:rsidR="007809A8" w:rsidRPr="00DF77C7" w:rsidRDefault="007809A8">
      <w:r w:rsidRPr="00DF77C7">
        <w:continuationSeparator/>
      </w:r>
    </w:p>
  </w:endnote>
  <w:endnote w:type="continuationNotice" w:id="1">
    <w:p w14:paraId="6F2F231E" w14:textId="77777777" w:rsidR="007809A8" w:rsidRDefault="00780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5A3534" w:rsidRDefault="005E6491" w:rsidP="00E52F42">
    <w:pPr>
      <w:pStyle w:val="Footer"/>
      <w:spacing w:after="0"/>
      <w:rPr>
        <w:sz w:val="20"/>
        <w:szCs w:val="20"/>
        <w:highlight w:val="cyan"/>
      </w:rPr>
    </w:pPr>
    <w:r w:rsidRPr="005A3534">
      <w:rPr>
        <w:sz w:val="20"/>
        <w:szCs w:val="20"/>
        <w:highlight w:val="cyan"/>
      </w:rPr>
      <w:t>[</w:t>
    </w:r>
    <w:r w:rsidR="007F0048" w:rsidRPr="005A3534">
      <w:rPr>
        <w:sz w:val="20"/>
        <w:szCs w:val="20"/>
        <w:highlight w:val="cyan"/>
      </w:rPr>
      <w:t>Reference Number:</w:t>
    </w:r>
  </w:p>
  <w:p w14:paraId="37AB56FF" w14:textId="77777777" w:rsidR="007F0048" w:rsidRPr="005A3534" w:rsidRDefault="007F0048" w:rsidP="00E52F42">
    <w:pPr>
      <w:pStyle w:val="PGDNormal"/>
      <w:spacing w:after="0"/>
      <w:rPr>
        <w:sz w:val="20"/>
        <w:highlight w:val="cyan"/>
      </w:rPr>
    </w:pPr>
    <w:r w:rsidRPr="005A3534">
      <w:rPr>
        <w:sz w:val="20"/>
        <w:highlight w:val="cyan"/>
      </w:rPr>
      <w:t>Valid from:</w:t>
    </w:r>
  </w:p>
  <w:p w14:paraId="433533CD" w14:textId="77777777" w:rsidR="007F0048" w:rsidRPr="005A3534" w:rsidRDefault="007F0048" w:rsidP="00E52F42">
    <w:pPr>
      <w:pStyle w:val="Footer"/>
      <w:spacing w:after="0"/>
      <w:rPr>
        <w:sz w:val="20"/>
        <w:szCs w:val="20"/>
        <w:highlight w:val="cyan"/>
      </w:rPr>
    </w:pPr>
    <w:r w:rsidRPr="005A3534">
      <w:rPr>
        <w:sz w:val="20"/>
        <w:szCs w:val="20"/>
        <w:highlight w:val="cyan"/>
      </w:rPr>
      <w:t>Review date:</w:t>
    </w:r>
  </w:p>
  <w:p w14:paraId="6B111E08" w14:textId="239AE8CD" w:rsidR="007F0048" w:rsidRPr="00DF77C7" w:rsidRDefault="007F0048" w:rsidP="00E52F42">
    <w:pPr>
      <w:pStyle w:val="Footer"/>
      <w:spacing w:after="0"/>
    </w:pPr>
    <w:r w:rsidRPr="005A3534">
      <w:rPr>
        <w:sz w:val="20"/>
        <w:szCs w:val="20"/>
        <w:highlight w:val="cyan"/>
      </w:rPr>
      <w:t>Expiry date:</w:t>
    </w:r>
    <w:r w:rsidR="005E6491" w:rsidRPr="005A3534">
      <w:rPr>
        <w:sz w:val="20"/>
        <w:szCs w:val="20"/>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7EDB" w14:textId="77777777" w:rsidR="007809A8" w:rsidRPr="00DF77C7" w:rsidRDefault="007809A8">
      <w:r w:rsidRPr="00DF77C7">
        <w:separator/>
      </w:r>
    </w:p>
  </w:footnote>
  <w:footnote w:type="continuationSeparator" w:id="0">
    <w:p w14:paraId="2F5CFF35" w14:textId="77777777" w:rsidR="007809A8" w:rsidRPr="00DF77C7" w:rsidRDefault="007809A8">
      <w:r w:rsidRPr="00DF77C7">
        <w:continuationSeparator/>
      </w:r>
    </w:p>
  </w:footnote>
  <w:footnote w:type="continuationNotice" w:id="1">
    <w:p w14:paraId="2171C71C" w14:textId="77777777" w:rsidR="007809A8" w:rsidRDefault="00780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7809A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7809A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D34DEA">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4D0D87">
      <w:rPr>
        <w:sz w:val="16"/>
        <w:szCs w:val="16"/>
        <w:highlight w:val="cyan"/>
      </w:rPr>
      <w:t>]</w:t>
    </w:r>
    <w:r w:rsidR="00B11B08" w:rsidRPr="00B11B08">
      <w:rPr>
        <w:sz w:val="16"/>
        <w:szCs w:val="16"/>
      </w:rPr>
      <w:t xml:space="preserve"> should be replaced with the user organisation’s own text. Text </w:t>
    </w:r>
    <w:r w:rsidR="005E6491" w:rsidRPr="004D0D87">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4D0D87">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7809A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517F2F"/>
    <w:multiLevelType w:val="multilevel"/>
    <w:tmpl w:val="EED06654"/>
    <w:lvl w:ilvl="0">
      <w:start w:val="1"/>
      <w:numFmt w:val="bullet"/>
      <w:lvlText w:val=""/>
      <w:lvlJc w:val="left"/>
      <w:pPr>
        <w:ind w:left="720" w:hanging="360"/>
      </w:pPr>
      <w:rPr>
        <w:rFonts w:ascii="Symbol" w:hAnsi="Symbol"/>
        <w:sz w:val="22"/>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87D95"/>
    <w:multiLevelType w:val="multilevel"/>
    <w:tmpl w:val="7EE0F67C"/>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2"/>
  </w:num>
  <w:num w:numId="2" w16cid:durableId="460340545">
    <w:abstractNumId w:val="13"/>
  </w:num>
  <w:num w:numId="3" w16cid:durableId="862549155">
    <w:abstractNumId w:val="27"/>
  </w:num>
  <w:num w:numId="4" w16cid:durableId="1902785077">
    <w:abstractNumId w:val="28"/>
  </w:num>
  <w:num w:numId="5" w16cid:durableId="1400252542">
    <w:abstractNumId w:val="19"/>
  </w:num>
  <w:num w:numId="6" w16cid:durableId="585113440">
    <w:abstractNumId w:val="12"/>
  </w:num>
  <w:num w:numId="7" w16cid:durableId="1512915418">
    <w:abstractNumId w:val="26"/>
  </w:num>
  <w:num w:numId="8" w16cid:durableId="759831936">
    <w:abstractNumId w:val="31"/>
  </w:num>
  <w:num w:numId="9" w16cid:durableId="1747412429">
    <w:abstractNumId w:val="3"/>
  </w:num>
  <w:num w:numId="10" w16cid:durableId="1297833641">
    <w:abstractNumId w:val="1"/>
  </w:num>
  <w:num w:numId="11" w16cid:durableId="1684160055">
    <w:abstractNumId w:val="30"/>
  </w:num>
  <w:num w:numId="12" w16cid:durableId="1610894224">
    <w:abstractNumId w:val="32"/>
  </w:num>
  <w:num w:numId="13" w16cid:durableId="1880973297">
    <w:abstractNumId w:val="17"/>
  </w:num>
  <w:num w:numId="14" w16cid:durableId="77676389">
    <w:abstractNumId w:val="4"/>
  </w:num>
  <w:num w:numId="15" w16cid:durableId="1496384920">
    <w:abstractNumId w:val="15"/>
  </w:num>
  <w:num w:numId="16" w16cid:durableId="441388192">
    <w:abstractNumId w:val="23"/>
    <w:lvlOverride w:ilvl="0">
      <w:startOverride w:val="1"/>
    </w:lvlOverride>
  </w:num>
  <w:num w:numId="17" w16cid:durableId="73867840">
    <w:abstractNumId w:val="6"/>
    <w:lvlOverride w:ilvl="0">
      <w:startOverride w:val="1"/>
    </w:lvlOverride>
  </w:num>
  <w:num w:numId="18" w16cid:durableId="373623662">
    <w:abstractNumId w:val="0"/>
  </w:num>
  <w:num w:numId="19" w16cid:durableId="775322151">
    <w:abstractNumId w:val="10"/>
  </w:num>
  <w:num w:numId="20" w16cid:durableId="611202580">
    <w:abstractNumId w:val="14"/>
  </w:num>
  <w:num w:numId="21" w16cid:durableId="191379547">
    <w:abstractNumId w:val="20"/>
  </w:num>
  <w:num w:numId="22" w16cid:durableId="1596551579">
    <w:abstractNumId w:val="2"/>
  </w:num>
  <w:num w:numId="23" w16cid:durableId="1781561757">
    <w:abstractNumId w:val="5"/>
  </w:num>
  <w:num w:numId="24" w16cid:durableId="1081025093">
    <w:abstractNumId w:val="9"/>
  </w:num>
  <w:num w:numId="25" w16cid:durableId="1466002821">
    <w:abstractNumId w:val="18"/>
  </w:num>
  <w:num w:numId="26" w16cid:durableId="1040744193">
    <w:abstractNumId w:val="7"/>
  </w:num>
  <w:num w:numId="27" w16cid:durableId="14155850">
    <w:abstractNumId w:val="24"/>
  </w:num>
  <w:num w:numId="28" w16cid:durableId="423843789">
    <w:abstractNumId w:val="16"/>
  </w:num>
  <w:num w:numId="29" w16cid:durableId="363093910">
    <w:abstractNumId w:val="25"/>
  </w:num>
  <w:num w:numId="30" w16cid:durableId="929316660">
    <w:abstractNumId w:val="29"/>
  </w:num>
  <w:num w:numId="31" w16cid:durableId="792093356">
    <w:abstractNumId w:val="15"/>
  </w:num>
  <w:num w:numId="32" w16cid:durableId="202428456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646"/>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B2E"/>
    <w:rsid w:val="00043DD4"/>
    <w:rsid w:val="00044863"/>
    <w:rsid w:val="00044C6C"/>
    <w:rsid w:val="00045368"/>
    <w:rsid w:val="000462D9"/>
    <w:rsid w:val="00047F40"/>
    <w:rsid w:val="0005035D"/>
    <w:rsid w:val="00050C45"/>
    <w:rsid w:val="00051AAD"/>
    <w:rsid w:val="000524CF"/>
    <w:rsid w:val="000556B2"/>
    <w:rsid w:val="00056CDA"/>
    <w:rsid w:val="0005700D"/>
    <w:rsid w:val="00057899"/>
    <w:rsid w:val="000604E0"/>
    <w:rsid w:val="00062702"/>
    <w:rsid w:val="0006306E"/>
    <w:rsid w:val="00064511"/>
    <w:rsid w:val="000661B3"/>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6D14"/>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C38D9"/>
    <w:rsid w:val="000D13FD"/>
    <w:rsid w:val="000D7704"/>
    <w:rsid w:val="000E0ABA"/>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582"/>
    <w:rsid w:val="00136BE0"/>
    <w:rsid w:val="00137A0B"/>
    <w:rsid w:val="00137E8C"/>
    <w:rsid w:val="00142D2D"/>
    <w:rsid w:val="00143108"/>
    <w:rsid w:val="00143215"/>
    <w:rsid w:val="001438F2"/>
    <w:rsid w:val="00144AA2"/>
    <w:rsid w:val="001450CF"/>
    <w:rsid w:val="001452AF"/>
    <w:rsid w:val="001501C1"/>
    <w:rsid w:val="001521AF"/>
    <w:rsid w:val="00154679"/>
    <w:rsid w:val="00157C5B"/>
    <w:rsid w:val="001604FE"/>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A7E04"/>
    <w:rsid w:val="001B0585"/>
    <w:rsid w:val="001B1208"/>
    <w:rsid w:val="001B1F2C"/>
    <w:rsid w:val="001B3087"/>
    <w:rsid w:val="001B3D6C"/>
    <w:rsid w:val="001B5C09"/>
    <w:rsid w:val="001B63A5"/>
    <w:rsid w:val="001B7359"/>
    <w:rsid w:val="001B7FDB"/>
    <w:rsid w:val="001C02E3"/>
    <w:rsid w:val="001C24ED"/>
    <w:rsid w:val="001C275B"/>
    <w:rsid w:val="001C56A4"/>
    <w:rsid w:val="001D4AB6"/>
    <w:rsid w:val="001D6E37"/>
    <w:rsid w:val="001D7020"/>
    <w:rsid w:val="001D7D3D"/>
    <w:rsid w:val="001D7E55"/>
    <w:rsid w:val="001E006A"/>
    <w:rsid w:val="001E3238"/>
    <w:rsid w:val="001E42CD"/>
    <w:rsid w:val="001E7E43"/>
    <w:rsid w:val="001F0DB2"/>
    <w:rsid w:val="001F1FD3"/>
    <w:rsid w:val="001F3071"/>
    <w:rsid w:val="001F3214"/>
    <w:rsid w:val="001F32F9"/>
    <w:rsid w:val="001F6143"/>
    <w:rsid w:val="001F6668"/>
    <w:rsid w:val="001F7697"/>
    <w:rsid w:val="001F76B8"/>
    <w:rsid w:val="0020051D"/>
    <w:rsid w:val="00202047"/>
    <w:rsid w:val="002026AE"/>
    <w:rsid w:val="00207939"/>
    <w:rsid w:val="002206F3"/>
    <w:rsid w:val="00221439"/>
    <w:rsid w:val="00224BA3"/>
    <w:rsid w:val="00225F9D"/>
    <w:rsid w:val="00226222"/>
    <w:rsid w:val="00235023"/>
    <w:rsid w:val="00236DE3"/>
    <w:rsid w:val="00237A35"/>
    <w:rsid w:val="002406C4"/>
    <w:rsid w:val="002416AD"/>
    <w:rsid w:val="00242312"/>
    <w:rsid w:val="00243191"/>
    <w:rsid w:val="00244593"/>
    <w:rsid w:val="00244F1F"/>
    <w:rsid w:val="00246BD3"/>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96D58"/>
    <w:rsid w:val="002A26DA"/>
    <w:rsid w:val="002A278A"/>
    <w:rsid w:val="002A34C4"/>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E5C10"/>
    <w:rsid w:val="002F134E"/>
    <w:rsid w:val="002F4DEC"/>
    <w:rsid w:val="002F5864"/>
    <w:rsid w:val="00301008"/>
    <w:rsid w:val="00302939"/>
    <w:rsid w:val="003111B2"/>
    <w:rsid w:val="00311DC1"/>
    <w:rsid w:val="003147B9"/>
    <w:rsid w:val="00315465"/>
    <w:rsid w:val="003156DC"/>
    <w:rsid w:val="00316A7A"/>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A7D"/>
    <w:rsid w:val="00341D83"/>
    <w:rsid w:val="00351BBC"/>
    <w:rsid w:val="00355735"/>
    <w:rsid w:val="003604DB"/>
    <w:rsid w:val="00361290"/>
    <w:rsid w:val="0036186E"/>
    <w:rsid w:val="00361DAE"/>
    <w:rsid w:val="003620A9"/>
    <w:rsid w:val="00362EFF"/>
    <w:rsid w:val="0036629F"/>
    <w:rsid w:val="003712C2"/>
    <w:rsid w:val="00373442"/>
    <w:rsid w:val="003743CF"/>
    <w:rsid w:val="0037637C"/>
    <w:rsid w:val="00381766"/>
    <w:rsid w:val="00381FB5"/>
    <w:rsid w:val="003834E5"/>
    <w:rsid w:val="0038411F"/>
    <w:rsid w:val="00384C86"/>
    <w:rsid w:val="00387754"/>
    <w:rsid w:val="00390939"/>
    <w:rsid w:val="00390B73"/>
    <w:rsid w:val="003919B5"/>
    <w:rsid w:val="0039272E"/>
    <w:rsid w:val="00393776"/>
    <w:rsid w:val="00393E48"/>
    <w:rsid w:val="00395DA3"/>
    <w:rsid w:val="003969FE"/>
    <w:rsid w:val="0039766B"/>
    <w:rsid w:val="003A0E76"/>
    <w:rsid w:val="003A2CBA"/>
    <w:rsid w:val="003A30B2"/>
    <w:rsid w:val="003A32F9"/>
    <w:rsid w:val="003A6065"/>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20D"/>
    <w:rsid w:val="003F3884"/>
    <w:rsid w:val="003F3DC3"/>
    <w:rsid w:val="003F4BC7"/>
    <w:rsid w:val="003F5626"/>
    <w:rsid w:val="003F5CAB"/>
    <w:rsid w:val="003F6784"/>
    <w:rsid w:val="003F69C5"/>
    <w:rsid w:val="003F7836"/>
    <w:rsid w:val="00400DB0"/>
    <w:rsid w:val="00401EDB"/>
    <w:rsid w:val="00402028"/>
    <w:rsid w:val="00402800"/>
    <w:rsid w:val="00403105"/>
    <w:rsid w:val="00404955"/>
    <w:rsid w:val="004058C1"/>
    <w:rsid w:val="004075B1"/>
    <w:rsid w:val="004111CE"/>
    <w:rsid w:val="00411A8A"/>
    <w:rsid w:val="00411BA4"/>
    <w:rsid w:val="00417611"/>
    <w:rsid w:val="00421452"/>
    <w:rsid w:val="00421D74"/>
    <w:rsid w:val="00424C2D"/>
    <w:rsid w:val="00426C26"/>
    <w:rsid w:val="00432289"/>
    <w:rsid w:val="00433897"/>
    <w:rsid w:val="004340EF"/>
    <w:rsid w:val="00434610"/>
    <w:rsid w:val="00440E43"/>
    <w:rsid w:val="0044281C"/>
    <w:rsid w:val="00442CCD"/>
    <w:rsid w:val="004433EC"/>
    <w:rsid w:val="00445C15"/>
    <w:rsid w:val="00446FC4"/>
    <w:rsid w:val="00447D9C"/>
    <w:rsid w:val="0045127E"/>
    <w:rsid w:val="00452C2A"/>
    <w:rsid w:val="00453B8C"/>
    <w:rsid w:val="004545EF"/>
    <w:rsid w:val="004554AB"/>
    <w:rsid w:val="004564FB"/>
    <w:rsid w:val="0045723E"/>
    <w:rsid w:val="00461139"/>
    <w:rsid w:val="00463FF5"/>
    <w:rsid w:val="00467940"/>
    <w:rsid w:val="00473E4D"/>
    <w:rsid w:val="00476781"/>
    <w:rsid w:val="00476876"/>
    <w:rsid w:val="0048006E"/>
    <w:rsid w:val="00480581"/>
    <w:rsid w:val="004809FC"/>
    <w:rsid w:val="0048223A"/>
    <w:rsid w:val="004826F5"/>
    <w:rsid w:val="00482D75"/>
    <w:rsid w:val="00482F01"/>
    <w:rsid w:val="004870F8"/>
    <w:rsid w:val="004874F5"/>
    <w:rsid w:val="00490B13"/>
    <w:rsid w:val="00490E24"/>
    <w:rsid w:val="00490E8F"/>
    <w:rsid w:val="00492064"/>
    <w:rsid w:val="004921B6"/>
    <w:rsid w:val="00497574"/>
    <w:rsid w:val="004A295D"/>
    <w:rsid w:val="004A34E1"/>
    <w:rsid w:val="004A5C27"/>
    <w:rsid w:val="004A6E53"/>
    <w:rsid w:val="004A7E93"/>
    <w:rsid w:val="004B0F38"/>
    <w:rsid w:val="004B17CE"/>
    <w:rsid w:val="004B1E73"/>
    <w:rsid w:val="004B2934"/>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0D87"/>
    <w:rsid w:val="004D11DE"/>
    <w:rsid w:val="004D14D6"/>
    <w:rsid w:val="004D1C74"/>
    <w:rsid w:val="004D29BE"/>
    <w:rsid w:val="004D30C0"/>
    <w:rsid w:val="004D3649"/>
    <w:rsid w:val="004D3B9A"/>
    <w:rsid w:val="004D4FB3"/>
    <w:rsid w:val="004D6E41"/>
    <w:rsid w:val="004E03A1"/>
    <w:rsid w:val="004E044C"/>
    <w:rsid w:val="004E48B7"/>
    <w:rsid w:val="004E59D9"/>
    <w:rsid w:val="004F55B1"/>
    <w:rsid w:val="004F6EFA"/>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37F8C"/>
    <w:rsid w:val="005446AE"/>
    <w:rsid w:val="00544E14"/>
    <w:rsid w:val="00547D7B"/>
    <w:rsid w:val="005509F5"/>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110F"/>
    <w:rsid w:val="00592D87"/>
    <w:rsid w:val="00593089"/>
    <w:rsid w:val="00593E27"/>
    <w:rsid w:val="005949EA"/>
    <w:rsid w:val="0059738E"/>
    <w:rsid w:val="005A0BCC"/>
    <w:rsid w:val="005A11C4"/>
    <w:rsid w:val="005A16B8"/>
    <w:rsid w:val="005A22BB"/>
    <w:rsid w:val="005A2C55"/>
    <w:rsid w:val="005A3534"/>
    <w:rsid w:val="005A3C13"/>
    <w:rsid w:val="005A5897"/>
    <w:rsid w:val="005A6168"/>
    <w:rsid w:val="005A6885"/>
    <w:rsid w:val="005A7D8A"/>
    <w:rsid w:val="005B5BD8"/>
    <w:rsid w:val="005B768E"/>
    <w:rsid w:val="005C020A"/>
    <w:rsid w:val="005C0AD0"/>
    <w:rsid w:val="005C2326"/>
    <w:rsid w:val="005C38B5"/>
    <w:rsid w:val="005C4684"/>
    <w:rsid w:val="005C4B72"/>
    <w:rsid w:val="005C62A1"/>
    <w:rsid w:val="005C6771"/>
    <w:rsid w:val="005C68D1"/>
    <w:rsid w:val="005D199C"/>
    <w:rsid w:val="005D205A"/>
    <w:rsid w:val="005D28FA"/>
    <w:rsid w:val="005D3148"/>
    <w:rsid w:val="005D4154"/>
    <w:rsid w:val="005D5304"/>
    <w:rsid w:val="005D5C1A"/>
    <w:rsid w:val="005D65E1"/>
    <w:rsid w:val="005D7A63"/>
    <w:rsid w:val="005E1E92"/>
    <w:rsid w:val="005E6491"/>
    <w:rsid w:val="005E6963"/>
    <w:rsid w:val="005E6AAA"/>
    <w:rsid w:val="005E6E51"/>
    <w:rsid w:val="005F1323"/>
    <w:rsid w:val="005F1603"/>
    <w:rsid w:val="005F17C5"/>
    <w:rsid w:val="005F3623"/>
    <w:rsid w:val="005F4864"/>
    <w:rsid w:val="005F4940"/>
    <w:rsid w:val="005F58F0"/>
    <w:rsid w:val="006006D7"/>
    <w:rsid w:val="00600F2A"/>
    <w:rsid w:val="0060182D"/>
    <w:rsid w:val="00602408"/>
    <w:rsid w:val="006025A3"/>
    <w:rsid w:val="00602CB0"/>
    <w:rsid w:val="006031DF"/>
    <w:rsid w:val="0060527A"/>
    <w:rsid w:val="00605399"/>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49A6"/>
    <w:rsid w:val="00655155"/>
    <w:rsid w:val="006565AD"/>
    <w:rsid w:val="00660106"/>
    <w:rsid w:val="006604BA"/>
    <w:rsid w:val="006610ED"/>
    <w:rsid w:val="00665687"/>
    <w:rsid w:val="0067000A"/>
    <w:rsid w:val="00671697"/>
    <w:rsid w:val="00677CFA"/>
    <w:rsid w:val="00677DD2"/>
    <w:rsid w:val="00677FE6"/>
    <w:rsid w:val="00682078"/>
    <w:rsid w:val="0068233F"/>
    <w:rsid w:val="006829D5"/>
    <w:rsid w:val="006833EE"/>
    <w:rsid w:val="006843FA"/>
    <w:rsid w:val="00685DE2"/>
    <w:rsid w:val="006911EE"/>
    <w:rsid w:val="006A1225"/>
    <w:rsid w:val="006A3850"/>
    <w:rsid w:val="006A4706"/>
    <w:rsid w:val="006A7AF1"/>
    <w:rsid w:val="006B0112"/>
    <w:rsid w:val="006B2D85"/>
    <w:rsid w:val="006B39B2"/>
    <w:rsid w:val="006B5AF7"/>
    <w:rsid w:val="006C005F"/>
    <w:rsid w:val="006C0B7C"/>
    <w:rsid w:val="006C196B"/>
    <w:rsid w:val="006C22A9"/>
    <w:rsid w:val="006C2CDE"/>
    <w:rsid w:val="006C40A5"/>
    <w:rsid w:val="006C46CF"/>
    <w:rsid w:val="006C47DD"/>
    <w:rsid w:val="006C78C7"/>
    <w:rsid w:val="006C7F81"/>
    <w:rsid w:val="006D08CE"/>
    <w:rsid w:val="006D203F"/>
    <w:rsid w:val="006D3EFE"/>
    <w:rsid w:val="006D4858"/>
    <w:rsid w:val="006D6885"/>
    <w:rsid w:val="006D68B6"/>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24859"/>
    <w:rsid w:val="00724AC9"/>
    <w:rsid w:val="00725927"/>
    <w:rsid w:val="0072737D"/>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069"/>
    <w:rsid w:val="00770955"/>
    <w:rsid w:val="00771143"/>
    <w:rsid w:val="0077187C"/>
    <w:rsid w:val="00772C19"/>
    <w:rsid w:val="00772E54"/>
    <w:rsid w:val="00773410"/>
    <w:rsid w:val="00773458"/>
    <w:rsid w:val="00773971"/>
    <w:rsid w:val="00780340"/>
    <w:rsid w:val="007809A8"/>
    <w:rsid w:val="0078141A"/>
    <w:rsid w:val="00784929"/>
    <w:rsid w:val="0078597F"/>
    <w:rsid w:val="00787175"/>
    <w:rsid w:val="00792BF7"/>
    <w:rsid w:val="00792F90"/>
    <w:rsid w:val="00794857"/>
    <w:rsid w:val="00797CA6"/>
    <w:rsid w:val="007A04E2"/>
    <w:rsid w:val="007A06E9"/>
    <w:rsid w:val="007A1448"/>
    <w:rsid w:val="007A1BBB"/>
    <w:rsid w:val="007A1CA1"/>
    <w:rsid w:val="007A276C"/>
    <w:rsid w:val="007B3D49"/>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06A33"/>
    <w:rsid w:val="00807613"/>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2BC"/>
    <w:rsid w:val="008333BF"/>
    <w:rsid w:val="0083364B"/>
    <w:rsid w:val="008339A7"/>
    <w:rsid w:val="00834168"/>
    <w:rsid w:val="00834F0F"/>
    <w:rsid w:val="008373F8"/>
    <w:rsid w:val="00837B25"/>
    <w:rsid w:val="0084110B"/>
    <w:rsid w:val="00846603"/>
    <w:rsid w:val="008479C0"/>
    <w:rsid w:val="00851549"/>
    <w:rsid w:val="00851718"/>
    <w:rsid w:val="008543A8"/>
    <w:rsid w:val="008548CB"/>
    <w:rsid w:val="00854BAD"/>
    <w:rsid w:val="00856887"/>
    <w:rsid w:val="0085752D"/>
    <w:rsid w:val="00861237"/>
    <w:rsid w:val="00863134"/>
    <w:rsid w:val="00866432"/>
    <w:rsid w:val="00867446"/>
    <w:rsid w:val="008676A6"/>
    <w:rsid w:val="00867767"/>
    <w:rsid w:val="00870528"/>
    <w:rsid w:val="00872343"/>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0751"/>
    <w:rsid w:val="00891886"/>
    <w:rsid w:val="008925B5"/>
    <w:rsid w:val="008956F5"/>
    <w:rsid w:val="00895776"/>
    <w:rsid w:val="00895961"/>
    <w:rsid w:val="0089661B"/>
    <w:rsid w:val="0089689D"/>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FF7"/>
    <w:rsid w:val="00900154"/>
    <w:rsid w:val="0090103B"/>
    <w:rsid w:val="00901D44"/>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805"/>
    <w:rsid w:val="00926ACB"/>
    <w:rsid w:val="00927D8F"/>
    <w:rsid w:val="00931518"/>
    <w:rsid w:val="00931846"/>
    <w:rsid w:val="00937616"/>
    <w:rsid w:val="00940F9B"/>
    <w:rsid w:val="0094164C"/>
    <w:rsid w:val="00941978"/>
    <w:rsid w:val="0094341B"/>
    <w:rsid w:val="0094393D"/>
    <w:rsid w:val="0094394E"/>
    <w:rsid w:val="00945C75"/>
    <w:rsid w:val="00946613"/>
    <w:rsid w:val="009504E0"/>
    <w:rsid w:val="00951B97"/>
    <w:rsid w:val="0095271C"/>
    <w:rsid w:val="00952F5D"/>
    <w:rsid w:val="009531BB"/>
    <w:rsid w:val="00953D3A"/>
    <w:rsid w:val="00955B40"/>
    <w:rsid w:val="009575DA"/>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795"/>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09E2"/>
    <w:rsid w:val="009B195D"/>
    <w:rsid w:val="009B444E"/>
    <w:rsid w:val="009B4905"/>
    <w:rsid w:val="009B4E98"/>
    <w:rsid w:val="009B6239"/>
    <w:rsid w:val="009B62D2"/>
    <w:rsid w:val="009B6FA5"/>
    <w:rsid w:val="009B7A66"/>
    <w:rsid w:val="009C1C62"/>
    <w:rsid w:val="009C2699"/>
    <w:rsid w:val="009C2AEE"/>
    <w:rsid w:val="009C3393"/>
    <w:rsid w:val="009D0ECD"/>
    <w:rsid w:val="009D2DC8"/>
    <w:rsid w:val="009D4A9A"/>
    <w:rsid w:val="009D4C31"/>
    <w:rsid w:val="009D4F23"/>
    <w:rsid w:val="009E1EEC"/>
    <w:rsid w:val="009E32F3"/>
    <w:rsid w:val="009E38CA"/>
    <w:rsid w:val="009E3B2B"/>
    <w:rsid w:val="009E3F3B"/>
    <w:rsid w:val="009E4A1E"/>
    <w:rsid w:val="009E52C4"/>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5A6A"/>
    <w:rsid w:val="00A2681E"/>
    <w:rsid w:val="00A30EAB"/>
    <w:rsid w:val="00A31113"/>
    <w:rsid w:val="00A32FA7"/>
    <w:rsid w:val="00A33989"/>
    <w:rsid w:val="00A33B77"/>
    <w:rsid w:val="00A34F92"/>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663A"/>
    <w:rsid w:val="00A67677"/>
    <w:rsid w:val="00A749D3"/>
    <w:rsid w:val="00A752FD"/>
    <w:rsid w:val="00A77574"/>
    <w:rsid w:val="00A80532"/>
    <w:rsid w:val="00A813B9"/>
    <w:rsid w:val="00A9433C"/>
    <w:rsid w:val="00A96A0E"/>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CCC"/>
    <w:rsid w:val="00AC02CE"/>
    <w:rsid w:val="00AC0BE9"/>
    <w:rsid w:val="00AC54FE"/>
    <w:rsid w:val="00AC58F7"/>
    <w:rsid w:val="00AD1A90"/>
    <w:rsid w:val="00AD27B9"/>
    <w:rsid w:val="00AD3FE4"/>
    <w:rsid w:val="00AD40FB"/>
    <w:rsid w:val="00AD4BEE"/>
    <w:rsid w:val="00AD65E6"/>
    <w:rsid w:val="00AD66DD"/>
    <w:rsid w:val="00AD67D4"/>
    <w:rsid w:val="00AD71B3"/>
    <w:rsid w:val="00AD71F7"/>
    <w:rsid w:val="00AD79E7"/>
    <w:rsid w:val="00AD7BED"/>
    <w:rsid w:val="00AE2A4E"/>
    <w:rsid w:val="00AE2DD4"/>
    <w:rsid w:val="00AE3CCE"/>
    <w:rsid w:val="00AE42D7"/>
    <w:rsid w:val="00AE4F4B"/>
    <w:rsid w:val="00AE59D8"/>
    <w:rsid w:val="00AE5EB2"/>
    <w:rsid w:val="00AE6867"/>
    <w:rsid w:val="00AE7448"/>
    <w:rsid w:val="00AF5DF1"/>
    <w:rsid w:val="00AF5E60"/>
    <w:rsid w:val="00B00474"/>
    <w:rsid w:val="00B0139D"/>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370D2"/>
    <w:rsid w:val="00B410F0"/>
    <w:rsid w:val="00B43C31"/>
    <w:rsid w:val="00B44178"/>
    <w:rsid w:val="00B52679"/>
    <w:rsid w:val="00B5320C"/>
    <w:rsid w:val="00B538F2"/>
    <w:rsid w:val="00B552E6"/>
    <w:rsid w:val="00B553BE"/>
    <w:rsid w:val="00B65003"/>
    <w:rsid w:val="00B65E35"/>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51D"/>
    <w:rsid w:val="00BA6AF1"/>
    <w:rsid w:val="00BB2599"/>
    <w:rsid w:val="00BB2C75"/>
    <w:rsid w:val="00BB3155"/>
    <w:rsid w:val="00BC2FFD"/>
    <w:rsid w:val="00BC445E"/>
    <w:rsid w:val="00BC6F74"/>
    <w:rsid w:val="00BD2863"/>
    <w:rsid w:val="00BD3929"/>
    <w:rsid w:val="00BD4B5A"/>
    <w:rsid w:val="00BD52E0"/>
    <w:rsid w:val="00BD6A66"/>
    <w:rsid w:val="00BD7B21"/>
    <w:rsid w:val="00BE0E22"/>
    <w:rsid w:val="00BE6C68"/>
    <w:rsid w:val="00BE7661"/>
    <w:rsid w:val="00BE7810"/>
    <w:rsid w:val="00BE7987"/>
    <w:rsid w:val="00BF0569"/>
    <w:rsid w:val="00BF07AB"/>
    <w:rsid w:val="00BF09D0"/>
    <w:rsid w:val="00BF1BB5"/>
    <w:rsid w:val="00BF467C"/>
    <w:rsid w:val="00BF711A"/>
    <w:rsid w:val="00C005D8"/>
    <w:rsid w:val="00C01C81"/>
    <w:rsid w:val="00C02400"/>
    <w:rsid w:val="00C06E05"/>
    <w:rsid w:val="00C10DAE"/>
    <w:rsid w:val="00C11A15"/>
    <w:rsid w:val="00C11BBB"/>
    <w:rsid w:val="00C16536"/>
    <w:rsid w:val="00C17411"/>
    <w:rsid w:val="00C22683"/>
    <w:rsid w:val="00C226B6"/>
    <w:rsid w:val="00C22834"/>
    <w:rsid w:val="00C25DE0"/>
    <w:rsid w:val="00C25F31"/>
    <w:rsid w:val="00C26190"/>
    <w:rsid w:val="00C2654A"/>
    <w:rsid w:val="00C34902"/>
    <w:rsid w:val="00C362E5"/>
    <w:rsid w:val="00C373F2"/>
    <w:rsid w:val="00C37CA7"/>
    <w:rsid w:val="00C37FC1"/>
    <w:rsid w:val="00C403CE"/>
    <w:rsid w:val="00C434B8"/>
    <w:rsid w:val="00C4465E"/>
    <w:rsid w:val="00C44CE3"/>
    <w:rsid w:val="00C46A10"/>
    <w:rsid w:val="00C5216A"/>
    <w:rsid w:val="00C52205"/>
    <w:rsid w:val="00C54348"/>
    <w:rsid w:val="00C54F59"/>
    <w:rsid w:val="00C640C0"/>
    <w:rsid w:val="00C64E9F"/>
    <w:rsid w:val="00C65187"/>
    <w:rsid w:val="00C6768D"/>
    <w:rsid w:val="00C70B21"/>
    <w:rsid w:val="00C73DAF"/>
    <w:rsid w:val="00C75F95"/>
    <w:rsid w:val="00C76555"/>
    <w:rsid w:val="00C76A43"/>
    <w:rsid w:val="00C76F57"/>
    <w:rsid w:val="00C82252"/>
    <w:rsid w:val="00C84817"/>
    <w:rsid w:val="00C85F27"/>
    <w:rsid w:val="00C860E9"/>
    <w:rsid w:val="00C87548"/>
    <w:rsid w:val="00C91BD8"/>
    <w:rsid w:val="00C91C8B"/>
    <w:rsid w:val="00C9295A"/>
    <w:rsid w:val="00C93428"/>
    <w:rsid w:val="00C93CEB"/>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50C2"/>
    <w:rsid w:val="00CE527F"/>
    <w:rsid w:val="00CE57EC"/>
    <w:rsid w:val="00CE7F6E"/>
    <w:rsid w:val="00CE7FFC"/>
    <w:rsid w:val="00CF14FD"/>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3063"/>
    <w:rsid w:val="00D34DEA"/>
    <w:rsid w:val="00D3599F"/>
    <w:rsid w:val="00D36D23"/>
    <w:rsid w:val="00D45B99"/>
    <w:rsid w:val="00D508F4"/>
    <w:rsid w:val="00D50D79"/>
    <w:rsid w:val="00D51690"/>
    <w:rsid w:val="00D54A56"/>
    <w:rsid w:val="00D54EC6"/>
    <w:rsid w:val="00D57D1C"/>
    <w:rsid w:val="00D62CAD"/>
    <w:rsid w:val="00D67EC3"/>
    <w:rsid w:val="00D726AB"/>
    <w:rsid w:val="00D73D3A"/>
    <w:rsid w:val="00D7409D"/>
    <w:rsid w:val="00D745FE"/>
    <w:rsid w:val="00D76682"/>
    <w:rsid w:val="00D77616"/>
    <w:rsid w:val="00D8011E"/>
    <w:rsid w:val="00D80E2C"/>
    <w:rsid w:val="00D82F2A"/>
    <w:rsid w:val="00D843E4"/>
    <w:rsid w:val="00D87AC1"/>
    <w:rsid w:val="00D97217"/>
    <w:rsid w:val="00D975BB"/>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57"/>
    <w:rsid w:val="00DD046E"/>
    <w:rsid w:val="00DD1D18"/>
    <w:rsid w:val="00DD3D6C"/>
    <w:rsid w:val="00DD4493"/>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30F6"/>
    <w:rsid w:val="00E04B4E"/>
    <w:rsid w:val="00E1069A"/>
    <w:rsid w:val="00E11FE0"/>
    <w:rsid w:val="00E155DA"/>
    <w:rsid w:val="00E15FB4"/>
    <w:rsid w:val="00E16CB2"/>
    <w:rsid w:val="00E22A40"/>
    <w:rsid w:val="00E24D2F"/>
    <w:rsid w:val="00E27083"/>
    <w:rsid w:val="00E27D26"/>
    <w:rsid w:val="00E30A2D"/>
    <w:rsid w:val="00E334E6"/>
    <w:rsid w:val="00E37B2D"/>
    <w:rsid w:val="00E437E5"/>
    <w:rsid w:val="00E43BDB"/>
    <w:rsid w:val="00E4552C"/>
    <w:rsid w:val="00E45889"/>
    <w:rsid w:val="00E45954"/>
    <w:rsid w:val="00E46E97"/>
    <w:rsid w:val="00E511F5"/>
    <w:rsid w:val="00E513E3"/>
    <w:rsid w:val="00E515BC"/>
    <w:rsid w:val="00E51A5A"/>
    <w:rsid w:val="00E52F42"/>
    <w:rsid w:val="00E57A07"/>
    <w:rsid w:val="00E60C36"/>
    <w:rsid w:val="00E6166A"/>
    <w:rsid w:val="00E64981"/>
    <w:rsid w:val="00E66383"/>
    <w:rsid w:val="00E66580"/>
    <w:rsid w:val="00E71C5C"/>
    <w:rsid w:val="00E73743"/>
    <w:rsid w:val="00E73E24"/>
    <w:rsid w:val="00E764AB"/>
    <w:rsid w:val="00E76AC9"/>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7F4"/>
    <w:rsid w:val="00EB1C3F"/>
    <w:rsid w:val="00EB1CBC"/>
    <w:rsid w:val="00EB56E4"/>
    <w:rsid w:val="00EC5BB8"/>
    <w:rsid w:val="00ED0DF0"/>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328E"/>
    <w:rsid w:val="00F141C0"/>
    <w:rsid w:val="00F14FA7"/>
    <w:rsid w:val="00F204E9"/>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4F98"/>
    <w:rsid w:val="00F75EB2"/>
    <w:rsid w:val="00F7614B"/>
    <w:rsid w:val="00F823BB"/>
    <w:rsid w:val="00F825C4"/>
    <w:rsid w:val="00F8302E"/>
    <w:rsid w:val="00F83E3E"/>
    <w:rsid w:val="00F8408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1D8C"/>
    <w:rsid w:val="00FD2AEA"/>
    <w:rsid w:val="00FD3A8D"/>
    <w:rsid w:val="00FD6A5F"/>
    <w:rsid w:val="00FD794D"/>
    <w:rsid w:val="00FE07B4"/>
    <w:rsid w:val="00FE44F2"/>
    <w:rsid w:val="00FE6E1E"/>
    <w:rsid w:val="00FE7EA2"/>
    <w:rsid w:val="00FF0313"/>
    <w:rsid w:val="00FF0842"/>
    <w:rsid w:val="00FF7A9A"/>
    <w:rsid w:val="1A3F1B2B"/>
    <w:rsid w:val="1D580D05"/>
    <w:rsid w:val="3692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A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AC02C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C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AC02C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C02CE"/>
    <w:pPr>
      <w:spacing w:before="200"/>
      <w:outlineLvl w:val="3"/>
    </w:pPr>
    <w:rPr>
      <w:rFonts w:ascii="Cambria" w:hAnsi="Cambria"/>
      <w:b/>
      <w:bCs/>
      <w:i/>
      <w:iCs/>
    </w:rPr>
  </w:style>
  <w:style w:type="paragraph" w:styleId="Heading5">
    <w:name w:val="heading 5"/>
    <w:basedOn w:val="Normal"/>
    <w:next w:val="Normal"/>
    <w:link w:val="Heading5Char"/>
    <w:uiPriority w:val="9"/>
    <w:qFormat/>
    <w:rsid w:val="00AC02C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C02C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C02CE"/>
    <w:pPr>
      <w:outlineLvl w:val="6"/>
    </w:pPr>
    <w:rPr>
      <w:rFonts w:ascii="Cambria" w:hAnsi="Cambria"/>
      <w:i/>
      <w:iCs/>
    </w:rPr>
  </w:style>
  <w:style w:type="paragraph" w:styleId="Heading8">
    <w:name w:val="heading 8"/>
    <w:basedOn w:val="Normal"/>
    <w:next w:val="Normal"/>
    <w:link w:val="Heading8Char"/>
    <w:uiPriority w:val="9"/>
    <w:qFormat/>
    <w:rsid w:val="00AC02CE"/>
    <w:pPr>
      <w:outlineLvl w:val="7"/>
    </w:pPr>
    <w:rPr>
      <w:rFonts w:ascii="Cambria" w:hAnsi="Cambria"/>
    </w:rPr>
  </w:style>
  <w:style w:type="paragraph" w:styleId="Heading9">
    <w:name w:val="heading 9"/>
    <w:basedOn w:val="Normal"/>
    <w:next w:val="Normal"/>
    <w:link w:val="Heading9Char"/>
    <w:uiPriority w:val="9"/>
    <w:qFormat/>
    <w:rsid w:val="00AC02CE"/>
    <w:pPr>
      <w:outlineLvl w:val="8"/>
    </w:pPr>
    <w:rPr>
      <w:rFonts w:ascii="Cambria" w:hAnsi="Cambria"/>
      <w:i/>
      <w:iCs/>
      <w:spacing w:val="5"/>
    </w:rPr>
  </w:style>
  <w:style w:type="character" w:default="1" w:styleId="DefaultParagraphFont">
    <w:name w:val="Default Paragraph Font"/>
    <w:uiPriority w:val="1"/>
    <w:semiHidden/>
    <w:unhideWhenUsed/>
    <w:rsid w:val="006025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25A3"/>
  </w:style>
  <w:style w:type="paragraph" w:customStyle="1" w:styleId="NICEnormal">
    <w:name w:val="NICE normal"/>
    <w:rsid w:val="00AC02CE"/>
    <w:pPr>
      <w:spacing w:after="240" w:line="360" w:lineRule="auto"/>
    </w:pPr>
    <w:rPr>
      <w:rFonts w:ascii="Arial" w:eastAsia="Times New Roman" w:hAnsi="Arial"/>
      <w:lang w:val="en-US" w:eastAsia="en-US"/>
    </w:rPr>
  </w:style>
  <w:style w:type="character" w:customStyle="1" w:styleId="NICEnormalChar">
    <w:name w:val="NICE normal Char"/>
    <w:rsid w:val="00AC02CE"/>
    <w:rPr>
      <w:rFonts w:ascii="Arial" w:eastAsia="Times New Roman" w:hAnsi="Arial"/>
      <w:sz w:val="24"/>
      <w:szCs w:val="24"/>
      <w:lang w:val="en-GB" w:eastAsia="en-US" w:bidi="ar-SA"/>
    </w:rPr>
  </w:style>
  <w:style w:type="character" w:customStyle="1" w:styleId="Heading1Char">
    <w:name w:val="Heading 1 Char"/>
    <w:link w:val="Heading1"/>
    <w:uiPriority w:val="1"/>
    <w:rsid w:val="00AC02C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AC02C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AC02C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AC02CE"/>
    <w:pPr>
      <w:ind w:left="720"/>
      <w:contextualSpacing/>
    </w:pPr>
    <w:rPr>
      <w:rFonts w:eastAsia="Calibri"/>
    </w:rPr>
  </w:style>
  <w:style w:type="character" w:styleId="Hyperlink">
    <w:name w:val="Hyperlink"/>
    <w:uiPriority w:val="99"/>
    <w:rsid w:val="00AC02CE"/>
    <w:rPr>
      <w:color w:val="0000FF"/>
      <w:u w:val="single"/>
    </w:rPr>
  </w:style>
  <w:style w:type="paragraph" w:styleId="Header">
    <w:name w:val="header"/>
    <w:basedOn w:val="Normal"/>
    <w:link w:val="HeaderChar"/>
    <w:uiPriority w:val="99"/>
    <w:rsid w:val="00AC02CE"/>
    <w:pPr>
      <w:tabs>
        <w:tab w:val="center" w:pos="4513"/>
        <w:tab w:val="right" w:pos="9026"/>
      </w:tabs>
    </w:pPr>
    <w:rPr>
      <w:rFonts w:ascii="Arial" w:hAnsi="Arial"/>
    </w:rPr>
  </w:style>
  <w:style w:type="paragraph" w:customStyle="1" w:styleId="NICEnormaldoublespacing">
    <w:name w:val="NICE normal double spacing"/>
    <w:basedOn w:val="NICEnormal"/>
    <w:rsid w:val="00AC02CE"/>
  </w:style>
  <w:style w:type="character" w:customStyle="1" w:styleId="HeaderChar">
    <w:name w:val="Header Char"/>
    <w:link w:val="Header"/>
    <w:uiPriority w:val="99"/>
    <w:rsid w:val="00AC02CE"/>
    <w:rPr>
      <w:rFonts w:ascii="Arial" w:eastAsiaTheme="minorHAnsi" w:hAnsi="Arial"/>
      <w:kern w:val="2"/>
      <w:lang w:eastAsia="en-US"/>
      <w14:ligatures w14:val="standardContextual"/>
    </w:rPr>
  </w:style>
  <w:style w:type="paragraph" w:styleId="Footer">
    <w:name w:val="footer"/>
    <w:basedOn w:val="Normal"/>
    <w:link w:val="FooterChar"/>
    <w:uiPriority w:val="99"/>
    <w:rsid w:val="00AC02CE"/>
    <w:pPr>
      <w:tabs>
        <w:tab w:val="center" w:pos="4513"/>
        <w:tab w:val="right" w:pos="9026"/>
      </w:tabs>
    </w:pPr>
    <w:rPr>
      <w:rFonts w:ascii="Arial" w:hAnsi="Arial"/>
    </w:rPr>
  </w:style>
  <w:style w:type="character" w:customStyle="1" w:styleId="FooterChar">
    <w:name w:val="Footer Char"/>
    <w:link w:val="Footer"/>
    <w:uiPriority w:val="99"/>
    <w:rsid w:val="00AC02CE"/>
    <w:rPr>
      <w:rFonts w:ascii="Arial" w:eastAsiaTheme="minorHAnsi" w:hAnsi="Arial"/>
      <w:kern w:val="2"/>
      <w:lang w:eastAsia="en-US"/>
      <w14:ligatures w14:val="standardContextual"/>
    </w:rPr>
  </w:style>
  <w:style w:type="paragraph" w:customStyle="1" w:styleId="Style1">
    <w:name w:val="Style1"/>
    <w:basedOn w:val="Normal"/>
    <w:autoRedefine/>
    <w:rsid w:val="00AC02CE"/>
    <w:pPr>
      <w:keepNext/>
      <w:spacing w:line="360" w:lineRule="auto"/>
      <w:ind w:left="567"/>
    </w:pPr>
    <w:rPr>
      <w:rFonts w:ascii="Arial" w:hAnsi="Arial" w:cs="Arial"/>
      <w:szCs w:val="16"/>
    </w:rPr>
  </w:style>
  <w:style w:type="paragraph" w:customStyle="1" w:styleId="Unnumberedboldheading">
    <w:name w:val="Unnumbered bold heading"/>
    <w:next w:val="NICEnormal"/>
    <w:rsid w:val="00AC02C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AC02C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AC0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C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AC02CE"/>
  </w:style>
  <w:style w:type="paragraph" w:customStyle="1" w:styleId="Introtext">
    <w:name w:val="Intro text"/>
    <w:basedOn w:val="PGDNormal"/>
    <w:rsid w:val="00AC02C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AC02CE"/>
    <w:pPr>
      <w:tabs>
        <w:tab w:val="num" w:pos="360"/>
      </w:tabs>
    </w:pPr>
    <w:rPr>
      <w:szCs w:val="24"/>
    </w:rPr>
  </w:style>
  <w:style w:type="character" w:customStyle="1" w:styleId="Numberedheading1CharChar">
    <w:name w:val="Numbered heading 1 Char Char"/>
    <w:link w:val="Numberedheading1"/>
    <w:rsid w:val="00AC02C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AC02CE"/>
    <w:pPr>
      <w:tabs>
        <w:tab w:val="num" w:pos="360"/>
      </w:tabs>
    </w:pPr>
  </w:style>
  <w:style w:type="character" w:customStyle="1" w:styleId="Numberedheading2Char">
    <w:name w:val="Numbered heading 2 Char"/>
    <w:basedOn w:val="Heading2Char"/>
    <w:link w:val="Numberedheading2"/>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AC02CE"/>
    <w:pPr>
      <w:tabs>
        <w:tab w:val="num" w:pos="360"/>
      </w:tabs>
    </w:pPr>
    <w:rPr>
      <w:sz w:val="26"/>
    </w:rPr>
  </w:style>
  <w:style w:type="paragraph" w:customStyle="1" w:styleId="Numberedlevel4text">
    <w:name w:val="Numbered level 4 text"/>
    <w:basedOn w:val="NICEnormal"/>
    <w:next w:val="NICEnormal"/>
    <w:rsid w:val="00AC02CE"/>
    <w:pPr>
      <w:tabs>
        <w:tab w:val="num" w:pos="360"/>
      </w:tabs>
    </w:pPr>
  </w:style>
  <w:style w:type="paragraph" w:customStyle="1" w:styleId="Numberedlevel3text">
    <w:name w:val="Numbered level 3 text"/>
    <w:basedOn w:val="Numberedheading3"/>
    <w:rsid w:val="00AC02CE"/>
    <w:pPr>
      <w:spacing w:after="240"/>
    </w:pPr>
    <w:rPr>
      <w:b w:val="0"/>
      <w:sz w:val="24"/>
    </w:rPr>
  </w:style>
  <w:style w:type="paragraph" w:customStyle="1" w:styleId="Bulletindent2">
    <w:name w:val="Bullet indent 2"/>
    <w:basedOn w:val="NICEnormal"/>
    <w:rsid w:val="00AC02CE"/>
    <w:pPr>
      <w:tabs>
        <w:tab w:val="num" w:pos="360"/>
      </w:tabs>
      <w:spacing w:after="0"/>
      <w:ind w:left="1702" w:hanging="284"/>
    </w:pPr>
  </w:style>
  <w:style w:type="paragraph" w:customStyle="1" w:styleId="Title16ptleft">
    <w:name w:val="Title 16 pt left"/>
    <w:basedOn w:val="Title16pt"/>
    <w:rsid w:val="00AC02CE"/>
  </w:style>
  <w:style w:type="paragraph" w:customStyle="1" w:styleId="Bulletleft1">
    <w:name w:val="Bullet left 1"/>
    <w:basedOn w:val="NICEnormal"/>
    <w:rsid w:val="00AC02CE"/>
    <w:pPr>
      <w:tabs>
        <w:tab w:val="num" w:pos="360"/>
      </w:tabs>
      <w:spacing w:after="0"/>
    </w:pPr>
  </w:style>
  <w:style w:type="character" w:customStyle="1" w:styleId="Bulletleft1Char">
    <w:name w:val="Bullet left 1 Char"/>
    <w:basedOn w:val="NICEnormalChar"/>
    <w:rsid w:val="00AC02CE"/>
    <w:rPr>
      <w:rFonts w:ascii="Arial" w:eastAsia="Times New Roman" w:hAnsi="Arial"/>
      <w:sz w:val="24"/>
      <w:szCs w:val="24"/>
      <w:lang w:val="en-GB" w:eastAsia="en-US" w:bidi="ar-SA"/>
    </w:rPr>
  </w:style>
  <w:style w:type="paragraph" w:customStyle="1" w:styleId="Bulletleft2">
    <w:name w:val="Bullet left 2"/>
    <w:basedOn w:val="NICEnormal"/>
    <w:rsid w:val="00AC02CE"/>
    <w:pPr>
      <w:tabs>
        <w:tab w:val="num" w:pos="360"/>
      </w:tabs>
      <w:spacing w:after="0"/>
      <w:ind w:left="568" w:hanging="284"/>
    </w:pPr>
  </w:style>
  <w:style w:type="paragraph" w:customStyle="1" w:styleId="Bulletleft3">
    <w:name w:val="Bullet left 3"/>
    <w:basedOn w:val="NICEnormal"/>
    <w:rsid w:val="00AC02CE"/>
    <w:pPr>
      <w:tabs>
        <w:tab w:val="num" w:pos="360"/>
      </w:tabs>
      <w:spacing w:after="0"/>
    </w:pPr>
  </w:style>
  <w:style w:type="paragraph" w:customStyle="1" w:styleId="Bulletindent1">
    <w:name w:val="Bullet indent 1"/>
    <w:basedOn w:val="NICEnormal"/>
    <w:rsid w:val="00AC02CE"/>
    <w:pPr>
      <w:numPr>
        <w:numId w:val="15"/>
      </w:numPr>
      <w:spacing w:before="120" w:after="120" w:line="240" w:lineRule="auto"/>
    </w:pPr>
    <w:rPr>
      <w:sz w:val="22"/>
      <w:lang w:val="en-GB"/>
    </w:rPr>
  </w:style>
  <w:style w:type="paragraph" w:customStyle="1" w:styleId="Bulletindent3">
    <w:name w:val="Bullet indent 3"/>
    <w:basedOn w:val="NICEnormal"/>
    <w:rsid w:val="00AC02CE"/>
    <w:pPr>
      <w:tabs>
        <w:tab w:val="num" w:pos="360"/>
      </w:tabs>
      <w:spacing w:after="0"/>
    </w:pPr>
  </w:style>
  <w:style w:type="paragraph" w:customStyle="1" w:styleId="Numberedlevel2text">
    <w:name w:val="Numbered level 2 text"/>
    <w:basedOn w:val="Numberedheading2"/>
    <w:rsid w:val="00AC02CE"/>
    <w:pPr>
      <w:spacing w:after="240"/>
    </w:pPr>
    <w:rPr>
      <w:b/>
      <w:i/>
    </w:rPr>
  </w:style>
  <w:style w:type="paragraph" w:customStyle="1" w:styleId="Bulletleft1last">
    <w:name w:val="Bullet left 1 last"/>
    <w:basedOn w:val="NICEnormal"/>
    <w:rsid w:val="00AC02CE"/>
    <w:pPr>
      <w:tabs>
        <w:tab w:val="num" w:pos="360"/>
      </w:tabs>
    </w:pPr>
    <w:rPr>
      <w:rFonts w:cs="Arial"/>
    </w:rPr>
  </w:style>
  <w:style w:type="character" w:customStyle="1" w:styleId="Bulletleft1lastChar">
    <w:name w:val="Bullet left 1 last Char"/>
    <w:rsid w:val="00AC02CE"/>
    <w:rPr>
      <w:rFonts w:ascii="Arial" w:eastAsia="Times New Roman" w:hAnsi="Arial" w:cs="Arial"/>
      <w:sz w:val="24"/>
      <w:szCs w:val="24"/>
      <w:lang w:eastAsia="en-US"/>
    </w:rPr>
  </w:style>
  <w:style w:type="paragraph" w:customStyle="1" w:styleId="boxedtext">
    <w:name w:val="boxed text"/>
    <w:basedOn w:val="NICEnormal"/>
    <w:rsid w:val="00AC02C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AC02CE"/>
    <w:rPr>
      <w:rFonts w:ascii="Arial" w:hAnsi="Arial"/>
      <w:sz w:val="24"/>
    </w:rPr>
  </w:style>
  <w:style w:type="paragraph" w:customStyle="1" w:styleId="Bulletindent1last">
    <w:name w:val="Bullet indent 1 last"/>
    <w:basedOn w:val="NICEnormal"/>
    <w:next w:val="NICEnormal"/>
    <w:rsid w:val="00AC02CE"/>
    <w:pPr>
      <w:numPr>
        <w:numId w:val="11"/>
      </w:numPr>
    </w:pPr>
    <w:rPr>
      <w:sz w:val="22"/>
      <w:lang w:val="en-GB"/>
    </w:rPr>
  </w:style>
  <w:style w:type="paragraph" w:customStyle="1" w:styleId="NICEnormalindented">
    <w:name w:val="NICE normal indented"/>
    <w:basedOn w:val="NICEnormal"/>
    <w:rsid w:val="00AC02CE"/>
    <w:pPr>
      <w:tabs>
        <w:tab w:val="left" w:pos="1134"/>
      </w:tabs>
      <w:ind w:left="1134"/>
    </w:pPr>
  </w:style>
  <w:style w:type="paragraph" w:customStyle="1" w:styleId="Tabletitle">
    <w:name w:val="Table title"/>
    <w:basedOn w:val="NICEnormal"/>
    <w:next w:val="NICEnormal"/>
    <w:rsid w:val="00AC02CE"/>
    <w:pPr>
      <w:keepNext/>
      <w:spacing w:after="60" w:line="240" w:lineRule="auto"/>
    </w:pPr>
    <w:rPr>
      <w:b/>
    </w:rPr>
  </w:style>
  <w:style w:type="paragraph" w:customStyle="1" w:styleId="Tabletext">
    <w:name w:val="Table text"/>
    <w:basedOn w:val="PGDNormal"/>
    <w:rsid w:val="00AC02CE"/>
    <w:pPr>
      <w:keepNext/>
      <w:spacing w:after="60"/>
    </w:pPr>
  </w:style>
  <w:style w:type="paragraph" w:customStyle="1" w:styleId="Section2paragraphs">
    <w:name w:val="Section 2 paragraphs"/>
    <w:basedOn w:val="NICEnormal"/>
    <w:rsid w:val="00AC02CE"/>
    <w:pPr>
      <w:tabs>
        <w:tab w:val="num" w:pos="360"/>
      </w:tabs>
    </w:pPr>
  </w:style>
  <w:style w:type="paragraph" w:customStyle="1" w:styleId="Section3paragraphs">
    <w:name w:val="Section 3 paragraphs"/>
    <w:basedOn w:val="NICEnormal"/>
    <w:rsid w:val="00AC02CE"/>
    <w:pPr>
      <w:tabs>
        <w:tab w:val="num" w:pos="360"/>
      </w:tabs>
    </w:pPr>
  </w:style>
  <w:style w:type="paragraph" w:customStyle="1" w:styleId="Section411paragraphs">
    <w:name w:val="Section 4.1.1 paragraphs"/>
    <w:basedOn w:val="NICEnormal"/>
    <w:rsid w:val="00AC02CE"/>
    <w:pPr>
      <w:tabs>
        <w:tab w:val="num" w:pos="360"/>
      </w:tabs>
    </w:pPr>
  </w:style>
  <w:style w:type="paragraph" w:customStyle="1" w:styleId="Section412paragraphs">
    <w:name w:val="Section 4.1.2 paragraphs"/>
    <w:basedOn w:val="NICEnormal"/>
    <w:rsid w:val="00AC02CE"/>
    <w:pPr>
      <w:tabs>
        <w:tab w:val="num" w:pos="360"/>
      </w:tabs>
    </w:pPr>
  </w:style>
  <w:style w:type="paragraph" w:customStyle="1" w:styleId="Section42paragraphs">
    <w:name w:val="Section 4.2 paragraphs"/>
    <w:basedOn w:val="NICEnormal"/>
    <w:rsid w:val="00AC02CE"/>
    <w:pPr>
      <w:tabs>
        <w:tab w:val="num" w:pos="360"/>
      </w:tabs>
    </w:pPr>
  </w:style>
  <w:style w:type="paragraph" w:customStyle="1" w:styleId="Section43paragraphs">
    <w:name w:val="Section 4.3 paragraphs"/>
    <w:basedOn w:val="NICEnormal"/>
    <w:rsid w:val="00AC02CE"/>
    <w:pPr>
      <w:tabs>
        <w:tab w:val="num" w:pos="360"/>
      </w:tabs>
    </w:pPr>
  </w:style>
  <w:style w:type="paragraph" w:customStyle="1" w:styleId="Appendixlevel1">
    <w:name w:val="Appendix level 1"/>
    <w:basedOn w:val="NICEnormal"/>
    <w:autoRedefine/>
    <w:rsid w:val="00AC02CE"/>
    <w:pPr>
      <w:tabs>
        <w:tab w:val="num" w:pos="360"/>
      </w:tabs>
      <w:spacing w:before="240"/>
    </w:pPr>
  </w:style>
  <w:style w:type="paragraph" w:customStyle="1" w:styleId="Appendixlevel2">
    <w:name w:val="Appendix level 2"/>
    <w:basedOn w:val="NICEnormal"/>
    <w:rsid w:val="00AC02CE"/>
    <w:pPr>
      <w:tabs>
        <w:tab w:val="num" w:pos="360"/>
      </w:tabs>
      <w:spacing w:before="240"/>
    </w:pPr>
  </w:style>
  <w:style w:type="paragraph" w:customStyle="1" w:styleId="Appendixbullet">
    <w:name w:val="Appendix bullet"/>
    <w:basedOn w:val="NICEnormal"/>
    <w:rsid w:val="00AC02CE"/>
    <w:pPr>
      <w:tabs>
        <w:tab w:val="num" w:pos="360"/>
      </w:tabs>
      <w:spacing w:after="0" w:line="240" w:lineRule="auto"/>
    </w:pPr>
  </w:style>
  <w:style w:type="paragraph" w:customStyle="1" w:styleId="Appendixreferences">
    <w:name w:val="Appendix references"/>
    <w:basedOn w:val="NICEnormal"/>
    <w:rsid w:val="00AC02CE"/>
    <w:pPr>
      <w:tabs>
        <w:tab w:val="left" w:pos="567"/>
      </w:tabs>
      <w:spacing w:after="120" w:line="240" w:lineRule="auto"/>
      <w:ind w:left="567"/>
    </w:pPr>
  </w:style>
  <w:style w:type="paragraph" w:customStyle="1" w:styleId="References">
    <w:name w:val="References"/>
    <w:basedOn w:val="PGDNormal"/>
    <w:rsid w:val="00AC02CE"/>
    <w:pPr>
      <w:tabs>
        <w:tab w:val="num" w:pos="360"/>
      </w:tabs>
      <w:spacing w:after="120"/>
    </w:pPr>
  </w:style>
  <w:style w:type="paragraph" w:styleId="BalloonText">
    <w:name w:val="Balloon Text"/>
    <w:basedOn w:val="Normal"/>
    <w:link w:val="BalloonTextChar"/>
    <w:semiHidden/>
    <w:rsid w:val="00AC02CE"/>
    <w:rPr>
      <w:rFonts w:ascii="Tahoma" w:hAnsi="Tahoma" w:cs="Tahoma"/>
      <w:sz w:val="16"/>
      <w:szCs w:val="16"/>
    </w:rPr>
  </w:style>
  <w:style w:type="character" w:customStyle="1" w:styleId="BalloonTextChar">
    <w:name w:val="Balloon Text Char"/>
    <w:link w:val="BalloonText"/>
    <w:semiHidden/>
    <w:rsid w:val="00AC02C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AC02CE"/>
    <w:rPr>
      <w:sz w:val="16"/>
      <w:szCs w:val="16"/>
    </w:rPr>
  </w:style>
  <w:style w:type="paragraph" w:styleId="CommentText">
    <w:name w:val="annotation text"/>
    <w:basedOn w:val="Normal"/>
    <w:link w:val="CommentTextChar1"/>
    <w:uiPriority w:val="99"/>
    <w:unhideWhenUsed/>
    <w:rsid w:val="00AC02CE"/>
  </w:style>
  <w:style w:type="character" w:customStyle="1" w:styleId="CommentTextChar">
    <w:name w:val="Comment Text Char"/>
    <w:uiPriority w:val="99"/>
    <w:rsid w:val="00AC02C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AC02CE"/>
    <w:rPr>
      <w:b/>
      <w:bCs/>
    </w:rPr>
  </w:style>
  <w:style w:type="character" w:customStyle="1" w:styleId="CommentSubjectChar">
    <w:name w:val="Comment Subject Char"/>
    <w:semiHidden/>
    <w:rsid w:val="00AC02C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AC02CE"/>
    <w:pPr>
      <w:spacing w:before="100" w:beforeAutospacing="1" w:after="100" w:afterAutospacing="1"/>
    </w:pPr>
  </w:style>
  <w:style w:type="paragraph" w:styleId="TOC1">
    <w:name w:val="toc 1"/>
    <w:basedOn w:val="Normal"/>
    <w:next w:val="Normal"/>
    <w:autoRedefine/>
    <w:rsid w:val="00AC02CE"/>
    <w:rPr>
      <w:rFonts w:ascii="Arial" w:hAnsi="Arial"/>
    </w:rPr>
  </w:style>
  <w:style w:type="paragraph" w:styleId="TOC2">
    <w:name w:val="toc 2"/>
    <w:basedOn w:val="Normal"/>
    <w:next w:val="Normal"/>
    <w:autoRedefine/>
    <w:rsid w:val="00AC02CE"/>
    <w:pPr>
      <w:ind w:left="240"/>
    </w:pPr>
    <w:rPr>
      <w:rFonts w:ascii="Arial" w:hAnsi="Arial"/>
    </w:rPr>
  </w:style>
  <w:style w:type="paragraph" w:customStyle="1" w:styleId="Frontpagetitle">
    <w:name w:val="Front page title"/>
    <w:basedOn w:val="Normal"/>
    <w:rsid w:val="00AC02CE"/>
    <w:pPr>
      <w:spacing w:after="240"/>
      <w:jc w:val="center"/>
    </w:pPr>
    <w:rPr>
      <w:rFonts w:ascii="Arial" w:hAnsi="Arial" w:cs="Arial"/>
      <w:sz w:val="48"/>
      <w:szCs w:val="48"/>
      <w:lang w:val="en-US"/>
    </w:rPr>
  </w:style>
  <w:style w:type="paragraph" w:customStyle="1" w:styleId="Frontpagedate">
    <w:name w:val="Front page date"/>
    <w:basedOn w:val="Normal"/>
    <w:rsid w:val="00AC02CE"/>
    <w:pPr>
      <w:spacing w:after="240"/>
    </w:pPr>
    <w:rPr>
      <w:rFonts w:ascii="Arial" w:hAnsi="Arial" w:cs="Arial"/>
      <w:sz w:val="32"/>
      <w:szCs w:val="32"/>
      <w:lang w:val="en-US"/>
    </w:rPr>
  </w:style>
  <w:style w:type="paragraph" w:customStyle="1" w:styleId="Frontpageguidelinenumber">
    <w:name w:val="Front page guideline number"/>
    <w:basedOn w:val="Normal"/>
    <w:rsid w:val="00AC02C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C02CE"/>
    <w:pPr>
      <w:outlineLvl w:val="9"/>
    </w:pPr>
    <w:rPr>
      <w:lang w:bidi="en-US"/>
    </w:rPr>
  </w:style>
  <w:style w:type="paragraph" w:styleId="TOC3">
    <w:name w:val="toc 3"/>
    <w:basedOn w:val="Normal"/>
    <w:next w:val="Normal"/>
    <w:autoRedefine/>
    <w:semiHidden/>
    <w:rsid w:val="00AC02CE"/>
    <w:pPr>
      <w:ind w:left="480"/>
    </w:pPr>
    <w:rPr>
      <w:rFonts w:ascii="Arial" w:hAnsi="Arial"/>
    </w:rPr>
  </w:style>
  <w:style w:type="character" w:styleId="FollowedHyperlink">
    <w:name w:val="FollowedHyperlink"/>
    <w:unhideWhenUsed/>
    <w:rsid w:val="00AC02CE"/>
    <w:rPr>
      <w:color w:val="800080"/>
      <w:u w:val="single"/>
    </w:rPr>
  </w:style>
  <w:style w:type="paragraph" w:customStyle="1" w:styleId="Level2text">
    <w:name w:val="Level 2 text"/>
    <w:basedOn w:val="Numberedheading2"/>
    <w:locked/>
    <w:rsid w:val="00AC02CE"/>
    <w:pPr>
      <w:numPr>
        <w:ilvl w:val="1"/>
        <w:numId w:val="1"/>
      </w:numPr>
    </w:pPr>
    <w:rPr>
      <w:b/>
      <w:i/>
    </w:rPr>
  </w:style>
  <w:style w:type="paragraph" w:styleId="FootnoteText">
    <w:name w:val="footnote text"/>
    <w:basedOn w:val="Normal"/>
    <w:link w:val="FootnoteTextChar1"/>
    <w:semiHidden/>
    <w:rsid w:val="00AC02CE"/>
    <w:rPr>
      <w:rFonts w:ascii="Arial" w:eastAsia="Calibri" w:hAnsi="Arial"/>
    </w:rPr>
  </w:style>
  <w:style w:type="character" w:customStyle="1" w:styleId="FootnoteTextChar">
    <w:name w:val="Footnote Text Char"/>
    <w:rsid w:val="00AC02CE"/>
    <w:rPr>
      <w:rFonts w:ascii="Arial" w:eastAsia="Times New Roman" w:hAnsi="Arial"/>
    </w:rPr>
  </w:style>
  <w:style w:type="character" w:styleId="FootnoteReference">
    <w:name w:val="footnote reference"/>
    <w:rsid w:val="00AC02CE"/>
    <w:rPr>
      <w:vertAlign w:val="superscript"/>
    </w:rPr>
  </w:style>
  <w:style w:type="paragraph" w:customStyle="1" w:styleId="Paragraph">
    <w:name w:val="Paragraph"/>
    <w:basedOn w:val="Paragraphnonumbers"/>
    <w:uiPriority w:val="4"/>
    <w:qFormat/>
    <w:rsid w:val="00AC02CE"/>
    <w:pPr>
      <w:numPr>
        <w:numId w:val="9"/>
      </w:numPr>
      <w:tabs>
        <w:tab w:val="left" w:pos="567"/>
      </w:tabs>
    </w:pPr>
  </w:style>
  <w:style w:type="paragraph" w:customStyle="1" w:styleId="Bullets">
    <w:name w:val="Bullets"/>
    <w:basedOn w:val="Normal"/>
    <w:uiPriority w:val="5"/>
    <w:qFormat/>
    <w:rsid w:val="00AC02CE"/>
    <w:pPr>
      <w:numPr>
        <w:numId w:val="16"/>
      </w:numPr>
      <w:spacing w:after="120" w:line="276" w:lineRule="auto"/>
    </w:pPr>
    <w:rPr>
      <w:rFonts w:ascii="Arial" w:hAnsi="Arial"/>
    </w:rPr>
  </w:style>
  <w:style w:type="paragraph" w:customStyle="1" w:styleId="Subbullets">
    <w:name w:val="Sub bullets"/>
    <w:basedOn w:val="Normal"/>
    <w:uiPriority w:val="6"/>
    <w:qFormat/>
    <w:rsid w:val="00AC02C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AC02CE"/>
    <w:pPr>
      <w:spacing w:after="240" w:line="276" w:lineRule="auto"/>
    </w:pPr>
    <w:rPr>
      <w:rFonts w:ascii="Arial" w:hAnsi="Arial"/>
    </w:rPr>
  </w:style>
  <w:style w:type="paragraph" w:styleId="TOAHeading">
    <w:name w:val="toa heading"/>
    <w:basedOn w:val="Normal"/>
    <w:next w:val="Normal"/>
    <w:semiHidden/>
    <w:rsid w:val="00AC02CE"/>
    <w:pPr>
      <w:spacing w:before="120"/>
    </w:pPr>
    <w:rPr>
      <w:rFonts w:ascii="Arial" w:hAnsi="Arial"/>
      <w:b/>
      <w:bCs/>
    </w:rPr>
  </w:style>
  <w:style w:type="paragraph" w:styleId="TOC4">
    <w:name w:val="toc 4"/>
    <w:basedOn w:val="Normal"/>
    <w:next w:val="Normal"/>
    <w:autoRedefine/>
    <w:semiHidden/>
    <w:rsid w:val="00AC02CE"/>
    <w:pPr>
      <w:ind w:left="720"/>
    </w:pPr>
    <w:rPr>
      <w:rFonts w:ascii="Arial" w:hAnsi="Arial"/>
    </w:rPr>
  </w:style>
  <w:style w:type="paragraph" w:customStyle="1" w:styleId="Bulletindent1alast">
    <w:name w:val="Bullet indent 1a last"/>
    <w:basedOn w:val="Bulletindent1last"/>
    <w:qFormat/>
    <w:rsid w:val="00AC02CE"/>
    <w:pPr>
      <w:ind w:left="2552"/>
    </w:pPr>
  </w:style>
  <w:style w:type="paragraph" w:customStyle="1" w:styleId="Bulletindent2a">
    <w:name w:val="Bullet indent 2a"/>
    <w:basedOn w:val="Normal"/>
    <w:qFormat/>
    <w:rsid w:val="00AC02C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AC02CE"/>
    <w:pPr>
      <w:tabs>
        <w:tab w:val="num" w:pos="2552"/>
      </w:tabs>
      <w:ind w:left="2552"/>
    </w:pPr>
  </w:style>
  <w:style w:type="paragraph" w:customStyle="1" w:styleId="Frontpagegreentitle">
    <w:name w:val="Front page green title"/>
    <w:basedOn w:val="Normal"/>
    <w:rsid w:val="00AC02CE"/>
    <w:pPr>
      <w:jc w:val="center"/>
    </w:pPr>
    <w:rPr>
      <w:rFonts w:ascii="Arial" w:hAnsi="Arial" w:cs="Arial"/>
      <w:b/>
      <w:color w:val="009999"/>
      <w:sz w:val="64"/>
      <w:szCs w:val="64"/>
    </w:rPr>
  </w:style>
  <w:style w:type="paragraph" w:styleId="TOC5">
    <w:name w:val="toc 5"/>
    <w:basedOn w:val="Normal"/>
    <w:next w:val="Normal"/>
    <w:autoRedefine/>
    <w:semiHidden/>
    <w:unhideWhenUsed/>
    <w:rsid w:val="00AC02CE"/>
    <w:pPr>
      <w:spacing w:after="100" w:line="276" w:lineRule="auto"/>
      <w:ind w:left="880"/>
    </w:pPr>
  </w:style>
  <w:style w:type="paragraph" w:styleId="TOC6">
    <w:name w:val="toc 6"/>
    <w:basedOn w:val="Normal"/>
    <w:next w:val="Normal"/>
    <w:autoRedefine/>
    <w:semiHidden/>
    <w:unhideWhenUsed/>
    <w:rsid w:val="00AC02CE"/>
    <w:pPr>
      <w:spacing w:after="100" w:line="276" w:lineRule="auto"/>
      <w:ind w:left="1100"/>
    </w:pPr>
  </w:style>
  <w:style w:type="paragraph" w:styleId="TOC7">
    <w:name w:val="toc 7"/>
    <w:basedOn w:val="Normal"/>
    <w:next w:val="Normal"/>
    <w:autoRedefine/>
    <w:semiHidden/>
    <w:unhideWhenUsed/>
    <w:rsid w:val="00AC02CE"/>
    <w:pPr>
      <w:spacing w:after="100" w:line="276" w:lineRule="auto"/>
      <w:ind w:left="1320"/>
    </w:pPr>
  </w:style>
  <w:style w:type="paragraph" w:styleId="TOC8">
    <w:name w:val="toc 8"/>
    <w:basedOn w:val="Normal"/>
    <w:next w:val="Normal"/>
    <w:autoRedefine/>
    <w:semiHidden/>
    <w:unhideWhenUsed/>
    <w:rsid w:val="00AC02CE"/>
    <w:pPr>
      <w:spacing w:after="100" w:line="276" w:lineRule="auto"/>
      <w:ind w:left="1540"/>
    </w:pPr>
  </w:style>
  <w:style w:type="paragraph" w:styleId="TOC9">
    <w:name w:val="toc 9"/>
    <w:basedOn w:val="Normal"/>
    <w:next w:val="Normal"/>
    <w:autoRedefine/>
    <w:semiHidden/>
    <w:unhideWhenUsed/>
    <w:rsid w:val="00AC02CE"/>
    <w:pPr>
      <w:spacing w:after="100" w:line="276" w:lineRule="auto"/>
      <w:ind w:left="1760"/>
    </w:pPr>
  </w:style>
  <w:style w:type="paragraph" w:customStyle="1" w:styleId="Question">
    <w:name w:val="Question"/>
    <w:basedOn w:val="References"/>
    <w:qFormat/>
    <w:rsid w:val="00AC02CE"/>
    <w:pPr>
      <w:keepNext/>
      <w:numPr>
        <w:numId w:val="2"/>
      </w:numPr>
    </w:pPr>
    <w:rPr>
      <w:b/>
    </w:rPr>
  </w:style>
  <w:style w:type="paragraph" w:styleId="EndnoteText">
    <w:name w:val="endnote text"/>
    <w:basedOn w:val="Normal"/>
    <w:link w:val="EndnoteTextChar1"/>
    <w:semiHidden/>
    <w:unhideWhenUsed/>
    <w:rsid w:val="00AC02CE"/>
  </w:style>
  <w:style w:type="character" w:customStyle="1" w:styleId="EndnoteTextChar">
    <w:name w:val="Endnote Text Char"/>
    <w:semiHidden/>
    <w:rsid w:val="00AC02CE"/>
    <w:rPr>
      <w:rFonts w:ascii="Times New Roman" w:eastAsia="Times New Roman" w:hAnsi="Times New Roman"/>
    </w:rPr>
  </w:style>
  <w:style w:type="character" w:styleId="EndnoteReference">
    <w:name w:val="endnote reference"/>
    <w:semiHidden/>
    <w:unhideWhenUsed/>
    <w:rsid w:val="00AC02CE"/>
    <w:rPr>
      <w:vertAlign w:val="superscript"/>
    </w:rPr>
  </w:style>
  <w:style w:type="paragraph" w:customStyle="1" w:styleId="Style4">
    <w:name w:val="Style4"/>
    <w:basedOn w:val="Normal"/>
    <w:autoRedefine/>
    <w:rsid w:val="00AC02CE"/>
    <w:pPr>
      <w:keepNext/>
      <w:spacing w:line="360" w:lineRule="auto"/>
      <w:ind w:left="567"/>
    </w:pPr>
    <w:rPr>
      <w:rFonts w:ascii="Arial" w:hAnsi="Arial" w:cs="Arial"/>
    </w:rPr>
  </w:style>
  <w:style w:type="paragraph" w:customStyle="1" w:styleId="Bodytextosteo">
    <w:name w:val="Body text osteo"/>
    <w:basedOn w:val="BodyText"/>
    <w:autoRedefine/>
    <w:rsid w:val="00AC02CE"/>
    <w:pPr>
      <w:spacing w:after="0" w:line="360" w:lineRule="auto"/>
      <w:ind w:left="567"/>
    </w:pPr>
    <w:rPr>
      <w:rFonts w:ascii="Arial" w:hAnsi="Arial" w:cs="Arial"/>
    </w:rPr>
  </w:style>
  <w:style w:type="paragraph" w:styleId="BodyText">
    <w:name w:val="Body Text"/>
    <w:basedOn w:val="Normal"/>
    <w:link w:val="BodyTextChar"/>
    <w:rsid w:val="00AC02CE"/>
    <w:pPr>
      <w:spacing w:after="120"/>
    </w:pPr>
  </w:style>
  <w:style w:type="paragraph" w:customStyle="1" w:styleId="bulletdoubleindent">
    <w:name w:val="bullet double indent"/>
    <w:basedOn w:val="Normal"/>
    <w:autoRedefine/>
    <w:rsid w:val="00AC02CE"/>
    <w:pPr>
      <w:numPr>
        <w:numId w:val="3"/>
      </w:numPr>
      <w:spacing w:line="360" w:lineRule="auto"/>
    </w:pPr>
    <w:rPr>
      <w:rFonts w:ascii="Arial" w:eastAsia="Calibri" w:hAnsi="Arial"/>
    </w:rPr>
  </w:style>
  <w:style w:type="paragraph" w:customStyle="1" w:styleId="bulletindentosteo">
    <w:name w:val="bullet indent osteo"/>
    <w:basedOn w:val="Normal"/>
    <w:autoRedefine/>
    <w:rsid w:val="00AC02C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AC02C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AC02CE"/>
    <w:pPr>
      <w:spacing w:after="0" w:line="360" w:lineRule="auto"/>
      <w:ind w:left="567"/>
    </w:pPr>
  </w:style>
  <w:style w:type="paragraph" w:customStyle="1" w:styleId="subheadingosteo">
    <w:name w:val="subheading osteo"/>
    <w:basedOn w:val="Heading6"/>
    <w:autoRedefine/>
    <w:rsid w:val="00AC02CE"/>
    <w:pPr>
      <w:keepNext/>
      <w:spacing w:line="360" w:lineRule="auto"/>
      <w:ind w:left="539"/>
    </w:pPr>
    <w:rPr>
      <w:rFonts w:ascii="Arial" w:hAnsi="Arial"/>
    </w:rPr>
  </w:style>
  <w:style w:type="paragraph" w:customStyle="1" w:styleId="bulletdoubleindentosteo">
    <w:name w:val="bullet double indent osteo"/>
    <w:basedOn w:val="bulletindentosteo"/>
    <w:autoRedefine/>
    <w:rsid w:val="00AC02CE"/>
    <w:pPr>
      <w:numPr>
        <w:numId w:val="5"/>
      </w:numPr>
    </w:pPr>
    <w:rPr>
      <w:rFonts w:eastAsia="Times New Roman"/>
      <w:lang w:eastAsia="en-GB"/>
    </w:rPr>
  </w:style>
  <w:style w:type="paragraph" w:styleId="ListBullet3">
    <w:name w:val="List Bullet 3"/>
    <w:basedOn w:val="Normal"/>
    <w:autoRedefine/>
    <w:rsid w:val="00AC02CE"/>
  </w:style>
  <w:style w:type="paragraph" w:customStyle="1" w:styleId="Bulletosteotable">
    <w:name w:val="Bullet osteo table"/>
    <w:basedOn w:val="bulletosteoporosis"/>
    <w:autoRedefine/>
    <w:rsid w:val="00AC02CE"/>
    <w:pPr>
      <w:numPr>
        <w:numId w:val="6"/>
      </w:numPr>
    </w:pPr>
  </w:style>
  <w:style w:type="paragraph" w:customStyle="1" w:styleId="StyleHeading2Before0ptAfter0ptLinespacing15l">
    <w:name w:val="Style Heading 2 + Before:  0 pt After:  0 pt Line spacing:  1.5 l..."/>
    <w:basedOn w:val="Heading2"/>
    <w:autoRedefine/>
    <w:rsid w:val="00AC02CE"/>
    <w:pPr>
      <w:spacing w:after="0" w:line="360" w:lineRule="auto"/>
    </w:pPr>
    <w:rPr>
      <w:szCs w:val="20"/>
      <w:lang w:val="en-US"/>
    </w:rPr>
  </w:style>
  <w:style w:type="paragraph" w:customStyle="1" w:styleId="NCC-ACChaptertitle">
    <w:name w:val="NCC-AC Chapter title"/>
    <w:basedOn w:val="Numberedheading1"/>
    <w:next w:val="Normal"/>
    <w:autoRedefine/>
    <w:rsid w:val="00AC02C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AC02C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AC02CE"/>
    <w:pPr>
      <w:numPr>
        <w:ilvl w:val="3"/>
        <w:numId w:val="8"/>
      </w:numPr>
    </w:pPr>
    <w:rPr>
      <w:b w:val="0"/>
    </w:rPr>
  </w:style>
  <w:style w:type="numbering" w:customStyle="1" w:styleId="NiceNumbering">
    <w:name w:val="Nice Numbering"/>
    <w:rsid w:val="00AC02CE"/>
    <w:pPr>
      <w:numPr>
        <w:numId w:val="8"/>
      </w:numPr>
    </w:pPr>
  </w:style>
  <w:style w:type="character" w:customStyle="1" w:styleId="FootnoteTextChar1">
    <w:name w:val="Footnote Text Char1"/>
    <w:link w:val="FootnoteText"/>
    <w:semiHidden/>
    <w:rsid w:val="00AC02CE"/>
    <w:rPr>
      <w:rFonts w:ascii="Arial" w:hAnsi="Arial"/>
      <w:kern w:val="2"/>
      <w:lang w:eastAsia="en-US"/>
      <w14:ligatures w14:val="standardContextual"/>
    </w:rPr>
  </w:style>
  <w:style w:type="table" w:styleId="TableGrid">
    <w:name w:val="Table Grid"/>
    <w:basedOn w:val="TableNormal"/>
    <w:rsid w:val="00AC02C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AC02CE"/>
    <w:rPr>
      <w:rFonts w:ascii="Arial" w:hAnsi="Arial" w:cs="Arial"/>
      <w:color w:val="FFFFFF"/>
      <w:sz w:val="32"/>
      <w:szCs w:val="32"/>
    </w:rPr>
  </w:style>
  <w:style w:type="paragraph" w:customStyle="1" w:styleId="Default">
    <w:name w:val="Default"/>
    <w:rsid w:val="00AC02CE"/>
    <w:pPr>
      <w:autoSpaceDE w:val="0"/>
      <w:autoSpaceDN w:val="0"/>
      <w:adjustRightInd w:val="0"/>
    </w:pPr>
    <w:rPr>
      <w:rFonts w:eastAsia="Times New Roman" w:cs="Calibri"/>
      <w:color w:val="000000"/>
    </w:rPr>
  </w:style>
  <w:style w:type="paragraph" w:customStyle="1" w:styleId="PGDNormal">
    <w:name w:val="PGD Normal"/>
    <w:basedOn w:val="NICEnormal"/>
    <w:rsid w:val="00AC02CE"/>
    <w:pPr>
      <w:spacing w:line="240" w:lineRule="auto"/>
    </w:pPr>
    <w:rPr>
      <w:sz w:val="22"/>
    </w:rPr>
  </w:style>
  <w:style w:type="paragraph" w:customStyle="1" w:styleId="TabletextIPoverviewevidence">
    <w:name w:val="Table text IP overview evidence"/>
    <w:basedOn w:val="Tabletext"/>
    <w:rsid w:val="00AC02CE"/>
    <w:rPr>
      <w:sz w:val="18"/>
    </w:rPr>
  </w:style>
  <w:style w:type="character" w:customStyle="1" w:styleId="Heading5Char">
    <w:name w:val="Heading 5 Char"/>
    <w:link w:val="Heading5"/>
    <w:uiPriority w:val="9"/>
    <w:rsid w:val="00AC02C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AC02C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AC02C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AC02C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AC02C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AC02CE"/>
    <w:pPr>
      <w:spacing w:after="600"/>
    </w:pPr>
    <w:rPr>
      <w:rFonts w:ascii="Cambria" w:hAnsi="Cambria"/>
      <w:i/>
      <w:iCs/>
      <w:spacing w:val="13"/>
    </w:rPr>
  </w:style>
  <w:style w:type="character" w:customStyle="1" w:styleId="SubtitleChar">
    <w:name w:val="Subtitle Char"/>
    <w:link w:val="Subtitle"/>
    <w:uiPriority w:val="11"/>
    <w:rsid w:val="00AC02CE"/>
    <w:rPr>
      <w:rFonts w:ascii="Cambria" w:eastAsiaTheme="minorHAnsi" w:hAnsi="Cambria"/>
      <w:i/>
      <w:iCs/>
      <w:spacing w:val="13"/>
      <w:kern w:val="2"/>
      <w:lang w:eastAsia="en-US"/>
      <w14:ligatures w14:val="standardContextual"/>
    </w:rPr>
  </w:style>
  <w:style w:type="character" w:styleId="Strong">
    <w:name w:val="Strong"/>
    <w:uiPriority w:val="22"/>
    <w:qFormat/>
    <w:rsid w:val="00AC02CE"/>
    <w:rPr>
      <w:b/>
      <w:bCs/>
    </w:rPr>
  </w:style>
  <w:style w:type="character" w:styleId="Emphasis">
    <w:name w:val="Emphasis"/>
    <w:uiPriority w:val="20"/>
    <w:qFormat/>
    <w:rsid w:val="00AC02CE"/>
    <w:rPr>
      <w:b/>
      <w:bCs/>
      <w:i/>
      <w:iCs/>
      <w:spacing w:val="10"/>
      <w:bdr w:val="none" w:sz="0" w:space="0" w:color="auto"/>
      <w:shd w:val="clear" w:color="auto" w:fill="auto"/>
    </w:rPr>
  </w:style>
  <w:style w:type="paragraph" w:styleId="NoSpacing">
    <w:name w:val="No Spacing"/>
    <w:basedOn w:val="Normal"/>
    <w:uiPriority w:val="1"/>
    <w:qFormat/>
    <w:rsid w:val="00AC02CE"/>
    <w:rPr>
      <w:rFonts w:eastAsia="Calibri"/>
    </w:rPr>
  </w:style>
  <w:style w:type="paragraph" w:styleId="Quote">
    <w:name w:val="Quote"/>
    <w:basedOn w:val="Normal"/>
    <w:next w:val="Normal"/>
    <w:link w:val="QuoteChar"/>
    <w:uiPriority w:val="29"/>
    <w:qFormat/>
    <w:rsid w:val="00AC02CE"/>
    <w:pPr>
      <w:spacing w:before="200"/>
      <w:ind w:left="360" w:right="360"/>
    </w:pPr>
    <w:rPr>
      <w:i/>
      <w:iCs/>
    </w:rPr>
  </w:style>
  <w:style w:type="character" w:customStyle="1" w:styleId="QuoteChar">
    <w:name w:val="Quote Char"/>
    <w:link w:val="Quote"/>
    <w:uiPriority w:val="29"/>
    <w:rsid w:val="00AC02C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C02C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C02CE"/>
    <w:rPr>
      <w:rFonts w:eastAsiaTheme="minorHAnsi"/>
      <w:b/>
      <w:bCs/>
      <w:i/>
      <w:iCs/>
      <w:kern w:val="2"/>
      <w:lang w:eastAsia="en-US"/>
      <w14:ligatures w14:val="standardContextual"/>
    </w:rPr>
  </w:style>
  <w:style w:type="character" w:styleId="SubtleEmphasis">
    <w:name w:val="Subtle Emphasis"/>
    <w:uiPriority w:val="19"/>
    <w:qFormat/>
    <w:rsid w:val="00AC02CE"/>
    <w:rPr>
      <w:i/>
      <w:iCs/>
    </w:rPr>
  </w:style>
  <w:style w:type="character" w:styleId="IntenseEmphasis">
    <w:name w:val="Intense Emphasis"/>
    <w:uiPriority w:val="21"/>
    <w:qFormat/>
    <w:rsid w:val="00AC02CE"/>
    <w:rPr>
      <w:b/>
      <w:bCs/>
    </w:rPr>
  </w:style>
  <w:style w:type="character" w:styleId="SubtleReference">
    <w:name w:val="Subtle Reference"/>
    <w:uiPriority w:val="31"/>
    <w:qFormat/>
    <w:rsid w:val="00AC02CE"/>
    <w:rPr>
      <w:smallCaps/>
    </w:rPr>
  </w:style>
  <w:style w:type="character" w:styleId="IntenseReference">
    <w:name w:val="Intense Reference"/>
    <w:uiPriority w:val="32"/>
    <w:qFormat/>
    <w:rsid w:val="00AC02CE"/>
    <w:rPr>
      <w:smallCaps/>
      <w:spacing w:val="5"/>
      <w:u w:val="single"/>
    </w:rPr>
  </w:style>
  <w:style w:type="character" w:styleId="BookTitle">
    <w:name w:val="Book Title"/>
    <w:uiPriority w:val="33"/>
    <w:qFormat/>
    <w:rsid w:val="00AC02CE"/>
    <w:rPr>
      <w:i/>
      <w:iCs/>
      <w:smallCaps/>
      <w:spacing w:val="5"/>
    </w:rPr>
  </w:style>
  <w:style w:type="paragraph" w:customStyle="1" w:styleId="NICETitle2">
    <w:name w:val="NICE Title 2"/>
    <w:basedOn w:val="Normal"/>
    <w:qFormat/>
    <w:rsid w:val="00AC02C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C02CE"/>
    <w:pPr>
      <w:spacing w:after="120" w:line="480" w:lineRule="auto"/>
    </w:pPr>
  </w:style>
  <w:style w:type="character" w:customStyle="1" w:styleId="BodyText2Char">
    <w:name w:val="Body Text 2 Char"/>
    <w:link w:val="BodyText2"/>
    <w:uiPriority w:val="99"/>
    <w:semiHidden/>
    <w:rsid w:val="00AC02CE"/>
    <w:rPr>
      <w:rFonts w:eastAsiaTheme="minorHAnsi"/>
      <w:kern w:val="2"/>
      <w:lang w:eastAsia="en-US"/>
      <w14:ligatures w14:val="standardContextual"/>
    </w:rPr>
  </w:style>
  <w:style w:type="character" w:styleId="UnresolvedMention">
    <w:name w:val="Unresolved Mention"/>
    <w:uiPriority w:val="99"/>
    <w:semiHidden/>
    <w:unhideWhenUsed/>
    <w:rsid w:val="00AC02CE"/>
    <w:rPr>
      <w:color w:val="605E5C"/>
      <w:shd w:val="clear" w:color="auto" w:fill="E1DFDD"/>
    </w:rPr>
  </w:style>
  <w:style w:type="paragraph" w:customStyle="1" w:styleId="PGDTitle2">
    <w:name w:val="PGD Title 2"/>
    <w:basedOn w:val="Normal"/>
    <w:rsid w:val="00AC02CE"/>
    <w:pPr>
      <w:jc w:val="center"/>
    </w:pPr>
    <w:rPr>
      <w:rFonts w:ascii="Arial" w:hAnsi="Arial"/>
      <w:b/>
      <w:sz w:val="36"/>
      <w:szCs w:val="36"/>
    </w:rPr>
  </w:style>
  <w:style w:type="paragraph" w:customStyle="1" w:styleId="PGDTitle1">
    <w:name w:val="PGD Title 1"/>
    <w:basedOn w:val="Normal"/>
    <w:rsid w:val="00AC02CE"/>
    <w:pPr>
      <w:jc w:val="center"/>
    </w:pPr>
    <w:rPr>
      <w:rFonts w:ascii="Arial" w:hAnsi="Arial"/>
      <w:b/>
      <w:bCs/>
      <w:sz w:val="44"/>
    </w:rPr>
  </w:style>
  <w:style w:type="character" w:customStyle="1" w:styleId="PGDVersionNumber">
    <w:name w:val="PGD Version Number"/>
    <w:basedOn w:val="DefaultParagraphFont"/>
    <w:qFormat/>
    <w:rsid w:val="00AC02CE"/>
    <w:rPr>
      <w:rFonts w:ascii="Arial" w:hAnsi="Arial"/>
      <w:sz w:val="28"/>
    </w:rPr>
  </w:style>
  <w:style w:type="paragraph" w:customStyle="1" w:styleId="TableHeaderRow">
    <w:name w:val="Table Header Row"/>
    <w:basedOn w:val="Normal"/>
    <w:rsid w:val="00AC02CE"/>
    <w:rPr>
      <w:rFonts w:ascii="Arial" w:hAnsi="Arial"/>
      <w:b/>
      <w:bCs/>
    </w:rPr>
  </w:style>
  <w:style w:type="character" w:customStyle="1" w:styleId="PGDNormalBold">
    <w:name w:val="PGD Normal Bold"/>
    <w:basedOn w:val="DefaultParagraphFont"/>
    <w:rsid w:val="00AC02CE"/>
    <w:rPr>
      <w:rFonts w:ascii="Arial" w:hAnsi="Arial"/>
      <w:b/>
      <w:bCs/>
    </w:rPr>
  </w:style>
  <w:style w:type="character" w:customStyle="1" w:styleId="TableHeaderColumn">
    <w:name w:val="Table Header Column"/>
    <w:basedOn w:val="DefaultParagraphFont"/>
    <w:rsid w:val="00AC02CE"/>
    <w:rPr>
      <w:rFonts w:ascii="Arial" w:hAnsi="Arial"/>
      <w:b/>
      <w:bCs/>
      <w:sz w:val="20"/>
    </w:rPr>
  </w:style>
  <w:style w:type="paragraph" w:customStyle="1" w:styleId="Title1">
    <w:name w:val="Title 1"/>
    <w:basedOn w:val="Title"/>
    <w:qFormat/>
    <w:rsid w:val="00AC02CE"/>
    <w:rPr>
      <w:rFonts w:ascii="Arial" w:hAnsi="Arial" w:cs="Arial"/>
      <w:sz w:val="44"/>
      <w:szCs w:val="44"/>
    </w:rPr>
  </w:style>
  <w:style w:type="paragraph" w:customStyle="1" w:styleId="Title2">
    <w:name w:val="Title 2"/>
    <w:basedOn w:val="Title"/>
    <w:qFormat/>
    <w:rsid w:val="00AC02CE"/>
    <w:rPr>
      <w:rFonts w:ascii="Arial" w:hAnsi="Arial" w:cs="Arial"/>
      <w:sz w:val="40"/>
      <w:szCs w:val="40"/>
    </w:rPr>
  </w:style>
  <w:style w:type="paragraph" w:customStyle="1" w:styleId="PGDHeading2">
    <w:name w:val="PGD Heading 2"/>
    <w:basedOn w:val="Heading2"/>
    <w:qFormat/>
    <w:rsid w:val="00AC02CE"/>
    <w:rPr>
      <w:rFonts w:ascii="Arial" w:hAnsi="Arial" w:cs="Arial"/>
      <w:color w:val="auto"/>
      <w:sz w:val="28"/>
      <w:szCs w:val="28"/>
    </w:rPr>
  </w:style>
  <w:style w:type="table" w:customStyle="1" w:styleId="Tableheading">
    <w:name w:val="Table heading"/>
    <w:basedOn w:val="TableNormal"/>
    <w:uiPriority w:val="99"/>
    <w:rsid w:val="00AC02C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AC02CE"/>
    <w:pPr>
      <w:spacing w:line="240" w:lineRule="auto"/>
    </w:pPr>
  </w:style>
  <w:style w:type="paragraph" w:customStyle="1" w:styleId="PGDtablebullet0">
    <w:name w:val="PGD table bullet"/>
    <w:basedOn w:val="Normal"/>
    <w:rsid w:val="00AC02CE"/>
    <w:rPr>
      <w:rFonts w:ascii="Arial" w:eastAsia="Times New Roman" w:hAnsi="Arial"/>
    </w:rPr>
  </w:style>
  <w:style w:type="numbering" w:customStyle="1" w:styleId="PGDTableBullet">
    <w:name w:val="PGD Table Bullet"/>
    <w:basedOn w:val="NoList"/>
    <w:uiPriority w:val="99"/>
    <w:rsid w:val="00AC02CE"/>
    <w:pPr>
      <w:numPr>
        <w:numId w:val="10"/>
      </w:numPr>
    </w:pPr>
  </w:style>
  <w:style w:type="paragraph" w:customStyle="1" w:styleId="StyleLatinArialAfter0ptLinespacingsingle">
    <w:name w:val="Style (Latin) Arial After:  0 pt Line spacing:  single"/>
    <w:basedOn w:val="Normal"/>
    <w:rsid w:val="00AC02CE"/>
    <w:rPr>
      <w:rFonts w:ascii="Arial" w:eastAsia="Times New Roman" w:hAnsi="Arial"/>
    </w:rPr>
  </w:style>
  <w:style w:type="paragraph" w:customStyle="1" w:styleId="PGDlogo">
    <w:name w:val="PGD logo"/>
    <w:basedOn w:val="NICEnormal"/>
    <w:rsid w:val="00AC02CE"/>
    <w:pPr>
      <w:jc w:val="right"/>
    </w:pPr>
  </w:style>
  <w:style w:type="paragraph" w:customStyle="1" w:styleId="PGDLogo0">
    <w:name w:val="PGD Logo"/>
    <w:basedOn w:val="PGDNormal"/>
    <w:rsid w:val="00AC02CE"/>
    <w:pPr>
      <w:jc w:val="right"/>
    </w:pPr>
  </w:style>
  <w:style w:type="paragraph" w:customStyle="1" w:styleId="PGDVersion">
    <w:name w:val="PGD Version"/>
    <w:basedOn w:val="Normal"/>
    <w:rsid w:val="00AC02CE"/>
    <w:pPr>
      <w:jc w:val="center"/>
    </w:pPr>
    <w:rPr>
      <w:rFonts w:ascii="Arial" w:eastAsia="Times New Roman" w:hAnsi="Arial"/>
      <w:sz w:val="28"/>
    </w:rPr>
  </w:style>
  <w:style w:type="numbering" w:customStyle="1" w:styleId="PGDtablebullet2">
    <w:name w:val="PGD table bullet 2"/>
    <w:basedOn w:val="NoList"/>
    <w:rsid w:val="00AC02CE"/>
    <w:pPr>
      <w:numPr>
        <w:numId w:val="12"/>
      </w:numPr>
    </w:pPr>
  </w:style>
  <w:style w:type="numbering" w:customStyle="1" w:styleId="PGDbullet2">
    <w:name w:val="PGD bullet 2"/>
    <w:basedOn w:val="NoList"/>
    <w:rsid w:val="00AC02CE"/>
    <w:pPr>
      <w:numPr>
        <w:numId w:val="13"/>
      </w:numPr>
    </w:pPr>
  </w:style>
  <w:style w:type="numbering" w:customStyle="1" w:styleId="PGDtablebullet1">
    <w:name w:val="PGD table bullet 1"/>
    <w:basedOn w:val="NoList"/>
    <w:rsid w:val="00AC02CE"/>
    <w:pPr>
      <w:numPr>
        <w:numId w:val="14"/>
      </w:numPr>
    </w:pPr>
  </w:style>
  <w:style w:type="character" w:customStyle="1" w:styleId="BodyTextChar">
    <w:name w:val="Body Text Char"/>
    <w:basedOn w:val="DefaultParagraphFont"/>
    <w:link w:val="BodyText"/>
    <w:rsid w:val="00AC02C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AC02C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AC02C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AC02C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2/1916/schedule/16" TargetMode="External"/><Relationship Id="rId18" Type="http://schemas.openxmlformats.org/officeDocument/2006/relationships/hyperlink" Target="https://www.fsrh.org/Public/Documents/fsrh-guidance-fsrh-guidance-management-of-women-taking-anticoagulants.aspx?WebsiteKey=f858b086-d221-4a83-9688-824162920b1b" TargetMode="External"/><Relationship Id="rId26" Type="http://schemas.openxmlformats.org/officeDocument/2006/relationships/hyperlink" Target="file://rlbuht.lan/userdata/RFURNER/Downloads/FSRH%20CEU%20Guidance:%20Drug%20Interactions%20with%20Hormonal%20Contraception%20(May%202022)%20|%20FSRH" TargetMode="External"/><Relationship Id="rId39" Type="http://schemas.openxmlformats.org/officeDocument/2006/relationships/hyperlink" Target="https://www.fsrh.org/Public/Documents/fsrh-clinical-guidance-quick-starting-contraception-april-2017.aspx" TargetMode="External"/><Relationship Id="rId21" Type="http://schemas.openxmlformats.org/officeDocument/2006/relationships/hyperlink" Target="https://www.medicines.org.uk/emc/product/5720/smpc" TargetMode="External"/><Relationship Id="rId34" Type="http://schemas.openxmlformats.org/officeDocument/2006/relationships/hyperlink" Target="https://www.nice.org.uk/guidance/mpg2" TargetMode="External"/><Relationship Id="rId42" Type="http://schemas.openxmlformats.org/officeDocument/2006/relationships/hyperlink" Target="https://www.fsrh.org/Public/Standards-and-Guidance/Contraception-After-Pregnancy.aspx" TargetMode="External"/><Relationship Id="rId47"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ps.nhs.uk/articles/lidocaine-injection-for-subdermal-etonogestrel-in-contraception/" TargetMode="External"/><Relationship Id="rId29" Type="http://schemas.openxmlformats.org/officeDocument/2006/relationships/hyperlink" Target="https://bnf.nice.org.uk/" TargetMode="External"/><Relationship Id="rId11" Type="http://schemas.openxmlformats.org/officeDocument/2006/relationships/hyperlink" Target="https://www.nice.org.uk/Guidance/MPG2" TargetMode="External"/><Relationship Id="rId24" Type="http://schemas.openxmlformats.org/officeDocument/2006/relationships/hyperlink" Target="https://www.medicines.org.uk/emc/product/5720/smpc" TargetMode="External"/><Relationship Id="rId32" Type="http://schemas.openxmlformats.org/officeDocument/2006/relationships/hyperlink" Target="https://www.medicines.org.uk/emc" TargetMode="External"/><Relationship Id="rId37" Type="http://schemas.openxmlformats.org/officeDocument/2006/relationships/hyperlink" Target="https://www.fsrh.org/Public/Documents/ceu-clinical-guidance-drug-interactions-with-hormonal.aspx" TargetMode="External"/><Relationship Id="rId40" Type="http://schemas.openxmlformats.org/officeDocument/2006/relationships/hyperlink" Target="https://www.cosrh.org/Public/Documents/ceu-clinical-guidance-emergency-contraception-march-2017.aspx"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nice.org.uk/guidance/mpg2/resources" TargetMode="External"/><Relationship Id="rId23" Type="http://schemas.openxmlformats.org/officeDocument/2006/relationships/hyperlink" Target="https://www.fsrh.org/Public/Documents/ceu-clinical-guidance-drug-interactions-with-hormonal.aspx" TargetMode="External"/><Relationship Id="rId28" Type="http://schemas.openxmlformats.org/officeDocument/2006/relationships/hyperlink" Target="https://www.medicines.org.uk/emc/product/5720/smpc" TargetMode="External"/><Relationship Id="rId36" Type="http://schemas.openxmlformats.org/officeDocument/2006/relationships/hyperlink" Target="https://www.cosrh.org/Common/Uploaded%20files/documents/CoSRH_CEU_statement_Nexplanon.pdf" TargetMode="External"/><Relationship Id="rId49" Type="http://schemas.openxmlformats.org/officeDocument/2006/relationships/theme" Target="theme/theme1.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fsrh.org/Public/Documents/ceu-clinical-guidance-emergency-contraception-march-2017.aspx" TargetMode="External"/><Relationship Id="rId31" Type="http://schemas.openxmlformats.org/officeDocument/2006/relationships/hyperlink" Target="https://transform.england.nhs.uk/information-governance/guidance/records-management-code/"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fh.org.uk/programmes/patient-group-directions/" TargetMode="External"/><Relationship Id="rId22" Type="http://schemas.openxmlformats.org/officeDocument/2006/relationships/hyperlink" Target="file://rlbuht.lan/userdata/RFURNER/Downloads/FSRH%20CEU%20Guidance:%20Drug%20Interactions%20with%20Hormonal%20Contraception%20(May%202022)%20|%20FSRH" TargetMode="External"/><Relationship Id="rId27" Type="http://schemas.openxmlformats.org/officeDocument/2006/relationships/hyperlink" Target="https://www.fsrh.org/Public/Documents/ceu-clinical-guidance-drug-interactions-with-hormonal.aspx" TargetMode="External"/><Relationship Id="rId30" Type="http://schemas.openxmlformats.org/officeDocument/2006/relationships/hyperlink" Target="https://yellowcard.mhra.gov.uk/" TargetMode="External"/><Relationship Id="rId35" Type="http://schemas.openxmlformats.org/officeDocument/2006/relationships/hyperlink" Target="https://www.fsrh.org/Public/Standards-and-Guidance/Progestogen-only-Implants.aspx" TargetMode="External"/><Relationship Id="rId43" Type="http://schemas.openxmlformats.org/officeDocument/2006/relationships/hyperlink" Target="https://www.gov.uk/drug-safety-update/nexplanon-etonogestrel-contraceptive-implants-reports-of-device-in-vasculature-and-lung"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chapter/Recommendations" TargetMode="External"/><Relationship Id="rId17" Type="http://schemas.openxmlformats.org/officeDocument/2006/relationships/hyperlink" Target="https://www.medicines.org.uk/emc/product/5720/smpc" TargetMode="External"/><Relationship Id="rId25" Type="http://schemas.openxmlformats.org/officeDocument/2006/relationships/hyperlink" Target="https://bnf.nice.org.uk/" TargetMode="External"/><Relationship Id="rId33" Type="http://schemas.openxmlformats.org/officeDocument/2006/relationships/hyperlink" Target="https://bnf.nice.org.uk/" TargetMode="External"/><Relationship Id="rId38" Type="http://schemas.openxmlformats.org/officeDocument/2006/relationships/hyperlink" Target="https://www.fsrh.org/Public/Public/Standards-and-Guidance/uk-medical-eligibility-criteria-for-contraceptive-use-ukmec.aspx?hkey=82727ce6-756b-4b88-a5ab-acaf27c48669" TargetMode="External"/><Relationship Id="rId46" Type="http://schemas.openxmlformats.org/officeDocument/2006/relationships/footer" Target="footer1.xml"/><Relationship Id="rId20" Type="http://schemas.openxmlformats.org/officeDocument/2006/relationships/hyperlink" Target="https://www.fsrh.org/Public/Standards-and-Guidance/Contraception-After-Pregnancy.aspx" TargetMode="External"/><Relationship Id="rId41" Type="http://schemas.openxmlformats.org/officeDocument/2006/relationships/hyperlink" Target="https://www.fsrh.org/Public/Documents/ceu-guidance-contraceptive-choices-for-women-with-cardiac-disease.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2029-08-30T23:00:00+00:00</ExpiryDate>
    <Effectivefromdate xmlns="f161132f-3af4-47f5-b28f-8075dccddbe8">2026-08-31T23:00:00+00:00</Effectivefromdate>
    <_ApprovalStatus xmlns="f161132f-3af4-47f5-b28f-8075dccddbe8">0</_ApprovalStatus>
    <Versionnumber xmlns="f161132f-3af4-47f5-b28f-8075dccddbe8">3</Versionnumber>
    <Reviewcompleted xmlns="f161132f-3af4-47f5-b28f-8075dccddbe8" xsi:nil="true"/>
    <ReviewDate xmlns="f161132f-3af4-47f5-b28f-8075dccddbe8">2029-03-01T00:00:00+00:00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https://digitalliverpool.sharepoint.com/sites/SPSDigital/Lists/Content%20Directory/DispForm.aspx?ID=2875</Url>
      <Description>Etonogestrel implant card</Description>
    </Cardcre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FCC40-1FBE-4E3D-8B8B-205E92A4C737}">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79D443B5-ED6A-468A-9524-B8ECBFA15806}">
  <ds:schemaRefs>
    <ds:schemaRef ds:uri="http://schemas.microsoft.com/sharepoint/v3/contenttype/forms"/>
  </ds:schemaRefs>
</ds:datastoreItem>
</file>

<file path=customXml/itemProps3.xml><?xml version="1.0" encoding="utf-8"?>
<ds:datastoreItem xmlns:ds="http://schemas.openxmlformats.org/officeDocument/2006/customXml" ds:itemID="{AAF6AB44-A25A-494B-8EA4-72DA2034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4555</Words>
  <Characters>25964</Characters>
  <Application>Microsoft Office Word</Application>
  <DocSecurity>0</DocSecurity>
  <Lines>216</Lines>
  <Paragraphs>60</Paragraphs>
  <ScaleCrop>false</ScaleCrop>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17</cp:revision>
  <dcterms:created xsi:type="dcterms:W3CDTF">2026-04-23T12:18:00Z</dcterms:created>
  <dcterms:modified xsi:type="dcterms:W3CDTF">2026-05-29T08:55:00Z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