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4342D" w14:textId="7D5A7FB2" w:rsidR="00FE6E1E" w:rsidRPr="00FE6E1E" w:rsidRDefault="00B24DB0" w:rsidP="00AB5250">
      <w:pPr>
        <w:pStyle w:val="PGDNormal"/>
        <w:rPr>
          <w:bCs/>
          <w:highlight w:val="cyan"/>
        </w:rPr>
      </w:pPr>
      <w:bookmarkStart w:id="0" w:name="_Toc258333614"/>
      <w:bookmarkStart w:id="1" w:name="_Toc263684039"/>
      <w:bookmarkStart w:id="2" w:name="_Toc264471101"/>
      <w:r>
        <w:rPr>
          <w:bCs/>
          <w:highlight w:val="cyan"/>
        </w:rPr>
        <w:t xml:space="preserve"> </w:t>
      </w:r>
    </w:p>
    <w:p w14:paraId="71B767E5" w14:textId="6E988B68" w:rsidR="001D4AB6" w:rsidRDefault="00E46E97" w:rsidP="00AA5A30">
      <w:pPr>
        <w:pStyle w:val="PGDlogo"/>
        <w:rPr>
          <w:highlight w:val="cyan"/>
        </w:rPr>
      </w:pPr>
      <w:r>
        <w:rPr>
          <w:highlight w:val="cyan"/>
        </w:rPr>
        <w:t>[</w:t>
      </w:r>
      <w:r w:rsidR="007A1448" w:rsidRPr="00DF77C7">
        <w:rPr>
          <w:highlight w:val="cyan"/>
        </w:rPr>
        <w:t xml:space="preserve">Insert </w:t>
      </w:r>
      <w:r w:rsidR="002E0743">
        <w:rPr>
          <w:highlight w:val="cyan"/>
        </w:rPr>
        <w:t xml:space="preserve">the </w:t>
      </w:r>
      <w:r w:rsidR="007A1448" w:rsidRPr="00DF77C7">
        <w:rPr>
          <w:highlight w:val="cyan"/>
        </w:rPr>
        <w:t>logo of</w:t>
      </w:r>
      <w:r w:rsidR="002E0743">
        <w:rPr>
          <w:highlight w:val="cyan"/>
        </w:rPr>
        <w:t xml:space="preserve"> the</w:t>
      </w:r>
      <w:r w:rsidR="001D4AB6">
        <w:rPr>
          <w:highlight w:val="cyan"/>
        </w:rPr>
        <w:t xml:space="preserve"> authorising body here</w:t>
      </w:r>
      <w:r w:rsidR="006C66B8" w:rsidRPr="006C66B8">
        <w:rPr>
          <w:highlight w:val="cyan"/>
        </w:rPr>
        <w:t>]</w:t>
      </w:r>
    </w:p>
    <w:p w14:paraId="0F1FF2E2" w14:textId="7FA10673" w:rsidR="005F1603" w:rsidRPr="00DF77C7" w:rsidRDefault="001D4AB6" w:rsidP="00AA5A30">
      <w:pPr>
        <w:pStyle w:val="PGDlogo"/>
      </w:pPr>
      <w:r w:rsidRPr="00B36F46">
        <w:rPr>
          <w:highlight w:val="yellow"/>
        </w:rPr>
        <w:t xml:space="preserve"> </w:t>
      </w:r>
      <w:r w:rsidR="00EC5BB8" w:rsidRPr="00B36F46">
        <w:rPr>
          <w:highlight w:val="yellow"/>
        </w:rPr>
        <w:t>[</w:t>
      </w:r>
      <w:r w:rsidR="00EC5BB8" w:rsidRPr="00F6120B">
        <w:rPr>
          <w:rStyle w:val="Hyperlink"/>
          <w:highlight w:val="yellow"/>
        </w:rPr>
        <w:t>[</w:t>
      </w:r>
      <w:hyperlink r:id="rId10" w:anchor="terms-used-in-the-guideline" w:history="1">
        <w:r w:rsidRPr="00F6120B">
          <w:rPr>
            <w:rStyle w:val="Hyperlink"/>
            <w:highlight w:val="yellow"/>
          </w:rPr>
          <w:t>See the NICE guidance for the definition of an authorising body</w:t>
        </w:r>
      </w:hyperlink>
      <w:r w:rsidR="002E0743" w:rsidRPr="00EC5BB8">
        <w:rPr>
          <w:highlight w:val="yellow"/>
        </w:rPr>
        <w:t>]</w:t>
      </w:r>
      <w:r w:rsidR="00EC5BB8" w:rsidRPr="00EC5BB8">
        <w:rPr>
          <w:highlight w:val="yellow"/>
        </w:rPr>
        <w:t>]</w:t>
      </w:r>
    </w:p>
    <w:tbl>
      <w:tblPr>
        <w:tblStyle w:val="TableGrid"/>
        <w:tblW w:w="0" w:type="auto"/>
        <w:tblLook w:val="04A0" w:firstRow="1" w:lastRow="0" w:firstColumn="1" w:lastColumn="0" w:noHBand="0" w:noVBand="1"/>
      </w:tblPr>
      <w:tblGrid>
        <w:gridCol w:w="8495"/>
      </w:tblGrid>
      <w:tr w:rsidR="00AD67D4" w:rsidRPr="00DF77C7" w14:paraId="1FBF41D7" w14:textId="77777777" w:rsidTr="00AD67D4">
        <w:tc>
          <w:tcPr>
            <w:tcW w:w="8495" w:type="dxa"/>
          </w:tcPr>
          <w:p w14:paraId="68445008" w14:textId="38D8F2C6" w:rsidR="00AD67D4" w:rsidRPr="00DF77C7" w:rsidRDefault="00AD67D4" w:rsidP="00BB2C75">
            <w:pPr>
              <w:pStyle w:val="Tabletext"/>
              <w:rPr>
                <w:lang w:val="en-GB"/>
              </w:rPr>
            </w:pPr>
            <w:r w:rsidRPr="00DF77C7">
              <w:rPr>
                <w:lang w:val="en-GB"/>
              </w:rPr>
              <w:t xml:space="preserve">This Patient Group Direction (PGD) must only be used by registered </w:t>
            </w:r>
            <w:r w:rsidR="004C39C3">
              <w:rPr>
                <w:lang w:val="en-GB"/>
              </w:rPr>
              <w:t xml:space="preserve">healthcare professionals </w:t>
            </w:r>
            <w:r w:rsidRPr="00DF77C7">
              <w:rPr>
                <w:lang w:val="en-GB"/>
              </w:rPr>
              <w:t>who have been named and authorised by their organisation to practice under it. The most recent and in date final signed version of the PGD should be used.</w:t>
            </w:r>
          </w:p>
        </w:tc>
      </w:tr>
    </w:tbl>
    <w:p w14:paraId="440F929F" w14:textId="77777777" w:rsidR="00AD67D4" w:rsidRPr="00DF77C7" w:rsidRDefault="00AD67D4" w:rsidP="00ED232C">
      <w:pPr>
        <w:pStyle w:val="PGDNormal"/>
      </w:pPr>
    </w:p>
    <w:p w14:paraId="4F81DF8E" w14:textId="5914E859" w:rsidR="007A1448" w:rsidRPr="00DF77C7" w:rsidRDefault="007A1448" w:rsidP="006529F3">
      <w:pPr>
        <w:pStyle w:val="PGDTitle1"/>
      </w:pPr>
      <w:r w:rsidRPr="00DF77C7">
        <w:t>Patient Group Direction</w:t>
      </w:r>
    </w:p>
    <w:p w14:paraId="4799BFF7" w14:textId="0C9F5A6E" w:rsidR="007A1448" w:rsidRPr="00DF77C7" w:rsidRDefault="001E231E" w:rsidP="006529F3">
      <w:pPr>
        <w:pStyle w:val="PGDTitle2"/>
      </w:pPr>
      <w:r w:rsidRPr="001E231E">
        <w:rPr>
          <w:bCs/>
        </w:rPr>
        <w:t xml:space="preserve">Administration of lidocaine hydrochloride 1% injection to facilitate insertion and/or removal of subdermal etonogestrel (e.g. Nexplanon®) implant in </w:t>
      </w:r>
      <w:r w:rsidR="00E46E97" w:rsidRPr="001F60CD">
        <w:rPr>
          <w:highlight w:val="cyan"/>
        </w:rPr>
        <w:t>[</w:t>
      </w:r>
      <w:r w:rsidR="005C6771" w:rsidRPr="00DF77C7">
        <w:rPr>
          <w:highlight w:val="cyan"/>
        </w:rPr>
        <w:t>location/service/organisation</w:t>
      </w:r>
      <w:r w:rsidR="00E46E97" w:rsidRPr="001F60CD">
        <w:rPr>
          <w:highlight w:val="cyan"/>
        </w:rPr>
        <w:t>]</w:t>
      </w:r>
    </w:p>
    <w:p w14:paraId="446CEE0D" w14:textId="77777777" w:rsidR="006529F3" w:rsidRPr="00DF77C7" w:rsidRDefault="006529F3" w:rsidP="004C1FDF">
      <w:pPr>
        <w:pStyle w:val="PGDNormal"/>
      </w:pPr>
    </w:p>
    <w:p w14:paraId="70665420" w14:textId="6833AC10" w:rsidR="00813399" w:rsidRPr="00187B60" w:rsidRDefault="00813399" w:rsidP="00187B60">
      <w:pPr>
        <w:jc w:val="center"/>
        <w:rPr>
          <w:rStyle w:val="PGDVersionNumber"/>
          <w:kern w:val="0"/>
          <w:lang w:val="en-US"/>
          <w14:ligatures w14:val="none"/>
        </w:rPr>
      </w:pPr>
      <w:r w:rsidRPr="007F687D">
        <w:rPr>
          <w:rStyle w:val="PGDVersionNumber"/>
        </w:rPr>
        <w:t xml:space="preserve">Version </w:t>
      </w:r>
      <w:r w:rsidRPr="009223D8">
        <w:rPr>
          <w:rStyle w:val="PGDVersionNumber"/>
        </w:rPr>
        <w:t xml:space="preserve">Number </w:t>
      </w:r>
      <w:r w:rsidR="00EF4B13" w:rsidRPr="009223D8">
        <w:rPr>
          <w:rStyle w:val="PGDVersionNumber"/>
        </w:rPr>
        <w:t>3.0</w:t>
      </w:r>
    </w:p>
    <w:p w14:paraId="20B630F6" w14:textId="77777777" w:rsidR="00813399" w:rsidRPr="00DF77C7" w:rsidRDefault="00813399" w:rsidP="00F57606">
      <w:pPr>
        <w:pStyle w:val="Tabletext"/>
      </w:pPr>
    </w:p>
    <w:p w14:paraId="4B28C630" w14:textId="1C130391" w:rsidR="00763E7A" w:rsidRPr="00A44F0F" w:rsidRDefault="00763E7A" w:rsidP="00AD67D4">
      <w:pPr>
        <w:pStyle w:val="Tabletitle"/>
        <w:rPr>
          <w:sz w:val="22"/>
          <w:szCs w:val="22"/>
          <w:lang w:val="en-GB"/>
        </w:rPr>
      </w:pPr>
      <w:r w:rsidRPr="00A44F0F">
        <w:rPr>
          <w:sz w:val="22"/>
          <w:szCs w:val="22"/>
          <w:lang w:val="en-GB"/>
        </w:rPr>
        <w:t>Change history</w:t>
      </w:r>
    </w:p>
    <w:p w14:paraId="0880FF0C" w14:textId="77777777" w:rsidR="00813399" w:rsidRPr="00DF77C7" w:rsidRDefault="00813399" w:rsidP="00F57606">
      <w:pPr>
        <w:pStyle w:val="Tabletext"/>
      </w:pPr>
    </w:p>
    <w:tbl>
      <w:tblPr>
        <w:tblpPr w:leftFromText="180" w:rightFromText="180" w:vertAnchor="text" w:tblpX="127" w:tblpY="1"/>
        <w:tblOverlap w:val="never"/>
        <w:tblW w:w="908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describing the change history,  it includes columns for version and date, and change details."/>
      </w:tblPr>
      <w:tblGrid>
        <w:gridCol w:w="10"/>
        <w:gridCol w:w="1985"/>
        <w:gridCol w:w="7087"/>
      </w:tblGrid>
      <w:tr w:rsidR="00813399" w:rsidRPr="00DF77C7" w14:paraId="1AA21739" w14:textId="77777777" w:rsidTr="00B1425A">
        <w:trPr>
          <w:gridBefore w:val="1"/>
          <w:wBefore w:w="10" w:type="dxa"/>
          <w:trHeight w:val="442"/>
          <w:tblHeader/>
        </w:trPr>
        <w:tc>
          <w:tcPr>
            <w:tcW w:w="1985" w:type="dxa"/>
            <w:tcBorders>
              <w:top w:val="single" w:sz="4" w:space="0" w:color="auto"/>
              <w:left w:val="single" w:sz="4" w:space="0" w:color="auto"/>
              <w:bottom w:val="single" w:sz="4" w:space="0" w:color="auto"/>
              <w:right w:val="single" w:sz="4" w:space="0" w:color="auto"/>
            </w:tcBorders>
          </w:tcPr>
          <w:p w14:paraId="4C3B7AF4" w14:textId="77777777" w:rsidR="00813399" w:rsidRPr="006A3850" w:rsidRDefault="00813399" w:rsidP="00B1425A">
            <w:pPr>
              <w:pStyle w:val="TableHeaderRow"/>
              <w:rPr>
                <w:rStyle w:val="TableHeaderColumn"/>
                <w:b/>
                <w:bCs/>
                <w:sz w:val="22"/>
              </w:rPr>
            </w:pPr>
            <w:r w:rsidRPr="006A3850">
              <w:rPr>
                <w:rStyle w:val="TableHeaderColumn"/>
                <w:b/>
                <w:bCs/>
                <w:sz w:val="22"/>
              </w:rPr>
              <w:t>Version and Date</w:t>
            </w:r>
          </w:p>
        </w:tc>
        <w:tc>
          <w:tcPr>
            <w:tcW w:w="7087" w:type="dxa"/>
            <w:tcBorders>
              <w:top w:val="single" w:sz="4" w:space="0" w:color="auto"/>
              <w:left w:val="single" w:sz="4" w:space="0" w:color="auto"/>
              <w:bottom w:val="single" w:sz="4" w:space="0" w:color="auto"/>
              <w:right w:val="single" w:sz="4" w:space="0" w:color="auto"/>
            </w:tcBorders>
          </w:tcPr>
          <w:p w14:paraId="20E8B630" w14:textId="77777777" w:rsidR="00813399" w:rsidRPr="006A3850" w:rsidRDefault="00813399" w:rsidP="00B1425A">
            <w:pPr>
              <w:pStyle w:val="TableHeaderRow"/>
              <w:rPr>
                <w:rStyle w:val="TableHeaderColumn"/>
                <w:b/>
                <w:bCs/>
                <w:sz w:val="22"/>
              </w:rPr>
            </w:pPr>
            <w:r w:rsidRPr="006A3850">
              <w:rPr>
                <w:rStyle w:val="TableHeaderColumn"/>
                <w:b/>
                <w:bCs/>
                <w:sz w:val="22"/>
              </w:rPr>
              <w:t>Change details</w:t>
            </w:r>
          </w:p>
        </w:tc>
      </w:tr>
      <w:tr w:rsidR="00D45B99" w:rsidRPr="00DF77C7" w14:paraId="5448D2BC" w14:textId="77777777" w:rsidTr="00B1425A">
        <w:trPr>
          <w:gridBefore w:val="1"/>
          <w:wBefore w:w="10" w:type="dxa"/>
          <w:trHeight w:val="442"/>
        </w:trPr>
        <w:tc>
          <w:tcPr>
            <w:tcW w:w="1985" w:type="dxa"/>
            <w:tcBorders>
              <w:top w:val="single" w:sz="4" w:space="0" w:color="auto"/>
              <w:left w:val="single" w:sz="4" w:space="0" w:color="auto"/>
              <w:bottom w:val="single" w:sz="4" w:space="0" w:color="auto"/>
              <w:right w:val="single" w:sz="4" w:space="0" w:color="auto"/>
            </w:tcBorders>
          </w:tcPr>
          <w:p w14:paraId="4B720830" w14:textId="77777777" w:rsidR="00D45B99" w:rsidRPr="00FA0028" w:rsidRDefault="00D45B99" w:rsidP="00D45B99">
            <w:pPr>
              <w:pStyle w:val="Tabletext"/>
            </w:pPr>
            <w:r w:rsidRPr="00FA0028">
              <w:t>Version 1</w:t>
            </w:r>
          </w:p>
          <w:p w14:paraId="564FB0F8" w14:textId="70B1022F" w:rsidR="00D45B99" w:rsidRPr="00044C6C" w:rsidRDefault="00D45B99" w:rsidP="00D45B99">
            <w:pPr>
              <w:pStyle w:val="Tabletext"/>
            </w:pPr>
            <w:r w:rsidRPr="00FA0028">
              <w:t>October 2020</w:t>
            </w:r>
          </w:p>
        </w:tc>
        <w:tc>
          <w:tcPr>
            <w:tcW w:w="7087" w:type="dxa"/>
            <w:tcBorders>
              <w:top w:val="single" w:sz="4" w:space="0" w:color="auto"/>
              <w:left w:val="single" w:sz="4" w:space="0" w:color="auto"/>
              <w:bottom w:val="single" w:sz="4" w:space="0" w:color="auto"/>
              <w:right w:val="single" w:sz="4" w:space="0" w:color="auto"/>
            </w:tcBorders>
          </w:tcPr>
          <w:p w14:paraId="4A45011F" w14:textId="12144AF1" w:rsidR="00D45B99" w:rsidRPr="00DF77C7" w:rsidRDefault="00D45B99" w:rsidP="00D45B99">
            <w:pPr>
              <w:pStyle w:val="Tabletext"/>
              <w:rPr>
                <w:lang w:val="en-GB"/>
              </w:rPr>
            </w:pPr>
            <w:r w:rsidRPr="00FA0028">
              <w:t>New template</w:t>
            </w:r>
          </w:p>
        </w:tc>
      </w:tr>
      <w:tr w:rsidR="001E231E" w:rsidRPr="00DF77C7" w14:paraId="608E9454"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DA5DD15" w14:textId="77777777" w:rsidR="001E231E" w:rsidRDefault="001E231E" w:rsidP="001E231E">
            <w:pPr>
              <w:pStyle w:val="Tabletext"/>
              <w:rPr>
                <w:rFonts w:eastAsiaTheme="minorHAnsi"/>
                <w:kern w:val="2"/>
                <w14:ligatures w14:val="standardContextual"/>
              </w:rPr>
            </w:pPr>
            <w:r>
              <w:t>Version 1.1</w:t>
            </w:r>
          </w:p>
          <w:p w14:paraId="706980D9" w14:textId="6F1F3FB3" w:rsidR="001E231E" w:rsidRPr="00044C6C" w:rsidRDefault="001E231E" w:rsidP="001E231E">
            <w:pPr>
              <w:pStyle w:val="Tabletext"/>
            </w:pPr>
            <w:r>
              <w:t>June 2021</w:t>
            </w:r>
          </w:p>
        </w:tc>
        <w:tc>
          <w:tcPr>
            <w:tcW w:w="7087" w:type="dxa"/>
            <w:tcBorders>
              <w:top w:val="single" w:sz="4" w:space="0" w:color="auto"/>
              <w:left w:val="single" w:sz="4" w:space="0" w:color="auto"/>
              <w:bottom w:val="single" w:sz="4" w:space="0" w:color="auto"/>
              <w:right w:val="single" w:sz="4" w:space="0" w:color="auto"/>
            </w:tcBorders>
          </w:tcPr>
          <w:p w14:paraId="313EA5F6" w14:textId="77777777" w:rsidR="001E231E" w:rsidRDefault="001E231E" w:rsidP="001E231E">
            <w:pPr>
              <w:pStyle w:val="Tabletext"/>
              <w:rPr>
                <w:b/>
              </w:rPr>
            </w:pPr>
            <w:r>
              <w:rPr>
                <w:b/>
              </w:rPr>
              <w:t>Dose and frequency of administration section amended to:</w:t>
            </w:r>
          </w:p>
          <w:p w14:paraId="4B719E17" w14:textId="77777777" w:rsidR="001E231E" w:rsidRDefault="001E231E" w:rsidP="001E231E">
            <w:pPr>
              <w:pStyle w:val="Tabletext"/>
            </w:pPr>
            <w:r>
              <w:rPr>
                <w:b/>
              </w:rPr>
              <w:t>Insertion:</w:t>
            </w:r>
            <w:r>
              <w:t xml:space="preserve"> Initially 5-20mg (0.5-2ml).  A further dose of up to 10mg (1ml) may be used if required to a total maximum dose of 30mg (3ml).</w:t>
            </w:r>
          </w:p>
          <w:p w14:paraId="60CABC62" w14:textId="77777777" w:rsidR="001E231E" w:rsidRDefault="001E231E" w:rsidP="001E231E">
            <w:pPr>
              <w:pStyle w:val="Tabletext"/>
            </w:pPr>
            <w:r>
              <w:rPr>
                <w:b/>
              </w:rPr>
              <w:t>Removal:</w:t>
            </w:r>
            <w:r>
              <w:t xml:space="preserve"> 5-10mg (0.5-1ml).  </w:t>
            </w:r>
          </w:p>
          <w:p w14:paraId="1A80F6F3" w14:textId="5CA9E83F" w:rsidR="001E231E" w:rsidRPr="003F15B0" w:rsidRDefault="001E231E" w:rsidP="001E231E">
            <w:pPr>
              <w:pStyle w:val="Tabletext"/>
            </w:pPr>
            <w:r>
              <w:rPr>
                <w:b/>
              </w:rPr>
              <w:t xml:space="preserve">Total maximum dose for concurrent removal and insertion is 40mg (4ml).   </w:t>
            </w:r>
          </w:p>
        </w:tc>
      </w:tr>
      <w:tr w:rsidR="001E231E" w:rsidRPr="00404E02" w14:paraId="5FB7CA89"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48D7269D" w14:textId="77777777" w:rsidR="001E231E" w:rsidRDefault="001E231E" w:rsidP="001E231E">
            <w:pPr>
              <w:pStyle w:val="Tabletext"/>
              <w:rPr>
                <w:rFonts w:eastAsiaTheme="minorHAnsi"/>
                <w:kern w:val="2"/>
                <w14:ligatures w14:val="standardContextual"/>
              </w:rPr>
            </w:pPr>
            <w:r>
              <w:t>Version 2.0</w:t>
            </w:r>
          </w:p>
          <w:p w14:paraId="79F6B530" w14:textId="00F12E94" w:rsidR="001E231E" w:rsidRPr="00044C6C" w:rsidRDefault="001E231E" w:rsidP="001E231E">
            <w:pPr>
              <w:pStyle w:val="Tabletext"/>
              <w:rPr>
                <w:lang w:val="en-GB"/>
              </w:rPr>
            </w:pPr>
            <w:r>
              <w:t>May 2023</w:t>
            </w:r>
          </w:p>
        </w:tc>
        <w:tc>
          <w:tcPr>
            <w:tcW w:w="7087" w:type="dxa"/>
            <w:tcBorders>
              <w:top w:val="single" w:sz="4" w:space="0" w:color="auto"/>
              <w:left w:val="single" w:sz="4" w:space="0" w:color="auto"/>
              <w:bottom w:val="single" w:sz="4" w:space="0" w:color="auto"/>
              <w:right w:val="single" w:sz="4" w:space="0" w:color="auto"/>
            </w:tcBorders>
          </w:tcPr>
          <w:p w14:paraId="0891E2D5" w14:textId="42D41330" w:rsidR="001E231E" w:rsidRPr="008B106D" w:rsidRDefault="001E231E" w:rsidP="001E231E">
            <w:pPr>
              <w:pStyle w:val="Tabletext"/>
            </w:pPr>
            <w:r>
              <w:t>Updated template (no clinical changes to expired V1). Updated exclusions, adverse effects and references. Minor changes to some wording and formatting. Aligned content with other PGDs for same or associated medicine / group. Updated PGD development group members.</w:t>
            </w:r>
          </w:p>
        </w:tc>
      </w:tr>
      <w:tr w:rsidR="001E231E" w14:paraId="2D2D0CEE"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224C2250" w14:textId="77777777" w:rsidR="001E231E" w:rsidRDefault="001E231E" w:rsidP="001E231E">
            <w:pPr>
              <w:pStyle w:val="Tabletext"/>
            </w:pPr>
            <w:r>
              <w:t>Version 2.1</w:t>
            </w:r>
          </w:p>
          <w:p w14:paraId="2F280948" w14:textId="5DCD1806" w:rsidR="001E231E" w:rsidRPr="00B1425A" w:rsidRDefault="001E231E" w:rsidP="001E231E">
            <w:pPr>
              <w:pStyle w:val="Tabletext"/>
            </w:pPr>
            <w:r>
              <w:t>March 2025</w:t>
            </w:r>
          </w:p>
        </w:tc>
        <w:tc>
          <w:tcPr>
            <w:tcW w:w="7087" w:type="dxa"/>
            <w:tcBorders>
              <w:top w:val="single" w:sz="4" w:space="0" w:color="auto"/>
              <w:left w:val="single" w:sz="4" w:space="0" w:color="auto"/>
              <w:bottom w:val="single" w:sz="4" w:space="0" w:color="auto"/>
              <w:right w:val="single" w:sz="4" w:space="0" w:color="auto"/>
            </w:tcBorders>
          </w:tcPr>
          <w:p w14:paraId="3F54A43A" w14:textId="7512298B" w:rsidR="001E231E" w:rsidRPr="00B1425A" w:rsidRDefault="001E231E" w:rsidP="001E231E">
            <w:pPr>
              <w:pStyle w:val="Tabletext"/>
            </w:pPr>
            <w:r>
              <w:t>Reworded drug interaction section.</w:t>
            </w:r>
          </w:p>
        </w:tc>
      </w:tr>
      <w:tr w:rsidR="009223D8" w:rsidRPr="009223D8" w14:paraId="3A1CC0B0" w14:textId="77777777" w:rsidTr="00B1425A">
        <w:trPr>
          <w:trHeight w:val="442"/>
        </w:trPr>
        <w:tc>
          <w:tcPr>
            <w:tcW w:w="1995" w:type="dxa"/>
            <w:gridSpan w:val="2"/>
            <w:tcBorders>
              <w:top w:val="single" w:sz="4" w:space="0" w:color="auto"/>
              <w:left w:val="single" w:sz="4" w:space="0" w:color="auto"/>
              <w:bottom w:val="single" w:sz="4" w:space="0" w:color="auto"/>
              <w:right w:val="single" w:sz="4" w:space="0" w:color="auto"/>
            </w:tcBorders>
          </w:tcPr>
          <w:p w14:paraId="1B43D33A" w14:textId="77777777" w:rsidR="00EF4B13" w:rsidRPr="009223D8" w:rsidRDefault="00EF4B13" w:rsidP="001E231E">
            <w:pPr>
              <w:pStyle w:val="Tabletext"/>
            </w:pPr>
            <w:r w:rsidRPr="009223D8">
              <w:lastRenderedPageBreak/>
              <w:t>Version 3.0</w:t>
            </w:r>
          </w:p>
          <w:p w14:paraId="7267D04C" w14:textId="58E1FAD7" w:rsidR="00EF4B13" w:rsidRPr="009223D8" w:rsidRDefault="00E52731" w:rsidP="001E231E">
            <w:pPr>
              <w:pStyle w:val="Tabletext"/>
            </w:pPr>
            <w:r w:rsidRPr="009223D8">
              <w:t>April</w:t>
            </w:r>
            <w:r w:rsidR="00EF4B13" w:rsidRPr="009223D8">
              <w:t xml:space="preserve"> 202</w:t>
            </w:r>
            <w:r w:rsidR="00D420BE" w:rsidRPr="009223D8">
              <w:t>6</w:t>
            </w:r>
          </w:p>
        </w:tc>
        <w:tc>
          <w:tcPr>
            <w:tcW w:w="7087" w:type="dxa"/>
            <w:tcBorders>
              <w:top w:val="single" w:sz="4" w:space="0" w:color="auto"/>
              <w:left w:val="single" w:sz="4" w:space="0" w:color="auto"/>
              <w:bottom w:val="single" w:sz="4" w:space="0" w:color="auto"/>
              <w:right w:val="single" w:sz="4" w:space="0" w:color="auto"/>
            </w:tcBorders>
          </w:tcPr>
          <w:p w14:paraId="13AEF5EA" w14:textId="2E28C420" w:rsidR="00EF4B13" w:rsidRPr="009223D8" w:rsidRDefault="00C713DD" w:rsidP="001E231E">
            <w:pPr>
              <w:pStyle w:val="Tabletext"/>
            </w:pPr>
            <w:r w:rsidRPr="009223D8">
              <w:t xml:space="preserve">Planned end-of-life review (no clinical changes from expired version 2.1). </w:t>
            </w:r>
            <w:r w:rsidRPr="009223D8">
              <w:rPr>
                <w:rFonts w:asciiTheme="minorHAnsi" w:eastAsiaTheme="minorHAnsi" w:hAnsiTheme="minorHAnsi" w:cstheme="minorBidi"/>
                <w:kern w:val="2"/>
                <w:sz w:val="24"/>
                <w:szCs w:val="24"/>
                <w:lang w:val="en-GB"/>
                <w14:ligatures w14:val="standardContextual"/>
              </w:rPr>
              <w:t xml:space="preserve"> </w:t>
            </w:r>
            <w:r w:rsidRPr="009223D8">
              <w:rPr>
                <w:lang w:val="en-GB"/>
              </w:rPr>
              <w:t xml:space="preserve">Updated references to FSRH to CoSRH. </w:t>
            </w:r>
            <w:r w:rsidRPr="009223D8">
              <w:t>Updated references. Updated SLWG</w:t>
            </w:r>
            <w:r w:rsidR="003C7808" w:rsidRPr="009223D8">
              <w:t xml:space="preserve"> membership</w:t>
            </w:r>
            <w:r w:rsidRPr="009223D8">
              <w:t>.</w:t>
            </w:r>
          </w:p>
        </w:tc>
      </w:tr>
    </w:tbl>
    <w:p w14:paraId="7417367E" w14:textId="77777777" w:rsidR="004874F5" w:rsidRDefault="004874F5" w:rsidP="00763E7A">
      <w:pPr>
        <w:pStyle w:val="PGDNormal"/>
        <w:rPr>
          <w:highlight w:val="yellow"/>
          <w:lang w:val="en-GB"/>
        </w:rPr>
      </w:pPr>
    </w:p>
    <w:p w14:paraId="2CBBA5EF" w14:textId="4BC588A0" w:rsidR="00813399" w:rsidRPr="00DF77C7" w:rsidRDefault="00E46E97" w:rsidP="00763E7A">
      <w:pPr>
        <w:pStyle w:val="PGDNormal"/>
        <w:rPr>
          <w:lang w:val="en-GB"/>
        </w:rPr>
      </w:pPr>
      <w:r>
        <w:rPr>
          <w:highlight w:val="yellow"/>
          <w:lang w:val="en-GB"/>
        </w:rPr>
        <w:t>[[</w:t>
      </w:r>
      <w:r w:rsidR="00813399" w:rsidRPr="00DF77C7">
        <w:rPr>
          <w:highlight w:val="yellow"/>
          <w:lang w:val="en-GB"/>
        </w:rPr>
        <w:t>Each organisation using this PGD must ensure that it is formally signed by a senior pharmacist, a senior doctor and any other professional group representatives involved in its review and that it is reviewed in line with the organisations’ PGD governance system.  The organisation’s governance lead must sign to authorise the PGD on behalf of the authorising organisation to ensure that this document meets legal requirements for a PGD.</w:t>
      </w:r>
      <w:r w:rsidRPr="00C713DD">
        <w:rPr>
          <w:highlight w:val="yellow"/>
          <w:lang w:val="en-GB"/>
        </w:rPr>
        <w:t>]]</w:t>
      </w:r>
    </w:p>
    <w:p w14:paraId="75C4570A" w14:textId="591BFC79" w:rsidR="00813399" w:rsidRPr="00DF77C7" w:rsidRDefault="006829D5" w:rsidP="004C1FDF">
      <w:pPr>
        <w:pStyle w:val="Heading1"/>
      </w:pPr>
      <w:r w:rsidRPr="00DF77C7">
        <w:rPr>
          <w:highlight w:val="yellow"/>
        </w:rPr>
        <w:br w:type="page"/>
      </w:r>
      <w:r w:rsidR="00813399" w:rsidRPr="00DF77C7">
        <w:lastRenderedPageBreak/>
        <w:t xml:space="preserve">PGD </w:t>
      </w:r>
      <w:r w:rsidRPr="00DF77C7">
        <w:t>development group</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of template dates"/>
        <w:tblDescription w:val="Table detailing the life cycle of the template, it includes columns for the date the  template comes into effect, review date and expiry date."/>
      </w:tblPr>
      <w:tblGrid>
        <w:gridCol w:w="4080"/>
        <w:gridCol w:w="4425"/>
      </w:tblGrid>
      <w:tr w:rsidR="00B1425A" w:rsidRPr="00DF77C7" w14:paraId="2D1BCEA8" w14:textId="77777777" w:rsidTr="7F987454">
        <w:tc>
          <w:tcPr>
            <w:tcW w:w="4080" w:type="dxa"/>
          </w:tcPr>
          <w:p w14:paraId="68303232" w14:textId="77777777" w:rsidR="00B1425A" w:rsidRPr="00DF77C7" w:rsidRDefault="00B1425A" w:rsidP="00B1425A">
            <w:pPr>
              <w:pStyle w:val="Tabletext"/>
              <w:rPr>
                <w:lang w:val="en-GB"/>
              </w:rPr>
            </w:pPr>
            <w:r w:rsidRPr="00DF77C7">
              <w:rPr>
                <w:lang w:val="en-GB"/>
              </w:rPr>
              <w:t xml:space="preserve">Date PGD template comes into effect: </w:t>
            </w:r>
          </w:p>
        </w:tc>
        <w:tc>
          <w:tcPr>
            <w:tcW w:w="4425" w:type="dxa"/>
            <w:tcBorders>
              <w:top w:val="single" w:sz="4" w:space="0" w:color="auto"/>
              <w:left w:val="single" w:sz="4" w:space="0" w:color="auto"/>
              <w:bottom w:val="single" w:sz="4" w:space="0" w:color="auto"/>
              <w:right w:val="single" w:sz="4" w:space="0" w:color="auto"/>
            </w:tcBorders>
          </w:tcPr>
          <w:p w14:paraId="1C02A90B" w14:textId="2C2A6DFB" w:rsidR="00B1425A" w:rsidRPr="00067B75" w:rsidRDefault="00B1425A" w:rsidP="00B1425A">
            <w:pPr>
              <w:pStyle w:val="Tabletext"/>
              <w:rPr>
                <w:lang w:val="en-GB"/>
              </w:rPr>
            </w:pPr>
            <w:r w:rsidRPr="00067B75">
              <w:rPr>
                <w:rFonts w:cs="Arial"/>
              </w:rPr>
              <w:t>1</w:t>
            </w:r>
            <w:r w:rsidRPr="00067B75">
              <w:rPr>
                <w:rFonts w:cs="Arial"/>
                <w:vertAlign w:val="superscript"/>
              </w:rPr>
              <w:t>st</w:t>
            </w:r>
            <w:r w:rsidRPr="00067B75">
              <w:rPr>
                <w:rFonts w:cs="Arial"/>
              </w:rPr>
              <w:t xml:space="preserve"> </w:t>
            </w:r>
            <w:r w:rsidR="00D45B99" w:rsidRPr="00067B75">
              <w:rPr>
                <w:rFonts w:cs="Arial"/>
              </w:rPr>
              <w:t>September</w:t>
            </w:r>
            <w:r w:rsidR="001C56A4" w:rsidRPr="00067B75">
              <w:rPr>
                <w:rFonts w:cs="Arial"/>
              </w:rPr>
              <w:t xml:space="preserve"> </w:t>
            </w:r>
            <w:r w:rsidRPr="00067B75">
              <w:rPr>
                <w:rFonts w:cs="Arial"/>
              </w:rPr>
              <w:t>202</w:t>
            </w:r>
            <w:r w:rsidR="00EF4B13" w:rsidRPr="00067B75">
              <w:rPr>
                <w:rFonts w:cs="Arial"/>
              </w:rPr>
              <w:t>6</w:t>
            </w:r>
          </w:p>
        </w:tc>
      </w:tr>
      <w:tr w:rsidR="00B1425A" w:rsidRPr="00DF77C7" w14:paraId="18F33630" w14:textId="77777777" w:rsidTr="7F987454">
        <w:tc>
          <w:tcPr>
            <w:tcW w:w="4080" w:type="dxa"/>
          </w:tcPr>
          <w:p w14:paraId="40ECC743" w14:textId="7F4BD51B" w:rsidR="00B1425A" w:rsidRPr="00DF77C7" w:rsidRDefault="00B1425A" w:rsidP="00B1425A">
            <w:pPr>
              <w:pStyle w:val="Tabletext"/>
              <w:rPr>
                <w:lang w:val="en-GB"/>
              </w:rPr>
            </w:pPr>
            <w:r w:rsidRPr="00DF77C7">
              <w:rPr>
                <w:lang w:val="en-GB"/>
              </w:rPr>
              <w:t>Review date</w:t>
            </w:r>
          </w:p>
        </w:tc>
        <w:tc>
          <w:tcPr>
            <w:tcW w:w="4425" w:type="dxa"/>
            <w:tcBorders>
              <w:top w:val="single" w:sz="4" w:space="0" w:color="auto"/>
              <w:left w:val="single" w:sz="4" w:space="0" w:color="auto"/>
              <w:bottom w:val="single" w:sz="4" w:space="0" w:color="auto"/>
              <w:right w:val="single" w:sz="4" w:space="0" w:color="auto"/>
            </w:tcBorders>
          </w:tcPr>
          <w:p w14:paraId="56A527C3" w14:textId="22DCE1AE" w:rsidR="00B1425A" w:rsidRPr="00067B75" w:rsidRDefault="00B1425A" w:rsidP="00B1425A">
            <w:pPr>
              <w:pStyle w:val="Tabletext"/>
              <w:rPr>
                <w:lang w:val="en-GB"/>
              </w:rPr>
            </w:pPr>
            <w:r w:rsidRPr="00067B75">
              <w:rPr>
                <w:rFonts w:cs="Arial"/>
              </w:rPr>
              <w:t>1</w:t>
            </w:r>
            <w:r w:rsidRPr="00067B75">
              <w:rPr>
                <w:rFonts w:cs="Arial"/>
                <w:vertAlign w:val="superscript"/>
              </w:rPr>
              <w:t>st</w:t>
            </w:r>
            <w:r w:rsidRPr="00067B75">
              <w:rPr>
                <w:rFonts w:cs="Arial"/>
              </w:rPr>
              <w:t xml:space="preserve"> </w:t>
            </w:r>
            <w:r w:rsidR="00D45B99" w:rsidRPr="00067B75">
              <w:rPr>
                <w:rFonts w:cs="Arial"/>
              </w:rPr>
              <w:t xml:space="preserve">March </w:t>
            </w:r>
            <w:r w:rsidRPr="00067B75">
              <w:rPr>
                <w:rFonts w:cs="Arial"/>
              </w:rPr>
              <w:t>202</w:t>
            </w:r>
            <w:r w:rsidR="00EF4B13" w:rsidRPr="00067B75">
              <w:rPr>
                <w:rFonts w:cs="Arial"/>
              </w:rPr>
              <w:t>9</w:t>
            </w:r>
          </w:p>
        </w:tc>
      </w:tr>
      <w:tr w:rsidR="00B1425A" w:rsidRPr="00DF77C7" w14:paraId="0FB80BBA" w14:textId="77777777" w:rsidTr="7F987454">
        <w:tc>
          <w:tcPr>
            <w:tcW w:w="4080" w:type="dxa"/>
          </w:tcPr>
          <w:p w14:paraId="45729AD1" w14:textId="77777777" w:rsidR="00B1425A" w:rsidRPr="00DF77C7" w:rsidRDefault="00B1425A" w:rsidP="00B1425A">
            <w:pPr>
              <w:pStyle w:val="Tabletext"/>
              <w:rPr>
                <w:lang w:val="en-GB"/>
              </w:rPr>
            </w:pPr>
            <w:r w:rsidRPr="00DF77C7">
              <w:rPr>
                <w:lang w:val="en-GB"/>
              </w:rPr>
              <w:t xml:space="preserve">Expiry date: </w:t>
            </w:r>
          </w:p>
        </w:tc>
        <w:tc>
          <w:tcPr>
            <w:tcW w:w="4425" w:type="dxa"/>
            <w:tcBorders>
              <w:top w:val="single" w:sz="4" w:space="0" w:color="auto"/>
              <w:left w:val="single" w:sz="4" w:space="0" w:color="auto"/>
              <w:bottom w:val="single" w:sz="4" w:space="0" w:color="auto"/>
              <w:right w:val="single" w:sz="4" w:space="0" w:color="auto"/>
            </w:tcBorders>
          </w:tcPr>
          <w:p w14:paraId="58AA136C" w14:textId="0F1548BD" w:rsidR="00B1425A" w:rsidRPr="00067B75" w:rsidRDefault="00B1425A" w:rsidP="00B1425A">
            <w:pPr>
              <w:pStyle w:val="Tabletext"/>
              <w:rPr>
                <w:lang w:val="en-GB"/>
              </w:rPr>
            </w:pPr>
            <w:r w:rsidRPr="00067B75">
              <w:rPr>
                <w:rFonts w:cs="Arial"/>
              </w:rPr>
              <w:t>31</w:t>
            </w:r>
            <w:r w:rsidRPr="00067B75">
              <w:rPr>
                <w:rFonts w:cs="Arial"/>
                <w:vertAlign w:val="superscript"/>
              </w:rPr>
              <w:t>st</w:t>
            </w:r>
            <w:r w:rsidRPr="00067B75">
              <w:rPr>
                <w:rFonts w:cs="Arial"/>
              </w:rPr>
              <w:t xml:space="preserve"> </w:t>
            </w:r>
            <w:r w:rsidR="00D45B99" w:rsidRPr="00067B75">
              <w:rPr>
                <w:rFonts w:cs="Arial"/>
              </w:rPr>
              <w:t>August</w:t>
            </w:r>
            <w:r w:rsidRPr="00067B75">
              <w:rPr>
                <w:rFonts w:cs="Arial"/>
              </w:rPr>
              <w:t xml:space="preserve"> 202</w:t>
            </w:r>
            <w:r w:rsidR="00EF4B13" w:rsidRPr="00067B75">
              <w:rPr>
                <w:rFonts w:cs="Arial"/>
              </w:rPr>
              <w:t>9</w:t>
            </w:r>
          </w:p>
        </w:tc>
      </w:tr>
    </w:tbl>
    <w:p w14:paraId="22A68ADB" w14:textId="77777777" w:rsidR="00050C45" w:rsidRPr="00DF77C7" w:rsidRDefault="00050C45" w:rsidP="00F57606">
      <w:pPr>
        <w:pStyle w:val="Tabletext"/>
      </w:pPr>
    </w:p>
    <w:p w14:paraId="3AE659F6" w14:textId="52463692" w:rsidR="00B1425A" w:rsidRPr="00B1425A" w:rsidRDefault="008B106D" w:rsidP="00B1425A">
      <w:pPr>
        <w:pStyle w:val="PGDNormal"/>
      </w:pPr>
      <w:r w:rsidRPr="008B106D">
        <w:rPr>
          <w:lang w:val="en-GB"/>
        </w:rPr>
        <w:t xml:space="preserve">This PGD template has been peer reviewed by the Reproductive Health PGDs Short Life Working Group (SLWG) in accordance with their Terms of Reference. </w:t>
      </w:r>
      <w:r w:rsidR="00B1425A" w:rsidRPr="00B1425A">
        <w:t xml:space="preserve">It has been approved by the </w:t>
      </w:r>
      <w:r w:rsidR="00C713DD">
        <w:t>College of</w:t>
      </w:r>
      <w:r w:rsidR="00B1425A" w:rsidRPr="00B1425A">
        <w:t xml:space="preserve"> Sexual and Reproductive Health</w:t>
      </w:r>
      <w:r w:rsidR="003005DF">
        <w:t>care</w:t>
      </w:r>
      <w:r w:rsidR="00B1425A" w:rsidRPr="00B1425A">
        <w:t xml:space="preserve"> (</w:t>
      </w:r>
      <w:r w:rsidR="00C713DD" w:rsidRPr="00C713DD">
        <w:t>Co</w:t>
      </w:r>
      <w:r w:rsidR="00B1425A" w:rsidRPr="00C713DD">
        <w:t>SRH</w:t>
      </w:r>
      <w:r w:rsidR="00B1425A" w:rsidRPr="00B1425A">
        <w:t xml:space="preserve">) in </w:t>
      </w:r>
      <w:r w:rsidR="00067B75">
        <w:t>April</w:t>
      </w:r>
      <w:r w:rsidR="00B1425A" w:rsidRPr="00067B75">
        <w:t xml:space="preserve"> 202</w:t>
      </w:r>
      <w:r w:rsidR="00C713DD" w:rsidRPr="00067B75">
        <w:t>6</w:t>
      </w:r>
      <w:r w:rsidR="00B1425A" w:rsidRPr="00067B75">
        <w:t>.</w:t>
      </w:r>
    </w:p>
    <w:p w14:paraId="3A13A1CF" w14:textId="675A97F3" w:rsidR="00B1425A" w:rsidRPr="00B53D41" w:rsidRDefault="00050C45" w:rsidP="00B1425A">
      <w:pPr>
        <w:pStyle w:val="PGDNormal"/>
        <w:rPr>
          <w:rStyle w:val="Hyperlink"/>
          <w:lang w:val="en-GB"/>
        </w:rPr>
      </w:pPr>
      <w:r w:rsidRPr="00DF77C7">
        <w:rPr>
          <w:lang w:val="en-GB"/>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PGD. The most up to date version of the template is available </w:t>
      </w:r>
      <w:r w:rsidR="006829D5" w:rsidRPr="00DF77C7">
        <w:rPr>
          <w:lang w:val="en-GB"/>
        </w:rPr>
        <w:t xml:space="preserve">from the </w:t>
      </w:r>
      <w:r w:rsidR="00B53D41">
        <w:rPr>
          <w:lang w:val="en-GB"/>
        </w:rPr>
        <w:fldChar w:fldCharType="begin"/>
      </w:r>
      <w:r w:rsidR="00B53D41">
        <w:rPr>
          <w:lang w:val="en-GB"/>
        </w:rPr>
        <w:instrText>HYPERLINK "https://www.sps.nhs.uk/home/guidance/patient-group-directions-and-legal-mechanisms/national-pgd-protocol-and-written-instructions-templates/"</w:instrText>
      </w:r>
      <w:r w:rsidR="00B53D41">
        <w:rPr>
          <w:lang w:val="en-GB"/>
        </w:rPr>
      </w:r>
      <w:r w:rsidR="00B53D41">
        <w:rPr>
          <w:lang w:val="en-GB"/>
        </w:rPr>
        <w:fldChar w:fldCharType="separate"/>
      </w:r>
      <w:r w:rsidR="00B1425A" w:rsidRPr="00B53D41">
        <w:rPr>
          <w:rStyle w:val="Hyperlink"/>
          <w:lang w:val="en-GB"/>
        </w:rPr>
        <w:t>SPS national PGD, protocol and written instructions templates webpage.</w:t>
      </w:r>
    </w:p>
    <w:p w14:paraId="6EA0E318" w14:textId="7942993E" w:rsidR="00050C45" w:rsidRPr="00DF77C7" w:rsidRDefault="00B53D41" w:rsidP="00B1425A">
      <w:pPr>
        <w:pStyle w:val="PGDNormal"/>
      </w:pPr>
      <w:r>
        <w:rPr>
          <w:lang w:val="en-GB"/>
        </w:rPr>
        <w:fldChar w:fldCharType="end"/>
      </w:r>
      <w:r w:rsidR="00050C45" w:rsidRPr="00DF77C7">
        <w:rPr>
          <w:rStyle w:val="PGDNormalBold"/>
        </w:rPr>
        <w:t>This section MUST REMAIN when a PGD is adopted by an organisation.</w:t>
      </w:r>
      <w:r w:rsidR="00050C45" w:rsidRPr="00DF77C7">
        <w:t xml:space="preserve"> </w:t>
      </w:r>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BC0FB3" w:rsidRPr="00DF77C7" w14:paraId="20E46ECB" w14:textId="77777777" w:rsidTr="009E04FA">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7CB31BC8" w14:textId="77777777" w:rsidR="00BC0FB3" w:rsidRPr="008B4094" w:rsidRDefault="00BC0FB3" w:rsidP="009E04FA">
            <w:pPr>
              <w:pStyle w:val="TableHeaderRow"/>
              <w:rPr>
                <w:rStyle w:val="TableHeaderColumn"/>
                <w:b/>
                <w:bCs/>
                <w:sz w:val="22"/>
              </w:rPr>
            </w:pPr>
            <w:r w:rsidRPr="008B4094">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7E3DB8B8" w14:textId="77777777" w:rsidR="00BC0FB3" w:rsidRPr="008B4094" w:rsidRDefault="00BC0FB3" w:rsidP="009E04FA">
            <w:pPr>
              <w:pStyle w:val="TableHeaderRow"/>
              <w:rPr>
                <w:rStyle w:val="TableHeaderColumn"/>
                <w:b/>
                <w:bCs/>
                <w:sz w:val="22"/>
              </w:rPr>
            </w:pPr>
            <w:r w:rsidRPr="008B4094">
              <w:rPr>
                <w:rStyle w:val="TableHeaderColumn"/>
                <w:b/>
                <w:bCs/>
                <w:sz w:val="22"/>
              </w:rPr>
              <w:t>Position</w:t>
            </w:r>
          </w:p>
        </w:tc>
      </w:tr>
      <w:tr w:rsidR="00BC0FB3" w:rsidRPr="00DF77C7" w14:paraId="4C56C6DD" w14:textId="77777777" w:rsidTr="009E04FA">
        <w:trPr>
          <w:trHeight w:val="413"/>
        </w:trPr>
        <w:tc>
          <w:tcPr>
            <w:tcW w:w="2297" w:type="dxa"/>
            <w:vAlign w:val="center"/>
          </w:tcPr>
          <w:p w14:paraId="767B36A3" w14:textId="77777777" w:rsidR="00BC0FB3" w:rsidRPr="00DF59C5" w:rsidRDefault="00BC0FB3" w:rsidP="009E04FA">
            <w:pPr>
              <w:pStyle w:val="Tabletext"/>
              <w:rPr>
                <w:rFonts w:eastAsia="Calibri"/>
                <w:lang w:val="en-GB"/>
              </w:rPr>
            </w:pPr>
            <w:r w:rsidRPr="0050579C">
              <w:t>Alison Crompton</w:t>
            </w:r>
          </w:p>
        </w:tc>
        <w:tc>
          <w:tcPr>
            <w:tcW w:w="6912" w:type="dxa"/>
            <w:vAlign w:val="center"/>
          </w:tcPr>
          <w:p w14:paraId="6FEC03B2" w14:textId="77777777" w:rsidR="00BC0FB3" w:rsidRPr="002416AD" w:rsidRDefault="00BC0FB3" w:rsidP="009E04FA">
            <w:pPr>
              <w:pStyle w:val="Tabletext"/>
              <w:rPr>
                <w:rFonts w:eastAsia="Calibri"/>
                <w:lang w:val="en-GB"/>
              </w:rPr>
            </w:pPr>
            <w:r w:rsidRPr="0050579C">
              <w:rPr>
                <w:rFonts w:cs="Arial"/>
              </w:rPr>
              <w:t>Community pharmacist</w:t>
            </w:r>
          </w:p>
        </w:tc>
      </w:tr>
      <w:tr w:rsidR="00BC0FB3" w:rsidRPr="00DF77C7" w14:paraId="671170EF" w14:textId="77777777" w:rsidTr="009E04FA">
        <w:trPr>
          <w:trHeight w:val="413"/>
        </w:trPr>
        <w:tc>
          <w:tcPr>
            <w:tcW w:w="2297" w:type="dxa"/>
            <w:vAlign w:val="center"/>
          </w:tcPr>
          <w:p w14:paraId="3817E839" w14:textId="77777777" w:rsidR="00BC0FB3" w:rsidRPr="00DF59C5" w:rsidRDefault="00BC0FB3" w:rsidP="009E04FA">
            <w:pPr>
              <w:pStyle w:val="Tabletext"/>
              <w:rPr>
                <w:rFonts w:eastAsia="Calibri"/>
                <w:lang w:val="en-GB"/>
              </w:rPr>
            </w:pPr>
            <w:r w:rsidRPr="00C749BF">
              <w:t>Bola Sotubo</w:t>
            </w:r>
          </w:p>
        </w:tc>
        <w:tc>
          <w:tcPr>
            <w:tcW w:w="6912" w:type="dxa"/>
            <w:vAlign w:val="center"/>
          </w:tcPr>
          <w:p w14:paraId="0834A7AE" w14:textId="77777777" w:rsidR="00BC0FB3" w:rsidRPr="002416AD" w:rsidRDefault="00BC0FB3" w:rsidP="009E04FA">
            <w:pPr>
              <w:pStyle w:val="Tabletext"/>
              <w:rPr>
                <w:rFonts w:eastAsia="Calibri"/>
                <w:lang w:val="en-GB"/>
              </w:rPr>
            </w:pPr>
            <w:r w:rsidRPr="00C749BF">
              <w:rPr>
                <w:rFonts w:cs="Arial"/>
              </w:rPr>
              <w:t>NHS North East London ICB pharmacist</w:t>
            </w:r>
          </w:p>
        </w:tc>
      </w:tr>
      <w:tr w:rsidR="00BC0FB3" w:rsidRPr="00DF77C7" w14:paraId="6A86A0E3" w14:textId="77777777" w:rsidTr="009E04FA">
        <w:trPr>
          <w:trHeight w:val="382"/>
        </w:trPr>
        <w:tc>
          <w:tcPr>
            <w:tcW w:w="2297" w:type="dxa"/>
            <w:vAlign w:val="center"/>
          </w:tcPr>
          <w:p w14:paraId="160785B3" w14:textId="77777777" w:rsidR="00BC0FB3" w:rsidRPr="00DF59C5" w:rsidRDefault="00BC0FB3" w:rsidP="009E04FA">
            <w:pPr>
              <w:pStyle w:val="Tabletext"/>
              <w:rPr>
                <w:lang w:val="en-GB"/>
              </w:rPr>
            </w:pPr>
            <w:r w:rsidRPr="00C749BF">
              <w:t>Dr Cindy Farmer</w:t>
            </w:r>
          </w:p>
        </w:tc>
        <w:tc>
          <w:tcPr>
            <w:tcW w:w="6912" w:type="dxa"/>
            <w:vAlign w:val="center"/>
          </w:tcPr>
          <w:p w14:paraId="39A0D7E1" w14:textId="77777777" w:rsidR="00BC0FB3" w:rsidRPr="002416AD" w:rsidRDefault="00BC0FB3" w:rsidP="009E04FA">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BC0FB3" w:rsidRPr="00DF77C7" w14:paraId="4D1D5ADC" w14:textId="77777777" w:rsidTr="009E04FA">
        <w:trPr>
          <w:trHeight w:val="383"/>
        </w:trPr>
        <w:tc>
          <w:tcPr>
            <w:tcW w:w="2297" w:type="dxa"/>
            <w:vAlign w:val="center"/>
          </w:tcPr>
          <w:p w14:paraId="49D70F9D" w14:textId="77777777" w:rsidR="00BC0FB3" w:rsidRPr="00DF59C5" w:rsidRDefault="00BC0FB3" w:rsidP="009E04FA">
            <w:pPr>
              <w:pStyle w:val="Tabletext"/>
              <w:rPr>
                <w:lang w:val="en-GB"/>
              </w:rPr>
            </w:pPr>
            <w:r w:rsidRPr="00C749BF">
              <w:t>Clare Livingstone</w:t>
            </w:r>
          </w:p>
        </w:tc>
        <w:tc>
          <w:tcPr>
            <w:tcW w:w="6912" w:type="dxa"/>
            <w:vAlign w:val="center"/>
          </w:tcPr>
          <w:p w14:paraId="5A7ECA22" w14:textId="77777777" w:rsidR="00BC0FB3" w:rsidRPr="002416AD" w:rsidRDefault="00BC0FB3" w:rsidP="009E04FA">
            <w:pPr>
              <w:pStyle w:val="Tabletext"/>
              <w:rPr>
                <w:lang w:val="en-GB"/>
              </w:rPr>
            </w:pPr>
            <w:r w:rsidRPr="00D10926">
              <w:rPr>
                <w:rFonts w:cs="Arial"/>
              </w:rPr>
              <w:t>Royal College of Midwives (RCM)</w:t>
            </w:r>
          </w:p>
        </w:tc>
      </w:tr>
      <w:tr w:rsidR="00BC0FB3" w:rsidRPr="00DF77C7" w14:paraId="17710AC2" w14:textId="77777777" w:rsidTr="009E04FA">
        <w:trPr>
          <w:trHeight w:val="383"/>
        </w:trPr>
        <w:tc>
          <w:tcPr>
            <w:tcW w:w="2297" w:type="dxa"/>
            <w:vAlign w:val="center"/>
          </w:tcPr>
          <w:p w14:paraId="7A3381F6" w14:textId="77777777" w:rsidR="00BC0FB3" w:rsidRPr="00DF59C5" w:rsidRDefault="00BC0FB3" w:rsidP="009E04FA">
            <w:pPr>
              <w:pStyle w:val="Tabletext"/>
              <w:rPr>
                <w:lang w:val="en-GB"/>
              </w:rPr>
            </w:pPr>
            <w:r w:rsidRPr="00C749BF">
              <w:t>Dipti Patel</w:t>
            </w:r>
          </w:p>
        </w:tc>
        <w:tc>
          <w:tcPr>
            <w:tcW w:w="6912" w:type="dxa"/>
            <w:vAlign w:val="center"/>
          </w:tcPr>
          <w:p w14:paraId="250DA49E" w14:textId="77777777" w:rsidR="00BC0FB3" w:rsidRPr="002416AD" w:rsidRDefault="00BC0FB3" w:rsidP="009E04FA">
            <w:pPr>
              <w:pStyle w:val="Tabletext"/>
              <w:rPr>
                <w:lang w:val="en-GB"/>
              </w:rPr>
            </w:pPr>
            <w:r w:rsidRPr="00D10926">
              <w:t xml:space="preserve">Local authority pharmacist </w:t>
            </w:r>
          </w:p>
        </w:tc>
      </w:tr>
      <w:tr w:rsidR="00BC0FB3" w:rsidRPr="00DF77C7" w14:paraId="225C7F2F" w14:textId="77777777" w:rsidTr="009E04FA">
        <w:trPr>
          <w:trHeight w:val="383"/>
        </w:trPr>
        <w:tc>
          <w:tcPr>
            <w:tcW w:w="2297" w:type="dxa"/>
            <w:vAlign w:val="center"/>
          </w:tcPr>
          <w:p w14:paraId="66B66148" w14:textId="77777777" w:rsidR="00BC0FB3" w:rsidRPr="00DF59C5" w:rsidRDefault="00BC0FB3" w:rsidP="009E04FA">
            <w:pPr>
              <w:pStyle w:val="Tabletext"/>
              <w:rPr>
                <w:lang w:val="en-GB"/>
              </w:rPr>
            </w:pPr>
            <w:r w:rsidRPr="00C749BF">
              <w:t>Emma Anderson</w:t>
            </w:r>
          </w:p>
        </w:tc>
        <w:tc>
          <w:tcPr>
            <w:tcW w:w="6912" w:type="dxa"/>
            <w:vAlign w:val="center"/>
          </w:tcPr>
          <w:p w14:paraId="7DBEF8D2" w14:textId="77777777" w:rsidR="00BC0FB3" w:rsidRPr="002416AD" w:rsidRDefault="00BC0FB3" w:rsidP="009E04FA">
            <w:pPr>
              <w:pStyle w:val="Tabletext"/>
              <w:rPr>
                <w:lang w:val="en-GB"/>
              </w:rPr>
            </w:pPr>
            <w:r w:rsidRPr="00D10926">
              <w:t>Centre for Postgraduate Pharmacy Education (CPPE)</w:t>
            </w:r>
          </w:p>
        </w:tc>
      </w:tr>
      <w:tr w:rsidR="00BC0FB3" w:rsidRPr="00DF77C7" w14:paraId="58DC1F39" w14:textId="77777777" w:rsidTr="009E04FA">
        <w:trPr>
          <w:trHeight w:val="383"/>
        </w:trPr>
        <w:tc>
          <w:tcPr>
            <w:tcW w:w="2297" w:type="dxa"/>
            <w:vAlign w:val="center"/>
          </w:tcPr>
          <w:p w14:paraId="51880152" w14:textId="77777777" w:rsidR="00BC0FB3" w:rsidRPr="00DF59C5" w:rsidRDefault="00BC0FB3" w:rsidP="009E04FA">
            <w:pPr>
              <w:pStyle w:val="Tabletext"/>
              <w:rPr>
                <w:rFonts w:eastAsia="Calibri"/>
                <w:szCs w:val="22"/>
                <w:lang w:val="en-GB"/>
              </w:rPr>
            </w:pPr>
            <w:r w:rsidRPr="00C749BF">
              <w:t>Heather Randle</w:t>
            </w:r>
          </w:p>
        </w:tc>
        <w:tc>
          <w:tcPr>
            <w:tcW w:w="6912" w:type="dxa"/>
            <w:vAlign w:val="center"/>
          </w:tcPr>
          <w:p w14:paraId="69A7790F" w14:textId="77777777" w:rsidR="00BC0FB3" w:rsidRPr="002416AD" w:rsidRDefault="00BC0FB3" w:rsidP="009E04FA">
            <w:pPr>
              <w:pStyle w:val="Tabletext"/>
              <w:rPr>
                <w:rFonts w:eastAsia="Calibri"/>
                <w:lang w:val="en-GB"/>
              </w:rPr>
            </w:pPr>
            <w:r w:rsidRPr="00121A81">
              <w:t>Royal College of Nursing</w:t>
            </w:r>
          </w:p>
        </w:tc>
      </w:tr>
      <w:tr w:rsidR="00BC0FB3" w:rsidRPr="00DF77C7" w14:paraId="260020DF" w14:textId="77777777" w:rsidTr="009E04FA">
        <w:trPr>
          <w:trHeight w:val="383"/>
        </w:trPr>
        <w:tc>
          <w:tcPr>
            <w:tcW w:w="2297" w:type="dxa"/>
            <w:vAlign w:val="center"/>
          </w:tcPr>
          <w:p w14:paraId="0FA6A155" w14:textId="77777777" w:rsidR="00BC0FB3" w:rsidRPr="00DF59C5" w:rsidRDefault="00BC0FB3" w:rsidP="009E04FA">
            <w:pPr>
              <w:pStyle w:val="Tabletext"/>
              <w:rPr>
                <w:rFonts w:eastAsia="Calibri"/>
                <w:lang w:val="en-GB"/>
              </w:rPr>
            </w:pPr>
            <w:r w:rsidRPr="00C749BF">
              <w:t>Julia Hogan</w:t>
            </w:r>
          </w:p>
        </w:tc>
        <w:tc>
          <w:tcPr>
            <w:tcW w:w="6912" w:type="dxa"/>
            <w:vAlign w:val="center"/>
          </w:tcPr>
          <w:p w14:paraId="0687E245" w14:textId="77777777" w:rsidR="00BC0FB3" w:rsidRPr="00DF77C7" w:rsidRDefault="00BC0FB3" w:rsidP="009E04FA">
            <w:pPr>
              <w:pStyle w:val="Tabletext"/>
              <w:rPr>
                <w:rFonts w:eastAsia="Calibri"/>
                <w:lang w:val="en-GB"/>
              </w:rPr>
            </w:pPr>
            <w:r w:rsidRPr="0050579C">
              <w:t>Clinical Nurse Specialist</w:t>
            </w:r>
          </w:p>
        </w:tc>
      </w:tr>
      <w:tr w:rsidR="00BC0FB3" w:rsidRPr="00094B2C" w14:paraId="31B03061" w14:textId="77777777" w:rsidTr="009E04FA">
        <w:trPr>
          <w:trHeight w:val="383"/>
        </w:trPr>
        <w:tc>
          <w:tcPr>
            <w:tcW w:w="2297" w:type="dxa"/>
            <w:vAlign w:val="center"/>
          </w:tcPr>
          <w:p w14:paraId="6DF9E081" w14:textId="77777777" w:rsidR="00BC0FB3" w:rsidRPr="00094B2C" w:rsidRDefault="00BC0FB3" w:rsidP="009E04FA">
            <w:pPr>
              <w:pStyle w:val="Tabletext"/>
              <w:rPr>
                <w:kern w:val="2"/>
              </w:rPr>
            </w:pPr>
            <w:r w:rsidRPr="00C749BF">
              <w:t>Kate Devonport</w:t>
            </w:r>
          </w:p>
        </w:tc>
        <w:tc>
          <w:tcPr>
            <w:tcW w:w="6912" w:type="dxa"/>
            <w:vAlign w:val="center"/>
          </w:tcPr>
          <w:p w14:paraId="2626985F" w14:textId="77777777" w:rsidR="00BC0FB3" w:rsidRPr="00094B2C" w:rsidRDefault="00BC0FB3" w:rsidP="009E04FA">
            <w:pPr>
              <w:pStyle w:val="Tabletext"/>
              <w:rPr>
                <w:kern w:val="2"/>
              </w:rPr>
            </w:pPr>
            <w:r w:rsidRPr="00D04FDD">
              <w:t>National Unplanned Pregnancy Association (NUPAS)</w:t>
            </w:r>
          </w:p>
        </w:tc>
      </w:tr>
      <w:tr w:rsidR="00FF78E4" w:rsidRPr="00DF77C7" w14:paraId="30C5C241" w14:textId="77777777" w:rsidTr="009E04FA">
        <w:trPr>
          <w:trHeight w:val="383"/>
        </w:trPr>
        <w:tc>
          <w:tcPr>
            <w:tcW w:w="2297" w:type="dxa"/>
            <w:vAlign w:val="center"/>
          </w:tcPr>
          <w:p w14:paraId="4F3CD819" w14:textId="77777777" w:rsidR="00FF78E4" w:rsidRPr="00DF59C5" w:rsidRDefault="00FF78E4" w:rsidP="00FF78E4">
            <w:pPr>
              <w:pStyle w:val="Tabletext"/>
              <w:rPr>
                <w:rFonts w:eastAsia="Calibri"/>
                <w:lang w:val="en-GB"/>
              </w:rPr>
            </w:pPr>
            <w:r w:rsidRPr="00C749BF">
              <w:rPr>
                <w:rFonts w:cs="Arial"/>
              </w:rPr>
              <w:t xml:space="preserve">Kirsty Armstrong  </w:t>
            </w:r>
          </w:p>
        </w:tc>
        <w:tc>
          <w:tcPr>
            <w:tcW w:w="6912" w:type="dxa"/>
            <w:vAlign w:val="center"/>
          </w:tcPr>
          <w:p w14:paraId="6C3B0F45" w14:textId="794C587B" w:rsidR="00FF78E4" w:rsidRPr="002416AD" w:rsidRDefault="00FF78E4" w:rsidP="00FF78E4">
            <w:pPr>
              <w:pStyle w:val="Tabletext"/>
              <w:rPr>
                <w:rFonts w:eastAsia="Calibri"/>
                <w:color w:val="000000"/>
                <w:lang w:val="en-GB"/>
              </w:rPr>
            </w:pPr>
            <w:r w:rsidRPr="0053021D">
              <w:rPr>
                <w:rFonts w:cs="Arial"/>
                <w:szCs w:val="24"/>
                <w:lang w:val="en-GB"/>
              </w:rPr>
              <w:t>Senior Policy Lead – Clinical Strategy, Pharmacy</w:t>
            </w:r>
            <w:r w:rsidRPr="00027D57">
              <w:rPr>
                <w:rFonts w:cs="Arial"/>
              </w:rPr>
              <w:t>, NHS England</w:t>
            </w:r>
          </w:p>
        </w:tc>
      </w:tr>
      <w:tr w:rsidR="00BC0FB3" w:rsidRPr="00DF77C7" w14:paraId="62099140" w14:textId="77777777" w:rsidTr="009E04FA">
        <w:trPr>
          <w:trHeight w:val="383"/>
        </w:trPr>
        <w:tc>
          <w:tcPr>
            <w:tcW w:w="2297" w:type="dxa"/>
            <w:vAlign w:val="center"/>
          </w:tcPr>
          <w:p w14:paraId="2DB9F894" w14:textId="77777777" w:rsidR="00BC0FB3" w:rsidRPr="00DF59C5" w:rsidRDefault="00BC0FB3" w:rsidP="009E04FA">
            <w:pPr>
              <w:pStyle w:val="Tabletext"/>
              <w:rPr>
                <w:rFonts w:eastAsia="Calibri"/>
                <w:lang w:val="en-GB"/>
              </w:rPr>
            </w:pPr>
            <w:r w:rsidRPr="00C749BF">
              <w:t>Lisa Knight</w:t>
            </w:r>
          </w:p>
        </w:tc>
        <w:tc>
          <w:tcPr>
            <w:tcW w:w="6912" w:type="dxa"/>
            <w:vAlign w:val="center"/>
          </w:tcPr>
          <w:p w14:paraId="52820BBF" w14:textId="77777777" w:rsidR="00BC0FB3" w:rsidRPr="002416AD" w:rsidRDefault="00BC0FB3" w:rsidP="009E04FA">
            <w:pPr>
              <w:pStyle w:val="Tabletext"/>
              <w:rPr>
                <w:rFonts w:eastAsia="Calibri"/>
                <w:color w:val="000000"/>
                <w:lang w:val="en-GB"/>
              </w:rPr>
            </w:pPr>
            <w:r w:rsidRPr="00D10926">
              <w:t xml:space="preserve">Community Health Services pharmacist </w:t>
            </w:r>
          </w:p>
        </w:tc>
      </w:tr>
      <w:tr w:rsidR="00BC0FB3" w:rsidRPr="00DF77C7" w14:paraId="7B423C73" w14:textId="77777777" w:rsidTr="009E04FA">
        <w:trPr>
          <w:trHeight w:val="428"/>
        </w:trPr>
        <w:tc>
          <w:tcPr>
            <w:tcW w:w="2297" w:type="dxa"/>
            <w:vAlign w:val="center"/>
          </w:tcPr>
          <w:p w14:paraId="24162F8D" w14:textId="77777777" w:rsidR="00BC0FB3" w:rsidRPr="00C749BF" w:rsidRDefault="00BC0FB3" w:rsidP="009E04FA">
            <w:pPr>
              <w:pStyle w:val="Tabletext"/>
            </w:pPr>
            <w:r w:rsidRPr="00C749BF">
              <w:t>Michelle Jenkins</w:t>
            </w:r>
          </w:p>
          <w:p w14:paraId="022AEBE6" w14:textId="77777777" w:rsidR="00BC0FB3" w:rsidRPr="00DF59C5" w:rsidRDefault="00BC0FB3" w:rsidP="009E04FA">
            <w:pPr>
              <w:pStyle w:val="Tabletext"/>
              <w:rPr>
                <w:rFonts w:eastAsia="Calibri"/>
                <w:lang w:val="en-GB"/>
              </w:rPr>
            </w:pPr>
          </w:p>
        </w:tc>
        <w:tc>
          <w:tcPr>
            <w:tcW w:w="6912" w:type="dxa"/>
            <w:vAlign w:val="center"/>
          </w:tcPr>
          <w:p w14:paraId="43A88875" w14:textId="77777777" w:rsidR="00BC0FB3" w:rsidRDefault="00BC0FB3" w:rsidP="009E04FA">
            <w:pPr>
              <w:pStyle w:val="Tabletext"/>
            </w:pPr>
            <w:r>
              <w:t>C</w:t>
            </w:r>
            <w:r w:rsidRPr="005E2D3D">
              <w:t xml:space="preserve">linical Nurse </w:t>
            </w:r>
            <w:r>
              <w:t>S</w:t>
            </w:r>
            <w:r w:rsidRPr="005E2D3D">
              <w:t>pecialist Sexual Health Blackpool Teaching Hospitals</w:t>
            </w:r>
            <w:r>
              <w:t xml:space="preserve">, and member of </w:t>
            </w:r>
          </w:p>
          <w:p w14:paraId="3387C94C" w14:textId="77777777" w:rsidR="00BC0FB3" w:rsidRPr="002416AD" w:rsidRDefault="00BC0FB3" w:rsidP="009E04FA">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BC0FB3" w:rsidRPr="00DF77C7" w14:paraId="23580F5E" w14:textId="77777777" w:rsidTr="009E04FA">
        <w:trPr>
          <w:trHeight w:val="331"/>
        </w:trPr>
        <w:tc>
          <w:tcPr>
            <w:tcW w:w="2297" w:type="dxa"/>
            <w:vAlign w:val="center"/>
          </w:tcPr>
          <w:p w14:paraId="371611CC" w14:textId="77777777" w:rsidR="00BC0FB3" w:rsidRPr="00900916" w:rsidRDefault="00BC0FB3" w:rsidP="009E04FA">
            <w:pPr>
              <w:pStyle w:val="Tabletext"/>
            </w:pPr>
            <w:r w:rsidRPr="00C749BF">
              <w:t>Portia Jackson</w:t>
            </w:r>
          </w:p>
        </w:tc>
        <w:tc>
          <w:tcPr>
            <w:tcW w:w="6912" w:type="dxa"/>
            <w:vAlign w:val="center"/>
          </w:tcPr>
          <w:p w14:paraId="64B58910" w14:textId="77777777" w:rsidR="00BC0FB3" w:rsidRPr="00900916" w:rsidRDefault="00BC0FB3" w:rsidP="009E04FA">
            <w:pPr>
              <w:pStyle w:val="Tabletext"/>
            </w:pPr>
            <w:r w:rsidRPr="00121A81">
              <w:t>Lead Pharmacist iCaSH, Cambridgeshire Community Services</w:t>
            </w:r>
          </w:p>
        </w:tc>
      </w:tr>
      <w:tr w:rsidR="00BC0FB3" w:rsidRPr="00DF77C7" w14:paraId="4BCD97DB" w14:textId="77777777" w:rsidTr="009E04FA">
        <w:trPr>
          <w:trHeight w:val="331"/>
        </w:trPr>
        <w:tc>
          <w:tcPr>
            <w:tcW w:w="2297" w:type="dxa"/>
            <w:vAlign w:val="center"/>
          </w:tcPr>
          <w:p w14:paraId="045259DA" w14:textId="77777777" w:rsidR="00BC0FB3" w:rsidRPr="00900916" w:rsidRDefault="00BC0FB3" w:rsidP="009E04FA">
            <w:pPr>
              <w:pStyle w:val="Tabletext"/>
            </w:pPr>
            <w:r w:rsidRPr="00121A81">
              <w:t>Rachel Logan</w:t>
            </w:r>
          </w:p>
        </w:tc>
        <w:tc>
          <w:tcPr>
            <w:tcW w:w="6912" w:type="dxa"/>
            <w:vAlign w:val="center"/>
          </w:tcPr>
          <w:p w14:paraId="664DA55C" w14:textId="77777777" w:rsidR="00BC0FB3" w:rsidRPr="00900916" w:rsidRDefault="00BC0FB3" w:rsidP="009E04FA">
            <w:pPr>
              <w:pStyle w:val="Tabletext"/>
            </w:pPr>
            <w:r w:rsidRPr="00121A81">
              <w:t>Senior Pharmacist, BPAS</w:t>
            </w:r>
          </w:p>
        </w:tc>
      </w:tr>
      <w:tr w:rsidR="00BC0FB3" w:rsidRPr="00DF77C7" w14:paraId="628D82A4" w14:textId="77777777" w:rsidTr="009E04FA">
        <w:trPr>
          <w:trHeight w:val="331"/>
        </w:trPr>
        <w:tc>
          <w:tcPr>
            <w:tcW w:w="2297" w:type="dxa"/>
            <w:vAlign w:val="center"/>
          </w:tcPr>
          <w:p w14:paraId="294799CE" w14:textId="77777777" w:rsidR="00BC0FB3" w:rsidRPr="00900916" w:rsidRDefault="00BC0FB3" w:rsidP="009E04FA">
            <w:pPr>
              <w:pStyle w:val="Tabletext"/>
            </w:pPr>
            <w:r>
              <w:t>Tanya Lane</w:t>
            </w:r>
          </w:p>
        </w:tc>
        <w:tc>
          <w:tcPr>
            <w:tcW w:w="6912" w:type="dxa"/>
            <w:vAlign w:val="center"/>
          </w:tcPr>
          <w:p w14:paraId="3AE4473B" w14:textId="77777777" w:rsidR="00BC0FB3" w:rsidRPr="00900916" w:rsidRDefault="00BC0FB3" w:rsidP="009E04FA">
            <w:pPr>
              <w:pStyle w:val="Tabletext"/>
            </w:pPr>
            <w:r>
              <w:t>Co</w:t>
            </w:r>
            <w:r w:rsidRPr="00121A81">
              <w:t xml:space="preserve">SRH Registered Trainer MSI </w:t>
            </w:r>
            <w:r>
              <w:t>R</w:t>
            </w:r>
            <w:r w:rsidRPr="00121A81">
              <w:t>eproductive Choices</w:t>
            </w:r>
          </w:p>
        </w:tc>
      </w:tr>
      <w:tr w:rsidR="00BC0FB3" w:rsidRPr="00DF77C7" w14:paraId="1A0FFA35" w14:textId="77777777" w:rsidTr="009E04FA">
        <w:trPr>
          <w:trHeight w:val="394"/>
        </w:trPr>
        <w:tc>
          <w:tcPr>
            <w:tcW w:w="2297" w:type="dxa"/>
            <w:vAlign w:val="center"/>
          </w:tcPr>
          <w:p w14:paraId="69D9B01B" w14:textId="77777777" w:rsidR="00BC0FB3" w:rsidRPr="00900916" w:rsidRDefault="00BC0FB3" w:rsidP="009E04FA">
            <w:pPr>
              <w:pStyle w:val="Tabletext"/>
            </w:pPr>
            <w:r w:rsidRPr="00D10926">
              <w:t xml:space="preserve">Jo Jenkins </w:t>
            </w:r>
          </w:p>
        </w:tc>
        <w:tc>
          <w:tcPr>
            <w:tcW w:w="6912" w:type="dxa"/>
            <w:vAlign w:val="center"/>
          </w:tcPr>
          <w:p w14:paraId="5F45F68A" w14:textId="77777777" w:rsidR="00BC0FB3" w:rsidRPr="00900916" w:rsidRDefault="00BC0FB3" w:rsidP="009E04FA">
            <w:pPr>
              <w:pStyle w:val="Tabletext"/>
            </w:pPr>
            <w:r w:rsidRPr="00121A81">
              <w:t>Associate Director Medicines Governance</w:t>
            </w:r>
            <w:r>
              <w:t>,</w:t>
            </w:r>
            <w:r w:rsidRPr="00121A81">
              <w:t> Medicines Use and Safety</w:t>
            </w:r>
            <w:r>
              <w:t xml:space="preserve">, </w:t>
            </w:r>
            <w:r w:rsidRPr="00D10926">
              <w:t>Specialist Pharmacy Service</w:t>
            </w:r>
          </w:p>
        </w:tc>
      </w:tr>
      <w:tr w:rsidR="00BC0FB3" w:rsidRPr="00DF77C7" w14:paraId="76DED848" w14:textId="77777777" w:rsidTr="009E04FA">
        <w:trPr>
          <w:trHeight w:val="436"/>
        </w:trPr>
        <w:tc>
          <w:tcPr>
            <w:tcW w:w="2297" w:type="dxa"/>
            <w:vAlign w:val="center"/>
          </w:tcPr>
          <w:p w14:paraId="71FE7035" w14:textId="77777777" w:rsidR="00BC0FB3" w:rsidRPr="00900916" w:rsidRDefault="00BC0FB3" w:rsidP="009E04FA">
            <w:pPr>
              <w:pStyle w:val="Tabletext"/>
            </w:pPr>
            <w:r w:rsidRPr="00C749BF">
              <w:lastRenderedPageBreak/>
              <w:t>Kieran Reynolds</w:t>
            </w:r>
          </w:p>
        </w:tc>
        <w:tc>
          <w:tcPr>
            <w:tcW w:w="6912" w:type="dxa"/>
            <w:vAlign w:val="center"/>
          </w:tcPr>
          <w:p w14:paraId="4923A0DB" w14:textId="77777777" w:rsidR="00BC0FB3" w:rsidRPr="00900916" w:rsidRDefault="00BC0FB3" w:rsidP="009E04FA">
            <w:pPr>
              <w:pStyle w:val="Tabletext"/>
            </w:pPr>
            <w:r w:rsidRPr="00121A81">
              <w:t>Advanced Specialist Pharmacist - Medicines Governance</w:t>
            </w:r>
            <w:r>
              <w:t>,</w:t>
            </w:r>
            <w:r w:rsidRPr="00121A81">
              <w:t> </w:t>
            </w:r>
            <w:r w:rsidRPr="00D10926">
              <w:t>Specialist Pharmacy Service</w:t>
            </w:r>
          </w:p>
        </w:tc>
      </w:tr>
      <w:tr w:rsidR="00BC0FB3" w:rsidRPr="00DF77C7" w14:paraId="5BCC8735" w14:textId="77777777" w:rsidTr="009E04FA">
        <w:trPr>
          <w:trHeight w:val="458"/>
        </w:trPr>
        <w:tc>
          <w:tcPr>
            <w:tcW w:w="2297" w:type="dxa"/>
            <w:vAlign w:val="center"/>
          </w:tcPr>
          <w:p w14:paraId="5E1C437B" w14:textId="77777777" w:rsidR="00BC0FB3" w:rsidRPr="008B4094" w:rsidRDefault="00BC0FB3" w:rsidP="009E04FA">
            <w:pPr>
              <w:pStyle w:val="Tabletext"/>
              <w:rPr>
                <w:i/>
                <w:iCs/>
              </w:rPr>
            </w:pPr>
            <w:r w:rsidRPr="00C749BF">
              <w:t>Rosie Furner (Working Group Co-Ordinator)</w:t>
            </w:r>
          </w:p>
        </w:tc>
        <w:tc>
          <w:tcPr>
            <w:tcW w:w="6912" w:type="dxa"/>
            <w:vAlign w:val="center"/>
          </w:tcPr>
          <w:p w14:paraId="7D55B34D" w14:textId="06FF7367" w:rsidR="00BC0FB3" w:rsidRPr="00900916" w:rsidRDefault="00A44F0F" w:rsidP="009E04FA">
            <w:pPr>
              <w:pStyle w:val="Tabletext"/>
            </w:pPr>
            <w:r w:rsidRPr="00121A81">
              <w:t>Advanced Specialist Pharmacist - Medicines Governance</w:t>
            </w:r>
            <w:r>
              <w:t>,</w:t>
            </w:r>
            <w:r w:rsidRPr="00121A81">
              <w:t> </w:t>
            </w:r>
            <w:r w:rsidRPr="00D10926">
              <w:t>Specialist Pharmacy Service</w:t>
            </w:r>
          </w:p>
        </w:tc>
      </w:tr>
      <w:tr w:rsidR="00BC0FB3" w:rsidRPr="00DF77C7" w14:paraId="5C95624B" w14:textId="77777777" w:rsidTr="009E04FA">
        <w:trPr>
          <w:trHeight w:val="362"/>
        </w:trPr>
        <w:tc>
          <w:tcPr>
            <w:tcW w:w="2297" w:type="dxa"/>
            <w:vAlign w:val="center"/>
          </w:tcPr>
          <w:p w14:paraId="506BEE5E" w14:textId="77777777" w:rsidR="00BC0FB3" w:rsidRPr="00900916" w:rsidRDefault="00BC0FB3" w:rsidP="009E04FA">
            <w:pPr>
              <w:pStyle w:val="Tabletext"/>
            </w:pPr>
            <w:r w:rsidRPr="00D10926">
              <w:t xml:space="preserve">Sandra Wolper </w:t>
            </w:r>
          </w:p>
        </w:tc>
        <w:tc>
          <w:tcPr>
            <w:tcW w:w="6912" w:type="dxa"/>
            <w:vAlign w:val="center"/>
          </w:tcPr>
          <w:p w14:paraId="57A47E7D" w14:textId="77777777" w:rsidR="00BC0FB3" w:rsidRPr="00900916" w:rsidRDefault="00BC0FB3" w:rsidP="009E04FA">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0AB2A287" w14:textId="77777777" w:rsidR="008762B8" w:rsidRPr="002416AD" w:rsidRDefault="008762B8" w:rsidP="002416AD">
      <w:pPr>
        <w:pStyle w:val="Tabletext"/>
        <w:rPr>
          <w:sz w:val="20"/>
        </w:rPr>
      </w:pPr>
    </w:p>
    <w:p w14:paraId="10A8B552" w14:textId="08D1D5D2" w:rsidR="00813399" w:rsidRPr="00DF77C7" w:rsidRDefault="005E6491" w:rsidP="008762B8">
      <w:pPr>
        <w:pStyle w:val="PGDNormal"/>
        <w:rPr>
          <w:lang w:val="en-GB"/>
        </w:rPr>
      </w:pPr>
      <w:r>
        <w:rPr>
          <w:highlight w:val="yellow"/>
          <w:lang w:val="en-GB"/>
        </w:rPr>
        <w:t>[[</w:t>
      </w:r>
      <w:r w:rsidR="00813399" w:rsidRPr="00DF77C7">
        <w:rPr>
          <w:highlight w:val="yellow"/>
          <w:lang w:val="en-GB"/>
        </w:rPr>
        <w:t>The PGD template is not legally valid until it has had the relevant organisational approval.  See below</w:t>
      </w:r>
      <w:r w:rsidR="00813399" w:rsidRPr="00BC0FB3">
        <w:rPr>
          <w:highlight w:val="yellow"/>
          <w:lang w:val="en-GB"/>
        </w:rPr>
        <w:t>.</w:t>
      </w:r>
      <w:r w:rsidRPr="00BC0FB3">
        <w:rPr>
          <w:highlight w:val="yellow"/>
          <w:lang w:val="en-GB"/>
        </w:rPr>
        <w:t>]]</w:t>
      </w:r>
    </w:p>
    <w:p w14:paraId="580C0EA3" w14:textId="18313674" w:rsidR="00813399" w:rsidRPr="00DF77C7" w:rsidRDefault="00B65003" w:rsidP="00B65003">
      <w:pPr>
        <w:pStyle w:val="Heading1"/>
        <w:rPr>
          <w:highlight w:val="yellow"/>
        </w:rPr>
      </w:pPr>
      <w:r w:rsidRPr="00DF77C7">
        <w:t xml:space="preserve">Organisational authorisations </w:t>
      </w:r>
      <w:r w:rsidR="005E6491" w:rsidRPr="00BC0FB3">
        <w:rPr>
          <w:highlight w:val="yellow"/>
        </w:rPr>
        <w:t>[[</w:t>
      </w:r>
      <w:r w:rsidRPr="00DF77C7">
        <w:rPr>
          <w:highlight w:val="yellow"/>
        </w:rPr>
        <w:t>and other legal requirements</w:t>
      </w:r>
      <w:r w:rsidR="005E6491">
        <w:rPr>
          <w:highlight w:val="yellow"/>
        </w:rPr>
        <w:t>]]</w:t>
      </w:r>
    </w:p>
    <w:p w14:paraId="7D746B46" w14:textId="0C6EE685" w:rsidR="00813399" w:rsidRPr="00DF77C7" w:rsidRDefault="005E6491" w:rsidP="008762B8">
      <w:pPr>
        <w:pStyle w:val="PGDNormal"/>
        <w:rPr>
          <w:highlight w:val="yellow"/>
          <w:lang w:val="en-GB"/>
        </w:rPr>
      </w:pPr>
      <w:r>
        <w:rPr>
          <w:highlight w:val="yellow"/>
          <w:lang w:val="en-GB"/>
        </w:rPr>
        <w:t>[[</w:t>
      </w:r>
      <w:r w:rsidR="00813399" w:rsidRPr="00DF77C7">
        <w:rPr>
          <w:highlight w:val="yellow"/>
          <w:lang w:val="en-GB"/>
        </w:rPr>
        <w:t>This page may be deleted if replaced with a format agreed according to local PGD policy with relevant approvals and authorisation.</w:t>
      </w:r>
    </w:p>
    <w:p w14:paraId="39BC0C7D" w14:textId="1BB42587" w:rsidR="00813399" w:rsidRPr="00DF77C7" w:rsidRDefault="00813399" w:rsidP="008762B8">
      <w:pPr>
        <w:pStyle w:val="PGDNormal"/>
        <w:rPr>
          <w:highlight w:val="yellow"/>
          <w:lang w:val="en-GB"/>
        </w:rPr>
      </w:pPr>
      <w:r w:rsidRPr="00DF77C7">
        <w:rPr>
          <w:highlight w:val="yellow"/>
          <w:lang w:val="en-GB"/>
        </w:rPr>
        <w:t>The PGD is not legally valid until it has had the relevant organisational authorisations.</w:t>
      </w:r>
    </w:p>
    <w:p w14:paraId="7E37FB70" w14:textId="09849F2A" w:rsidR="00813399" w:rsidRPr="00DF77C7" w:rsidRDefault="00813399" w:rsidP="008762B8">
      <w:pPr>
        <w:pStyle w:val="PGDNormal"/>
        <w:rPr>
          <w:lang w:val="en-GB"/>
        </w:rPr>
      </w:pPr>
      <w:r w:rsidRPr="00DF77C7">
        <w:rPr>
          <w:highlight w:val="yellow"/>
          <w:lang w:val="en-GB"/>
        </w:rPr>
        <w:t xml:space="preserve">To ensure compliance with the law, organisations must add local authorisation details i.e. clinical authorisations and the person signing on behalf of the authorising organisation. You may either complete details below or delete and use a format agreed according to local PGD policy which complies with PGD legislation and </w:t>
      </w:r>
      <w:hyperlink r:id="rId11" w:history="1">
        <w:r w:rsidRPr="00DF77C7">
          <w:rPr>
            <w:rStyle w:val="Hyperlink"/>
            <w:highlight w:val="yellow"/>
            <w:lang w:val="en-GB"/>
          </w:rPr>
          <w:t>NICE MPG2 PGD 2017</w:t>
        </w:r>
      </w:hyperlink>
      <w:r w:rsidRPr="00BC0FB3">
        <w:rPr>
          <w:highlight w:val="yellow"/>
          <w:lang w:val="en-GB"/>
        </w:rPr>
        <w:t>.</w:t>
      </w:r>
      <w:r w:rsidR="005E6491" w:rsidRPr="00BC0FB3">
        <w:rPr>
          <w:highlight w:val="yellow"/>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GD authorisation"/>
        <w:tblDescription w:val="This table allows input of the authorised signatories of the PGD as required by the Human Medicines Regulations 2012.  It includes columns for the name of the person authorising, their job title and organsiation, signature and the date signed. It also contains a link to the NICE PGD guidance which lists the authorising bodies included in the legislation."/>
      </w:tblPr>
      <w:tblGrid>
        <w:gridCol w:w="3133"/>
        <w:gridCol w:w="2753"/>
        <w:gridCol w:w="1535"/>
        <w:gridCol w:w="1074"/>
      </w:tblGrid>
      <w:tr w:rsidR="00813399" w:rsidRPr="006A3850" w14:paraId="39D55B3E" w14:textId="77777777" w:rsidTr="00F224C7">
        <w:trPr>
          <w:tblHeader/>
        </w:trPr>
        <w:tc>
          <w:tcPr>
            <w:tcW w:w="3133" w:type="dxa"/>
            <w:tcBorders>
              <w:top w:val="single" w:sz="4" w:space="0" w:color="auto"/>
              <w:left w:val="single" w:sz="4" w:space="0" w:color="auto"/>
              <w:bottom w:val="single" w:sz="4" w:space="0" w:color="auto"/>
              <w:right w:val="single" w:sz="4" w:space="0" w:color="auto"/>
            </w:tcBorders>
          </w:tcPr>
          <w:p w14:paraId="11057968"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Name </w:t>
            </w:r>
          </w:p>
        </w:tc>
        <w:tc>
          <w:tcPr>
            <w:tcW w:w="2753" w:type="dxa"/>
            <w:tcBorders>
              <w:top w:val="single" w:sz="4" w:space="0" w:color="auto"/>
              <w:left w:val="single" w:sz="4" w:space="0" w:color="auto"/>
              <w:bottom w:val="single" w:sz="4" w:space="0" w:color="auto"/>
              <w:right w:val="single" w:sz="4" w:space="0" w:color="auto"/>
            </w:tcBorders>
          </w:tcPr>
          <w:p w14:paraId="1A0F4D2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Job title and organisation </w:t>
            </w:r>
          </w:p>
        </w:tc>
        <w:tc>
          <w:tcPr>
            <w:tcW w:w="1535" w:type="dxa"/>
            <w:tcBorders>
              <w:top w:val="single" w:sz="4" w:space="0" w:color="auto"/>
              <w:left w:val="single" w:sz="4" w:space="0" w:color="auto"/>
              <w:bottom w:val="single" w:sz="4" w:space="0" w:color="auto"/>
              <w:right w:val="single" w:sz="4" w:space="0" w:color="auto"/>
            </w:tcBorders>
          </w:tcPr>
          <w:p w14:paraId="581041E9" w14:textId="77777777" w:rsidR="00813399" w:rsidRPr="006A3850" w:rsidRDefault="00813399" w:rsidP="006A3850">
            <w:pPr>
              <w:pStyle w:val="TableHeaderRow"/>
              <w:rPr>
                <w:rStyle w:val="TableHeaderColumn"/>
                <w:b/>
                <w:bCs/>
                <w:sz w:val="22"/>
              </w:rPr>
            </w:pPr>
            <w:r w:rsidRPr="006A3850">
              <w:rPr>
                <w:rStyle w:val="TableHeaderColumn"/>
                <w:b/>
                <w:bCs/>
                <w:sz w:val="22"/>
              </w:rPr>
              <w:t>Signature</w:t>
            </w:r>
          </w:p>
        </w:tc>
        <w:tc>
          <w:tcPr>
            <w:tcW w:w="1074" w:type="dxa"/>
            <w:tcBorders>
              <w:top w:val="single" w:sz="4" w:space="0" w:color="auto"/>
              <w:left w:val="single" w:sz="4" w:space="0" w:color="auto"/>
              <w:bottom w:val="single" w:sz="4" w:space="0" w:color="auto"/>
              <w:right w:val="single" w:sz="4" w:space="0" w:color="auto"/>
            </w:tcBorders>
          </w:tcPr>
          <w:p w14:paraId="02BD78F1" w14:textId="77777777" w:rsidR="00813399" w:rsidRPr="006A3850" w:rsidRDefault="00813399" w:rsidP="006A3850">
            <w:pPr>
              <w:pStyle w:val="TableHeaderRow"/>
              <w:rPr>
                <w:rStyle w:val="TableHeaderColumn"/>
                <w:b/>
                <w:bCs/>
                <w:sz w:val="22"/>
              </w:rPr>
            </w:pPr>
            <w:r w:rsidRPr="006A3850">
              <w:rPr>
                <w:rStyle w:val="TableHeaderColumn"/>
                <w:b/>
                <w:bCs/>
                <w:sz w:val="22"/>
              </w:rPr>
              <w:t>Date</w:t>
            </w:r>
          </w:p>
        </w:tc>
      </w:tr>
      <w:tr w:rsidR="00813399" w:rsidRPr="00DF77C7" w14:paraId="35D56BF3" w14:textId="77777777" w:rsidTr="00A32FA7">
        <w:tc>
          <w:tcPr>
            <w:tcW w:w="3133" w:type="dxa"/>
            <w:tcBorders>
              <w:top w:val="single" w:sz="4" w:space="0" w:color="auto"/>
              <w:left w:val="single" w:sz="4" w:space="0" w:color="auto"/>
              <w:bottom w:val="single" w:sz="4" w:space="0" w:color="auto"/>
              <w:right w:val="single" w:sz="4" w:space="0" w:color="auto"/>
            </w:tcBorders>
          </w:tcPr>
          <w:p w14:paraId="491A1B03"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doctor </w:t>
            </w:r>
          </w:p>
        </w:tc>
        <w:tc>
          <w:tcPr>
            <w:tcW w:w="2753" w:type="dxa"/>
            <w:tcBorders>
              <w:top w:val="single" w:sz="4" w:space="0" w:color="auto"/>
              <w:left w:val="single" w:sz="4" w:space="0" w:color="auto"/>
              <w:bottom w:val="single" w:sz="4" w:space="0" w:color="auto"/>
              <w:right w:val="single" w:sz="4" w:space="0" w:color="auto"/>
            </w:tcBorders>
          </w:tcPr>
          <w:p w14:paraId="098B297F"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AC393BA"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C070EF3" w14:textId="77777777" w:rsidR="00813399" w:rsidRPr="00DF77C7" w:rsidRDefault="00813399" w:rsidP="00B65003">
            <w:pPr>
              <w:pStyle w:val="Tabletext"/>
              <w:rPr>
                <w:lang w:val="en-GB"/>
              </w:rPr>
            </w:pPr>
          </w:p>
        </w:tc>
      </w:tr>
      <w:tr w:rsidR="00813399" w:rsidRPr="00DF77C7" w14:paraId="162855C1" w14:textId="77777777" w:rsidTr="00A32FA7">
        <w:tc>
          <w:tcPr>
            <w:tcW w:w="3133" w:type="dxa"/>
            <w:tcBorders>
              <w:top w:val="single" w:sz="4" w:space="0" w:color="auto"/>
              <w:left w:val="single" w:sz="4" w:space="0" w:color="auto"/>
              <w:bottom w:val="single" w:sz="4" w:space="0" w:color="auto"/>
              <w:right w:val="single" w:sz="4" w:space="0" w:color="auto"/>
            </w:tcBorders>
          </w:tcPr>
          <w:p w14:paraId="579B23DD" w14:textId="77777777" w:rsidR="00813399" w:rsidRPr="006A3850" w:rsidRDefault="00813399" w:rsidP="006A3850">
            <w:pPr>
              <w:pStyle w:val="TableHeaderRow"/>
              <w:rPr>
                <w:rStyle w:val="TableHeaderColumn"/>
                <w:b/>
                <w:bCs/>
                <w:sz w:val="22"/>
              </w:rPr>
            </w:pPr>
            <w:r w:rsidRPr="006A3850">
              <w:rPr>
                <w:rStyle w:val="TableHeaderColumn"/>
                <w:b/>
                <w:bCs/>
                <w:sz w:val="22"/>
              </w:rPr>
              <w:t>Senior pharmacist</w:t>
            </w:r>
          </w:p>
        </w:tc>
        <w:tc>
          <w:tcPr>
            <w:tcW w:w="2753" w:type="dxa"/>
            <w:tcBorders>
              <w:top w:val="single" w:sz="4" w:space="0" w:color="auto"/>
              <w:left w:val="single" w:sz="4" w:space="0" w:color="auto"/>
              <w:bottom w:val="single" w:sz="4" w:space="0" w:color="auto"/>
              <w:right w:val="single" w:sz="4" w:space="0" w:color="auto"/>
            </w:tcBorders>
          </w:tcPr>
          <w:p w14:paraId="75BBC646"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FB26856"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3A597D4A" w14:textId="77777777" w:rsidR="00813399" w:rsidRPr="00DF77C7" w:rsidRDefault="00813399" w:rsidP="00B65003">
            <w:pPr>
              <w:pStyle w:val="Tabletext"/>
              <w:rPr>
                <w:lang w:val="en-GB"/>
              </w:rPr>
            </w:pPr>
          </w:p>
        </w:tc>
      </w:tr>
      <w:tr w:rsidR="00813399" w:rsidRPr="00DF77C7" w14:paraId="7A2D073B" w14:textId="77777777" w:rsidTr="00A32FA7">
        <w:tc>
          <w:tcPr>
            <w:tcW w:w="3133" w:type="dxa"/>
            <w:tcBorders>
              <w:top w:val="single" w:sz="4" w:space="0" w:color="auto"/>
              <w:left w:val="single" w:sz="4" w:space="0" w:color="auto"/>
              <w:bottom w:val="single" w:sz="4" w:space="0" w:color="auto"/>
              <w:right w:val="single" w:sz="4" w:space="0" w:color="auto"/>
            </w:tcBorders>
          </w:tcPr>
          <w:p w14:paraId="246E86BC" w14:textId="77777777" w:rsidR="00813399" w:rsidRPr="006A3850" w:rsidRDefault="00813399" w:rsidP="006A3850">
            <w:pPr>
              <w:pStyle w:val="TableHeaderRow"/>
              <w:rPr>
                <w:rStyle w:val="TableHeaderColumn"/>
                <w:b/>
                <w:bCs/>
                <w:sz w:val="22"/>
              </w:rPr>
            </w:pPr>
            <w:r w:rsidRPr="006A3850">
              <w:rPr>
                <w:rStyle w:val="TableHeaderColumn"/>
                <w:b/>
                <w:bCs/>
                <w:sz w:val="22"/>
              </w:rPr>
              <w:t xml:space="preserve">Senior representative of professional group using the PGD </w:t>
            </w:r>
          </w:p>
        </w:tc>
        <w:tc>
          <w:tcPr>
            <w:tcW w:w="2753" w:type="dxa"/>
            <w:tcBorders>
              <w:top w:val="single" w:sz="4" w:space="0" w:color="auto"/>
              <w:left w:val="single" w:sz="4" w:space="0" w:color="auto"/>
              <w:bottom w:val="single" w:sz="4" w:space="0" w:color="auto"/>
              <w:right w:val="single" w:sz="4" w:space="0" w:color="auto"/>
            </w:tcBorders>
          </w:tcPr>
          <w:p w14:paraId="3F33A7EC"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3BBDE978"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7FB2672C" w14:textId="77777777" w:rsidR="00813399" w:rsidRPr="00DF77C7" w:rsidRDefault="00813399" w:rsidP="00B65003">
            <w:pPr>
              <w:pStyle w:val="Tabletext"/>
              <w:rPr>
                <w:lang w:val="en-GB"/>
              </w:rPr>
            </w:pPr>
          </w:p>
        </w:tc>
      </w:tr>
      <w:tr w:rsidR="00813399" w:rsidRPr="00DF77C7" w14:paraId="317E6CF7" w14:textId="77777777" w:rsidTr="00A32FA7">
        <w:tc>
          <w:tcPr>
            <w:tcW w:w="3133" w:type="dxa"/>
            <w:tcBorders>
              <w:top w:val="single" w:sz="4" w:space="0" w:color="auto"/>
              <w:left w:val="single" w:sz="4" w:space="0" w:color="auto"/>
              <w:bottom w:val="single" w:sz="4" w:space="0" w:color="auto"/>
              <w:right w:val="single" w:sz="4" w:space="0" w:color="auto"/>
            </w:tcBorders>
          </w:tcPr>
          <w:p w14:paraId="2C7B5334" w14:textId="2D01FB95" w:rsidR="00813399" w:rsidRPr="00872410" w:rsidRDefault="00813399" w:rsidP="006A3850">
            <w:pPr>
              <w:pStyle w:val="TableHeaderRow"/>
              <w:rPr>
                <w:rStyle w:val="TableHeaderColumn"/>
              </w:rPr>
            </w:pPr>
            <w:r w:rsidRPr="006A3850">
              <w:rPr>
                <w:rStyle w:val="TableHeaderColumn"/>
                <w:b/>
                <w:bCs/>
                <w:sz w:val="22"/>
              </w:rPr>
              <w:t xml:space="preserve">Person signing on behalf of </w:t>
            </w:r>
            <w:r w:rsidR="009E38CA" w:rsidRPr="006A3850">
              <w:rPr>
                <w:rStyle w:val="TableHeaderColumn"/>
                <w:b/>
                <w:bCs/>
                <w:sz w:val="22"/>
              </w:rPr>
              <w:t>the</w:t>
            </w:r>
            <w:r w:rsidR="009E38CA">
              <w:rPr>
                <w:rStyle w:val="TableHeaderColumn"/>
              </w:rPr>
              <w:t xml:space="preserve"> </w:t>
            </w:r>
            <w:hyperlink r:id="rId12" w:anchor="terms-used-in-the-guideline" w:history="1">
              <w:r w:rsidR="00D0044C" w:rsidRPr="000D13FD">
                <w:rPr>
                  <w:rStyle w:val="Hyperlink"/>
                  <w:sz w:val="22"/>
                  <w:szCs w:val="22"/>
                </w:rPr>
                <w:t>authorising body</w:t>
              </w:r>
              <w:r w:rsidR="009E38CA" w:rsidRPr="000D13FD">
                <w:rPr>
                  <w:rStyle w:val="Hyperlink"/>
                  <w:sz w:val="22"/>
                  <w:szCs w:val="22"/>
                </w:rPr>
                <w:t xml:space="preserve"> as defined by NICE</w:t>
              </w:r>
            </w:hyperlink>
            <w:r w:rsidR="009E38CA" w:rsidRPr="000D13FD">
              <w:rPr>
                <w:rStyle w:val="Hyperlink"/>
                <w:sz w:val="22"/>
                <w:szCs w:val="22"/>
              </w:rPr>
              <w:t xml:space="preserve"> </w:t>
            </w:r>
          </w:p>
        </w:tc>
        <w:tc>
          <w:tcPr>
            <w:tcW w:w="2753" w:type="dxa"/>
            <w:tcBorders>
              <w:top w:val="single" w:sz="4" w:space="0" w:color="auto"/>
              <w:left w:val="single" w:sz="4" w:space="0" w:color="auto"/>
              <w:bottom w:val="single" w:sz="4" w:space="0" w:color="auto"/>
              <w:right w:val="single" w:sz="4" w:space="0" w:color="auto"/>
            </w:tcBorders>
          </w:tcPr>
          <w:p w14:paraId="1233B39B" w14:textId="77777777" w:rsidR="00813399" w:rsidRPr="00DF77C7" w:rsidRDefault="00813399" w:rsidP="00B65003">
            <w:pPr>
              <w:pStyle w:val="Tabletext"/>
              <w:rPr>
                <w:lang w:val="en-GB"/>
              </w:rPr>
            </w:pPr>
          </w:p>
        </w:tc>
        <w:tc>
          <w:tcPr>
            <w:tcW w:w="1535" w:type="dxa"/>
            <w:tcBorders>
              <w:top w:val="single" w:sz="4" w:space="0" w:color="auto"/>
              <w:left w:val="single" w:sz="4" w:space="0" w:color="auto"/>
              <w:bottom w:val="single" w:sz="4" w:space="0" w:color="auto"/>
              <w:right w:val="single" w:sz="4" w:space="0" w:color="auto"/>
            </w:tcBorders>
          </w:tcPr>
          <w:p w14:paraId="647E003F" w14:textId="77777777" w:rsidR="00813399" w:rsidRPr="00DF77C7" w:rsidRDefault="00813399" w:rsidP="00B65003">
            <w:pPr>
              <w:pStyle w:val="Tabletext"/>
              <w:rPr>
                <w:lang w:val="en-GB"/>
              </w:rPr>
            </w:pPr>
          </w:p>
        </w:tc>
        <w:tc>
          <w:tcPr>
            <w:tcW w:w="1074" w:type="dxa"/>
            <w:tcBorders>
              <w:top w:val="single" w:sz="4" w:space="0" w:color="auto"/>
              <w:left w:val="single" w:sz="4" w:space="0" w:color="auto"/>
              <w:bottom w:val="single" w:sz="4" w:space="0" w:color="auto"/>
              <w:right w:val="single" w:sz="4" w:space="0" w:color="auto"/>
            </w:tcBorders>
          </w:tcPr>
          <w:p w14:paraId="50DC60E7" w14:textId="77777777" w:rsidR="00813399" w:rsidRPr="00DF77C7" w:rsidRDefault="00813399" w:rsidP="00B65003">
            <w:pPr>
              <w:pStyle w:val="Tabletext"/>
              <w:rPr>
                <w:lang w:val="en-GB"/>
              </w:rPr>
            </w:pPr>
          </w:p>
        </w:tc>
      </w:tr>
    </w:tbl>
    <w:p w14:paraId="358A5AE0" w14:textId="77777777" w:rsidR="00B65003" w:rsidRPr="00DF77C7" w:rsidRDefault="00B65003" w:rsidP="00B65003">
      <w:pPr>
        <w:pStyle w:val="PGDNormal"/>
        <w:rPr>
          <w:highlight w:val="yellow"/>
          <w:lang w:val="en-GB"/>
        </w:rPr>
      </w:pPr>
    </w:p>
    <w:p w14:paraId="5A26FA8C" w14:textId="0BDE5500" w:rsidR="00813399" w:rsidRPr="00DF77C7" w:rsidRDefault="00E46E97" w:rsidP="00B65003">
      <w:pPr>
        <w:pStyle w:val="PGDNormal"/>
        <w:rPr>
          <w:rFonts w:eastAsia="Calibri"/>
          <w:highlight w:val="yellow"/>
          <w:lang w:val="en-GB"/>
        </w:rPr>
      </w:pPr>
      <w:r w:rsidRPr="00BC0FB3">
        <w:rPr>
          <w:highlight w:val="yellow"/>
          <w:lang w:val="en-GB"/>
        </w:rPr>
        <w:t>[[</w:t>
      </w:r>
      <w:r w:rsidR="00813399" w:rsidRPr="00BC0FB3">
        <w:rPr>
          <w:highlight w:val="yellow"/>
          <w:lang w:val="en-GB"/>
        </w:rPr>
        <w:t>I</w:t>
      </w:r>
      <w:r w:rsidR="00813399" w:rsidRPr="00DF77C7">
        <w:rPr>
          <w:highlight w:val="yellow"/>
          <w:lang w:val="en-GB"/>
        </w:rPr>
        <w:t>t is the responsibility of the provider organisation to ensure that all legal and governance requirements for using the PGD are met.</w:t>
      </w:r>
    </w:p>
    <w:p w14:paraId="2466BD41" w14:textId="77777777" w:rsidR="00813399" w:rsidRPr="00DF77C7" w:rsidRDefault="00813399" w:rsidP="00B65003">
      <w:pPr>
        <w:pStyle w:val="PGDNormal"/>
        <w:rPr>
          <w:highlight w:val="yellow"/>
          <w:lang w:val="en-GB"/>
        </w:rPr>
      </w:pPr>
      <w:r w:rsidRPr="00DF77C7">
        <w:rPr>
          <w:highlight w:val="yellow"/>
          <w:lang w:val="en-GB"/>
        </w:rPr>
        <w:t xml:space="preserve">To meet legal requirements, authorising organisations must add an Individual Practitioner Authorisation sheet or List of Authorised Practitioners. This varies according to local policy and how the service is managed but this should be a signature list or an individual agreement. </w:t>
      </w:r>
    </w:p>
    <w:p w14:paraId="3AD71782" w14:textId="17D110E3" w:rsidR="00813399" w:rsidRPr="00DF77C7" w:rsidRDefault="00813399" w:rsidP="00B65003">
      <w:pPr>
        <w:pStyle w:val="PGDNormal"/>
        <w:rPr>
          <w:highlight w:val="yellow"/>
          <w:lang w:val="en-GB"/>
        </w:rPr>
      </w:pPr>
      <w:r w:rsidRPr="00DF77C7">
        <w:rPr>
          <w:highlight w:val="yellow"/>
          <w:lang w:val="en-GB"/>
        </w:rPr>
        <w:lastRenderedPageBreak/>
        <w:t xml:space="preserve">PGDs do not remove inherent professional obligations or accountability. It is the responsibility of each professional to practice only within the bounds of their own competence and in accordance with their own Code of Professional Conduct.  Individual practitioners must declare that they have read and understood the Patient Group Direction and agree to supply/administer </w:t>
      </w:r>
      <w:r w:rsidR="009531BB">
        <w:rPr>
          <w:highlight w:val="yellow"/>
          <w:lang w:val="en-GB"/>
        </w:rPr>
        <w:t>medicine</w:t>
      </w:r>
      <w:r w:rsidRPr="00DF77C7">
        <w:rPr>
          <w:highlight w:val="yellow"/>
          <w:lang w:val="en-GB"/>
        </w:rPr>
        <w:t xml:space="preserve"> listed only in accordance with the PGD. </w:t>
      </w:r>
    </w:p>
    <w:p w14:paraId="6831A5E6" w14:textId="24B273E0" w:rsidR="00813399" w:rsidRPr="00DF77C7" w:rsidRDefault="00813399" w:rsidP="008762B8">
      <w:pPr>
        <w:pStyle w:val="PGDNormal"/>
        <w:rPr>
          <w:highlight w:val="yellow"/>
          <w:lang w:val="en-GB"/>
        </w:rPr>
      </w:pPr>
      <w:r w:rsidRPr="00DF77C7">
        <w:rPr>
          <w:highlight w:val="yellow"/>
          <w:lang w:val="en-GB"/>
        </w:rPr>
        <w:t>O</w:t>
      </w:r>
      <w:r w:rsidR="008762B8" w:rsidRPr="00DF77C7">
        <w:rPr>
          <w:highlight w:val="yellow"/>
          <w:lang w:val="en-GB"/>
        </w:rPr>
        <w:t>rganisations may also add</w:t>
      </w:r>
      <w:r w:rsidRPr="00DF77C7">
        <w:rPr>
          <w:highlight w:val="yellow"/>
          <w:lang w:val="en-GB"/>
        </w:rPr>
        <w:t>:</w:t>
      </w:r>
    </w:p>
    <w:p w14:paraId="53B6678F" w14:textId="61FBF7EF" w:rsidR="00813399" w:rsidRPr="008C6AC3" w:rsidRDefault="00813399" w:rsidP="008C6AC3">
      <w:pPr>
        <w:pStyle w:val="Bulletindent1"/>
        <w:rPr>
          <w:highlight w:val="yellow"/>
        </w:rPr>
      </w:pPr>
      <w:r w:rsidRPr="008C6AC3">
        <w:rPr>
          <w:highlight w:val="yellow"/>
        </w:rPr>
        <w:t xml:space="preserve">Local training and competency assessment documentation </w:t>
      </w:r>
    </w:p>
    <w:p w14:paraId="17AFAE38" w14:textId="5FC656C0" w:rsidR="00813399" w:rsidRPr="008C6AC3" w:rsidRDefault="00813399" w:rsidP="008C6AC3">
      <w:pPr>
        <w:pStyle w:val="Bulletindent1"/>
        <w:rPr>
          <w:highlight w:val="yellow"/>
        </w:rPr>
      </w:pPr>
      <w:r w:rsidRPr="008C6AC3">
        <w:rPr>
          <w:highlight w:val="yellow"/>
        </w:rPr>
        <w:t>Other supporting local guidance or information</w:t>
      </w:r>
    </w:p>
    <w:p w14:paraId="0FF3FC45" w14:textId="5E617158" w:rsidR="00762BFE" w:rsidRPr="00160B58" w:rsidRDefault="00813399" w:rsidP="00160B58">
      <w:pPr>
        <w:pStyle w:val="Bulletindent1"/>
        <w:rPr>
          <w:highlight w:val="yellow"/>
        </w:rPr>
      </w:pPr>
      <w:r w:rsidRPr="00160B58">
        <w:rPr>
          <w:highlight w:val="yellow"/>
        </w:rPr>
        <w:t>Links to local PGD Policy and other supporting guidance</w:t>
      </w:r>
      <w:r w:rsidR="00762BFE" w:rsidRPr="00160B58">
        <w:rPr>
          <w:highlight w:val="yellow"/>
        </w:rPr>
        <w:t xml:space="preserve"> </w:t>
      </w:r>
    </w:p>
    <w:p w14:paraId="35B5D425" w14:textId="580BF799" w:rsidR="00813399" w:rsidRPr="00293756" w:rsidRDefault="00813399" w:rsidP="00160B58">
      <w:pPr>
        <w:pStyle w:val="Bulletindent1"/>
        <w:rPr>
          <w:highlight w:val="yellow"/>
        </w:rPr>
      </w:pPr>
      <w:r w:rsidRPr="00293756">
        <w:rPr>
          <w:highlight w:val="yellow"/>
        </w:rPr>
        <w:t xml:space="preserve">Audit requirements </w:t>
      </w:r>
    </w:p>
    <w:p w14:paraId="1B986D2E" w14:textId="7E6280B1" w:rsidR="00813399" w:rsidRPr="00DF77C7" w:rsidRDefault="00813399" w:rsidP="008762B8">
      <w:pPr>
        <w:pStyle w:val="PGDNormal"/>
        <w:rPr>
          <w:lang w:val="en-GB"/>
        </w:rPr>
      </w:pPr>
      <w:r w:rsidRPr="00DF77C7">
        <w:rPr>
          <w:highlight w:val="yellow"/>
          <w:lang w:val="en-GB"/>
        </w:rPr>
        <w:t xml:space="preserve">Any reference to a Trust protocol (either clinical to be followed as part of the administration of </w:t>
      </w:r>
      <w:r w:rsidR="009531BB">
        <w:rPr>
          <w:highlight w:val="yellow"/>
          <w:lang w:val="en-GB"/>
        </w:rPr>
        <w:t xml:space="preserve">the medicine named </w:t>
      </w:r>
      <w:r w:rsidRPr="00DF77C7">
        <w:rPr>
          <w:highlight w:val="yellow"/>
          <w:lang w:val="en-GB"/>
        </w:rPr>
        <w:t>with the PGD or for any other purpose) must be referenced and hyperlinked to ensure the practitioner acting under the PGD has direct access to the protocol for reference.</w:t>
      </w:r>
      <w:r w:rsidR="00E46E97" w:rsidRPr="00BC0FB3">
        <w:rPr>
          <w:highlight w:val="yellow"/>
          <w:lang w:val="en-GB"/>
        </w:rPr>
        <w:t>]]</w:t>
      </w:r>
    </w:p>
    <w:p w14:paraId="41A13A1A" w14:textId="2FC4B1AE" w:rsidR="007A1448" w:rsidRPr="00DF77C7" w:rsidRDefault="007A1448" w:rsidP="008762B8">
      <w:pPr>
        <w:pStyle w:val="Heading1"/>
      </w:pPr>
      <w:r w:rsidRPr="00DF77C7">
        <w:br w:type="page"/>
      </w:r>
      <w:bookmarkStart w:id="3" w:name="Table2"/>
      <w:r w:rsidR="004C39C3">
        <w:lastRenderedPageBreak/>
        <w:t>Characteristics of staff</w:t>
      </w:r>
    </w:p>
    <w:p w14:paraId="24B546B6" w14:textId="16A38270" w:rsidR="00BB2C75" w:rsidRPr="00DF77C7" w:rsidRDefault="00BB2C75" w:rsidP="00BB2C75">
      <w:pPr>
        <w:pStyle w:val="PGDNormal"/>
        <w:rPr>
          <w:lang w:val="en-GB"/>
        </w:rPr>
      </w:pPr>
      <w:r w:rsidRPr="00DF77C7">
        <w:rPr>
          <w:lang w:val="en-GB"/>
        </w:rPr>
        <w:t>The decision to administer any</w:t>
      </w:r>
      <w:r w:rsidR="009531BB">
        <w:rPr>
          <w:lang w:val="en-GB"/>
        </w:rPr>
        <w:t xml:space="preserve"> medicine</w:t>
      </w:r>
      <w:r w:rsidRPr="00DF77C7">
        <w:rPr>
          <w:lang w:val="en-GB"/>
        </w:rPr>
        <w:t xml:space="preserve"> rests with the individual registered practitioner who must abide by the PGD and any associated organisation policies</w:t>
      </w:r>
      <w:r w:rsidR="00F825C4">
        <w:rPr>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f training and competency requirements."/>
        <w:tblDescription w:val="This table details the training and competency required by registered healthcare professionals to work under this PGD. It includes rows for qualifications and professional registration, initial training, competency assessment and ongoing training and competency."/>
      </w:tblPr>
      <w:tblGrid>
        <w:gridCol w:w="2591"/>
        <w:gridCol w:w="5904"/>
      </w:tblGrid>
      <w:tr w:rsidR="00B81529" w:rsidRPr="00DF77C7" w14:paraId="26A06832" w14:textId="77777777">
        <w:tc>
          <w:tcPr>
            <w:tcW w:w="1525" w:type="pct"/>
            <w:tcBorders>
              <w:top w:val="single" w:sz="4" w:space="0" w:color="auto"/>
              <w:left w:val="single" w:sz="4" w:space="0" w:color="auto"/>
              <w:bottom w:val="single" w:sz="4" w:space="0" w:color="auto"/>
              <w:right w:val="single" w:sz="4" w:space="0" w:color="auto"/>
            </w:tcBorders>
          </w:tcPr>
          <w:p w14:paraId="627BE3CB" w14:textId="77777777" w:rsidR="00B81529" w:rsidRPr="00D131FF" w:rsidRDefault="00B81529" w:rsidP="00D131FF">
            <w:pPr>
              <w:pStyle w:val="TableHeaderRow"/>
              <w:rPr>
                <w:rStyle w:val="TableHeaderColumn"/>
                <w:b/>
                <w:bCs/>
                <w:sz w:val="22"/>
              </w:rPr>
            </w:pPr>
            <w:r w:rsidRPr="00D131FF">
              <w:rPr>
                <w:rStyle w:val="TableHeaderColumn"/>
                <w:b/>
                <w:bCs/>
                <w:sz w:val="22"/>
              </w:rPr>
              <w:t>Qualifications and professional registration</w:t>
            </w:r>
          </w:p>
        </w:tc>
        <w:tc>
          <w:tcPr>
            <w:tcW w:w="3475" w:type="pct"/>
            <w:tcBorders>
              <w:top w:val="single" w:sz="4" w:space="0" w:color="auto"/>
              <w:left w:val="single" w:sz="4" w:space="0" w:color="auto"/>
              <w:bottom w:val="single" w:sz="4" w:space="0" w:color="auto"/>
              <w:right w:val="single" w:sz="4" w:space="0" w:color="auto"/>
            </w:tcBorders>
          </w:tcPr>
          <w:p w14:paraId="0DA88DBE" w14:textId="77777777" w:rsidR="00311DC1" w:rsidRPr="0013012A" w:rsidRDefault="00311DC1" w:rsidP="00311DC1">
            <w:pPr>
              <w:pStyle w:val="Tabletext"/>
              <w:rPr>
                <w:lang w:val="en-GB"/>
              </w:rPr>
            </w:pPr>
            <w:r w:rsidRPr="0013012A">
              <w:rPr>
                <w:lang w:val="en-GB"/>
              </w:rPr>
              <w:t>Current contract of employment within a Local Authority or NHS commissioned service or an NHS Trust/organisation.</w:t>
            </w:r>
          </w:p>
          <w:p w14:paraId="111D2851" w14:textId="47688629" w:rsidR="00B81529" w:rsidRPr="00AF5E60" w:rsidRDefault="00ED0DF0" w:rsidP="00311DC1">
            <w:pPr>
              <w:pStyle w:val="Tabletext"/>
              <w:rPr>
                <w:highlight w:val="green"/>
                <w:lang w:val="en-GB"/>
              </w:rPr>
            </w:pPr>
            <w:r w:rsidRPr="00ED0DF0">
              <w:rPr>
                <w:lang w:val="en-GB"/>
              </w:rPr>
              <w:t xml:space="preserve">Registered healthcare professional </w:t>
            </w:r>
            <w:r>
              <w:rPr>
                <w:lang w:val="en-GB"/>
              </w:rPr>
              <w:t xml:space="preserve">(HCP) </w:t>
            </w:r>
            <w:r w:rsidRPr="00ED0DF0">
              <w:rPr>
                <w:lang w:val="en-GB"/>
              </w:rPr>
              <w:t xml:space="preserve">listed in </w:t>
            </w:r>
            <w:hyperlink r:id="rId13" w:tgtFrame="_blank" w:tooltip="Original URL: https://www.legislation.gov.uk/uksi/2012/1916/schedule/16. Click or tap if you trust this link." w:history="1">
              <w:r w:rsidRPr="00ED0DF0">
                <w:rPr>
                  <w:rStyle w:val="Hyperlink"/>
                  <w:lang w:val="en-GB"/>
                </w:rPr>
                <w:t>The Human Medicines Regulation 2012, Schedule 16 Part 4 legislation</w:t>
              </w:r>
            </w:hyperlink>
            <w:r w:rsidRPr="00ED0DF0">
              <w:rPr>
                <w:lang w:val="en-GB"/>
              </w:rPr>
              <w:t xml:space="preserve"> as able to practice under Patient Group Directions.  </w:t>
            </w:r>
          </w:p>
        </w:tc>
      </w:tr>
      <w:tr w:rsidR="00B81529" w:rsidRPr="00DF77C7" w14:paraId="06CF6755" w14:textId="77777777">
        <w:tc>
          <w:tcPr>
            <w:tcW w:w="1525" w:type="pct"/>
            <w:tcBorders>
              <w:top w:val="single" w:sz="4" w:space="0" w:color="auto"/>
              <w:left w:val="single" w:sz="4" w:space="0" w:color="auto"/>
              <w:bottom w:val="single" w:sz="4" w:space="0" w:color="auto"/>
              <w:right w:val="single" w:sz="4" w:space="0" w:color="auto"/>
            </w:tcBorders>
          </w:tcPr>
          <w:p w14:paraId="72CA058D" w14:textId="77777777" w:rsidR="00B81529" w:rsidRPr="00DF77C7" w:rsidRDefault="00B81529" w:rsidP="00D131FF">
            <w:pPr>
              <w:pStyle w:val="TableHeaderRow"/>
              <w:rPr>
                <w:rStyle w:val="TableHeaderColumn"/>
              </w:rPr>
            </w:pPr>
            <w:r w:rsidRPr="00D131FF">
              <w:rPr>
                <w:rStyle w:val="TableHeaderColumn"/>
                <w:b/>
                <w:bCs/>
                <w:sz w:val="22"/>
              </w:rPr>
              <w:t>Initial training</w:t>
            </w:r>
          </w:p>
        </w:tc>
        <w:tc>
          <w:tcPr>
            <w:tcW w:w="3475" w:type="pct"/>
            <w:tcBorders>
              <w:top w:val="single" w:sz="4" w:space="0" w:color="auto"/>
              <w:left w:val="single" w:sz="4" w:space="0" w:color="auto"/>
              <w:bottom w:val="single" w:sz="4" w:space="0" w:color="auto"/>
              <w:right w:val="single" w:sz="4" w:space="0" w:color="auto"/>
            </w:tcBorders>
          </w:tcPr>
          <w:p w14:paraId="763C4D3A" w14:textId="051BED93" w:rsidR="00446FC4" w:rsidRDefault="00446FC4" w:rsidP="00FE6E1E">
            <w:pPr>
              <w:pStyle w:val="Tabletext"/>
            </w:pPr>
            <w:r w:rsidRPr="00446FC4">
              <w:t xml:space="preserve">The registered </w:t>
            </w:r>
            <w:r w:rsidR="00ED0DF0">
              <w:t>HCP</w:t>
            </w:r>
            <w:r w:rsidRPr="00446FC4">
              <w:t xml:space="preserve"> authorised to operate under this PGD must have undertaken appropriate education and training and successfully completed the competencies to undertake clinical assessment of patients ensuring safe provision of the medicines listed in accordance with local policy. </w:t>
            </w:r>
          </w:p>
          <w:p w14:paraId="174A6EB8" w14:textId="77777777" w:rsidR="00446FC4" w:rsidRDefault="00446FC4" w:rsidP="00FE6E1E">
            <w:pPr>
              <w:pStyle w:val="Tabletext"/>
            </w:pPr>
          </w:p>
          <w:p w14:paraId="6099B230" w14:textId="351F700A" w:rsidR="001E231E" w:rsidRPr="001E231E" w:rsidRDefault="001E231E" w:rsidP="001E231E">
            <w:pPr>
              <w:pStyle w:val="Tabletext"/>
            </w:pPr>
            <w:r w:rsidRPr="001E231E">
              <w:t xml:space="preserve">Recommended requirement for training would be successful completion of a relevant module/course accredited or endorsed by the </w:t>
            </w:r>
            <w:r w:rsidR="00387474">
              <w:t>Co</w:t>
            </w:r>
            <w:r w:rsidRPr="001E231E">
              <w:t xml:space="preserve">SRH, CPPE or a university or as advised in the RCN training directory. In addition, completion of the </w:t>
            </w:r>
            <w:r w:rsidR="00387474">
              <w:t>Co</w:t>
            </w:r>
            <w:r w:rsidRPr="001E231E">
              <w:t xml:space="preserve">SRH Letter of competence (LOC) in Subdermal implants (LOC SDI-IR/LOC SDI-IO) or locally agreed additional training and been assessed as competent at the insertion and/or removal of the subdermal implant which should also include training and been assessed as competent in the administration of lidocaine. </w:t>
            </w:r>
          </w:p>
          <w:p w14:paraId="2F9CB17B" w14:textId="77777777" w:rsidR="00822895" w:rsidRDefault="00822895" w:rsidP="00FE6E1E">
            <w:pPr>
              <w:pStyle w:val="Tabletext"/>
            </w:pPr>
          </w:p>
          <w:p w14:paraId="287A58BA" w14:textId="3D62F725" w:rsidR="00A61B14" w:rsidRDefault="00CE57EC" w:rsidP="00FE6E1E">
            <w:pPr>
              <w:pStyle w:val="Tabletext"/>
              <w:rPr>
                <w:rStyle w:val="Hyperlink"/>
              </w:rPr>
            </w:pPr>
            <w:r>
              <w:t xml:space="preserve">HCP </w:t>
            </w:r>
            <w:r w:rsidR="00FE6E1E">
              <w:t xml:space="preserve">has undertaken appropriate training for working under PGDs for the supply and administration of medicines.  Recommended training - </w:t>
            </w:r>
            <w:hyperlink r:id="rId14" w:history="1">
              <w:r w:rsidR="00FE6E1E" w:rsidRPr="00FE6E1E">
                <w:rPr>
                  <w:rStyle w:val="Hyperlink"/>
                </w:rPr>
                <w:t>eLfH PGD elearning programme</w:t>
              </w:r>
            </w:hyperlink>
            <w:r w:rsidR="00FE6E1E" w:rsidRPr="00FE6E1E">
              <w:rPr>
                <w:rStyle w:val="Hyperlink"/>
              </w:rPr>
              <w:t xml:space="preserve"> </w:t>
            </w:r>
          </w:p>
          <w:p w14:paraId="5CA952DE" w14:textId="77777777" w:rsidR="00064511" w:rsidRDefault="00064511" w:rsidP="00FE6E1E">
            <w:pPr>
              <w:pStyle w:val="Tabletext"/>
              <w:rPr>
                <w:rStyle w:val="Hyperlink"/>
                <w:highlight w:val="cyan"/>
              </w:rPr>
            </w:pPr>
          </w:p>
          <w:p w14:paraId="120F82AE" w14:textId="3591530D" w:rsidR="001E231E" w:rsidRPr="001E231E" w:rsidRDefault="001E231E" w:rsidP="001E231E">
            <w:pPr>
              <w:pStyle w:val="Tabletext"/>
              <w:rPr>
                <w:lang w:val="en-GB"/>
              </w:rPr>
            </w:pPr>
            <w:r w:rsidRPr="001E231E">
              <w:rPr>
                <w:lang w:val="en-GB"/>
              </w:rPr>
              <w:t xml:space="preserve">The healthcare professional must keep up to date with current </w:t>
            </w:r>
            <w:r w:rsidR="00387474">
              <w:rPr>
                <w:lang w:val="en-GB"/>
              </w:rPr>
              <w:t>Co</w:t>
            </w:r>
            <w:r w:rsidRPr="001E231E">
              <w:rPr>
                <w:lang w:val="en-GB"/>
              </w:rPr>
              <w:t xml:space="preserve">SRH guidance relevant to the insertion/removal of the contraceptive implant including any relevant MHRA Drug Safety Updates. </w:t>
            </w:r>
          </w:p>
          <w:p w14:paraId="4F58CF2E" w14:textId="77777777" w:rsidR="00D45B99" w:rsidRPr="00FE6E1E" w:rsidRDefault="00D45B99" w:rsidP="00FE6E1E">
            <w:pPr>
              <w:pStyle w:val="Tabletext"/>
              <w:rPr>
                <w:rStyle w:val="Hyperlink"/>
                <w:highlight w:val="cyan"/>
              </w:rPr>
            </w:pPr>
          </w:p>
          <w:p w14:paraId="017F4CD6" w14:textId="128FFADD" w:rsidR="00B81529" w:rsidRDefault="00583216" w:rsidP="00A61B14">
            <w:pPr>
              <w:pStyle w:val="Tabletext"/>
            </w:pPr>
            <w:r w:rsidRPr="00446FC4">
              <w:t xml:space="preserve">The healthcare professional has completed training and is up to date with </w:t>
            </w:r>
            <w:r w:rsidRPr="00260CE7">
              <w:rPr>
                <w:highlight w:val="cyan"/>
              </w:rPr>
              <w:t>[</w:t>
            </w:r>
            <w:r w:rsidRPr="00446FC4">
              <w:rPr>
                <w:highlight w:val="cyan"/>
              </w:rPr>
              <w:t>service requirements/specification</w:t>
            </w:r>
            <w:r w:rsidRPr="00260CE7">
              <w:rPr>
                <w:highlight w:val="cyan"/>
              </w:rPr>
              <w:t>]</w:t>
            </w:r>
            <w:r w:rsidRPr="00446FC4">
              <w:t xml:space="preserve"> for safeguarding children and vulnerable adults. </w:t>
            </w:r>
            <w:r w:rsidRPr="00260CE7">
              <w:rPr>
                <w:highlight w:val="cyan"/>
              </w:rPr>
              <w:t>[</w:t>
            </w:r>
            <w:r w:rsidRPr="00446FC4">
              <w:rPr>
                <w:highlight w:val="cyan"/>
              </w:rPr>
              <w:t>amend as per local policy</w:t>
            </w:r>
            <w:r w:rsidRPr="00260CE7">
              <w:rPr>
                <w:highlight w:val="cyan"/>
              </w:rPr>
              <w:t>]</w:t>
            </w:r>
          </w:p>
          <w:p w14:paraId="70420755" w14:textId="77777777" w:rsidR="00583216" w:rsidRDefault="00583216" w:rsidP="00A61B14">
            <w:pPr>
              <w:pStyle w:val="Tabletext"/>
              <w:rPr>
                <w:lang w:val="en-GB"/>
              </w:rPr>
            </w:pPr>
          </w:p>
          <w:p w14:paraId="4B43E5B0" w14:textId="6BB29782" w:rsidR="00822895" w:rsidRPr="00DF77C7" w:rsidRDefault="00822895" w:rsidP="00A61B14">
            <w:pPr>
              <w:pStyle w:val="Tabletext"/>
              <w:rPr>
                <w:lang w:val="en-GB"/>
              </w:rPr>
            </w:pPr>
            <w:r w:rsidRPr="00822895">
              <w:rPr>
                <w:lang w:val="en-GB"/>
              </w:rPr>
              <w:t xml:space="preserve">The healthcare professional must ensure that they have an </w:t>
            </w:r>
            <w:r w:rsidR="001E231E" w:rsidRPr="00822895">
              <w:rPr>
                <w:lang w:val="en-GB"/>
              </w:rPr>
              <w:t>up-to-date</w:t>
            </w:r>
            <w:r w:rsidRPr="00822895">
              <w:rPr>
                <w:lang w:val="en-GB"/>
              </w:rPr>
              <w:t xml:space="preserve"> certificate for Basic Life Support (BLS) and anaphylaxis as required by the employing </w:t>
            </w:r>
            <w:r w:rsidR="001E231E">
              <w:rPr>
                <w:lang w:val="en-GB"/>
              </w:rPr>
              <w:t>T</w:t>
            </w:r>
            <w:r w:rsidRPr="00822895">
              <w:rPr>
                <w:lang w:val="en-GB"/>
              </w:rPr>
              <w:t>rust/organisation</w:t>
            </w:r>
          </w:p>
        </w:tc>
      </w:tr>
      <w:tr w:rsidR="00B81529" w:rsidRPr="00DF77C7" w14:paraId="15ADED8B" w14:textId="77777777">
        <w:tc>
          <w:tcPr>
            <w:tcW w:w="1525" w:type="pct"/>
            <w:tcBorders>
              <w:top w:val="single" w:sz="4" w:space="0" w:color="auto"/>
              <w:left w:val="single" w:sz="4" w:space="0" w:color="auto"/>
              <w:bottom w:val="single" w:sz="4" w:space="0" w:color="auto"/>
              <w:right w:val="single" w:sz="4" w:space="0" w:color="auto"/>
            </w:tcBorders>
          </w:tcPr>
          <w:p w14:paraId="5DBBEBEA" w14:textId="77777777" w:rsidR="00B81529" w:rsidRPr="00DF77C7" w:rsidRDefault="00B81529" w:rsidP="00D131FF">
            <w:pPr>
              <w:pStyle w:val="TableHeaderRow"/>
              <w:rPr>
                <w:rStyle w:val="TableHeaderColumn"/>
              </w:rPr>
            </w:pPr>
            <w:r w:rsidRPr="00D131FF">
              <w:rPr>
                <w:rStyle w:val="TableHeaderColumn"/>
                <w:b/>
                <w:bCs/>
                <w:sz w:val="22"/>
              </w:rPr>
              <w:lastRenderedPageBreak/>
              <w:t>Competency assessment</w:t>
            </w:r>
          </w:p>
        </w:tc>
        <w:tc>
          <w:tcPr>
            <w:tcW w:w="3475" w:type="pct"/>
            <w:tcBorders>
              <w:top w:val="single" w:sz="4" w:space="0" w:color="auto"/>
              <w:left w:val="single" w:sz="4" w:space="0" w:color="auto"/>
              <w:bottom w:val="single" w:sz="4" w:space="0" w:color="auto"/>
              <w:right w:val="single" w:sz="4" w:space="0" w:color="auto"/>
            </w:tcBorders>
          </w:tcPr>
          <w:p w14:paraId="325EC9F4" w14:textId="2DA94932" w:rsidR="001E231E" w:rsidRDefault="00822895" w:rsidP="008762B8">
            <w:pPr>
              <w:pStyle w:val="Tabletext"/>
            </w:pPr>
            <w:r w:rsidRPr="00822895">
              <w:t xml:space="preserve">Individuals operating under this PGD must be assessed as competent (see Appendix A) or complete a self-declaration of </w:t>
            </w:r>
            <w:r w:rsidR="001E231E" w:rsidRPr="00822895">
              <w:t>competence</w:t>
            </w:r>
            <w:r w:rsidRPr="00822895">
              <w:t xml:space="preserve"> </w:t>
            </w:r>
            <w:r w:rsidR="00741FB7" w:rsidRPr="004D0D87">
              <w:t>for etonogestrel implant insertion</w:t>
            </w:r>
            <w:r w:rsidR="0065557C">
              <w:t>/removal</w:t>
            </w:r>
            <w:r w:rsidR="00741FB7" w:rsidRPr="004D0D87">
              <w:t>.</w:t>
            </w:r>
          </w:p>
          <w:p w14:paraId="32665216" w14:textId="77777777" w:rsidR="004665F6" w:rsidRDefault="004665F6" w:rsidP="008762B8">
            <w:pPr>
              <w:pStyle w:val="Tabletext"/>
              <w:rPr>
                <w:lang w:val="en-GB"/>
              </w:rPr>
            </w:pPr>
          </w:p>
          <w:p w14:paraId="5719D930" w14:textId="64858628" w:rsidR="00B81529" w:rsidRPr="00DF77C7" w:rsidRDefault="00C373F2" w:rsidP="00655155">
            <w:pPr>
              <w:pStyle w:val="Tabletext"/>
              <w:rPr>
                <w:lang w:val="en-GB"/>
              </w:rPr>
            </w:pPr>
            <w:r>
              <w:t>Registered HCPs</w:t>
            </w:r>
            <w:r w:rsidR="008B2A57" w:rsidRPr="00DF77C7">
              <w:rPr>
                <w:lang w:val="en-GB"/>
              </w:rPr>
              <w:t xml:space="preserve"> </w:t>
            </w:r>
            <w:r w:rsidR="00B81529" w:rsidRPr="00DF77C7">
              <w:rPr>
                <w:lang w:val="en-GB"/>
              </w:rPr>
              <w:t>operating under this PGD are encouraged to review their competency using the</w:t>
            </w:r>
            <w:hyperlink r:id="rId15" w:history="1">
              <w:r w:rsidR="00B81529" w:rsidRPr="00F6120B">
                <w:rPr>
                  <w:rStyle w:val="Hyperlink"/>
                </w:rPr>
                <w:t xml:space="preserve"> NICE Competency Framework for health professionals using patient group directions</w:t>
              </w:r>
            </w:hyperlink>
            <w:r w:rsidR="000F52B4" w:rsidRPr="00F6120B">
              <w:rPr>
                <w:rStyle w:val="Hyperlink"/>
              </w:rPr>
              <w:t xml:space="preserve"> </w:t>
            </w:r>
          </w:p>
        </w:tc>
      </w:tr>
      <w:tr w:rsidR="00B81529" w:rsidRPr="00DF77C7" w14:paraId="25FEFD2D" w14:textId="77777777">
        <w:tc>
          <w:tcPr>
            <w:tcW w:w="1525" w:type="pct"/>
            <w:tcBorders>
              <w:top w:val="single" w:sz="4" w:space="0" w:color="auto"/>
              <w:left w:val="single" w:sz="4" w:space="0" w:color="auto"/>
              <w:bottom w:val="single" w:sz="4" w:space="0" w:color="auto"/>
              <w:right w:val="single" w:sz="4" w:space="0" w:color="auto"/>
            </w:tcBorders>
          </w:tcPr>
          <w:p w14:paraId="4C7E9E93" w14:textId="77777777" w:rsidR="00B81529" w:rsidRPr="00DF77C7" w:rsidRDefault="00B81529" w:rsidP="00D131FF">
            <w:pPr>
              <w:pStyle w:val="TableHeaderRow"/>
              <w:rPr>
                <w:rStyle w:val="TableHeaderColumn"/>
              </w:rPr>
            </w:pPr>
            <w:r w:rsidRPr="00D131FF">
              <w:rPr>
                <w:rStyle w:val="TableHeaderColumn"/>
                <w:b/>
                <w:bCs/>
                <w:sz w:val="22"/>
              </w:rPr>
              <w:t>Ongoing training and competency</w:t>
            </w:r>
          </w:p>
        </w:tc>
        <w:tc>
          <w:tcPr>
            <w:tcW w:w="3475" w:type="pct"/>
            <w:tcBorders>
              <w:top w:val="single" w:sz="4" w:space="0" w:color="auto"/>
              <w:left w:val="single" w:sz="4" w:space="0" w:color="auto"/>
              <w:bottom w:val="single" w:sz="4" w:space="0" w:color="auto"/>
              <w:right w:val="single" w:sz="4" w:space="0" w:color="auto"/>
            </w:tcBorders>
          </w:tcPr>
          <w:p w14:paraId="5599DF98" w14:textId="2757D0F4" w:rsidR="003E69CD" w:rsidRDefault="00C373F2" w:rsidP="008762B8">
            <w:pPr>
              <w:pStyle w:val="Tabletext"/>
              <w:rPr>
                <w:lang w:val="en-GB"/>
              </w:rPr>
            </w:pPr>
            <w:r>
              <w:t>Registered HCPs</w:t>
            </w:r>
            <w:r w:rsidR="003E69CD" w:rsidRPr="00DF77C7">
              <w:rPr>
                <w:lang w:val="en-GB"/>
              </w:rPr>
              <w:t xml:space="preserve"> operating under this PGD are personally responsible for ensuring they remain up to date with the use of </w:t>
            </w:r>
            <w:r w:rsidR="009531BB">
              <w:rPr>
                <w:lang w:val="en-GB"/>
              </w:rPr>
              <w:t>the medicine</w:t>
            </w:r>
            <w:r w:rsidR="003E69CD" w:rsidRPr="00DF77C7">
              <w:rPr>
                <w:lang w:val="en-GB"/>
              </w:rPr>
              <w:t xml:space="preserve"> included in the PGD - if any training needs are identified these should be discussed with the senior individual responsible for authorising </w:t>
            </w:r>
            <w:r>
              <w:rPr>
                <w:lang w:val="en-GB"/>
              </w:rPr>
              <w:t>staff</w:t>
            </w:r>
            <w:r w:rsidRPr="00DF77C7">
              <w:rPr>
                <w:lang w:val="en-GB"/>
              </w:rPr>
              <w:t xml:space="preserve"> </w:t>
            </w:r>
            <w:r w:rsidR="003E69CD" w:rsidRPr="00DF77C7">
              <w:rPr>
                <w:lang w:val="en-GB"/>
              </w:rPr>
              <w:t>to act under the PGD and further training provided as required.</w:t>
            </w:r>
          </w:p>
          <w:p w14:paraId="37B67CF6" w14:textId="77777777" w:rsidR="00655155" w:rsidRDefault="00655155" w:rsidP="008762B8">
            <w:pPr>
              <w:pStyle w:val="Tabletext"/>
              <w:rPr>
                <w:highlight w:val="cyan"/>
                <w:lang w:val="en-GB"/>
              </w:rPr>
            </w:pPr>
          </w:p>
          <w:p w14:paraId="3219E1FA" w14:textId="4C16D747" w:rsidR="00B81529" w:rsidRPr="00DF77C7" w:rsidRDefault="00B154E7" w:rsidP="00FE6E1E">
            <w:pPr>
              <w:pStyle w:val="Tabletext"/>
              <w:rPr>
                <w:lang w:val="en-GB"/>
              </w:rPr>
            </w:pPr>
            <w:r w:rsidRPr="00BC1A6C">
              <w:rPr>
                <w:highlight w:val="cyan"/>
                <w:lang w:val="en-GB"/>
              </w:rPr>
              <w:t>[</w:t>
            </w:r>
            <w:r w:rsidR="008B2A57">
              <w:rPr>
                <w:highlight w:val="cyan"/>
                <w:lang w:val="en-GB"/>
              </w:rPr>
              <w:t>Organisational</w:t>
            </w:r>
            <w:r w:rsidR="00B81529" w:rsidRPr="00DF77C7">
              <w:rPr>
                <w:highlight w:val="cyan"/>
                <w:lang w:val="en-GB"/>
              </w:rPr>
              <w:t xml:space="preserve"> </w:t>
            </w:r>
            <w:r w:rsidR="00FE6E1E">
              <w:rPr>
                <w:highlight w:val="cyan"/>
                <w:lang w:val="en-GB"/>
              </w:rPr>
              <w:t>PGD and</w:t>
            </w:r>
            <w:r w:rsidR="008B2A57">
              <w:rPr>
                <w:highlight w:val="cyan"/>
                <w:lang w:val="en-GB"/>
              </w:rPr>
              <w:t>/or</w:t>
            </w:r>
            <w:r w:rsidR="00B81529" w:rsidRPr="00DF77C7">
              <w:rPr>
                <w:highlight w:val="cyan"/>
                <w:lang w:val="en-GB"/>
              </w:rPr>
              <w:t xml:space="preserve"> medication training</w:t>
            </w:r>
            <w:r w:rsidR="008B2A57">
              <w:rPr>
                <w:highlight w:val="cyan"/>
                <w:lang w:val="en-GB"/>
              </w:rPr>
              <w:t xml:space="preserve"> </w:t>
            </w:r>
            <w:r w:rsidR="00B36F46">
              <w:rPr>
                <w:highlight w:val="cyan"/>
                <w:lang w:val="en-GB"/>
              </w:rPr>
              <w:t xml:space="preserve">as </w:t>
            </w:r>
            <w:r w:rsidR="00B36F46" w:rsidRPr="00DF77C7">
              <w:rPr>
                <w:highlight w:val="cyan"/>
                <w:lang w:val="en-GB"/>
              </w:rPr>
              <w:t>required</w:t>
            </w:r>
            <w:r w:rsidR="00B81529" w:rsidRPr="00DF77C7">
              <w:rPr>
                <w:highlight w:val="cyan"/>
                <w:lang w:val="en-GB"/>
              </w:rPr>
              <w:t xml:space="preserve"> by</w:t>
            </w:r>
            <w:r w:rsidR="008B2A57">
              <w:rPr>
                <w:highlight w:val="cyan"/>
                <w:lang w:val="en-GB"/>
              </w:rPr>
              <w:t xml:space="preserve"> employing Trust/</w:t>
            </w:r>
            <w:r w:rsidR="00B81529" w:rsidRPr="00DF77C7">
              <w:rPr>
                <w:highlight w:val="cyan"/>
                <w:lang w:val="en-GB"/>
              </w:rPr>
              <w:t xml:space="preserve"> organisation</w:t>
            </w:r>
            <w:r w:rsidR="00FE6E1E" w:rsidRPr="00BC1A6C">
              <w:rPr>
                <w:highlight w:val="cyan"/>
                <w:lang w:val="en-GB"/>
              </w:rPr>
              <w:t>]</w:t>
            </w:r>
          </w:p>
        </w:tc>
      </w:tr>
    </w:tbl>
    <w:p w14:paraId="6BC5A5DA" w14:textId="77777777" w:rsidR="004D29BE" w:rsidRPr="004D29BE" w:rsidRDefault="007A1448" w:rsidP="004D29BE">
      <w:pPr>
        <w:pStyle w:val="Heading1"/>
      </w:pPr>
      <w:r w:rsidRPr="00DF77C7">
        <w:br w:type="page"/>
      </w:r>
      <w:r w:rsidR="004D29BE" w:rsidRPr="004D29BE">
        <w:lastRenderedPageBreak/>
        <w:t>Clinical condition or situation to which this PGD applies</w:t>
      </w:r>
    </w:p>
    <w:tbl>
      <w:tblPr>
        <w:tblStyle w:val="TableGrid"/>
        <w:tblW w:w="8642" w:type="dxa"/>
        <w:tblLook w:val="04A0" w:firstRow="1" w:lastRow="0" w:firstColumn="1" w:lastColumn="0" w:noHBand="0" w:noVBand="1"/>
        <w:tblCaption w:val="Table of clinical condition relating to this PGD template"/>
        <w:tblDescription w:val="This table details the clinical condition or situation to which this PGD applies.  It consists of five rows which include the clinical conditon or situation applicable, inclusion criteria, exclusion criteria, cautions and arrangements for referral or action if an individual is excluded or declines treatment."/>
      </w:tblPr>
      <w:tblGrid>
        <w:gridCol w:w="2689"/>
        <w:gridCol w:w="5953"/>
      </w:tblGrid>
      <w:tr w:rsidR="00D36D23" w14:paraId="06FC28D1" w14:textId="77777777" w:rsidTr="1B980E21">
        <w:tc>
          <w:tcPr>
            <w:tcW w:w="2689" w:type="dxa"/>
          </w:tcPr>
          <w:p w14:paraId="7ABDE5EA" w14:textId="3B5A4183" w:rsidR="00D36D23" w:rsidRPr="005A6168" w:rsidRDefault="00D36D23" w:rsidP="00D131FF">
            <w:pPr>
              <w:pStyle w:val="TableHeaderRow"/>
              <w:rPr>
                <w:rStyle w:val="TableHeaderColumn"/>
              </w:rPr>
            </w:pPr>
            <w:r w:rsidRPr="00D131FF">
              <w:rPr>
                <w:rStyle w:val="TableHeaderColumn"/>
                <w:b/>
                <w:bCs/>
                <w:sz w:val="22"/>
              </w:rPr>
              <w:t>Clinical condition or situation to which this PGD applies</w:t>
            </w:r>
          </w:p>
        </w:tc>
        <w:tc>
          <w:tcPr>
            <w:tcW w:w="5953" w:type="dxa"/>
          </w:tcPr>
          <w:p w14:paraId="390677A5" w14:textId="1A67D83B" w:rsidR="001E231E" w:rsidRDefault="001E231E" w:rsidP="001E231E">
            <w:pPr>
              <w:pStyle w:val="Tabletext"/>
            </w:pPr>
            <w:r>
              <w:t xml:space="preserve">Local anaesthetic for insertion and/or removal of etonogestrel subdermal contraceptive implant. </w:t>
            </w:r>
          </w:p>
          <w:p w14:paraId="622A2C8E" w14:textId="3DE726A4" w:rsidR="00D36D23" w:rsidRDefault="00D36D23" w:rsidP="00867446">
            <w:pPr>
              <w:pStyle w:val="Bulletindent1"/>
              <w:numPr>
                <w:ilvl w:val="0"/>
                <w:numId w:val="0"/>
              </w:numPr>
              <w:ind w:left="720"/>
            </w:pPr>
          </w:p>
        </w:tc>
      </w:tr>
      <w:tr w:rsidR="00AE4F4B" w14:paraId="423D958D" w14:textId="77777777" w:rsidTr="1B980E21">
        <w:tc>
          <w:tcPr>
            <w:tcW w:w="2689" w:type="dxa"/>
          </w:tcPr>
          <w:p w14:paraId="12B69C9D" w14:textId="0A77D3DB" w:rsidR="00AE4F4B" w:rsidRPr="005A6168" w:rsidRDefault="003E69CD" w:rsidP="00D131FF">
            <w:pPr>
              <w:pStyle w:val="TableHeaderRow"/>
              <w:rPr>
                <w:rStyle w:val="TableHeaderColumn"/>
              </w:rPr>
            </w:pPr>
            <w:r w:rsidRPr="00D131FF">
              <w:rPr>
                <w:rStyle w:val="TableHeaderColumn"/>
                <w:b/>
                <w:bCs/>
                <w:sz w:val="22"/>
              </w:rPr>
              <w:t>Criteria for i</w:t>
            </w:r>
            <w:r w:rsidR="00CA3998" w:rsidRPr="00D131FF">
              <w:rPr>
                <w:rStyle w:val="TableHeaderColumn"/>
                <w:b/>
                <w:bCs/>
                <w:sz w:val="22"/>
              </w:rPr>
              <w:t>nclusion</w:t>
            </w:r>
            <w:r w:rsidR="00CA3998" w:rsidRPr="005A6168">
              <w:rPr>
                <w:rStyle w:val="TableHeaderColumn"/>
              </w:rPr>
              <w:t xml:space="preserve"> </w:t>
            </w:r>
          </w:p>
        </w:tc>
        <w:tc>
          <w:tcPr>
            <w:tcW w:w="5953" w:type="dxa"/>
          </w:tcPr>
          <w:p w14:paraId="7F9BF360" w14:textId="28437131" w:rsidR="002851D4" w:rsidRDefault="002851D4" w:rsidP="000C38D9">
            <w:pPr>
              <w:pStyle w:val="Bulletindent1"/>
            </w:pPr>
            <w:r w:rsidRPr="00487D9D">
              <w:t>Individual (age from menarche to 5</w:t>
            </w:r>
            <w:r w:rsidR="00822895">
              <w:t xml:space="preserve">5 </w:t>
            </w:r>
            <w:r w:rsidRPr="00487D9D">
              <w:t>years) presenting for contraception</w:t>
            </w:r>
            <w:r w:rsidR="000C38D9">
              <w:t xml:space="preserve"> </w:t>
            </w:r>
            <w:r w:rsidR="000C38D9" w:rsidRPr="000C38D9">
              <w:t>and who has no contraindications</w:t>
            </w:r>
          </w:p>
          <w:p w14:paraId="46730CCD" w14:textId="54C53DF0" w:rsidR="001E231E" w:rsidRPr="001E231E" w:rsidRDefault="001E231E" w:rsidP="001E231E">
            <w:pPr>
              <w:pStyle w:val="Bulletindent1"/>
            </w:pPr>
            <w:r w:rsidRPr="001E231E">
              <w:t xml:space="preserve">Any individual requiring the insertion and/or removal of etonogestrel subdermal contraceptive implant under the etonogestrel subdermal contraceptive implant PGD. Individuals requiring lidocaine for the insertion of a subdermal contraceptive implant should also meet the inclusion criteria of the </w:t>
            </w:r>
            <w:hyperlink r:id="rId16" w:history="1">
              <w:r w:rsidRPr="001E231E">
                <w:rPr>
                  <w:rStyle w:val="Hyperlink"/>
                </w:rPr>
                <w:t>etonogestrel subdermal contraceptive implant PGD which can be accessed on the SPS website.</w:t>
              </w:r>
            </w:hyperlink>
          </w:p>
          <w:p w14:paraId="02A2FFD7" w14:textId="166EE5AB" w:rsidR="00AE4F4B" w:rsidRDefault="002851D4" w:rsidP="000C38D9">
            <w:pPr>
              <w:pStyle w:val="Bulletindent1"/>
            </w:pPr>
            <w:r>
              <w:t>Informed c</w:t>
            </w:r>
            <w:r w:rsidRPr="00487D9D">
              <w:t xml:space="preserve">onsent given.  </w:t>
            </w:r>
          </w:p>
        </w:tc>
      </w:tr>
      <w:tr w:rsidR="00AE4F4B" w14:paraId="6FC007A9" w14:textId="77777777" w:rsidTr="1B980E21">
        <w:tc>
          <w:tcPr>
            <w:tcW w:w="2689" w:type="dxa"/>
          </w:tcPr>
          <w:p w14:paraId="4F9F0FC6" w14:textId="72CE5320" w:rsidR="00AE4F4B" w:rsidRPr="005A6168" w:rsidRDefault="003E69CD" w:rsidP="00D131FF">
            <w:pPr>
              <w:pStyle w:val="TableHeaderRow"/>
              <w:rPr>
                <w:rStyle w:val="TableHeaderColumn"/>
              </w:rPr>
            </w:pPr>
            <w:r w:rsidRPr="00D131FF">
              <w:rPr>
                <w:rStyle w:val="TableHeaderColumn"/>
                <w:b/>
                <w:bCs/>
                <w:sz w:val="22"/>
              </w:rPr>
              <w:t>Criteria for exclusion</w:t>
            </w:r>
          </w:p>
        </w:tc>
        <w:tc>
          <w:tcPr>
            <w:tcW w:w="5953" w:type="dxa"/>
          </w:tcPr>
          <w:p w14:paraId="6469961D" w14:textId="77777777" w:rsidR="00ED0DF0" w:rsidRDefault="00ED0DF0" w:rsidP="000C38D9">
            <w:pPr>
              <w:pStyle w:val="Bulletindent1"/>
            </w:pPr>
            <w:r>
              <w:t>Informed c</w:t>
            </w:r>
            <w:r w:rsidRPr="008F0796">
              <w:t xml:space="preserve">onsent not given.  </w:t>
            </w:r>
          </w:p>
          <w:p w14:paraId="07A69171" w14:textId="0B4E9302" w:rsidR="00617AA0" w:rsidRPr="00AF42D9" w:rsidRDefault="00617AA0" w:rsidP="000C38D9">
            <w:pPr>
              <w:pStyle w:val="Bulletindent1"/>
            </w:pPr>
            <w:r w:rsidRPr="00AF42D9">
              <w:t>Individuals under 16 years of age and assessed as not competent using Fraser Guidelines.</w:t>
            </w:r>
          </w:p>
          <w:p w14:paraId="059D5605" w14:textId="131AFA6A" w:rsidR="00617AA0" w:rsidRPr="00583C3F" w:rsidRDefault="00617AA0" w:rsidP="000C38D9">
            <w:pPr>
              <w:pStyle w:val="Bulletindent1"/>
            </w:pPr>
            <w:r w:rsidRPr="00AF42D9">
              <w:t>Individuals 16 years of age and over and assessed as lacking capacity to consent.</w:t>
            </w:r>
          </w:p>
          <w:p w14:paraId="49A0AF1F" w14:textId="2613C708" w:rsidR="001E231E" w:rsidRPr="001E231E" w:rsidRDefault="00617AA0" w:rsidP="001E231E">
            <w:pPr>
              <w:pStyle w:val="Bulletindent1"/>
            </w:pPr>
            <w:r w:rsidRPr="00CE57EC">
              <w:rPr>
                <w:rFonts w:eastAsia="Arial"/>
              </w:rPr>
              <w:t xml:space="preserve">Known hypersensitivity to an active ingredient or to any constituent of the product </w:t>
            </w:r>
            <w:r w:rsidRPr="00CE57EC">
              <w:t>– see the</w:t>
            </w:r>
            <w:r w:rsidR="00773410" w:rsidRPr="00CE57EC">
              <w:t xml:space="preserve"> </w:t>
            </w:r>
            <w:r w:rsidR="00773410" w:rsidRPr="00327018">
              <w:t>Summary of Product Characteristics</w:t>
            </w:r>
            <w:r w:rsidR="00CE57EC" w:rsidRPr="00327018">
              <w:t xml:space="preserve"> (SmPC) </w:t>
            </w:r>
            <w:r w:rsidR="00773410" w:rsidRPr="00327018">
              <w:t xml:space="preserve"> which can be accessed on </w:t>
            </w:r>
            <w:hyperlink r:id="rId17" w:history="1">
              <w:r w:rsidR="00327018" w:rsidRPr="00327018">
                <w:rPr>
                  <w:rStyle w:val="Hyperlink"/>
                  <w:kern w:val="2"/>
                </w:rPr>
                <w:t>the EMC website</w:t>
              </w:r>
            </w:hyperlink>
            <w:r w:rsidR="00327018">
              <w:rPr>
                <w:kern w:val="2"/>
              </w:rPr>
              <w:t xml:space="preserve"> </w:t>
            </w:r>
            <w:r w:rsidR="001E231E" w:rsidRPr="001E231E">
              <w:t>or other amide type anaesthetics</w:t>
            </w:r>
          </w:p>
          <w:p w14:paraId="67D46972" w14:textId="77777777" w:rsidR="001E231E" w:rsidRPr="001E231E" w:rsidRDefault="001E231E" w:rsidP="001E231E">
            <w:pPr>
              <w:pStyle w:val="Bulletindent1"/>
            </w:pPr>
            <w:r w:rsidRPr="001E231E">
              <w:t>Individual who had received a previous maximum infiltration of local anaesthetic within 4 hours</w:t>
            </w:r>
          </w:p>
          <w:p w14:paraId="53F71D12" w14:textId="77777777" w:rsidR="00CB4A2B" w:rsidRDefault="00617AA0" w:rsidP="00617AA0">
            <w:pPr>
              <w:pStyle w:val="Tabletext"/>
              <w:rPr>
                <w:b/>
                <w:bCs/>
              </w:rPr>
            </w:pPr>
            <w:r w:rsidRPr="00617AA0">
              <w:rPr>
                <w:b/>
                <w:bCs/>
              </w:rPr>
              <w:t>Cardiovascular disease</w:t>
            </w:r>
          </w:p>
          <w:p w14:paraId="22D6A30B" w14:textId="77777777" w:rsidR="001E231E" w:rsidRPr="001E231E" w:rsidRDefault="001E231E" w:rsidP="001E231E">
            <w:pPr>
              <w:pStyle w:val="Bulletindent1"/>
              <w:rPr>
                <w:lang w:val="en-US"/>
              </w:rPr>
            </w:pPr>
            <w:r w:rsidRPr="001E231E">
              <w:rPr>
                <w:lang w:val="en-US"/>
              </w:rPr>
              <w:t>Complete heart block</w:t>
            </w:r>
          </w:p>
          <w:p w14:paraId="1F39AB26" w14:textId="77777777" w:rsidR="001E231E" w:rsidRPr="001E231E" w:rsidRDefault="001E231E" w:rsidP="001E231E">
            <w:pPr>
              <w:pStyle w:val="Bulletindent1"/>
              <w:rPr>
                <w:lang w:val="en-US"/>
              </w:rPr>
            </w:pPr>
            <w:proofErr w:type="spellStart"/>
            <w:r w:rsidRPr="001E231E">
              <w:rPr>
                <w:lang w:val="en-US"/>
              </w:rPr>
              <w:t>Hypovolaemia</w:t>
            </w:r>
            <w:proofErr w:type="spellEnd"/>
          </w:p>
          <w:p w14:paraId="0856A0FD" w14:textId="77777777" w:rsidR="001E231E" w:rsidRPr="001E231E" w:rsidRDefault="001E231E" w:rsidP="001E231E">
            <w:pPr>
              <w:pStyle w:val="Tabletext"/>
              <w:rPr>
                <w:b/>
                <w:bCs/>
              </w:rPr>
            </w:pPr>
            <w:r w:rsidRPr="001E231E">
              <w:rPr>
                <w:b/>
                <w:bCs/>
              </w:rPr>
              <w:t>Other conditions</w:t>
            </w:r>
          </w:p>
          <w:p w14:paraId="242D0FB3" w14:textId="2EBB9FC1" w:rsidR="00617AA0" w:rsidRPr="00617AA0" w:rsidRDefault="001E231E" w:rsidP="001E231E">
            <w:pPr>
              <w:pStyle w:val="Bulletindent1"/>
            </w:pPr>
            <w:r w:rsidRPr="009223D8">
              <w:t>Porphyria</w:t>
            </w:r>
            <w:r w:rsidR="00E12E65" w:rsidRPr="009223D8">
              <w:t xml:space="preserve"> (with exception of known acute porph</w:t>
            </w:r>
            <w:r w:rsidR="00FD4A40" w:rsidRPr="009223D8">
              <w:t>yria,</w:t>
            </w:r>
            <w:r w:rsidR="00FD4A40" w:rsidRPr="1B980E21">
              <w:rPr>
                <w:color w:val="FF0000"/>
              </w:rPr>
              <w:t xml:space="preserve"> </w:t>
            </w:r>
            <w:hyperlink w:anchor="Cautions" w:history="1">
              <w:r w:rsidR="00FD4A40" w:rsidRPr="1B980E21">
                <w:rPr>
                  <w:rStyle w:val="Hyperlink"/>
                </w:rPr>
                <w:t>see cautions below</w:t>
              </w:r>
              <w:r w:rsidR="00632002" w:rsidRPr="1B980E21">
                <w:rPr>
                  <w:rStyle w:val="Hyperlink"/>
                </w:rPr>
                <w:t>.</w:t>
              </w:r>
            </w:hyperlink>
            <w:r w:rsidR="00632002" w:rsidRPr="1B980E21">
              <w:rPr>
                <w:color w:val="FF0000"/>
              </w:rPr>
              <w:t xml:space="preserve"> </w:t>
            </w:r>
            <w:r w:rsidR="00632002" w:rsidRPr="009223D8">
              <w:t xml:space="preserve">NB </w:t>
            </w:r>
            <w:r w:rsidR="00440BED" w:rsidRPr="009223D8">
              <w:t xml:space="preserve">acute </w:t>
            </w:r>
            <w:r w:rsidR="00632002" w:rsidRPr="009223D8">
              <w:t xml:space="preserve">porphyria is exclusion criteria for </w:t>
            </w:r>
            <w:r w:rsidR="00440BED" w:rsidRPr="009223D8">
              <w:t>implant</w:t>
            </w:r>
            <w:r w:rsidR="00FD4A40" w:rsidRPr="009223D8">
              <w:t>)</w:t>
            </w:r>
          </w:p>
        </w:tc>
      </w:tr>
      <w:tr w:rsidR="007043FB" w14:paraId="2086F951" w14:textId="77777777" w:rsidTr="1B980E21">
        <w:tc>
          <w:tcPr>
            <w:tcW w:w="2689" w:type="dxa"/>
          </w:tcPr>
          <w:p w14:paraId="34F2E318" w14:textId="7E1AEDD6" w:rsidR="007043FB" w:rsidRPr="005A6168" w:rsidRDefault="007043FB" w:rsidP="00D131FF">
            <w:pPr>
              <w:pStyle w:val="TableHeaderRow"/>
              <w:rPr>
                <w:rStyle w:val="TableHeaderColumn"/>
              </w:rPr>
            </w:pPr>
            <w:bookmarkStart w:id="4" w:name="Cautions"/>
            <w:bookmarkEnd w:id="4"/>
            <w:r w:rsidRPr="00D131FF">
              <w:rPr>
                <w:rStyle w:val="TableHeaderColumn"/>
                <w:b/>
                <w:bCs/>
                <w:sz w:val="22"/>
              </w:rPr>
              <w:t>Cautions including any relevant action to be taken</w:t>
            </w:r>
          </w:p>
        </w:tc>
        <w:tc>
          <w:tcPr>
            <w:tcW w:w="5953" w:type="dxa"/>
          </w:tcPr>
          <w:p w14:paraId="5A4AEB15" w14:textId="77777777" w:rsidR="007043FB" w:rsidRPr="00E269B0" w:rsidRDefault="007043FB" w:rsidP="00327018">
            <w:pPr>
              <w:pStyle w:val="Bulletindent1"/>
            </w:pPr>
            <w:r w:rsidRPr="00900154">
              <w:t>If the individual</w:t>
            </w:r>
            <w:r w:rsidRPr="00E269B0">
              <w:t xml:space="preserve"> is less than 16 years of age an assessment based on Fraser guidelines must be made and documented. </w:t>
            </w:r>
          </w:p>
          <w:p w14:paraId="07296B6F" w14:textId="77777777" w:rsidR="007043FB" w:rsidRPr="00E269B0" w:rsidRDefault="007043FB" w:rsidP="00327018">
            <w:pPr>
              <w:pStyle w:val="Bulletindent1"/>
            </w:pPr>
            <w:r w:rsidRPr="00E269B0">
              <w:t xml:space="preserve">If the individual is less than 13 years of age the healthcare professional should speak to local </w:t>
            </w:r>
            <w:r w:rsidRPr="00E269B0">
              <w:lastRenderedPageBreak/>
              <w:t>safeguarding lead and follow the local safeguarding policy.</w:t>
            </w:r>
          </w:p>
          <w:p w14:paraId="35247E94" w14:textId="77777777" w:rsidR="00327018" w:rsidRDefault="00327018" w:rsidP="00327018">
            <w:pPr>
              <w:pStyle w:val="Bulletindent1"/>
              <w:rPr>
                <w:rFonts w:eastAsiaTheme="minorHAnsi"/>
                <w:kern w:val="2"/>
                <w14:ligatures w14:val="standardContextual"/>
              </w:rPr>
            </w:pPr>
            <w:r>
              <w:rPr>
                <w:b/>
                <w:bCs/>
              </w:rPr>
              <w:t xml:space="preserve">Individuals who are breastfeeding.  </w:t>
            </w:r>
            <w:r>
              <w:t>The individual should be informed that small amounts of lidocaine may be excreted into the breast milk. The possibility of an allergic reaction in the infant, albeit remote, should be borne in mind when receiving lidocaine when breastfeeding.</w:t>
            </w:r>
          </w:p>
          <w:p w14:paraId="5418C5D0" w14:textId="341401BD" w:rsidR="00327018" w:rsidRDefault="00327018" w:rsidP="00327018">
            <w:pPr>
              <w:pStyle w:val="Bulletindent1"/>
              <w:rPr>
                <w:szCs w:val="24"/>
                <w:lang w:val="en-US"/>
              </w:rPr>
            </w:pPr>
            <w:r>
              <w:rPr>
                <w:lang w:val="en-US"/>
              </w:rPr>
              <w:t xml:space="preserve">The SmPC recommends use with caution in the following patient groups. Given the dose and route used, they are not excluded under this PGD. No additional monitoring is required. This is in line with </w:t>
            </w:r>
            <w:r w:rsidR="00387474">
              <w:rPr>
                <w:lang w:val="en-US"/>
              </w:rPr>
              <w:t>Co</w:t>
            </w:r>
            <w:r>
              <w:rPr>
                <w:lang w:val="en-US"/>
              </w:rPr>
              <w:t xml:space="preserve">SRH feedback. </w:t>
            </w:r>
          </w:p>
          <w:p w14:paraId="5569926E" w14:textId="77777777" w:rsidR="00327018" w:rsidRDefault="00327018" w:rsidP="00327018">
            <w:pPr>
              <w:pStyle w:val="Bulletindent1"/>
              <w:numPr>
                <w:ilvl w:val="1"/>
                <w:numId w:val="15"/>
              </w:numPr>
              <w:rPr>
                <w:lang w:val="en-US"/>
              </w:rPr>
            </w:pPr>
            <w:r>
              <w:rPr>
                <w:lang w:val="en-US"/>
              </w:rPr>
              <w:t>Bradycardia</w:t>
            </w:r>
          </w:p>
          <w:p w14:paraId="4E2365F2" w14:textId="77777777" w:rsidR="00327018" w:rsidRDefault="00327018" w:rsidP="00327018">
            <w:pPr>
              <w:pStyle w:val="Bulletindent1"/>
              <w:numPr>
                <w:ilvl w:val="1"/>
                <w:numId w:val="15"/>
              </w:numPr>
              <w:rPr>
                <w:lang w:val="en-US"/>
              </w:rPr>
            </w:pPr>
            <w:r>
              <w:rPr>
                <w:lang w:val="en-US"/>
              </w:rPr>
              <w:t>Congestive heart failure</w:t>
            </w:r>
          </w:p>
          <w:p w14:paraId="3F0AC28A" w14:textId="77777777" w:rsidR="00327018" w:rsidRDefault="00327018" w:rsidP="00327018">
            <w:pPr>
              <w:pStyle w:val="Bulletindent1"/>
              <w:numPr>
                <w:ilvl w:val="1"/>
                <w:numId w:val="15"/>
              </w:numPr>
              <w:rPr>
                <w:lang w:val="en-US"/>
              </w:rPr>
            </w:pPr>
            <w:r>
              <w:rPr>
                <w:lang w:val="en-US"/>
              </w:rPr>
              <w:t>Known acute porphyria</w:t>
            </w:r>
          </w:p>
          <w:p w14:paraId="1AD608DE" w14:textId="77777777" w:rsidR="00327018" w:rsidRDefault="00327018" w:rsidP="00327018">
            <w:pPr>
              <w:pStyle w:val="Bulletindent1"/>
              <w:numPr>
                <w:ilvl w:val="1"/>
                <w:numId w:val="15"/>
              </w:numPr>
            </w:pPr>
            <w:r>
              <w:t>Known epilepsy</w:t>
            </w:r>
          </w:p>
          <w:p w14:paraId="201EF33C" w14:textId="77777777" w:rsidR="00327018" w:rsidRDefault="00327018" w:rsidP="00327018">
            <w:pPr>
              <w:pStyle w:val="Bulletindent1"/>
              <w:numPr>
                <w:ilvl w:val="1"/>
                <w:numId w:val="15"/>
              </w:numPr>
              <w:rPr>
                <w:lang w:val="en-US"/>
              </w:rPr>
            </w:pPr>
            <w:r>
              <w:t>Known myasthenia gravis</w:t>
            </w:r>
          </w:p>
          <w:p w14:paraId="5E65FC51" w14:textId="77777777" w:rsidR="00327018" w:rsidRDefault="00327018" w:rsidP="00327018">
            <w:pPr>
              <w:pStyle w:val="Bulletindent1"/>
              <w:numPr>
                <w:ilvl w:val="1"/>
                <w:numId w:val="15"/>
              </w:numPr>
              <w:rPr>
                <w:lang w:val="en-US"/>
              </w:rPr>
            </w:pPr>
            <w:r>
              <w:rPr>
                <w:lang w:val="en-US"/>
              </w:rPr>
              <w:t xml:space="preserve">Impaired respiratory function </w:t>
            </w:r>
          </w:p>
          <w:p w14:paraId="64FEDD91" w14:textId="098DA01F" w:rsidR="007043FB" w:rsidRDefault="00327018" w:rsidP="00327018">
            <w:pPr>
              <w:pStyle w:val="Bulletindent1"/>
              <w:numPr>
                <w:ilvl w:val="1"/>
                <w:numId w:val="15"/>
              </w:numPr>
            </w:pPr>
            <w:r>
              <w:rPr>
                <w:lang w:val="en-US"/>
              </w:rPr>
              <w:t>Severe renal impairment (eGFR &lt;10ml/min/Stage 5)</w:t>
            </w:r>
          </w:p>
        </w:tc>
      </w:tr>
      <w:tr w:rsidR="007043FB" w14:paraId="6142EA67" w14:textId="77777777" w:rsidTr="1B980E21">
        <w:tc>
          <w:tcPr>
            <w:tcW w:w="2689" w:type="dxa"/>
          </w:tcPr>
          <w:p w14:paraId="751752A4" w14:textId="3BF2F402" w:rsidR="007043FB" w:rsidRPr="005A6168" w:rsidRDefault="007043FB" w:rsidP="00D131FF">
            <w:pPr>
              <w:pStyle w:val="TableHeaderRow"/>
              <w:rPr>
                <w:rStyle w:val="TableHeaderColumn"/>
              </w:rPr>
            </w:pPr>
            <w:r w:rsidRPr="00D131FF">
              <w:rPr>
                <w:rStyle w:val="TableHeaderColumn"/>
                <w:b/>
                <w:bCs/>
                <w:sz w:val="22"/>
              </w:rPr>
              <w:lastRenderedPageBreak/>
              <w:t>Actions to be taken if the individual is excluded or declines treatment</w:t>
            </w:r>
          </w:p>
        </w:tc>
        <w:tc>
          <w:tcPr>
            <w:tcW w:w="5953" w:type="dxa"/>
          </w:tcPr>
          <w:p w14:paraId="7B0FFC20" w14:textId="411E1AEB" w:rsidR="007043FB" w:rsidRDefault="007043FB" w:rsidP="007043FB">
            <w:pPr>
              <w:pStyle w:val="Bulletindent1"/>
            </w:pPr>
            <w:r>
              <w:t>Explain the reasons for exclusion to the individual and document in the consultation record.</w:t>
            </w:r>
          </w:p>
          <w:p w14:paraId="2F4854C2" w14:textId="5E20E73A" w:rsidR="007043FB" w:rsidRDefault="007043FB" w:rsidP="007043FB">
            <w:pPr>
              <w:pStyle w:val="Bulletindent1"/>
            </w:pPr>
            <w:r>
              <w:t>Record reason for decl</w:t>
            </w:r>
            <w:r w:rsidR="009E32F3">
              <w:t>in</w:t>
            </w:r>
            <w:r w:rsidR="003A6065">
              <w:t>e</w:t>
            </w:r>
            <w:r>
              <w:t xml:space="preserve"> in the consultation record.</w:t>
            </w:r>
          </w:p>
          <w:p w14:paraId="1ACA62F4" w14:textId="09209E25" w:rsidR="007043FB" w:rsidRDefault="00332380" w:rsidP="007043FB">
            <w:pPr>
              <w:pStyle w:val="Bulletindent1"/>
            </w:pPr>
            <w:r w:rsidRPr="00332380">
              <w:t>Where required refer the individual to a suitable health service provider if appropriate and/or provide them with information about further options.</w:t>
            </w:r>
          </w:p>
        </w:tc>
      </w:tr>
    </w:tbl>
    <w:p w14:paraId="33A25EBD" w14:textId="75A4AEE9" w:rsidR="00BB2599" w:rsidRDefault="00BB2599" w:rsidP="005A6168">
      <w:pPr>
        <w:pStyle w:val="PGDNormal"/>
      </w:pPr>
    </w:p>
    <w:p w14:paraId="035E86F2" w14:textId="61E18D71" w:rsidR="007A1448" w:rsidRDefault="00C25DE0" w:rsidP="000E466F">
      <w:pPr>
        <w:pStyle w:val="Heading1"/>
      </w:pPr>
      <w:r w:rsidRPr="00DF77C7">
        <w:t>D</w:t>
      </w:r>
      <w:r w:rsidR="007A1448" w:rsidRPr="00DF77C7">
        <w:t>e</w:t>
      </w:r>
      <w:r w:rsidR="003E69CD">
        <w:t>scription of treatment</w:t>
      </w:r>
    </w:p>
    <w:tbl>
      <w:tblPr>
        <w:tblStyle w:val="TableGrid"/>
        <w:tblpPr w:leftFromText="180" w:rightFromText="180" w:vertAnchor="text" w:tblpY="1"/>
        <w:tblOverlap w:val="never"/>
        <w:tblW w:w="8642" w:type="dxa"/>
        <w:tblLook w:val="04A0" w:firstRow="1" w:lastRow="0" w:firstColumn="1" w:lastColumn="0" w:noHBand="0" w:noVBand="1"/>
        <w:tblCaption w:val="Table including details of the treatment"/>
        <w:tblDescription w:val="This table provides details of the treatment included in the PGD template.  It consists of fourteen rows which include the name form and strength of the medicine, legal category, route or method of adminstration, off-label use, dose and quantity to be adminstered or supplied, duration of treatment, storage, drug interactions, identification and management of adverse effects, management and reporting of  adverse reactions,  written information for the individual or carer, follow-up treatment and records to be kept."/>
      </w:tblPr>
      <w:tblGrid>
        <w:gridCol w:w="3397"/>
        <w:gridCol w:w="5245"/>
      </w:tblGrid>
      <w:tr w:rsidR="00165DD9" w14:paraId="2B351AEC" w14:textId="77777777" w:rsidTr="00461139">
        <w:tc>
          <w:tcPr>
            <w:tcW w:w="3397" w:type="dxa"/>
          </w:tcPr>
          <w:p w14:paraId="6EB1838B" w14:textId="03E22B56" w:rsidR="00165DD9" w:rsidRPr="005A6168" w:rsidRDefault="00165DD9" w:rsidP="00461139">
            <w:pPr>
              <w:pStyle w:val="TableHeaderRow"/>
              <w:rPr>
                <w:rStyle w:val="TableHeaderColumn"/>
              </w:rPr>
            </w:pPr>
            <w:r w:rsidRPr="00D131FF">
              <w:rPr>
                <w:rStyle w:val="TableHeaderColumn"/>
                <w:b/>
                <w:bCs/>
                <w:sz w:val="22"/>
              </w:rPr>
              <w:t xml:space="preserve">Name, form and strength of </w:t>
            </w:r>
            <w:r w:rsidR="004A295D" w:rsidRPr="00D131FF">
              <w:rPr>
                <w:rStyle w:val="TableHeaderColumn"/>
                <w:b/>
                <w:bCs/>
                <w:sz w:val="22"/>
              </w:rPr>
              <w:t>medicine</w:t>
            </w:r>
          </w:p>
        </w:tc>
        <w:tc>
          <w:tcPr>
            <w:tcW w:w="5245" w:type="dxa"/>
          </w:tcPr>
          <w:p w14:paraId="2B104BB5" w14:textId="67AF3B86" w:rsidR="00165DD9" w:rsidRPr="003A6065" w:rsidRDefault="00327018" w:rsidP="00FD1D8C">
            <w:pPr>
              <w:pStyle w:val="Tabletext"/>
            </w:pPr>
            <w:r w:rsidRPr="00327018">
              <w:rPr>
                <w:lang w:val="en-GB"/>
              </w:rPr>
              <w:t>Lidocaine 1% w/v (10 mg in 1 mL) in 2mL, 5 mL or 10 mL ampoules</w:t>
            </w:r>
          </w:p>
        </w:tc>
      </w:tr>
      <w:tr w:rsidR="00165DD9" w14:paraId="6DAA0645" w14:textId="77777777" w:rsidTr="00461139">
        <w:tc>
          <w:tcPr>
            <w:tcW w:w="3397" w:type="dxa"/>
          </w:tcPr>
          <w:p w14:paraId="2F56A41B" w14:textId="05091A78" w:rsidR="00165DD9" w:rsidRPr="005A6168" w:rsidRDefault="00165DD9" w:rsidP="00461139">
            <w:pPr>
              <w:pStyle w:val="TableHeaderRow"/>
              <w:rPr>
                <w:rStyle w:val="TableHeaderColumn"/>
              </w:rPr>
            </w:pPr>
            <w:r w:rsidRPr="00D131FF">
              <w:rPr>
                <w:rStyle w:val="TableHeaderColumn"/>
                <w:b/>
                <w:bCs/>
                <w:sz w:val="22"/>
              </w:rPr>
              <w:t>Legal category</w:t>
            </w:r>
          </w:p>
        </w:tc>
        <w:tc>
          <w:tcPr>
            <w:tcW w:w="5245" w:type="dxa"/>
          </w:tcPr>
          <w:p w14:paraId="29E26784" w14:textId="38A505D5" w:rsidR="00165DD9" w:rsidRDefault="00165DD9" w:rsidP="00461139">
            <w:pPr>
              <w:pStyle w:val="Tabletext"/>
            </w:pPr>
            <w:r w:rsidRPr="008676A6">
              <w:t>P</w:t>
            </w:r>
            <w:r w:rsidR="00332380">
              <w:t>OM</w:t>
            </w:r>
          </w:p>
        </w:tc>
      </w:tr>
      <w:tr w:rsidR="00165DD9" w14:paraId="44E2B1CC" w14:textId="77777777" w:rsidTr="00461139">
        <w:tc>
          <w:tcPr>
            <w:tcW w:w="3397" w:type="dxa"/>
          </w:tcPr>
          <w:p w14:paraId="2EBF84AC" w14:textId="71F3565C" w:rsidR="004A295D" w:rsidRPr="004A295D" w:rsidRDefault="00165DD9" w:rsidP="00461139">
            <w:pPr>
              <w:pStyle w:val="TableHeaderRow"/>
              <w:rPr>
                <w:rStyle w:val="TableHeaderColumn"/>
              </w:rPr>
            </w:pPr>
            <w:r w:rsidRPr="00D131FF">
              <w:rPr>
                <w:rStyle w:val="TableHeaderColumn"/>
                <w:b/>
                <w:bCs/>
                <w:sz w:val="22"/>
              </w:rPr>
              <w:t>Route</w:t>
            </w:r>
            <w:r w:rsidR="009604EE" w:rsidRPr="00D131FF">
              <w:rPr>
                <w:rStyle w:val="TableHeaderColumn"/>
                <w:b/>
                <w:bCs/>
                <w:sz w:val="22"/>
              </w:rPr>
              <w:t xml:space="preserve"> or </w:t>
            </w:r>
            <w:r w:rsidRPr="00D131FF">
              <w:rPr>
                <w:rStyle w:val="TableHeaderColumn"/>
                <w:b/>
                <w:bCs/>
                <w:sz w:val="22"/>
              </w:rPr>
              <w:t>method of administration</w:t>
            </w:r>
          </w:p>
        </w:tc>
        <w:tc>
          <w:tcPr>
            <w:tcW w:w="5245" w:type="dxa"/>
          </w:tcPr>
          <w:p w14:paraId="04517ADA" w14:textId="0FCAD0E2" w:rsidR="004A295D" w:rsidRDefault="00327018" w:rsidP="00FD1D8C">
            <w:pPr>
              <w:pStyle w:val="Tabletext"/>
            </w:pPr>
            <w:r w:rsidRPr="00327018">
              <w:rPr>
                <w:lang w:val="en-GB"/>
              </w:rPr>
              <w:t>Subcutaneous or intradermal surface infiltration only</w:t>
            </w:r>
          </w:p>
        </w:tc>
      </w:tr>
      <w:tr w:rsidR="001A764B" w14:paraId="264CA183" w14:textId="77777777" w:rsidTr="00B3538C">
        <w:tc>
          <w:tcPr>
            <w:tcW w:w="3397" w:type="dxa"/>
          </w:tcPr>
          <w:p w14:paraId="011DED45" w14:textId="0D334062" w:rsidR="001A764B" w:rsidRPr="005A6168" w:rsidRDefault="001A764B" w:rsidP="001A764B">
            <w:pPr>
              <w:pStyle w:val="TableHeaderRow"/>
              <w:rPr>
                <w:rStyle w:val="TableHeaderColumn"/>
              </w:rPr>
            </w:pPr>
            <w:r w:rsidRPr="00D131FF">
              <w:rPr>
                <w:rStyle w:val="TableHeaderColumn"/>
                <w:b/>
                <w:bCs/>
                <w:sz w:val="22"/>
              </w:rPr>
              <w:t>Off label use</w:t>
            </w:r>
          </w:p>
        </w:tc>
        <w:tc>
          <w:tcPr>
            <w:tcW w:w="5245" w:type="dxa"/>
            <w:tcBorders>
              <w:top w:val="single" w:sz="4" w:space="0" w:color="auto"/>
              <w:left w:val="single" w:sz="4" w:space="0" w:color="auto"/>
              <w:bottom w:val="single" w:sz="4" w:space="0" w:color="auto"/>
              <w:right w:val="single" w:sz="4" w:space="0" w:color="auto"/>
            </w:tcBorders>
          </w:tcPr>
          <w:p w14:paraId="5857C5D0" w14:textId="37BF693F" w:rsidR="001A764B" w:rsidRDefault="001A764B" w:rsidP="001A764B">
            <w:pPr>
              <w:pStyle w:val="Tabletext"/>
              <w:rPr>
                <w:rFonts w:cstheme="minorBidi"/>
              </w:rPr>
            </w:pPr>
            <w:r>
              <w:t xml:space="preserve">Medicines should be stored according to the conditions detailed in the </w:t>
            </w:r>
            <w:hyperlink w:anchor="Storage" w:history="1">
              <w:r w:rsidRPr="00FD1D8C">
                <w:rPr>
                  <w:rStyle w:val="Hyperlink"/>
                </w:rPr>
                <w:t>Storage section below.</w:t>
              </w:r>
            </w:hyperlink>
            <w:r>
              <w:t xml:space="preserve"> However, in the event of an inadvertent or unavoidable deviation of these conditions the local pharmacy or Medicines Management team must be consulted.  Where medicines have been assessed </w:t>
            </w:r>
            <w:r>
              <w:lastRenderedPageBreak/>
              <w:t xml:space="preserve">by pharmacy/Medicines Management in accordance with national or specific product recommendations as appropriate for continued use this would constitute off-label administration under this PGD. The responsibility for the decision to release the affected medicines for use lies with pharmacy/Medicines Management. </w:t>
            </w:r>
          </w:p>
          <w:p w14:paraId="3A4C9474" w14:textId="77777777" w:rsidR="001A764B" w:rsidRDefault="001A764B" w:rsidP="001A764B">
            <w:pPr>
              <w:pStyle w:val="Tabletext"/>
              <w:rPr>
                <w:szCs w:val="24"/>
              </w:rPr>
            </w:pPr>
          </w:p>
          <w:p w14:paraId="74240E7C" w14:textId="26E80274" w:rsidR="001A764B" w:rsidRPr="003B61FD" w:rsidRDefault="001A764B" w:rsidP="001A764B">
            <w:pPr>
              <w:pStyle w:val="Tabletext"/>
              <w:rPr>
                <w:szCs w:val="22"/>
              </w:rPr>
            </w:pPr>
            <w:r>
              <w:t>Where a medicine is recommended off-label consider, as part of the consent process, informing the individual/parent/carer that the medicine is being offered in accordance with national guidance but that this is outside the product licence.</w:t>
            </w:r>
          </w:p>
        </w:tc>
      </w:tr>
      <w:tr w:rsidR="00165DD9" w14:paraId="27DDC201" w14:textId="77777777" w:rsidTr="00461139">
        <w:tc>
          <w:tcPr>
            <w:tcW w:w="3397" w:type="dxa"/>
          </w:tcPr>
          <w:p w14:paraId="47CBA637" w14:textId="26C43375" w:rsidR="00165DD9" w:rsidRPr="005A6168" w:rsidRDefault="00165DD9" w:rsidP="00461139">
            <w:pPr>
              <w:pStyle w:val="TableHeaderRow"/>
              <w:rPr>
                <w:rStyle w:val="TableHeaderColumn"/>
              </w:rPr>
            </w:pPr>
            <w:r w:rsidRPr="00D131FF">
              <w:rPr>
                <w:rStyle w:val="TableHeaderColumn"/>
                <w:b/>
                <w:bCs/>
                <w:sz w:val="22"/>
              </w:rPr>
              <w:lastRenderedPageBreak/>
              <w:t>Dose and frequency</w:t>
            </w:r>
            <w:r w:rsidR="005F17C5" w:rsidRPr="00D131FF">
              <w:rPr>
                <w:rStyle w:val="TableHeaderColumn"/>
                <w:b/>
                <w:bCs/>
                <w:sz w:val="22"/>
              </w:rPr>
              <w:t xml:space="preserve"> of administration</w:t>
            </w:r>
          </w:p>
        </w:tc>
        <w:tc>
          <w:tcPr>
            <w:tcW w:w="5245" w:type="dxa"/>
          </w:tcPr>
          <w:p w14:paraId="4471AA23" w14:textId="77777777" w:rsidR="00327018" w:rsidRDefault="00327018" w:rsidP="00327018">
            <w:pPr>
              <w:pStyle w:val="Tabletext"/>
            </w:pPr>
            <w:r>
              <w:rPr>
                <w:b/>
              </w:rPr>
              <w:t>Insertion:</w:t>
            </w:r>
            <w:r>
              <w:t xml:space="preserve"> </w:t>
            </w:r>
          </w:p>
          <w:p w14:paraId="0745B76A" w14:textId="617C3ECD" w:rsidR="00327018" w:rsidRDefault="00327018" w:rsidP="00327018">
            <w:pPr>
              <w:pStyle w:val="Bulletindent1"/>
              <w:rPr>
                <w:rFonts w:eastAsiaTheme="minorHAnsi"/>
                <w:kern w:val="2"/>
                <w14:ligatures w14:val="standardContextual"/>
              </w:rPr>
            </w:pPr>
            <w:r>
              <w:t>Initially 5-20mg (0.5-2ml)</w:t>
            </w:r>
            <w:r w:rsidR="008403C5">
              <w:t xml:space="preserve"> </w:t>
            </w:r>
            <w:r w:rsidR="008403C5" w:rsidRPr="008403C5">
              <w:t>titrated as required to reach sufficient anaesthesia of the area for implant insertion to proceed.</w:t>
            </w:r>
            <w:r>
              <w:t xml:space="preserve"> A further dose of up to 10mg (1ml) may be used if required to a total maximum dose of 30mg (3ml).</w:t>
            </w:r>
          </w:p>
          <w:p w14:paraId="189A248B" w14:textId="77777777" w:rsidR="00327018" w:rsidRDefault="00327018" w:rsidP="00327018">
            <w:pPr>
              <w:pStyle w:val="Tabletext"/>
            </w:pPr>
          </w:p>
          <w:p w14:paraId="68AFB95B" w14:textId="77777777" w:rsidR="00327018" w:rsidRDefault="00327018" w:rsidP="00327018">
            <w:pPr>
              <w:pStyle w:val="Tabletext"/>
            </w:pPr>
            <w:r>
              <w:rPr>
                <w:b/>
              </w:rPr>
              <w:t>Removal:</w:t>
            </w:r>
            <w:r>
              <w:t xml:space="preserve"> </w:t>
            </w:r>
          </w:p>
          <w:p w14:paraId="6C78A376" w14:textId="7942850D" w:rsidR="00327018" w:rsidRDefault="00327018" w:rsidP="00327018">
            <w:pPr>
              <w:pStyle w:val="Bulletindent1"/>
            </w:pPr>
            <w:r>
              <w:t>5-10mg (0.5-1ml)</w:t>
            </w:r>
            <w:r w:rsidR="00655CF4">
              <w:t xml:space="preserve"> </w:t>
            </w:r>
            <w:r w:rsidR="00655CF4" w:rsidRPr="00655CF4">
              <w:t>titrated as required to reach sufficient anaesthesia of the area for implant removal to proceed.</w:t>
            </w:r>
            <w:r>
              <w:t xml:space="preserve">  </w:t>
            </w:r>
          </w:p>
          <w:p w14:paraId="6B23E432" w14:textId="77777777" w:rsidR="00327018" w:rsidRDefault="00327018" w:rsidP="00327018">
            <w:pPr>
              <w:pStyle w:val="Tabletext"/>
            </w:pPr>
          </w:p>
          <w:p w14:paraId="6AB47447" w14:textId="5AF63598" w:rsidR="00B65EE5" w:rsidRDefault="00327018" w:rsidP="00327018">
            <w:pPr>
              <w:pStyle w:val="Tabletext"/>
            </w:pPr>
            <w:r>
              <w:rPr>
                <w:b/>
              </w:rPr>
              <w:t xml:space="preserve">Total maximum dose for concurrent removal and insertion is 40mg (4ml).   </w:t>
            </w:r>
            <w:bookmarkStart w:id="5" w:name="Drospirenone"/>
            <w:bookmarkEnd w:id="5"/>
          </w:p>
        </w:tc>
      </w:tr>
      <w:tr w:rsidR="00D01625" w14:paraId="13F94B4C" w14:textId="77777777" w:rsidTr="00461139">
        <w:tc>
          <w:tcPr>
            <w:tcW w:w="3397" w:type="dxa"/>
          </w:tcPr>
          <w:p w14:paraId="32C5C997" w14:textId="1D880791" w:rsidR="00D01625" w:rsidRPr="00D131FF" w:rsidRDefault="00D01625" w:rsidP="00461139">
            <w:pPr>
              <w:pStyle w:val="TableHeaderRow"/>
              <w:rPr>
                <w:rStyle w:val="TableHeaderColumn"/>
                <w:b/>
                <w:bCs/>
                <w:sz w:val="22"/>
              </w:rPr>
            </w:pPr>
            <w:r w:rsidRPr="00D131FF">
              <w:rPr>
                <w:rStyle w:val="TableHeaderColumn"/>
                <w:b/>
                <w:bCs/>
                <w:sz w:val="22"/>
              </w:rPr>
              <w:t>Duration of treatment</w:t>
            </w:r>
          </w:p>
        </w:tc>
        <w:tc>
          <w:tcPr>
            <w:tcW w:w="5245" w:type="dxa"/>
          </w:tcPr>
          <w:p w14:paraId="68D379EC" w14:textId="63CF0BDA" w:rsidR="00D01625" w:rsidRPr="00D01625" w:rsidRDefault="00327018" w:rsidP="00327018">
            <w:pPr>
              <w:pStyle w:val="Tabletext"/>
            </w:pPr>
            <w:r w:rsidRPr="00327018">
              <w:rPr>
                <w:rFonts w:eastAsia="Calibri"/>
              </w:rPr>
              <w:t>Single episode of care permitted under this PGD (i.e. insertion or removal only or concurrent removal and insertion).</w:t>
            </w:r>
          </w:p>
        </w:tc>
      </w:tr>
      <w:tr w:rsidR="00D01625" w14:paraId="065CA9C4" w14:textId="77777777" w:rsidTr="00461139">
        <w:tc>
          <w:tcPr>
            <w:tcW w:w="3397" w:type="dxa"/>
          </w:tcPr>
          <w:p w14:paraId="512EC661" w14:textId="59098817" w:rsidR="00D01625" w:rsidRPr="00D131FF" w:rsidRDefault="00D01625" w:rsidP="00461139">
            <w:pPr>
              <w:pStyle w:val="TableHeaderRow"/>
              <w:rPr>
                <w:rStyle w:val="TableHeaderColumn"/>
                <w:b/>
                <w:bCs/>
                <w:sz w:val="22"/>
              </w:rPr>
            </w:pPr>
            <w:bookmarkStart w:id="6" w:name="Storage"/>
            <w:bookmarkEnd w:id="6"/>
            <w:r w:rsidRPr="00D131FF">
              <w:rPr>
                <w:rStyle w:val="TableHeaderColumn"/>
                <w:b/>
                <w:bCs/>
                <w:sz w:val="22"/>
              </w:rPr>
              <w:t>Storage</w:t>
            </w:r>
          </w:p>
        </w:tc>
        <w:tc>
          <w:tcPr>
            <w:tcW w:w="5245" w:type="dxa"/>
          </w:tcPr>
          <w:p w14:paraId="0A7D5CC5" w14:textId="122CDBA7" w:rsidR="00D01625" w:rsidRPr="00B65EE5" w:rsidRDefault="00D01625" w:rsidP="00461139">
            <w:pPr>
              <w:pStyle w:val="Tabletext"/>
              <w:rPr>
                <w:b/>
                <w:bCs/>
              </w:rPr>
            </w:pPr>
            <w:r w:rsidRPr="005A6885">
              <w:rPr>
                <w:rFonts w:cs="Arial"/>
              </w:rPr>
              <w:t>Medicines must be stored securely according to national guidelines</w:t>
            </w:r>
            <w:r w:rsidR="00137E8C" w:rsidRPr="00137E8C">
              <w:rPr>
                <w:rFonts w:eastAsiaTheme="minorHAnsi" w:cs="Arial"/>
                <w:kern w:val="2"/>
                <w:sz w:val="20"/>
                <w:lang w:val="en-GB"/>
                <w14:ligatures w14:val="standardContextual"/>
              </w:rPr>
              <w:t xml:space="preserve"> </w:t>
            </w:r>
            <w:r w:rsidR="00137E8C" w:rsidRPr="00137E8C">
              <w:rPr>
                <w:rFonts w:cs="Arial"/>
                <w:lang w:val="en-GB"/>
              </w:rPr>
              <w:t xml:space="preserve">and in accordance with the </w:t>
            </w:r>
            <w:r w:rsidR="00137E8C" w:rsidRPr="00327018">
              <w:rPr>
                <w:rFonts w:cs="Arial"/>
                <w:lang w:val="en-GB"/>
              </w:rPr>
              <w:t xml:space="preserve">Summary of Product Characteristics (SmPC) which can be accessed on </w:t>
            </w:r>
            <w:hyperlink r:id="rId18" w:history="1">
              <w:r w:rsidR="00137E8C" w:rsidRPr="00327018">
                <w:rPr>
                  <w:rStyle w:val="Hyperlink"/>
                  <w:rFonts w:cs="Arial"/>
                  <w:lang w:val="en-GB"/>
                </w:rPr>
                <w:t>the EMC website</w:t>
              </w:r>
            </w:hyperlink>
          </w:p>
        </w:tc>
      </w:tr>
      <w:tr w:rsidR="00D01625" w14:paraId="26FFAD95" w14:textId="77777777" w:rsidTr="00461139">
        <w:tc>
          <w:tcPr>
            <w:tcW w:w="3397" w:type="dxa"/>
          </w:tcPr>
          <w:p w14:paraId="6EC1A50C" w14:textId="03F2E8EB" w:rsidR="00D01625" w:rsidRPr="00D131FF" w:rsidRDefault="00340DEE" w:rsidP="00461139">
            <w:pPr>
              <w:pStyle w:val="TableHeaderRow"/>
              <w:rPr>
                <w:rStyle w:val="TableHeaderColumn"/>
                <w:b/>
                <w:bCs/>
                <w:sz w:val="22"/>
              </w:rPr>
            </w:pPr>
            <w:r w:rsidRPr="00D131FF">
              <w:rPr>
                <w:rStyle w:val="TableHeaderColumn"/>
                <w:b/>
                <w:bCs/>
                <w:sz w:val="22"/>
              </w:rPr>
              <w:t>Drug interactions</w:t>
            </w:r>
          </w:p>
        </w:tc>
        <w:tc>
          <w:tcPr>
            <w:tcW w:w="5245" w:type="dxa"/>
          </w:tcPr>
          <w:p w14:paraId="51A3E2F4" w14:textId="77777777" w:rsidR="00137E8C" w:rsidRPr="00137E8C" w:rsidRDefault="00137E8C" w:rsidP="00137E8C">
            <w:pPr>
              <w:pStyle w:val="Tabletext"/>
              <w:rPr>
                <w:lang w:val="en-GB"/>
              </w:rPr>
            </w:pPr>
            <w:r w:rsidRPr="00137E8C">
              <w:rPr>
                <w:lang w:val="en-GB"/>
              </w:rPr>
              <w:t>All concurrent medications, including those purchased should be considered for interactions.</w:t>
            </w:r>
          </w:p>
          <w:p w14:paraId="59EA449A" w14:textId="77777777" w:rsidR="001A764B" w:rsidRPr="001A764B" w:rsidRDefault="001A764B" w:rsidP="001A764B">
            <w:pPr>
              <w:pStyle w:val="Tabletext"/>
            </w:pPr>
          </w:p>
          <w:p w14:paraId="0CCD9165" w14:textId="38E27540" w:rsidR="00327018" w:rsidRPr="00327018" w:rsidRDefault="00327018" w:rsidP="00327018">
            <w:pPr>
              <w:pStyle w:val="Tabletext"/>
              <w:rPr>
                <w:lang w:val="en-GB"/>
              </w:rPr>
            </w:pPr>
            <w:r w:rsidRPr="00327018">
              <w:rPr>
                <w:lang w:val="en-GB"/>
              </w:rPr>
              <w:t xml:space="preserve">A detailed list of drug interactions is available in the individual product SPC, which is available from </w:t>
            </w:r>
            <w:hyperlink r:id="rId19" w:history="1">
              <w:r w:rsidRPr="00327018">
                <w:rPr>
                  <w:rStyle w:val="Hyperlink"/>
                  <w:lang w:val="en-GB"/>
                </w:rPr>
                <w:t xml:space="preserve">the </w:t>
              </w:r>
              <w:r w:rsidR="00781089" w:rsidRPr="00781089">
                <w:rPr>
                  <w:rStyle w:val="Hyperlink"/>
                  <w:lang w:val="en-GB"/>
                </w:rPr>
                <w:t>EMC</w:t>
              </w:r>
              <w:r w:rsidRPr="00327018">
                <w:rPr>
                  <w:rStyle w:val="Hyperlink"/>
                  <w:lang w:val="en-GB"/>
                </w:rPr>
                <w:t xml:space="preserve"> website</w:t>
              </w:r>
            </w:hyperlink>
            <w:r w:rsidRPr="00327018">
              <w:rPr>
                <w:lang w:val="en-GB"/>
              </w:rPr>
              <w:t xml:space="preserve"> the </w:t>
            </w:r>
            <w:hyperlink r:id="rId20" w:history="1">
              <w:r w:rsidR="00781089" w:rsidRPr="00781089">
                <w:rPr>
                  <w:rStyle w:val="Hyperlink"/>
                  <w:lang w:val="en-GB"/>
                </w:rPr>
                <w:t xml:space="preserve">online </w:t>
              </w:r>
              <w:r w:rsidRPr="00327018">
                <w:rPr>
                  <w:rStyle w:val="Hyperlink"/>
                  <w:lang w:val="en-GB"/>
                </w:rPr>
                <w:t>BNF</w:t>
              </w:r>
            </w:hyperlink>
            <w:r w:rsidRPr="00327018">
              <w:rPr>
                <w:u w:val="single"/>
                <w:lang w:val="en-GB"/>
              </w:rPr>
              <w:t xml:space="preserve"> </w:t>
            </w:r>
            <w:r w:rsidRPr="00327018">
              <w:rPr>
                <w:lang w:val="en-GB"/>
              </w:rPr>
              <w:t xml:space="preserve">and, as this PGD supports the administration of hormonal contraception, </w:t>
            </w:r>
            <w:hyperlink r:id="rId21" w:history="1">
              <w:r w:rsidR="000B15CC">
                <w:rPr>
                  <w:rStyle w:val="Hyperlink"/>
                  <w:lang w:val="en-GB"/>
                </w:rPr>
                <w:t>C</w:t>
              </w:r>
              <w:proofErr w:type="spellStart"/>
              <w:r w:rsidR="000B15CC">
                <w:rPr>
                  <w:rStyle w:val="Hyperlink"/>
                </w:rPr>
                <w:t>oS</w:t>
              </w:r>
              <w:proofErr w:type="spellEnd"/>
              <w:r w:rsidRPr="00327018">
                <w:rPr>
                  <w:rStyle w:val="Hyperlink"/>
                  <w:lang w:val="en-GB"/>
                </w:rPr>
                <w:t xml:space="preserve">RH CEU Guidance: Drug Interactions with Hormonal Contraception (May 2022) | </w:t>
              </w:r>
              <w:r w:rsidR="00387474">
                <w:rPr>
                  <w:rStyle w:val="Hyperlink"/>
                  <w:lang w:val="en-GB"/>
                </w:rPr>
                <w:t>Co</w:t>
              </w:r>
              <w:r w:rsidRPr="00327018">
                <w:rPr>
                  <w:rStyle w:val="Hyperlink"/>
                  <w:lang w:val="en-GB"/>
                </w:rPr>
                <w:t>SRH</w:t>
              </w:r>
            </w:hyperlink>
            <w:r w:rsidRPr="00327018">
              <w:rPr>
                <w:lang w:val="en-GB"/>
              </w:rPr>
              <w:t xml:space="preserve"> </w:t>
            </w:r>
          </w:p>
          <w:p w14:paraId="154FF048" w14:textId="77777777" w:rsidR="001A764B" w:rsidRDefault="001A764B" w:rsidP="001A764B">
            <w:pPr>
              <w:pStyle w:val="Tabletext"/>
            </w:pPr>
          </w:p>
          <w:p w14:paraId="2C61A17A" w14:textId="77777777" w:rsidR="00781089" w:rsidRPr="00781089" w:rsidRDefault="00781089" w:rsidP="00781089">
            <w:pPr>
              <w:pStyle w:val="Tabletext"/>
            </w:pPr>
            <w:r w:rsidRPr="00781089">
              <w:rPr>
                <w:rFonts w:eastAsia="Arial"/>
              </w:rPr>
              <w:lastRenderedPageBreak/>
              <w:t>No clinically significant drug interactions are expected with lidocaine at the dose and route used within this PGD.</w:t>
            </w:r>
          </w:p>
          <w:p w14:paraId="44D2DFA2" w14:textId="77777777" w:rsidR="00781089" w:rsidRPr="001A764B" w:rsidRDefault="00781089" w:rsidP="001A764B">
            <w:pPr>
              <w:pStyle w:val="Tabletext"/>
            </w:pPr>
          </w:p>
          <w:p w14:paraId="15E5ABE2" w14:textId="36C1B2E1" w:rsidR="00D01625" w:rsidRPr="00C75F95" w:rsidRDefault="001A764B" w:rsidP="001A764B">
            <w:pPr>
              <w:pStyle w:val="Tabletext"/>
            </w:pPr>
            <w:r w:rsidRPr="001A764B">
              <w:rPr>
                <w:lang w:val="en-GB"/>
              </w:rPr>
              <w:t>Refer to a prescriber if any concern of a clinically significant drug interaction.</w:t>
            </w:r>
          </w:p>
        </w:tc>
      </w:tr>
      <w:tr w:rsidR="00D01625" w14:paraId="7EAB731D" w14:textId="77777777" w:rsidTr="00461139">
        <w:tc>
          <w:tcPr>
            <w:tcW w:w="3397" w:type="dxa"/>
          </w:tcPr>
          <w:p w14:paraId="4F5820C5" w14:textId="38681145" w:rsidR="00D01625" w:rsidRPr="00D131FF" w:rsidRDefault="00340DEE" w:rsidP="00461139">
            <w:pPr>
              <w:pStyle w:val="TableHeaderRow"/>
              <w:rPr>
                <w:rStyle w:val="TableHeaderColumn"/>
                <w:b/>
                <w:bCs/>
                <w:sz w:val="22"/>
              </w:rPr>
            </w:pPr>
            <w:r w:rsidRPr="00D131FF">
              <w:rPr>
                <w:rStyle w:val="TableHeaderColumn"/>
                <w:b/>
                <w:bCs/>
                <w:sz w:val="22"/>
              </w:rPr>
              <w:lastRenderedPageBreak/>
              <w:t>Identification and management of adverse reactions</w:t>
            </w:r>
          </w:p>
        </w:tc>
        <w:tc>
          <w:tcPr>
            <w:tcW w:w="5245" w:type="dxa"/>
          </w:tcPr>
          <w:p w14:paraId="06AA3D66" w14:textId="45EDE993" w:rsidR="00FF7A9A" w:rsidRDefault="00781089" w:rsidP="00461139">
            <w:pPr>
              <w:pStyle w:val="Tabletext"/>
              <w:rPr>
                <w:lang w:val="en-GB"/>
              </w:rPr>
            </w:pPr>
            <w:r w:rsidRPr="00327018">
              <w:rPr>
                <w:lang w:val="en-GB"/>
              </w:rPr>
              <w:t xml:space="preserve">A detailed list of </w:t>
            </w:r>
            <w:r>
              <w:rPr>
                <w:lang w:val="en-GB"/>
              </w:rPr>
              <w:t>adverse reactions</w:t>
            </w:r>
            <w:r w:rsidRPr="00327018">
              <w:rPr>
                <w:lang w:val="en-GB"/>
              </w:rPr>
              <w:t xml:space="preserve"> is available in the individual product SPC, which is available from </w:t>
            </w:r>
            <w:hyperlink r:id="rId22" w:history="1">
              <w:r w:rsidRPr="00327018">
                <w:rPr>
                  <w:rStyle w:val="Hyperlink"/>
                  <w:lang w:val="en-GB"/>
                </w:rPr>
                <w:t xml:space="preserve">the </w:t>
              </w:r>
              <w:r w:rsidRPr="00781089">
                <w:rPr>
                  <w:rStyle w:val="Hyperlink"/>
                  <w:lang w:val="en-GB"/>
                </w:rPr>
                <w:t>EMC</w:t>
              </w:r>
              <w:r w:rsidRPr="00327018">
                <w:rPr>
                  <w:rStyle w:val="Hyperlink"/>
                  <w:lang w:val="en-GB"/>
                </w:rPr>
                <w:t xml:space="preserve"> website</w:t>
              </w:r>
            </w:hyperlink>
            <w:r w:rsidRPr="00327018">
              <w:rPr>
                <w:lang w:val="en-GB"/>
              </w:rPr>
              <w:t xml:space="preserve"> </w:t>
            </w:r>
            <w:r>
              <w:rPr>
                <w:lang w:val="en-GB"/>
              </w:rPr>
              <w:t>or t</w:t>
            </w:r>
            <w:r w:rsidRPr="00327018">
              <w:rPr>
                <w:lang w:val="en-GB"/>
              </w:rPr>
              <w:t xml:space="preserve">he </w:t>
            </w:r>
            <w:hyperlink r:id="rId23" w:history="1">
              <w:r w:rsidRPr="00781089">
                <w:rPr>
                  <w:rStyle w:val="Hyperlink"/>
                  <w:lang w:val="en-GB"/>
                </w:rPr>
                <w:t xml:space="preserve">online </w:t>
              </w:r>
              <w:r w:rsidRPr="00327018">
                <w:rPr>
                  <w:rStyle w:val="Hyperlink"/>
                  <w:lang w:val="en-GB"/>
                </w:rPr>
                <w:t>BNF</w:t>
              </w:r>
            </w:hyperlink>
          </w:p>
          <w:p w14:paraId="42FCC5DE" w14:textId="77777777" w:rsidR="00781089" w:rsidRDefault="00781089" w:rsidP="00A96AEA">
            <w:pPr>
              <w:pStyle w:val="Tabletext"/>
              <w:rPr>
                <w:b/>
                <w:lang w:val="en-GB"/>
              </w:rPr>
            </w:pPr>
          </w:p>
          <w:p w14:paraId="3BDF2DE0" w14:textId="77777777" w:rsidR="00781089" w:rsidRPr="00781089" w:rsidRDefault="00781089" w:rsidP="00781089">
            <w:pPr>
              <w:pStyle w:val="Tabletext"/>
            </w:pPr>
            <w:r w:rsidRPr="00781089">
              <w:t xml:space="preserve">Note when used for surface anaesthesia rapid and extensive absorption may result in systemic side effects.  </w:t>
            </w:r>
          </w:p>
          <w:p w14:paraId="7BEFC1AA" w14:textId="77777777" w:rsidR="00781089" w:rsidRPr="00781089" w:rsidRDefault="00781089" w:rsidP="00781089">
            <w:pPr>
              <w:pStyle w:val="Tabletext"/>
            </w:pPr>
          </w:p>
          <w:p w14:paraId="37E5880D" w14:textId="77777777" w:rsidR="00781089" w:rsidRPr="00781089" w:rsidRDefault="00781089" w:rsidP="00781089">
            <w:pPr>
              <w:pStyle w:val="Tabletext"/>
            </w:pPr>
            <w:r w:rsidRPr="00781089">
              <w:t>Hypersensitivity reactions (allergic or anaphylactoid reactions, anaphylactic shock)</w:t>
            </w:r>
          </w:p>
          <w:p w14:paraId="7BA126C6" w14:textId="77777777" w:rsidR="00781089" w:rsidRPr="00781089" w:rsidRDefault="00781089" w:rsidP="00781089">
            <w:pPr>
              <w:pStyle w:val="Tabletext"/>
            </w:pPr>
          </w:p>
          <w:p w14:paraId="705961C7" w14:textId="77777777" w:rsidR="00781089" w:rsidRPr="00781089" w:rsidRDefault="00781089" w:rsidP="00781089">
            <w:pPr>
              <w:pStyle w:val="Tabletext"/>
            </w:pPr>
            <w:r w:rsidRPr="00781089">
              <w:t xml:space="preserve">Adverse effects are rare and usually a sign of accidental intravascular injection, excessive dosage or rapid absorption from highly vascular areas, or may result from a hypersensitivity, idiosyncrasy or diminished tolerance on the part of the patient. Systemic toxicity mainly involves the central nervous system and/or the cardiovascular system.  </w:t>
            </w:r>
          </w:p>
          <w:p w14:paraId="30090635" w14:textId="77777777" w:rsidR="00781089" w:rsidRPr="00781089" w:rsidRDefault="00781089" w:rsidP="00781089">
            <w:pPr>
              <w:pStyle w:val="Tabletext"/>
            </w:pPr>
            <w:r w:rsidRPr="00781089">
              <w:t>Monitor individual for signs of:</w:t>
            </w:r>
          </w:p>
          <w:p w14:paraId="653FDCEB" w14:textId="77777777" w:rsidR="00781089" w:rsidRPr="00781089" w:rsidRDefault="00781089" w:rsidP="00781089">
            <w:pPr>
              <w:pStyle w:val="Bulletindent1"/>
            </w:pPr>
            <w:r w:rsidRPr="00781089">
              <w:t>Confusion</w:t>
            </w:r>
          </w:p>
          <w:p w14:paraId="5E0B1004" w14:textId="77777777" w:rsidR="00781089" w:rsidRPr="00781089" w:rsidRDefault="00781089" w:rsidP="00781089">
            <w:pPr>
              <w:pStyle w:val="Bulletindent1"/>
            </w:pPr>
            <w:r w:rsidRPr="00781089">
              <w:t>Respiratory depression</w:t>
            </w:r>
          </w:p>
          <w:p w14:paraId="697251D3" w14:textId="77777777" w:rsidR="00781089" w:rsidRPr="00781089" w:rsidRDefault="00781089" w:rsidP="00781089">
            <w:pPr>
              <w:pStyle w:val="Bulletindent1"/>
            </w:pPr>
            <w:r w:rsidRPr="00781089">
              <w:t>Convulsions</w:t>
            </w:r>
          </w:p>
          <w:p w14:paraId="61BA0CD4" w14:textId="77777777" w:rsidR="00781089" w:rsidRPr="00781089" w:rsidRDefault="00781089" w:rsidP="00781089">
            <w:pPr>
              <w:pStyle w:val="Bulletindent1"/>
            </w:pPr>
            <w:r w:rsidRPr="00781089">
              <w:t>Hypotension</w:t>
            </w:r>
          </w:p>
          <w:p w14:paraId="398B008D" w14:textId="77777777" w:rsidR="00781089" w:rsidRPr="00781089" w:rsidRDefault="00781089" w:rsidP="00781089">
            <w:pPr>
              <w:pStyle w:val="Bulletindent1"/>
            </w:pPr>
            <w:r w:rsidRPr="00781089">
              <w:t xml:space="preserve">Bradycardia </w:t>
            </w:r>
          </w:p>
          <w:p w14:paraId="24A0EB67" w14:textId="77777777" w:rsidR="00781089" w:rsidRPr="00781089" w:rsidRDefault="00781089" w:rsidP="00781089">
            <w:pPr>
              <w:pStyle w:val="Bulletindent1"/>
            </w:pPr>
            <w:r w:rsidRPr="00781089">
              <w:t xml:space="preserve">Dizziness  </w:t>
            </w:r>
          </w:p>
          <w:p w14:paraId="5FFF950B" w14:textId="77777777" w:rsidR="00FF7A9A" w:rsidRDefault="00FF7A9A" w:rsidP="00781089">
            <w:pPr>
              <w:pStyle w:val="Tabletext"/>
            </w:pPr>
          </w:p>
          <w:p w14:paraId="02EDFA64" w14:textId="5805C2DB" w:rsidR="00D01625" w:rsidRPr="00B65EE5" w:rsidRDefault="00A96AEA" w:rsidP="00FF7A9A">
            <w:pPr>
              <w:pStyle w:val="Tabletext"/>
            </w:pPr>
            <w:r w:rsidRPr="00587CA7">
              <w:rPr>
                <w:highlight w:val="cyan"/>
                <w:lang w:val="en-GB"/>
              </w:rPr>
              <w:t>[</w:t>
            </w:r>
            <w:r w:rsidRPr="00A96AEA">
              <w:rPr>
                <w:highlight w:val="cyan"/>
                <w:lang w:val="en-GB"/>
              </w:rPr>
              <w:t>If overdose or severe adverse reaction suspected manage following local policy.</w:t>
            </w:r>
            <w:r w:rsidRPr="00587CA7">
              <w:rPr>
                <w:highlight w:val="cyan"/>
                <w:lang w:val="en-GB"/>
              </w:rPr>
              <w:t>]</w:t>
            </w:r>
          </w:p>
        </w:tc>
      </w:tr>
      <w:tr w:rsidR="00C75F95" w:rsidRPr="00C75F95" w14:paraId="58768EFA" w14:textId="77777777" w:rsidTr="00461139">
        <w:tc>
          <w:tcPr>
            <w:tcW w:w="3397" w:type="dxa"/>
          </w:tcPr>
          <w:p w14:paraId="3A172CB1" w14:textId="6452A882" w:rsidR="00C75F95" w:rsidRPr="00C75F95" w:rsidRDefault="00C75F95" w:rsidP="00461139">
            <w:pPr>
              <w:pStyle w:val="TableHeaderRow"/>
              <w:rPr>
                <w:rStyle w:val="TableHeaderColumn"/>
                <w:b/>
                <w:bCs/>
                <w:sz w:val="22"/>
              </w:rPr>
            </w:pPr>
            <w:r w:rsidRPr="00C75F95">
              <w:rPr>
                <w:rStyle w:val="TableHeaderColumn"/>
                <w:b/>
                <w:bCs/>
                <w:sz w:val="22"/>
              </w:rPr>
              <w:t>Additional facilities and supplies</w:t>
            </w:r>
          </w:p>
        </w:tc>
        <w:tc>
          <w:tcPr>
            <w:tcW w:w="5245" w:type="dxa"/>
          </w:tcPr>
          <w:p w14:paraId="15D17613" w14:textId="77777777" w:rsidR="00C75F95" w:rsidRPr="00ED7152" w:rsidRDefault="00C75F95" w:rsidP="00461139">
            <w:pPr>
              <w:pStyle w:val="Bulletindent1"/>
            </w:pPr>
            <w:r w:rsidRPr="00ED7152">
              <w:t>Access to working telephone</w:t>
            </w:r>
          </w:p>
          <w:p w14:paraId="1FAB8129" w14:textId="77777777" w:rsidR="00C75F95" w:rsidRPr="00ED7152" w:rsidRDefault="00C75F95" w:rsidP="00461139">
            <w:pPr>
              <w:pStyle w:val="Bulletindent1"/>
            </w:pPr>
            <w:r w:rsidRPr="00ED7152">
              <w:t>Suitable waste disposal facilities</w:t>
            </w:r>
          </w:p>
          <w:p w14:paraId="261A4284" w14:textId="1AC125F1" w:rsidR="00C75F95" w:rsidRPr="00C75F95" w:rsidRDefault="00FF7A9A" w:rsidP="00A96AEA">
            <w:pPr>
              <w:pStyle w:val="Bulletindent1"/>
              <w:rPr>
                <w:rStyle w:val="TableHeaderColumn"/>
                <w:rFonts w:eastAsiaTheme="minorHAnsi"/>
                <w:kern w:val="2"/>
                <w:sz w:val="22"/>
                <w14:ligatures w14:val="standardContextual"/>
              </w:rPr>
            </w:pPr>
            <w:r w:rsidRPr="00A96AEA">
              <w:t xml:space="preserve">Immediate access to in-date anaphylaxis kit (IM adrenaline 1:1000) </w:t>
            </w:r>
          </w:p>
        </w:tc>
      </w:tr>
      <w:tr w:rsidR="00C75F95" w14:paraId="10AA9D6C" w14:textId="77777777" w:rsidTr="00461139">
        <w:tc>
          <w:tcPr>
            <w:tcW w:w="3397" w:type="dxa"/>
          </w:tcPr>
          <w:p w14:paraId="1626F6B4" w14:textId="57B8141F" w:rsidR="00C75F95" w:rsidRPr="00D131FF" w:rsidRDefault="00C75F95" w:rsidP="00461139">
            <w:pPr>
              <w:pStyle w:val="TableHeaderRow"/>
              <w:rPr>
                <w:rStyle w:val="TableHeaderColumn"/>
                <w:b/>
                <w:bCs/>
                <w:sz w:val="22"/>
              </w:rPr>
            </w:pPr>
            <w:r w:rsidRPr="00D131FF">
              <w:rPr>
                <w:rStyle w:val="TableHeaderColumn"/>
                <w:b/>
                <w:bCs/>
                <w:sz w:val="22"/>
              </w:rPr>
              <w:t>Management of and reporting procedures for adverse reactions</w:t>
            </w:r>
          </w:p>
        </w:tc>
        <w:tc>
          <w:tcPr>
            <w:tcW w:w="5245" w:type="dxa"/>
          </w:tcPr>
          <w:p w14:paraId="26E1468C" w14:textId="77777777" w:rsidR="00C75F95" w:rsidRPr="008D2560" w:rsidRDefault="00C75F95" w:rsidP="00461139">
            <w:pPr>
              <w:pStyle w:val="Bulletindent1"/>
              <w:rPr>
                <w:rFonts w:eastAsia="Arial"/>
              </w:rPr>
            </w:pPr>
            <w:r w:rsidRPr="008D2560">
              <w:rPr>
                <w:rFonts w:eastAsia="Arial"/>
              </w:rPr>
              <w:t>Healthcare</w:t>
            </w:r>
            <w:r w:rsidRPr="008D2560">
              <w:rPr>
                <w:rFonts w:eastAsia="Arial"/>
                <w:spacing w:val="26"/>
              </w:rPr>
              <w:t xml:space="preserve"> </w:t>
            </w:r>
            <w:r w:rsidRPr="008D2560">
              <w:rPr>
                <w:rFonts w:eastAsia="Arial"/>
              </w:rPr>
              <w:t>professionals</w:t>
            </w:r>
            <w:r w:rsidRPr="008D2560">
              <w:rPr>
                <w:rFonts w:eastAsia="Arial"/>
                <w:spacing w:val="24"/>
              </w:rPr>
              <w:t xml:space="preserve"> </w:t>
            </w:r>
            <w:r w:rsidRPr="008D2560">
              <w:rPr>
                <w:rFonts w:eastAsia="Arial"/>
              </w:rPr>
              <w:t>and</w:t>
            </w:r>
            <w:r w:rsidRPr="008D2560">
              <w:rPr>
                <w:rFonts w:eastAsia="Arial"/>
                <w:spacing w:val="14"/>
              </w:rPr>
              <w:t xml:space="preserve"> </w:t>
            </w:r>
            <w:r>
              <w:rPr>
                <w:rFonts w:eastAsia="Arial"/>
              </w:rPr>
              <w:t>individuals</w:t>
            </w:r>
            <w:r w:rsidRPr="008D2560">
              <w:rPr>
                <w:rFonts w:eastAsia="Arial"/>
              </w:rPr>
              <w:t>/carers are</w:t>
            </w:r>
            <w:r w:rsidRPr="008D2560">
              <w:rPr>
                <w:rFonts w:eastAsia="Arial"/>
                <w:spacing w:val="10"/>
              </w:rPr>
              <w:t xml:space="preserve"> </w:t>
            </w:r>
            <w:r w:rsidRPr="008D2560">
              <w:rPr>
                <w:rFonts w:eastAsia="Arial"/>
              </w:rPr>
              <w:t>encouraged</w:t>
            </w:r>
            <w:r w:rsidRPr="008D2560">
              <w:rPr>
                <w:rFonts w:eastAsia="Arial"/>
                <w:spacing w:val="25"/>
              </w:rPr>
              <w:t xml:space="preserve"> </w:t>
            </w:r>
            <w:r w:rsidRPr="008D2560">
              <w:rPr>
                <w:rFonts w:eastAsia="Arial"/>
              </w:rPr>
              <w:t>to</w:t>
            </w:r>
            <w:r w:rsidRPr="008D2560">
              <w:rPr>
                <w:rFonts w:eastAsia="Arial"/>
                <w:spacing w:val="21"/>
              </w:rPr>
              <w:t xml:space="preserve"> </w:t>
            </w:r>
            <w:r w:rsidRPr="008D2560">
              <w:rPr>
                <w:rFonts w:eastAsia="Arial"/>
              </w:rPr>
              <w:t>report</w:t>
            </w:r>
            <w:r w:rsidRPr="008D2560">
              <w:rPr>
                <w:rFonts w:eastAsia="Arial"/>
                <w:spacing w:val="13"/>
              </w:rPr>
              <w:t xml:space="preserve"> </w:t>
            </w:r>
            <w:r w:rsidRPr="008D2560">
              <w:rPr>
                <w:rFonts w:eastAsia="Arial"/>
              </w:rPr>
              <w:t>suspected</w:t>
            </w:r>
            <w:r w:rsidRPr="008D2560">
              <w:rPr>
                <w:rFonts w:eastAsia="Arial"/>
                <w:spacing w:val="18"/>
              </w:rPr>
              <w:t xml:space="preserve"> </w:t>
            </w:r>
            <w:r w:rsidRPr="008D2560">
              <w:rPr>
                <w:rFonts w:eastAsia="Arial"/>
              </w:rPr>
              <w:t>adverse</w:t>
            </w:r>
            <w:r w:rsidRPr="008D2560">
              <w:rPr>
                <w:rFonts w:eastAsia="Arial"/>
                <w:spacing w:val="29"/>
              </w:rPr>
              <w:t xml:space="preserve"> </w:t>
            </w:r>
            <w:r w:rsidRPr="008D2560">
              <w:rPr>
                <w:rFonts w:eastAsia="Arial"/>
              </w:rPr>
              <w:t>reactions</w:t>
            </w:r>
            <w:r w:rsidRPr="008D2560">
              <w:rPr>
                <w:rFonts w:eastAsia="Arial"/>
                <w:spacing w:val="10"/>
              </w:rPr>
              <w:t xml:space="preserve"> </w:t>
            </w:r>
            <w:r w:rsidRPr="008D2560">
              <w:rPr>
                <w:rFonts w:eastAsia="Arial"/>
              </w:rPr>
              <w:t>to</w:t>
            </w:r>
            <w:r w:rsidRPr="008D2560">
              <w:rPr>
                <w:rFonts w:eastAsia="Arial"/>
                <w:spacing w:val="14"/>
              </w:rPr>
              <w:t xml:space="preserve"> </w:t>
            </w:r>
            <w:r w:rsidRPr="008D2560">
              <w:rPr>
                <w:rFonts w:eastAsia="Arial"/>
              </w:rPr>
              <w:t>the</w:t>
            </w:r>
            <w:r w:rsidRPr="008D2560">
              <w:rPr>
                <w:rFonts w:eastAsia="Arial"/>
                <w:w w:val="98"/>
              </w:rPr>
              <w:t xml:space="preserve"> </w:t>
            </w:r>
            <w:hyperlink r:id="rId24" w:history="1">
              <w:r w:rsidRPr="00F6120B">
                <w:rPr>
                  <w:rStyle w:val="Hyperlink"/>
                </w:rPr>
                <w:t>MHRA's Yellow Card Scheme</w:t>
              </w:r>
            </w:hyperlink>
            <w:r>
              <w:t xml:space="preserve"> </w:t>
            </w:r>
            <w:r w:rsidRPr="00587CA7">
              <w:rPr>
                <w:highlight w:val="cyan"/>
              </w:rPr>
              <w:t>[</w:t>
            </w:r>
            <w:r w:rsidRPr="00504FB7">
              <w:rPr>
                <w:highlight w:val="cyan"/>
              </w:rPr>
              <w:t xml:space="preserve">follow </w:t>
            </w:r>
            <w:r w:rsidRPr="00504FB7">
              <w:rPr>
                <w:highlight w:val="cyan"/>
              </w:rPr>
              <w:lastRenderedPageBreak/>
              <w:t>organisation policy (include link and any further detail required)</w:t>
            </w:r>
            <w:r w:rsidRPr="00587CA7">
              <w:rPr>
                <w:highlight w:val="cyan"/>
              </w:rPr>
              <w:t>]</w:t>
            </w:r>
            <w:r>
              <w:t>.</w:t>
            </w:r>
          </w:p>
          <w:p w14:paraId="2B5C2674" w14:textId="77777777" w:rsidR="00C75F95" w:rsidRPr="008D2560" w:rsidRDefault="00C75F95" w:rsidP="00461139">
            <w:pPr>
              <w:pStyle w:val="Bulletindent1"/>
            </w:pPr>
            <w:r w:rsidRPr="008D2560">
              <w:t xml:space="preserve">Record all adverse drug reactions (ADRs) in the </w:t>
            </w:r>
            <w:r>
              <w:t>individual’s clinical record.</w:t>
            </w:r>
          </w:p>
          <w:p w14:paraId="6FD31A73" w14:textId="5E22E93C" w:rsidR="00FF7A9A" w:rsidRPr="00B65EE5" w:rsidRDefault="00C75F95" w:rsidP="00A96AEA">
            <w:pPr>
              <w:pStyle w:val="Bulletindent1"/>
            </w:pPr>
            <w:r w:rsidRPr="00587CA7">
              <w:rPr>
                <w:highlight w:val="cyan"/>
              </w:rPr>
              <w:t>[</w:t>
            </w:r>
            <w:r w:rsidRPr="00802041">
              <w:rPr>
                <w:highlight w:val="cyan"/>
              </w:rPr>
              <w:t>Report via organisation incident policy (include link and any further detail required)</w:t>
            </w:r>
            <w:r w:rsidRPr="00587CA7">
              <w:rPr>
                <w:highlight w:val="cyan"/>
              </w:rPr>
              <w:t>]</w:t>
            </w:r>
            <w:r>
              <w:t>.</w:t>
            </w:r>
          </w:p>
        </w:tc>
      </w:tr>
      <w:tr w:rsidR="00A96AEA" w14:paraId="39FFB459" w14:textId="77777777" w:rsidTr="00461139">
        <w:tc>
          <w:tcPr>
            <w:tcW w:w="3397" w:type="dxa"/>
          </w:tcPr>
          <w:p w14:paraId="1AAF46ED" w14:textId="45B8570F" w:rsidR="00A96AEA" w:rsidRPr="00D131FF" w:rsidRDefault="00A96AEA" w:rsidP="00A96AEA">
            <w:pPr>
              <w:pStyle w:val="TableHeaderRow"/>
              <w:rPr>
                <w:rStyle w:val="TableHeaderColumn"/>
                <w:b/>
                <w:bCs/>
                <w:sz w:val="22"/>
              </w:rPr>
            </w:pPr>
            <w:r w:rsidRPr="00D131FF">
              <w:rPr>
                <w:rStyle w:val="TableHeaderColumn"/>
                <w:b/>
                <w:bCs/>
                <w:sz w:val="22"/>
              </w:rPr>
              <w:lastRenderedPageBreak/>
              <w:t>Written information and further advice to be given to individual or carer</w:t>
            </w:r>
          </w:p>
        </w:tc>
        <w:tc>
          <w:tcPr>
            <w:tcW w:w="5245" w:type="dxa"/>
          </w:tcPr>
          <w:p w14:paraId="4881E793" w14:textId="77777777" w:rsidR="00781089" w:rsidRPr="00781089" w:rsidRDefault="00781089" w:rsidP="00781089">
            <w:pPr>
              <w:pStyle w:val="Bulletindent1"/>
              <w:rPr>
                <w:rFonts w:eastAsia="Arial"/>
              </w:rPr>
            </w:pPr>
            <w:r w:rsidRPr="00781089">
              <w:rPr>
                <w:rFonts w:eastAsia="Arial"/>
              </w:rPr>
              <w:t>Offer Manufacturer’s Patient Information Leaflet (PIL).</w:t>
            </w:r>
          </w:p>
          <w:p w14:paraId="5140B229" w14:textId="63D9433F" w:rsidR="00A96AEA" w:rsidRPr="00B65EE5" w:rsidRDefault="00A96AEA" w:rsidP="00781089">
            <w:pPr>
              <w:pStyle w:val="Bulletindent1"/>
            </w:pPr>
            <w:r w:rsidRPr="007744FC">
              <w:rPr>
                <w:rFonts w:eastAsia="Arial"/>
              </w:rPr>
              <w:t>Explain mode of action, side effects, and benefits of the medicine.</w:t>
            </w:r>
          </w:p>
        </w:tc>
      </w:tr>
      <w:tr w:rsidR="00C75F95" w14:paraId="6C2D29AC" w14:textId="77777777" w:rsidTr="00461139">
        <w:tc>
          <w:tcPr>
            <w:tcW w:w="3397" w:type="dxa"/>
          </w:tcPr>
          <w:p w14:paraId="07EBE380" w14:textId="4A3E4D5F" w:rsidR="00C75F95" w:rsidRPr="00D131FF" w:rsidRDefault="00C75F95" w:rsidP="00461139">
            <w:pPr>
              <w:pStyle w:val="TableHeaderRow"/>
              <w:rPr>
                <w:rStyle w:val="TableHeaderColumn"/>
                <w:b/>
                <w:bCs/>
                <w:sz w:val="22"/>
              </w:rPr>
            </w:pPr>
            <w:r w:rsidRPr="00D131FF">
              <w:rPr>
                <w:rStyle w:val="TableHeaderColumn"/>
                <w:b/>
                <w:bCs/>
                <w:sz w:val="22"/>
              </w:rPr>
              <w:t>Advice / Follow-up treatment</w:t>
            </w:r>
          </w:p>
        </w:tc>
        <w:tc>
          <w:tcPr>
            <w:tcW w:w="5245" w:type="dxa"/>
          </w:tcPr>
          <w:p w14:paraId="14F0ECD4" w14:textId="77777777" w:rsidR="00A96AEA" w:rsidRPr="007744FC" w:rsidRDefault="00A96AEA" w:rsidP="00A96AEA">
            <w:pPr>
              <w:pStyle w:val="Tabletext"/>
              <w:rPr>
                <w:rFonts w:eastAsia="Arial"/>
              </w:rPr>
            </w:pPr>
            <w:r w:rsidRPr="007744FC">
              <w:rPr>
                <w:rFonts w:eastAsia="Arial"/>
              </w:rPr>
              <w:t>Advise individual:</w:t>
            </w:r>
          </w:p>
          <w:p w14:paraId="67616A1B" w14:textId="77777777" w:rsidR="00781089" w:rsidRPr="00781089" w:rsidRDefault="00781089" w:rsidP="00781089">
            <w:pPr>
              <w:pStyle w:val="Bulletindent1"/>
              <w:rPr>
                <w:rFonts w:eastAsia="Arial"/>
              </w:rPr>
            </w:pPr>
            <w:r w:rsidRPr="00781089">
              <w:rPr>
                <w:rFonts w:eastAsia="Arial"/>
              </w:rPr>
              <w:t>How to care for the injection site and advise to return if concerns about the injection site.</w:t>
            </w:r>
          </w:p>
          <w:p w14:paraId="7F8353A7" w14:textId="1F30865F" w:rsidR="00C75F95" w:rsidRPr="00A96AEA" w:rsidRDefault="00781089" w:rsidP="00781089">
            <w:pPr>
              <w:pStyle w:val="Bulletindent1"/>
              <w:rPr>
                <w:rFonts w:eastAsia="Arial"/>
              </w:rPr>
            </w:pPr>
            <w:r w:rsidRPr="00781089">
              <w:rPr>
                <w:rFonts w:eastAsia="Arial"/>
              </w:rPr>
              <w:t>Give information on who to contact in the event of an adverse reaction or concerns.</w:t>
            </w:r>
          </w:p>
        </w:tc>
      </w:tr>
      <w:tr w:rsidR="00C75F95" w14:paraId="7D15065A" w14:textId="77777777" w:rsidTr="00461139">
        <w:tc>
          <w:tcPr>
            <w:tcW w:w="3397" w:type="dxa"/>
          </w:tcPr>
          <w:p w14:paraId="2E58338A" w14:textId="17127648" w:rsidR="00C75F95" w:rsidRPr="00D131FF" w:rsidRDefault="00C75F95" w:rsidP="00461139">
            <w:pPr>
              <w:pStyle w:val="TableHeaderRow"/>
              <w:rPr>
                <w:rStyle w:val="TableHeaderColumn"/>
                <w:b/>
                <w:bCs/>
                <w:sz w:val="22"/>
              </w:rPr>
            </w:pPr>
            <w:r w:rsidRPr="00D131FF">
              <w:rPr>
                <w:rStyle w:val="TableHeaderColumn"/>
                <w:b/>
                <w:bCs/>
                <w:sz w:val="22"/>
              </w:rPr>
              <w:t>Records to be kept</w:t>
            </w:r>
          </w:p>
        </w:tc>
        <w:tc>
          <w:tcPr>
            <w:tcW w:w="5245" w:type="dxa"/>
          </w:tcPr>
          <w:p w14:paraId="0AA99AEA" w14:textId="06C61247" w:rsidR="00C75F95" w:rsidRPr="008D1A8D" w:rsidRDefault="00C75F95" w:rsidP="0094164C">
            <w:pPr>
              <w:pStyle w:val="Bulletindent1"/>
              <w:rPr>
                <w:rFonts w:eastAsia="Arial"/>
              </w:rPr>
            </w:pPr>
            <w:r w:rsidRPr="008D1A8D">
              <w:rPr>
                <w:rFonts w:eastAsia="Arial"/>
              </w:rPr>
              <w:t>The consent of the individual and</w:t>
            </w:r>
            <w:r>
              <w:rPr>
                <w:rFonts w:eastAsia="Arial"/>
              </w:rPr>
              <w:t>/or</w:t>
            </w:r>
          </w:p>
          <w:p w14:paraId="27A8C6D2" w14:textId="77777777" w:rsidR="00C75F95" w:rsidRPr="008D1A8D" w:rsidRDefault="00C75F95" w:rsidP="0094164C">
            <w:pPr>
              <w:pStyle w:val="Bulletindent1"/>
              <w:numPr>
                <w:ilvl w:val="1"/>
                <w:numId w:val="15"/>
              </w:numPr>
              <w:rPr>
                <w:rFonts w:eastAsia="Arial"/>
              </w:rPr>
            </w:pPr>
            <w:r w:rsidRPr="008D1A8D">
              <w:rPr>
                <w:rFonts w:eastAsia="Arial"/>
              </w:rPr>
              <w:t>If individual is under 13 years of age record action taken</w:t>
            </w:r>
          </w:p>
          <w:p w14:paraId="3B58EED6" w14:textId="77777777" w:rsidR="008373F8" w:rsidRDefault="008373F8" w:rsidP="0094164C">
            <w:pPr>
              <w:pStyle w:val="Bulletindent1"/>
              <w:numPr>
                <w:ilvl w:val="1"/>
                <w:numId w:val="15"/>
              </w:numPr>
            </w:pPr>
            <w:r>
              <w:t xml:space="preserve">If individual is under 16 years of age document capacity using Fraser guidelines.  If not competent record action taken.  </w:t>
            </w:r>
          </w:p>
          <w:p w14:paraId="7239F839" w14:textId="77777777" w:rsidR="00C75F95" w:rsidRPr="008D1A8D" w:rsidRDefault="00C75F95" w:rsidP="0094164C">
            <w:pPr>
              <w:pStyle w:val="Bulletindent1"/>
              <w:numPr>
                <w:ilvl w:val="1"/>
                <w:numId w:val="15"/>
              </w:numPr>
              <w:rPr>
                <w:rFonts w:eastAsia="Arial"/>
              </w:rPr>
            </w:pPr>
            <w:r w:rsidRPr="008D1A8D">
              <w:rPr>
                <w:rFonts w:eastAsia="Arial"/>
              </w:rPr>
              <w:t>If individual over 16 years of age and not competent, record action taken</w:t>
            </w:r>
          </w:p>
          <w:p w14:paraId="76937DB8" w14:textId="77777777" w:rsidR="00781089" w:rsidRPr="00781089" w:rsidRDefault="00781089" w:rsidP="00781089">
            <w:pPr>
              <w:pStyle w:val="Bulletindent1"/>
            </w:pPr>
            <w:r w:rsidRPr="00781089">
              <w:t>Individual’s name, address and date of birth</w:t>
            </w:r>
          </w:p>
          <w:p w14:paraId="09EC728D" w14:textId="70681004" w:rsidR="0094164C" w:rsidRPr="00FA0028" w:rsidRDefault="0094164C" w:rsidP="0094164C">
            <w:pPr>
              <w:pStyle w:val="Bulletindent1"/>
            </w:pPr>
            <w:r w:rsidRPr="00FA0028">
              <w:t>GP contact details where appropriate</w:t>
            </w:r>
          </w:p>
          <w:p w14:paraId="4EF3496A" w14:textId="77777777" w:rsidR="0094164C" w:rsidRPr="00FA0028" w:rsidRDefault="0094164C" w:rsidP="0094164C">
            <w:pPr>
              <w:pStyle w:val="Bulletindent1"/>
            </w:pPr>
            <w:r w:rsidRPr="00FA0028">
              <w:t xml:space="preserve">Attendance date </w:t>
            </w:r>
          </w:p>
          <w:p w14:paraId="66543834" w14:textId="77777777" w:rsidR="0094164C" w:rsidRPr="00FA0028" w:rsidRDefault="0094164C" w:rsidP="0094164C">
            <w:pPr>
              <w:pStyle w:val="Bulletindent1"/>
            </w:pPr>
            <w:r w:rsidRPr="00FA0028">
              <w:t>Reason for attendance</w:t>
            </w:r>
          </w:p>
          <w:p w14:paraId="47FD14C8" w14:textId="77777777" w:rsidR="0094164C" w:rsidRPr="00FA0028" w:rsidRDefault="0094164C" w:rsidP="0094164C">
            <w:pPr>
              <w:pStyle w:val="Bulletindent1"/>
            </w:pPr>
            <w:r w:rsidRPr="00FA0028">
              <w:t>Relevant past and present medical and family history, including drug history</w:t>
            </w:r>
          </w:p>
          <w:p w14:paraId="53131A17" w14:textId="77777777" w:rsidR="0094164C" w:rsidRPr="00FA0028" w:rsidRDefault="0094164C" w:rsidP="0094164C">
            <w:pPr>
              <w:pStyle w:val="Bulletindent1"/>
            </w:pPr>
            <w:r w:rsidRPr="00FA0028">
              <w:t>Any known allergy</w:t>
            </w:r>
          </w:p>
          <w:p w14:paraId="1EDCD19A" w14:textId="77777777" w:rsidR="0094164C" w:rsidRPr="00FA0028" w:rsidRDefault="0094164C" w:rsidP="0094164C">
            <w:pPr>
              <w:pStyle w:val="Bulletindent1"/>
            </w:pPr>
            <w:r w:rsidRPr="00FA0028">
              <w:t xml:space="preserve">Relevant examination findings  </w:t>
            </w:r>
          </w:p>
          <w:p w14:paraId="1861D458" w14:textId="77777777" w:rsidR="0094164C" w:rsidRDefault="0094164C" w:rsidP="0094164C">
            <w:pPr>
              <w:pStyle w:val="Bulletindent1"/>
            </w:pPr>
            <w:r w:rsidRPr="00FA0028">
              <w:t>Inclusion or exclusion from PGD</w:t>
            </w:r>
          </w:p>
          <w:p w14:paraId="40C038CE" w14:textId="77777777" w:rsidR="00781089" w:rsidRPr="00781089" w:rsidRDefault="00781089" w:rsidP="00781089">
            <w:pPr>
              <w:pStyle w:val="Bulletindent1"/>
            </w:pPr>
            <w:r w:rsidRPr="00781089">
              <w:t>A statement that administration is for insertion of subdermal implant and is by using a PGD</w:t>
            </w:r>
          </w:p>
          <w:p w14:paraId="6B9FAECB" w14:textId="77777777" w:rsidR="00781089" w:rsidRPr="00781089" w:rsidRDefault="00781089" w:rsidP="00781089">
            <w:pPr>
              <w:pStyle w:val="Bulletindent1"/>
            </w:pPr>
            <w:r w:rsidRPr="00781089">
              <w:lastRenderedPageBreak/>
              <w:t>Advice given about the medication including side effects, benefits, and when and what to do if any concerns</w:t>
            </w:r>
          </w:p>
          <w:p w14:paraId="567F2718" w14:textId="77777777" w:rsidR="0094164C" w:rsidRDefault="0094164C" w:rsidP="0094164C">
            <w:pPr>
              <w:pStyle w:val="Bulletindent1"/>
            </w:pPr>
            <w:r w:rsidRPr="00FA0028">
              <w:t>Details of any adverse drug reactions and what action taken</w:t>
            </w:r>
          </w:p>
          <w:p w14:paraId="64990A05" w14:textId="77777777" w:rsidR="00781089" w:rsidRPr="00781089" w:rsidRDefault="00781089" w:rsidP="00781089">
            <w:pPr>
              <w:pStyle w:val="Bulletindent1"/>
            </w:pPr>
            <w:r w:rsidRPr="00781089">
              <w:t>Any referral arrangements</w:t>
            </w:r>
          </w:p>
          <w:p w14:paraId="670B9829" w14:textId="77777777" w:rsidR="0094164C" w:rsidRPr="00FA0028" w:rsidRDefault="0094164C" w:rsidP="0094164C">
            <w:pPr>
              <w:pStyle w:val="Bulletindent1"/>
            </w:pPr>
            <w:r w:rsidRPr="00FA0028">
              <w:t>Any administration outside the marketing authorisation</w:t>
            </w:r>
          </w:p>
          <w:p w14:paraId="479A0634" w14:textId="77777777" w:rsidR="00781089" w:rsidRPr="00781089" w:rsidRDefault="00781089" w:rsidP="00781089">
            <w:pPr>
              <w:pStyle w:val="Bulletindent1"/>
            </w:pPr>
            <w:r w:rsidRPr="00781089">
              <w:t>Record the name/brand, dose of the medication, site of injection</w:t>
            </w:r>
          </w:p>
          <w:p w14:paraId="674BFFC5" w14:textId="5BE31697" w:rsidR="0094164C" w:rsidRPr="004954F9" w:rsidRDefault="0094164C" w:rsidP="0094164C">
            <w:pPr>
              <w:pStyle w:val="Bulletindent1"/>
            </w:pPr>
            <w:r w:rsidRPr="004954F9">
              <w:rPr>
                <w:highlight w:val="cyan"/>
              </w:rPr>
              <w:t>[Batch number and expiry date of product in line with local procedure]</w:t>
            </w:r>
          </w:p>
          <w:p w14:paraId="55724FB4" w14:textId="77777777" w:rsidR="006907BA" w:rsidRPr="006907BA" w:rsidRDefault="006907BA" w:rsidP="006907BA">
            <w:pPr>
              <w:pStyle w:val="Bulletindent1"/>
            </w:pPr>
            <w:r w:rsidRPr="006907BA">
              <w:t xml:space="preserve">Record follow up and/or signposting arrangements </w:t>
            </w:r>
          </w:p>
          <w:p w14:paraId="7157E6E0" w14:textId="77777777" w:rsidR="0094164C" w:rsidRPr="00FA0028" w:rsidRDefault="0094164C" w:rsidP="0094164C">
            <w:pPr>
              <w:pStyle w:val="Bulletindent1"/>
            </w:pPr>
            <w:r w:rsidRPr="00FA0028">
              <w:t xml:space="preserve">Any other relevant information that was provided to the individual </w:t>
            </w:r>
          </w:p>
          <w:p w14:paraId="5D6E903D" w14:textId="77777777" w:rsidR="0094164C" w:rsidRPr="00FA0028" w:rsidRDefault="0094164C" w:rsidP="0094164C">
            <w:pPr>
              <w:pStyle w:val="Bulletindent1"/>
            </w:pPr>
            <w:r w:rsidRPr="00FA0028">
              <w:t>Name and signature (which may be an electronic signature) of the clinician supplying and administering the medicine</w:t>
            </w:r>
          </w:p>
          <w:p w14:paraId="10CBBF08" w14:textId="51E0FE84" w:rsidR="00C75F95" w:rsidRPr="000248BF" w:rsidRDefault="00C75F95" w:rsidP="00461139">
            <w:pPr>
              <w:pStyle w:val="Tabletext"/>
            </w:pPr>
            <w:r w:rsidRPr="000248BF">
              <w:t xml:space="preserve">Records should be signed and dated (or password-controlled e-records) and securely kept for a defined period in line with local policy. </w:t>
            </w:r>
          </w:p>
          <w:p w14:paraId="736C5239" w14:textId="77777777" w:rsidR="00C75F95" w:rsidRPr="000248BF" w:rsidRDefault="00C75F95" w:rsidP="00461139">
            <w:pPr>
              <w:pStyle w:val="Tabletext"/>
            </w:pPr>
            <w:r w:rsidRPr="000248BF">
              <w:t>All records should be clear, legible and contemporaneous.</w:t>
            </w:r>
          </w:p>
          <w:p w14:paraId="08BE06BC" w14:textId="1D9B3704" w:rsidR="00C75F95" w:rsidRPr="00EE599B" w:rsidRDefault="00C75F95" w:rsidP="00461139">
            <w:pPr>
              <w:pStyle w:val="Tabletext"/>
              <w:rPr>
                <w:rFonts w:eastAsia="Arial"/>
              </w:rPr>
            </w:pPr>
            <w:r w:rsidRPr="00B75499">
              <w:t>A record of all individuals receiving treatment under this PGD should also be kept for audit purposes in accordance with local policy.</w:t>
            </w:r>
          </w:p>
        </w:tc>
      </w:tr>
    </w:tbl>
    <w:p w14:paraId="5A788AF5" w14:textId="77777777" w:rsidR="00F43DC7" w:rsidRDefault="00F43DC7">
      <w:bookmarkStart w:id="7" w:name="Regimens"/>
      <w:bookmarkEnd w:id="7"/>
    </w:p>
    <w:p w14:paraId="6998409F" w14:textId="77777777" w:rsidR="00F43DC7" w:rsidRDefault="00F43DC7"/>
    <w:bookmarkEnd w:id="3"/>
    <w:p w14:paraId="0E6FB204" w14:textId="7FF845D4" w:rsidR="00170A61" w:rsidRDefault="00725927" w:rsidP="00170A61">
      <w:pPr>
        <w:pStyle w:val="Heading1"/>
      </w:pPr>
      <w:r w:rsidRPr="00DF77C7">
        <w:t xml:space="preserve">Key references </w:t>
      </w:r>
      <w:r w:rsidR="00170A61">
        <w:t>(</w:t>
      </w:r>
      <w:r w:rsidR="00170A61" w:rsidRPr="00170A61">
        <w:t>accessed</w:t>
      </w:r>
      <w:r w:rsidR="00B65E35" w:rsidRPr="00B65E35">
        <w:t xml:space="preserve"> </w:t>
      </w:r>
      <w:r w:rsidR="00B65E35" w:rsidRPr="009223D8">
        <w:t>February 202</w:t>
      </w:r>
      <w:r w:rsidR="00E6391A" w:rsidRPr="009223D8">
        <w:t>6</w:t>
      </w:r>
      <w:r w:rsidR="00170A61" w:rsidRPr="00170A61">
        <w:t>)</w:t>
      </w:r>
    </w:p>
    <w:p w14:paraId="50E4146D" w14:textId="50B4416A" w:rsidR="00CE7FFC" w:rsidRPr="003743CF" w:rsidRDefault="00C640C0" w:rsidP="00170A61">
      <w:pPr>
        <w:pStyle w:val="Bulletindent1"/>
        <w:rPr>
          <w:rStyle w:val="Hyperlink"/>
        </w:rPr>
      </w:pPr>
      <w:hyperlink r:id="rId25" w:history="1">
        <w:r w:rsidRPr="003743CF">
          <w:rPr>
            <w:rStyle w:val="Hyperlink"/>
          </w:rPr>
          <w:t xml:space="preserve">Electronic Medicines Compendium </w:t>
        </w:r>
      </w:hyperlink>
    </w:p>
    <w:p w14:paraId="78F36D10" w14:textId="4B2188E0" w:rsidR="00CE7FFC" w:rsidRPr="003743CF" w:rsidRDefault="00CE7FFC" w:rsidP="00877396">
      <w:pPr>
        <w:pStyle w:val="Bulletindent1"/>
        <w:rPr>
          <w:rStyle w:val="Hyperlink"/>
        </w:rPr>
      </w:pPr>
      <w:hyperlink r:id="rId26" w:history="1">
        <w:r w:rsidRPr="003743CF">
          <w:rPr>
            <w:rStyle w:val="Hyperlink"/>
          </w:rPr>
          <w:t>Current edition of British National Formulary</w:t>
        </w:r>
      </w:hyperlink>
    </w:p>
    <w:p w14:paraId="0360EE5F" w14:textId="1E215AA2" w:rsidR="00A05022" w:rsidRPr="006907BA" w:rsidRDefault="00A05022" w:rsidP="00A05022">
      <w:pPr>
        <w:pStyle w:val="Bulletindent1"/>
        <w:rPr>
          <w:color w:val="0000FF"/>
          <w:u w:val="single"/>
        </w:rPr>
      </w:pPr>
      <w:hyperlink r:id="rId27" w:history="1">
        <w:r w:rsidRPr="003743CF">
          <w:rPr>
            <w:rStyle w:val="Hyperlink"/>
          </w:rPr>
          <w:t>NICE Medicines practice guideline MPG2 - Patient Group Directions - Last Updated 27 March 2017</w:t>
        </w:r>
      </w:hyperlink>
    </w:p>
    <w:p w14:paraId="4B7EA5B2" w14:textId="74B9F7EB" w:rsidR="006907BA" w:rsidRDefault="006907BA" w:rsidP="00A05022">
      <w:pPr>
        <w:pStyle w:val="Bulletindent1"/>
        <w:rPr>
          <w:color w:val="0000FF"/>
          <w:u w:val="single"/>
        </w:rPr>
      </w:pPr>
      <w:hyperlink r:id="rId28" w:history="1">
        <w:r w:rsidRPr="006907BA">
          <w:rPr>
            <w:rStyle w:val="Hyperlink"/>
          </w:rPr>
          <w:t>Resuscitation Council (UK) Emergency Treatment of anaphylactic reactions: Guidelines for health care providers Resuscitation Council, 2021</w:t>
        </w:r>
      </w:hyperlink>
    </w:p>
    <w:p w14:paraId="2C479A2D" w14:textId="0929B90E" w:rsidR="006907BA" w:rsidRPr="003743CF" w:rsidRDefault="00387474" w:rsidP="006907BA">
      <w:pPr>
        <w:pStyle w:val="Bulletindent1"/>
        <w:rPr>
          <w:rStyle w:val="Hyperlink"/>
        </w:rPr>
      </w:pPr>
      <w:hyperlink r:id="rId29" w:history="1">
        <w:r>
          <w:rPr>
            <w:rStyle w:val="Hyperlink"/>
          </w:rPr>
          <w:t>Co</w:t>
        </w:r>
        <w:r w:rsidR="006907BA" w:rsidRPr="003743CF">
          <w:rPr>
            <w:rStyle w:val="Hyperlink"/>
          </w:rPr>
          <w:t>SRH Clinical Guideline: Progestogen-only Implant (February 2021</w:t>
        </w:r>
        <w:r w:rsidR="001F60CD">
          <w:rPr>
            <w:rStyle w:val="Hyperlink"/>
          </w:rPr>
          <w:t xml:space="preserve">, </w:t>
        </w:r>
        <w:r w:rsidR="001F60CD" w:rsidRPr="009223D8">
          <w:rPr>
            <w:rStyle w:val="Hyperlink"/>
          </w:rPr>
          <w:t>amended</w:t>
        </w:r>
        <w:r w:rsidR="001F60CD">
          <w:rPr>
            <w:rStyle w:val="Hyperlink"/>
          </w:rPr>
          <w:t xml:space="preserve"> </w:t>
        </w:r>
        <w:r w:rsidR="001F60CD" w:rsidRPr="009223D8">
          <w:rPr>
            <w:rStyle w:val="Hyperlink"/>
          </w:rPr>
          <w:t>Jul 2023</w:t>
        </w:r>
        <w:r w:rsidR="006907BA" w:rsidRPr="003743CF">
          <w:rPr>
            <w:rStyle w:val="Hyperlink"/>
          </w:rPr>
          <w:t>)</w:t>
        </w:r>
      </w:hyperlink>
    </w:p>
    <w:p w14:paraId="39BE532A" w14:textId="77777777" w:rsidR="006907BA" w:rsidRPr="003743CF" w:rsidRDefault="006907BA" w:rsidP="006907BA">
      <w:pPr>
        <w:pStyle w:val="Bulletindent1"/>
        <w:numPr>
          <w:ilvl w:val="0"/>
          <w:numId w:val="0"/>
        </w:numPr>
        <w:ind w:left="720" w:hanging="360"/>
        <w:rPr>
          <w:rStyle w:val="Hyperlink"/>
        </w:rPr>
      </w:pPr>
    </w:p>
    <w:p w14:paraId="78C89768" w14:textId="77777777" w:rsidR="00B65E35" w:rsidRPr="003C462F" w:rsidRDefault="00B65E35" w:rsidP="00B65E35">
      <w:pPr>
        <w:pStyle w:val="Bulletindent1"/>
        <w:numPr>
          <w:ilvl w:val="0"/>
          <w:numId w:val="0"/>
        </w:numPr>
        <w:ind w:left="720" w:hanging="360"/>
        <w:rPr>
          <w:color w:val="0000FF"/>
          <w:u w:val="single"/>
        </w:rPr>
      </w:pPr>
    </w:p>
    <w:p w14:paraId="068AB94A" w14:textId="1C0F224D" w:rsidR="00533F89" w:rsidRPr="00533F89" w:rsidRDefault="007A1448" w:rsidP="000C1FB9">
      <w:pPr>
        <w:pStyle w:val="Bulletindent1"/>
        <w:numPr>
          <w:ilvl w:val="0"/>
          <w:numId w:val="0"/>
        </w:numPr>
        <w:ind w:left="720"/>
      </w:pPr>
      <w:r w:rsidRPr="00877396">
        <w:rPr>
          <w:rStyle w:val="Hyperlink"/>
        </w:rPr>
        <w:br w:type="page"/>
      </w:r>
      <w:bookmarkEnd w:id="0"/>
      <w:bookmarkEnd w:id="1"/>
      <w:bookmarkEnd w:id="2"/>
      <w:r w:rsidR="00510425" w:rsidRPr="00533F89">
        <w:lastRenderedPageBreak/>
        <w:t xml:space="preserve">Appendices </w:t>
      </w:r>
    </w:p>
    <w:p w14:paraId="14498D21" w14:textId="05B45152" w:rsidR="00510425" w:rsidRPr="00DF77C7" w:rsidRDefault="00B154E7" w:rsidP="00533F89">
      <w:pPr>
        <w:pStyle w:val="PGDNormal"/>
      </w:pPr>
      <w:r w:rsidRPr="001F60CD">
        <w:rPr>
          <w:highlight w:val="yellow"/>
        </w:rPr>
        <w:t>[[</w:t>
      </w:r>
      <w:r w:rsidR="00510425" w:rsidRPr="001F60CD">
        <w:rPr>
          <w:highlight w:val="yellow"/>
        </w:rPr>
        <w:t>(</w:t>
      </w:r>
      <w:r w:rsidR="00510425" w:rsidRPr="00DF77C7">
        <w:rPr>
          <w:highlight w:val="yellow"/>
        </w:rPr>
        <w:t>appendices may be added as agreed locally including relevant patient questionnaires, links to protocols and any patient information</w:t>
      </w:r>
      <w:r w:rsidR="00510425" w:rsidRPr="001F60CD">
        <w:rPr>
          <w:highlight w:val="yellow"/>
        </w:rPr>
        <w:t>)</w:t>
      </w:r>
      <w:r w:rsidRPr="001F60CD">
        <w:rPr>
          <w:highlight w:val="yellow"/>
        </w:rPr>
        <w:t>]]</w:t>
      </w:r>
    </w:p>
    <w:p w14:paraId="376D0D71" w14:textId="77777777" w:rsidR="00592D87" w:rsidRPr="00226222" w:rsidRDefault="00510425" w:rsidP="00226222">
      <w:pPr>
        <w:pStyle w:val="Heading2"/>
      </w:pPr>
      <w:r w:rsidRPr="00226222">
        <w:t xml:space="preserve">Appendix A - Registered health professional authorisation sheet </w:t>
      </w:r>
    </w:p>
    <w:p w14:paraId="64B7E49B" w14:textId="556758D8" w:rsidR="00510425" w:rsidRPr="00DF77C7" w:rsidRDefault="00B154E7" w:rsidP="00592D87">
      <w:pPr>
        <w:pStyle w:val="PGDNormal"/>
      </w:pPr>
      <w:r w:rsidRPr="001F60CD">
        <w:rPr>
          <w:highlight w:val="yellow"/>
        </w:rPr>
        <w:t>[[</w:t>
      </w:r>
      <w:r w:rsidR="00510425" w:rsidRPr="00DF77C7">
        <w:rPr>
          <w:highlight w:val="yellow"/>
        </w:rPr>
        <w:t>(example – local versions/electronic systems may be used)</w:t>
      </w:r>
      <w:r w:rsidRPr="001F60CD">
        <w:rPr>
          <w:highlight w:val="yellow"/>
        </w:rPr>
        <w:t>]]</w:t>
      </w:r>
    </w:p>
    <w:p w14:paraId="7DCA024B" w14:textId="77777777" w:rsidR="00510425" w:rsidRPr="00ED232C" w:rsidRDefault="00510425" w:rsidP="00ED232C">
      <w:pPr>
        <w:rPr>
          <w:rStyle w:val="PGDNormalBold"/>
        </w:rPr>
      </w:pPr>
      <w:r w:rsidRPr="00ED232C">
        <w:rPr>
          <w:rStyle w:val="PGDNormalBold"/>
        </w:rPr>
        <w:t xml:space="preserve">PGD Name/Version            Valid from:                       Expiry:  </w:t>
      </w:r>
    </w:p>
    <w:p w14:paraId="26DAAAFB" w14:textId="173EA2FC" w:rsidR="00510425" w:rsidRPr="000411B7" w:rsidRDefault="00510425" w:rsidP="007D47D1">
      <w:pPr>
        <w:pStyle w:val="PGDNormal"/>
      </w:pPr>
      <w:r w:rsidRPr="00DF77C7">
        <w:t>Before signing this PGD, check that the document has had the necessary authorisations. Without these, this PGD is not lawfully valid.</w:t>
      </w:r>
    </w:p>
    <w:p w14:paraId="2DDE258B" w14:textId="77777777" w:rsidR="00510425" w:rsidRPr="00580EBB" w:rsidRDefault="00510425" w:rsidP="00580EBB">
      <w:pPr>
        <w:pStyle w:val="Heading3"/>
      </w:pPr>
      <w:r w:rsidRPr="00580EBB">
        <w:t>Registered health professional</w:t>
      </w:r>
    </w:p>
    <w:p w14:paraId="55CAE467" w14:textId="3F801116" w:rsidR="00CA77CF" w:rsidRDefault="00510425" w:rsidP="002A6CB8">
      <w:pPr>
        <w:pStyle w:val="PGDNormal"/>
      </w:pPr>
      <w:r w:rsidRPr="00DF77C7">
        <w:t xml:space="preserve">By signing this patient group </w:t>
      </w:r>
      <w:r w:rsidR="005A6885" w:rsidRPr="00DF77C7">
        <w:t>direction,</w:t>
      </w:r>
      <w:r w:rsidRPr="00DF77C7">
        <w:t xml:space="preserve"> you are indicating that you agree to its contents and that you will work within it</w:t>
      </w:r>
      <w:r w:rsidR="006C2CDE">
        <w:t xml:space="preserve"> and agree with the following statement: </w:t>
      </w:r>
    </w:p>
    <w:p w14:paraId="3E530E7A" w14:textId="47B317A0" w:rsidR="00510425" w:rsidRPr="00DF77C7" w:rsidRDefault="00CA77CF" w:rsidP="002A6CB8">
      <w:pPr>
        <w:pStyle w:val="PGDNormal"/>
      </w:pPr>
      <w:r>
        <w:t>‘</w:t>
      </w:r>
      <w:r w:rsidR="006C2CDE" w:rsidRPr="00F57606">
        <w:t>I confirm that I have read and understood the content of this Patient Group Direction and that I am willing and competent to work to it within my professional code of conduct</w:t>
      </w:r>
      <w:r w:rsidR="006C2CDE" w:rsidRPr="00DE5424">
        <w:t>.</w:t>
      </w:r>
      <w:r>
        <w:t>’</w:t>
      </w:r>
    </w:p>
    <w:p w14:paraId="135F3504" w14:textId="77777777" w:rsidR="00510425" w:rsidRPr="00DF77C7" w:rsidRDefault="00510425" w:rsidP="002A6CB8">
      <w:pPr>
        <w:pStyle w:val="PGDNormal"/>
        <w:rPr>
          <w:rFonts w:cs="Arial"/>
        </w:rPr>
      </w:pPr>
      <w:r w:rsidRPr="00DF77C7">
        <w:rPr>
          <w:rFonts w:cs="Arial"/>
        </w:rPr>
        <w:t>Patient group directions do not remove inherent professional obligations or accountability.</w:t>
      </w:r>
    </w:p>
    <w:p w14:paraId="468193FF" w14:textId="50557E12" w:rsidR="00510425" w:rsidRDefault="00510425" w:rsidP="002A6CB8">
      <w:pPr>
        <w:pStyle w:val="PGDNormal"/>
        <w:rPr>
          <w:rFonts w:cs="Arial"/>
        </w:rPr>
      </w:pPr>
      <w:r w:rsidRPr="00DF77C7">
        <w:rPr>
          <w:rFonts w:cs="Arial"/>
        </w:rPr>
        <w:t xml:space="preserve">It is the responsibility of each professional to </w:t>
      </w:r>
      <w:r w:rsidR="00825B58" w:rsidRPr="00DF77C7">
        <w:rPr>
          <w:rFonts w:cs="Arial"/>
        </w:rPr>
        <w:t>practice</w:t>
      </w:r>
      <w:r w:rsidRPr="00DF77C7">
        <w:rPr>
          <w:rFonts w:cs="Arial"/>
        </w:rPr>
        <w:t xml:space="preserve"> only within the bounds of their own competence and professional code of conduct.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gistered Health professionals"/>
        <w:tblDescription w:val="This table details the health professionals who have signed to agree they are competent to work under this PGD. It includes 4 columns which contain name, designation, signature and date signed."/>
      </w:tblPr>
      <w:tblGrid>
        <w:gridCol w:w="2122"/>
        <w:gridCol w:w="2551"/>
        <w:gridCol w:w="2693"/>
        <w:gridCol w:w="1560"/>
      </w:tblGrid>
      <w:tr w:rsidR="00CA77CF" w:rsidRPr="00DF77C7" w14:paraId="7F978961" w14:textId="77777777" w:rsidTr="00600F2A">
        <w:trPr>
          <w:tblHeader/>
        </w:trPr>
        <w:tc>
          <w:tcPr>
            <w:tcW w:w="2122" w:type="dxa"/>
          </w:tcPr>
          <w:p w14:paraId="1BE651D3" w14:textId="0A987DF7" w:rsidR="00CA77CF" w:rsidRPr="00DF77C7" w:rsidRDefault="00CA77CF" w:rsidP="00ED232C">
            <w:pPr>
              <w:pStyle w:val="TableHeaderRow"/>
            </w:pPr>
            <w:r w:rsidRPr="00DF77C7">
              <w:t>Name</w:t>
            </w:r>
          </w:p>
        </w:tc>
        <w:tc>
          <w:tcPr>
            <w:tcW w:w="2551" w:type="dxa"/>
          </w:tcPr>
          <w:p w14:paraId="6DDDD4A1" w14:textId="77777777" w:rsidR="00CA77CF" w:rsidRPr="00DF77C7" w:rsidRDefault="00CA77CF" w:rsidP="00ED232C">
            <w:pPr>
              <w:pStyle w:val="TableHeaderRow"/>
            </w:pPr>
            <w:r w:rsidRPr="00DF77C7">
              <w:t>Designation</w:t>
            </w:r>
          </w:p>
        </w:tc>
        <w:tc>
          <w:tcPr>
            <w:tcW w:w="2693" w:type="dxa"/>
          </w:tcPr>
          <w:p w14:paraId="7233218A" w14:textId="77777777" w:rsidR="00CA77CF" w:rsidRPr="00DF77C7" w:rsidRDefault="00CA77CF" w:rsidP="00ED232C">
            <w:pPr>
              <w:pStyle w:val="TableHeaderRow"/>
            </w:pPr>
            <w:r w:rsidRPr="00DF77C7">
              <w:t>Signature</w:t>
            </w:r>
          </w:p>
        </w:tc>
        <w:tc>
          <w:tcPr>
            <w:tcW w:w="1560" w:type="dxa"/>
          </w:tcPr>
          <w:p w14:paraId="2E9AB17B" w14:textId="77777777" w:rsidR="00CA77CF" w:rsidRPr="00DF77C7" w:rsidRDefault="00CA77CF" w:rsidP="00ED232C">
            <w:pPr>
              <w:pStyle w:val="TableHeaderRow"/>
            </w:pPr>
            <w:r w:rsidRPr="00DF77C7">
              <w:t>Date</w:t>
            </w:r>
          </w:p>
        </w:tc>
      </w:tr>
      <w:tr w:rsidR="00CA77CF" w:rsidRPr="00DF77C7" w14:paraId="61E63983" w14:textId="77777777" w:rsidTr="00600F2A">
        <w:tc>
          <w:tcPr>
            <w:tcW w:w="2122" w:type="dxa"/>
          </w:tcPr>
          <w:p w14:paraId="737E5C4D" w14:textId="6548B609" w:rsidR="00CA77CF" w:rsidRPr="00DF77C7" w:rsidRDefault="00CA77CF" w:rsidP="00ED232C">
            <w:pPr>
              <w:pStyle w:val="Tabletext"/>
            </w:pPr>
          </w:p>
          <w:p w14:paraId="51A7DECC" w14:textId="77777777" w:rsidR="00CA77CF" w:rsidRPr="00DF77C7" w:rsidRDefault="00CA77CF" w:rsidP="00ED232C">
            <w:pPr>
              <w:pStyle w:val="Tabletext"/>
            </w:pPr>
          </w:p>
        </w:tc>
        <w:tc>
          <w:tcPr>
            <w:tcW w:w="2551" w:type="dxa"/>
          </w:tcPr>
          <w:p w14:paraId="301B1672" w14:textId="77777777" w:rsidR="00CA77CF" w:rsidRPr="00DF77C7" w:rsidRDefault="00CA77CF" w:rsidP="00ED232C">
            <w:pPr>
              <w:pStyle w:val="Tabletext"/>
            </w:pPr>
          </w:p>
        </w:tc>
        <w:tc>
          <w:tcPr>
            <w:tcW w:w="2693" w:type="dxa"/>
          </w:tcPr>
          <w:p w14:paraId="1A38E131" w14:textId="77777777" w:rsidR="00CA77CF" w:rsidRPr="00DF77C7" w:rsidRDefault="00CA77CF" w:rsidP="00ED232C">
            <w:pPr>
              <w:pStyle w:val="Tabletext"/>
            </w:pPr>
          </w:p>
        </w:tc>
        <w:tc>
          <w:tcPr>
            <w:tcW w:w="1560" w:type="dxa"/>
          </w:tcPr>
          <w:p w14:paraId="1323DD1C" w14:textId="77777777" w:rsidR="00CA77CF" w:rsidRPr="00DF77C7" w:rsidRDefault="00CA77CF" w:rsidP="00ED232C">
            <w:pPr>
              <w:pStyle w:val="Tabletext"/>
            </w:pPr>
          </w:p>
        </w:tc>
      </w:tr>
      <w:tr w:rsidR="00CA77CF" w:rsidRPr="00DF77C7" w14:paraId="7C334CD9" w14:textId="77777777" w:rsidTr="00600F2A">
        <w:tc>
          <w:tcPr>
            <w:tcW w:w="2122" w:type="dxa"/>
          </w:tcPr>
          <w:p w14:paraId="58393539" w14:textId="30038A4B" w:rsidR="00CA77CF" w:rsidRPr="00DF77C7" w:rsidRDefault="00CA77CF" w:rsidP="00ED232C">
            <w:pPr>
              <w:pStyle w:val="Tabletext"/>
            </w:pPr>
          </w:p>
          <w:p w14:paraId="25BBB55C" w14:textId="77777777" w:rsidR="00CA77CF" w:rsidRPr="00DF77C7" w:rsidRDefault="00CA77CF" w:rsidP="00ED232C">
            <w:pPr>
              <w:pStyle w:val="Tabletext"/>
            </w:pPr>
          </w:p>
        </w:tc>
        <w:tc>
          <w:tcPr>
            <w:tcW w:w="2551" w:type="dxa"/>
          </w:tcPr>
          <w:p w14:paraId="2D29423F" w14:textId="77777777" w:rsidR="00CA77CF" w:rsidRPr="00DF77C7" w:rsidRDefault="00CA77CF" w:rsidP="00ED232C">
            <w:pPr>
              <w:pStyle w:val="Tabletext"/>
            </w:pPr>
          </w:p>
        </w:tc>
        <w:tc>
          <w:tcPr>
            <w:tcW w:w="2693" w:type="dxa"/>
          </w:tcPr>
          <w:p w14:paraId="22DF2ABA" w14:textId="77777777" w:rsidR="00CA77CF" w:rsidRPr="00DF77C7" w:rsidRDefault="00CA77CF" w:rsidP="00ED232C">
            <w:pPr>
              <w:pStyle w:val="Tabletext"/>
            </w:pPr>
          </w:p>
        </w:tc>
        <w:tc>
          <w:tcPr>
            <w:tcW w:w="1560" w:type="dxa"/>
          </w:tcPr>
          <w:p w14:paraId="6676F21E" w14:textId="77777777" w:rsidR="00CA77CF" w:rsidRPr="00DF77C7" w:rsidRDefault="00CA77CF" w:rsidP="00ED232C">
            <w:pPr>
              <w:pStyle w:val="Tabletext"/>
            </w:pPr>
          </w:p>
        </w:tc>
      </w:tr>
      <w:tr w:rsidR="00CA77CF" w:rsidRPr="00DF77C7" w14:paraId="0F870408" w14:textId="77777777" w:rsidTr="00600F2A">
        <w:tc>
          <w:tcPr>
            <w:tcW w:w="2122" w:type="dxa"/>
          </w:tcPr>
          <w:p w14:paraId="5CE778EF" w14:textId="243043BE" w:rsidR="00CA77CF" w:rsidRPr="00DF77C7" w:rsidRDefault="00CA77CF" w:rsidP="00ED232C">
            <w:pPr>
              <w:pStyle w:val="Tabletext"/>
            </w:pPr>
          </w:p>
          <w:p w14:paraId="3717604C" w14:textId="77777777" w:rsidR="00CA77CF" w:rsidRPr="00DF77C7" w:rsidRDefault="00CA77CF" w:rsidP="00ED232C">
            <w:pPr>
              <w:pStyle w:val="Tabletext"/>
            </w:pPr>
          </w:p>
        </w:tc>
        <w:tc>
          <w:tcPr>
            <w:tcW w:w="2551" w:type="dxa"/>
          </w:tcPr>
          <w:p w14:paraId="16D62252" w14:textId="77777777" w:rsidR="00CA77CF" w:rsidRPr="00DF77C7" w:rsidRDefault="00CA77CF" w:rsidP="00ED232C">
            <w:pPr>
              <w:pStyle w:val="Tabletext"/>
            </w:pPr>
          </w:p>
        </w:tc>
        <w:tc>
          <w:tcPr>
            <w:tcW w:w="2693" w:type="dxa"/>
          </w:tcPr>
          <w:p w14:paraId="2FEF6E0B" w14:textId="77777777" w:rsidR="00CA77CF" w:rsidRPr="00DF77C7" w:rsidRDefault="00CA77CF" w:rsidP="00ED232C">
            <w:pPr>
              <w:pStyle w:val="Tabletext"/>
            </w:pPr>
          </w:p>
        </w:tc>
        <w:tc>
          <w:tcPr>
            <w:tcW w:w="1560" w:type="dxa"/>
          </w:tcPr>
          <w:p w14:paraId="0F5D7610" w14:textId="77777777" w:rsidR="00CA77CF" w:rsidRPr="00DF77C7" w:rsidRDefault="00CA77CF" w:rsidP="00ED232C">
            <w:pPr>
              <w:pStyle w:val="Tabletext"/>
            </w:pPr>
          </w:p>
        </w:tc>
      </w:tr>
      <w:tr w:rsidR="00CA77CF" w:rsidRPr="00DF77C7" w14:paraId="0626E8BC" w14:textId="77777777" w:rsidTr="00600F2A">
        <w:tc>
          <w:tcPr>
            <w:tcW w:w="2122" w:type="dxa"/>
          </w:tcPr>
          <w:p w14:paraId="49B24D92" w14:textId="7A115BB2" w:rsidR="00CA77CF" w:rsidRPr="00DF77C7" w:rsidRDefault="00CA77CF" w:rsidP="00ED232C">
            <w:pPr>
              <w:pStyle w:val="Tabletext"/>
            </w:pPr>
          </w:p>
          <w:p w14:paraId="5856A963" w14:textId="77777777" w:rsidR="00CA77CF" w:rsidRPr="00DF77C7" w:rsidRDefault="00CA77CF" w:rsidP="00ED232C">
            <w:pPr>
              <w:pStyle w:val="Tabletext"/>
            </w:pPr>
          </w:p>
        </w:tc>
        <w:tc>
          <w:tcPr>
            <w:tcW w:w="2551" w:type="dxa"/>
          </w:tcPr>
          <w:p w14:paraId="0FAD2285" w14:textId="77777777" w:rsidR="00CA77CF" w:rsidRPr="00DF77C7" w:rsidRDefault="00CA77CF" w:rsidP="00ED232C">
            <w:pPr>
              <w:pStyle w:val="Tabletext"/>
            </w:pPr>
          </w:p>
        </w:tc>
        <w:tc>
          <w:tcPr>
            <w:tcW w:w="2693" w:type="dxa"/>
          </w:tcPr>
          <w:p w14:paraId="0011FCD8" w14:textId="77777777" w:rsidR="00CA77CF" w:rsidRPr="00DF77C7" w:rsidRDefault="00CA77CF" w:rsidP="00ED232C">
            <w:pPr>
              <w:pStyle w:val="Tabletext"/>
            </w:pPr>
          </w:p>
        </w:tc>
        <w:tc>
          <w:tcPr>
            <w:tcW w:w="1560" w:type="dxa"/>
          </w:tcPr>
          <w:p w14:paraId="4D1DAA9B" w14:textId="77777777" w:rsidR="00CA77CF" w:rsidRPr="00DF77C7" w:rsidRDefault="00CA77CF" w:rsidP="00ED232C">
            <w:pPr>
              <w:pStyle w:val="Tabletext"/>
            </w:pPr>
          </w:p>
        </w:tc>
      </w:tr>
    </w:tbl>
    <w:p w14:paraId="451FFDD5" w14:textId="4C1D0839" w:rsidR="00510425" w:rsidRDefault="00510425" w:rsidP="00AA5A30">
      <w:pPr>
        <w:pStyle w:val="Heading3"/>
      </w:pPr>
      <w:r w:rsidRPr="00DF77C7">
        <w:t xml:space="preserve">Authorising manager </w:t>
      </w:r>
    </w:p>
    <w:p w14:paraId="46C3F1FD" w14:textId="2488469A" w:rsidR="00825B58" w:rsidRDefault="00825B58" w:rsidP="00825B58">
      <w:pPr>
        <w:pStyle w:val="PGDNormal"/>
        <w:rPr>
          <w:rFonts w:cs="Arial"/>
        </w:rPr>
      </w:pPr>
      <w:r w:rsidRPr="00825B58">
        <w:rPr>
          <w:rFonts w:cs="Arial"/>
        </w:rPr>
        <w:t>I confirm that the registered health professionals named above have declared themselves suitably trained and competent to work under this PGD. I give authorisation on behalf of</w:t>
      </w:r>
      <w:r w:rsidR="001A11C9">
        <w:rPr>
          <w:rFonts w:cs="Arial"/>
        </w:rPr>
        <w:t xml:space="preserve"> </w:t>
      </w:r>
      <w:r w:rsidR="004E03A1" w:rsidRPr="00387474">
        <w:rPr>
          <w:rFonts w:cs="Arial"/>
          <w:highlight w:val="cyan"/>
        </w:rPr>
        <w:t>[</w:t>
      </w:r>
      <w:r w:rsidR="00387474" w:rsidRPr="00387474">
        <w:rPr>
          <w:rFonts w:cs="Arial"/>
          <w:highlight w:val="cyan"/>
        </w:rPr>
        <w:t>i</w:t>
      </w:r>
      <w:r w:rsidR="004E03A1" w:rsidRPr="00387474">
        <w:rPr>
          <w:rFonts w:cs="Arial"/>
          <w:highlight w:val="cyan"/>
        </w:rPr>
        <w:t>nsert</w:t>
      </w:r>
      <w:r w:rsidRPr="00387474">
        <w:rPr>
          <w:rFonts w:cs="Arial"/>
          <w:highlight w:val="cyan"/>
        </w:rPr>
        <w:t xml:space="preserve"> </w:t>
      </w:r>
      <w:r w:rsidRPr="004E03A1">
        <w:rPr>
          <w:rFonts w:cs="Arial"/>
          <w:highlight w:val="cyan"/>
        </w:rPr>
        <w:t xml:space="preserve">name </w:t>
      </w:r>
      <w:r w:rsidRPr="001A11C9">
        <w:rPr>
          <w:rFonts w:cs="Arial"/>
          <w:highlight w:val="cyan"/>
        </w:rPr>
        <w:t>of organisation</w:t>
      </w:r>
      <w:r w:rsidR="001A11C9" w:rsidRPr="00387474">
        <w:rPr>
          <w:rFonts w:cs="Arial"/>
          <w:highlight w:val="cyan"/>
        </w:rPr>
        <w:t>]</w:t>
      </w:r>
      <w:r w:rsidRPr="00825B58">
        <w:rPr>
          <w:rFonts w:cs="Arial"/>
        </w:rPr>
        <w:t xml:space="preserve"> for the above-named health care professionals who have signed the PGD to work under it</w:t>
      </w:r>
    </w:p>
    <w:p w14:paraId="667E61E1" w14:textId="77777777" w:rsidR="004954F9" w:rsidRDefault="004954F9" w:rsidP="00825B58">
      <w:pPr>
        <w:pStyle w:val="PGDNormal"/>
        <w:rPr>
          <w:rFonts w:cs="Arial"/>
        </w:rPr>
      </w:pPr>
    </w:p>
    <w:p w14:paraId="0C05E2F3" w14:textId="77777777" w:rsidR="004954F9" w:rsidRDefault="004954F9" w:rsidP="00825B58">
      <w:pPr>
        <w:pStyle w:val="PGDNormal"/>
        <w:rPr>
          <w:rFonts w:cs="Arial"/>
        </w:rPr>
      </w:pPr>
    </w:p>
    <w:p w14:paraId="2AA2B17D" w14:textId="77777777" w:rsidR="004954F9" w:rsidRPr="00825B58" w:rsidRDefault="004954F9" w:rsidP="00825B58">
      <w:pPr>
        <w:pStyle w:val="PGDNormal"/>
        <w:rPr>
          <w:rFonts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uthorising Manager"/>
        <w:tblDescription w:val="This table details the authorising manager who has authorised individual Health Care Professional to work under this PGD. It contains 4 columns for name, designation, signature and date signed"/>
      </w:tblPr>
      <w:tblGrid>
        <w:gridCol w:w="2122"/>
        <w:gridCol w:w="2551"/>
        <w:gridCol w:w="2693"/>
        <w:gridCol w:w="1560"/>
      </w:tblGrid>
      <w:tr w:rsidR="00825B58" w:rsidRPr="00DF77C7" w14:paraId="08312120" w14:textId="77777777" w:rsidTr="00825B58">
        <w:tc>
          <w:tcPr>
            <w:tcW w:w="2122" w:type="dxa"/>
          </w:tcPr>
          <w:p w14:paraId="2F89D8ED" w14:textId="6261413C" w:rsidR="00825B58" w:rsidRPr="00DF77C7" w:rsidRDefault="00825B58" w:rsidP="00ED232C">
            <w:pPr>
              <w:pStyle w:val="TableHeaderRow"/>
            </w:pPr>
            <w:r w:rsidRPr="00DF77C7">
              <w:lastRenderedPageBreak/>
              <w:t>Name</w:t>
            </w:r>
          </w:p>
        </w:tc>
        <w:tc>
          <w:tcPr>
            <w:tcW w:w="2551" w:type="dxa"/>
          </w:tcPr>
          <w:p w14:paraId="5653C12E" w14:textId="77777777" w:rsidR="00825B58" w:rsidRPr="00DF77C7" w:rsidRDefault="00825B58" w:rsidP="00ED232C">
            <w:pPr>
              <w:pStyle w:val="TableHeaderRow"/>
            </w:pPr>
            <w:r w:rsidRPr="00DF77C7">
              <w:t>Designation</w:t>
            </w:r>
          </w:p>
        </w:tc>
        <w:tc>
          <w:tcPr>
            <w:tcW w:w="2693" w:type="dxa"/>
          </w:tcPr>
          <w:p w14:paraId="6626EDAE" w14:textId="77777777" w:rsidR="00825B58" w:rsidRPr="00DF77C7" w:rsidRDefault="00825B58" w:rsidP="00ED232C">
            <w:pPr>
              <w:pStyle w:val="TableHeaderRow"/>
            </w:pPr>
            <w:r w:rsidRPr="00DF77C7">
              <w:t>Signature</w:t>
            </w:r>
          </w:p>
        </w:tc>
        <w:tc>
          <w:tcPr>
            <w:tcW w:w="1560" w:type="dxa"/>
          </w:tcPr>
          <w:p w14:paraId="7E792298" w14:textId="77777777" w:rsidR="00825B58" w:rsidRPr="00DF77C7" w:rsidRDefault="00825B58" w:rsidP="00ED232C">
            <w:pPr>
              <w:pStyle w:val="TableHeaderRow"/>
            </w:pPr>
            <w:r w:rsidRPr="00DF77C7">
              <w:t>Date</w:t>
            </w:r>
          </w:p>
        </w:tc>
      </w:tr>
      <w:tr w:rsidR="00825B58" w:rsidRPr="00DF77C7" w14:paraId="0EBDF887" w14:textId="77777777" w:rsidTr="00825B58">
        <w:tc>
          <w:tcPr>
            <w:tcW w:w="2122" w:type="dxa"/>
          </w:tcPr>
          <w:p w14:paraId="5FD07E7F" w14:textId="1DD65E11" w:rsidR="00825B58" w:rsidRPr="00DF77C7" w:rsidRDefault="00825B58" w:rsidP="00ED232C">
            <w:pPr>
              <w:pStyle w:val="Tabletext"/>
            </w:pPr>
          </w:p>
          <w:p w14:paraId="5C91BEFA" w14:textId="77777777" w:rsidR="00825B58" w:rsidRPr="00DF77C7" w:rsidRDefault="00825B58" w:rsidP="00ED232C">
            <w:pPr>
              <w:pStyle w:val="Tabletext"/>
            </w:pPr>
          </w:p>
        </w:tc>
        <w:tc>
          <w:tcPr>
            <w:tcW w:w="2551" w:type="dxa"/>
          </w:tcPr>
          <w:p w14:paraId="5E586BCA" w14:textId="77777777" w:rsidR="00825B58" w:rsidRPr="00DF77C7" w:rsidRDefault="00825B58" w:rsidP="00ED232C">
            <w:pPr>
              <w:pStyle w:val="Tabletext"/>
            </w:pPr>
          </w:p>
          <w:p w14:paraId="012BFE9A" w14:textId="77777777" w:rsidR="00825B58" w:rsidRPr="00DF77C7" w:rsidRDefault="00825B58" w:rsidP="00ED232C">
            <w:pPr>
              <w:pStyle w:val="Tabletext"/>
            </w:pPr>
          </w:p>
        </w:tc>
        <w:tc>
          <w:tcPr>
            <w:tcW w:w="2693" w:type="dxa"/>
          </w:tcPr>
          <w:p w14:paraId="0FD301BC" w14:textId="77777777" w:rsidR="00825B58" w:rsidRPr="00DF77C7" w:rsidRDefault="00825B58" w:rsidP="00ED232C">
            <w:pPr>
              <w:pStyle w:val="Tabletext"/>
            </w:pPr>
          </w:p>
          <w:p w14:paraId="2CF64E15" w14:textId="77777777" w:rsidR="00825B58" w:rsidRPr="00DF77C7" w:rsidRDefault="00825B58" w:rsidP="00ED232C">
            <w:pPr>
              <w:pStyle w:val="Tabletext"/>
            </w:pPr>
          </w:p>
        </w:tc>
        <w:tc>
          <w:tcPr>
            <w:tcW w:w="1560" w:type="dxa"/>
          </w:tcPr>
          <w:p w14:paraId="001E573C" w14:textId="77777777" w:rsidR="00825B58" w:rsidRPr="00DF77C7" w:rsidRDefault="00825B58" w:rsidP="00ED232C">
            <w:pPr>
              <w:pStyle w:val="Tabletext"/>
            </w:pPr>
          </w:p>
          <w:p w14:paraId="27053B3A" w14:textId="77777777" w:rsidR="00825B58" w:rsidRPr="00DF77C7" w:rsidRDefault="00825B58" w:rsidP="00ED232C">
            <w:pPr>
              <w:pStyle w:val="Tabletext"/>
            </w:pPr>
          </w:p>
        </w:tc>
      </w:tr>
    </w:tbl>
    <w:p w14:paraId="016FF8D2" w14:textId="77777777" w:rsidR="00600F2A" w:rsidRDefault="00600F2A" w:rsidP="00293756">
      <w:pPr>
        <w:rPr>
          <w:rStyle w:val="PGDNormalBold"/>
        </w:rPr>
      </w:pPr>
    </w:p>
    <w:p w14:paraId="28F41219" w14:textId="66F5DEC4" w:rsidR="00510425" w:rsidRPr="00293756" w:rsidRDefault="00510425" w:rsidP="00293756">
      <w:pPr>
        <w:rPr>
          <w:rStyle w:val="PGDNormalBold"/>
        </w:rPr>
      </w:pPr>
      <w:r w:rsidRPr="00293756">
        <w:rPr>
          <w:rStyle w:val="PGDNormalBold"/>
        </w:rPr>
        <w:t>Note to authorising manager</w:t>
      </w:r>
    </w:p>
    <w:p w14:paraId="36670A02" w14:textId="77777777" w:rsidR="00510425" w:rsidRPr="00DF77C7" w:rsidRDefault="00510425" w:rsidP="0077187C">
      <w:pPr>
        <w:pStyle w:val="PGDNormal"/>
      </w:pPr>
      <w:r w:rsidRPr="00DF77C7">
        <w:t>Score through unused rows in the list of registered health professionals to prevent additions post managerial authorisation.</w:t>
      </w:r>
    </w:p>
    <w:p w14:paraId="29F7C469" w14:textId="77777777" w:rsidR="00510425" w:rsidRPr="00DF77C7" w:rsidRDefault="00510425" w:rsidP="0077187C">
      <w:pPr>
        <w:pStyle w:val="PGDNormal"/>
      </w:pPr>
      <w:r w:rsidRPr="00DF77C7">
        <w:t>This authorisation sheet should be retained to serve as a record of those registered health professionals authorised to work under this PGD.</w:t>
      </w:r>
    </w:p>
    <w:p w14:paraId="2136AB7D" w14:textId="7514879E" w:rsidR="00510425" w:rsidRPr="00DF77C7" w:rsidRDefault="00AC0BE9" w:rsidP="0077187C">
      <w:pPr>
        <w:pStyle w:val="PGDNormal"/>
      </w:pPr>
      <w:r w:rsidRPr="0007021C">
        <w:rPr>
          <w:highlight w:val="cyan"/>
        </w:rPr>
        <w:t>[</w:t>
      </w:r>
      <w:r w:rsidR="00510425" w:rsidRPr="00DF77C7">
        <w:rPr>
          <w:highlight w:val="cyan"/>
        </w:rPr>
        <w:t>Add details on how this information is to be retained according to organisation PGD policy</w:t>
      </w:r>
      <w:r w:rsidR="00510425" w:rsidRPr="0007021C">
        <w:rPr>
          <w:highlight w:val="cyan"/>
        </w:rPr>
        <w:t>.</w:t>
      </w:r>
      <w:r w:rsidRPr="0007021C">
        <w:rPr>
          <w:highlight w:val="cyan"/>
        </w:rPr>
        <w:t>]</w:t>
      </w:r>
    </w:p>
    <w:p w14:paraId="495DAEDB" w14:textId="77777777" w:rsidR="00E11FE0" w:rsidRDefault="00E11FE0" w:rsidP="00ED232C">
      <w:pPr>
        <w:pStyle w:val="PGDNormal"/>
      </w:pPr>
    </w:p>
    <w:sectPr w:rsidR="00E11FE0" w:rsidSect="00537E57">
      <w:headerReference w:type="even" r:id="rId30"/>
      <w:headerReference w:type="default" r:id="rId31"/>
      <w:footerReference w:type="default" r:id="rId32"/>
      <w:headerReference w:type="first" r:id="rId33"/>
      <w:pgSz w:w="11907" w:h="16840" w:code="9"/>
      <w:pgMar w:top="1134" w:right="1701"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C49CF" w14:textId="77777777" w:rsidR="00901BCB" w:rsidRPr="00DF77C7" w:rsidRDefault="00901BCB">
      <w:r w:rsidRPr="00DF77C7">
        <w:separator/>
      </w:r>
    </w:p>
  </w:endnote>
  <w:endnote w:type="continuationSeparator" w:id="0">
    <w:p w14:paraId="73FAF84C" w14:textId="77777777" w:rsidR="00901BCB" w:rsidRPr="00DF77C7" w:rsidRDefault="00901BCB">
      <w:r w:rsidRPr="00DF77C7">
        <w:continuationSeparator/>
      </w:r>
    </w:p>
  </w:endnote>
  <w:endnote w:type="continuationNotice" w:id="1">
    <w:p w14:paraId="709FC62C" w14:textId="77777777" w:rsidR="00901BCB" w:rsidRDefault="00901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F6D6" w14:textId="0875A07F" w:rsidR="007F0048" w:rsidRPr="00BC0FB3" w:rsidRDefault="005E6491" w:rsidP="00BC0FB3">
    <w:pPr>
      <w:pStyle w:val="Footer"/>
      <w:spacing w:after="0" w:line="240" w:lineRule="auto"/>
      <w:rPr>
        <w:sz w:val="22"/>
        <w:szCs w:val="22"/>
        <w:highlight w:val="cyan"/>
      </w:rPr>
    </w:pPr>
    <w:r w:rsidRPr="00BC0FB3">
      <w:rPr>
        <w:sz w:val="22"/>
        <w:szCs w:val="22"/>
        <w:highlight w:val="cyan"/>
      </w:rPr>
      <w:t>[</w:t>
    </w:r>
    <w:r w:rsidR="007F0048" w:rsidRPr="00BC0FB3">
      <w:rPr>
        <w:sz w:val="22"/>
        <w:szCs w:val="22"/>
        <w:highlight w:val="cyan"/>
      </w:rPr>
      <w:t>Reference Number:</w:t>
    </w:r>
  </w:p>
  <w:p w14:paraId="37AB56FF" w14:textId="77777777" w:rsidR="007F0048" w:rsidRPr="00BC0FB3" w:rsidRDefault="007F0048" w:rsidP="00BC0FB3">
    <w:pPr>
      <w:pStyle w:val="PGDNormal"/>
      <w:spacing w:after="0"/>
      <w:rPr>
        <w:szCs w:val="22"/>
        <w:highlight w:val="cyan"/>
      </w:rPr>
    </w:pPr>
    <w:r w:rsidRPr="00BC0FB3">
      <w:rPr>
        <w:szCs w:val="22"/>
        <w:highlight w:val="cyan"/>
      </w:rPr>
      <w:t>Valid from:</w:t>
    </w:r>
  </w:p>
  <w:p w14:paraId="433533CD" w14:textId="77777777" w:rsidR="007F0048" w:rsidRPr="00BC0FB3" w:rsidRDefault="007F0048" w:rsidP="00BC0FB3">
    <w:pPr>
      <w:pStyle w:val="Footer"/>
      <w:spacing w:after="0" w:line="240" w:lineRule="auto"/>
      <w:rPr>
        <w:sz w:val="22"/>
        <w:szCs w:val="22"/>
        <w:highlight w:val="cyan"/>
      </w:rPr>
    </w:pPr>
    <w:r w:rsidRPr="00BC0FB3">
      <w:rPr>
        <w:sz w:val="22"/>
        <w:szCs w:val="22"/>
        <w:highlight w:val="cyan"/>
      </w:rPr>
      <w:t>Review date:</w:t>
    </w:r>
  </w:p>
  <w:p w14:paraId="6B111E08" w14:textId="239AE8CD" w:rsidR="007F0048" w:rsidRPr="00DF77C7" w:rsidRDefault="007F0048" w:rsidP="00BC0FB3">
    <w:pPr>
      <w:pStyle w:val="Footer"/>
      <w:spacing w:line="240" w:lineRule="auto"/>
    </w:pPr>
    <w:r w:rsidRPr="00BC0FB3">
      <w:rPr>
        <w:sz w:val="22"/>
        <w:szCs w:val="22"/>
        <w:highlight w:val="cyan"/>
      </w:rPr>
      <w:t>Expiry date:</w:t>
    </w:r>
    <w:r w:rsidR="005E6491" w:rsidRPr="00BC0FB3">
      <w:rPr>
        <w:sz w:val="22"/>
        <w:szCs w:val="22"/>
        <w:highlight w:val="cyan"/>
      </w:rPr>
      <w:t>]</w:t>
    </w:r>
    <w:r w:rsidRPr="00DF77C7">
      <w:tab/>
    </w:r>
    <w:r w:rsidRPr="00DF77C7">
      <w:fldChar w:fldCharType="begin"/>
    </w:r>
    <w:r w:rsidRPr="00DF77C7">
      <w:instrText xml:space="preserve"> PAGE   \* MERGEFORMAT </w:instrText>
    </w:r>
    <w:r w:rsidRPr="00DF77C7">
      <w:fldChar w:fldCharType="separate"/>
    </w:r>
    <w:r w:rsidR="00B348EF" w:rsidRPr="00DF77C7">
      <w:t>12</w:t>
    </w:r>
    <w:r w:rsidRPr="00DF77C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37B4C" w14:textId="77777777" w:rsidR="00901BCB" w:rsidRPr="00DF77C7" w:rsidRDefault="00901BCB">
      <w:r w:rsidRPr="00DF77C7">
        <w:separator/>
      </w:r>
    </w:p>
  </w:footnote>
  <w:footnote w:type="continuationSeparator" w:id="0">
    <w:p w14:paraId="2F7CE062" w14:textId="77777777" w:rsidR="00901BCB" w:rsidRPr="00DF77C7" w:rsidRDefault="00901BCB">
      <w:r w:rsidRPr="00DF77C7">
        <w:continuationSeparator/>
      </w:r>
    </w:p>
  </w:footnote>
  <w:footnote w:type="continuationNotice" w:id="1">
    <w:p w14:paraId="20D59448" w14:textId="77777777" w:rsidR="00901BCB" w:rsidRDefault="00901B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5BA6" w14:textId="56F3EB4F" w:rsidR="0017669F" w:rsidRPr="00DF77C7" w:rsidRDefault="00901BCB">
    <w:pPr>
      <w:pStyle w:val="Header"/>
    </w:pPr>
    <w:r>
      <w:rPr>
        <w:noProof/>
      </w:rPr>
      <w:pict w14:anchorId="33AB8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7" o:spid="_x0000_s1032" type="#_x0000_t136" style="position:absolute;margin-left:0;margin-top:0;width:490.5pt;height:109pt;rotation:315;z-index:-251658239;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8BAA" w14:textId="187A1A8E" w:rsidR="00E60C36" w:rsidRPr="00B11B08" w:rsidRDefault="00901BCB" w:rsidP="00E27D26">
    <w:pPr>
      <w:pStyle w:val="Header"/>
      <w:rPr>
        <w:sz w:val="16"/>
        <w:szCs w:val="16"/>
      </w:rPr>
    </w:pPr>
    <w:r>
      <w:rPr>
        <w:noProof/>
        <w:sz w:val="22"/>
        <w:szCs w:val="22"/>
      </w:rPr>
      <w:pict w14:anchorId="73A8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8" o:spid="_x0000_s1033" type="#_x0000_t136" style="position:absolute;margin-left:0;margin-top:0;width:490.5pt;height:109pt;rotation:315;z-index:-251658238;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r w:rsidR="00B11B08" w:rsidRPr="00B11B08">
      <w:rPr>
        <w:sz w:val="16"/>
        <w:szCs w:val="16"/>
      </w:rPr>
      <w:t xml:space="preserve">Text </w:t>
    </w:r>
    <w:r w:rsidR="009C2AEE" w:rsidRPr="006C66B8">
      <w:rPr>
        <w:sz w:val="16"/>
        <w:szCs w:val="16"/>
        <w:highlight w:val="cyan"/>
      </w:rPr>
      <w:t>[</w:t>
    </w:r>
    <w:r w:rsidR="00B11B08" w:rsidRPr="00BA6AF1">
      <w:rPr>
        <w:sz w:val="16"/>
        <w:szCs w:val="16"/>
        <w:highlight w:val="cyan"/>
      </w:rPr>
      <w:t xml:space="preserve">highlighted in </w:t>
    </w:r>
    <w:r w:rsidR="00B11B08" w:rsidRPr="009C2AEE">
      <w:rPr>
        <w:sz w:val="16"/>
        <w:szCs w:val="16"/>
        <w:highlight w:val="cyan"/>
      </w:rPr>
      <w:t>blue</w:t>
    </w:r>
    <w:r w:rsidR="009C2AEE" w:rsidRPr="009C2AEE">
      <w:rPr>
        <w:sz w:val="16"/>
        <w:szCs w:val="16"/>
        <w:highlight w:val="cyan"/>
      </w:rPr>
      <w:t xml:space="preserve"> and in </w:t>
    </w:r>
    <w:r w:rsidR="005E6491">
      <w:rPr>
        <w:sz w:val="16"/>
        <w:szCs w:val="16"/>
        <w:highlight w:val="cyan"/>
      </w:rPr>
      <w:t xml:space="preserve">single </w:t>
    </w:r>
    <w:r w:rsidR="009C2AEE" w:rsidRPr="009C2AEE">
      <w:rPr>
        <w:sz w:val="16"/>
        <w:szCs w:val="16"/>
        <w:highlight w:val="cyan"/>
      </w:rPr>
      <w:t>square brackets</w:t>
    </w:r>
    <w:r w:rsidR="009C2AEE" w:rsidRPr="006C66B8">
      <w:rPr>
        <w:sz w:val="16"/>
        <w:szCs w:val="16"/>
        <w:highlight w:val="cyan"/>
      </w:rPr>
      <w:t>]</w:t>
    </w:r>
    <w:r w:rsidR="00B11B08" w:rsidRPr="00B11B08">
      <w:rPr>
        <w:sz w:val="16"/>
        <w:szCs w:val="16"/>
      </w:rPr>
      <w:t xml:space="preserve"> should be replaced with the user organisation’s own text. Text </w:t>
    </w:r>
    <w:r w:rsidR="005E6491" w:rsidRPr="006C66B8">
      <w:rPr>
        <w:sz w:val="16"/>
        <w:szCs w:val="16"/>
        <w:highlight w:val="yellow"/>
      </w:rPr>
      <w:t>[[</w:t>
    </w:r>
    <w:r w:rsidR="00B11B08" w:rsidRPr="005E6491">
      <w:rPr>
        <w:sz w:val="16"/>
        <w:szCs w:val="16"/>
        <w:highlight w:val="yellow"/>
      </w:rPr>
      <w:t xml:space="preserve">highlighted in yellow </w:t>
    </w:r>
    <w:r w:rsidR="005E6491" w:rsidRPr="005E6491">
      <w:rPr>
        <w:sz w:val="16"/>
        <w:szCs w:val="16"/>
        <w:highlight w:val="yellow"/>
      </w:rPr>
      <w:t>and in double square bracket</w:t>
    </w:r>
    <w:r w:rsidR="005E6491" w:rsidRPr="006C66B8">
      <w:rPr>
        <w:sz w:val="16"/>
        <w:szCs w:val="16"/>
        <w:highlight w:val="yellow"/>
      </w:rPr>
      <w:t>s]]</w:t>
    </w:r>
    <w:r w:rsidR="005E6491">
      <w:rPr>
        <w:sz w:val="16"/>
        <w:szCs w:val="16"/>
      </w:rPr>
      <w:t xml:space="preserve"> </w:t>
    </w:r>
    <w:r w:rsidR="00B11B08" w:rsidRPr="00B11B08">
      <w:rPr>
        <w:sz w:val="16"/>
        <w:szCs w:val="16"/>
      </w:rPr>
      <w:t>is advisory text and should be removed in final authorised versions of the PGD.  It is advised that all non-highlighted text remains in final authorised versions</w:t>
    </w:r>
    <w:r w:rsidR="00BA6AF1">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8BE0" w14:textId="3CDA4B89" w:rsidR="0017669F" w:rsidRPr="00DF77C7" w:rsidRDefault="00901BCB">
    <w:pPr>
      <w:pStyle w:val="Header"/>
    </w:pPr>
    <w:r>
      <w:rPr>
        <w:noProof/>
      </w:rPr>
      <w:pict w14:anchorId="55691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845796" o:spid="_x0000_s1031" type="#_x0000_t136" style="position:absolute;margin-left:0;margin-top:0;width:490.5pt;height:109pt;rotation:315;z-index:-251658240;mso-position-horizontal:center;mso-position-horizontal-relative:margin;mso-position-vertical:center;mso-position-vertical-relative:margin" o:allowincell="f" fillcolor="silver" stroked="f">
          <v:fill opacity=".5"/>
          <v:textpath style="font-family:&quot;Arial&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D7A75D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A2EE6"/>
    <w:multiLevelType w:val="hybridMultilevel"/>
    <w:tmpl w:val="CD166B02"/>
    <w:lvl w:ilvl="0" w:tplc="5688166C">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5F3E5D"/>
    <w:multiLevelType w:val="hybridMultilevel"/>
    <w:tmpl w:val="49409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1564A"/>
    <w:multiLevelType w:val="hybridMultilevel"/>
    <w:tmpl w:val="50E84E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AC7F69"/>
    <w:multiLevelType w:val="hybridMultilevel"/>
    <w:tmpl w:val="D882B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631324"/>
    <w:multiLevelType w:val="hybridMultilevel"/>
    <w:tmpl w:val="229E724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6E6770C"/>
    <w:multiLevelType w:val="hybridMultilevel"/>
    <w:tmpl w:val="CD40B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9CC3584"/>
    <w:multiLevelType w:val="multilevel"/>
    <w:tmpl w:val="721069A2"/>
    <w:name w:val="numberedheadings"/>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4" w15:restartNumberingAfterBreak="0">
    <w:nsid w:val="2FAA4B07"/>
    <w:multiLevelType w:val="hybridMultilevel"/>
    <w:tmpl w:val="2A045A7E"/>
    <w:lvl w:ilvl="0" w:tplc="B3BEF374">
      <w:start w:val="1"/>
      <w:numFmt w:val="bullet"/>
      <w:pStyle w:val="Bulletosteotable"/>
      <w:lvlText w:val=""/>
      <w:lvlJc w:val="left"/>
      <w:pPr>
        <w:tabs>
          <w:tab w:val="num" w:pos="170"/>
        </w:tabs>
        <w:ind w:left="170"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A7197A"/>
    <w:multiLevelType w:val="hybridMultilevel"/>
    <w:tmpl w:val="73A63A08"/>
    <w:lvl w:ilvl="0" w:tplc="EFD0A54A">
      <w:start w:val="1"/>
      <w:numFmt w:val="decimal"/>
      <w:pStyle w:val="Questio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63649E"/>
    <w:multiLevelType w:val="hybridMultilevel"/>
    <w:tmpl w:val="C3FC10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B80C82"/>
    <w:multiLevelType w:val="hybridMultilevel"/>
    <w:tmpl w:val="38B83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23936E4"/>
    <w:multiLevelType w:val="hybridMultilevel"/>
    <w:tmpl w:val="EAC40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5CF6184"/>
    <w:multiLevelType w:val="hybridMultilevel"/>
    <w:tmpl w:val="C1EE57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847CDA"/>
    <w:multiLevelType w:val="multilevel"/>
    <w:tmpl w:val="F9ACD9D0"/>
    <w:lvl w:ilvl="0">
      <w:start w:val="1"/>
      <w:numFmt w:val="bullet"/>
      <w:pStyle w:val="bulletdoubleindentosteo"/>
      <w:lvlText w:val=""/>
      <w:lvlJc w:val="left"/>
      <w:pPr>
        <w:tabs>
          <w:tab w:val="num" w:pos="3455"/>
        </w:tabs>
        <w:ind w:left="3455" w:hanging="284"/>
      </w:pPr>
      <w:rPr>
        <w:rFonts w:ascii="Symbol" w:hAnsi="Symbol" w:hint="default"/>
        <w:sz w:val="22"/>
      </w:rPr>
    </w:lvl>
    <w:lvl w:ilvl="1">
      <w:start w:val="1"/>
      <w:numFmt w:val="bullet"/>
      <w:lvlText w:val=""/>
      <w:lvlJc w:val="left"/>
      <w:pPr>
        <w:tabs>
          <w:tab w:val="num" w:pos="1418"/>
        </w:tabs>
        <w:ind w:left="1418" w:hanging="284"/>
      </w:pPr>
      <w:rPr>
        <w:rFonts w:ascii="Wingdings" w:hAnsi="Wingdings" w:hint="default"/>
        <w:sz w:val="22"/>
      </w:rPr>
    </w:lvl>
    <w:lvl w:ilvl="2">
      <w:start w:val="1"/>
      <w:numFmt w:val="bullet"/>
      <w:lvlText w:val=""/>
      <w:lvlJc w:val="left"/>
      <w:pPr>
        <w:tabs>
          <w:tab w:val="num" w:pos="2214"/>
        </w:tabs>
        <w:ind w:left="2214" w:hanging="360"/>
      </w:pPr>
      <w:rPr>
        <w:rFonts w:ascii="Wingdings" w:hAnsi="Wingdings" w:hint="default"/>
      </w:rPr>
    </w:lvl>
    <w:lvl w:ilvl="3">
      <w:start w:val="1"/>
      <w:numFmt w:val="bullet"/>
      <w:lvlText w:val=""/>
      <w:lvlJc w:val="left"/>
      <w:pPr>
        <w:tabs>
          <w:tab w:val="num" w:pos="2934"/>
        </w:tabs>
        <w:ind w:left="2934" w:hanging="360"/>
      </w:pPr>
      <w:rPr>
        <w:rFonts w:ascii="Symbol" w:hAnsi="Symbol" w:hint="default"/>
      </w:rPr>
    </w:lvl>
    <w:lvl w:ilvl="4">
      <w:start w:val="1"/>
      <w:numFmt w:val="bullet"/>
      <w:lvlText w:val="o"/>
      <w:lvlJc w:val="left"/>
      <w:pPr>
        <w:tabs>
          <w:tab w:val="num" w:pos="3654"/>
        </w:tabs>
        <w:ind w:left="3654" w:hanging="360"/>
      </w:pPr>
      <w:rPr>
        <w:rFonts w:ascii="Courier New" w:hAnsi="Courier New" w:cs="Courier New" w:hint="default"/>
      </w:rPr>
    </w:lvl>
    <w:lvl w:ilvl="5">
      <w:start w:val="1"/>
      <w:numFmt w:val="bullet"/>
      <w:lvlText w:val=""/>
      <w:lvlJc w:val="left"/>
      <w:pPr>
        <w:tabs>
          <w:tab w:val="num" w:pos="4374"/>
        </w:tabs>
        <w:ind w:left="4374" w:hanging="360"/>
      </w:pPr>
      <w:rPr>
        <w:rFonts w:ascii="Wingdings" w:hAnsi="Wingdings" w:hint="default"/>
      </w:rPr>
    </w:lvl>
    <w:lvl w:ilvl="6">
      <w:start w:val="1"/>
      <w:numFmt w:val="bullet"/>
      <w:lvlText w:val=""/>
      <w:lvlJc w:val="left"/>
      <w:pPr>
        <w:tabs>
          <w:tab w:val="num" w:pos="5094"/>
        </w:tabs>
        <w:ind w:left="5094" w:hanging="360"/>
      </w:pPr>
      <w:rPr>
        <w:rFonts w:ascii="Symbol" w:hAnsi="Symbol" w:hint="default"/>
      </w:rPr>
    </w:lvl>
    <w:lvl w:ilvl="7">
      <w:start w:val="1"/>
      <w:numFmt w:val="bullet"/>
      <w:lvlText w:val="o"/>
      <w:lvlJc w:val="left"/>
      <w:pPr>
        <w:tabs>
          <w:tab w:val="num" w:pos="5814"/>
        </w:tabs>
        <w:ind w:left="5814" w:hanging="360"/>
      </w:pPr>
      <w:rPr>
        <w:rFonts w:ascii="Courier New" w:hAnsi="Courier New" w:cs="Courier New" w:hint="default"/>
      </w:rPr>
    </w:lvl>
    <w:lvl w:ilvl="8">
      <w:start w:val="1"/>
      <w:numFmt w:val="bullet"/>
      <w:lvlText w:val=""/>
      <w:lvlJc w:val="left"/>
      <w:pPr>
        <w:tabs>
          <w:tab w:val="num" w:pos="6534"/>
        </w:tabs>
        <w:ind w:left="6534" w:hanging="360"/>
      </w:pPr>
      <w:rPr>
        <w:rFonts w:ascii="Wingdings" w:hAnsi="Wingdings" w:hint="default"/>
      </w:rPr>
    </w:lvl>
  </w:abstractNum>
  <w:abstractNum w:abstractNumId="23" w15:restartNumberingAfterBreak="0">
    <w:nsid w:val="53B04832"/>
    <w:multiLevelType w:val="hybridMultilevel"/>
    <w:tmpl w:val="B82265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71B6A30"/>
    <w:multiLevelType w:val="hybridMultilevel"/>
    <w:tmpl w:val="FC60AE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1BC3590"/>
    <w:multiLevelType w:val="multilevel"/>
    <w:tmpl w:val="D0E8DCF2"/>
    <w:lvl w:ilvl="0">
      <w:start w:val="1"/>
      <w:numFmt w:val="decimal"/>
      <w:lvlText w:val="%1"/>
      <w:lvlJc w:val="left"/>
      <w:pPr>
        <w:tabs>
          <w:tab w:val="num" w:pos="432"/>
        </w:tabs>
        <w:ind w:left="432" w:hanging="432"/>
      </w:pPr>
      <w:rPr>
        <w:rFonts w:hint="default"/>
      </w:rPr>
    </w:lvl>
    <w:lvl w:ilvl="1">
      <w:start w:val="1"/>
      <w:numFmt w:val="decimal"/>
      <w:pStyle w:val="Level2text"/>
      <w:lvlText w:val="3.%2"/>
      <w:lvlJc w:val="left"/>
      <w:pPr>
        <w:tabs>
          <w:tab w:val="num" w:pos="918"/>
        </w:tabs>
        <w:ind w:left="918" w:hanging="576"/>
      </w:pPr>
      <w:rPr>
        <w:rFonts w:hint="default"/>
      </w:rPr>
    </w:lvl>
    <w:lvl w:ilvl="2">
      <w:start w:val="1"/>
      <w:numFmt w:val="decimal"/>
      <w:lvlText w:val="%1.%2.%3"/>
      <w:lvlJc w:val="left"/>
      <w:pPr>
        <w:tabs>
          <w:tab w:val="num" w:pos="720"/>
        </w:tabs>
        <w:ind w:left="510" w:hanging="51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1">
    <w:nsid w:val="6E1A26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F2775DA"/>
    <w:multiLevelType w:val="multilevel"/>
    <w:tmpl w:val="A02AD90C"/>
    <w:lvl w:ilvl="0">
      <w:start w:val="1"/>
      <w:numFmt w:val="bullet"/>
      <w:pStyle w:val="bulletosteoporosis"/>
      <w:lvlText w:val=""/>
      <w:lvlJc w:val="left"/>
      <w:pPr>
        <w:tabs>
          <w:tab w:val="num" w:pos="851"/>
        </w:tabs>
        <w:ind w:left="851" w:hanging="284"/>
      </w:pPr>
      <w:rPr>
        <w:rFonts w:ascii="Symbol" w:hAnsi="Symbol" w:hint="default"/>
        <w:sz w:val="22"/>
        <w:szCs w:val="22"/>
      </w:rPr>
    </w:lvl>
    <w:lvl w:ilvl="1">
      <w:start w:val="1"/>
      <w:numFmt w:val="bullet"/>
      <w:lvlText w:val="o"/>
      <w:lvlJc w:val="left"/>
      <w:pPr>
        <w:tabs>
          <w:tab w:val="num" w:pos="-713"/>
        </w:tabs>
        <w:ind w:left="-713" w:hanging="360"/>
      </w:pPr>
      <w:rPr>
        <w:rFonts w:ascii="Courier New" w:hAnsi="Courier New" w:cs="Courier New" w:hint="default"/>
        <w:sz w:val="22"/>
        <w:szCs w:val="22"/>
      </w:rPr>
    </w:lvl>
    <w:lvl w:ilvl="2">
      <w:start w:val="1"/>
      <w:numFmt w:val="bullet"/>
      <w:lvlText w:val=""/>
      <w:lvlJc w:val="left"/>
      <w:pPr>
        <w:tabs>
          <w:tab w:val="num" w:pos="7"/>
        </w:tabs>
        <w:ind w:left="7" w:hanging="360"/>
      </w:pPr>
      <w:rPr>
        <w:rFonts w:ascii="Wingdings" w:hAnsi="Wingdings" w:hint="default"/>
      </w:rPr>
    </w:lvl>
    <w:lvl w:ilvl="3">
      <w:start w:val="1"/>
      <w:numFmt w:val="bullet"/>
      <w:lvlText w:val=""/>
      <w:lvlJc w:val="left"/>
      <w:pPr>
        <w:tabs>
          <w:tab w:val="num" w:pos="727"/>
        </w:tabs>
        <w:ind w:left="727" w:hanging="360"/>
      </w:pPr>
      <w:rPr>
        <w:rFonts w:ascii="Symbol" w:hAnsi="Symbol" w:hint="default"/>
      </w:rPr>
    </w:lvl>
    <w:lvl w:ilvl="4">
      <w:start w:val="1"/>
      <w:numFmt w:val="bullet"/>
      <w:lvlText w:val="o"/>
      <w:lvlJc w:val="left"/>
      <w:pPr>
        <w:tabs>
          <w:tab w:val="num" w:pos="1447"/>
        </w:tabs>
        <w:ind w:left="1447" w:hanging="360"/>
      </w:pPr>
      <w:rPr>
        <w:rFonts w:ascii="Courier New" w:hAnsi="Courier New" w:cs="Courier New" w:hint="default"/>
      </w:rPr>
    </w:lvl>
    <w:lvl w:ilvl="5">
      <w:start w:val="1"/>
      <w:numFmt w:val="bullet"/>
      <w:lvlText w:val=""/>
      <w:lvlJc w:val="left"/>
      <w:pPr>
        <w:tabs>
          <w:tab w:val="num" w:pos="2167"/>
        </w:tabs>
        <w:ind w:left="2167" w:hanging="360"/>
      </w:pPr>
      <w:rPr>
        <w:rFonts w:ascii="Wingdings" w:hAnsi="Wingdings" w:hint="default"/>
      </w:rPr>
    </w:lvl>
    <w:lvl w:ilvl="6">
      <w:start w:val="1"/>
      <w:numFmt w:val="bullet"/>
      <w:lvlText w:val=""/>
      <w:lvlJc w:val="left"/>
      <w:pPr>
        <w:tabs>
          <w:tab w:val="num" w:pos="2887"/>
        </w:tabs>
        <w:ind w:left="2887" w:hanging="360"/>
      </w:pPr>
      <w:rPr>
        <w:rFonts w:ascii="Symbol" w:hAnsi="Symbol" w:hint="default"/>
      </w:rPr>
    </w:lvl>
    <w:lvl w:ilvl="7">
      <w:start w:val="1"/>
      <w:numFmt w:val="bullet"/>
      <w:lvlText w:val="o"/>
      <w:lvlJc w:val="left"/>
      <w:pPr>
        <w:tabs>
          <w:tab w:val="num" w:pos="3607"/>
        </w:tabs>
        <w:ind w:left="3607" w:hanging="360"/>
      </w:pPr>
      <w:rPr>
        <w:rFonts w:ascii="Courier New" w:hAnsi="Courier New" w:cs="Courier New" w:hint="default"/>
      </w:rPr>
    </w:lvl>
    <w:lvl w:ilvl="8">
      <w:start w:val="1"/>
      <w:numFmt w:val="bullet"/>
      <w:lvlText w:val=""/>
      <w:lvlJc w:val="left"/>
      <w:pPr>
        <w:tabs>
          <w:tab w:val="num" w:pos="4327"/>
        </w:tabs>
        <w:ind w:left="4327" w:hanging="360"/>
      </w:pPr>
      <w:rPr>
        <w:rFonts w:ascii="Wingdings" w:hAnsi="Wingdings" w:hint="default"/>
      </w:rPr>
    </w:lvl>
  </w:abstractNum>
  <w:abstractNum w:abstractNumId="31" w15:restartNumberingAfterBreak="0">
    <w:nsid w:val="77CA4AB4"/>
    <w:multiLevelType w:val="multilevel"/>
    <w:tmpl w:val="0CA2F882"/>
    <w:lvl w:ilvl="0">
      <w:start w:val="1"/>
      <w:numFmt w:val="bullet"/>
      <w:pStyle w:val="bulletdoubleindent"/>
      <w:lvlText w:val="─"/>
      <w:lvlJc w:val="left"/>
      <w:pPr>
        <w:tabs>
          <w:tab w:val="num" w:pos="1417"/>
        </w:tabs>
        <w:ind w:left="1417" w:hanging="283"/>
      </w:pPr>
      <w:rPr>
        <w:rFonts w:ascii="Century Gothic" w:hAnsi="Century Gothic"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2" w15:restartNumberingAfterBreak="0">
    <w:nsid w:val="77E553EF"/>
    <w:multiLevelType w:val="multilevel"/>
    <w:tmpl w:val="B17449CC"/>
    <w:lvl w:ilvl="0">
      <w:start w:val="1"/>
      <w:numFmt w:val="bullet"/>
      <w:pStyle w:val="bulletindentosteo"/>
      <w:lvlText w:val="o"/>
      <w:lvlJc w:val="left"/>
      <w:pPr>
        <w:tabs>
          <w:tab w:val="num" w:pos="1134"/>
        </w:tabs>
        <w:ind w:left="1134" w:hanging="283"/>
      </w:pPr>
      <w:rPr>
        <w:rFonts w:ascii="Courier New" w:hAnsi="Courier New" w:hint="default"/>
        <w:sz w:val="22"/>
      </w:rPr>
    </w:lvl>
    <w:lvl w:ilvl="1">
      <w:start w:val="1"/>
      <w:numFmt w:val="bullet"/>
      <w:lvlText w:val="o"/>
      <w:lvlJc w:val="left"/>
      <w:pPr>
        <w:tabs>
          <w:tab w:val="num" w:pos="-2812"/>
        </w:tabs>
        <w:ind w:left="-2812" w:hanging="360"/>
      </w:pPr>
      <w:rPr>
        <w:rFonts w:ascii="Courier New" w:hAnsi="Courier New" w:cs="Courier New" w:hint="default"/>
        <w:sz w:val="22"/>
        <w:szCs w:val="22"/>
      </w:rPr>
    </w:lvl>
    <w:lvl w:ilvl="2">
      <w:start w:val="1"/>
      <w:numFmt w:val="bullet"/>
      <w:lvlText w:val=""/>
      <w:lvlJc w:val="left"/>
      <w:pPr>
        <w:tabs>
          <w:tab w:val="num" w:pos="-2092"/>
        </w:tabs>
        <w:ind w:left="-2092" w:hanging="360"/>
      </w:pPr>
      <w:rPr>
        <w:rFonts w:ascii="Wingdings" w:hAnsi="Wingdings" w:hint="default"/>
      </w:rPr>
    </w:lvl>
    <w:lvl w:ilvl="3">
      <w:start w:val="1"/>
      <w:numFmt w:val="bullet"/>
      <w:lvlText w:val=""/>
      <w:lvlJc w:val="left"/>
      <w:pPr>
        <w:tabs>
          <w:tab w:val="num" w:pos="-1372"/>
        </w:tabs>
        <w:ind w:left="-1372" w:hanging="360"/>
      </w:pPr>
      <w:rPr>
        <w:rFonts w:ascii="Symbol" w:hAnsi="Symbol" w:hint="default"/>
      </w:rPr>
    </w:lvl>
    <w:lvl w:ilvl="4">
      <w:start w:val="1"/>
      <w:numFmt w:val="bullet"/>
      <w:lvlText w:val="o"/>
      <w:lvlJc w:val="left"/>
      <w:pPr>
        <w:tabs>
          <w:tab w:val="num" w:pos="-652"/>
        </w:tabs>
        <w:ind w:left="-652" w:hanging="360"/>
      </w:pPr>
      <w:rPr>
        <w:rFonts w:ascii="Courier New" w:hAnsi="Courier New" w:cs="Courier New" w:hint="default"/>
      </w:rPr>
    </w:lvl>
    <w:lvl w:ilvl="5">
      <w:start w:val="1"/>
      <w:numFmt w:val="bullet"/>
      <w:lvlText w:val=""/>
      <w:lvlJc w:val="left"/>
      <w:pPr>
        <w:tabs>
          <w:tab w:val="num" w:pos="68"/>
        </w:tabs>
        <w:ind w:left="68" w:hanging="360"/>
      </w:pPr>
      <w:rPr>
        <w:rFonts w:ascii="Wingdings" w:hAnsi="Wingdings" w:hint="default"/>
      </w:rPr>
    </w:lvl>
    <w:lvl w:ilvl="6">
      <w:start w:val="1"/>
      <w:numFmt w:val="bullet"/>
      <w:lvlText w:val=""/>
      <w:lvlJc w:val="left"/>
      <w:pPr>
        <w:tabs>
          <w:tab w:val="num" w:pos="788"/>
        </w:tabs>
        <w:ind w:left="788" w:hanging="360"/>
      </w:pPr>
      <w:rPr>
        <w:rFonts w:ascii="Symbol" w:hAnsi="Symbol" w:hint="default"/>
      </w:rPr>
    </w:lvl>
    <w:lvl w:ilvl="7">
      <w:start w:val="1"/>
      <w:numFmt w:val="bullet"/>
      <w:lvlText w:val="o"/>
      <w:lvlJc w:val="left"/>
      <w:pPr>
        <w:tabs>
          <w:tab w:val="num" w:pos="1508"/>
        </w:tabs>
        <w:ind w:left="1508" w:hanging="360"/>
      </w:pPr>
      <w:rPr>
        <w:rFonts w:ascii="Courier New" w:hAnsi="Courier New" w:cs="Courier New" w:hint="default"/>
      </w:rPr>
    </w:lvl>
    <w:lvl w:ilvl="8">
      <w:start w:val="1"/>
      <w:numFmt w:val="bullet"/>
      <w:lvlText w:val=""/>
      <w:lvlJc w:val="left"/>
      <w:pPr>
        <w:tabs>
          <w:tab w:val="num" w:pos="2228"/>
        </w:tabs>
        <w:ind w:left="2228" w:hanging="360"/>
      </w:pPr>
      <w:rPr>
        <w:rFonts w:ascii="Wingdings" w:hAnsi="Wingdings" w:hint="default"/>
      </w:rPr>
    </w:lvl>
  </w:abstractNum>
  <w:abstractNum w:abstractNumId="33" w15:restartNumberingAfterBreak="0">
    <w:nsid w:val="78BE70D9"/>
    <w:multiLevelType w:val="hybridMultilevel"/>
    <w:tmpl w:val="190062E8"/>
    <w:lvl w:ilvl="0" w:tplc="08090001">
      <w:start w:val="1"/>
      <w:numFmt w:val="bullet"/>
      <w:lvlText w:val=""/>
      <w:lvlJc w:val="left"/>
      <w:pPr>
        <w:ind w:left="360" w:hanging="360"/>
      </w:pPr>
      <w:rPr>
        <w:rFonts w:ascii="Symbol" w:hAnsi="Symbol" w:hint="default"/>
      </w:rPr>
    </w:lvl>
    <w:lvl w:ilvl="1" w:tplc="E0966860">
      <w:numFmt w:val="bullet"/>
      <w:lvlText w:val="•"/>
      <w:lvlJc w:val="left"/>
      <w:pPr>
        <w:ind w:left="1440" w:hanging="72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FE749B"/>
    <w:multiLevelType w:val="hybridMultilevel"/>
    <w:tmpl w:val="8BE43D3A"/>
    <w:lvl w:ilvl="0" w:tplc="31026F84">
      <w:start w:val="1"/>
      <w:numFmt w:val="bullet"/>
      <w:pStyle w:val="Bulletindent1la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626839"/>
    <w:multiLevelType w:val="multilevel"/>
    <w:tmpl w:val="3724ADF8"/>
    <w:styleLink w:val="NiceNumbering"/>
    <w:lvl w:ilvl="0">
      <w:start w:val="1"/>
      <w:numFmt w:val="decimal"/>
      <w:lvlText w:val="%1"/>
      <w:lvlJc w:val="left"/>
      <w:pPr>
        <w:tabs>
          <w:tab w:val="num" w:pos="851"/>
        </w:tabs>
        <w:ind w:left="851" w:hanging="851"/>
      </w:pPr>
      <w:rPr>
        <w:rFonts w:ascii="Arial" w:hAnsi="Arial" w:hint="default"/>
        <w:sz w:val="32"/>
      </w:rPr>
    </w:lvl>
    <w:lvl w:ilvl="1">
      <w:start w:val="1"/>
      <w:numFmt w:val="decimal"/>
      <w:lvlText w:val="%1.%2"/>
      <w:lvlJc w:val="left"/>
      <w:pPr>
        <w:tabs>
          <w:tab w:val="num" w:pos="851"/>
        </w:tabs>
        <w:ind w:left="851" w:hanging="851"/>
      </w:pPr>
      <w:rPr>
        <w:rFonts w:ascii="Arial" w:hAnsi="Arial" w:hint="default"/>
        <w:b/>
        <w:i/>
        <w:sz w:val="28"/>
        <w:szCs w:val="28"/>
      </w:rPr>
    </w:lvl>
    <w:lvl w:ilvl="2">
      <w:start w:val="1"/>
      <w:numFmt w:val="decimal"/>
      <w:lvlText w:val="%1.%2.%3"/>
      <w:lvlJc w:val="left"/>
      <w:pPr>
        <w:tabs>
          <w:tab w:val="num" w:pos="851"/>
        </w:tabs>
        <w:ind w:left="851" w:hanging="851"/>
      </w:pPr>
      <w:rPr>
        <w:rFonts w:ascii="Arial" w:hAnsi="Arial" w:hint="default"/>
        <w:b/>
        <w:i w:val="0"/>
        <w:sz w:val="24"/>
        <w:szCs w:val="24"/>
      </w:rPr>
    </w:lvl>
    <w:lvl w:ilvl="3">
      <w:start w:val="1"/>
      <w:numFmt w:val="decimal"/>
      <w:pStyle w:val="Numberedheading4"/>
      <w:lvlText w:val="%1.%2.%3.%4"/>
      <w:lvlJc w:val="left"/>
      <w:pPr>
        <w:tabs>
          <w:tab w:val="num" w:pos="1134"/>
        </w:tabs>
        <w:ind w:left="1134" w:hanging="1134"/>
      </w:pPr>
      <w:rPr>
        <w:rFonts w:ascii="Arial" w:hAnsi="Arial" w:hint="default"/>
        <w:b w:val="0"/>
        <w:bCs w:val="0"/>
        <w:i/>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134"/>
        </w:tabs>
        <w:ind w:left="1134" w:hanging="1134"/>
      </w:pPr>
      <w:rPr>
        <w:rFonts w:ascii="Arial" w:hAnsi="Arial" w:hint="default"/>
        <w:b w:val="0"/>
        <w:i w:val="0"/>
        <w:sz w:val="24"/>
        <w:szCs w:val="24"/>
      </w:rPr>
    </w:lvl>
    <w:lvl w:ilvl="5">
      <w:start w:val="1"/>
      <w:numFmt w:val="decimal"/>
      <w:lvlText w:val="%1.%2.%3.%4.%5.%6"/>
      <w:lvlJc w:val="left"/>
      <w:pPr>
        <w:tabs>
          <w:tab w:val="num" w:pos="1134"/>
        </w:tabs>
        <w:ind w:left="1134" w:hanging="1134"/>
      </w:pPr>
      <w:rPr>
        <w:rFonts w:ascii="Arial" w:hAnsi="Arial" w:hint="default"/>
        <w:b w:val="0"/>
        <w:i/>
        <w:sz w:val="24"/>
        <w:szCs w:val="24"/>
      </w:rPr>
    </w:lvl>
    <w:lvl w:ilvl="6">
      <w:start w:val="1"/>
      <w:numFmt w:val="lowerLetter"/>
      <w:lvlText w:val="%7."/>
      <w:lvlJc w:val="left"/>
      <w:pPr>
        <w:tabs>
          <w:tab w:val="num" w:pos="1296"/>
        </w:tabs>
        <w:ind w:left="1296" w:hanging="559"/>
      </w:pPr>
      <w:rPr>
        <w:rFonts w:hint="default"/>
      </w:rPr>
    </w:lvl>
    <w:lvl w:ilvl="7">
      <w:start w:val="1"/>
      <w:numFmt w:val="lowerRoman"/>
      <w:lvlText w:val="%8."/>
      <w:lvlJc w:val="left"/>
      <w:pPr>
        <w:tabs>
          <w:tab w:val="num" w:pos="1440"/>
        </w:tabs>
        <w:ind w:left="1440" w:hanging="646"/>
      </w:pPr>
      <w:rPr>
        <w:rFonts w:hint="default"/>
      </w:rPr>
    </w:lvl>
    <w:lvl w:ilvl="8">
      <w:start w:val="1"/>
      <w:numFmt w:val="decimal"/>
      <w:lvlText w:val="%9."/>
      <w:lvlJc w:val="left"/>
      <w:pPr>
        <w:tabs>
          <w:tab w:val="num" w:pos="1584"/>
        </w:tabs>
        <w:ind w:left="1584" w:hanging="847"/>
      </w:pPr>
      <w:rPr>
        <w:rFonts w:ascii="Arial" w:hAnsi="Arial" w:hint="default"/>
        <w:sz w:val="20"/>
        <w:szCs w:val="20"/>
      </w:rPr>
    </w:lvl>
  </w:abstractNum>
  <w:abstractNum w:abstractNumId="36"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288662370">
    <w:abstractNumId w:val="26"/>
  </w:num>
  <w:num w:numId="2" w16cid:durableId="460340545">
    <w:abstractNumId w:val="15"/>
  </w:num>
  <w:num w:numId="3" w16cid:durableId="862549155">
    <w:abstractNumId w:val="31"/>
  </w:num>
  <w:num w:numId="4" w16cid:durableId="1902785077">
    <w:abstractNumId w:val="32"/>
  </w:num>
  <w:num w:numId="5" w16cid:durableId="1400252542">
    <w:abstractNumId w:val="22"/>
  </w:num>
  <w:num w:numId="6" w16cid:durableId="585113440">
    <w:abstractNumId w:val="14"/>
  </w:num>
  <w:num w:numId="7" w16cid:durableId="1512915418">
    <w:abstractNumId w:val="30"/>
  </w:num>
  <w:num w:numId="8" w16cid:durableId="759831936">
    <w:abstractNumId w:val="35"/>
  </w:num>
  <w:num w:numId="9" w16cid:durableId="1747412429">
    <w:abstractNumId w:val="5"/>
  </w:num>
  <w:num w:numId="10" w16cid:durableId="1297833641">
    <w:abstractNumId w:val="1"/>
  </w:num>
  <w:num w:numId="11" w16cid:durableId="1684160055">
    <w:abstractNumId w:val="34"/>
  </w:num>
  <w:num w:numId="12" w16cid:durableId="1610894224">
    <w:abstractNumId w:val="36"/>
  </w:num>
  <w:num w:numId="13" w16cid:durableId="1880973297">
    <w:abstractNumId w:val="20"/>
  </w:num>
  <w:num w:numId="14" w16cid:durableId="77676389">
    <w:abstractNumId w:val="7"/>
  </w:num>
  <w:num w:numId="15" w16cid:durableId="1496384920">
    <w:abstractNumId w:val="18"/>
  </w:num>
  <w:num w:numId="16" w16cid:durableId="441388192">
    <w:abstractNumId w:val="27"/>
    <w:lvlOverride w:ilvl="0">
      <w:startOverride w:val="1"/>
    </w:lvlOverride>
  </w:num>
  <w:num w:numId="17" w16cid:durableId="73867840">
    <w:abstractNumId w:val="9"/>
    <w:lvlOverride w:ilvl="0">
      <w:startOverride w:val="1"/>
    </w:lvlOverride>
  </w:num>
  <w:num w:numId="18" w16cid:durableId="373623662">
    <w:abstractNumId w:val="0"/>
  </w:num>
  <w:num w:numId="19" w16cid:durableId="775322151">
    <w:abstractNumId w:val="12"/>
  </w:num>
  <w:num w:numId="20" w16cid:durableId="611202580">
    <w:abstractNumId w:val="16"/>
  </w:num>
  <w:num w:numId="21" w16cid:durableId="191379547">
    <w:abstractNumId w:val="23"/>
  </w:num>
  <w:num w:numId="22" w16cid:durableId="1596551579">
    <w:abstractNumId w:val="3"/>
  </w:num>
  <w:num w:numId="23" w16cid:durableId="1781561757">
    <w:abstractNumId w:val="8"/>
  </w:num>
  <w:num w:numId="24" w16cid:durableId="1081025093">
    <w:abstractNumId w:val="11"/>
  </w:num>
  <w:num w:numId="25" w16cid:durableId="1466002821">
    <w:abstractNumId w:val="21"/>
  </w:num>
  <w:num w:numId="26" w16cid:durableId="1040744193">
    <w:abstractNumId w:val="10"/>
  </w:num>
  <w:num w:numId="27" w16cid:durableId="14155850">
    <w:abstractNumId w:val="28"/>
  </w:num>
  <w:num w:numId="28" w16cid:durableId="423843789">
    <w:abstractNumId w:val="19"/>
  </w:num>
  <w:num w:numId="29" w16cid:durableId="363093910">
    <w:abstractNumId w:val="29"/>
  </w:num>
  <w:num w:numId="30" w16cid:durableId="929316660">
    <w:abstractNumId w:val="33"/>
  </w:num>
  <w:num w:numId="31" w16cid:durableId="792093356">
    <w:abstractNumId w:val="18"/>
  </w:num>
  <w:num w:numId="32" w16cid:durableId="1800802724">
    <w:abstractNumId w:val="6"/>
  </w:num>
  <w:num w:numId="33" w16cid:durableId="95297185">
    <w:abstractNumId w:val="25"/>
  </w:num>
  <w:num w:numId="34" w16cid:durableId="1388410983">
    <w:abstractNumId w:val="17"/>
  </w:num>
  <w:num w:numId="35" w16cid:durableId="1888105199">
    <w:abstractNumId w:val="2"/>
  </w:num>
  <w:num w:numId="36" w16cid:durableId="425462231">
    <w:abstractNumId w:val="4"/>
  </w:num>
  <w:num w:numId="37" w16cid:durableId="583732467">
    <w:abstractNumId w:val="10"/>
  </w:num>
  <w:num w:numId="38" w16cid:durableId="2026513746">
    <w:abstractNumId w:val="19"/>
  </w:num>
  <w:num w:numId="39" w16cid:durableId="1485119716">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linkStyle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99F"/>
    <w:rsid w:val="00002751"/>
    <w:rsid w:val="00002ACC"/>
    <w:rsid w:val="000065D4"/>
    <w:rsid w:val="0001063D"/>
    <w:rsid w:val="000175DD"/>
    <w:rsid w:val="00017F41"/>
    <w:rsid w:val="00020F4D"/>
    <w:rsid w:val="00022601"/>
    <w:rsid w:val="0002298F"/>
    <w:rsid w:val="00024FDE"/>
    <w:rsid w:val="00026393"/>
    <w:rsid w:val="00031DE4"/>
    <w:rsid w:val="0003249A"/>
    <w:rsid w:val="00036708"/>
    <w:rsid w:val="000372C8"/>
    <w:rsid w:val="00037F07"/>
    <w:rsid w:val="000411B7"/>
    <w:rsid w:val="0004289C"/>
    <w:rsid w:val="00043006"/>
    <w:rsid w:val="00043DD4"/>
    <w:rsid w:val="00044863"/>
    <w:rsid w:val="00044C6C"/>
    <w:rsid w:val="00045368"/>
    <w:rsid w:val="000462D9"/>
    <w:rsid w:val="00047F40"/>
    <w:rsid w:val="0005035D"/>
    <w:rsid w:val="00050C45"/>
    <w:rsid w:val="00051AAD"/>
    <w:rsid w:val="000524CF"/>
    <w:rsid w:val="000556B2"/>
    <w:rsid w:val="00056CDA"/>
    <w:rsid w:val="00057899"/>
    <w:rsid w:val="000604E0"/>
    <w:rsid w:val="0006306E"/>
    <w:rsid w:val="00064511"/>
    <w:rsid w:val="000661B3"/>
    <w:rsid w:val="00067B75"/>
    <w:rsid w:val="0007021C"/>
    <w:rsid w:val="0007109F"/>
    <w:rsid w:val="00071312"/>
    <w:rsid w:val="00072490"/>
    <w:rsid w:val="0007357B"/>
    <w:rsid w:val="00073A2D"/>
    <w:rsid w:val="00073B6D"/>
    <w:rsid w:val="0007473C"/>
    <w:rsid w:val="00076494"/>
    <w:rsid w:val="00081B91"/>
    <w:rsid w:val="00082163"/>
    <w:rsid w:val="00082E60"/>
    <w:rsid w:val="00084D8E"/>
    <w:rsid w:val="000856ED"/>
    <w:rsid w:val="000912CD"/>
    <w:rsid w:val="00091E6A"/>
    <w:rsid w:val="00094814"/>
    <w:rsid w:val="00094B2C"/>
    <w:rsid w:val="00095CC0"/>
    <w:rsid w:val="00096140"/>
    <w:rsid w:val="00096257"/>
    <w:rsid w:val="000963A7"/>
    <w:rsid w:val="00097675"/>
    <w:rsid w:val="00097D51"/>
    <w:rsid w:val="00097D7C"/>
    <w:rsid w:val="000A016E"/>
    <w:rsid w:val="000A0B03"/>
    <w:rsid w:val="000A4616"/>
    <w:rsid w:val="000A7224"/>
    <w:rsid w:val="000A7F4E"/>
    <w:rsid w:val="000B0F87"/>
    <w:rsid w:val="000B11F9"/>
    <w:rsid w:val="000B15CC"/>
    <w:rsid w:val="000B2929"/>
    <w:rsid w:val="000B2B38"/>
    <w:rsid w:val="000B2D26"/>
    <w:rsid w:val="000B3C9A"/>
    <w:rsid w:val="000B451C"/>
    <w:rsid w:val="000B55E8"/>
    <w:rsid w:val="000B63AD"/>
    <w:rsid w:val="000B6CB9"/>
    <w:rsid w:val="000C1FB9"/>
    <w:rsid w:val="000C2D31"/>
    <w:rsid w:val="000C38D9"/>
    <w:rsid w:val="000D13FD"/>
    <w:rsid w:val="000D7704"/>
    <w:rsid w:val="000E2765"/>
    <w:rsid w:val="000E2E30"/>
    <w:rsid w:val="000E2E96"/>
    <w:rsid w:val="000E466F"/>
    <w:rsid w:val="000E4DDA"/>
    <w:rsid w:val="000E6EC0"/>
    <w:rsid w:val="000E71C7"/>
    <w:rsid w:val="000E7A81"/>
    <w:rsid w:val="000F1CAB"/>
    <w:rsid w:val="000F2350"/>
    <w:rsid w:val="000F2735"/>
    <w:rsid w:val="000F2829"/>
    <w:rsid w:val="000F2DC4"/>
    <w:rsid w:val="000F4B18"/>
    <w:rsid w:val="000F4FC5"/>
    <w:rsid w:val="000F52B4"/>
    <w:rsid w:val="000F6DF5"/>
    <w:rsid w:val="001016BC"/>
    <w:rsid w:val="00110308"/>
    <w:rsid w:val="00110E70"/>
    <w:rsid w:val="00112BE0"/>
    <w:rsid w:val="0011379A"/>
    <w:rsid w:val="00114F02"/>
    <w:rsid w:val="0011562D"/>
    <w:rsid w:val="00120033"/>
    <w:rsid w:val="00120C76"/>
    <w:rsid w:val="0012506B"/>
    <w:rsid w:val="001260CA"/>
    <w:rsid w:val="0013012A"/>
    <w:rsid w:val="001309D6"/>
    <w:rsid w:val="00130C0D"/>
    <w:rsid w:val="00131A29"/>
    <w:rsid w:val="0013534B"/>
    <w:rsid w:val="00135D99"/>
    <w:rsid w:val="00136BE0"/>
    <w:rsid w:val="00137A0B"/>
    <w:rsid w:val="00137E8C"/>
    <w:rsid w:val="00142D2D"/>
    <w:rsid w:val="00143108"/>
    <w:rsid w:val="00143215"/>
    <w:rsid w:val="001438F2"/>
    <w:rsid w:val="001450CF"/>
    <w:rsid w:val="001452AF"/>
    <w:rsid w:val="001501C1"/>
    <w:rsid w:val="001521AF"/>
    <w:rsid w:val="00154679"/>
    <w:rsid w:val="00157C5B"/>
    <w:rsid w:val="00160B58"/>
    <w:rsid w:val="001618F9"/>
    <w:rsid w:val="00161BBD"/>
    <w:rsid w:val="001629CB"/>
    <w:rsid w:val="0016307F"/>
    <w:rsid w:val="00163BBB"/>
    <w:rsid w:val="00163CE8"/>
    <w:rsid w:val="00165DD9"/>
    <w:rsid w:val="00170722"/>
    <w:rsid w:val="00170A19"/>
    <w:rsid w:val="00170A61"/>
    <w:rsid w:val="00171245"/>
    <w:rsid w:val="0017281B"/>
    <w:rsid w:val="00173124"/>
    <w:rsid w:val="0017572E"/>
    <w:rsid w:val="0017669F"/>
    <w:rsid w:val="001774D2"/>
    <w:rsid w:val="00184E40"/>
    <w:rsid w:val="0018568F"/>
    <w:rsid w:val="00185D9C"/>
    <w:rsid w:val="00187B60"/>
    <w:rsid w:val="00191DF2"/>
    <w:rsid w:val="00191FDD"/>
    <w:rsid w:val="0019584B"/>
    <w:rsid w:val="00195BE6"/>
    <w:rsid w:val="0019622E"/>
    <w:rsid w:val="001966D1"/>
    <w:rsid w:val="00197EBE"/>
    <w:rsid w:val="001A0A45"/>
    <w:rsid w:val="001A11C9"/>
    <w:rsid w:val="001A20E4"/>
    <w:rsid w:val="001A764B"/>
    <w:rsid w:val="001B0585"/>
    <w:rsid w:val="001B1208"/>
    <w:rsid w:val="001B1F2C"/>
    <w:rsid w:val="001B3087"/>
    <w:rsid w:val="001B3D6C"/>
    <w:rsid w:val="001B5C09"/>
    <w:rsid w:val="001B63A5"/>
    <w:rsid w:val="001B7FDB"/>
    <w:rsid w:val="001C02E3"/>
    <w:rsid w:val="001C24ED"/>
    <w:rsid w:val="001C56A4"/>
    <w:rsid w:val="001D4AB6"/>
    <w:rsid w:val="001D6E37"/>
    <w:rsid w:val="001D7020"/>
    <w:rsid w:val="001D7D3D"/>
    <w:rsid w:val="001E006A"/>
    <w:rsid w:val="001E231E"/>
    <w:rsid w:val="001E2C1D"/>
    <w:rsid w:val="001E3238"/>
    <w:rsid w:val="001E42CD"/>
    <w:rsid w:val="001E7E43"/>
    <w:rsid w:val="001F0DB2"/>
    <w:rsid w:val="001F1FD3"/>
    <w:rsid w:val="001F3071"/>
    <w:rsid w:val="001F3214"/>
    <w:rsid w:val="001F32F9"/>
    <w:rsid w:val="001F60CD"/>
    <w:rsid w:val="001F6143"/>
    <w:rsid w:val="001F6668"/>
    <w:rsid w:val="001F7697"/>
    <w:rsid w:val="0020051D"/>
    <w:rsid w:val="00202047"/>
    <w:rsid w:val="002026AE"/>
    <w:rsid w:val="00216C00"/>
    <w:rsid w:val="002206F3"/>
    <w:rsid w:val="00221439"/>
    <w:rsid w:val="00224BA3"/>
    <w:rsid w:val="00225F9D"/>
    <w:rsid w:val="00226222"/>
    <w:rsid w:val="00235023"/>
    <w:rsid w:val="00235401"/>
    <w:rsid w:val="00237A35"/>
    <w:rsid w:val="002406C4"/>
    <w:rsid w:val="002416AD"/>
    <w:rsid w:val="00242312"/>
    <w:rsid w:val="00243191"/>
    <w:rsid w:val="00244593"/>
    <w:rsid w:val="00244F1F"/>
    <w:rsid w:val="0025085E"/>
    <w:rsid w:val="002529F3"/>
    <w:rsid w:val="00255C17"/>
    <w:rsid w:val="00264DF6"/>
    <w:rsid w:val="002651BA"/>
    <w:rsid w:val="00265C0F"/>
    <w:rsid w:val="0026660B"/>
    <w:rsid w:val="0027153F"/>
    <w:rsid w:val="00272136"/>
    <w:rsid w:val="002740D9"/>
    <w:rsid w:val="00274956"/>
    <w:rsid w:val="002759EC"/>
    <w:rsid w:val="00276789"/>
    <w:rsid w:val="002831D3"/>
    <w:rsid w:val="002851D4"/>
    <w:rsid w:val="00285B42"/>
    <w:rsid w:val="00290FAB"/>
    <w:rsid w:val="00293756"/>
    <w:rsid w:val="00294355"/>
    <w:rsid w:val="00295278"/>
    <w:rsid w:val="0029634A"/>
    <w:rsid w:val="00296701"/>
    <w:rsid w:val="002A26DA"/>
    <w:rsid w:val="002A278A"/>
    <w:rsid w:val="002A6CB8"/>
    <w:rsid w:val="002A7D61"/>
    <w:rsid w:val="002B1479"/>
    <w:rsid w:val="002B2380"/>
    <w:rsid w:val="002B4181"/>
    <w:rsid w:val="002B5BAC"/>
    <w:rsid w:val="002B5E5D"/>
    <w:rsid w:val="002B62CC"/>
    <w:rsid w:val="002B6400"/>
    <w:rsid w:val="002C19DC"/>
    <w:rsid w:val="002C1F27"/>
    <w:rsid w:val="002C24CE"/>
    <w:rsid w:val="002C5736"/>
    <w:rsid w:val="002D4185"/>
    <w:rsid w:val="002E0743"/>
    <w:rsid w:val="002E2321"/>
    <w:rsid w:val="002E3EBF"/>
    <w:rsid w:val="002F134E"/>
    <w:rsid w:val="002F4DEC"/>
    <w:rsid w:val="002F5864"/>
    <w:rsid w:val="003005DF"/>
    <w:rsid w:val="00301008"/>
    <w:rsid w:val="00302939"/>
    <w:rsid w:val="003111B2"/>
    <w:rsid w:val="00311DC1"/>
    <w:rsid w:val="003147B9"/>
    <w:rsid w:val="00315465"/>
    <w:rsid w:val="003156DC"/>
    <w:rsid w:val="00317C16"/>
    <w:rsid w:val="003203A2"/>
    <w:rsid w:val="00322310"/>
    <w:rsid w:val="003225C3"/>
    <w:rsid w:val="00323120"/>
    <w:rsid w:val="00323184"/>
    <w:rsid w:val="0032348B"/>
    <w:rsid w:val="0032462A"/>
    <w:rsid w:val="0032598F"/>
    <w:rsid w:val="00327018"/>
    <w:rsid w:val="00330081"/>
    <w:rsid w:val="00332380"/>
    <w:rsid w:val="00334B40"/>
    <w:rsid w:val="00335913"/>
    <w:rsid w:val="00337E0A"/>
    <w:rsid w:val="00340DEE"/>
    <w:rsid w:val="00341D83"/>
    <w:rsid w:val="00351BBC"/>
    <w:rsid w:val="00355735"/>
    <w:rsid w:val="003604DB"/>
    <w:rsid w:val="00361290"/>
    <w:rsid w:val="0036186E"/>
    <w:rsid w:val="00361DAE"/>
    <w:rsid w:val="003620A9"/>
    <w:rsid w:val="00362EFF"/>
    <w:rsid w:val="0036629F"/>
    <w:rsid w:val="003712C2"/>
    <w:rsid w:val="00372FDC"/>
    <w:rsid w:val="00373442"/>
    <w:rsid w:val="003743CF"/>
    <w:rsid w:val="0037637C"/>
    <w:rsid w:val="00381766"/>
    <w:rsid w:val="00381FB5"/>
    <w:rsid w:val="003834E5"/>
    <w:rsid w:val="00384C86"/>
    <w:rsid w:val="00384F91"/>
    <w:rsid w:val="00387474"/>
    <w:rsid w:val="00387754"/>
    <w:rsid w:val="00390939"/>
    <w:rsid w:val="00390B73"/>
    <w:rsid w:val="003919B5"/>
    <w:rsid w:val="0039272E"/>
    <w:rsid w:val="00393E48"/>
    <w:rsid w:val="00395DA3"/>
    <w:rsid w:val="003969FE"/>
    <w:rsid w:val="003A0E76"/>
    <w:rsid w:val="003A2CBA"/>
    <w:rsid w:val="003A30B2"/>
    <w:rsid w:val="003A6065"/>
    <w:rsid w:val="003B167D"/>
    <w:rsid w:val="003B3492"/>
    <w:rsid w:val="003B3958"/>
    <w:rsid w:val="003B3F47"/>
    <w:rsid w:val="003B4C5E"/>
    <w:rsid w:val="003B5534"/>
    <w:rsid w:val="003B7374"/>
    <w:rsid w:val="003B7DE2"/>
    <w:rsid w:val="003C266B"/>
    <w:rsid w:val="003C2B8D"/>
    <w:rsid w:val="003C3DAC"/>
    <w:rsid w:val="003C462F"/>
    <w:rsid w:val="003C7808"/>
    <w:rsid w:val="003D0B25"/>
    <w:rsid w:val="003D2411"/>
    <w:rsid w:val="003D3F0C"/>
    <w:rsid w:val="003D483F"/>
    <w:rsid w:val="003D4875"/>
    <w:rsid w:val="003D5921"/>
    <w:rsid w:val="003D59C2"/>
    <w:rsid w:val="003D5C60"/>
    <w:rsid w:val="003D7FEC"/>
    <w:rsid w:val="003E114F"/>
    <w:rsid w:val="003E2F12"/>
    <w:rsid w:val="003E42E3"/>
    <w:rsid w:val="003E5C83"/>
    <w:rsid w:val="003E69CD"/>
    <w:rsid w:val="003E6FFF"/>
    <w:rsid w:val="003E7E24"/>
    <w:rsid w:val="003F15B0"/>
    <w:rsid w:val="003F2572"/>
    <w:rsid w:val="003F2B2E"/>
    <w:rsid w:val="003F3884"/>
    <w:rsid w:val="003F3DC3"/>
    <w:rsid w:val="003F4BC7"/>
    <w:rsid w:val="003F5626"/>
    <w:rsid w:val="003F5CAB"/>
    <w:rsid w:val="003F6784"/>
    <w:rsid w:val="003F69C5"/>
    <w:rsid w:val="003F7836"/>
    <w:rsid w:val="00400DB0"/>
    <w:rsid w:val="00402028"/>
    <w:rsid w:val="00402800"/>
    <w:rsid w:val="00403105"/>
    <w:rsid w:val="00404955"/>
    <w:rsid w:val="004058C1"/>
    <w:rsid w:val="004075B1"/>
    <w:rsid w:val="00411A8A"/>
    <w:rsid w:val="00411BA4"/>
    <w:rsid w:val="00417611"/>
    <w:rsid w:val="00421452"/>
    <w:rsid w:val="00421D74"/>
    <w:rsid w:val="00424C2D"/>
    <w:rsid w:val="00426C26"/>
    <w:rsid w:val="00432289"/>
    <w:rsid w:val="00433897"/>
    <w:rsid w:val="004340EF"/>
    <w:rsid w:val="00434610"/>
    <w:rsid w:val="00440BED"/>
    <w:rsid w:val="00440E43"/>
    <w:rsid w:val="0044281C"/>
    <w:rsid w:val="00442CCD"/>
    <w:rsid w:val="004433EC"/>
    <w:rsid w:val="00446FC4"/>
    <w:rsid w:val="00447D9C"/>
    <w:rsid w:val="0045127E"/>
    <w:rsid w:val="00452C2A"/>
    <w:rsid w:val="00453B8C"/>
    <w:rsid w:val="004554AB"/>
    <w:rsid w:val="004564FB"/>
    <w:rsid w:val="0045723E"/>
    <w:rsid w:val="00461139"/>
    <w:rsid w:val="00463FF5"/>
    <w:rsid w:val="004665F6"/>
    <w:rsid w:val="00467940"/>
    <w:rsid w:val="00470B72"/>
    <w:rsid w:val="00473E4D"/>
    <w:rsid w:val="00476781"/>
    <w:rsid w:val="00476876"/>
    <w:rsid w:val="0048006E"/>
    <w:rsid w:val="00480581"/>
    <w:rsid w:val="0048223A"/>
    <w:rsid w:val="004826F5"/>
    <w:rsid w:val="00482D75"/>
    <w:rsid w:val="00482F01"/>
    <w:rsid w:val="004870F8"/>
    <w:rsid w:val="004874F5"/>
    <w:rsid w:val="00490B13"/>
    <w:rsid w:val="00490E24"/>
    <w:rsid w:val="00490E8F"/>
    <w:rsid w:val="00492064"/>
    <w:rsid w:val="004921B6"/>
    <w:rsid w:val="004954F9"/>
    <w:rsid w:val="004A295D"/>
    <w:rsid w:val="004A34E1"/>
    <w:rsid w:val="004A6E53"/>
    <w:rsid w:val="004A7E93"/>
    <w:rsid w:val="004B0F38"/>
    <w:rsid w:val="004B17CE"/>
    <w:rsid w:val="004B1E73"/>
    <w:rsid w:val="004B2C19"/>
    <w:rsid w:val="004B3A3E"/>
    <w:rsid w:val="004B55C6"/>
    <w:rsid w:val="004B5926"/>
    <w:rsid w:val="004B5A62"/>
    <w:rsid w:val="004B610E"/>
    <w:rsid w:val="004C0414"/>
    <w:rsid w:val="004C0BD9"/>
    <w:rsid w:val="004C18D1"/>
    <w:rsid w:val="004C1FDF"/>
    <w:rsid w:val="004C243F"/>
    <w:rsid w:val="004C39C3"/>
    <w:rsid w:val="004C51BE"/>
    <w:rsid w:val="004C74E5"/>
    <w:rsid w:val="004C78B4"/>
    <w:rsid w:val="004D11DE"/>
    <w:rsid w:val="004D1C74"/>
    <w:rsid w:val="004D29BE"/>
    <w:rsid w:val="004D30C0"/>
    <w:rsid w:val="004D3649"/>
    <w:rsid w:val="004D3B9A"/>
    <w:rsid w:val="004D4FB3"/>
    <w:rsid w:val="004D6E41"/>
    <w:rsid w:val="004E03A1"/>
    <w:rsid w:val="004E044C"/>
    <w:rsid w:val="004E48B7"/>
    <w:rsid w:val="004E59D9"/>
    <w:rsid w:val="004F3B57"/>
    <w:rsid w:val="004F55B1"/>
    <w:rsid w:val="005001FC"/>
    <w:rsid w:val="00501566"/>
    <w:rsid w:val="00501FBD"/>
    <w:rsid w:val="00502626"/>
    <w:rsid w:val="00504FB7"/>
    <w:rsid w:val="00510425"/>
    <w:rsid w:val="00510803"/>
    <w:rsid w:val="00520D02"/>
    <w:rsid w:val="00523DF3"/>
    <w:rsid w:val="0052670D"/>
    <w:rsid w:val="00527721"/>
    <w:rsid w:val="0053278E"/>
    <w:rsid w:val="00533F89"/>
    <w:rsid w:val="005347B6"/>
    <w:rsid w:val="00537D8A"/>
    <w:rsid w:val="00537E57"/>
    <w:rsid w:val="005446AE"/>
    <w:rsid w:val="00544E14"/>
    <w:rsid w:val="00547D7B"/>
    <w:rsid w:val="00552DBA"/>
    <w:rsid w:val="005578B1"/>
    <w:rsid w:val="00557C80"/>
    <w:rsid w:val="00557D6E"/>
    <w:rsid w:val="00557DB1"/>
    <w:rsid w:val="00561CE9"/>
    <w:rsid w:val="0056237E"/>
    <w:rsid w:val="005662A5"/>
    <w:rsid w:val="0056643E"/>
    <w:rsid w:val="005666A9"/>
    <w:rsid w:val="00566B92"/>
    <w:rsid w:val="00567220"/>
    <w:rsid w:val="00567847"/>
    <w:rsid w:val="00570E3D"/>
    <w:rsid w:val="00572A06"/>
    <w:rsid w:val="00576318"/>
    <w:rsid w:val="005802B2"/>
    <w:rsid w:val="005806DB"/>
    <w:rsid w:val="00580EBB"/>
    <w:rsid w:val="00583011"/>
    <w:rsid w:val="00583216"/>
    <w:rsid w:val="005877A8"/>
    <w:rsid w:val="00587CA7"/>
    <w:rsid w:val="005903AC"/>
    <w:rsid w:val="00590856"/>
    <w:rsid w:val="00592D87"/>
    <w:rsid w:val="00593089"/>
    <w:rsid w:val="005949EA"/>
    <w:rsid w:val="0059738E"/>
    <w:rsid w:val="005A0BCC"/>
    <w:rsid w:val="005A11C4"/>
    <w:rsid w:val="005A16B8"/>
    <w:rsid w:val="005A2C55"/>
    <w:rsid w:val="005A3C13"/>
    <w:rsid w:val="005A5897"/>
    <w:rsid w:val="005A6168"/>
    <w:rsid w:val="005A6885"/>
    <w:rsid w:val="005A7D8A"/>
    <w:rsid w:val="005B5BD8"/>
    <w:rsid w:val="005B768E"/>
    <w:rsid w:val="005C020A"/>
    <w:rsid w:val="005C0AD0"/>
    <w:rsid w:val="005C2326"/>
    <w:rsid w:val="005C38B5"/>
    <w:rsid w:val="005C62A1"/>
    <w:rsid w:val="005C6771"/>
    <w:rsid w:val="005C68D1"/>
    <w:rsid w:val="005D199C"/>
    <w:rsid w:val="005D205A"/>
    <w:rsid w:val="005D28FA"/>
    <w:rsid w:val="005D3148"/>
    <w:rsid w:val="005D4154"/>
    <w:rsid w:val="005D5304"/>
    <w:rsid w:val="005D65E1"/>
    <w:rsid w:val="005D7A63"/>
    <w:rsid w:val="005E1E92"/>
    <w:rsid w:val="005E6491"/>
    <w:rsid w:val="005E6963"/>
    <w:rsid w:val="005E6E51"/>
    <w:rsid w:val="005F1323"/>
    <w:rsid w:val="005F1603"/>
    <w:rsid w:val="005F17C5"/>
    <w:rsid w:val="005F3623"/>
    <w:rsid w:val="005F4864"/>
    <w:rsid w:val="005F4940"/>
    <w:rsid w:val="00600F2A"/>
    <w:rsid w:val="00602408"/>
    <w:rsid w:val="00602CB0"/>
    <w:rsid w:val="0060527A"/>
    <w:rsid w:val="006079D4"/>
    <w:rsid w:val="00607C5D"/>
    <w:rsid w:val="00611DA8"/>
    <w:rsid w:val="006125EC"/>
    <w:rsid w:val="006154DD"/>
    <w:rsid w:val="006165DF"/>
    <w:rsid w:val="00617AA0"/>
    <w:rsid w:val="006208D3"/>
    <w:rsid w:val="0062242D"/>
    <w:rsid w:val="00623945"/>
    <w:rsid w:val="006245F7"/>
    <w:rsid w:val="00624F56"/>
    <w:rsid w:val="00625E4A"/>
    <w:rsid w:val="0062633A"/>
    <w:rsid w:val="00630168"/>
    <w:rsid w:val="00630ACE"/>
    <w:rsid w:val="00630E5F"/>
    <w:rsid w:val="006315FC"/>
    <w:rsid w:val="00631861"/>
    <w:rsid w:val="00631BE9"/>
    <w:rsid w:val="00632002"/>
    <w:rsid w:val="00633A98"/>
    <w:rsid w:val="006417CE"/>
    <w:rsid w:val="006419B7"/>
    <w:rsid w:val="0065050E"/>
    <w:rsid w:val="0065215A"/>
    <w:rsid w:val="006529F3"/>
    <w:rsid w:val="006543A0"/>
    <w:rsid w:val="00654491"/>
    <w:rsid w:val="00655155"/>
    <w:rsid w:val="0065557C"/>
    <w:rsid w:val="00655CF4"/>
    <w:rsid w:val="006565AD"/>
    <w:rsid w:val="00660106"/>
    <w:rsid w:val="006604BA"/>
    <w:rsid w:val="006610ED"/>
    <w:rsid w:val="00665687"/>
    <w:rsid w:val="0067000A"/>
    <w:rsid w:val="00671697"/>
    <w:rsid w:val="00677DD2"/>
    <w:rsid w:val="00677FE6"/>
    <w:rsid w:val="0068233F"/>
    <w:rsid w:val="006829D5"/>
    <w:rsid w:val="006833EE"/>
    <w:rsid w:val="006843FA"/>
    <w:rsid w:val="0068580A"/>
    <w:rsid w:val="00685DE2"/>
    <w:rsid w:val="006907BA"/>
    <w:rsid w:val="006911EE"/>
    <w:rsid w:val="006A1225"/>
    <w:rsid w:val="006A3850"/>
    <w:rsid w:val="006A4706"/>
    <w:rsid w:val="006A7AF1"/>
    <w:rsid w:val="006B2D85"/>
    <w:rsid w:val="006B39B2"/>
    <w:rsid w:val="006B5AF7"/>
    <w:rsid w:val="006C005F"/>
    <w:rsid w:val="006C0B7C"/>
    <w:rsid w:val="006C196B"/>
    <w:rsid w:val="006C22A9"/>
    <w:rsid w:val="006C2CDE"/>
    <w:rsid w:val="006C40A5"/>
    <w:rsid w:val="006C46CF"/>
    <w:rsid w:val="006C47DD"/>
    <w:rsid w:val="006C66B8"/>
    <w:rsid w:val="006C78C7"/>
    <w:rsid w:val="006D08CE"/>
    <w:rsid w:val="006D203F"/>
    <w:rsid w:val="006D3EFE"/>
    <w:rsid w:val="006D4858"/>
    <w:rsid w:val="006D6885"/>
    <w:rsid w:val="006D6AB1"/>
    <w:rsid w:val="006D73BC"/>
    <w:rsid w:val="006D7677"/>
    <w:rsid w:val="006E1A15"/>
    <w:rsid w:val="006E27B7"/>
    <w:rsid w:val="006E28EE"/>
    <w:rsid w:val="006E3923"/>
    <w:rsid w:val="006E4061"/>
    <w:rsid w:val="006E5F94"/>
    <w:rsid w:val="006E6071"/>
    <w:rsid w:val="006E6DBD"/>
    <w:rsid w:val="006F08DD"/>
    <w:rsid w:val="006F0F64"/>
    <w:rsid w:val="006F1449"/>
    <w:rsid w:val="006F1BA4"/>
    <w:rsid w:val="006F45CB"/>
    <w:rsid w:val="006F555A"/>
    <w:rsid w:val="006F6E18"/>
    <w:rsid w:val="00700627"/>
    <w:rsid w:val="00700A9C"/>
    <w:rsid w:val="0070211B"/>
    <w:rsid w:val="007043FB"/>
    <w:rsid w:val="00710CF4"/>
    <w:rsid w:val="00711452"/>
    <w:rsid w:val="00713AB2"/>
    <w:rsid w:val="0071562D"/>
    <w:rsid w:val="00716DE0"/>
    <w:rsid w:val="00717C4F"/>
    <w:rsid w:val="00724859"/>
    <w:rsid w:val="00724AC9"/>
    <w:rsid w:val="00725927"/>
    <w:rsid w:val="0072737D"/>
    <w:rsid w:val="007335A9"/>
    <w:rsid w:val="007338E6"/>
    <w:rsid w:val="00735292"/>
    <w:rsid w:val="00737FD6"/>
    <w:rsid w:val="00740F19"/>
    <w:rsid w:val="00741FB7"/>
    <w:rsid w:val="00742444"/>
    <w:rsid w:val="00743222"/>
    <w:rsid w:val="0074695F"/>
    <w:rsid w:val="00753A57"/>
    <w:rsid w:val="00754053"/>
    <w:rsid w:val="0075421A"/>
    <w:rsid w:val="0075472D"/>
    <w:rsid w:val="00757946"/>
    <w:rsid w:val="00762BFE"/>
    <w:rsid w:val="007635D1"/>
    <w:rsid w:val="00763BD7"/>
    <w:rsid w:val="00763E7A"/>
    <w:rsid w:val="007644BC"/>
    <w:rsid w:val="00764857"/>
    <w:rsid w:val="00770642"/>
    <w:rsid w:val="00770955"/>
    <w:rsid w:val="00771143"/>
    <w:rsid w:val="0077187C"/>
    <w:rsid w:val="00772E54"/>
    <w:rsid w:val="00773410"/>
    <w:rsid w:val="00773971"/>
    <w:rsid w:val="00780340"/>
    <w:rsid w:val="00781089"/>
    <w:rsid w:val="0078141A"/>
    <w:rsid w:val="00784929"/>
    <w:rsid w:val="0078597F"/>
    <w:rsid w:val="00787175"/>
    <w:rsid w:val="00792BF7"/>
    <w:rsid w:val="00792F90"/>
    <w:rsid w:val="00794857"/>
    <w:rsid w:val="00797CA6"/>
    <w:rsid w:val="007A04E2"/>
    <w:rsid w:val="007A06E9"/>
    <w:rsid w:val="007A1448"/>
    <w:rsid w:val="007A1BBB"/>
    <w:rsid w:val="007A276C"/>
    <w:rsid w:val="007B4395"/>
    <w:rsid w:val="007C1FDB"/>
    <w:rsid w:val="007C287F"/>
    <w:rsid w:val="007C2DC5"/>
    <w:rsid w:val="007C38C6"/>
    <w:rsid w:val="007D020B"/>
    <w:rsid w:val="007D0D15"/>
    <w:rsid w:val="007D3AE2"/>
    <w:rsid w:val="007D47D1"/>
    <w:rsid w:val="007D4C53"/>
    <w:rsid w:val="007D6643"/>
    <w:rsid w:val="007D6C6B"/>
    <w:rsid w:val="007E1262"/>
    <w:rsid w:val="007E38E9"/>
    <w:rsid w:val="007E6E41"/>
    <w:rsid w:val="007E763A"/>
    <w:rsid w:val="007E7CC9"/>
    <w:rsid w:val="007F0048"/>
    <w:rsid w:val="007F39C4"/>
    <w:rsid w:val="007F3C0C"/>
    <w:rsid w:val="007F4C22"/>
    <w:rsid w:val="007F687D"/>
    <w:rsid w:val="007F6A64"/>
    <w:rsid w:val="00800595"/>
    <w:rsid w:val="00802041"/>
    <w:rsid w:val="0080206D"/>
    <w:rsid w:val="008039DB"/>
    <w:rsid w:val="00804CA2"/>
    <w:rsid w:val="00804FEC"/>
    <w:rsid w:val="008052B6"/>
    <w:rsid w:val="00805F95"/>
    <w:rsid w:val="00810480"/>
    <w:rsid w:val="00810BEE"/>
    <w:rsid w:val="008115AE"/>
    <w:rsid w:val="00811BDE"/>
    <w:rsid w:val="00813399"/>
    <w:rsid w:val="00816E42"/>
    <w:rsid w:val="00817FED"/>
    <w:rsid w:val="00821380"/>
    <w:rsid w:val="00822687"/>
    <w:rsid w:val="00822895"/>
    <w:rsid w:val="00825B58"/>
    <w:rsid w:val="00826120"/>
    <w:rsid w:val="0083012C"/>
    <w:rsid w:val="0083041B"/>
    <w:rsid w:val="008305D7"/>
    <w:rsid w:val="008313BF"/>
    <w:rsid w:val="008333BF"/>
    <w:rsid w:val="0083364B"/>
    <w:rsid w:val="008339A7"/>
    <w:rsid w:val="00834168"/>
    <w:rsid w:val="00834F0F"/>
    <w:rsid w:val="008373F8"/>
    <w:rsid w:val="00837B25"/>
    <w:rsid w:val="008403C5"/>
    <w:rsid w:val="0084110B"/>
    <w:rsid w:val="00846603"/>
    <w:rsid w:val="008479C0"/>
    <w:rsid w:val="00851718"/>
    <w:rsid w:val="008543A8"/>
    <w:rsid w:val="008548CB"/>
    <w:rsid w:val="00854BAD"/>
    <w:rsid w:val="00856887"/>
    <w:rsid w:val="0085752D"/>
    <w:rsid w:val="0086066E"/>
    <w:rsid w:val="00863134"/>
    <w:rsid w:val="00867446"/>
    <w:rsid w:val="008676A6"/>
    <w:rsid w:val="00870528"/>
    <w:rsid w:val="00872410"/>
    <w:rsid w:val="0087348C"/>
    <w:rsid w:val="008748F2"/>
    <w:rsid w:val="00876232"/>
    <w:rsid w:val="008762B8"/>
    <w:rsid w:val="00876FE2"/>
    <w:rsid w:val="00877396"/>
    <w:rsid w:val="008775C0"/>
    <w:rsid w:val="008814C2"/>
    <w:rsid w:val="00883AD3"/>
    <w:rsid w:val="00883EDC"/>
    <w:rsid w:val="0088563D"/>
    <w:rsid w:val="00886211"/>
    <w:rsid w:val="00886FD6"/>
    <w:rsid w:val="00890751"/>
    <w:rsid w:val="008956F5"/>
    <w:rsid w:val="00895776"/>
    <w:rsid w:val="00895961"/>
    <w:rsid w:val="0089661B"/>
    <w:rsid w:val="008A24EB"/>
    <w:rsid w:val="008A4D2A"/>
    <w:rsid w:val="008A5671"/>
    <w:rsid w:val="008A6198"/>
    <w:rsid w:val="008A78EE"/>
    <w:rsid w:val="008B106D"/>
    <w:rsid w:val="008B1B9D"/>
    <w:rsid w:val="008B2A57"/>
    <w:rsid w:val="008B30AB"/>
    <w:rsid w:val="008B363D"/>
    <w:rsid w:val="008B3958"/>
    <w:rsid w:val="008B4145"/>
    <w:rsid w:val="008B54A7"/>
    <w:rsid w:val="008C121C"/>
    <w:rsid w:val="008C2F75"/>
    <w:rsid w:val="008C3BDB"/>
    <w:rsid w:val="008C3DAE"/>
    <w:rsid w:val="008C4917"/>
    <w:rsid w:val="008C6AC3"/>
    <w:rsid w:val="008D186B"/>
    <w:rsid w:val="008D1A8D"/>
    <w:rsid w:val="008D2F8B"/>
    <w:rsid w:val="008D3327"/>
    <w:rsid w:val="008D4441"/>
    <w:rsid w:val="008D4727"/>
    <w:rsid w:val="008D5E28"/>
    <w:rsid w:val="008D6D14"/>
    <w:rsid w:val="008D75CF"/>
    <w:rsid w:val="008D7606"/>
    <w:rsid w:val="008D7DDF"/>
    <w:rsid w:val="008E030A"/>
    <w:rsid w:val="008E42BC"/>
    <w:rsid w:val="008E511A"/>
    <w:rsid w:val="008E64FB"/>
    <w:rsid w:val="008F09E1"/>
    <w:rsid w:val="008F21CF"/>
    <w:rsid w:val="008F2B54"/>
    <w:rsid w:val="008F30A1"/>
    <w:rsid w:val="008F6FF7"/>
    <w:rsid w:val="00900154"/>
    <w:rsid w:val="0090103B"/>
    <w:rsid w:val="00901BCB"/>
    <w:rsid w:val="00902A7B"/>
    <w:rsid w:val="00903548"/>
    <w:rsid w:val="00904151"/>
    <w:rsid w:val="009078A7"/>
    <w:rsid w:val="00907A4B"/>
    <w:rsid w:val="00910DB7"/>
    <w:rsid w:val="00911B80"/>
    <w:rsid w:val="00913748"/>
    <w:rsid w:val="009153B6"/>
    <w:rsid w:val="0091559C"/>
    <w:rsid w:val="00915F6F"/>
    <w:rsid w:val="009160F7"/>
    <w:rsid w:val="00920A74"/>
    <w:rsid w:val="00921A89"/>
    <w:rsid w:val="009223D8"/>
    <w:rsid w:val="00922908"/>
    <w:rsid w:val="00922BBB"/>
    <w:rsid w:val="00924138"/>
    <w:rsid w:val="00924597"/>
    <w:rsid w:val="009262D1"/>
    <w:rsid w:val="00926ACB"/>
    <w:rsid w:val="00931518"/>
    <w:rsid w:val="00931846"/>
    <w:rsid w:val="00937616"/>
    <w:rsid w:val="00940F9B"/>
    <w:rsid w:val="0094164C"/>
    <w:rsid w:val="00941978"/>
    <w:rsid w:val="0094341B"/>
    <w:rsid w:val="0094393D"/>
    <w:rsid w:val="0094394E"/>
    <w:rsid w:val="00945C75"/>
    <w:rsid w:val="009504E0"/>
    <w:rsid w:val="00951B97"/>
    <w:rsid w:val="0095271C"/>
    <w:rsid w:val="00952F5D"/>
    <w:rsid w:val="009531BB"/>
    <w:rsid w:val="00953D3A"/>
    <w:rsid w:val="00955B40"/>
    <w:rsid w:val="009604EE"/>
    <w:rsid w:val="009607E2"/>
    <w:rsid w:val="00966D2D"/>
    <w:rsid w:val="009703DA"/>
    <w:rsid w:val="00970400"/>
    <w:rsid w:val="00970EA1"/>
    <w:rsid w:val="00973131"/>
    <w:rsid w:val="0097352C"/>
    <w:rsid w:val="00973CBB"/>
    <w:rsid w:val="00974477"/>
    <w:rsid w:val="0097481D"/>
    <w:rsid w:val="00974DE0"/>
    <w:rsid w:val="00976054"/>
    <w:rsid w:val="00980479"/>
    <w:rsid w:val="00980866"/>
    <w:rsid w:val="00980A18"/>
    <w:rsid w:val="00980CE6"/>
    <w:rsid w:val="00981017"/>
    <w:rsid w:val="009811EA"/>
    <w:rsid w:val="009826DD"/>
    <w:rsid w:val="00984482"/>
    <w:rsid w:val="00984BE8"/>
    <w:rsid w:val="00985C7C"/>
    <w:rsid w:val="009876F3"/>
    <w:rsid w:val="009908D9"/>
    <w:rsid w:val="0099097B"/>
    <w:rsid w:val="00991A23"/>
    <w:rsid w:val="009937A4"/>
    <w:rsid w:val="00993F59"/>
    <w:rsid w:val="00996AFB"/>
    <w:rsid w:val="009A0C30"/>
    <w:rsid w:val="009A2D6C"/>
    <w:rsid w:val="009A3065"/>
    <w:rsid w:val="009A37B8"/>
    <w:rsid w:val="009A3A3E"/>
    <w:rsid w:val="009A51F5"/>
    <w:rsid w:val="009A63F3"/>
    <w:rsid w:val="009A7439"/>
    <w:rsid w:val="009B0179"/>
    <w:rsid w:val="009B05E9"/>
    <w:rsid w:val="009B195D"/>
    <w:rsid w:val="009B444E"/>
    <w:rsid w:val="009B4905"/>
    <w:rsid w:val="009B4E98"/>
    <w:rsid w:val="009B6239"/>
    <w:rsid w:val="009B62D2"/>
    <w:rsid w:val="009B6FA5"/>
    <w:rsid w:val="009B7A66"/>
    <w:rsid w:val="009C1C62"/>
    <w:rsid w:val="009C2699"/>
    <w:rsid w:val="009C2AEE"/>
    <w:rsid w:val="009C3393"/>
    <w:rsid w:val="009D0ECD"/>
    <w:rsid w:val="009D4A9A"/>
    <w:rsid w:val="009D4C31"/>
    <w:rsid w:val="009D4F23"/>
    <w:rsid w:val="009E1EEC"/>
    <w:rsid w:val="009E32F3"/>
    <w:rsid w:val="009E38CA"/>
    <w:rsid w:val="009E3B2B"/>
    <w:rsid w:val="009E3F3B"/>
    <w:rsid w:val="009E4A1E"/>
    <w:rsid w:val="009F0A26"/>
    <w:rsid w:val="009F1A8D"/>
    <w:rsid w:val="00A002F7"/>
    <w:rsid w:val="00A02C46"/>
    <w:rsid w:val="00A03244"/>
    <w:rsid w:val="00A03890"/>
    <w:rsid w:val="00A05022"/>
    <w:rsid w:val="00A05CFA"/>
    <w:rsid w:val="00A05E6F"/>
    <w:rsid w:val="00A10F82"/>
    <w:rsid w:val="00A125D4"/>
    <w:rsid w:val="00A1309B"/>
    <w:rsid w:val="00A1358E"/>
    <w:rsid w:val="00A1461E"/>
    <w:rsid w:val="00A14981"/>
    <w:rsid w:val="00A154A4"/>
    <w:rsid w:val="00A160FE"/>
    <w:rsid w:val="00A2089E"/>
    <w:rsid w:val="00A20C7A"/>
    <w:rsid w:val="00A20DDD"/>
    <w:rsid w:val="00A20FBD"/>
    <w:rsid w:val="00A2119C"/>
    <w:rsid w:val="00A213AA"/>
    <w:rsid w:val="00A22B18"/>
    <w:rsid w:val="00A2599A"/>
    <w:rsid w:val="00A2681E"/>
    <w:rsid w:val="00A30EAB"/>
    <w:rsid w:val="00A31113"/>
    <w:rsid w:val="00A31474"/>
    <w:rsid w:val="00A32FA7"/>
    <w:rsid w:val="00A33B77"/>
    <w:rsid w:val="00A34F92"/>
    <w:rsid w:val="00A35C5A"/>
    <w:rsid w:val="00A420AE"/>
    <w:rsid w:val="00A430E9"/>
    <w:rsid w:val="00A4438D"/>
    <w:rsid w:val="00A44F0F"/>
    <w:rsid w:val="00A4517D"/>
    <w:rsid w:val="00A45230"/>
    <w:rsid w:val="00A45923"/>
    <w:rsid w:val="00A45A11"/>
    <w:rsid w:val="00A45CE9"/>
    <w:rsid w:val="00A5060A"/>
    <w:rsid w:val="00A50DD9"/>
    <w:rsid w:val="00A51727"/>
    <w:rsid w:val="00A548D5"/>
    <w:rsid w:val="00A56D42"/>
    <w:rsid w:val="00A6013E"/>
    <w:rsid w:val="00A61B14"/>
    <w:rsid w:val="00A61BF4"/>
    <w:rsid w:val="00A64257"/>
    <w:rsid w:val="00A64DF1"/>
    <w:rsid w:val="00A651C2"/>
    <w:rsid w:val="00A659A5"/>
    <w:rsid w:val="00A67677"/>
    <w:rsid w:val="00A749D3"/>
    <w:rsid w:val="00A752FD"/>
    <w:rsid w:val="00A77574"/>
    <w:rsid w:val="00A80532"/>
    <w:rsid w:val="00A813B9"/>
    <w:rsid w:val="00A9433C"/>
    <w:rsid w:val="00A96AEA"/>
    <w:rsid w:val="00AA0666"/>
    <w:rsid w:val="00AA150C"/>
    <w:rsid w:val="00AA16A5"/>
    <w:rsid w:val="00AA18EC"/>
    <w:rsid w:val="00AA200A"/>
    <w:rsid w:val="00AA2DC6"/>
    <w:rsid w:val="00AA4332"/>
    <w:rsid w:val="00AA5A30"/>
    <w:rsid w:val="00AB0146"/>
    <w:rsid w:val="00AB1EA8"/>
    <w:rsid w:val="00AB2F4B"/>
    <w:rsid w:val="00AB40E4"/>
    <w:rsid w:val="00AB5250"/>
    <w:rsid w:val="00AB5D04"/>
    <w:rsid w:val="00AB6CCC"/>
    <w:rsid w:val="00AC02CE"/>
    <w:rsid w:val="00AC0BE9"/>
    <w:rsid w:val="00AC0EBE"/>
    <w:rsid w:val="00AC4E46"/>
    <w:rsid w:val="00AC54FE"/>
    <w:rsid w:val="00AC58F7"/>
    <w:rsid w:val="00AD1A90"/>
    <w:rsid w:val="00AD27B9"/>
    <w:rsid w:val="00AD3FE4"/>
    <w:rsid w:val="00AD4BEE"/>
    <w:rsid w:val="00AD65E6"/>
    <w:rsid w:val="00AD66DD"/>
    <w:rsid w:val="00AD67D4"/>
    <w:rsid w:val="00AD71B3"/>
    <w:rsid w:val="00AD71F7"/>
    <w:rsid w:val="00AD79E7"/>
    <w:rsid w:val="00AD7BED"/>
    <w:rsid w:val="00AE2A4E"/>
    <w:rsid w:val="00AE3CCE"/>
    <w:rsid w:val="00AE42D7"/>
    <w:rsid w:val="00AE4F4B"/>
    <w:rsid w:val="00AE59D8"/>
    <w:rsid w:val="00AE5EB2"/>
    <w:rsid w:val="00AE6867"/>
    <w:rsid w:val="00AE7448"/>
    <w:rsid w:val="00AF339D"/>
    <w:rsid w:val="00AF5DF1"/>
    <w:rsid w:val="00AF5E60"/>
    <w:rsid w:val="00B00474"/>
    <w:rsid w:val="00B01C91"/>
    <w:rsid w:val="00B01D74"/>
    <w:rsid w:val="00B0215A"/>
    <w:rsid w:val="00B02922"/>
    <w:rsid w:val="00B0295D"/>
    <w:rsid w:val="00B04310"/>
    <w:rsid w:val="00B107A5"/>
    <w:rsid w:val="00B11B08"/>
    <w:rsid w:val="00B12430"/>
    <w:rsid w:val="00B12E04"/>
    <w:rsid w:val="00B13B67"/>
    <w:rsid w:val="00B1425A"/>
    <w:rsid w:val="00B154E7"/>
    <w:rsid w:val="00B1612C"/>
    <w:rsid w:val="00B1633A"/>
    <w:rsid w:val="00B203D2"/>
    <w:rsid w:val="00B21912"/>
    <w:rsid w:val="00B24DB0"/>
    <w:rsid w:val="00B27283"/>
    <w:rsid w:val="00B279AE"/>
    <w:rsid w:val="00B3285F"/>
    <w:rsid w:val="00B32B90"/>
    <w:rsid w:val="00B3302D"/>
    <w:rsid w:val="00B348EF"/>
    <w:rsid w:val="00B36F46"/>
    <w:rsid w:val="00B410F0"/>
    <w:rsid w:val="00B43C31"/>
    <w:rsid w:val="00B44178"/>
    <w:rsid w:val="00B52679"/>
    <w:rsid w:val="00B538F2"/>
    <w:rsid w:val="00B53D41"/>
    <w:rsid w:val="00B552E6"/>
    <w:rsid w:val="00B553BE"/>
    <w:rsid w:val="00B65003"/>
    <w:rsid w:val="00B65E35"/>
    <w:rsid w:val="00B65EE5"/>
    <w:rsid w:val="00B6670A"/>
    <w:rsid w:val="00B71542"/>
    <w:rsid w:val="00B73659"/>
    <w:rsid w:val="00B74946"/>
    <w:rsid w:val="00B75FB4"/>
    <w:rsid w:val="00B76F86"/>
    <w:rsid w:val="00B76FB5"/>
    <w:rsid w:val="00B802D6"/>
    <w:rsid w:val="00B80DF7"/>
    <w:rsid w:val="00B810C3"/>
    <w:rsid w:val="00B81529"/>
    <w:rsid w:val="00B8481B"/>
    <w:rsid w:val="00B87905"/>
    <w:rsid w:val="00B912CD"/>
    <w:rsid w:val="00B922C4"/>
    <w:rsid w:val="00B92435"/>
    <w:rsid w:val="00B93155"/>
    <w:rsid w:val="00B951B1"/>
    <w:rsid w:val="00BA19CD"/>
    <w:rsid w:val="00BA4095"/>
    <w:rsid w:val="00BA57B1"/>
    <w:rsid w:val="00BA6AF1"/>
    <w:rsid w:val="00BB2599"/>
    <w:rsid w:val="00BB2C75"/>
    <w:rsid w:val="00BB3155"/>
    <w:rsid w:val="00BB67CD"/>
    <w:rsid w:val="00BC0FB3"/>
    <w:rsid w:val="00BC1A6C"/>
    <w:rsid w:val="00BC2FFD"/>
    <w:rsid w:val="00BC445E"/>
    <w:rsid w:val="00BD2863"/>
    <w:rsid w:val="00BD3929"/>
    <w:rsid w:val="00BD7B21"/>
    <w:rsid w:val="00BE0E22"/>
    <w:rsid w:val="00BE6C68"/>
    <w:rsid w:val="00BE7661"/>
    <w:rsid w:val="00BE7810"/>
    <w:rsid w:val="00BE7987"/>
    <w:rsid w:val="00BF0569"/>
    <w:rsid w:val="00BF07AB"/>
    <w:rsid w:val="00BF09D0"/>
    <w:rsid w:val="00BF1BB5"/>
    <w:rsid w:val="00BF467C"/>
    <w:rsid w:val="00BF711A"/>
    <w:rsid w:val="00C005D8"/>
    <w:rsid w:val="00C02400"/>
    <w:rsid w:val="00C06E05"/>
    <w:rsid w:val="00C10DAE"/>
    <w:rsid w:val="00C11A15"/>
    <w:rsid w:val="00C11BBB"/>
    <w:rsid w:val="00C16536"/>
    <w:rsid w:val="00C17411"/>
    <w:rsid w:val="00C22683"/>
    <w:rsid w:val="00C22834"/>
    <w:rsid w:val="00C25DE0"/>
    <w:rsid w:val="00C25F31"/>
    <w:rsid w:val="00C26190"/>
    <w:rsid w:val="00C2654A"/>
    <w:rsid w:val="00C30BBE"/>
    <w:rsid w:val="00C34902"/>
    <w:rsid w:val="00C373F2"/>
    <w:rsid w:val="00C37CA7"/>
    <w:rsid w:val="00C37FC1"/>
    <w:rsid w:val="00C403CE"/>
    <w:rsid w:val="00C434B8"/>
    <w:rsid w:val="00C4465E"/>
    <w:rsid w:val="00C44CE3"/>
    <w:rsid w:val="00C46A10"/>
    <w:rsid w:val="00C509EF"/>
    <w:rsid w:val="00C5216A"/>
    <w:rsid w:val="00C52205"/>
    <w:rsid w:val="00C54348"/>
    <w:rsid w:val="00C640C0"/>
    <w:rsid w:val="00C64E9F"/>
    <w:rsid w:val="00C65187"/>
    <w:rsid w:val="00C6768D"/>
    <w:rsid w:val="00C70B21"/>
    <w:rsid w:val="00C713DD"/>
    <w:rsid w:val="00C73DAF"/>
    <w:rsid w:val="00C75F95"/>
    <w:rsid w:val="00C76555"/>
    <w:rsid w:val="00C76A43"/>
    <w:rsid w:val="00C76F57"/>
    <w:rsid w:val="00C82252"/>
    <w:rsid w:val="00C84817"/>
    <w:rsid w:val="00C860E9"/>
    <w:rsid w:val="00C87548"/>
    <w:rsid w:val="00C91BD8"/>
    <w:rsid w:val="00C91C8B"/>
    <w:rsid w:val="00C9295A"/>
    <w:rsid w:val="00C93428"/>
    <w:rsid w:val="00C93CEB"/>
    <w:rsid w:val="00C94640"/>
    <w:rsid w:val="00C94C8A"/>
    <w:rsid w:val="00C95736"/>
    <w:rsid w:val="00C95CF9"/>
    <w:rsid w:val="00C95EE9"/>
    <w:rsid w:val="00C974AB"/>
    <w:rsid w:val="00C97F52"/>
    <w:rsid w:val="00CA2E81"/>
    <w:rsid w:val="00CA3998"/>
    <w:rsid w:val="00CA5EA5"/>
    <w:rsid w:val="00CA77CF"/>
    <w:rsid w:val="00CA7C4E"/>
    <w:rsid w:val="00CB13D1"/>
    <w:rsid w:val="00CB3552"/>
    <w:rsid w:val="00CB35EC"/>
    <w:rsid w:val="00CB44C0"/>
    <w:rsid w:val="00CB4A2B"/>
    <w:rsid w:val="00CB4D8A"/>
    <w:rsid w:val="00CC4D66"/>
    <w:rsid w:val="00CC4F69"/>
    <w:rsid w:val="00CC5763"/>
    <w:rsid w:val="00CC6054"/>
    <w:rsid w:val="00CC658D"/>
    <w:rsid w:val="00CC6F35"/>
    <w:rsid w:val="00CC7A71"/>
    <w:rsid w:val="00CD1FE9"/>
    <w:rsid w:val="00CD207C"/>
    <w:rsid w:val="00CD7B61"/>
    <w:rsid w:val="00CE176B"/>
    <w:rsid w:val="00CE3EC5"/>
    <w:rsid w:val="00CE50C2"/>
    <w:rsid w:val="00CE527F"/>
    <w:rsid w:val="00CE57EC"/>
    <w:rsid w:val="00CE7F6E"/>
    <w:rsid w:val="00CE7FFC"/>
    <w:rsid w:val="00CF283C"/>
    <w:rsid w:val="00CF4FD7"/>
    <w:rsid w:val="00CF6AA0"/>
    <w:rsid w:val="00D0044C"/>
    <w:rsid w:val="00D01625"/>
    <w:rsid w:val="00D01CA9"/>
    <w:rsid w:val="00D0576F"/>
    <w:rsid w:val="00D05D0C"/>
    <w:rsid w:val="00D131FF"/>
    <w:rsid w:val="00D16067"/>
    <w:rsid w:val="00D16880"/>
    <w:rsid w:val="00D17FB1"/>
    <w:rsid w:val="00D2077D"/>
    <w:rsid w:val="00D207D0"/>
    <w:rsid w:val="00D22B42"/>
    <w:rsid w:val="00D23423"/>
    <w:rsid w:val="00D23499"/>
    <w:rsid w:val="00D263F9"/>
    <w:rsid w:val="00D2643E"/>
    <w:rsid w:val="00D27B90"/>
    <w:rsid w:val="00D31FDB"/>
    <w:rsid w:val="00D32463"/>
    <w:rsid w:val="00D32482"/>
    <w:rsid w:val="00D3599F"/>
    <w:rsid w:val="00D36D23"/>
    <w:rsid w:val="00D420BE"/>
    <w:rsid w:val="00D45B99"/>
    <w:rsid w:val="00D508F4"/>
    <w:rsid w:val="00D50D79"/>
    <w:rsid w:val="00D51690"/>
    <w:rsid w:val="00D54A56"/>
    <w:rsid w:val="00D54EC6"/>
    <w:rsid w:val="00D57D1C"/>
    <w:rsid w:val="00D62CAD"/>
    <w:rsid w:val="00D726AB"/>
    <w:rsid w:val="00D7409D"/>
    <w:rsid w:val="00D745FE"/>
    <w:rsid w:val="00D76682"/>
    <w:rsid w:val="00D77616"/>
    <w:rsid w:val="00D82F2A"/>
    <w:rsid w:val="00D843E4"/>
    <w:rsid w:val="00D87AC1"/>
    <w:rsid w:val="00D97217"/>
    <w:rsid w:val="00D975BB"/>
    <w:rsid w:val="00DA0195"/>
    <w:rsid w:val="00DA12F7"/>
    <w:rsid w:val="00DA2E53"/>
    <w:rsid w:val="00DA38F2"/>
    <w:rsid w:val="00DA746D"/>
    <w:rsid w:val="00DB1926"/>
    <w:rsid w:val="00DB1CD1"/>
    <w:rsid w:val="00DB294F"/>
    <w:rsid w:val="00DB3A43"/>
    <w:rsid w:val="00DB3BF1"/>
    <w:rsid w:val="00DB3F21"/>
    <w:rsid w:val="00DB4005"/>
    <w:rsid w:val="00DB4B21"/>
    <w:rsid w:val="00DC31D6"/>
    <w:rsid w:val="00DC70A9"/>
    <w:rsid w:val="00DC71C0"/>
    <w:rsid w:val="00DC7588"/>
    <w:rsid w:val="00DC785A"/>
    <w:rsid w:val="00DD046E"/>
    <w:rsid w:val="00DD1D18"/>
    <w:rsid w:val="00DD4E89"/>
    <w:rsid w:val="00DD6E31"/>
    <w:rsid w:val="00DD72E4"/>
    <w:rsid w:val="00DD7514"/>
    <w:rsid w:val="00DD79B5"/>
    <w:rsid w:val="00DE01E7"/>
    <w:rsid w:val="00DE2E06"/>
    <w:rsid w:val="00DE4D52"/>
    <w:rsid w:val="00DE4DF2"/>
    <w:rsid w:val="00DE51A7"/>
    <w:rsid w:val="00DE5424"/>
    <w:rsid w:val="00DE6107"/>
    <w:rsid w:val="00DF1EE1"/>
    <w:rsid w:val="00DF1F20"/>
    <w:rsid w:val="00DF4003"/>
    <w:rsid w:val="00DF416E"/>
    <w:rsid w:val="00DF59C5"/>
    <w:rsid w:val="00DF77C7"/>
    <w:rsid w:val="00E0109F"/>
    <w:rsid w:val="00E04B4E"/>
    <w:rsid w:val="00E1069A"/>
    <w:rsid w:val="00E11FE0"/>
    <w:rsid w:val="00E12E65"/>
    <w:rsid w:val="00E155DA"/>
    <w:rsid w:val="00E15FB4"/>
    <w:rsid w:val="00E16CB2"/>
    <w:rsid w:val="00E24D2F"/>
    <w:rsid w:val="00E24E06"/>
    <w:rsid w:val="00E27083"/>
    <w:rsid w:val="00E27D26"/>
    <w:rsid w:val="00E30A2D"/>
    <w:rsid w:val="00E334E6"/>
    <w:rsid w:val="00E37B2D"/>
    <w:rsid w:val="00E437E5"/>
    <w:rsid w:val="00E438D9"/>
    <w:rsid w:val="00E43BDB"/>
    <w:rsid w:val="00E4552C"/>
    <w:rsid w:val="00E45889"/>
    <w:rsid w:val="00E45954"/>
    <w:rsid w:val="00E46E97"/>
    <w:rsid w:val="00E511F5"/>
    <w:rsid w:val="00E513E3"/>
    <w:rsid w:val="00E515BC"/>
    <w:rsid w:val="00E51A5A"/>
    <w:rsid w:val="00E52731"/>
    <w:rsid w:val="00E57A07"/>
    <w:rsid w:val="00E60C36"/>
    <w:rsid w:val="00E6166A"/>
    <w:rsid w:val="00E6391A"/>
    <w:rsid w:val="00E64981"/>
    <w:rsid w:val="00E66383"/>
    <w:rsid w:val="00E66580"/>
    <w:rsid w:val="00E71C5C"/>
    <w:rsid w:val="00E727C7"/>
    <w:rsid w:val="00E73743"/>
    <w:rsid w:val="00E73E24"/>
    <w:rsid w:val="00E764AB"/>
    <w:rsid w:val="00E80132"/>
    <w:rsid w:val="00E80341"/>
    <w:rsid w:val="00E80895"/>
    <w:rsid w:val="00E8089E"/>
    <w:rsid w:val="00E8169E"/>
    <w:rsid w:val="00E8187D"/>
    <w:rsid w:val="00E837AA"/>
    <w:rsid w:val="00E84F11"/>
    <w:rsid w:val="00E905A4"/>
    <w:rsid w:val="00E93EB5"/>
    <w:rsid w:val="00E952BB"/>
    <w:rsid w:val="00EA36BD"/>
    <w:rsid w:val="00EA389C"/>
    <w:rsid w:val="00EA3DB6"/>
    <w:rsid w:val="00EA4EA8"/>
    <w:rsid w:val="00EA7646"/>
    <w:rsid w:val="00EB0515"/>
    <w:rsid w:val="00EB0F75"/>
    <w:rsid w:val="00EB1C3F"/>
    <w:rsid w:val="00EB56E4"/>
    <w:rsid w:val="00EC5BB8"/>
    <w:rsid w:val="00EC6750"/>
    <w:rsid w:val="00ED0DF0"/>
    <w:rsid w:val="00ED232C"/>
    <w:rsid w:val="00ED4BF7"/>
    <w:rsid w:val="00EE1A3A"/>
    <w:rsid w:val="00EE2FE2"/>
    <w:rsid w:val="00EE5261"/>
    <w:rsid w:val="00EE659F"/>
    <w:rsid w:val="00EF09E0"/>
    <w:rsid w:val="00EF146C"/>
    <w:rsid w:val="00EF380B"/>
    <w:rsid w:val="00EF3BB2"/>
    <w:rsid w:val="00EF4B13"/>
    <w:rsid w:val="00EF69F8"/>
    <w:rsid w:val="00EF6A7F"/>
    <w:rsid w:val="00F02A57"/>
    <w:rsid w:val="00F074B1"/>
    <w:rsid w:val="00F1328E"/>
    <w:rsid w:val="00F141C0"/>
    <w:rsid w:val="00F14FA7"/>
    <w:rsid w:val="00F224C7"/>
    <w:rsid w:val="00F2404C"/>
    <w:rsid w:val="00F2426F"/>
    <w:rsid w:val="00F265BA"/>
    <w:rsid w:val="00F278B8"/>
    <w:rsid w:val="00F31E8B"/>
    <w:rsid w:val="00F32D01"/>
    <w:rsid w:val="00F34643"/>
    <w:rsid w:val="00F34FB1"/>
    <w:rsid w:val="00F36B1B"/>
    <w:rsid w:val="00F43DC7"/>
    <w:rsid w:val="00F44107"/>
    <w:rsid w:val="00F44969"/>
    <w:rsid w:val="00F44C14"/>
    <w:rsid w:val="00F46A0E"/>
    <w:rsid w:val="00F53868"/>
    <w:rsid w:val="00F57606"/>
    <w:rsid w:val="00F605E6"/>
    <w:rsid w:val="00F6120B"/>
    <w:rsid w:val="00F6305E"/>
    <w:rsid w:val="00F71C6F"/>
    <w:rsid w:val="00F7236D"/>
    <w:rsid w:val="00F725A8"/>
    <w:rsid w:val="00F73016"/>
    <w:rsid w:val="00F75EB2"/>
    <w:rsid w:val="00F7614B"/>
    <w:rsid w:val="00F823BB"/>
    <w:rsid w:val="00F825C4"/>
    <w:rsid w:val="00F8302E"/>
    <w:rsid w:val="00F83E3E"/>
    <w:rsid w:val="00F85CC0"/>
    <w:rsid w:val="00F87EB4"/>
    <w:rsid w:val="00F930DE"/>
    <w:rsid w:val="00F960AD"/>
    <w:rsid w:val="00F978F4"/>
    <w:rsid w:val="00FA08E6"/>
    <w:rsid w:val="00FA306E"/>
    <w:rsid w:val="00FA3119"/>
    <w:rsid w:val="00FA32E4"/>
    <w:rsid w:val="00FA5956"/>
    <w:rsid w:val="00FA6AA0"/>
    <w:rsid w:val="00FB13C6"/>
    <w:rsid w:val="00FB3672"/>
    <w:rsid w:val="00FB3F72"/>
    <w:rsid w:val="00FB59B8"/>
    <w:rsid w:val="00FB7A51"/>
    <w:rsid w:val="00FC0A36"/>
    <w:rsid w:val="00FC30A2"/>
    <w:rsid w:val="00FC4AA5"/>
    <w:rsid w:val="00FC66A4"/>
    <w:rsid w:val="00FD1A23"/>
    <w:rsid w:val="00FD1D8C"/>
    <w:rsid w:val="00FD3A8D"/>
    <w:rsid w:val="00FD4A40"/>
    <w:rsid w:val="00FD6A5F"/>
    <w:rsid w:val="00FD794D"/>
    <w:rsid w:val="00FE07B4"/>
    <w:rsid w:val="00FE44F2"/>
    <w:rsid w:val="00FE4F2D"/>
    <w:rsid w:val="00FE6E1E"/>
    <w:rsid w:val="00FE7EA2"/>
    <w:rsid w:val="00FF0313"/>
    <w:rsid w:val="00FF0842"/>
    <w:rsid w:val="00FF78E4"/>
    <w:rsid w:val="00FF7A9A"/>
    <w:rsid w:val="1B980E21"/>
    <w:rsid w:val="7F987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62F9D"/>
  <w15:chartTrackingRefBased/>
  <w15:docId w15:val="{9161DFDE-234D-4DF7-AB59-4828F8F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C5"/>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Paragraphnonumbers"/>
    <w:link w:val="Heading1Char"/>
    <w:uiPriority w:val="1"/>
    <w:qFormat/>
    <w:rsid w:val="001E231E"/>
    <w:pPr>
      <w:keepNext/>
      <w:spacing w:after="120"/>
      <w:outlineLvl w:val="0"/>
    </w:pPr>
    <w:rPr>
      <w:rFonts w:ascii="Arial" w:hAnsi="Arial"/>
      <w:b/>
      <w:bCs/>
      <w:kern w:val="32"/>
      <w:sz w:val="28"/>
      <w:szCs w:val="32"/>
    </w:rPr>
  </w:style>
  <w:style w:type="paragraph" w:styleId="Heading2">
    <w:name w:val="heading 2"/>
    <w:basedOn w:val="Normal"/>
    <w:next w:val="Normal"/>
    <w:link w:val="Heading2Char"/>
    <w:uiPriority w:val="9"/>
    <w:unhideWhenUsed/>
    <w:qFormat/>
    <w:rsid w:val="001E23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Paragraph"/>
    <w:link w:val="Heading3Char"/>
    <w:uiPriority w:val="3"/>
    <w:qFormat/>
    <w:rsid w:val="001E231E"/>
    <w:pPr>
      <w:keepNext/>
      <w:spacing w:after="60"/>
      <w:outlineLvl w:val="2"/>
    </w:pPr>
    <w:rPr>
      <w:rFonts w:ascii="Arial" w:hAnsi="Arial"/>
      <w:b/>
      <w:bCs/>
      <w:szCs w:val="26"/>
    </w:rPr>
  </w:style>
  <w:style w:type="paragraph" w:styleId="Heading4">
    <w:name w:val="heading 4"/>
    <w:basedOn w:val="Normal"/>
    <w:next w:val="Normal"/>
    <w:link w:val="Heading4Char"/>
    <w:uiPriority w:val="9"/>
    <w:qFormat/>
    <w:rsid w:val="001E231E"/>
    <w:pPr>
      <w:spacing w:before="200"/>
      <w:outlineLvl w:val="3"/>
    </w:pPr>
    <w:rPr>
      <w:rFonts w:ascii="Cambria" w:hAnsi="Cambria"/>
      <w:b/>
      <w:bCs/>
      <w:i/>
      <w:iCs/>
    </w:rPr>
  </w:style>
  <w:style w:type="paragraph" w:styleId="Heading5">
    <w:name w:val="heading 5"/>
    <w:basedOn w:val="Normal"/>
    <w:next w:val="Normal"/>
    <w:link w:val="Heading5Char"/>
    <w:uiPriority w:val="9"/>
    <w:qFormat/>
    <w:rsid w:val="001E231E"/>
    <w:pPr>
      <w:spacing w:before="200"/>
      <w:outlineLvl w:val="4"/>
    </w:pPr>
    <w:rPr>
      <w:rFonts w:ascii="Cambria" w:hAnsi="Cambria"/>
      <w:b/>
      <w:bCs/>
      <w:color w:val="7F7F7F"/>
    </w:rPr>
  </w:style>
  <w:style w:type="paragraph" w:styleId="Heading6">
    <w:name w:val="heading 6"/>
    <w:basedOn w:val="Normal"/>
    <w:next w:val="Normal"/>
    <w:link w:val="Heading6Char"/>
    <w:uiPriority w:val="9"/>
    <w:qFormat/>
    <w:rsid w:val="001E231E"/>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1E231E"/>
    <w:pPr>
      <w:outlineLvl w:val="6"/>
    </w:pPr>
    <w:rPr>
      <w:rFonts w:ascii="Cambria" w:hAnsi="Cambria"/>
      <w:i/>
      <w:iCs/>
    </w:rPr>
  </w:style>
  <w:style w:type="paragraph" w:styleId="Heading8">
    <w:name w:val="heading 8"/>
    <w:basedOn w:val="Normal"/>
    <w:next w:val="Normal"/>
    <w:link w:val="Heading8Char"/>
    <w:uiPriority w:val="9"/>
    <w:qFormat/>
    <w:rsid w:val="001E231E"/>
    <w:pPr>
      <w:outlineLvl w:val="7"/>
    </w:pPr>
    <w:rPr>
      <w:rFonts w:ascii="Cambria" w:hAnsi="Cambria"/>
    </w:rPr>
  </w:style>
  <w:style w:type="paragraph" w:styleId="Heading9">
    <w:name w:val="heading 9"/>
    <w:basedOn w:val="Normal"/>
    <w:next w:val="Normal"/>
    <w:link w:val="Heading9Char"/>
    <w:uiPriority w:val="9"/>
    <w:qFormat/>
    <w:rsid w:val="001E231E"/>
    <w:pPr>
      <w:outlineLvl w:val="8"/>
    </w:pPr>
    <w:rPr>
      <w:rFonts w:ascii="Cambria" w:hAnsi="Cambria"/>
      <w:i/>
      <w:iCs/>
      <w:spacing w:val="5"/>
    </w:rPr>
  </w:style>
  <w:style w:type="character" w:default="1" w:styleId="DefaultParagraphFont">
    <w:name w:val="Default Paragraph Font"/>
    <w:uiPriority w:val="1"/>
    <w:unhideWhenUsed/>
    <w:rsid w:val="008403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403C5"/>
  </w:style>
  <w:style w:type="paragraph" w:customStyle="1" w:styleId="NICEnormal">
    <w:name w:val="NICE normal"/>
    <w:rsid w:val="001E231E"/>
    <w:pPr>
      <w:spacing w:after="240" w:line="360" w:lineRule="auto"/>
    </w:pPr>
    <w:rPr>
      <w:rFonts w:ascii="Arial" w:eastAsia="Times New Roman" w:hAnsi="Arial"/>
      <w:lang w:val="en-US" w:eastAsia="en-US"/>
    </w:rPr>
  </w:style>
  <w:style w:type="character" w:customStyle="1" w:styleId="NICEnormalChar">
    <w:name w:val="NICE normal Char"/>
    <w:rsid w:val="001E231E"/>
    <w:rPr>
      <w:rFonts w:ascii="Arial" w:eastAsia="Times New Roman" w:hAnsi="Arial"/>
      <w:sz w:val="24"/>
      <w:szCs w:val="24"/>
      <w:lang w:val="en-GB" w:eastAsia="en-US" w:bidi="ar-SA"/>
    </w:rPr>
  </w:style>
  <w:style w:type="character" w:customStyle="1" w:styleId="Heading1Char">
    <w:name w:val="Heading 1 Char"/>
    <w:link w:val="Heading1"/>
    <w:uiPriority w:val="1"/>
    <w:rsid w:val="001E231E"/>
    <w:rPr>
      <w:rFonts w:ascii="Arial" w:eastAsiaTheme="minorHAnsi" w:hAnsi="Arial"/>
      <w:b/>
      <w:bCs/>
      <w:kern w:val="32"/>
      <w:sz w:val="28"/>
      <w:szCs w:val="32"/>
      <w:lang w:eastAsia="en-US"/>
      <w14:ligatures w14:val="standardContextual"/>
    </w:rPr>
  </w:style>
  <w:style w:type="character" w:customStyle="1" w:styleId="Heading2Char">
    <w:name w:val="Heading 2 Char"/>
    <w:basedOn w:val="DefaultParagraphFont"/>
    <w:link w:val="Heading2"/>
    <w:uiPriority w:val="9"/>
    <w:rsid w:val="001E231E"/>
    <w:rPr>
      <w:rFonts w:asciiTheme="majorHAnsi" w:eastAsiaTheme="majorEastAsia" w:hAnsiTheme="majorHAnsi" w:cstheme="majorBidi"/>
      <w:color w:val="0F4761" w:themeColor="accent1" w:themeShade="BF"/>
      <w:kern w:val="2"/>
      <w:sz w:val="32"/>
      <w:szCs w:val="32"/>
      <w:lang w:eastAsia="en-US"/>
      <w14:ligatures w14:val="standardContextual"/>
    </w:rPr>
  </w:style>
  <w:style w:type="character" w:customStyle="1" w:styleId="Heading3Char">
    <w:name w:val="Heading 3 Char"/>
    <w:link w:val="Heading3"/>
    <w:uiPriority w:val="3"/>
    <w:rsid w:val="001E231E"/>
    <w:rPr>
      <w:rFonts w:ascii="Arial" w:eastAsiaTheme="minorHAnsi" w:hAnsi="Arial"/>
      <w:b/>
      <w:bCs/>
      <w:kern w:val="2"/>
      <w:szCs w:val="26"/>
      <w:lang w:eastAsia="en-US"/>
      <w14:ligatures w14:val="standardContextual"/>
    </w:rPr>
  </w:style>
  <w:style w:type="character" w:customStyle="1" w:styleId="Heading4Char">
    <w:name w:val="Heading 4 Char"/>
    <w:link w:val="Heading4"/>
    <w:uiPriority w:val="9"/>
    <w:rsid w:val="001E231E"/>
    <w:rPr>
      <w:rFonts w:ascii="Cambria" w:eastAsiaTheme="minorHAnsi" w:hAnsi="Cambria"/>
      <w:b/>
      <w:bCs/>
      <w:i/>
      <w:iCs/>
      <w:kern w:val="2"/>
      <w:lang w:eastAsia="en-US"/>
      <w14:ligatures w14:val="standardContextual"/>
    </w:rPr>
  </w:style>
  <w:style w:type="paragraph" w:styleId="ListParagraph">
    <w:name w:val="List Paragraph"/>
    <w:basedOn w:val="Normal"/>
    <w:uiPriority w:val="34"/>
    <w:qFormat/>
    <w:rsid w:val="001E231E"/>
    <w:pPr>
      <w:ind w:left="720"/>
      <w:contextualSpacing/>
    </w:pPr>
    <w:rPr>
      <w:rFonts w:eastAsia="Calibri"/>
    </w:rPr>
  </w:style>
  <w:style w:type="character" w:styleId="Hyperlink">
    <w:name w:val="Hyperlink"/>
    <w:uiPriority w:val="99"/>
    <w:rsid w:val="001E231E"/>
    <w:rPr>
      <w:color w:val="0000FF"/>
      <w:u w:val="single"/>
    </w:rPr>
  </w:style>
  <w:style w:type="paragraph" w:styleId="Header">
    <w:name w:val="header"/>
    <w:basedOn w:val="Normal"/>
    <w:link w:val="HeaderChar"/>
    <w:uiPriority w:val="99"/>
    <w:rsid w:val="001E231E"/>
    <w:pPr>
      <w:tabs>
        <w:tab w:val="center" w:pos="4513"/>
        <w:tab w:val="right" w:pos="9026"/>
      </w:tabs>
    </w:pPr>
    <w:rPr>
      <w:rFonts w:ascii="Arial" w:hAnsi="Arial"/>
    </w:rPr>
  </w:style>
  <w:style w:type="paragraph" w:customStyle="1" w:styleId="NICEnormaldoublespacing">
    <w:name w:val="NICE normal double spacing"/>
    <w:basedOn w:val="NICEnormal"/>
    <w:rsid w:val="001E231E"/>
  </w:style>
  <w:style w:type="character" w:customStyle="1" w:styleId="HeaderChar">
    <w:name w:val="Header Char"/>
    <w:link w:val="Header"/>
    <w:uiPriority w:val="99"/>
    <w:rsid w:val="001E231E"/>
    <w:rPr>
      <w:rFonts w:ascii="Arial" w:eastAsiaTheme="minorHAnsi" w:hAnsi="Arial"/>
      <w:kern w:val="2"/>
      <w:lang w:eastAsia="en-US"/>
      <w14:ligatures w14:val="standardContextual"/>
    </w:rPr>
  </w:style>
  <w:style w:type="paragraph" w:styleId="Footer">
    <w:name w:val="footer"/>
    <w:basedOn w:val="Normal"/>
    <w:link w:val="FooterChar"/>
    <w:uiPriority w:val="99"/>
    <w:rsid w:val="001E231E"/>
    <w:pPr>
      <w:tabs>
        <w:tab w:val="center" w:pos="4513"/>
        <w:tab w:val="right" w:pos="9026"/>
      </w:tabs>
    </w:pPr>
    <w:rPr>
      <w:rFonts w:ascii="Arial" w:hAnsi="Arial"/>
    </w:rPr>
  </w:style>
  <w:style w:type="character" w:customStyle="1" w:styleId="FooterChar">
    <w:name w:val="Footer Char"/>
    <w:link w:val="Footer"/>
    <w:uiPriority w:val="99"/>
    <w:rsid w:val="001E231E"/>
    <w:rPr>
      <w:rFonts w:ascii="Arial" w:eastAsiaTheme="minorHAnsi" w:hAnsi="Arial"/>
      <w:kern w:val="2"/>
      <w:lang w:eastAsia="en-US"/>
      <w14:ligatures w14:val="standardContextual"/>
    </w:rPr>
  </w:style>
  <w:style w:type="paragraph" w:customStyle="1" w:styleId="Style1">
    <w:name w:val="Style1"/>
    <w:basedOn w:val="Normal"/>
    <w:autoRedefine/>
    <w:rsid w:val="001E231E"/>
    <w:pPr>
      <w:keepNext/>
      <w:spacing w:line="360" w:lineRule="auto"/>
      <w:ind w:left="567"/>
    </w:pPr>
    <w:rPr>
      <w:rFonts w:ascii="Arial" w:hAnsi="Arial" w:cs="Arial"/>
      <w:szCs w:val="16"/>
    </w:rPr>
  </w:style>
  <w:style w:type="paragraph" w:customStyle="1" w:styleId="Unnumberedboldheading">
    <w:name w:val="Unnumbered bold heading"/>
    <w:next w:val="NICEnormal"/>
    <w:rsid w:val="001E231E"/>
    <w:pPr>
      <w:keepNext/>
      <w:widowControl w:val="0"/>
      <w:spacing w:after="120"/>
    </w:pPr>
    <w:rPr>
      <w:rFonts w:ascii="Arial" w:eastAsia="Times New Roman" w:hAnsi="Arial"/>
      <w:b/>
      <w:lang w:val="en-US" w:eastAsia="en-US"/>
    </w:rPr>
  </w:style>
  <w:style w:type="paragraph" w:customStyle="1" w:styleId="Unnumbereditalicheading">
    <w:name w:val="Unnumbered italic heading"/>
    <w:next w:val="NICEnormal"/>
    <w:rsid w:val="001E231E"/>
    <w:pPr>
      <w:keepNext/>
      <w:widowControl w:val="0"/>
      <w:spacing w:after="120"/>
    </w:pPr>
    <w:rPr>
      <w:rFonts w:ascii="Arial" w:eastAsia="Times New Roman" w:hAnsi="Arial"/>
      <w:i/>
      <w:lang w:val="en-US" w:eastAsia="en-US"/>
    </w:rPr>
  </w:style>
  <w:style w:type="paragraph" w:styleId="Title">
    <w:name w:val="Title"/>
    <w:basedOn w:val="Normal"/>
    <w:next w:val="Normal"/>
    <w:link w:val="TitleChar"/>
    <w:uiPriority w:val="10"/>
    <w:qFormat/>
    <w:rsid w:val="001E23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231E"/>
    <w:rPr>
      <w:rFonts w:asciiTheme="majorHAnsi" w:eastAsiaTheme="majorEastAsia" w:hAnsiTheme="majorHAnsi" w:cstheme="majorBidi"/>
      <w:spacing w:val="-10"/>
      <w:kern w:val="28"/>
      <w:sz w:val="56"/>
      <w:szCs w:val="56"/>
      <w:lang w:eastAsia="en-US"/>
      <w14:ligatures w14:val="standardContextual"/>
    </w:rPr>
  </w:style>
  <w:style w:type="paragraph" w:customStyle="1" w:styleId="Title16pt">
    <w:name w:val="Title 16 pt"/>
    <w:basedOn w:val="Title"/>
    <w:rsid w:val="001E231E"/>
  </w:style>
  <w:style w:type="paragraph" w:customStyle="1" w:styleId="Introtext">
    <w:name w:val="Intro text"/>
    <w:basedOn w:val="PGDNormal"/>
    <w:rsid w:val="001E231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1E231E"/>
    <w:pPr>
      <w:tabs>
        <w:tab w:val="num" w:pos="360"/>
      </w:tabs>
    </w:pPr>
    <w:rPr>
      <w:szCs w:val="24"/>
    </w:rPr>
  </w:style>
  <w:style w:type="character" w:customStyle="1" w:styleId="Numberedheading1CharChar">
    <w:name w:val="Numbered heading 1 Char Char"/>
    <w:link w:val="Numberedheading1"/>
    <w:rsid w:val="001E231E"/>
    <w:rPr>
      <w:rFonts w:ascii="Arial" w:eastAsiaTheme="minorHAnsi" w:hAnsi="Arial"/>
      <w:b/>
      <w:bCs/>
      <w:kern w:val="32"/>
      <w:sz w:val="28"/>
      <w:szCs w:val="24"/>
      <w:lang w:eastAsia="en-US"/>
      <w14:ligatures w14:val="standardContextual"/>
    </w:rPr>
  </w:style>
  <w:style w:type="paragraph" w:customStyle="1" w:styleId="Numberedheading2">
    <w:name w:val="Numbered heading 2"/>
    <w:basedOn w:val="Heading2"/>
    <w:next w:val="NICEnormal"/>
    <w:link w:val="Numberedheading2Char"/>
    <w:rsid w:val="001E231E"/>
    <w:pPr>
      <w:tabs>
        <w:tab w:val="num" w:pos="360"/>
      </w:tabs>
    </w:pPr>
  </w:style>
  <w:style w:type="character" w:customStyle="1" w:styleId="Numberedheading2Char">
    <w:name w:val="Numbered heading 2 Char"/>
    <w:basedOn w:val="Heading2Char"/>
    <w:link w:val="Numberedheading2"/>
    <w:rsid w:val="001E231E"/>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customStyle="1" w:styleId="Numberedheading3">
    <w:name w:val="Numbered heading 3"/>
    <w:basedOn w:val="Heading3"/>
    <w:next w:val="NICEnormal"/>
    <w:rsid w:val="001E231E"/>
    <w:pPr>
      <w:tabs>
        <w:tab w:val="num" w:pos="360"/>
      </w:tabs>
    </w:pPr>
    <w:rPr>
      <w:sz w:val="26"/>
    </w:rPr>
  </w:style>
  <w:style w:type="paragraph" w:customStyle="1" w:styleId="Numberedlevel4text">
    <w:name w:val="Numbered level 4 text"/>
    <w:basedOn w:val="NICEnormal"/>
    <w:next w:val="NICEnormal"/>
    <w:rsid w:val="001E231E"/>
    <w:pPr>
      <w:tabs>
        <w:tab w:val="num" w:pos="360"/>
      </w:tabs>
    </w:pPr>
  </w:style>
  <w:style w:type="paragraph" w:customStyle="1" w:styleId="Numberedlevel3text">
    <w:name w:val="Numbered level 3 text"/>
    <w:basedOn w:val="Numberedheading3"/>
    <w:rsid w:val="001E231E"/>
    <w:pPr>
      <w:spacing w:after="240"/>
    </w:pPr>
    <w:rPr>
      <w:b w:val="0"/>
      <w:sz w:val="24"/>
    </w:rPr>
  </w:style>
  <w:style w:type="paragraph" w:customStyle="1" w:styleId="Bulletindent2">
    <w:name w:val="Bullet indent 2"/>
    <w:basedOn w:val="NICEnormal"/>
    <w:rsid w:val="001E231E"/>
    <w:pPr>
      <w:tabs>
        <w:tab w:val="num" w:pos="360"/>
      </w:tabs>
      <w:spacing w:after="0"/>
      <w:ind w:left="1702" w:hanging="284"/>
    </w:pPr>
  </w:style>
  <w:style w:type="paragraph" w:customStyle="1" w:styleId="Title16ptleft">
    <w:name w:val="Title 16 pt left"/>
    <w:basedOn w:val="Title16pt"/>
    <w:rsid w:val="001E231E"/>
  </w:style>
  <w:style w:type="paragraph" w:customStyle="1" w:styleId="Bulletleft1">
    <w:name w:val="Bullet left 1"/>
    <w:basedOn w:val="NICEnormal"/>
    <w:rsid w:val="001E231E"/>
    <w:pPr>
      <w:tabs>
        <w:tab w:val="num" w:pos="360"/>
      </w:tabs>
      <w:spacing w:after="0"/>
    </w:pPr>
  </w:style>
  <w:style w:type="character" w:customStyle="1" w:styleId="Bulletleft1Char">
    <w:name w:val="Bullet left 1 Char"/>
    <w:basedOn w:val="NICEnormalChar"/>
    <w:rsid w:val="001E231E"/>
    <w:rPr>
      <w:rFonts w:ascii="Arial" w:eastAsia="Times New Roman" w:hAnsi="Arial"/>
      <w:sz w:val="24"/>
      <w:szCs w:val="24"/>
      <w:lang w:val="en-GB" w:eastAsia="en-US" w:bidi="ar-SA"/>
    </w:rPr>
  </w:style>
  <w:style w:type="paragraph" w:customStyle="1" w:styleId="Bulletleft2">
    <w:name w:val="Bullet left 2"/>
    <w:basedOn w:val="NICEnormal"/>
    <w:rsid w:val="001E231E"/>
    <w:pPr>
      <w:tabs>
        <w:tab w:val="num" w:pos="360"/>
      </w:tabs>
      <w:spacing w:after="0"/>
      <w:ind w:left="568" w:hanging="284"/>
    </w:pPr>
  </w:style>
  <w:style w:type="paragraph" w:customStyle="1" w:styleId="Bulletleft3">
    <w:name w:val="Bullet left 3"/>
    <w:basedOn w:val="NICEnormal"/>
    <w:rsid w:val="001E231E"/>
    <w:pPr>
      <w:tabs>
        <w:tab w:val="num" w:pos="360"/>
      </w:tabs>
      <w:spacing w:after="0"/>
    </w:pPr>
  </w:style>
  <w:style w:type="paragraph" w:customStyle="1" w:styleId="Bulletindent1">
    <w:name w:val="Bullet indent 1"/>
    <w:basedOn w:val="NICEnormal"/>
    <w:rsid w:val="001E231E"/>
    <w:pPr>
      <w:numPr>
        <w:numId w:val="15"/>
      </w:numPr>
      <w:spacing w:before="120" w:after="120" w:line="240" w:lineRule="auto"/>
    </w:pPr>
    <w:rPr>
      <w:sz w:val="22"/>
      <w:lang w:val="en-GB"/>
    </w:rPr>
  </w:style>
  <w:style w:type="paragraph" w:customStyle="1" w:styleId="Bulletindent3">
    <w:name w:val="Bullet indent 3"/>
    <w:basedOn w:val="NICEnormal"/>
    <w:rsid w:val="001E231E"/>
    <w:pPr>
      <w:tabs>
        <w:tab w:val="num" w:pos="360"/>
      </w:tabs>
      <w:spacing w:after="0"/>
    </w:pPr>
  </w:style>
  <w:style w:type="paragraph" w:customStyle="1" w:styleId="Numberedlevel2text">
    <w:name w:val="Numbered level 2 text"/>
    <w:basedOn w:val="Numberedheading2"/>
    <w:rsid w:val="001E231E"/>
    <w:pPr>
      <w:spacing w:after="240"/>
    </w:pPr>
    <w:rPr>
      <w:b/>
      <w:i/>
    </w:rPr>
  </w:style>
  <w:style w:type="paragraph" w:customStyle="1" w:styleId="Bulletleft1last">
    <w:name w:val="Bullet left 1 last"/>
    <w:basedOn w:val="NICEnormal"/>
    <w:rsid w:val="001E231E"/>
    <w:pPr>
      <w:tabs>
        <w:tab w:val="num" w:pos="360"/>
      </w:tabs>
    </w:pPr>
    <w:rPr>
      <w:rFonts w:cs="Arial"/>
    </w:rPr>
  </w:style>
  <w:style w:type="character" w:customStyle="1" w:styleId="Bulletleft1lastChar">
    <w:name w:val="Bullet left 1 last Char"/>
    <w:rsid w:val="001E231E"/>
    <w:rPr>
      <w:rFonts w:ascii="Arial" w:eastAsia="Times New Roman" w:hAnsi="Arial" w:cs="Arial"/>
      <w:sz w:val="24"/>
      <w:szCs w:val="24"/>
      <w:lang w:eastAsia="en-US"/>
    </w:rPr>
  </w:style>
  <w:style w:type="paragraph" w:customStyle="1" w:styleId="boxedtext">
    <w:name w:val="boxed text"/>
    <w:basedOn w:val="NICEnormal"/>
    <w:rsid w:val="001E231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rsid w:val="001E231E"/>
    <w:rPr>
      <w:rFonts w:ascii="Arial" w:hAnsi="Arial"/>
      <w:sz w:val="24"/>
    </w:rPr>
  </w:style>
  <w:style w:type="paragraph" w:customStyle="1" w:styleId="Bulletindent1last">
    <w:name w:val="Bullet indent 1 last"/>
    <w:basedOn w:val="NICEnormal"/>
    <w:next w:val="NICEnormal"/>
    <w:rsid w:val="001E231E"/>
    <w:pPr>
      <w:numPr>
        <w:numId w:val="11"/>
      </w:numPr>
    </w:pPr>
    <w:rPr>
      <w:sz w:val="22"/>
      <w:lang w:val="en-GB"/>
    </w:rPr>
  </w:style>
  <w:style w:type="paragraph" w:customStyle="1" w:styleId="NICEnormalindented">
    <w:name w:val="NICE normal indented"/>
    <w:basedOn w:val="NICEnormal"/>
    <w:rsid w:val="001E231E"/>
    <w:pPr>
      <w:tabs>
        <w:tab w:val="left" w:pos="1134"/>
      </w:tabs>
      <w:ind w:left="1134"/>
    </w:pPr>
  </w:style>
  <w:style w:type="paragraph" w:customStyle="1" w:styleId="Tabletitle">
    <w:name w:val="Table title"/>
    <w:basedOn w:val="NICEnormal"/>
    <w:next w:val="NICEnormal"/>
    <w:rsid w:val="001E231E"/>
    <w:pPr>
      <w:keepNext/>
      <w:spacing w:after="60" w:line="240" w:lineRule="auto"/>
    </w:pPr>
    <w:rPr>
      <w:b/>
    </w:rPr>
  </w:style>
  <w:style w:type="paragraph" w:customStyle="1" w:styleId="Tabletext">
    <w:name w:val="Table text"/>
    <w:basedOn w:val="PGDNormal"/>
    <w:rsid w:val="001E231E"/>
    <w:pPr>
      <w:keepNext/>
      <w:spacing w:after="60"/>
    </w:pPr>
  </w:style>
  <w:style w:type="paragraph" w:customStyle="1" w:styleId="Section2paragraphs">
    <w:name w:val="Section 2 paragraphs"/>
    <w:basedOn w:val="NICEnormal"/>
    <w:rsid w:val="001E231E"/>
    <w:pPr>
      <w:tabs>
        <w:tab w:val="num" w:pos="360"/>
      </w:tabs>
    </w:pPr>
  </w:style>
  <w:style w:type="paragraph" w:customStyle="1" w:styleId="Section3paragraphs">
    <w:name w:val="Section 3 paragraphs"/>
    <w:basedOn w:val="NICEnormal"/>
    <w:rsid w:val="001E231E"/>
    <w:pPr>
      <w:tabs>
        <w:tab w:val="num" w:pos="360"/>
      </w:tabs>
    </w:pPr>
  </w:style>
  <w:style w:type="paragraph" w:customStyle="1" w:styleId="Section411paragraphs">
    <w:name w:val="Section 4.1.1 paragraphs"/>
    <w:basedOn w:val="NICEnormal"/>
    <w:rsid w:val="001E231E"/>
    <w:pPr>
      <w:tabs>
        <w:tab w:val="num" w:pos="360"/>
      </w:tabs>
    </w:pPr>
  </w:style>
  <w:style w:type="paragraph" w:customStyle="1" w:styleId="Section412paragraphs">
    <w:name w:val="Section 4.1.2 paragraphs"/>
    <w:basedOn w:val="NICEnormal"/>
    <w:rsid w:val="001E231E"/>
    <w:pPr>
      <w:tabs>
        <w:tab w:val="num" w:pos="360"/>
      </w:tabs>
    </w:pPr>
  </w:style>
  <w:style w:type="paragraph" w:customStyle="1" w:styleId="Section42paragraphs">
    <w:name w:val="Section 4.2 paragraphs"/>
    <w:basedOn w:val="NICEnormal"/>
    <w:rsid w:val="001E231E"/>
    <w:pPr>
      <w:tabs>
        <w:tab w:val="num" w:pos="360"/>
      </w:tabs>
    </w:pPr>
  </w:style>
  <w:style w:type="paragraph" w:customStyle="1" w:styleId="Section43paragraphs">
    <w:name w:val="Section 4.3 paragraphs"/>
    <w:basedOn w:val="NICEnormal"/>
    <w:rsid w:val="001E231E"/>
    <w:pPr>
      <w:tabs>
        <w:tab w:val="num" w:pos="360"/>
      </w:tabs>
    </w:pPr>
  </w:style>
  <w:style w:type="paragraph" w:customStyle="1" w:styleId="Appendixlevel1">
    <w:name w:val="Appendix level 1"/>
    <w:basedOn w:val="NICEnormal"/>
    <w:autoRedefine/>
    <w:rsid w:val="001E231E"/>
    <w:pPr>
      <w:tabs>
        <w:tab w:val="num" w:pos="360"/>
      </w:tabs>
      <w:spacing w:before="240"/>
    </w:pPr>
  </w:style>
  <w:style w:type="paragraph" w:customStyle="1" w:styleId="Appendixlevel2">
    <w:name w:val="Appendix level 2"/>
    <w:basedOn w:val="NICEnormal"/>
    <w:rsid w:val="001E231E"/>
    <w:pPr>
      <w:tabs>
        <w:tab w:val="num" w:pos="360"/>
      </w:tabs>
      <w:spacing w:before="240"/>
    </w:pPr>
  </w:style>
  <w:style w:type="paragraph" w:customStyle="1" w:styleId="Appendixbullet">
    <w:name w:val="Appendix bullet"/>
    <w:basedOn w:val="NICEnormal"/>
    <w:rsid w:val="001E231E"/>
    <w:pPr>
      <w:tabs>
        <w:tab w:val="num" w:pos="360"/>
      </w:tabs>
      <w:spacing w:after="0" w:line="240" w:lineRule="auto"/>
    </w:pPr>
  </w:style>
  <w:style w:type="paragraph" w:customStyle="1" w:styleId="Appendixreferences">
    <w:name w:val="Appendix references"/>
    <w:basedOn w:val="NICEnormal"/>
    <w:rsid w:val="001E231E"/>
    <w:pPr>
      <w:tabs>
        <w:tab w:val="left" w:pos="567"/>
      </w:tabs>
      <w:spacing w:after="120" w:line="240" w:lineRule="auto"/>
      <w:ind w:left="567"/>
    </w:pPr>
  </w:style>
  <w:style w:type="paragraph" w:customStyle="1" w:styleId="References">
    <w:name w:val="References"/>
    <w:basedOn w:val="PGDNormal"/>
    <w:rsid w:val="001E231E"/>
    <w:pPr>
      <w:tabs>
        <w:tab w:val="num" w:pos="360"/>
      </w:tabs>
      <w:spacing w:after="120"/>
    </w:pPr>
  </w:style>
  <w:style w:type="paragraph" w:styleId="BalloonText">
    <w:name w:val="Balloon Text"/>
    <w:basedOn w:val="Normal"/>
    <w:link w:val="BalloonTextChar"/>
    <w:semiHidden/>
    <w:rsid w:val="001E231E"/>
    <w:rPr>
      <w:rFonts w:ascii="Tahoma" w:hAnsi="Tahoma" w:cs="Tahoma"/>
      <w:sz w:val="16"/>
      <w:szCs w:val="16"/>
    </w:rPr>
  </w:style>
  <w:style w:type="character" w:customStyle="1" w:styleId="BalloonTextChar">
    <w:name w:val="Balloon Text Char"/>
    <w:link w:val="BalloonText"/>
    <w:semiHidden/>
    <w:rsid w:val="001E231E"/>
    <w:rPr>
      <w:rFonts w:ascii="Tahoma" w:eastAsiaTheme="minorHAnsi" w:hAnsi="Tahoma" w:cs="Tahoma"/>
      <w:kern w:val="2"/>
      <w:sz w:val="16"/>
      <w:szCs w:val="16"/>
      <w:lang w:eastAsia="en-US"/>
      <w14:ligatures w14:val="standardContextual"/>
    </w:rPr>
  </w:style>
  <w:style w:type="character" w:styleId="CommentReference">
    <w:name w:val="annotation reference"/>
    <w:unhideWhenUsed/>
    <w:rsid w:val="001E231E"/>
    <w:rPr>
      <w:sz w:val="16"/>
      <w:szCs w:val="16"/>
    </w:rPr>
  </w:style>
  <w:style w:type="paragraph" w:styleId="CommentText">
    <w:name w:val="annotation text"/>
    <w:basedOn w:val="Normal"/>
    <w:link w:val="CommentTextChar1"/>
    <w:uiPriority w:val="99"/>
    <w:unhideWhenUsed/>
    <w:rsid w:val="001E231E"/>
  </w:style>
  <w:style w:type="character" w:customStyle="1" w:styleId="CommentTextChar">
    <w:name w:val="Comment Text Char"/>
    <w:uiPriority w:val="99"/>
    <w:rsid w:val="001E231E"/>
    <w:rPr>
      <w:rFonts w:ascii="Times New Roman" w:eastAsia="Times New Roman" w:hAnsi="Times New Roman"/>
      <w:lang w:eastAsia="en-US"/>
    </w:rPr>
  </w:style>
  <w:style w:type="paragraph" w:styleId="CommentSubject">
    <w:name w:val="annotation subject"/>
    <w:basedOn w:val="CommentText"/>
    <w:next w:val="CommentText"/>
    <w:link w:val="CommentSubjectChar1"/>
    <w:semiHidden/>
    <w:unhideWhenUsed/>
    <w:rsid w:val="001E231E"/>
    <w:rPr>
      <w:b/>
      <w:bCs/>
    </w:rPr>
  </w:style>
  <w:style w:type="character" w:customStyle="1" w:styleId="CommentSubjectChar">
    <w:name w:val="Comment Subject Char"/>
    <w:semiHidden/>
    <w:rsid w:val="001E231E"/>
    <w:rPr>
      <w:rFonts w:ascii="Times New Roman" w:eastAsia="Times New Roman" w:hAnsi="Times New Roman"/>
      <w:b/>
      <w:bCs/>
      <w:lang w:eastAsia="en-US"/>
    </w:rPr>
  </w:style>
  <w:style w:type="paragraph" w:styleId="Revision">
    <w:name w:val="Revision"/>
    <w:hidden/>
    <w:semiHidden/>
    <w:rsid w:val="001F0DB2"/>
    <w:rPr>
      <w:rFonts w:ascii="Times New Roman" w:eastAsia="Times New Roman" w:hAnsi="Times New Roman"/>
      <w:sz w:val="24"/>
      <w:szCs w:val="24"/>
      <w:lang w:eastAsia="en-US"/>
    </w:rPr>
  </w:style>
  <w:style w:type="paragraph" w:styleId="NormalWeb">
    <w:name w:val="Normal (Web)"/>
    <w:basedOn w:val="Normal"/>
    <w:uiPriority w:val="99"/>
    <w:unhideWhenUsed/>
    <w:rsid w:val="001E231E"/>
    <w:pPr>
      <w:spacing w:before="100" w:beforeAutospacing="1" w:after="100" w:afterAutospacing="1"/>
    </w:pPr>
  </w:style>
  <w:style w:type="paragraph" w:styleId="TOC1">
    <w:name w:val="toc 1"/>
    <w:basedOn w:val="Normal"/>
    <w:next w:val="Normal"/>
    <w:autoRedefine/>
    <w:rsid w:val="001E231E"/>
    <w:rPr>
      <w:rFonts w:ascii="Arial" w:hAnsi="Arial"/>
    </w:rPr>
  </w:style>
  <w:style w:type="paragraph" w:styleId="TOC2">
    <w:name w:val="toc 2"/>
    <w:basedOn w:val="Normal"/>
    <w:next w:val="Normal"/>
    <w:autoRedefine/>
    <w:rsid w:val="001E231E"/>
    <w:pPr>
      <w:ind w:left="240"/>
    </w:pPr>
    <w:rPr>
      <w:rFonts w:ascii="Arial" w:hAnsi="Arial"/>
    </w:rPr>
  </w:style>
  <w:style w:type="paragraph" w:customStyle="1" w:styleId="Frontpagetitle">
    <w:name w:val="Front page title"/>
    <w:basedOn w:val="Normal"/>
    <w:rsid w:val="001E231E"/>
    <w:pPr>
      <w:spacing w:after="240"/>
      <w:jc w:val="center"/>
    </w:pPr>
    <w:rPr>
      <w:rFonts w:ascii="Arial" w:hAnsi="Arial" w:cs="Arial"/>
      <w:sz w:val="48"/>
      <w:szCs w:val="48"/>
      <w:lang w:val="en-US"/>
    </w:rPr>
  </w:style>
  <w:style w:type="paragraph" w:customStyle="1" w:styleId="Frontpagedate">
    <w:name w:val="Front page date"/>
    <w:basedOn w:val="Normal"/>
    <w:rsid w:val="001E231E"/>
    <w:pPr>
      <w:spacing w:after="240"/>
    </w:pPr>
    <w:rPr>
      <w:rFonts w:ascii="Arial" w:hAnsi="Arial" w:cs="Arial"/>
      <w:sz w:val="32"/>
      <w:szCs w:val="32"/>
      <w:lang w:val="en-US"/>
    </w:rPr>
  </w:style>
  <w:style w:type="paragraph" w:customStyle="1" w:styleId="Frontpageguidelinenumber">
    <w:name w:val="Front page guideline number"/>
    <w:basedOn w:val="Normal"/>
    <w:rsid w:val="001E231E"/>
    <w:pPr>
      <w:spacing w:after="240"/>
    </w:pPr>
    <w:rPr>
      <w:rFonts w:ascii="Arial" w:hAnsi="Arial" w:cs="Arial"/>
      <w:color w:val="FFFFFF"/>
      <w:sz w:val="32"/>
      <w:szCs w:val="32"/>
      <w:lang w:val="en-US"/>
    </w:rPr>
  </w:style>
  <w:style w:type="paragraph" w:styleId="TOCHeading">
    <w:name w:val="TOC Heading"/>
    <w:basedOn w:val="Heading1"/>
    <w:next w:val="Normal"/>
    <w:uiPriority w:val="39"/>
    <w:qFormat/>
    <w:rsid w:val="001E231E"/>
    <w:pPr>
      <w:outlineLvl w:val="9"/>
    </w:pPr>
    <w:rPr>
      <w:lang w:bidi="en-US"/>
    </w:rPr>
  </w:style>
  <w:style w:type="paragraph" w:styleId="TOC3">
    <w:name w:val="toc 3"/>
    <w:basedOn w:val="Normal"/>
    <w:next w:val="Normal"/>
    <w:autoRedefine/>
    <w:semiHidden/>
    <w:rsid w:val="001E231E"/>
    <w:pPr>
      <w:ind w:left="480"/>
    </w:pPr>
    <w:rPr>
      <w:rFonts w:ascii="Arial" w:hAnsi="Arial"/>
    </w:rPr>
  </w:style>
  <w:style w:type="character" w:styleId="FollowedHyperlink">
    <w:name w:val="FollowedHyperlink"/>
    <w:unhideWhenUsed/>
    <w:rsid w:val="001E231E"/>
    <w:rPr>
      <w:color w:val="800080"/>
      <w:u w:val="single"/>
    </w:rPr>
  </w:style>
  <w:style w:type="paragraph" w:customStyle="1" w:styleId="Level2text">
    <w:name w:val="Level 2 text"/>
    <w:basedOn w:val="Numberedheading2"/>
    <w:locked/>
    <w:rsid w:val="001E231E"/>
    <w:pPr>
      <w:numPr>
        <w:ilvl w:val="1"/>
        <w:numId w:val="1"/>
      </w:numPr>
    </w:pPr>
    <w:rPr>
      <w:b/>
      <w:i/>
    </w:rPr>
  </w:style>
  <w:style w:type="paragraph" w:styleId="FootnoteText">
    <w:name w:val="footnote text"/>
    <w:basedOn w:val="Normal"/>
    <w:link w:val="FootnoteTextChar1"/>
    <w:semiHidden/>
    <w:rsid w:val="001E231E"/>
    <w:rPr>
      <w:rFonts w:ascii="Arial" w:eastAsia="Calibri" w:hAnsi="Arial"/>
    </w:rPr>
  </w:style>
  <w:style w:type="character" w:customStyle="1" w:styleId="FootnoteTextChar">
    <w:name w:val="Footnote Text Char"/>
    <w:rsid w:val="001E231E"/>
    <w:rPr>
      <w:rFonts w:ascii="Arial" w:eastAsia="Times New Roman" w:hAnsi="Arial"/>
    </w:rPr>
  </w:style>
  <w:style w:type="character" w:styleId="FootnoteReference">
    <w:name w:val="footnote reference"/>
    <w:rsid w:val="001E231E"/>
    <w:rPr>
      <w:vertAlign w:val="superscript"/>
    </w:rPr>
  </w:style>
  <w:style w:type="paragraph" w:customStyle="1" w:styleId="Paragraph">
    <w:name w:val="Paragraph"/>
    <w:basedOn w:val="Paragraphnonumbers"/>
    <w:uiPriority w:val="4"/>
    <w:qFormat/>
    <w:rsid w:val="001E231E"/>
    <w:pPr>
      <w:numPr>
        <w:numId w:val="9"/>
      </w:numPr>
      <w:tabs>
        <w:tab w:val="left" w:pos="567"/>
      </w:tabs>
    </w:pPr>
  </w:style>
  <w:style w:type="paragraph" w:customStyle="1" w:styleId="Bullets">
    <w:name w:val="Bullets"/>
    <w:basedOn w:val="Normal"/>
    <w:uiPriority w:val="5"/>
    <w:qFormat/>
    <w:rsid w:val="001E231E"/>
    <w:pPr>
      <w:numPr>
        <w:numId w:val="16"/>
      </w:numPr>
      <w:spacing w:after="120" w:line="276" w:lineRule="auto"/>
    </w:pPr>
    <w:rPr>
      <w:rFonts w:ascii="Arial" w:hAnsi="Arial"/>
    </w:rPr>
  </w:style>
  <w:style w:type="paragraph" w:customStyle="1" w:styleId="Subbullets">
    <w:name w:val="Sub bullets"/>
    <w:basedOn w:val="Normal"/>
    <w:uiPriority w:val="6"/>
    <w:qFormat/>
    <w:rsid w:val="001E231E"/>
    <w:pPr>
      <w:numPr>
        <w:numId w:val="17"/>
      </w:numPr>
      <w:spacing w:after="120" w:line="276" w:lineRule="auto"/>
    </w:pPr>
    <w:rPr>
      <w:rFonts w:ascii="Arial" w:hAnsi="Arial"/>
    </w:rPr>
  </w:style>
  <w:style w:type="paragraph" w:customStyle="1" w:styleId="Paragraphnonumbers">
    <w:name w:val="Paragraph no numbers"/>
    <w:basedOn w:val="Normal"/>
    <w:uiPriority w:val="99"/>
    <w:qFormat/>
    <w:rsid w:val="001E231E"/>
    <w:pPr>
      <w:spacing w:after="240" w:line="276" w:lineRule="auto"/>
    </w:pPr>
    <w:rPr>
      <w:rFonts w:ascii="Arial" w:hAnsi="Arial"/>
    </w:rPr>
  </w:style>
  <w:style w:type="paragraph" w:styleId="TOAHeading">
    <w:name w:val="toa heading"/>
    <w:basedOn w:val="Normal"/>
    <w:next w:val="Normal"/>
    <w:semiHidden/>
    <w:rsid w:val="001E231E"/>
    <w:pPr>
      <w:spacing w:before="120"/>
    </w:pPr>
    <w:rPr>
      <w:rFonts w:ascii="Arial" w:hAnsi="Arial"/>
      <w:b/>
      <w:bCs/>
    </w:rPr>
  </w:style>
  <w:style w:type="paragraph" w:styleId="TOC4">
    <w:name w:val="toc 4"/>
    <w:basedOn w:val="Normal"/>
    <w:next w:val="Normal"/>
    <w:autoRedefine/>
    <w:semiHidden/>
    <w:rsid w:val="001E231E"/>
    <w:pPr>
      <w:ind w:left="720"/>
    </w:pPr>
    <w:rPr>
      <w:rFonts w:ascii="Arial" w:hAnsi="Arial"/>
    </w:rPr>
  </w:style>
  <w:style w:type="paragraph" w:customStyle="1" w:styleId="Bulletindent1alast">
    <w:name w:val="Bullet indent 1a last"/>
    <w:basedOn w:val="Bulletindent1last"/>
    <w:qFormat/>
    <w:rsid w:val="001E231E"/>
    <w:pPr>
      <w:ind w:left="2552"/>
    </w:pPr>
  </w:style>
  <w:style w:type="paragraph" w:customStyle="1" w:styleId="Bulletindent2a">
    <w:name w:val="Bullet indent 2a"/>
    <w:basedOn w:val="Normal"/>
    <w:qFormat/>
    <w:rsid w:val="001E231E"/>
    <w:pPr>
      <w:keepNext/>
      <w:tabs>
        <w:tab w:val="num" w:pos="1701"/>
      </w:tabs>
      <w:spacing w:line="360" w:lineRule="auto"/>
      <w:ind w:left="2836" w:hanging="284"/>
    </w:pPr>
    <w:rPr>
      <w:rFonts w:ascii="Arial" w:hAnsi="Arial"/>
    </w:rPr>
  </w:style>
  <w:style w:type="paragraph" w:customStyle="1" w:styleId="Bulletindent1a">
    <w:name w:val="Bullet indent 1a"/>
    <w:basedOn w:val="Bulletindent1"/>
    <w:qFormat/>
    <w:rsid w:val="001E231E"/>
    <w:pPr>
      <w:tabs>
        <w:tab w:val="num" w:pos="2552"/>
      </w:tabs>
      <w:ind w:left="2552"/>
    </w:pPr>
  </w:style>
  <w:style w:type="paragraph" w:customStyle="1" w:styleId="Frontpagegreentitle">
    <w:name w:val="Front page green title"/>
    <w:basedOn w:val="Normal"/>
    <w:rsid w:val="001E231E"/>
    <w:pPr>
      <w:jc w:val="center"/>
    </w:pPr>
    <w:rPr>
      <w:rFonts w:ascii="Arial" w:hAnsi="Arial" w:cs="Arial"/>
      <w:b/>
      <w:color w:val="009999"/>
      <w:sz w:val="64"/>
      <w:szCs w:val="64"/>
    </w:rPr>
  </w:style>
  <w:style w:type="paragraph" w:styleId="TOC5">
    <w:name w:val="toc 5"/>
    <w:basedOn w:val="Normal"/>
    <w:next w:val="Normal"/>
    <w:autoRedefine/>
    <w:semiHidden/>
    <w:unhideWhenUsed/>
    <w:rsid w:val="001E231E"/>
    <w:pPr>
      <w:spacing w:after="100" w:line="276" w:lineRule="auto"/>
      <w:ind w:left="880"/>
    </w:pPr>
  </w:style>
  <w:style w:type="paragraph" w:styleId="TOC6">
    <w:name w:val="toc 6"/>
    <w:basedOn w:val="Normal"/>
    <w:next w:val="Normal"/>
    <w:autoRedefine/>
    <w:semiHidden/>
    <w:unhideWhenUsed/>
    <w:rsid w:val="001E231E"/>
    <w:pPr>
      <w:spacing w:after="100" w:line="276" w:lineRule="auto"/>
      <w:ind w:left="1100"/>
    </w:pPr>
  </w:style>
  <w:style w:type="paragraph" w:styleId="TOC7">
    <w:name w:val="toc 7"/>
    <w:basedOn w:val="Normal"/>
    <w:next w:val="Normal"/>
    <w:autoRedefine/>
    <w:semiHidden/>
    <w:unhideWhenUsed/>
    <w:rsid w:val="001E231E"/>
    <w:pPr>
      <w:spacing w:after="100" w:line="276" w:lineRule="auto"/>
      <w:ind w:left="1320"/>
    </w:pPr>
  </w:style>
  <w:style w:type="paragraph" w:styleId="TOC8">
    <w:name w:val="toc 8"/>
    <w:basedOn w:val="Normal"/>
    <w:next w:val="Normal"/>
    <w:autoRedefine/>
    <w:semiHidden/>
    <w:unhideWhenUsed/>
    <w:rsid w:val="001E231E"/>
    <w:pPr>
      <w:spacing w:after="100" w:line="276" w:lineRule="auto"/>
      <w:ind w:left="1540"/>
    </w:pPr>
  </w:style>
  <w:style w:type="paragraph" w:styleId="TOC9">
    <w:name w:val="toc 9"/>
    <w:basedOn w:val="Normal"/>
    <w:next w:val="Normal"/>
    <w:autoRedefine/>
    <w:semiHidden/>
    <w:unhideWhenUsed/>
    <w:rsid w:val="001E231E"/>
    <w:pPr>
      <w:spacing w:after="100" w:line="276" w:lineRule="auto"/>
      <w:ind w:left="1760"/>
    </w:pPr>
  </w:style>
  <w:style w:type="paragraph" w:customStyle="1" w:styleId="Question">
    <w:name w:val="Question"/>
    <w:basedOn w:val="References"/>
    <w:qFormat/>
    <w:rsid w:val="001E231E"/>
    <w:pPr>
      <w:keepNext/>
      <w:numPr>
        <w:numId w:val="2"/>
      </w:numPr>
    </w:pPr>
    <w:rPr>
      <w:b/>
    </w:rPr>
  </w:style>
  <w:style w:type="paragraph" w:styleId="EndnoteText">
    <w:name w:val="endnote text"/>
    <w:basedOn w:val="Normal"/>
    <w:link w:val="EndnoteTextChar1"/>
    <w:semiHidden/>
    <w:unhideWhenUsed/>
    <w:rsid w:val="001E231E"/>
  </w:style>
  <w:style w:type="character" w:customStyle="1" w:styleId="EndnoteTextChar">
    <w:name w:val="Endnote Text Char"/>
    <w:semiHidden/>
    <w:rsid w:val="001E231E"/>
    <w:rPr>
      <w:rFonts w:ascii="Times New Roman" w:eastAsia="Times New Roman" w:hAnsi="Times New Roman"/>
    </w:rPr>
  </w:style>
  <w:style w:type="character" w:styleId="EndnoteReference">
    <w:name w:val="endnote reference"/>
    <w:semiHidden/>
    <w:unhideWhenUsed/>
    <w:rsid w:val="001E231E"/>
    <w:rPr>
      <w:vertAlign w:val="superscript"/>
    </w:rPr>
  </w:style>
  <w:style w:type="paragraph" w:customStyle="1" w:styleId="Style4">
    <w:name w:val="Style4"/>
    <w:basedOn w:val="Normal"/>
    <w:autoRedefine/>
    <w:rsid w:val="001E231E"/>
    <w:pPr>
      <w:keepNext/>
      <w:spacing w:line="360" w:lineRule="auto"/>
      <w:ind w:left="567"/>
    </w:pPr>
    <w:rPr>
      <w:rFonts w:ascii="Arial" w:hAnsi="Arial" w:cs="Arial"/>
    </w:rPr>
  </w:style>
  <w:style w:type="paragraph" w:customStyle="1" w:styleId="Bodytextosteo">
    <w:name w:val="Body text osteo"/>
    <w:basedOn w:val="BodyText"/>
    <w:autoRedefine/>
    <w:rsid w:val="001E231E"/>
    <w:pPr>
      <w:spacing w:after="0" w:line="360" w:lineRule="auto"/>
      <w:ind w:left="567"/>
    </w:pPr>
    <w:rPr>
      <w:rFonts w:ascii="Arial" w:hAnsi="Arial" w:cs="Arial"/>
    </w:rPr>
  </w:style>
  <w:style w:type="paragraph" w:styleId="BodyText">
    <w:name w:val="Body Text"/>
    <w:basedOn w:val="Normal"/>
    <w:link w:val="BodyTextChar"/>
    <w:rsid w:val="001E231E"/>
    <w:pPr>
      <w:spacing w:after="120"/>
    </w:pPr>
  </w:style>
  <w:style w:type="paragraph" w:customStyle="1" w:styleId="bulletdoubleindent">
    <w:name w:val="bullet double indent"/>
    <w:basedOn w:val="Normal"/>
    <w:autoRedefine/>
    <w:rsid w:val="001E231E"/>
    <w:pPr>
      <w:numPr>
        <w:numId w:val="3"/>
      </w:numPr>
      <w:spacing w:line="360" w:lineRule="auto"/>
    </w:pPr>
    <w:rPr>
      <w:rFonts w:ascii="Arial" w:eastAsia="Calibri" w:hAnsi="Arial"/>
    </w:rPr>
  </w:style>
  <w:style w:type="paragraph" w:customStyle="1" w:styleId="bulletindentosteo">
    <w:name w:val="bullet indent osteo"/>
    <w:basedOn w:val="Normal"/>
    <w:autoRedefine/>
    <w:rsid w:val="001E231E"/>
    <w:pPr>
      <w:numPr>
        <w:numId w:val="4"/>
      </w:numPr>
      <w:spacing w:line="360" w:lineRule="auto"/>
    </w:pPr>
    <w:rPr>
      <w:rFonts w:ascii="Arial" w:eastAsia="Calibri" w:hAnsi="Arial"/>
      <w:color w:val="000000"/>
    </w:rPr>
  </w:style>
  <w:style w:type="paragraph" w:customStyle="1" w:styleId="bulletosteoporosis">
    <w:name w:val="bullet osteoporosis"/>
    <w:basedOn w:val="Normal"/>
    <w:autoRedefine/>
    <w:rsid w:val="001E231E"/>
    <w:pPr>
      <w:numPr>
        <w:numId w:val="7"/>
      </w:numPr>
      <w:tabs>
        <w:tab w:val="left" w:pos="900"/>
      </w:tabs>
      <w:spacing w:line="360" w:lineRule="auto"/>
    </w:pPr>
    <w:rPr>
      <w:rFonts w:ascii="Arial" w:hAnsi="Arial" w:cs="Arial"/>
      <w:bCs/>
    </w:rPr>
  </w:style>
  <w:style w:type="paragraph" w:customStyle="1" w:styleId="Subheading">
    <w:name w:val="Sub heading"/>
    <w:basedOn w:val="Heading3"/>
    <w:autoRedefine/>
    <w:rsid w:val="001E231E"/>
    <w:pPr>
      <w:spacing w:after="0" w:line="360" w:lineRule="auto"/>
      <w:ind w:left="567"/>
    </w:pPr>
  </w:style>
  <w:style w:type="paragraph" w:customStyle="1" w:styleId="subheadingosteo">
    <w:name w:val="subheading osteo"/>
    <w:basedOn w:val="Heading6"/>
    <w:autoRedefine/>
    <w:rsid w:val="001E231E"/>
    <w:pPr>
      <w:keepNext/>
      <w:spacing w:line="360" w:lineRule="auto"/>
      <w:ind w:left="539"/>
    </w:pPr>
    <w:rPr>
      <w:rFonts w:ascii="Arial" w:hAnsi="Arial"/>
    </w:rPr>
  </w:style>
  <w:style w:type="paragraph" w:customStyle="1" w:styleId="bulletdoubleindentosteo">
    <w:name w:val="bullet double indent osteo"/>
    <w:basedOn w:val="bulletindentosteo"/>
    <w:autoRedefine/>
    <w:rsid w:val="001E231E"/>
    <w:pPr>
      <w:numPr>
        <w:numId w:val="5"/>
      </w:numPr>
    </w:pPr>
    <w:rPr>
      <w:rFonts w:eastAsia="Times New Roman"/>
      <w:lang w:eastAsia="en-GB"/>
    </w:rPr>
  </w:style>
  <w:style w:type="paragraph" w:styleId="ListBullet3">
    <w:name w:val="List Bullet 3"/>
    <w:basedOn w:val="Normal"/>
    <w:autoRedefine/>
    <w:rsid w:val="001E231E"/>
  </w:style>
  <w:style w:type="paragraph" w:customStyle="1" w:styleId="Bulletosteotable">
    <w:name w:val="Bullet osteo table"/>
    <w:basedOn w:val="bulletosteoporosis"/>
    <w:autoRedefine/>
    <w:rsid w:val="001E231E"/>
    <w:pPr>
      <w:numPr>
        <w:numId w:val="6"/>
      </w:numPr>
    </w:pPr>
  </w:style>
  <w:style w:type="paragraph" w:customStyle="1" w:styleId="StyleHeading2Before0ptAfter0ptLinespacing15l">
    <w:name w:val="Style Heading 2 + Before:  0 pt After:  0 pt Line spacing:  1.5 l..."/>
    <w:basedOn w:val="Heading2"/>
    <w:autoRedefine/>
    <w:rsid w:val="001E231E"/>
    <w:pPr>
      <w:spacing w:after="0" w:line="360" w:lineRule="auto"/>
    </w:pPr>
    <w:rPr>
      <w:szCs w:val="20"/>
      <w:lang w:val="en-US"/>
    </w:rPr>
  </w:style>
  <w:style w:type="paragraph" w:customStyle="1" w:styleId="NCC-ACChaptertitle">
    <w:name w:val="NCC-AC Chapter title"/>
    <w:basedOn w:val="Numberedheading1"/>
    <w:next w:val="Normal"/>
    <w:autoRedefine/>
    <w:rsid w:val="001E231E"/>
    <w:pPr>
      <w:tabs>
        <w:tab w:val="clear" w:pos="360"/>
        <w:tab w:val="left" w:pos="0"/>
      </w:tabs>
      <w:spacing w:after="0"/>
    </w:pPr>
    <w:rPr>
      <w:rFonts w:ascii="Tw Cen MT" w:hAnsi="Tw Cen MT"/>
      <w:sz w:val="36"/>
    </w:rPr>
  </w:style>
  <w:style w:type="paragraph" w:customStyle="1" w:styleId="StyleNCC-ACChaptertitleArial18pt">
    <w:name w:val="Style NCC-AC Chapter title + Arial 18 pt"/>
    <w:basedOn w:val="NCC-ACChaptertitle"/>
    <w:autoRedefine/>
    <w:rsid w:val="001E231E"/>
    <w:pPr>
      <w:tabs>
        <w:tab w:val="clear" w:pos="0"/>
        <w:tab w:val="left" w:pos="567"/>
        <w:tab w:val="num" w:pos="1134"/>
      </w:tabs>
      <w:spacing w:before="2160" w:after="600" w:line="360" w:lineRule="auto"/>
    </w:pPr>
    <w:rPr>
      <w:rFonts w:ascii="Arial" w:hAnsi="Arial"/>
      <w:szCs w:val="36"/>
    </w:rPr>
  </w:style>
  <w:style w:type="paragraph" w:customStyle="1" w:styleId="Numberedheading4">
    <w:name w:val="Numbered heading 4"/>
    <w:basedOn w:val="Heading4"/>
    <w:next w:val="Normal"/>
    <w:autoRedefine/>
    <w:rsid w:val="001E231E"/>
    <w:pPr>
      <w:numPr>
        <w:ilvl w:val="3"/>
        <w:numId w:val="8"/>
      </w:numPr>
    </w:pPr>
    <w:rPr>
      <w:b w:val="0"/>
    </w:rPr>
  </w:style>
  <w:style w:type="numbering" w:customStyle="1" w:styleId="NiceNumbering">
    <w:name w:val="Nice Numbering"/>
    <w:rsid w:val="001E231E"/>
    <w:pPr>
      <w:numPr>
        <w:numId w:val="8"/>
      </w:numPr>
    </w:pPr>
  </w:style>
  <w:style w:type="character" w:customStyle="1" w:styleId="FootnoteTextChar1">
    <w:name w:val="Footnote Text Char1"/>
    <w:link w:val="FootnoteText"/>
    <w:semiHidden/>
    <w:rsid w:val="001E231E"/>
    <w:rPr>
      <w:rFonts w:ascii="Arial" w:hAnsi="Arial"/>
      <w:kern w:val="2"/>
      <w:lang w:eastAsia="en-US"/>
      <w14:ligatures w14:val="standardContextual"/>
    </w:rPr>
  </w:style>
  <w:style w:type="table" w:styleId="TableGrid">
    <w:name w:val="Table Grid"/>
    <w:basedOn w:val="TableNormal"/>
    <w:rsid w:val="001E231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ontpageguidanceno">
    <w:name w:val="Front page guidance no"/>
    <w:basedOn w:val="Normal"/>
    <w:rsid w:val="001E231E"/>
    <w:rPr>
      <w:rFonts w:ascii="Arial" w:hAnsi="Arial" w:cs="Arial"/>
      <w:color w:val="FFFFFF"/>
      <w:sz w:val="32"/>
      <w:szCs w:val="32"/>
    </w:rPr>
  </w:style>
  <w:style w:type="paragraph" w:customStyle="1" w:styleId="Default">
    <w:name w:val="Default"/>
    <w:rsid w:val="001E231E"/>
    <w:pPr>
      <w:autoSpaceDE w:val="0"/>
      <w:autoSpaceDN w:val="0"/>
      <w:adjustRightInd w:val="0"/>
    </w:pPr>
    <w:rPr>
      <w:rFonts w:eastAsia="Times New Roman" w:cs="Calibri"/>
      <w:color w:val="000000"/>
    </w:rPr>
  </w:style>
  <w:style w:type="paragraph" w:customStyle="1" w:styleId="PGDNormal">
    <w:name w:val="PGD Normal"/>
    <w:basedOn w:val="NICEnormal"/>
    <w:rsid w:val="001E231E"/>
    <w:pPr>
      <w:spacing w:line="240" w:lineRule="auto"/>
    </w:pPr>
    <w:rPr>
      <w:sz w:val="22"/>
    </w:rPr>
  </w:style>
  <w:style w:type="paragraph" w:customStyle="1" w:styleId="TabletextIPoverviewevidence">
    <w:name w:val="Table text IP overview evidence"/>
    <w:basedOn w:val="Tabletext"/>
    <w:rsid w:val="001E231E"/>
    <w:rPr>
      <w:sz w:val="18"/>
    </w:rPr>
  </w:style>
  <w:style w:type="character" w:customStyle="1" w:styleId="Heading5Char">
    <w:name w:val="Heading 5 Char"/>
    <w:link w:val="Heading5"/>
    <w:uiPriority w:val="9"/>
    <w:rsid w:val="001E231E"/>
    <w:rPr>
      <w:rFonts w:ascii="Cambria" w:eastAsiaTheme="minorHAnsi" w:hAnsi="Cambria"/>
      <w:b/>
      <w:bCs/>
      <w:color w:val="7F7F7F"/>
      <w:kern w:val="2"/>
      <w:lang w:eastAsia="en-US"/>
      <w14:ligatures w14:val="standardContextual"/>
    </w:rPr>
  </w:style>
  <w:style w:type="character" w:customStyle="1" w:styleId="Heading7Char">
    <w:name w:val="Heading 7 Char"/>
    <w:link w:val="Heading7"/>
    <w:uiPriority w:val="9"/>
    <w:rsid w:val="001E231E"/>
    <w:rPr>
      <w:rFonts w:ascii="Cambria" w:eastAsiaTheme="minorHAnsi" w:hAnsi="Cambria"/>
      <w:i/>
      <w:iCs/>
      <w:kern w:val="2"/>
      <w:lang w:eastAsia="en-US"/>
      <w14:ligatures w14:val="standardContextual"/>
    </w:rPr>
  </w:style>
  <w:style w:type="character" w:customStyle="1" w:styleId="Heading8Char">
    <w:name w:val="Heading 8 Char"/>
    <w:link w:val="Heading8"/>
    <w:uiPriority w:val="9"/>
    <w:rsid w:val="001E231E"/>
    <w:rPr>
      <w:rFonts w:ascii="Cambria" w:eastAsiaTheme="minorHAnsi" w:hAnsi="Cambria"/>
      <w:kern w:val="2"/>
      <w:lang w:eastAsia="en-US"/>
      <w14:ligatures w14:val="standardContextual"/>
    </w:rPr>
  </w:style>
  <w:style w:type="character" w:customStyle="1" w:styleId="Heading9Char">
    <w:name w:val="Heading 9 Char"/>
    <w:link w:val="Heading9"/>
    <w:uiPriority w:val="9"/>
    <w:rsid w:val="001E231E"/>
    <w:rPr>
      <w:rFonts w:ascii="Cambria" w:eastAsiaTheme="minorHAnsi" w:hAnsi="Cambria"/>
      <w:i/>
      <w:iCs/>
      <w:spacing w:val="5"/>
      <w:kern w:val="2"/>
      <w:lang w:eastAsia="en-US"/>
      <w14:ligatures w14:val="standardContextual"/>
    </w:rPr>
  </w:style>
  <w:style w:type="character" w:customStyle="1" w:styleId="Heading6Char">
    <w:name w:val="Heading 6 Char"/>
    <w:link w:val="Heading6"/>
    <w:uiPriority w:val="9"/>
    <w:rsid w:val="001E231E"/>
    <w:rPr>
      <w:rFonts w:ascii="Cambria" w:eastAsiaTheme="minorHAnsi" w:hAnsi="Cambria"/>
      <w:b/>
      <w:bCs/>
      <w:i/>
      <w:iCs/>
      <w:color w:val="7F7F7F"/>
      <w:kern w:val="2"/>
      <w:lang w:eastAsia="en-US"/>
      <w14:ligatures w14:val="standardContextual"/>
    </w:rPr>
  </w:style>
  <w:style w:type="paragraph" w:styleId="Subtitle">
    <w:name w:val="Subtitle"/>
    <w:basedOn w:val="Normal"/>
    <w:next w:val="Normal"/>
    <w:link w:val="SubtitleChar"/>
    <w:uiPriority w:val="11"/>
    <w:qFormat/>
    <w:rsid w:val="001E231E"/>
    <w:pPr>
      <w:spacing w:after="600"/>
    </w:pPr>
    <w:rPr>
      <w:rFonts w:ascii="Cambria" w:hAnsi="Cambria"/>
      <w:i/>
      <w:iCs/>
      <w:spacing w:val="13"/>
    </w:rPr>
  </w:style>
  <w:style w:type="character" w:customStyle="1" w:styleId="SubtitleChar">
    <w:name w:val="Subtitle Char"/>
    <w:link w:val="Subtitle"/>
    <w:uiPriority w:val="11"/>
    <w:rsid w:val="001E231E"/>
    <w:rPr>
      <w:rFonts w:ascii="Cambria" w:eastAsiaTheme="minorHAnsi" w:hAnsi="Cambria"/>
      <w:i/>
      <w:iCs/>
      <w:spacing w:val="13"/>
      <w:kern w:val="2"/>
      <w:lang w:eastAsia="en-US"/>
      <w14:ligatures w14:val="standardContextual"/>
    </w:rPr>
  </w:style>
  <w:style w:type="character" w:styleId="Strong">
    <w:name w:val="Strong"/>
    <w:uiPriority w:val="22"/>
    <w:qFormat/>
    <w:rsid w:val="001E231E"/>
    <w:rPr>
      <w:b/>
      <w:bCs/>
    </w:rPr>
  </w:style>
  <w:style w:type="character" w:styleId="Emphasis">
    <w:name w:val="Emphasis"/>
    <w:uiPriority w:val="20"/>
    <w:qFormat/>
    <w:rsid w:val="001E231E"/>
    <w:rPr>
      <w:b/>
      <w:bCs/>
      <w:i/>
      <w:iCs/>
      <w:spacing w:val="10"/>
      <w:bdr w:val="none" w:sz="0" w:space="0" w:color="auto"/>
      <w:shd w:val="clear" w:color="auto" w:fill="auto"/>
    </w:rPr>
  </w:style>
  <w:style w:type="paragraph" w:styleId="NoSpacing">
    <w:name w:val="No Spacing"/>
    <w:basedOn w:val="Normal"/>
    <w:uiPriority w:val="1"/>
    <w:qFormat/>
    <w:rsid w:val="001E231E"/>
    <w:rPr>
      <w:rFonts w:eastAsia="Calibri"/>
    </w:rPr>
  </w:style>
  <w:style w:type="paragraph" w:styleId="Quote">
    <w:name w:val="Quote"/>
    <w:basedOn w:val="Normal"/>
    <w:next w:val="Normal"/>
    <w:link w:val="QuoteChar"/>
    <w:uiPriority w:val="29"/>
    <w:qFormat/>
    <w:rsid w:val="001E231E"/>
    <w:pPr>
      <w:spacing w:before="200"/>
      <w:ind w:left="360" w:right="360"/>
    </w:pPr>
    <w:rPr>
      <w:i/>
      <w:iCs/>
    </w:rPr>
  </w:style>
  <w:style w:type="character" w:customStyle="1" w:styleId="QuoteChar">
    <w:name w:val="Quote Char"/>
    <w:link w:val="Quote"/>
    <w:uiPriority w:val="29"/>
    <w:rsid w:val="001E231E"/>
    <w:rPr>
      <w:rFonts w:eastAsiaTheme="minorHAnsi"/>
      <w:i/>
      <w:iCs/>
      <w:kern w:val="2"/>
      <w:lang w:eastAsia="en-US"/>
      <w14:ligatures w14:val="standardContextual"/>
    </w:rPr>
  </w:style>
  <w:style w:type="paragraph" w:styleId="IntenseQuote">
    <w:name w:val="Intense Quote"/>
    <w:basedOn w:val="Normal"/>
    <w:next w:val="Normal"/>
    <w:link w:val="IntenseQuoteChar"/>
    <w:uiPriority w:val="30"/>
    <w:qFormat/>
    <w:rsid w:val="001E231E"/>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1E231E"/>
    <w:rPr>
      <w:rFonts w:eastAsiaTheme="minorHAnsi"/>
      <w:b/>
      <w:bCs/>
      <w:i/>
      <w:iCs/>
      <w:kern w:val="2"/>
      <w:lang w:eastAsia="en-US"/>
      <w14:ligatures w14:val="standardContextual"/>
    </w:rPr>
  </w:style>
  <w:style w:type="character" w:styleId="SubtleEmphasis">
    <w:name w:val="Subtle Emphasis"/>
    <w:uiPriority w:val="19"/>
    <w:qFormat/>
    <w:rsid w:val="001E231E"/>
    <w:rPr>
      <w:i/>
      <w:iCs/>
    </w:rPr>
  </w:style>
  <w:style w:type="character" w:styleId="IntenseEmphasis">
    <w:name w:val="Intense Emphasis"/>
    <w:uiPriority w:val="21"/>
    <w:qFormat/>
    <w:rsid w:val="001E231E"/>
    <w:rPr>
      <w:b/>
      <w:bCs/>
    </w:rPr>
  </w:style>
  <w:style w:type="character" w:styleId="SubtleReference">
    <w:name w:val="Subtle Reference"/>
    <w:uiPriority w:val="31"/>
    <w:qFormat/>
    <w:rsid w:val="001E231E"/>
    <w:rPr>
      <w:smallCaps/>
    </w:rPr>
  </w:style>
  <w:style w:type="character" w:styleId="IntenseReference">
    <w:name w:val="Intense Reference"/>
    <w:uiPriority w:val="32"/>
    <w:qFormat/>
    <w:rsid w:val="001E231E"/>
    <w:rPr>
      <w:smallCaps/>
      <w:spacing w:val="5"/>
      <w:u w:val="single"/>
    </w:rPr>
  </w:style>
  <w:style w:type="character" w:styleId="BookTitle">
    <w:name w:val="Book Title"/>
    <w:uiPriority w:val="33"/>
    <w:qFormat/>
    <w:rsid w:val="001E231E"/>
    <w:rPr>
      <w:i/>
      <w:iCs/>
      <w:smallCaps/>
      <w:spacing w:val="5"/>
    </w:rPr>
  </w:style>
  <w:style w:type="paragraph" w:customStyle="1" w:styleId="NICETitle2">
    <w:name w:val="NICE Title 2"/>
    <w:basedOn w:val="Normal"/>
    <w:qFormat/>
    <w:rsid w:val="001E231E"/>
    <w:pPr>
      <w:keepNext/>
      <w:spacing w:before="240" w:after="240"/>
      <w:jc w:val="center"/>
      <w:outlineLvl w:val="0"/>
    </w:pPr>
    <w:rPr>
      <w:rFonts w:ascii="Arial" w:hAnsi="Arial" w:cs="Arial"/>
      <w:b/>
      <w:bCs/>
      <w:color w:val="282828"/>
      <w:kern w:val="28"/>
      <w:sz w:val="32"/>
      <w:szCs w:val="32"/>
    </w:rPr>
  </w:style>
  <w:style w:type="character" w:customStyle="1" w:styleId="acicollapsed1">
    <w:name w:val="acicollapsed1"/>
    <w:locked/>
    <w:rsid w:val="00C22683"/>
    <w:rPr>
      <w:vanish w:val="0"/>
      <w:webHidden w:val="0"/>
      <w:specVanish w:val="0"/>
    </w:rPr>
  </w:style>
  <w:style w:type="paragraph" w:styleId="BodyText2">
    <w:name w:val="Body Text 2"/>
    <w:basedOn w:val="Normal"/>
    <w:link w:val="BodyText2Char"/>
    <w:uiPriority w:val="99"/>
    <w:semiHidden/>
    <w:unhideWhenUsed/>
    <w:rsid w:val="001E231E"/>
    <w:pPr>
      <w:spacing w:after="120" w:line="480" w:lineRule="auto"/>
    </w:pPr>
  </w:style>
  <w:style w:type="character" w:customStyle="1" w:styleId="BodyText2Char">
    <w:name w:val="Body Text 2 Char"/>
    <w:link w:val="BodyText2"/>
    <w:uiPriority w:val="99"/>
    <w:semiHidden/>
    <w:rsid w:val="001E231E"/>
    <w:rPr>
      <w:rFonts w:eastAsiaTheme="minorHAnsi"/>
      <w:kern w:val="2"/>
      <w:lang w:eastAsia="en-US"/>
      <w14:ligatures w14:val="standardContextual"/>
    </w:rPr>
  </w:style>
  <w:style w:type="character" w:styleId="UnresolvedMention">
    <w:name w:val="Unresolved Mention"/>
    <w:uiPriority w:val="99"/>
    <w:semiHidden/>
    <w:unhideWhenUsed/>
    <w:rsid w:val="001E231E"/>
    <w:rPr>
      <w:color w:val="605E5C"/>
      <w:shd w:val="clear" w:color="auto" w:fill="E1DFDD"/>
    </w:rPr>
  </w:style>
  <w:style w:type="paragraph" w:customStyle="1" w:styleId="PGDTitle2">
    <w:name w:val="PGD Title 2"/>
    <w:basedOn w:val="Normal"/>
    <w:rsid w:val="001E231E"/>
    <w:pPr>
      <w:jc w:val="center"/>
    </w:pPr>
    <w:rPr>
      <w:rFonts w:ascii="Arial" w:hAnsi="Arial"/>
      <w:b/>
      <w:sz w:val="36"/>
      <w:szCs w:val="36"/>
    </w:rPr>
  </w:style>
  <w:style w:type="paragraph" w:customStyle="1" w:styleId="PGDTitle1">
    <w:name w:val="PGD Title 1"/>
    <w:basedOn w:val="Normal"/>
    <w:rsid w:val="001E231E"/>
    <w:pPr>
      <w:jc w:val="center"/>
    </w:pPr>
    <w:rPr>
      <w:rFonts w:ascii="Arial" w:hAnsi="Arial"/>
      <w:b/>
      <w:bCs/>
      <w:sz w:val="44"/>
    </w:rPr>
  </w:style>
  <w:style w:type="character" w:customStyle="1" w:styleId="PGDVersionNumber">
    <w:name w:val="PGD Version Number"/>
    <w:basedOn w:val="DefaultParagraphFont"/>
    <w:qFormat/>
    <w:rsid w:val="001E231E"/>
    <w:rPr>
      <w:rFonts w:ascii="Arial" w:hAnsi="Arial"/>
      <w:sz w:val="28"/>
    </w:rPr>
  </w:style>
  <w:style w:type="paragraph" w:customStyle="1" w:styleId="TableHeaderRow">
    <w:name w:val="Table Header Row"/>
    <w:basedOn w:val="Normal"/>
    <w:rsid w:val="001E231E"/>
    <w:rPr>
      <w:rFonts w:ascii="Arial" w:hAnsi="Arial"/>
      <w:b/>
      <w:bCs/>
    </w:rPr>
  </w:style>
  <w:style w:type="character" w:customStyle="1" w:styleId="PGDNormalBold">
    <w:name w:val="PGD Normal Bold"/>
    <w:basedOn w:val="DefaultParagraphFont"/>
    <w:rsid w:val="001E231E"/>
    <w:rPr>
      <w:rFonts w:ascii="Arial" w:hAnsi="Arial"/>
      <w:b/>
      <w:bCs/>
    </w:rPr>
  </w:style>
  <w:style w:type="character" w:customStyle="1" w:styleId="TableHeaderColumn">
    <w:name w:val="Table Header Column"/>
    <w:basedOn w:val="DefaultParagraphFont"/>
    <w:rsid w:val="001E231E"/>
    <w:rPr>
      <w:rFonts w:ascii="Arial" w:hAnsi="Arial"/>
      <w:b/>
      <w:bCs/>
      <w:sz w:val="20"/>
    </w:rPr>
  </w:style>
  <w:style w:type="paragraph" w:customStyle="1" w:styleId="Title1">
    <w:name w:val="Title 1"/>
    <w:basedOn w:val="Title"/>
    <w:qFormat/>
    <w:rsid w:val="001E231E"/>
    <w:rPr>
      <w:rFonts w:ascii="Arial" w:hAnsi="Arial" w:cs="Arial"/>
      <w:sz w:val="44"/>
      <w:szCs w:val="44"/>
    </w:rPr>
  </w:style>
  <w:style w:type="paragraph" w:customStyle="1" w:styleId="Title2">
    <w:name w:val="Title 2"/>
    <w:basedOn w:val="Title"/>
    <w:qFormat/>
    <w:rsid w:val="001E231E"/>
    <w:rPr>
      <w:rFonts w:ascii="Arial" w:hAnsi="Arial" w:cs="Arial"/>
      <w:sz w:val="40"/>
      <w:szCs w:val="40"/>
    </w:rPr>
  </w:style>
  <w:style w:type="paragraph" w:customStyle="1" w:styleId="PGDHeading2">
    <w:name w:val="PGD Heading 2"/>
    <w:basedOn w:val="Heading2"/>
    <w:qFormat/>
    <w:rsid w:val="001E231E"/>
    <w:rPr>
      <w:rFonts w:ascii="Arial" w:hAnsi="Arial" w:cs="Arial"/>
      <w:color w:val="auto"/>
      <w:sz w:val="28"/>
      <w:szCs w:val="28"/>
    </w:rPr>
  </w:style>
  <w:style w:type="table" w:customStyle="1" w:styleId="Tableheading">
    <w:name w:val="Table heading"/>
    <w:basedOn w:val="TableNormal"/>
    <w:uiPriority w:val="99"/>
    <w:rsid w:val="001E231E"/>
    <w:rPr>
      <w:rFonts w:ascii="Arial" w:eastAsiaTheme="minorHAnsi" w:hAnsi="Arial"/>
      <w:b/>
      <w:color w:val="000000" w:themeColor="text1"/>
      <w:kern w:val="2"/>
      <w:szCs w:val="22"/>
      <w:lang w:eastAsia="en-US"/>
      <w14:ligatures w14:val="standardContextual"/>
    </w:rPr>
    <w:tblPr/>
    <w:tcPr>
      <w:shd w:val="clear" w:color="auto" w:fill="FFFFFF" w:themeFill="background1"/>
    </w:tcPr>
    <w:tblStylePr w:type="firstRow">
      <w:rPr>
        <w:rFonts w:ascii="Arial" w:hAnsi="Arial"/>
        <w:b/>
        <w:sz w:val="24"/>
      </w:rPr>
    </w:tblStylePr>
  </w:style>
  <w:style w:type="paragraph" w:customStyle="1" w:styleId="NICEnormalsinglespacing">
    <w:name w:val="NICE normal single spacing"/>
    <w:basedOn w:val="NICEnormal"/>
    <w:rsid w:val="001E231E"/>
    <w:pPr>
      <w:spacing w:line="240" w:lineRule="auto"/>
    </w:pPr>
  </w:style>
  <w:style w:type="paragraph" w:customStyle="1" w:styleId="PGDtablebullet0">
    <w:name w:val="PGD table bullet"/>
    <w:basedOn w:val="Normal"/>
    <w:rsid w:val="001E231E"/>
    <w:rPr>
      <w:rFonts w:ascii="Arial" w:eastAsia="Times New Roman" w:hAnsi="Arial"/>
    </w:rPr>
  </w:style>
  <w:style w:type="numbering" w:customStyle="1" w:styleId="PGDTableBullet">
    <w:name w:val="PGD Table Bullet"/>
    <w:basedOn w:val="NoList"/>
    <w:uiPriority w:val="99"/>
    <w:rsid w:val="001E231E"/>
    <w:pPr>
      <w:numPr>
        <w:numId w:val="10"/>
      </w:numPr>
    </w:pPr>
  </w:style>
  <w:style w:type="paragraph" w:customStyle="1" w:styleId="StyleLatinArialAfter0ptLinespacingsingle">
    <w:name w:val="Style (Latin) Arial After:  0 pt Line spacing:  single"/>
    <w:basedOn w:val="Normal"/>
    <w:rsid w:val="001E231E"/>
    <w:rPr>
      <w:rFonts w:ascii="Arial" w:eastAsia="Times New Roman" w:hAnsi="Arial"/>
    </w:rPr>
  </w:style>
  <w:style w:type="paragraph" w:customStyle="1" w:styleId="PGDlogo">
    <w:name w:val="PGD logo"/>
    <w:basedOn w:val="NICEnormal"/>
    <w:rsid w:val="001E231E"/>
    <w:pPr>
      <w:jc w:val="right"/>
    </w:pPr>
  </w:style>
  <w:style w:type="paragraph" w:customStyle="1" w:styleId="PGDLogo0">
    <w:name w:val="PGD Logo"/>
    <w:basedOn w:val="PGDNormal"/>
    <w:rsid w:val="001E231E"/>
    <w:pPr>
      <w:jc w:val="right"/>
    </w:pPr>
  </w:style>
  <w:style w:type="paragraph" w:customStyle="1" w:styleId="PGDVersion">
    <w:name w:val="PGD Version"/>
    <w:basedOn w:val="Normal"/>
    <w:rsid w:val="001E231E"/>
    <w:pPr>
      <w:jc w:val="center"/>
    </w:pPr>
    <w:rPr>
      <w:rFonts w:ascii="Arial" w:eastAsia="Times New Roman" w:hAnsi="Arial"/>
      <w:sz w:val="28"/>
    </w:rPr>
  </w:style>
  <w:style w:type="numbering" w:customStyle="1" w:styleId="PGDtablebullet2">
    <w:name w:val="PGD table bullet 2"/>
    <w:basedOn w:val="NoList"/>
    <w:rsid w:val="001E231E"/>
    <w:pPr>
      <w:numPr>
        <w:numId w:val="12"/>
      </w:numPr>
    </w:pPr>
  </w:style>
  <w:style w:type="numbering" w:customStyle="1" w:styleId="PGDbullet2">
    <w:name w:val="PGD bullet 2"/>
    <w:basedOn w:val="NoList"/>
    <w:rsid w:val="001E231E"/>
    <w:pPr>
      <w:numPr>
        <w:numId w:val="13"/>
      </w:numPr>
    </w:pPr>
  </w:style>
  <w:style w:type="numbering" w:customStyle="1" w:styleId="PGDtablebullet1">
    <w:name w:val="PGD table bullet 1"/>
    <w:basedOn w:val="NoList"/>
    <w:rsid w:val="001E231E"/>
    <w:pPr>
      <w:numPr>
        <w:numId w:val="14"/>
      </w:numPr>
    </w:pPr>
  </w:style>
  <w:style w:type="character" w:customStyle="1" w:styleId="BodyTextChar">
    <w:name w:val="Body Text Char"/>
    <w:basedOn w:val="DefaultParagraphFont"/>
    <w:link w:val="BodyText"/>
    <w:rsid w:val="001E231E"/>
    <w:rPr>
      <w:rFonts w:eastAsiaTheme="minorHAnsi"/>
      <w:kern w:val="2"/>
      <w:lang w:eastAsia="en-US"/>
      <w14:ligatures w14:val="standardContextual"/>
    </w:rPr>
  </w:style>
  <w:style w:type="character" w:customStyle="1" w:styleId="CommentTextChar1">
    <w:name w:val="Comment Text Char1"/>
    <w:basedOn w:val="DefaultParagraphFont"/>
    <w:link w:val="CommentText"/>
    <w:uiPriority w:val="99"/>
    <w:rsid w:val="001E231E"/>
    <w:rPr>
      <w:rFonts w:eastAsiaTheme="minorHAnsi"/>
      <w:kern w:val="2"/>
      <w:lang w:eastAsia="en-US"/>
      <w14:ligatures w14:val="standardContextual"/>
    </w:rPr>
  </w:style>
  <w:style w:type="character" w:customStyle="1" w:styleId="EndnoteTextChar1">
    <w:name w:val="Endnote Text Char1"/>
    <w:basedOn w:val="DefaultParagraphFont"/>
    <w:link w:val="EndnoteText"/>
    <w:semiHidden/>
    <w:rsid w:val="001E231E"/>
    <w:rPr>
      <w:rFonts w:eastAsiaTheme="minorHAnsi"/>
      <w:kern w:val="2"/>
      <w:lang w:eastAsia="en-US"/>
      <w14:ligatures w14:val="standardContextual"/>
    </w:rPr>
  </w:style>
  <w:style w:type="character" w:customStyle="1" w:styleId="CommentSubjectChar1">
    <w:name w:val="Comment Subject Char1"/>
    <w:basedOn w:val="CommentTextChar1"/>
    <w:link w:val="CommentSubject"/>
    <w:semiHidden/>
    <w:rsid w:val="001E231E"/>
    <w:rPr>
      <w:rFonts w:eastAsiaTheme="minorHAnsi"/>
      <w:b/>
      <w:bCs/>
      <w:kern w:val="2"/>
      <w:lang w:eastAsia="en-US"/>
      <w14:ligatures w14:val="standardContextual"/>
    </w:rPr>
  </w:style>
  <w:style w:type="character" w:customStyle="1" w:styleId="cf01">
    <w:name w:val="cf01"/>
    <w:basedOn w:val="DefaultParagraphFont"/>
    <w:rsid w:val="00773410"/>
    <w:rPr>
      <w:rFonts w:ascii="Segoe UI" w:hAnsi="Segoe UI" w:cs="Segoe UI" w:hint="default"/>
      <w:sz w:val="18"/>
      <w:szCs w:val="18"/>
    </w:rPr>
  </w:style>
  <w:style w:type="paragraph" w:customStyle="1" w:styleId="Pa2">
    <w:name w:val="Pa2"/>
    <w:basedOn w:val="Default"/>
    <w:next w:val="Default"/>
    <w:uiPriority w:val="99"/>
    <w:rsid w:val="00C75F95"/>
    <w:pPr>
      <w:spacing w:line="201" w:lineRule="atLeast"/>
    </w:pPr>
    <w:rPr>
      <w:rFonts w:ascii="Arial" w:eastAsia="Calibri" w:hAnsi="Arial" w:cs="Arial"/>
      <w:color w:val="auto"/>
      <w:lang w:val="en-US" w:eastAsia="en-US"/>
    </w:rPr>
  </w:style>
  <w:style w:type="paragraph" w:customStyle="1" w:styleId="TableParagraph">
    <w:name w:val="Table Paragraph"/>
    <w:basedOn w:val="Normal"/>
    <w:uiPriority w:val="1"/>
    <w:qFormat/>
    <w:rsid w:val="00C75F95"/>
    <w:pPr>
      <w:widowControl w:val="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981">
      <w:bodyDiv w:val="1"/>
      <w:marLeft w:val="0"/>
      <w:marRight w:val="0"/>
      <w:marTop w:val="0"/>
      <w:marBottom w:val="0"/>
      <w:divBdr>
        <w:top w:val="none" w:sz="0" w:space="0" w:color="auto"/>
        <w:left w:val="none" w:sz="0" w:space="0" w:color="auto"/>
        <w:bottom w:val="none" w:sz="0" w:space="0" w:color="auto"/>
        <w:right w:val="none" w:sz="0" w:space="0" w:color="auto"/>
      </w:divBdr>
    </w:div>
    <w:div w:id="126437074">
      <w:bodyDiv w:val="1"/>
      <w:marLeft w:val="0"/>
      <w:marRight w:val="0"/>
      <w:marTop w:val="0"/>
      <w:marBottom w:val="0"/>
      <w:divBdr>
        <w:top w:val="none" w:sz="0" w:space="0" w:color="auto"/>
        <w:left w:val="none" w:sz="0" w:space="0" w:color="auto"/>
        <w:bottom w:val="none" w:sz="0" w:space="0" w:color="auto"/>
        <w:right w:val="none" w:sz="0" w:space="0" w:color="auto"/>
      </w:divBdr>
    </w:div>
    <w:div w:id="145902241">
      <w:bodyDiv w:val="1"/>
      <w:marLeft w:val="0"/>
      <w:marRight w:val="0"/>
      <w:marTop w:val="0"/>
      <w:marBottom w:val="0"/>
      <w:divBdr>
        <w:top w:val="none" w:sz="0" w:space="0" w:color="auto"/>
        <w:left w:val="none" w:sz="0" w:space="0" w:color="auto"/>
        <w:bottom w:val="none" w:sz="0" w:space="0" w:color="auto"/>
        <w:right w:val="none" w:sz="0" w:space="0" w:color="auto"/>
      </w:divBdr>
    </w:div>
    <w:div w:id="176045136">
      <w:bodyDiv w:val="1"/>
      <w:marLeft w:val="0"/>
      <w:marRight w:val="0"/>
      <w:marTop w:val="0"/>
      <w:marBottom w:val="0"/>
      <w:divBdr>
        <w:top w:val="none" w:sz="0" w:space="0" w:color="auto"/>
        <w:left w:val="none" w:sz="0" w:space="0" w:color="auto"/>
        <w:bottom w:val="none" w:sz="0" w:space="0" w:color="auto"/>
        <w:right w:val="none" w:sz="0" w:space="0" w:color="auto"/>
      </w:divBdr>
    </w:div>
    <w:div w:id="216596777">
      <w:bodyDiv w:val="1"/>
      <w:marLeft w:val="0"/>
      <w:marRight w:val="0"/>
      <w:marTop w:val="0"/>
      <w:marBottom w:val="0"/>
      <w:divBdr>
        <w:top w:val="none" w:sz="0" w:space="0" w:color="auto"/>
        <w:left w:val="none" w:sz="0" w:space="0" w:color="auto"/>
        <w:bottom w:val="none" w:sz="0" w:space="0" w:color="auto"/>
        <w:right w:val="none" w:sz="0" w:space="0" w:color="auto"/>
      </w:divBdr>
    </w:div>
    <w:div w:id="246035501">
      <w:bodyDiv w:val="1"/>
      <w:marLeft w:val="0"/>
      <w:marRight w:val="0"/>
      <w:marTop w:val="0"/>
      <w:marBottom w:val="0"/>
      <w:divBdr>
        <w:top w:val="none" w:sz="0" w:space="0" w:color="auto"/>
        <w:left w:val="none" w:sz="0" w:space="0" w:color="auto"/>
        <w:bottom w:val="none" w:sz="0" w:space="0" w:color="auto"/>
        <w:right w:val="none" w:sz="0" w:space="0" w:color="auto"/>
      </w:divBdr>
    </w:div>
    <w:div w:id="281765762">
      <w:bodyDiv w:val="1"/>
      <w:marLeft w:val="0"/>
      <w:marRight w:val="0"/>
      <w:marTop w:val="0"/>
      <w:marBottom w:val="0"/>
      <w:divBdr>
        <w:top w:val="none" w:sz="0" w:space="0" w:color="auto"/>
        <w:left w:val="none" w:sz="0" w:space="0" w:color="auto"/>
        <w:bottom w:val="none" w:sz="0" w:space="0" w:color="auto"/>
        <w:right w:val="none" w:sz="0" w:space="0" w:color="auto"/>
      </w:divBdr>
    </w:div>
    <w:div w:id="304824552">
      <w:bodyDiv w:val="1"/>
      <w:marLeft w:val="0"/>
      <w:marRight w:val="0"/>
      <w:marTop w:val="0"/>
      <w:marBottom w:val="0"/>
      <w:divBdr>
        <w:top w:val="none" w:sz="0" w:space="0" w:color="auto"/>
        <w:left w:val="none" w:sz="0" w:space="0" w:color="auto"/>
        <w:bottom w:val="none" w:sz="0" w:space="0" w:color="auto"/>
        <w:right w:val="none" w:sz="0" w:space="0" w:color="auto"/>
      </w:divBdr>
    </w:div>
    <w:div w:id="309865727">
      <w:bodyDiv w:val="1"/>
      <w:marLeft w:val="0"/>
      <w:marRight w:val="0"/>
      <w:marTop w:val="0"/>
      <w:marBottom w:val="0"/>
      <w:divBdr>
        <w:top w:val="none" w:sz="0" w:space="0" w:color="auto"/>
        <w:left w:val="none" w:sz="0" w:space="0" w:color="auto"/>
        <w:bottom w:val="none" w:sz="0" w:space="0" w:color="auto"/>
        <w:right w:val="none" w:sz="0" w:space="0" w:color="auto"/>
      </w:divBdr>
    </w:div>
    <w:div w:id="317732247">
      <w:bodyDiv w:val="1"/>
      <w:marLeft w:val="0"/>
      <w:marRight w:val="0"/>
      <w:marTop w:val="0"/>
      <w:marBottom w:val="0"/>
      <w:divBdr>
        <w:top w:val="none" w:sz="0" w:space="0" w:color="auto"/>
        <w:left w:val="none" w:sz="0" w:space="0" w:color="auto"/>
        <w:bottom w:val="none" w:sz="0" w:space="0" w:color="auto"/>
        <w:right w:val="none" w:sz="0" w:space="0" w:color="auto"/>
      </w:divBdr>
    </w:div>
    <w:div w:id="330841145">
      <w:bodyDiv w:val="1"/>
      <w:marLeft w:val="0"/>
      <w:marRight w:val="0"/>
      <w:marTop w:val="0"/>
      <w:marBottom w:val="0"/>
      <w:divBdr>
        <w:top w:val="none" w:sz="0" w:space="0" w:color="auto"/>
        <w:left w:val="none" w:sz="0" w:space="0" w:color="auto"/>
        <w:bottom w:val="none" w:sz="0" w:space="0" w:color="auto"/>
        <w:right w:val="none" w:sz="0" w:space="0" w:color="auto"/>
      </w:divBdr>
    </w:div>
    <w:div w:id="331949850">
      <w:bodyDiv w:val="1"/>
      <w:marLeft w:val="0"/>
      <w:marRight w:val="0"/>
      <w:marTop w:val="0"/>
      <w:marBottom w:val="0"/>
      <w:divBdr>
        <w:top w:val="none" w:sz="0" w:space="0" w:color="auto"/>
        <w:left w:val="none" w:sz="0" w:space="0" w:color="auto"/>
        <w:bottom w:val="none" w:sz="0" w:space="0" w:color="auto"/>
        <w:right w:val="none" w:sz="0" w:space="0" w:color="auto"/>
      </w:divBdr>
    </w:div>
    <w:div w:id="335884429">
      <w:bodyDiv w:val="1"/>
      <w:marLeft w:val="0"/>
      <w:marRight w:val="0"/>
      <w:marTop w:val="0"/>
      <w:marBottom w:val="0"/>
      <w:divBdr>
        <w:top w:val="none" w:sz="0" w:space="0" w:color="auto"/>
        <w:left w:val="none" w:sz="0" w:space="0" w:color="auto"/>
        <w:bottom w:val="none" w:sz="0" w:space="0" w:color="auto"/>
        <w:right w:val="none" w:sz="0" w:space="0" w:color="auto"/>
      </w:divBdr>
    </w:div>
    <w:div w:id="416172745">
      <w:bodyDiv w:val="1"/>
      <w:marLeft w:val="0"/>
      <w:marRight w:val="0"/>
      <w:marTop w:val="0"/>
      <w:marBottom w:val="0"/>
      <w:divBdr>
        <w:top w:val="none" w:sz="0" w:space="0" w:color="auto"/>
        <w:left w:val="none" w:sz="0" w:space="0" w:color="auto"/>
        <w:bottom w:val="none" w:sz="0" w:space="0" w:color="auto"/>
        <w:right w:val="none" w:sz="0" w:space="0" w:color="auto"/>
      </w:divBdr>
    </w:div>
    <w:div w:id="437678408">
      <w:bodyDiv w:val="1"/>
      <w:marLeft w:val="0"/>
      <w:marRight w:val="0"/>
      <w:marTop w:val="0"/>
      <w:marBottom w:val="0"/>
      <w:divBdr>
        <w:top w:val="none" w:sz="0" w:space="0" w:color="auto"/>
        <w:left w:val="none" w:sz="0" w:space="0" w:color="auto"/>
        <w:bottom w:val="none" w:sz="0" w:space="0" w:color="auto"/>
        <w:right w:val="none" w:sz="0" w:space="0" w:color="auto"/>
      </w:divBdr>
    </w:div>
    <w:div w:id="439642201">
      <w:bodyDiv w:val="1"/>
      <w:marLeft w:val="0"/>
      <w:marRight w:val="0"/>
      <w:marTop w:val="0"/>
      <w:marBottom w:val="0"/>
      <w:divBdr>
        <w:top w:val="none" w:sz="0" w:space="0" w:color="auto"/>
        <w:left w:val="none" w:sz="0" w:space="0" w:color="auto"/>
        <w:bottom w:val="none" w:sz="0" w:space="0" w:color="auto"/>
        <w:right w:val="none" w:sz="0" w:space="0" w:color="auto"/>
      </w:divBdr>
    </w:div>
    <w:div w:id="445929999">
      <w:bodyDiv w:val="1"/>
      <w:marLeft w:val="0"/>
      <w:marRight w:val="0"/>
      <w:marTop w:val="0"/>
      <w:marBottom w:val="0"/>
      <w:divBdr>
        <w:top w:val="none" w:sz="0" w:space="0" w:color="auto"/>
        <w:left w:val="none" w:sz="0" w:space="0" w:color="auto"/>
        <w:bottom w:val="none" w:sz="0" w:space="0" w:color="auto"/>
        <w:right w:val="none" w:sz="0" w:space="0" w:color="auto"/>
      </w:divBdr>
    </w:div>
    <w:div w:id="491606989">
      <w:bodyDiv w:val="1"/>
      <w:marLeft w:val="0"/>
      <w:marRight w:val="0"/>
      <w:marTop w:val="0"/>
      <w:marBottom w:val="0"/>
      <w:divBdr>
        <w:top w:val="none" w:sz="0" w:space="0" w:color="auto"/>
        <w:left w:val="none" w:sz="0" w:space="0" w:color="auto"/>
        <w:bottom w:val="none" w:sz="0" w:space="0" w:color="auto"/>
        <w:right w:val="none" w:sz="0" w:space="0" w:color="auto"/>
      </w:divBdr>
    </w:div>
    <w:div w:id="515582029">
      <w:bodyDiv w:val="1"/>
      <w:marLeft w:val="0"/>
      <w:marRight w:val="0"/>
      <w:marTop w:val="0"/>
      <w:marBottom w:val="0"/>
      <w:divBdr>
        <w:top w:val="none" w:sz="0" w:space="0" w:color="auto"/>
        <w:left w:val="none" w:sz="0" w:space="0" w:color="auto"/>
        <w:bottom w:val="none" w:sz="0" w:space="0" w:color="auto"/>
        <w:right w:val="none" w:sz="0" w:space="0" w:color="auto"/>
      </w:divBdr>
    </w:div>
    <w:div w:id="569465316">
      <w:bodyDiv w:val="1"/>
      <w:marLeft w:val="0"/>
      <w:marRight w:val="0"/>
      <w:marTop w:val="0"/>
      <w:marBottom w:val="0"/>
      <w:divBdr>
        <w:top w:val="none" w:sz="0" w:space="0" w:color="auto"/>
        <w:left w:val="none" w:sz="0" w:space="0" w:color="auto"/>
        <w:bottom w:val="none" w:sz="0" w:space="0" w:color="auto"/>
        <w:right w:val="none" w:sz="0" w:space="0" w:color="auto"/>
      </w:divBdr>
    </w:div>
    <w:div w:id="578635284">
      <w:bodyDiv w:val="1"/>
      <w:marLeft w:val="0"/>
      <w:marRight w:val="0"/>
      <w:marTop w:val="0"/>
      <w:marBottom w:val="0"/>
      <w:divBdr>
        <w:top w:val="none" w:sz="0" w:space="0" w:color="auto"/>
        <w:left w:val="none" w:sz="0" w:space="0" w:color="auto"/>
        <w:bottom w:val="none" w:sz="0" w:space="0" w:color="auto"/>
        <w:right w:val="none" w:sz="0" w:space="0" w:color="auto"/>
      </w:divBdr>
    </w:div>
    <w:div w:id="631710757">
      <w:bodyDiv w:val="1"/>
      <w:marLeft w:val="0"/>
      <w:marRight w:val="0"/>
      <w:marTop w:val="0"/>
      <w:marBottom w:val="0"/>
      <w:divBdr>
        <w:top w:val="none" w:sz="0" w:space="0" w:color="auto"/>
        <w:left w:val="none" w:sz="0" w:space="0" w:color="auto"/>
        <w:bottom w:val="none" w:sz="0" w:space="0" w:color="auto"/>
        <w:right w:val="none" w:sz="0" w:space="0" w:color="auto"/>
      </w:divBdr>
    </w:div>
    <w:div w:id="673341392">
      <w:bodyDiv w:val="1"/>
      <w:marLeft w:val="0"/>
      <w:marRight w:val="0"/>
      <w:marTop w:val="0"/>
      <w:marBottom w:val="0"/>
      <w:divBdr>
        <w:top w:val="none" w:sz="0" w:space="0" w:color="auto"/>
        <w:left w:val="none" w:sz="0" w:space="0" w:color="auto"/>
        <w:bottom w:val="none" w:sz="0" w:space="0" w:color="auto"/>
        <w:right w:val="none" w:sz="0" w:space="0" w:color="auto"/>
      </w:divBdr>
    </w:div>
    <w:div w:id="693267274">
      <w:bodyDiv w:val="1"/>
      <w:marLeft w:val="0"/>
      <w:marRight w:val="0"/>
      <w:marTop w:val="0"/>
      <w:marBottom w:val="0"/>
      <w:divBdr>
        <w:top w:val="none" w:sz="0" w:space="0" w:color="auto"/>
        <w:left w:val="none" w:sz="0" w:space="0" w:color="auto"/>
        <w:bottom w:val="none" w:sz="0" w:space="0" w:color="auto"/>
        <w:right w:val="none" w:sz="0" w:space="0" w:color="auto"/>
      </w:divBdr>
    </w:div>
    <w:div w:id="839582115">
      <w:bodyDiv w:val="1"/>
      <w:marLeft w:val="0"/>
      <w:marRight w:val="0"/>
      <w:marTop w:val="0"/>
      <w:marBottom w:val="0"/>
      <w:divBdr>
        <w:top w:val="none" w:sz="0" w:space="0" w:color="auto"/>
        <w:left w:val="none" w:sz="0" w:space="0" w:color="auto"/>
        <w:bottom w:val="none" w:sz="0" w:space="0" w:color="auto"/>
        <w:right w:val="none" w:sz="0" w:space="0" w:color="auto"/>
      </w:divBdr>
    </w:div>
    <w:div w:id="966815349">
      <w:bodyDiv w:val="1"/>
      <w:marLeft w:val="0"/>
      <w:marRight w:val="0"/>
      <w:marTop w:val="0"/>
      <w:marBottom w:val="0"/>
      <w:divBdr>
        <w:top w:val="none" w:sz="0" w:space="0" w:color="auto"/>
        <w:left w:val="none" w:sz="0" w:space="0" w:color="auto"/>
        <w:bottom w:val="none" w:sz="0" w:space="0" w:color="auto"/>
        <w:right w:val="none" w:sz="0" w:space="0" w:color="auto"/>
      </w:divBdr>
    </w:div>
    <w:div w:id="1186090258">
      <w:bodyDiv w:val="1"/>
      <w:marLeft w:val="0"/>
      <w:marRight w:val="0"/>
      <w:marTop w:val="0"/>
      <w:marBottom w:val="0"/>
      <w:divBdr>
        <w:top w:val="none" w:sz="0" w:space="0" w:color="auto"/>
        <w:left w:val="none" w:sz="0" w:space="0" w:color="auto"/>
        <w:bottom w:val="none" w:sz="0" w:space="0" w:color="auto"/>
        <w:right w:val="none" w:sz="0" w:space="0" w:color="auto"/>
      </w:divBdr>
    </w:div>
    <w:div w:id="1432387166">
      <w:bodyDiv w:val="1"/>
      <w:marLeft w:val="0"/>
      <w:marRight w:val="0"/>
      <w:marTop w:val="0"/>
      <w:marBottom w:val="0"/>
      <w:divBdr>
        <w:top w:val="none" w:sz="0" w:space="0" w:color="auto"/>
        <w:left w:val="none" w:sz="0" w:space="0" w:color="auto"/>
        <w:bottom w:val="none" w:sz="0" w:space="0" w:color="auto"/>
        <w:right w:val="none" w:sz="0" w:space="0" w:color="auto"/>
      </w:divBdr>
    </w:div>
    <w:div w:id="1550611600">
      <w:bodyDiv w:val="1"/>
      <w:marLeft w:val="0"/>
      <w:marRight w:val="0"/>
      <w:marTop w:val="0"/>
      <w:marBottom w:val="0"/>
      <w:divBdr>
        <w:top w:val="none" w:sz="0" w:space="0" w:color="auto"/>
        <w:left w:val="none" w:sz="0" w:space="0" w:color="auto"/>
        <w:bottom w:val="none" w:sz="0" w:space="0" w:color="auto"/>
        <w:right w:val="none" w:sz="0" w:space="0" w:color="auto"/>
      </w:divBdr>
    </w:div>
    <w:div w:id="1598513892">
      <w:bodyDiv w:val="1"/>
      <w:marLeft w:val="0"/>
      <w:marRight w:val="0"/>
      <w:marTop w:val="0"/>
      <w:marBottom w:val="0"/>
      <w:divBdr>
        <w:top w:val="none" w:sz="0" w:space="0" w:color="auto"/>
        <w:left w:val="none" w:sz="0" w:space="0" w:color="auto"/>
        <w:bottom w:val="none" w:sz="0" w:space="0" w:color="auto"/>
        <w:right w:val="none" w:sz="0" w:space="0" w:color="auto"/>
      </w:divBdr>
    </w:div>
    <w:div w:id="1630091606">
      <w:bodyDiv w:val="1"/>
      <w:marLeft w:val="0"/>
      <w:marRight w:val="0"/>
      <w:marTop w:val="0"/>
      <w:marBottom w:val="0"/>
      <w:divBdr>
        <w:top w:val="none" w:sz="0" w:space="0" w:color="auto"/>
        <w:left w:val="none" w:sz="0" w:space="0" w:color="auto"/>
        <w:bottom w:val="none" w:sz="0" w:space="0" w:color="auto"/>
        <w:right w:val="none" w:sz="0" w:space="0" w:color="auto"/>
      </w:divBdr>
    </w:div>
    <w:div w:id="1643271321">
      <w:bodyDiv w:val="1"/>
      <w:marLeft w:val="0"/>
      <w:marRight w:val="0"/>
      <w:marTop w:val="0"/>
      <w:marBottom w:val="0"/>
      <w:divBdr>
        <w:top w:val="none" w:sz="0" w:space="0" w:color="auto"/>
        <w:left w:val="none" w:sz="0" w:space="0" w:color="auto"/>
        <w:bottom w:val="none" w:sz="0" w:space="0" w:color="auto"/>
        <w:right w:val="none" w:sz="0" w:space="0" w:color="auto"/>
      </w:divBdr>
    </w:div>
    <w:div w:id="1706522574">
      <w:bodyDiv w:val="1"/>
      <w:marLeft w:val="0"/>
      <w:marRight w:val="0"/>
      <w:marTop w:val="0"/>
      <w:marBottom w:val="0"/>
      <w:divBdr>
        <w:top w:val="none" w:sz="0" w:space="0" w:color="auto"/>
        <w:left w:val="none" w:sz="0" w:space="0" w:color="auto"/>
        <w:bottom w:val="none" w:sz="0" w:space="0" w:color="auto"/>
        <w:right w:val="none" w:sz="0" w:space="0" w:color="auto"/>
      </w:divBdr>
    </w:div>
    <w:div w:id="1734157369">
      <w:bodyDiv w:val="1"/>
      <w:marLeft w:val="0"/>
      <w:marRight w:val="0"/>
      <w:marTop w:val="0"/>
      <w:marBottom w:val="0"/>
      <w:divBdr>
        <w:top w:val="none" w:sz="0" w:space="0" w:color="auto"/>
        <w:left w:val="none" w:sz="0" w:space="0" w:color="auto"/>
        <w:bottom w:val="none" w:sz="0" w:space="0" w:color="auto"/>
        <w:right w:val="none" w:sz="0" w:space="0" w:color="auto"/>
      </w:divBdr>
    </w:div>
    <w:div w:id="1994065804">
      <w:bodyDiv w:val="1"/>
      <w:marLeft w:val="0"/>
      <w:marRight w:val="0"/>
      <w:marTop w:val="0"/>
      <w:marBottom w:val="0"/>
      <w:divBdr>
        <w:top w:val="none" w:sz="0" w:space="0" w:color="auto"/>
        <w:left w:val="none" w:sz="0" w:space="0" w:color="auto"/>
        <w:bottom w:val="none" w:sz="0" w:space="0" w:color="auto"/>
        <w:right w:val="none" w:sz="0" w:space="0" w:color="auto"/>
      </w:divBdr>
    </w:div>
    <w:div w:id="2017688029">
      <w:bodyDiv w:val="1"/>
      <w:marLeft w:val="0"/>
      <w:marRight w:val="0"/>
      <w:marTop w:val="0"/>
      <w:marBottom w:val="0"/>
      <w:divBdr>
        <w:top w:val="none" w:sz="0" w:space="0" w:color="auto"/>
        <w:left w:val="none" w:sz="0" w:space="0" w:color="auto"/>
        <w:bottom w:val="none" w:sz="0" w:space="0" w:color="auto"/>
        <w:right w:val="none" w:sz="0" w:space="0" w:color="auto"/>
      </w:divBdr>
    </w:div>
    <w:div w:id="2053260957">
      <w:bodyDiv w:val="1"/>
      <w:marLeft w:val="0"/>
      <w:marRight w:val="0"/>
      <w:marTop w:val="0"/>
      <w:marBottom w:val="0"/>
      <w:divBdr>
        <w:top w:val="none" w:sz="0" w:space="0" w:color="auto"/>
        <w:left w:val="none" w:sz="0" w:space="0" w:color="auto"/>
        <w:bottom w:val="none" w:sz="0" w:space="0" w:color="auto"/>
        <w:right w:val="none" w:sz="0" w:space="0" w:color="auto"/>
      </w:divBdr>
    </w:div>
    <w:div w:id="2067141246">
      <w:bodyDiv w:val="1"/>
      <w:marLeft w:val="0"/>
      <w:marRight w:val="0"/>
      <w:marTop w:val="0"/>
      <w:marBottom w:val="0"/>
      <w:divBdr>
        <w:top w:val="none" w:sz="0" w:space="0" w:color="auto"/>
        <w:left w:val="none" w:sz="0" w:space="0" w:color="auto"/>
        <w:bottom w:val="none" w:sz="0" w:space="0" w:color="auto"/>
        <w:right w:val="none" w:sz="0" w:space="0" w:color="auto"/>
      </w:divBdr>
    </w:div>
    <w:div w:id="2069918749">
      <w:bodyDiv w:val="1"/>
      <w:marLeft w:val="0"/>
      <w:marRight w:val="0"/>
      <w:marTop w:val="0"/>
      <w:marBottom w:val="0"/>
      <w:divBdr>
        <w:top w:val="none" w:sz="0" w:space="0" w:color="auto"/>
        <w:left w:val="none" w:sz="0" w:space="0" w:color="auto"/>
        <w:bottom w:val="none" w:sz="0" w:space="0" w:color="auto"/>
        <w:right w:val="none" w:sz="0" w:space="0" w:color="auto"/>
      </w:divBdr>
    </w:div>
    <w:div w:id="2069961687">
      <w:bodyDiv w:val="1"/>
      <w:marLeft w:val="0"/>
      <w:marRight w:val="0"/>
      <w:marTop w:val="0"/>
      <w:marBottom w:val="0"/>
      <w:divBdr>
        <w:top w:val="none" w:sz="0" w:space="0" w:color="auto"/>
        <w:left w:val="none" w:sz="0" w:space="0" w:color="auto"/>
        <w:bottom w:val="none" w:sz="0" w:space="0" w:color="auto"/>
        <w:right w:val="none" w:sz="0" w:space="0" w:color="auto"/>
      </w:divBdr>
    </w:div>
    <w:div w:id="2120417577">
      <w:bodyDiv w:val="1"/>
      <w:marLeft w:val="0"/>
      <w:marRight w:val="0"/>
      <w:marTop w:val="0"/>
      <w:marBottom w:val="0"/>
      <w:divBdr>
        <w:top w:val="none" w:sz="0" w:space="0" w:color="auto"/>
        <w:left w:val="none" w:sz="0" w:space="0" w:color="auto"/>
        <w:bottom w:val="none" w:sz="0" w:space="0" w:color="auto"/>
        <w:right w:val="none" w:sz="0" w:space="0" w:color="auto"/>
      </w:divBdr>
    </w:div>
    <w:div w:id="213602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si/2012/1916/schedule/16" TargetMode="External"/><Relationship Id="rId18" Type="http://schemas.openxmlformats.org/officeDocument/2006/relationships/hyperlink" Target="https://www.medicines.org.uk/emc" TargetMode="External"/><Relationship Id="rId26" Type="http://schemas.openxmlformats.org/officeDocument/2006/relationships/hyperlink" Target="https://bnf.nice.org.uk/" TargetMode="External"/><Relationship Id="rId3" Type="http://schemas.openxmlformats.org/officeDocument/2006/relationships/customXml" Target="../customXml/item3.xml"/><Relationship Id="rId21" Type="http://schemas.openxmlformats.org/officeDocument/2006/relationships/hyperlink" Target="https://www.fsrh.org/Public/Documents/ceu-clinical-guidance-drug-interactions-with-hormonal.aspx"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nice.org.uk/guidance/mpg2/chapter/Recommendations" TargetMode="External"/><Relationship Id="rId17" Type="http://schemas.openxmlformats.org/officeDocument/2006/relationships/hyperlink" Target="https://www.medicines.org.uk/emc" TargetMode="External"/><Relationship Id="rId25" Type="http://schemas.openxmlformats.org/officeDocument/2006/relationships/hyperlink" Target="https://www.medicines.org.uk/emc"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ps.nhs.uk/articles/etonogestrel-nexplanon-implant-for-contraception/" TargetMode="External"/><Relationship Id="rId20" Type="http://schemas.openxmlformats.org/officeDocument/2006/relationships/hyperlink" Target="https://bnf.nice.org.uk/" TargetMode="External"/><Relationship Id="rId29" Type="http://schemas.openxmlformats.org/officeDocument/2006/relationships/hyperlink" Target="https://www.fsrh.org/Public/Standards-and-Guidance/Progestogen-only-Implant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Guidance/MPG2" TargetMode="External"/><Relationship Id="rId24" Type="http://schemas.openxmlformats.org/officeDocument/2006/relationships/hyperlink" Target="https://yellowcard.mhra.gov.uk/"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nice.org.uk/guidance/mpg2/resources" TargetMode="External"/><Relationship Id="rId23" Type="http://schemas.openxmlformats.org/officeDocument/2006/relationships/hyperlink" Target="https://bnf.nice.org.uk/" TargetMode="External"/><Relationship Id="rId28" Type="http://schemas.openxmlformats.org/officeDocument/2006/relationships/hyperlink" Target="http://www.resus.org.uk/" TargetMode="External"/><Relationship Id="rId10" Type="http://schemas.openxmlformats.org/officeDocument/2006/relationships/hyperlink" Target="https://www.nice.org.uk/guidance/mpg2/chapter/Recommendations" TargetMode="External"/><Relationship Id="rId19" Type="http://schemas.openxmlformats.org/officeDocument/2006/relationships/hyperlink" Target="https://www.medicines.org.uk/emc"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fh.org.uk/programmes/patient-group-directions/" TargetMode="External"/><Relationship Id="rId22" Type="http://schemas.openxmlformats.org/officeDocument/2006/relationships/hyperlink" Target="https://www.medicines.org.uk/emc" TargetMode="External"/><Relationship Id="rId27" Type="http://schemas.openxmlformats.org/officeDocument/2006/relationships/hyperlink" Target="https://www.nice.org.uk/guidance/mpg2" TargetMode="External"/><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PGD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2026-04-22T23:00:00+00:00</PublishedDate>
    <Accessibletemplate xmlns="f161132f-3af4-47f5-b28f-8075dccddbe8">true</Accessibletemplate>
    <ExpiryDate xmlns="f161132f-3af4-47f5-b28f-8075dccddbe8">2029-08-30T23:00:00+00:00</ExpiryDate>
    <Effectivefromdate xmlns="f161132f-3af4-47f5-b28f-8075dccddbe8">2026-08-31T23:00:00+00:00</Effectivefromdate>
    <_ApprovalStatus xmlns="f161132f-3af4-47f5-b28f-8075dccddbe8">0</_ApprovalStatus>
    <Versionnumber xmlns="f161132f-3af4-47f5-b28f-8075dccddbe8">3</Versionnumber>
    <Reviewcompleted xmlns="f161132f-3af4-47f5-b28f-8075dccddbe8" xsi:nil="true"/>
    <ReviewDate xmlns="f161132f-3af4-47f5-b28f-8075dccddbe8">2029-03-01T00:00:00+00:00</ReviewDate>
    <_ApprovalRespondedBy xmlns="f161132f-3af4-47f5-b28f-8075dccddbe8">
      <UserInfo>
        <DisplayName/>
        <AccountId xsi:nil="true"/>
        <AccountType/>
      </UserInfo>
    </_ApprovalRespondedBy>
    <ProgrammeBoardMeeting xmlns="f161132f-3af4-47f5-b28f-8075dccddbe8">2029-04-18T23:00:00+00:00</ProgrammeBoardMeeting>
    <Cardcreated xmlns="f161132f-3af4-47f5-b28f-8075dccddbe8">
      <Url>https://digitalliverpool.sharepoint.com/sites/SPSDigital/Lists/Content%20Directory/DispForm.aspx?ID=2874</Url>
      <Description>Lidocaine injection card</Description>
    </Cardcreat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424A7-1B1E-4F11-A277-A3A6BADAC4C8}">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958F8849-9CC5-45E2-A09F-1115CFD55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37561-E171-4E66-9654-4DECFFF1A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Rosie Furner</cp:lastModifiedBy>
  <cp:revision>6</cp:revision>
  <dcterms:created xsi:type="dcterms:W3CDTF">2026-04-23T12:24:00Z</dcterms:created>
  <dcterms:modified xsi:type="dcterms:W3CDTF">2026-06-11T12:24:00Z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