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7B3BF" w14:textId="77777777" w:rsidR="007A2202" w:rsidRDefault="007A2202" w:rsidP="007A2202">
      <w:pPr>
        <w:pStyle w:val="PGDNormal"/>
        <w:rPr>
          <w:b/>
          <w:bCs/>
          <w:lang w:val="en-GB"/>
        </w:rPr>
      </w:pPr>
      <w:bookmarkStart w:id="0" w:name="_Toc258333614"/>
      <w:bookmarkStart w:id="1" w:name="_Toc263684039"/>
      <w:bookmarkStart w:id="2" w:name="_Toc264471101"/>
    </w:p>
    <w:p w14:paraId="44BE39BF" w14:textId="77777777" w:rsidR="007A2202" w:rsidRDefault="007A2202" w:rsidP="007A2202">
      <w:pPr>
        <w:pStyle w:val="PGDNormal"/>
        <w:rPr>
          <w:b/>
          <w:bCs/>
          <w:lang w:val="en-GB"/>
        </w:rPr>
      </w:pPr>
    </w:p>
    <w:p w14:paraId="1516E9A7" w14:textId="79E797FA" w:rsidR="007A2202" w:rsidRPr="007A2202" w:rsidRDefault="007A2202" w:rsidP="007A2202">
      <w:pPr>
        <w:pStyle w:val="PGDNormal"/>
        <w:rPr>
          <w:b/>
          <w:bCs/>
          <w:lang w:val="en-GB"/>
        </w:rPr>
      </w:pPr>
      <w:r w:rsidRPr="007A2202">
        <w:rPr>
          <w:b/>
          <w:bCs/>
          <w:lang w:val="en-GB"/>
        </w:rPr>
        <w:t>NOTE</w:t>
      </w:r>
    </w:p>
    <w:p w14:paraId="1C30AB59" w14:textId="77777777" w:rsidR="005503A4" w:rsidRPr="005503A4" w:rsidRDefault="005503A4" w:rsidP="005503A4">
      <w:pPr>
        <w:pStyle w:val="PGDNormal"/>
        <w:rPr>
          <w:b/>
          <w:bCs/>
        </w:rPr>
      </w:pPr>
      <w:r w:rsidRPr="005503A4">
        <w:rPr>
          <w:b/>
          <w:bCs/>
        </w:rPr>
        <w:t>This Patient Group Direction is intended for use by NHS-commissioned services only.</w:t>
      </w:r>
    </w:p>
    <w:p w14:paraId="122A3626" w14:textId="10BAE628" w:rsidR="005503A4" w:rsidRPr="005503A4" w:rsidRDefault="005503A4" w:rsidP="005503A4">
      <w:pPr>
        <w:pStyle w:val="PGDNormal"/>
        <w:rPr>
          <w:b/>
          <w:bCs/>
        </w:rPr>
      </w:pPr>
      <w:r w:rsidRPr="005503A4">
        <w:rPr>
          <w:b/>
          <w:bCs/>
        </w:rPr>
        <w:t>It is recognised by the short life working group who developed this PGD that malathion</w:t>
      </w:r>
      <w:r>
        <w:rPr>
          <w:b/>
          <w:bCs/>
        </w:rPr>
        <w:t xml:space="preserve"> </w:t>
      </w:r>
      <w:r w:rsidRPr="005503A4">
        <w:rPr>
          <w:b/>
          <w:bCs/>
        </w:rPr>
        <w:t xml:space="preserve">0.5% liquid is a Pharmacy only (P) medicine and as such can be purchased from a registered pharmacy premises and as such individuals could be directed to purchase this preparation rather than it be supplied under a PGD.  However it was recognised that many services are commissioned to provide the medication required by the condition guidelines at the time of the consultation which includes P medicines.  Organisations should consult with service commissioners/providers to determine locally if this PGD is required.  </w:t>
      </w:r>
    </w:p>
    <w:p w14:paraId="4725B50E" w14:textId="77777777" w:rsidR="007A2202" w:rsidRDefault="007A2202">
      <w:pPr>
        <w:rPr>
          <w:rFonts w:ascii="Arial" w:eastAsia="Times New Roman" w:hAnsi="Arial"/>
          <w:kern w:val="0"/>
          <w:highlight w:val="cyan"/>
          <w:lang w:val="en-US"/>
          <w14:ligatures w14:val="none"/>
        </w:rPr>
      </w:pPr>
      <w:r>
        <w:rPr>
          <w:highlight w:val="cyan"/>
        </w:rPr>
        <w:br w:type="page"/>
      </w:r>
    </w:p>
    <w:p w14:paraId="54921FF7" w14:textId="50BA2BD4" w:rsidR="007A2202" w:rsidRDefault="007A2202">
      <w:pPr>
        <w:rPr>
          <w:rFonts w:ascii="Arial" w:eastAsia="Times New Roman" w:hAnsi="Arial"/>
          <w:kern w:val="0"/>
          <w:highlight w:val="cyan"/>
          <w:lang w:val="en-US"/>
          <w14:ligatures w14:val="none"/>
        </w:rPr>
      </w:pPr>
    </w:p>
    <w:p w14:paraId="71B767E5" w14:textId="11303CE2" w:rsidR="001D4AB6" w:rsidRDefault="00E46E97" w:rsidP="00AA5A30">
      <w:pPr>
        <w:pStyle w:val="PGDlogo"/>
        <w:rPr>
          <w:highlight w:val="cyan"/>
        </w:rPr>
      </w:pPr>
      <w:r>
        <w:rPr>
          <w:highlight w:val="cyan"/>
        </w:rPr>
        <w:t>[</w:t>
      </w:r>
      <w:r w:rsidR="007A1448" w:rsidRPr="00DF77C7">
        <w:rPr>
          <w:highlight w:val="cyan"/>
        </w:rPr>
        <w:t xml:space="preserve">Insert </w:t>
      </w:r>
      <w:r w:rsidR="002E0743">
        <w:rPr>
          <w:highlight w:val="cyan"/>
        </w:rPr>
        <w:t xml:space="preserve">the </w:t>
      </w:r>
      <w:r w:rsidR="007A1448" w:rsidRPr="00DF77C7">
        <w:rPr>
          <w:highlight w:val="cyan"/>
        </w:rPr>
        <w:t>logo of</w:t>
      </w:r>
      <w:r w:rsidR="002E0743">
        <w:rPr>
          <w:highlight w:val="cyan"/>
        </w:rPr>
        <w:t xml:space="preserve"> the</w:t>
      </w:r>
      <w:r w:rsidR="001D4AB6">
        <w:rPr>
          <w:highlight w:val="cyan"/>
        </w:rPr>
        <w:t xml:space="preserve"> authorising body here</w:t>
      </w:r>
      <w:r w:rsidR="007A2202">
        <w:rPr>
          <w:highlight w:val="cyan"/>
        </w:rPr>
        <w:t>]</w:t>
      </w:r>
    </w:p>
    <w:p w14:paraId="0F1FF2E2" w14:textId="7FA10673" w:rsidR="005F1603" w:rsidRPr="00DF77C7" w:rsidRDefault="001D4AB6" w:rsidP="00AA5A30">
      <w:pPr>
        <w:pStyle w:val="PGDlogo"/>
      </w:pPr>
      <w:r w:rsidRPr="00B36F46">
        <w:rPr>
          <w:highlight w:val="yellow"/>
        </w:rPr>
        <w:t xml:space="preserve"> </w:t>
      </w:r>
      <w:r w:rsidR="00EC5BB8" w:rsidRPr="00B36F46">
        <w:rPr>
          <w:highlight w:val="yellow"/>
        </w:rPr>
        <w:t>[</w:t>
      </w:r>
      <w:r w:rsidR="00EC5BB8" w:rsidRPr="00F6120B">
        <w:rPr>
          <w:rStyle w:val="Hyperlink"/>
          <w:highlight w:val="yellow"/>
        </w:rPr>
        <w:t>[</w:t>
      </w:r>
      <w:hyperlink r:id="rId11" w:anchor="terms-used-in-the-guideline" w:history="1">
        <w:r w:rsidRPr="00F6120B">
          <w:rPr>
            <w:rStyle w:val="Hyperlink"/>
            <w:highlight w:val="yellow"/>
          </w:rPr>
          <w:t>See the NICE guidance for the definition of an authorising body</w:t>
        </w:r>
      </w:hyperlink>
      <w:r w:rsidR="002E0743" w:rsidRPr="00EC5BB8">
        <w:rPr>
          <w:highlight w:val="yellow"/>
        </w:rPr>
        <w:t>]</w:t>
      </w:r>
      <w:r w:rsidR="00EC5BB8" w:rsidRPr="00EC5BB8">
        <w:rPr>
          <w:highlight w:val="yellow"/>
        </w:rPr>
        <w:t>]</w:t>
      </w:r>
    </w:p>
    <w:tbl>
      <w:tblPr>
        <w:tblStyle w:val="TableGrid"/>
        <w:tblW w:w="0" w:type="auto"/>
        <w:tblLook w:val="04A0" w:firstRow="1" w:lastRow="0" w:firstColumn="1" w:lastColumn="0" w:noHBand="0" w:noVBand="1"/>
      </w:tblPr>
      <w:tblGrid>
        <w:gridCol w:w="8495"/>
      </w:tblGrid>
      <w:tr w:rsidR="00AD67D4" w:rsidRPr="00DF77C7" w14:paraId="1FBF41D7" w14:textId="77777777" w:rsidTr="00AD67D4">
        <w:tc>
          <w:tcPr>
            <w:tcW w:w="8495" w:type="dxa"/>
          </w:tcPr>
          <w:p w14:paraId="68445008" w14:textId="38D8F2C6" w:rsidR="00AD67D4" w:rsidRPr="00DF77C7" w:rsidRDefault="00AD67D4" w:rsidP="00BB2C75">
            <w:pPr>
              <w:pStyle w:val="Tabletext"/>
              <w:rPr>
                <w:lang w:val="en-GB"/>
              </w:rPr>
            </w:pPr>
            <w:r w:rsidRPr="00DF77C7">
              <w:rPr>
                <w:lang w:val="en-GB"/>
              </w:rPr>
              <w:t xml:space="preserve">This Patient Group Direction (PGD) must only be used by registered </w:t>
            </w:r>
            <w:r w:rsidR="004C39C3">
              <w:rPr>
                <w:lang w:val="en-GB"/>
              </w:rPr>
              <w:t xml:space="preserve">healthcare professionals </w:t>
            </w:r>
            <w:r w:rsidRPr="00DF77C7">
              <w:rPr>
                <w:lang w:val="en-GB"/>
              </w:rPr>
              <w:t>who have been named and authorised by their organisation to practice under it. The most recent and in date final signed version of the PGD should be used.</w:t>
            </w:r>
          </w:p>
        </w:tc>
      </w:tr>
    </w:tbl>
    <w:p w14:paraId="440F929F" w14:textId="77777777" w:rsidR="00AD67D4" w:rsidRPr="00DF77C7" w:rsidRDefault="00AD67D4" w:rsidP="00ED232C">
      <w:pPr>
        <w:pStyle w:val="PGDNormal"/>
      </w:pPr>
    </w:p>
    <w:p w14:paraId="4F81DF8E" w14:textId="5914E859" w:rsidR="007A1448" w:rsidRPr="00DF77C7" w:rsidRDefault="007A1448" w:rsidP="006529F3">
      <w:pPr>
        <w:pStyle w:val="PGDTitle1"/>
      </w:pPr>
      <w:r w:rsidRPr="00DF77C7">
        <w:t>Patient Group Direction</w:t>
      </w:r>
    </w:p>
    <w:p w14:paraId="446A3A01" w14:textId="77777777" w:rsidR="00903548" w:rsidRPr="00DF77C7" w:rsidRDefault="00903548" w:rsidP="004C1FDF">
      <w:pPr>
        <w:pStyle w:val="PGDNormal"/>
      </w:pPr>
    </w:p>
    <w:p w14:paraId="4799BFF7" w14:textId="6F3B7A2F" w:rsidR="007A1448" w:rsidRPr="00DF77C7" w:rsidRDefault="00982F89" w:rsidP="006529F3">
      <w:pPr>
        <w:pStyle w:val="PGDTitle2"/>
      </w:pPr>
      <w:r>
        <w:rPr>
          <w:bCs/>
        </w:rPr>
        <w:t>For the s</w:t>
      </w:r>
      <w:r w:rsidRPr="00982F89">
        <w:rPr>
          <w:bCs/>
        </w:rPr>
        <w:t xml:space="preserve">upply of </w:t>
      </w:r>
      <w:r w:rsidR="00696D83" w:rsidRPr="00696D83">
        <w:rPr>
          <w:bCs/>
        </w:rPr>
        <w:t>malathion 0.5%</w:t>
      </w:r>
      <w:r w:rsidR="008D54E8">
        <w:rPr>
          <w:bCs/>
        </w:rPr>
        <w:t xml:space="preserve"> </w:t>
      </w:r>
      <w:r w:rsidR="00696D83" w:rsidRPr="00696D83">
        <w:rPr>
          <w:bCs/>
        </w:rPr>
        <w:t xml:space="preserve">liquid </w:t>
      </w:r>
      <w:r w:rsidRPr="00982F89">
        <w:rPr>
          <w:bCs/>
        </w:rPr>
        <w:t xml:space="preserve">for the </w:t>
      </w:r>
      <w:bookmarkStart w:id="3" w:name="_Hlk129015101"/>
      <w:r w:rsidRPr="00982F89">
        <w:rPr>
          <w:bCs/>
        </w:rPr>
        <w:t>treatment of uncomplicated classical scabies</w:t>
      </w:r>
      <w:bookmarkEnd w:id="3"/>
      <w:r w:rsidRPr="00982F89">
        <w:rPr>
          <w:bCs/>
        </w:rPr>
        <w:t xml:space="preserve"> </w:t>
      </w:r>
      <w:r w:rsidR="008D54E8">
        <w:rPr>
          <w:bCs/>
        </w:rPr>
        <w:t xml:space="preserve">in </w:t>
      </w:r>
      <w:r w:rsidR="00E46E97">
        <w:t>[</w:t>
      </w:r>
      <w:r w:rsidR="005C6771" w:rsidRPr="00DF77C7">
        <w:rPr>
          <w:highlight w:val="cyan"/>
        </w:rPr>
        <w:t>location/service/organisation</w:t>
      </w:r>
      <w:r w:rsidR="00E46E97">
        <w:t>]</w:t>
      </w:r>
    </w:p>
    <w:p w14:paraId="446CEE0D" w14:textId="77777777" w:rsidR="006529F3" w:rsidRPr="00DF77C7" w:rsidRDefault="006529F3" w:rsidP="004C1FDF">
      <w:pPr>
        <w:pStyle w:val="PGDNormal"/>
      </w:pPr>
    </w:p>
    <w:p w14:paraId="70665420" w14:textId="5859C168" w:rsidR="00813399" w:rsidRPr="007F687D" w:rsidRDefault="00813399" w:rsidP="00982F89">
      <w:pPr>
        <w:jc w:val="center"/>
        <w:rPr>
          <w:rStyle w:val="PGDVersionNumber"/>
        </w:rPr>
      </w:pPr>
      <w:r w:rsidRPr="007F687D">
        <w:rPr>
          <w:rStyle w:val="PGDVersionNumber"/>
        </w:rPr>
        <w:t xml:space="preserve">Version Number </w:t>
      </w:r>
      <w:r w:rsidR="00982F89">
        <w:rPr>
          <w:rStyle w:val="PGDVersionNumber"/>
        </w:rPr>
        <w:t>1</w:t>
      </w:r>
      <w:r w:rsidR="00DF59C5">
        <w:rPr>
          <w:rStyle w:val="PGDVersionNumber"/>
        </w:rPr>
        <w:t>.</w:t>
      </w:r>
      <w:r w:rsidR="00957B7C">
        <w:rPr>
          <w:rStyle w:val="PGDVersionNumber"/>
        </w:rPr>
        <w:t>0</w:t>
      </w:r>
    </w:p>
    <w:p w14:paraId="20B630F6" w14:textId="77777777" w:rsidR="00813399" w:rsidRPr="00DF77C7" w:rsidRDefault="00813399" w:rsidP="00F57606">
      <w:pPr>
        <w:pStyle w:val="Tabletext"/>
      </w:pPr>
    </w:p>
    <w:p w14:paraId="4B28C630" w14:textId="1C130391" w:rsidR="00763E7A" w:rsidRPr="00DF77C7" w:rsidRDefault="00763E7A" w:rsidP="00AD67D4">
      <w:pPr>
        <w:pStyle w:val="Tabletitle"/>
        <w:rPr>
          <w:lang w:val="en-GB"/>
        </w:rPr>
      </w:pPr>
      <w:r w:rsidRPr="00DF77C7">
        <w:rPr>
          <w:lang w:val="en-GB"/>
        </w:rPr>
        <w:t>Change history</w:t>
      </w:r>
    </w:p>
    <w:p w14:paraId="0880FF0C" w14:textId="77777777" w:rsidR="00813399" w:rsidRPr="00DF77C7" w:rsidRDefault="00813399" w:rsidP="00F57606">
      <w:pPr>
        <w:pStyle w:val="Tabletext"/>
      </w:pPr>
    </w:p>
    <w:tbl>
      <w:tblPr>
        <w:tblW w:w="8801" w:type="dxa"/>
        <w:tblInd w:w="12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781"/>
        <w:gridCol w:w="7020"/>
      </w:tblGrid>
      <w:tr w:rsidR="00813399" w:rsidRPr="00DF77C7" w14:paraId="1AA21739"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4C3B7AF4" w14:textId="77777777" w:rsidR="00813399" w:rsidRPr="00DF77C7" w:rsidRDefault="00813399" w:rsidP="006829D5">
            <w:pPr>
              <w:pStyle w:val="TableHeaderRow"/>
            </w:pPr>
            <w:r w:rsidRPr="00DF77C7">
              <w:t>Version and Date</w:t>
            </w:r>
          </w:p>
        </w:tc>
        <w:tc>
          <w:tcPr>
            <w:tcW w:w="7020" w:type="dxa"/>
            <w:tcBorders>
              <w:top w:val="single" w:sz="4" w:space="0" w:color="auto"/>
              <w:left w:val="single" w:sz="4" w:space="0" w:color="auto"/>
              <w:bottom w:val="single" w:sz="4" w:space="0" w:color="auto"/>
              <w:right w:val="single" w:sz="4" w:space="0" w:color="auto"/>
            </w:tcBorders>
          </w:tcPr>
          <w:p w14:paraId="20E8B630" w14:textId="77777777" w:rsidR="00813399" w:rsidRPr="00DF77C7" w:rsidRDefault="00813399" w:rsidP="006829D5">
            <w:pPr>
              <w:pStyle w:val="TableHeaderRow"/>
            </w:pPr>
            <w:r w:rsidRPr="00DF77C7">
              <w:t>Change details</w:t>
            </w:r>
          </w:p>
        </w:tc>
      </w:tr>
      <w:tr w:rsidR="00E15FB4" w:rsidRPr="00DF77C7" w14:paraId="5448D2BC" w14:textId="77777777" w:rsidTr="00AD27B9">
        <w:trPr>
          <w:trHeight w:val="442"/>
        </w:trPr>
        <w:tc>
          <w:tcPr>
            <w:tcW w:w="1781" w:type="dxa"/>
            <w:tcBorders>
              <w:top w:val="single" w:sz="4" w:space="0" w:color="auto"/>
              <w:left w:val="single" w:sz="4" w:space="0" w:color="auto"/>
              <w:bottom w:val="single" w:sz="4" w:space="0" w:color="auto"/>
              <w:right w:val="single" w:sz="4" w:space="0" w:color="auto"/>
            </w:tcBorders>
          </w:tcPr>
          <w:p w14:paraId="247DD230" w14:textId="03D7E1B8" w:rsidR="00E15FB4" w:rsidRPr="00D1051E" w:rsidRDefault="00E15FB4" w:rsidP="00764857">
            <w:pPr>
              <w:pStyle w:val="Tabletext"/>
            </w:pPr>
            <w:r w:rsidRPr="00D1051E">
              <w:t>Version 1</w:t>
            </w:r>
            <w:r w:rsidR="00982F89">
              <w:t>.0</w:t>
            </w:r>
          </w:p>
          <w:p w14:paraId="564FB0F8" w14:textId="7260150A" w:rsidR="00E15FB4" w:rsidRPr="00982F89" w:rsidRDefault="00982F89" w:rsidP="00764857">
            <w:pPr>
              <w:pStyle w:val="Tabletext"/>
              <w:rPr>
                <w:lang w:val="en-GB"/>
              </w:rPr>
            </w:pPr>
            <w:r>
              <w:rPr>
                <w:lang w:val="en-GB"/>
              </w:rPr>
              <w:t>October 2025</w:t>
            </w:r>
          </w:p>
        </w:tc>
        <w:tc>
          <w:tcPr>
            <w:tcW w:w="7020" w:type="dxa"/>
            <w:tcBorders>
              <w:top w:val="single" w:sz="4" w:space="0" w:color="auto"/>
              <w:left w:val="single" w:sz="4" w:space="0" w:color="auto"/>
              <w:bottom w:val="single" w:sz="4" w:space="0" w:color="auto"/>
              <w:right w:val="single" w:sz="4" w:space="0" w:color="auto"/>
            </w:tcBorders>
          </w:tcPr>
          <w:p w14:paraId="4A45011F" w14:textId="160FF60B" w:rsidR="00E15FB4" w:rsidRPr="00DF77C7" w:rsidRDefault="00E15FB4" w:rsidP="00764857">
            <w:pPr>
              <w:pStyle w:val="Tabletext"/>
              <w:rPr>
                <w:lang w:val="en-GB"/>
              </w:rPr>
            </w:pPr>
            <w:r w:rsidRPr="00D1051E">
              <w:t>New template</w:t>
            </w:r>
          </w:p>
        </w:tc>
      </w:tr>
    </w:tbl>
    <w:p w14:paraId="403025EC" w14:textId="77777777" w:rsidR="00813399" w:rsidRPr="00DF77C7" w:rsidRDefault="00813399" w:rsidP="00ED232C">
      <w:pPr>
        <w:pStyle w:val="PGDNormal"/>
      </w:pPr>
    </w:p>
    <w:p w14:paraId="2CBBA5EF" w14:textId="38129608" w:rsidR="00813399" w:rsidRPr="00DF77C7" w:rsidRDefault="00E46E97" w:rsidP="00763E7A">
      <w:pPr>
        <w:pStyle w:val="PGDNormal"/>
        <w:rPr>
          <w:lang w:val="en-GB"/>
        </w:rPr>
      </w:pPr>
      <w:r>
        <w:rPr>
          <w:highlight w:val="yellow"/>
          <w:lang w:val="en-GB"/>
        </w:rPr>
        <w:t>[[</w:t>
      </w:r>
      <w:r w:rsidR="00813399" w:rsidRPr="00DF77C7">
        <w:rPr>
          <w:highlight w:val="yellow"/>
          <w:lang w:val="en-GB"/>
        </w:rPr>
        <w:t>Each organisation using this PGD must ensure that it is formally signed by a senior pharmacist, a senior doctor and any other professional group representatives involved in its review and that it is reviewed in line with the organisations’ PGD governance system.  The organisation’s governance lead must sign to authorise the PGD on behalf of the authorising organisation to ensure that this document meets legal requirements for a PGD.</w:t>
      </w:r>
      <w:r>
        <w:rPr>
          <w:lang w:val="en-GB"/>
        </w:rPr>
        <w:t>]]</w:t>
      </w:r>
    </w:p>
    <w:p w14:paraId="75C4570A" w14:textId="391B4B37" w:rsidR="00813399" w:rsidRPr="00DF77C7" w:rsidRDefault="006829D5" w:rsidP="004C1FDF">
      <w:pPr>
        <w:pStyle w:val="Heading1"/>
      </w:pPr>
      <w:r w:rsidRPr="00DF77C7">
        <w:rPr>
          <w:highlight w:val="yellow"/>
        </w:rPr>
        <w:br w:type="page"/>
      </w:r>
      <w:r w:rsidR="00813399" w:rsidRPr="00DF77C7">
        <w:lastRenderedPageBreak/>
        <w:t xml:space="preserve">PGD </w:t>
      </w:r>
      <w:r w:rsidRPr="00DF77C7">
        <w:t>development group</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of template dates"/>
        <w:tblDescription w:val="Table detailing the life cycle of the template, it includes columns for the date the  template comes into effect, review date and expiry date."/>
      </w:tblPr>
      <w:tblGrid>
        <w:gridCol w:w="3969"/>
        <w:gridCol w:w="4536"/>
      </w:tblGrid>
      <w:tr w:rsidR="00E15FB4" w:rsidRPr="00DF77C7" w14:paraId="2D1BCEA8" w14:textId="77777777" w:rsidTr="00043006">
        <w:tc>
          <w:tcPr>
            <w:tcW w:w="3969" w:type="dxa"/>
          </w:tcPr>
          <w:p w14:paraId="68303232" w14:textId="77777777" w:rsidR="00E15FB4" w:rsidRPr="00DF77C7" w:rsidRDefault="00E15FB4" w:rsidP="00E15FB4">
            <w:pPr>
              <w:pStyle w:val="Tabletext"/>
              <w:rPr>
                <w:lang w:val="en-GB"/>
              </w:rPr>
            </w:pPr>
            <w:r w:rsidRPr="00DF77C7">
              <w:rPr>
                <w:lang w:val="en-GB"/>
              </w:rPr>
              <w:t xml:space="preserve">Date PGD template comes into effect: </w:t>
            </w:r>
          </w:p>
        </w:tc>
        <w:tc>
          <w:tcPr>
            <w:tcW w:w="4536" w:type="dxa"/>
            <w:tcBorders>
              <w:top w:val="single" w:sz="4" w:space="0" w:color="auto"/>
              <w:left w:val="single" w:sz="4" w:space="0" w:color="auto"/>
              <w:bottom w:val="single" w:sz="4" w:space="0" w:color="auto"/>
              <w:right w:val="single" w:sz="4" w:space="0" w:color="auto"/>
            </w:tcBorders>
          </w:tcPr>
          <w:p w14:paraId="1C02A90B" w14:textId="6EB87AF0" w:rsidR="00E15FB4" w:rsidRPr="00DF77C7" w:rsidRDefault="00430DF5" w:rsidP="00E15FB4">
            <w:pPr>
              <w:pStyle w:val="Tabletext"/>
              <w:rPr>
                <w:lang w:val="en-GB"/>
              </w:rPr>
            </w:pPr>
            <w:r>
              <w:t>1</w:t>
            </w:r>
            <w:r w:rsidRPr="00430DF5">
              <w:rPr>
                <w:vertAlign w:val="superscript"/>
              </w:rPr>
              <w:t>st</w:t>
            </w:r>
            <w:r>
              <w:t xml:space="preserve"> December 2025</w:t>
            </w:r>
          </w:p>
        </w:tc>
      </w:tr>
      <w:tr w:rsidR="00E15FB4" w:rsidRPr="00DF77C7" w14:paraId="18F33630" w14:textId="77777777" w:rsidTr="00043006">
        <w:tc>
          <w:tcPr>
            <w:tcW w:w="3969" w:type="dxa"/>
          </w:tcPr>
          <w:p w14:paraId="40ECC743" w14:textId="6FAE43A2" w:rsidR="00E15FB4" w:rsidRPr="00DF77C7" w:rsidRDefault="00E15FB4" w:rsidP="00E15FB4">
            <w:pPr>
              <w:pStyle w:val="Tabletext"/>
              <w:rPr>
                <w:lang w:val="en-GB"/>
              </w:rPr>
            </w:pPr>
            <w:r w:rsidRPr="00DF77C7">
              <w:rPr>
                <w:lang w:val="en-GB"/>
              </w:rPr>
              <w:t>Review date</w:t>
            </w:r>
            <w:r w:rsidR="008D54E8">
              <w:rPr>
                <w:lang w:val="en-GB"/>
              </w:rPr>
              <w:t>:</w:t>
            </w:r>
          </w:p>
        </w:tc>
        <w:tc>
          <w:tcPr>
            <w:tcW w:w="4536" w:type="dxa"/>
            <w:tcBorders>
              <w:top w:val="single" w:sz="4" w:space="0" w:color="auto"/>
              <w:left w:val="single" w:sz="4" w:space="0" w:color="auto"/>
              <w:bottom w:val="single" w:sz="4" w:space="0" w:color="auto"/>
              <w:right w:val="single" w:sz="4" w:space="0" w:color="auto"/>
            </w:tcBorders>
          </w:tcPr>
          <w:p w14:paraId="56A527C3" w14:textId="1692FD5C" w:rsidR="00E15FB4" w:rsidRPr="00DF77C7" w:rsidRDefault="00430DF5" w:rsidP="00E15FB4">
            <w:pPr>
              <w:pStyle w:val="Tabletext"/>
              <w:rPr>
                <w:lang w:val="en-GB"/>
              </w:rPr>
            </w:pPr>
            <w:r>
              <w:t>1</w:t>
            </w:r>
            <w:r w:rsidRPr="00430DF5">
              <w:rPr>
                <w:vertAlign w:val="superscript"/>
              </w:rPr>
              <w:t>st</w:t>
            </w:r>
            <w:r>
              <w:t xml:space="preserve"> May 2028</w:t>
            </w:r>
          </w:p>
        </w:tc>
      </w:tr>
      <w:tr w:rsidR="00E15FB4" w:rsidRPr="00DF77C7" w14:paraId="0FB80BBA" w14:textId="77777777" w:rsidTr="00043006">
        <w:tc>
          <w:tcPr>
            <w:tcW w:w="3969" w:type="dxa"/>
          </w:tcPr>
          <w:p w14:paraId="45729AD1" w14:textId="77777777" w:rsidR="00E15FB4" w:rsidRPr="00DF77C7" w:rsidRDefault="00E15FB4" w:rsidP="00E15FB4">
            <w:pPr>
              <w:pStyle w:val="Tabletext"/>
              <w:rPr>
                <w:lang w:val="en-GB"/>
              </w:rPr>
            </w:pPr>
            <w:r w:rsidRPr="00DF77C7">
              <w:rPr>
                <w:lang w:val="en-GB"/>
              </w:rPr>
              <w:t xml:space="preserve">Expiry date: </w:t>
            </w:r>
          </w:p>
        </w:tc>
        <w:tc>
          <w:tcPr>
            <w:tcW w:w="4536" w:type="dxa"/>
            <w:tcBorders>
              <w:top w:val="single" w:sz="4" w:space="0" w:color="auto"/>
              <w:left w:val="single" w:sz="4" w:space="0" w:color="auto"/>
              <w:bottom w:val="single" w:sz="4" w:space="0" w:color="auto"/>
              <w:right w:val="single" w:sz="4" w:space="0" w:color="auto"/>
            </w:tcBorders>
          </w:tcPr>
          <w:p w14:paraId="58AA136C" w14:textId="5AA1341F" w:rsidR="00E15FB4" w:rsidRPr="00DF77C7" w:rsidRDefault="00430DF5" w:rsidP="00E15FB4">
            <w:pPr>
              <w:pStyle w:val="Tabletext"/>
              <w:rPr>
                <w:lang w:val="en-GB"/>
              </w:rPr>
            </w:pPr>
            <w:r>
              <w:t>30</w:t>
            </w:r>
            <w:r w:rsidRPr="00430DF5">
              <w:rPr>
                <w:vertAlign w:val="superscript"/>
              </w:rPr>
              <w:t>th</w:t>
            </w:r>
            <w:r>
              <w:t xml:space="preserve"> November 2028</w:t>
            </w:r>
          </w:p>
        </w:tc>
      </w:tr>
    </w:tbl>
    <w:p w14:paraId="22A68ADB" w14:textId="77777777" w:rsidR="00050C45" w:rsidRPr="00DF77C7" w:rsidRDefault="00050C45" w:rsidP="00F57606">
      <w:pPr>
        <w:pStyle w:val="Tabletext"/>
      </w:pPr>
    </w:p>
    <w:p w14:paraId="474EDE61" w14:textId="12422E7D" w:rsidR="00764857" w:rsidRPr="00230BDB" w:rsidRDefault="00764857" w:rsidP="00764857">
      <w:pPr>
        <w:pStyle w:val="PGDNormal"/>
      </w:pPr>
      <w:r w:rsidRPr="00230BDB">
        <w:t xml:space="preserve">This PGD template has been peer reviewed by the Short Life Working Group </w:t>
      </w:r>
      <w:r w:rsidR="008D54E8">
        <w:rPr>
          <w:rFonts w:cs="Arial"/>
        </w:rPr>
        <w:t>convened for management of scabies</w:t>
      </w:r>
      <w:r w:rsidR="008D54E8" w:rsidRPr="00230BDB">
        <w:rPr>
          <w:rFonts w:cs="Arial"/>
        </w:rPr>
        <w:t xml:space="preserve"> in accordance with the</w:t>
      </w:r>
      <w:r w:rsidR="008D54E8">
        <w:rPr>
          <w:rFonts w:cs="Arial"/>
        </w:rPr>
        <w:t xml:space="preserve"> Sexual Health SLWG</w:t>
      </w:r>
      <w:r w:rsidR="008D54E8" w:rsidRPr="00230BDB">
        <w:rPr>
          <w:rFonts w:cs="Arial"/>
        </w:rPr>
        <w:t xml:space="preserve"> </w:t>
      </w:r>
      <w:r w:rsidRPr="00230BDB">
        <w:t xml:space="preserve">Terms of Reference. It has been approved by the British Association for Sexual Health and HIV (BASHH) in </w:t>
      </w:r>
      <w:r w:rsidR="00430DF5">
        <w:t>November 2025</w:t>
      </w:r>
      <w:r>
        <w:t>.</w:t>
      </w:r>
    </w:p>
    <w:p w14:paraId="58CD625E" w14:textId="4681443F" w:rsidR="00050C45" w:rsidRPr="00F6120B" w:rsidRDefault="00050C45" w:rsidP="00AD67D4">
      <w:pPr>
        <w:pStyle w:val="PGDNormal"/>
        <w:rPr>
          <w:rStyle w:val="Hyperlink"/>
        </w:rPr>
      </w:pPr>
      <w:r w:rsidRPr="00DF77C7">
        <w:rPr>
          <w:lang w:val="en-GB"/>
        </w:rPr>
        <w:t xml:space="preserve">Note the working group and approving organisation(s) agreement to the content only applies to the national template and does not extend to any local adaptations made to any of the content which are solely the responsibility of the organisation authorising the PGD. The most up to date version of the template is available </w:t>
      </w:r>
      <w:r w:rsidR="006829D5" w:rsidRPr="00DF77C7">
        <w:rPr>
          <w:lang w:val="en-GB"/>
        </w:rPr>
        <w:t xml:space="preserve">from the </w:t>
      </w:r>
      <w:hyperlink r:id="rId12" w:history="1">
        <w:r w:rsidR="006829D5" w:rsidRPr="00F6120B">
          <w:rPr>
            <w:rStyle w:val="Hyperlink"/>
          </w:rPr>
          <w:t>SPS national PGD template webpage</w:t>
        </w:r>
      </w:hyperlink>
      <w:r w:rsidR="006829D5" w:rsidRPr="00F6120B">
        <w:rPr>
          <w:rStyle w:val="Hyperlink"/>
        </w:rPr>
        <w:t>.</w:t>
      </w:r>
    </w:p>
    <w:p w14:paraId="6EA0E318" w14:textId="77777777" w:rsidR="00050C45" w:rsidRPr="00DF77C7" w:rsidRDefault="00050C45" w:rsidP="00F57606">
      <w:pPr>
        <w:pStyle w:val="Tabletext"/>
      </w:pPr>
      <w:r w:rsidRPr="00DF77C7">
        <w:rPr>
          <w:rStyle w:val="PGDNormalBold"/>
        </w:rPr>
        <w:t>This section MUST REMAIN when a PGD is adopted by an organisation.</w:t>
      </w:r>
      <w:r w:rsidRPr="00DF77C7">
        <w:t xml:space="preserve"> </w:t>
      </w:r>
    </w:p>
    <w:p w14:paraId="0AB2A287" w14:textId="77777777" w:rsidR="008762B8" w:rsidRPr="00D05A10" w:rsidRDefault="008762B8" w:rsidP="002416AD">
      <w:pPr>
        <w:pStyle w:val="Tabletext"/>
        <w:rPr>
          <w:rStyle w:val="TableHeaderColumn"/>
        </w:rPr>
      </w:pPr>
    </w:p>
    <w:tbl>
      <w:tblPr>
        <w:tblpPr w:leftFromText="180" w:rightFromText="180" w:vertAnchor="text" w:horzAnchor="margin" w:tblpY="2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PGD development group members"/>
        <w:tblDescription w:val="Table listing the members of the development group.  It includes columns for the names of the members and their positions. "/>
      </w:tblPr>
      <w:tblGrid>
        <w:gridCol w:w="2297"/>
        <w:gridCol w:w="6912"/>
      </w:tblGrid>
      <w:tr w:rsidR="005E6963" w:rsidRPr="00D05A10" w14:paraId="0CD61D6C" w14:textId="77777777" w:rsidTr="314DF381">
        <w:trPr>
          <w:trHeight w:val="565"/>
          <w:tblHeader/>
        </w:trPr>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32670F" w14:textId="77777777" w:rsidR="005E6963" w:rsidRPr="00D05A10" w:rsidRDefault="005E6963" w:rsidP="008D54E8">
            <w:pPr>
              <w:pStyle w:val="Tabletext"/>
              <w:rPr>
                <w:rStyle w:val="TableHeaderColumn"/>
                <w:sz w:val="22"/>
                <w:szCs w:val="22"/>
              </w:rPr>
            </w:pPr>
            <w:r w:rsidRPr="00D05A10">
              <w:rPr>
                <w:rStyle w:val="TableHeaderColumn"/>
                <w:sz w:val="22"/>
                <w:szCs w:val="22"/>
              </w:rPr>
              <w:t>Name or Role</w:t>
            </w:r>
          </w:p>
        </w:tc>
        <w:tc>
          <w:tcPr>
            <w:tcW w:w="6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A85561" w14:textId="77777777" w:rsidR="005E6963" w:rsidRPr="00D05A10" w:rsidRDefault="005E6963" w:rsidP="008D54E8">
            <w:pPr>
              <w:pStyle w:val="Tabletext"/>
              <w:rPr>
                <w:rStyle w:val="TableHeaderColumn"/>
                <w:sz w:val="22"/>
                <w:szCs w:val="22"/>
              </w:rPr>
            </w:pPr>
            <w:r w:rsidRPr="00D05A10">
              <w:rPr>
                <w:rStyle w:val="TableHeaderColumn"/>
                <w:sz w:val="22"/>
                <w:szCs w:val="22"/>
              </w:rPr>
              <w:t>Position</w:t>
            </w:r>
          </w:p>
        </w:tc>
      </w:tr>
      <w:tr w:rsidR="00430DF5" w:rsidRPr="00D05A10" w14:paraId="6D7832C8" w14:textId="77777777" w:rsidTr="314DF381">
        <w:trPr>
          <w:trHeight w:val="544"/>
        </w:trPr>
        <w:tc>
          <w:tcPr>
            <w:tcW w:w="2297" w:type="dxa"/>
            <w:vAlign w:val="center"/>
          </w:tcPr>
          <w:p w14:paraId="0D33821E" w14:textId="6580C229" w:rsidR="00430DF5" w:rsidRPr="00D05A10" w:rsidRDefault="00430DF5" w:rsidP="008D54E8">
            <w:pPr>
              <w:pStyle w:val="Tabletext"/>
              <w:rPr>
                <w:rFonts w:eastAsia="Calibri"/>
              </w:rPr>
            </w:pPr>
            <w:r w:rsidRPr="00D05A10">
              <w:rPr>
                <w:rFonts w:eastAsia="Calibri"/>
              </w:rPr>
              <w:t>Alison Grant</w:t>
            </w:r>
          </w:p>
        </w:tc>
        <w:tc>
          <w:tcPr>
            <w:tcW w:w="6912" w:type="dxa"/>
            <w:vAlign w:val="center"/>
          </w:tcPr>
          <w:p w14:paraId="0C137020" w14:textId="0E36E57D" w:rsidR="00430DF5" w:rsidRPr="00D05A10" w:rsidRDefault="008D54E8" w:rsidP="008D54E8">
            <w:pPr>
              <w:pStyle w:val="Tabletext"/>
              <w:rPr>
                <w:rFonts w:eastAsia="Calibri"/>
              </w:rPr>
            </w:pPr>
            <w:r>
              <w:rPr>
                <w:rFonts w:eastAsia="Calibri"/>
              </w:rPr>
              <w:t>Consultant</w:t>
            </w:r>
            <w:r w:rsidR="00430DF5" w:rsidRPr="00D05A10">
              <w:rPr>
                <w:rFonts w:eastAsia="Calibri"/>
              </w:rPr>
              <w:t xml:space="preserve"> Pharmacist: HIV, Sexual and Reproductive Health</w:t>
            </w:r>
          </w:p>
        </w:tc>
      </w:tr>
      <w:tr w:rsidR="00430DF5" w:rsidRPr="00D05A10" w14:paraId="15A217EB" w14:textId="77777777" w:rsidTr="314DF381">
        <w:trPr>
          <w:trHeight w:val="396"/>
        </w:trPr>
        <w:tc>
          <w:tcPr>
            <w:tcW w:w="2297" w:type="dxa"/>
            <w:vAlign w:val="center"/>
          </w:tcPr>
          <w:p w14:paraId="543479AC" w14:textId="47093CF0" w:rsidR="00430DF5" w:rsidRPr="00D05A10" w:rsidRDefault="00430DF5" w:rsidP="008D54E8">
            <w:pPr>
              <w:pStyle w:val="Tabletext"/>
              <w:rPr>
                <w:rFonts w:eastAsia="Calibri"/>
              </w:rPr>
            </w:pPr>
            <w:r w:rsidRPr="00D05A10">
              <w:rPr>
                <w:rFonts w:eastAsia="Calibri"/>
              </w:rPr>
              <w:t>Alison Crompton</w:t>
            </w:r>
          </w:p>
        </w:tc>
        <w:tc>
          <w:tcPr>
            <w:tcW w:w="6912" w:type="dxa"/>
            <w:vAlign w:val="center"/>
          </w:tcPr>
          <w:p w14:paraId="7C2C9AF1" w14:textId="48738E44" w:rsidR="00430DF5" w:rsidRPr="00D05A10" w:rsidRDefault="00430DF5" w:rsidP="008D54E8">
            <w:pPr>
              <w:pStyle w:val="Tabletext"/>
              <w:rPr>
                <w:rFonts w:eastAsia="Calibri"/>
              </w:rPr>
            </w:pPr>
            <w:r w:rsidRPr="00D05A10">
              <w:rPr>
                <w:rFonts w:eastAsia="Calibri"/>
              </w:rPr>
              <w:t>Community pharmacy</w:t>
            </w:r>
          </w:p>
        </w:tc>
      </w:tr>
      <w:tr w:rsidR="00430DF5" w:rsidRPr="00D05A10" w14:paraId="02D27A9A" w14:textId="77777777" w:rsidTr="314DF381">
        <w:trPr>
          <w:trHeight w:val="411"/>
        </w:trPr>
        <w:tc>
          <w:tcPr>
            <w:tcW w:w="2297" w:type="dxa"/>
            <w:vAlign w:val="center"/>
          </w:tcPr>
          <w:p w14:paraId="4F4B1DD7" w14:textId="1425A0B2" w:rsidR="00430DF5" w:rsidRPr="00D05A10" w:rsidRDefault="00430DF5" w:rsidP="008D54E8">
            <w:pPr>
              <w:pStyle w:val="Tabletext"/>
              <w:rPr>
                <w:rFonts w:eastAsia="Calibri"/>
              </w:rPr>
            </w:pPr>
            <w:r w:rsidRPr="00D05A10">
              <w:rPr>
                <w:rFonts w:eastAsia="Calibri"/>
              </w:rPr>
              <w:t>Clare Mills</w:t>
            </w:r>
          </w:p>
        </w:tc>
        <w:tc>
          <w:tcPr>
            <w:tcW w:w="6912" w:type="dxa"/>
            <w:vAlign w:val="center"/>
          </w:tcPr>
          <w:p w14:paraId="0FC48FEF" w14:textId="029285EA" w:rsidR="00430DF5" w:rsidRPr="00D05A10" w:rsidRDefault="00430DF5" w:rsidP="008D54E8">
            <w:pPr>
              <w:pStyle w:val="Tabletext"/>
              <w:rPr>
                <w:rFonts w:eastAsia="Calibri"/>
              </w:rPr>
            </w:pPr>
            <w:r w:rsidRPr="00D05A10">
              <w:rPr>
                <w:rFonts w:eastAsia="Calibri"/>
              </w:rPr>
              <w:t>English HIV and Sexual Health Commissioners Group (EHSHCG)</w:t>
            </w:r>
          </w:p>
        </w:tc>
      </w:tr>
      <w:tr w:rsidR="00430DF5" w:rsidRPr="00D05A10" w14:paraId="0F383BA1" w14:textId="77777777" w:rsidTr="314DF381">
        <w:trPr>
          <w:trHeight w:val="411"/>
        </w:trPr>
        <w:tc>
          <w:tcPr>
            <w:tcW w:w="2297" w:type="dxa"/>
            <w:vAlign w:val="center"/>
          </w:tcPr>
          <w:p w14:paraId="7EEF9690" w14:textId="4A280CCB" w:rsidR="00430DF5" w:rsidRPr="00D05A10" w:rsidRDefault="00430DF5" w:rsidP="008D54E8">
            <w:pPr>
              <w:pStyle w:val="Tabletext"/>
            </w:pPr>
            <w:r w:rsidRPr="00D05A10">
              <w:rPr>
                <w:rFonts w:eastAsia="Calibri"/>
              </w:rPr>
              <w:t>Deborah Shaw</w:t>
            </w:r>
          </w:p>
        </w:tc>
        <w:tc>
          <w:tcPr>
            <w:tcW w:w="6912" w:type="dxa"/>
            <w:vAlign w:val="center"/>
          </w:tcPr>
          <w:p w14:paraId="4870173C" w14:textId="6E9F4A79" w:rsidR="00430DF5" w:rsidRPr="00D05A10" w:rsidRDefault="00430DF5" w:rsidP="008D54E8">
            <w:pPr>
              <w:pStyle w:val="Tabletext"/>
            </w:pPr>
            <w:r w:rsidRPr="00D05A10">
              <w:t>National Programme Manager</w:t>
            </w:r>
            <w:r w:rsidR="008D54E8">
              <w:t xml:space="preserve">, </w:t>
            </w:r>
            <w:r w:rsidRPr="00D05A10">
              <w:rPr>
                <w:rFonts w:eastAsia="Calibri"/>
              </w:rPr>
              <w:t>UKHSA</w:t>
            </w:r>
          </w:p>
        </w:tc>
      </w:tr>
      <w:tr w:rsidR="00430DF5" w:rsidRPr="00D05A10" w14:paraId="2441A89E" w14:textId="77777777" w:rsidTr="314DF381">
        <w:trPr>
          <w:trHeight w:val="411"/>
        </w:trPr>
        <w:tc>
          <w:tcPr>
            <w:tcW w:w="2297" w:type="dxa"/>
            <w:vAlign w:val="center"/>
          </w:tcPr>
          <w:p w14:paraId="7F6ABB2F" w14:textId="23D0A7CD" w:rsidR="00430DF5" w:rsidRPr="00D05A10" w:rsidRDefault="00430DF5" w:rsidP="008D54E8">
            <w:pPr>
              <w:pStyle w:val="Tabletext"/>
            </w:pPr>
            <w:r w:rsidRPr="00D05A10">
              <w:t>Denise Farmer</w:t>
            </w:r>
          </w:p>
        </w:tc>
        <w:tc>
          <w:tcPr>
            <w:tcW w:w="6912" w:type="dxa"/>
            <w:vAlign w:val="center"/>
          </w:tcPr>
          <w:p w14:paraId="3C9BFAE0" w14:textId="16C22291" w:rsidR="00430DF5" w:rsidRPr="00D05A10" w:rsidRDefault="00430DF5" w:rsidP="008D54E8">
            <w:pPr>
              <w:pStyle w:val="Tabletext"/>
            </w:pPr>
            <w:r w:rsidRPr="00D05A10">
              <w:t xml:space="preserve">National Pharmaceutical Adviser Health and Justice, Specialised Commissioning, NHS England </w:t>
            </w:r>
          </w:p>
        </w:tc>
      </w:tr>
      <w:tr w:rsidR="00430DF5" w:rsidRPr="00D05A10" w14:paraId="0E576D53" w14:textId="77777777" w:rsidTr="314DF381">
        <w:trPr>
          <w:trHeight w:val="382"/>
        </w:trPr>
        <w:tc>
          <w:tcPr>
            <w:tcW w:w="2297" w:type="dxa"/>
            <w:vAlign w:val="center"/>
          </w:tcPr>
          <w:p w14:paraId="05EE8281" w14:textId="30B4C5E8" w:rsidR="00430DF5" w:rsidRPr="00D05A10" w:rsidRDefault="00430DF5" w:rsidP="008D54E8">
            <w:pPr>
              <w:pStyle w:val="Tabletext"/>
            </w:pPr>
            <w:r w:rsidRPr="00D05A10">
              <w:rPr>
                <w:rFonts w:eastAsia="Calibri"/>
              </w:rPr>
              <w:t>Dipti Patel</w:t>
            </w:r>
          </w:p>
        </w:tc>
        <w:tc>
          <w:tcPr>
            <w:tcW w:w="6912" w:type="dxa"/>
            <w:vAlign w:val="center"/>
          </w:tcPr>
          <w:p w14:paraId="2A113ED2" w14:textId="221915B9" w:rsidR="00430DF5" w:rsidRPr="00D05A10" w:rsidRDefault="00430DF5" w:rsidP="008D54E8">
            <w:pPr>
              <w:pStyle w:val="Tabletext"/>
            </w:pPr>
            <w:r w:rsidRPr="00D05A10">
              <w:rPr>
                <w:rFonts w:eastAsia="Calibri"/>
              </w:rPr>
              <w:t xml:space="preserve">Local authority pharmacist </w:t>
            </w:r>
          </w:p>
        </w:tc>
      </w:tr>
      <w:tr w:rsidR="00430DF5" w:rsidRPr="00D05A10" w14:paraId="06658BE4" w14:textId="77777777" w:rsidTr="314DF381">
        <w:trPr>
          <w:trHeight w:val="451"/>
        </w:trPr>
        <w:tc>
          <w:tcPr>
            <w:tcW w:w="2297" w:type="dxa"/>
            <w:vAlign w:val="center"/>
          </w:tcPr>
          <w:p w14:paraId="4B09C5EB" w14:textId="376315C7" w:rsidR="00430DF5" w:rsidRPr="00D05A10" w:rsidRDefault="00430DF5" w:rsidP="008D54E8">
            <w:pPr>
              <w:pStyle w:val="Tabletext"/>
            </w:pPr>
            <w:r w:rsidRPr="00D05A10">
              <w:rPr>
                <w:rFonts w:eastAsia="Calibri"/>
              </w:rPr>
              <w:t>Dr Cindy Farmer</w:t>
            </w:r>
          </w:p>
        </w:tc>
        <w:tc>
          <w:tcPr>
            <w:tcW w:w="6912" w:type="dxa"/>
            <w:vAlign w:val="center"/>
          </w:tcPr>
          <w:p w14:paraId="6F473647" w14:textId="77777777" w:rsidR="00430DF5" w:rsidRPr="00D05A10" w:rsidRDefault="00430DF5" w:rsidP="008D54E8">
            <w:pPr>
              <w:pStyle w:val="Tabletext"/>
              <w:rPr>
                <w:rFonts w:eastAsia="Calibri"/>
              </w:rPr>
            </w:pPr>
            <w:r w:rsidRPr="00D05A10">
              <w:rPr>
                <w:rFonts w:eastAsia="Calibri"/>
              </w:rPr>
              <w:t>Senior Vice President, Professional Learning and Development</w:t>
            </w:r>
          </w:p>
          <w:p w14:paraId="50FAAE1F" w14:textId="19FA2A78" w:rsidR="00430DF5" w:rsidRPr="00D05A10" w:rsidRDefault="00430DF5" w:rsidP="008D54E8">
            <w:pPr>
              <w:pStyle w:val="Tabletext"/>
            </w:pPr>
            <w:r w:rsidRPr="00D05A10">
              <w:rPr>
                <w:rFonts w:eastAsia="Calibri"/>
              </w:rPr>
              <w:t>College of Sexual and Reproductive Healthcare (CoSRH)</w:t>
            </w:r>
          </w:p>
        </w:tc>
      </w:tr>
      <w:tr w:rsidR="00430DF5" w:rsidRPr="00D05A10" w14:paraId="3803C8B9" w14:textId="77777777" w:rsidTr="314DF381">
        <w:trPr>
          <w:trHeight w:val="415"/>
        </w:trPr>
        <w:tc>
          <w:tcPr>
            <w:tcW w:w="2297" w:type="dxa"/>
            <w:vAlign w:val="center"/>
          </w:tcPr>
          <w:p w14:paraId="00B466E6" w14:textId="2D3C0DFE" w:rsidR="00430DF5" w:rsidRPr="00D05A10" w:rsidRDefault="00430DF5" w:rsidP="008D54E8">
            <w:pPr>
              <w:pStyle w:val="Tabletext"/>
            </w:pPr>
            <w:r w:rsidRPr="00D05A10">
              <w:rPr>
                <w:rFonts w:eastAsia="Calibri"/>
              </w:rPr>
              <w:t>Dr Margaret Kingston</w:t>
            </w:r>
          </w:p>
        </w:tc>
        <w:tc>
          <w:tcPr>
            <w:tcW w:w="6912" w:type="dxa"/>
            <w:vAlign w:val="center"/>
          </w:tcPr>
          <w:p w14:paraId="52BB571F" w14:textId="73F19F4A" w:rsidR="00430DF5" w:rsidRPr="00D05A10" w:rsidRDefault="00430DF5" w:rsidP="008D54E8">
            <w:pPr>
              <w:pStyle w:val="Tabletext"/>
            </w:pPr>
            <w:r w:rsidRPr="00D05A10">
              <w:t>Consultant Physician Genitourinary Medicine, Associate Medical Director, Manchester University NHS Foundation Trust and BASHH representative</w:t>
            </w:r>
          </w:p>
        </w:tc>
      </w:tr>
      <w:tr w:rsidR="00430DF5" w:rsidRPr="00D05A10" w14:paraId="2099D9F1" w14:textId="77777777" w:rsidTr="314DF381">
        <w:trPr>
          <w:trHeight w:val="265"/>
        </w:trPr>
        <w:tc>
          <w:tcPr>
            <w:tcW w:w="2297" w:type="dxa"/>
            <w:vAlign w:val="center"/>
          </w:tcPr>
          <w:p w14:paraId="784A3A8D" w14:textId="1778C7CE" w:rsidR="00430DF5" w:rsidRPr="00D05A10" w:rsidRDefault="00430DF5" w:rsidP="008D54E8">
            <w:pPr>
              <w:pStyle w:val="Tabletext"/>
            </w:pPr>
            <w:r w:rsidRPr="00D05A10">
              <w:rPr>
                <w:rFonts w:eastAsia="Calibri"/>
              </w:rPr>
              <w:t>Dr Rachael Jones</w:t>
            </w:r>
          </w:p>
        </w:tc>
        <w:tc>
          <w:tcPr>
            <w:tcW w:w="6912" w:type="dxa"/>
            <w:vAlign w:val="center"/>
          </w:tcPr>
          <w:p w14:paraId="0B5D7B8A" w14:textId="0F95EF4C" w:rsidR="00430DF5" w:rsidRPr="00D05A10" w:rsidRDefault="00430DF5" w:rsidP="008D54E8">
            <w:pPr>
              <w:pStyle w:val="Tabletext"/>
            </w:pPr>
            <w:r w:rsidRPr="00D05A10">
              <w:rPr>
                <w:rFonts w:eastAsia="Calibri"/>
              </w:rPr>
              <w:t>Consultant in HIV and Sexual Health, Chelsea and Westminster NHS Foundation Trust</w:t>
            </w:r>
          </w:p>
        </w:tc>
      </w:tr>
      <w:tr w:rsidR="00430DF5" w:rsidRPr="00D05A10" w14:paraId="4C01E258" w14:textId="77777777" w:rsidTr="314DF381">
        <w:trPr>
          <w:trHeight w:val="396"/>
        </w:trPr>
        <w:tc>
          <w:tcPr>
            <w:tcW w:w="2297" w:type="dxa"/>
            <w:vAlign w:val="center"/>
          </w:tcPr>
          <w:p w14:paraId="494AA640" w14:textId="0609F8B3" w:rsidR="00430DF5" w:rsidRPr="00D05A10" w:rsidRDefault="00430DF5" w:rsidP="008D54E8">
            <w:pPr>
              <w:pStyle w:val="Tabletext"/>
              <w:rPr>
                <w:rFonts w:eastAsia="Calibri"/>
              </w:rPr>
            </w:pPr>
            <w:r w:rsidRPr="00D05A10">
              <w:rPr>
                <w:rFonts w:eastAsia="Calibri"/>
              </w:rPr>
              <w:t>Dr Rita Browne</w:t>
            </w:r>
          </w:p>
        </w:tc>
        <w:tc>
          <w:tcPr>
            <w:tcW w:w="6912" w:type="dxa"/>
            <w:vAlign w:val="center"/>
          </w:tcPr>
          <w:p w14:paraId="4FD8CBD4" w14:textId="4796A672" w:rsidR="00430DF5" w:rsidRPr="00D05A10" w:rsidRDefault="00430DF5" w:rsidP="008D54E8">
            <w:pPr>
              <w:pStyle w:val="Tabletext"/>
              <w:rPr>
                <w:rFonts w:eastAsia="Calibri"/>
              </w:rPr>
            </w:pPr>
            <w:r w:rsidRPr="00D05A10">
              <w:rPr>
                <w:rFonts w:eastAsia="Calibri"/>
              </w:rPr>
              <w:t>Consultant in Sexual Health and HIV</w:t>
            </w:r>
          </w:p>
        </w:tc>
      </w:tr>
      <w:tr w:rsidR="00430DF5" w:rsidRPr="00D05A10" w14:paraId="69FDDB9F" w14:textId="77777777" w:rsidTr="314DF381">
        <w:trPr>
          <w:trHeight w:val="338"/>
        </w:trPr>
        <w:tc>
          <w:tcPr>
            <w:tcW w:w="2297" w:type="dxa"/>
            <w:vAlign w:val="center"/>
          </w:tcPr>
          <w:p w14:paraId="7F553184" w14:textId="797C3ED3" w:rsidR="00430DF5" w:rsidRPr="00D05A10" w:rsidRDefault="00430DF5" w:rsidP="008D54E8">
            <w:pPr>
              <w:pStyle w:val="Tabletext"/>
              <w:rPr>
                <w:rFonts w:eastAsia="Calibri"/>
              </w:rPr>
            </w:pPr>
            <w:r w:rsidRPr="00D05A10">
              <w:rPr>
                <w:rFonts w:eastAsia="Calibri"/>
              </w:rPr>
              <w:t>Emma Anderson</w:t>
            </w:r>
          </w:p>
        </w:tc>
        <w:tc>
          <w:tcPr>
            <w:tcW w:w="6912" w:type="dxa"/>
            <w:vAlign w:val="center"/>
          </w:tcPr>
          <w:p w14:paraId="02599635" w14:textId="2E831592" w:rsidR="00430DF5" w:rsidRPr="00D05A10" w:rsidRDefault="00430DF5" w:rsidP="008D54E8">
            <w:pPr>
              <w:pStyle w:val="Tabletext"/>
              <w:rPr>
                <w:rFonts w:eastAsia="Calibri"/>
              </w:rPr>
            </w:pPr>
            <w:r w:rsidRPr="00D05A10">
              <w:rPr>
                <w:rFonts w:eastAsia="Calibri"/>
              </w:rPr>
              <w:t>Centre for Pharmacy Postgraduate Education (CPPE)</w:t>
            </w:r>
          </w:p>
        </w:tc>
      </w:tr>
      <w:tr w:rsidR="00430DF5" w:rsidRPr="00D05A10" w14:paraId="34B78991" w14:textId="77777777" w:rsidTr="314DF381">
        <w:trPr>
          <w:trHeight w:val="411"/>
        </w:trPr>
        <w:tc>
          <w:tcPr>
            <w:tcW w:w="2297" w:type="dxa"/>
            <w:vAlign w:val="center"/>
          </w:tcPr>
          <w:p w14:paraId="7A3F63BB" w14:textId="75DF51AF" w:rsidR="00430DF5" w:rsidRPr="00D05A10" w:rsidRDefault="00430DF5" w:rsidP="008D54E8">
            <w:pPr>
              <w:pStyle w:val="Tabletext"/>
            </w:pPr>
            <w:r w:rsidRPr="00D05A10">
              <w:rPr>
                <w:rFonts w:eastAsia="Calibri"/>
              </w:rPr>
              <w:t>Heather Randle</w:t>
            </w:r>
          </w:p>
        </w:tc>
        <w:tc>
          <w:tcPr>
            <w:tcW w:w="6912" w:type="dxa"/>
            <w:vAlign w:val="center"/>
          </w:tcPr>
          <w:p w14:paraId="6CE1FD19" w14:textId="134DAA00" w:rsidR="00430DF5" w:rsidRPr="00D05A10" w:rsidRDefault="00430DF5" w:rsidP="008D54E8">
            <w:pPr>
              <w:pStyle w:val="Tabletext"/>
            </w:pPr>
            <w:r w:rsidRPr="00D05A10">
              <w:rPr>
                <w:rFonts w:eastAsia="Calibri"/>
              </w:rPr>
              <w:t xml:space="preserve">Royal College of Nursing </w:t>
            </w:r>
          </w:p>
        </w:tc>
      </w:tr>
      <w:tr w:rsidR="00430DF5" w:rsidRPr="00D05A10" w14:paraId="451E31FE" w14:textId="77777777" w:rsidTr="314DF381">
        <w:trPr>
          <w:trHeight w:val="411"/>
        </w:trPr>
        <w:tc>
          <w:tcPr>
            <w:tcW w:w="2297" w:type="dxa"/>
            <w:vAlign w:val="center"/>
          </w:tcPr>
          <w:p w14:paraId="33AF1808" w14:textId="257F8C8E" w:rsidR="00430DF5" w:rsidRPr="00D05A10" w:rsidRDefault="00430DF5" w:rsidP="008D54E8">
            <w:pPr>
              <w:pStyle w:val="Tabletext"/>
            </w:pPr>
            <w:r w:rsidRPr="00D05A10">
              <w:rPr>
                <w:rFonts w:eastAsia="Calibri"/>
              </w:rPr>
              <w:t>Jodie Crossman</w:t>
            </w:r>
          </w:p>
        </w:tc>
        <w:tc>
          <w:tcPr>
            <w:tcW w:w="6912" w:type="dxa"/>
            <w:vAlign w:val="center"/>
          </w:tcPr>
          <w:p w14:paraId="5F39BD40" w14:textId="293FF329" w:rsidR="00430DF5" w:rsidRPr="00D05A10" w:rsidRDefault="00430DF5" w:rsidP="008D54E8">
            <w:pPr>
              <w:pStyle w:val="Tabletext"/>
            </w:pPr>
            <w:r w:rsidRPr="00D05A10">
              <w:t>Specialist Nurse.  BASHH SHAN SIG Chair</w:t>
            </w:r>
          </w:p>
        </w:tc>
      </w:tr>
      <w:tr w:rsidR="00430DF5" w:rsidRPr="00D05A10" w14:paraId="3652FCC6" w14:textId="77777777" w:rsidTr="314DF381">
        <w:trPr>
          <w:trHeight w:val="416"/>
        </w:trPr>
        <w:tc>
          <w:tcPr>
            <w:tcW w:w="2297" w:type="dxa"/>
            <w:vAlign w:val="center"/>
          </w:tcPr>
          <w:p w14:paraId="1CA8641B" w14:textId="156041FD" w:rsidR="00430DF5" w:rsidRPr="00D05A10" w:rsidRDefault="00430DF5" w:rsidP="008D54E8">
            <w:pPr>
              <w:pStyle w:val="Tabletext"/>
              <w:rPr>
                <w:rFonts w:eastAsia="Calibri"/>
              </w:rPr>
            </w:pPr>
            <w:r w:rsidRPr="00D05A10">
              <w:rPr>
                <w:rFonts w:eastAsia="Calibri"/>
              </w:rPr>
              <w:t xml:space="preserve">Jo Jenkins </w:t>
            </w:r>
          </w:p>
        </w:tc>
        <w:tc>
          <w:tcPr>
            <w:tcW w:w="6912" w:type="dxa"/>
            <w:vAlign w:val="center"/>
          </w:tcPr>
          <w:p w14:paraId="290D7DC5" w14:textId="28D05570" w:rsidR="00430DF5" w:rsidRPr="00D05A10" w:rsidRDefault="00430DF5" w:rsidP="008D54E8">
            <w:pPr>
              <w:pStyle w:val="Tabletext"/>
              <w:rPr>
                <w:rFonts w:eastAsia="Calibri"/>
              </w:rPr>
            </w:pPr>
            <w:r w:rsidRPr="00D05A10">
              <w:t>Associate Director Medicines Governance, Medicines Use and Safety, Specialist Pharmacy Service</w:t>
            </w:r>
          </w:p>
        </w:tc>
      </w:tr>
      <w:tr w:rsidR="00430DF5" w:rsidRPr="00D05A10" w14:paraId="18358DD5" w14:textId="77777777" w:rsidTr="314DF381">
        <w:trPr>
          <w:trHeight w:val="416"/>
        </w:trPr>
        <w:tc>
          <w:tcPr>
            <w:tcW w:w="2297" w:type="dxa"/>
            <w:vAlign w:val="center"/>
          </w:tcPr>
          <w:p w14:paraId="3D3AE1C1" w14:textId="5B6A6AF3" w:rsidR="00430DF5" w:rsidRPr="00D05A10" w:rsidRDefault="00430DF5" w:rsidP="008D54E8">
            <w:pPr>
              <w:pStyle w:val="Tabletext"/>
            </w:pPr>
            <w:r w:rsidRPr="00D05A10">
              <w:rPr>
                <w:rFonts w:eastAsia="Calibri"/>
              </w:rPr>
              <w:t>Kieran Reynolds</w:t>
            </w:r>
          </w:p>
        </w:tc>
        <w:tc>
          <w:tcPr>
            <w:tcW w:w="6912" w:type="dxa"/>
            <w:vAlign w:val="center"/>
          </w:tcPr>
          <w:p w14:paraId="16F38B59" w14:textId="1C95CE23" w:rsidR="00430DF5" w:rsidRPr="00D05A10" w:rsidRDefault="00430DF5" w:rsidP="008D54E8">
            <w:pPr>
              <w:pStyle w:val="Tabletext"/>
            </w:pPr>
            <w:r w:rsidRPr="00D05A10">
              <w:t>Advanced Specialist Pharmacist – Medicines Governance, Medicines Use and Safety Division, Specialist Pharmacy Service</w:t>
            </w:r>
          </w:p>
        </w:tc>
      </w:tr>
      <w:tr w:rsidR="00430DF5" w:rsidRPr="00D05A10" w14:paraId="414A0873" w14:textId="77777777" w:rsidTr="314DF381">
        <w:trPr>
          <w:trHeight w:val="428"/>
        </w:trPr>
        <w:tc>
          <w:tcPr>
            <w:tcW w:w="2297" w:type="dxa"/>
            <w:vAlign w:val="center"/>
          </w:tcPr>
          <w:p w14:paraId="69B681AE" w14:textId="3A11D0BC" w:rsidR="00430DF5" w:rsidRPr="00D05A10" w:rsidRDefault="00430DF5" w:rsidP="008D54E8">
            <w:pPr>
              <w:pStyle w:val="Tabletext"/>
              <w:rPr>
                <w:rFonts w:eastAsia="Calibri"/>
              </w:rPr>
            </w:pPr>
            <w:r w:rsidRPr="00D05A10">
              <w:rPr>
                <w:rFonts w:eastAsia="Calibri"/>
              </w:rPr>
              <w:t>Michelle Jenkins</w:t>
            </w:r>
          </w:p>
        </w:tc>
        <w:tc>
          <w:tcPr>
            <w:tcW w:w="6912" w:type="dxa"/>
            <w:vAlign w:val="center"/>
          </w:tcPr>
          <w:p w14:paraId="1999EDF1" w14:textId="588182BA" w:rsidR="00430DF5" w:rsidRPr="00D05A10" w:rsidRDefault="00430DF5" w:rsidP="008D54E8">
            <w:pPr>
              <w:pStyle w:val="Tabletext"/>
              <w:rPr>
                <w:rFonts w:eastAsia="Calibri"/>
              </w:rPr>
            </w:pPr>
            <w:r w:rsidRPr="00D05A10">
              <w:t xml:space="preserve">Clinical Nurse Specialist Sexual Health Blackpool Teaching Hospitals, and member of </w:t>
            </w:r>
            <w:r w:rsidRPr="00D05A10">
              <w:br/>
            </w:r>
            <w:r w:rsidRPr="00D05A10">
              <w:lastRenderedPageBreak/>
              <w:t>Courses and CPD Committee, College of Sexual and Reproductive Healthcare (CoSRH)</w:t>
            </w:r>
          </w:p>
        </w:tc>
      </w:tr>
      <w:tr w:rsidR="00430DF5" w:rsidRPr="00D05A10" w14:paraId="5E900ADD" w14:textId="77777777" w:rsidTr="314DF381">
        <w:trPr>
          <w:trHeight w:val="665"/>
        </w:trPr>
        <w:tc>
          <w:tcPr>
            <w:tcW w:w="2297" w:type="dxa"/>
            <w:vAlign w:val="center"/>
          </w:tcPr>
          <w:p w14:paraId="59BBE64E" w14:textId="7B810FE1" w:rsidR="00430DF5" w:rsidRPr="00D05A10" w:rsidRDefault="00430DF5" w:rsidP="008D54E8">
            <w:pPr>
              <w:pStyle w:val="Tabletext"/>
            </w:pPr>
            <w:r w:rsidRPr="00D05A10">
              <w:rPr>
                <w:rFonts w:eastAsia="Calibri"/>
              </w:rPr>
              <w:lastRenderedPageBreak/>
              <w:t>Norah O’Brien</w:t>
            </w:r>
          </w:p>
        </w:tc>
        <w:tc>
          <w:tcPr>
            <w:tcW w:w="6912" w:type="dxa"/>
            <w:vAlign w:val="center"/>
          </w:tcPr>
          <w:p w14:paraId="187F1687" w14:textId="3740602D" w:rsidR="00430DF5" w:rsidRPr="00D05A10" w:rsidRDefault="00430DF5" w:rsidP="008D54E8">
            <w:pPr>
              <w:pStyle w:val="Tabletext"/>
            </w:pPr>
            <w:r w:rsidRPr="00D05A10">
              <w:t>National Programme Manager</w:t>
            </w:r>
            <w:r w:rsidR="008D54E8">
              <w:t xml:space="preserve">, </w:t>
            </w:r>
            <w:r w:rsidRPr="00D05A10">
              <w:rPr>
                <w:rFonts w:eastAsia="Calibri"/>
              </w:rPr>
              <w:t>UKHSA</w:t>
            </w:r>
          </w:p>
        </w:tc>
      </w:tr>
      <w:tr w:rsidR="00430DF5" w:rsidRPr="00D05A10" w14:paraId="7DB9F313" w14:textId="77777777" w:rsidTr="314DF381">
        <w:trPr>
          <w:trHeight w:val="502"/>
        </w:trPr>
        <w:tc>
          <w:tcPr>
            <w:tcW w:w="2297" w:type="dxa"/>
            <w:vAlign w:val="center"/>
          </w:tcPr>
          <w:p w14:paraId="49EC55E8" w14:textId="6EB3D171" w:rsidR="00430DF5" w:rsidRPr="00D05A10" w:rsidRDefault="00430DF5" w:rsidP="008D54E8">
            <w:pPr>
              <w:pStyle w:val="Tabletext"/>
            </w:pPr>
            <w:r w:rsidRPr="00D05A10">
              <w:rPr>
                <w:rFonts w:eastAsia="Calibri"/>
              </w:rPr>
              <w:t>Portia Jackson</w:t>
            </w:r>
          </w:p>
        </w:tc>
        <w:tc>
          <w:tcPr>
            <w:tcW w:w="6912" w:type="dxa"/>
            <w:vAlign w:val="center"/>
          </w:tcPr>
          <w:p w14:paraId="0AA88318" w14:textId="0376CA6D" w:rsidR="00430DF5" w:rsidRPr="00D05A10" w:rsidRDefault="00430DF5" w:rsidP="008D54E8">
            <w:pPr>
              <w:pStyle w:val="Tabletext"/>
            </w:pPr>
            <w:r w:rsidRPr="00D05A10">
              <w:rPr>
                <w:rFonts w:eastAsia="Calibri"/>
              </w:rPr>
              <w:t>Lead Pharmacist iCaSH, Cambridgeshire Community Services</w:t>
            </w:r>
          </w:p>
        </w:tc>
      </w:tr>
      <w:tr w:rsidR="00430DF5" w:rsidRPr="00D05A10" w14:paraId="73E48FE1" w14:textId="77777777" w:rsidTr="314DF381">
        <w:trPr>
          <w:trHeight w:val="665"/>
        </w:trPr>
        <w:tc>
          <w:tcPr>
            <w:tcW w:w="2297" w:type="dxa"/>
            <w:vAlign w:val="center"/>
          </w:tcPr>
          <w:p w14:paraId="486ECA90" w14:textId="7F405A23" w:rsidR="00430DF5" w:rsidRPr="00D05A10" w:rsidRDefault="00430DF5" w:rsidP="008D54E8">
            <w:pPr>
              <w:pStyle w:val="Tabletext"/>
            </w:pPr>
            <w:r w:rsidRPr="00D05A10">
              <w:rPr>
                <w:rFonts w:eastAsia="Calibri"/>
              </w:rPr>
              <w:t>Rachel Logan</w:t>
            </w:r>
          </w:p>
        </w:tc>
        <w:tc>
          <w:tcPr>
            <w:tcW w:w="6912" w:type="dxa"/>
            <w:vAlign w:val="center"/>
          </w:tcPr>
          <w:p w14:paraId="5D5DD5EB" w14:textId="2A9C8AE6" w:rsidR="00430DF5" w:rsidRPr="00D05A10" w:rsidRDefault="00430DF5" w:rsidP="008D54E8">
            <w:pPr>
              <w:pStyle w:val="Tabletext"/>
            </w:pPr>
            <w:r w:rsidRPr="00D05A10">
              <w:t>Senior Pharmacist</w:t>
            </w:r>
            <w:r w:rsidR="008D54E8">
              <w:t xml:space="preserve">, </w:t>
            </w:r>
            <w:r w:rsidRPr="00D05A10">
              <w:rPr>
                <w:rFonts w:eastAsia="Calibri"/>
              </w:rPr>
              <w:t>BPAS</w:t>
            </w:r>
          </w:p>
        </w:tc>
      </w:tr>
      <w:tr w:rsidR="00430DF5" w:rsidRPr="00D05A10" w14:paraId="1EF82674" w14:textId="77777777" w:rsidTr="314DF381">
        <w:trPr>
          <w:trHeight w:val="665"/>
        </w:trPr>
        <w:tc>
          <w:tcPr>
            <w:tcW w:w="2297" w:type="dxa"/>
            <w:vAlign w:val="center"/>
          </w:tcPr>
          <w:p w14:paraId="13E2158A" w14:textId="05E9B2EF" w:rsidR="00430DF5" w:rsidRPr="00D05A10" w:rsidRDefault="00430DF5" w:rsidP="008D54E8">
            <w:pPr>
              <w:pStyle w:val="Tabletext"/>
            </w:pPr>
            <w:r w:rsidRPr="314DF381">
              <w:rPr>
                <w:rFonts w:eastAsia="Calibri"/>
              </w:rPr>
              <w:t>Rob Hebd</w:t>
            </w:r>
            <w:r w:rsidR="5304A206" w:rsidRPr="314DF381">
              <w:rPr>
                <w:rFonts w:eastAsia="Calibri"/>
              </w:rPr>
              <w:t>o</w:t>
            </w:r>
            <w:r w:rsidRPr="314DF381">
              <w:rPr>
                <w:rFonts w:eastAsia="Calibri"/>
              </w:rPr>
              <w:t>n</w:t>
            </w:r>
          </w:p>
        </w:tc>
        <w:tc>
          <w:tcPr>
            <w:tcW w:w="6912" w:type="dxa"/>
            <w:vAlign w:val="center"/>
          </w:tcPr>
          <w:p w14:paraId="63611890" w14:textId="48E23CD1" w:rsidR="00430DF5" w:rsidRPr="00D05A10" w:rsidRDefault="00430DF5" w:rsidP="008D54E8">
            <w:pPr>
              <w:pStyle w:val="Tabletext"/>
            </w:pPr>
            <w:r w:rsidRPr="00D05A10">
              <w:t>Senior Policy Lead – Pharmacy Clinical Strategy, Primary Care, Community, Vaccinations &amp; Screening, NHS England</w:t>
            </w:r>
          </w:p>
        </w:tc>
      </w:tr>
      <w:tr w:rsidR="00430DF5" w:rsidRPr="00D05A10" w14:paraId="74AA5089" w14:textId="77777777" w:rsidTr="314DF381">
        <w:trPr>
          <w:trHeight w:val="665"/>
        </w:trPr>
        <w:tc>
          <w:tcPr>
            <w:tcW w:w="2297" w:type="dxa"/>
            <w:vAlign w:val="center"/>
          </w:tcPr>
          <w:p w14:paraId="4E2DDA63" w14:textId="2A43F8BE" w:rsidR="00430DF5" w:rsidRPr="00D05A10" w:rsidRDefault="00430DF5" w:rsidP="008D54E8">
            <w:pPr>
              <w:pStyle w:val="Tabletext"/>
            </w:pPr>
            <w:r w:rsidRPr="00D05A10">
              <w:rPr>
                <w:rFonts w:eastAsia="Calibri"/>
              </w:rPr>
              <w:t>Rosie Furner (Working Group Co-ordinator)</w:t>
            </w:r>
            <w:r w:rsidRPr="00D05A10">
              <w:rPr>
                <w:rFonts w:eastAsia="Calibri"/>
              </w:rPr>
              <w:tab/>
            </w:r>
          </w:p>
        </w:tc>
        <w:tc>
          <w:tcPr>
            <w:tcW w:w="6912" w:type="dxa"/>
            <w:vAlign w:val="center"/>
          </w:tcPr>
          <w:p w14:paraId="501FF296" w14:textId="0CAA4A32" w:rsidR="00430DF5" w:rsidRPr="00D05A10" w:rsidRDefault="00430DF5" w:rsidP="008D54E8">
            <w:pPr>
              <w:pStyle w:val="Tabletext"/>
            </w:pPr>
            <w:r w:rsidRPr="00D05A10">
              <w:t>Advanced Specialist Pharmacist – Medicines Governance, Medicines Use and Safety Division, Specialist Pharmacy Service</w:t>
            </w:r>
          </w:p>
        </w:tc>
      </w:tr>
      <w:tr w:rsidR="00430DF5" w:rsidRPr="00D05A10" w14:paraId="49BFEC95" w14:textId="77777777" w:rsidTr="314DF381">
        <w:trPr>
          <w:trHeight w:val="440"/>
        </w:trPr>
        <w:tc>
          <w:tcPr>
            <w:tcW w:w="2297" w:type="dxa"/>
            <w:vAlign w:val="center"/>
          </w:tcPr>
          <w:p w14:paraId="4BEAB101" w14:textId="7BED2A57" w:rsidR="00430DF5" w:rsidRPr="00D05A10" w:rsidRDefault="00430DF5" w:rsidP="008D54E8">
            <w:pPr>
              <w:pStyle w:val="Tabletext"/>
            </w:pPr>
            <w:r w:rsidRPr="00D05A10">
              <w:rPr>
                <w:rFonts w:eastAsia="Calibri"/>
              </w:rPr>
              <w:t>Sandra Wolper</w:t>
            </w:r>
          </w:p>
        </w:tc>
        <w:tc>
          <w:tcPr>
            <w:tcW w:w="6912" w:type="dxa"/>
            <w:vAlign w:val="center"/>
          </w:tcPr>
          <w:p w14:paraId="547E4510" w14:textId="77777777" w:rsidR="00430DF5" w:rsidRPr="00D05A10" w:rsidRDefault="00430DF5" w:rsidP="008D54E8">
            <w:pPr>
              <w:pStyle w:val="Tabletext"/>
              <w:rPr>
                <w:rFonts w:eastAsia="Calibri"/>
              </w:rPr>
            </w:pPr>
            <w:r w:rsidRPr="00D05A10">
              <w:rPr>
                <w:rFonts w:eastAsia="Calibri"/>
              </w:rPr>
              <w:t>Out of Hospital Care Lead, Medicines Use and Safety</w:t>
            </w:r>
          </w:p>
          <w:p w14:paraId="05953FDE" w14:textId="0B2C6197" w:rsidR="00430DF5" w:rsidRPr="00D05A10" w:rsidRDefault="00430DF5" w:rsidP="008D54E8">
            <w:pPr>
              <w:pStyle w:val="Tabletext"/>
            </w:pPr>
            <w:r w:rsidRPr="00D05A10">
              <w:rPr>
                <w:rFonts w:eastAsia="Calibri"/>
              </w:rPr>
              <w:t>Medicines Use and Safety, Specialist Pharmacy Service</w:t>
            </w:r>
          </w:p>
        </w:tc>
      </w:tr>
      <w:tr w:rsidR="00430DF5" w:rsidRPr="00D05A10" w14:paraId="4326BD98" w14:textId="77777777" w:rsidTr="314DF381">
        <w:trPr>
          <w:trHeight w:val="440"/>
        </w:trPr>
        <w:tc>
          <w:tcPr>
            <w:tcW w:w="2297" w:type="dxa"/>
            <w:vAlign w:val="center"/>
          </w:tcPr>
          <w:p w14:paraId="67B8E010" w14:textId="40A88B1D" w:rsidR="00430DF5" w:rsidRPr="00D05A10" w:rsidRDefault="00430DF5" w:rsidP="008D54E8">
            <w:pPr>
              <w:pStyle w:val="Tabletext"/>
            </w:pPr>
            <w:r w:rsidRPr="00D05A10">
              <w:rPr>
                <w:rFonts w:eastAsia="Calibri"/>
              </w:rPr>
              <w:t>William Price</w:t>
            </w:r>
          </w:p>
        </w:tc>
        <w:tc>
          <w:tcPr>
            <w:tcW w:w="6912" w:type="dxa"/>
            <w:vAlign w:val="center"/>
          </w:tcPr>
          <w:p w14:paraId="1CEDA64A" w14:textId="77777777" w:rsidR="00430DF5" w:rsidRPr="00D05A10" w:rsidRDefault="00430DF5" w:rsidP="008D54E8">
            <w:pPr>
              <w:pStyle w:val="Tabletext"/>
              <w:rPr>
                <w:rFonts w:eastAsia="Calibri"/>
              </w:rPr>
            </w:pPr>
            <w:r w:rsidRPr="00D05A10">
              <w:rPr>
                <w:rFonts w:eastAsia="Calibri"/>
              </w:rPr>
              <w:t>Clinical Pharmacist for Dermatology</w:t>
            </w:r>
          </w:p>
          <w:p w14:paraId="3A78B0E3" w14:textId="641114AF" w:rsidR="00430DF5" w:rsidRPr="00D05A10" w:rsidRDefault="00430DF5" w:rsidP="008D54E8">
            <w:pPr>
              <w:pStyle w:val="Tabletext"/>
            </w:pPr>
            <w:r w:rsidRPr="00D05A10">
              <w:rPr>
                <w:rFonts w:eastAsia="Calibri"/>
              </w:rPr>
              <w:t>East Lancashire Hospitals NHS Trust</w:t>
            </w:r>
          </w:p>
        </w:tc>
      </w:tr>
    </w:tbl>
    <w:p w14:paraId="5D513D47" w14:textId="77777777" w:rsidR="0059738E" w:rsidRPr="00ED232C" w:rsidRDefault="00FC4AA5" w:rsidP="00ED232C">
      <w:pPr>
        <w:pStyle w:val="PGDNormal"/>
        <w:rPr>
          <w:highlight w:val="yellow"/>
        </w:rPr>
      </w:pPr>
      <w:r w:rsidRPr="00ED232C">
        <w:rPr>
          <w:highlight w:val="yellow"/>
        </w:rPr>
        <w:br w:type="page"/>
      </w:r>
    </w:p>
    <w:p w14:paraId="10A8B552" w14:textId="08D1D5D2" w:rsidR="00813399" w:rsidRPr="00DF77C7" w:rsidRDefault="005E6491" w:rsidP="008762B8">
      <w:pPr>
        <w:pStyle w:val="PGDNormal"/>
        <w:rPr>
          <w:lang w:val="en-GB"/>
        </w:rPr>
      </w:pPr>
      <w:r>
        <w:rPr>
          <w:highlight w:val="yellow"/>
          <w:lang w:val="en-GB"/>
        </w:rPr>
        <w:lastRenderedPageBreak/>
        <w:t>[[</w:t>
      </w:r>
      <w:r w:rsidR="00813399" w:rsidRPr="00DF77C7">
        <w:rPr>
          <w:highlight w:val="yellow"/>
          <w:lang w:val="en-GB"/>
        </w:rPr>
        <w:t>The PGD template is not legally valid until it has had the relevant organisational approval.  See below.</w:t>
      </w:r>
      <w:r>
        <w:rPr>
          <w:lang w:val="en-GB"/>
        </w:rPr>
        <w:t>]]</w:t>
      </w:r>
    </w:p>
    <w:p w14:paraId="580C0EA3" w14:textId="18313674" w:rsidR="00813399" w:rsidRPr="00DF77C7" w:rsidRDefault="00B65003" w:rsidP="00B65003">
      <w:pPr>
        <w:pStyle w:val="Heading1"/>
        <w:rPr>
          <w:highlight w:val="yellow"/>
        </w:rPr>
      </w:pPr>
      <w:r w:rsidRPr="00DF77C7">
        <w:t xml:space="preserve">Organisational authorisations </w:t>
      </w:r>
      <w:r w:rsidR="005E6491">
        <w:t>[[</w:t>
      </w:r>
      <w:r w:rsidRPr="00DF77C7">
        <w:rPr>
          <w:highlight w:val="yellow"/>
        </w:rPr>
        <w:t>and other legal requirements</w:t>
      </w:r>
      <w:r w:rsidR="005E6491">
        <w:rPr>
          <w:highlight w:val="yellow"/>
        </w:rPr>
        <w:t>]]</w:t>
      </w:r>
    </w:p>
    <w:p w14:paraId="7D746B46" w14:textId="0C6EE685" w:rsidR="00813399" w:rsidRPr="00DF77C7" w:rsidRDefault="005E6491" w:rsidP="008762B8">
      <w:pPr>
        <w:pStyle w:val="PGDNormal"/>
        <w:rPr>
          <w:highlight w:val="yellow"/>
          <w:lang w:val="en-GB"/>
        </w:rPr>
      </w:pPr>
      <w:r>
        <w:rPr>
          <w:highlight w:val="yellow"/>
          <w:lang w:val="en-GB"/>
        </w:rPr>
        <w:t>[[</w:t>
      </w:r>
      <w:r w:rsidR="00813399" w:rsidRPr="00DF77C7">
        <w:rPr>
          <w:highlight w:val="yellow"/>
          <w:lang w:val="en-GB"/>
        </w:rPr>
        <w:t>This page may be deleted if replaced with a format agreed according to local PGD policy with relevant approvals and authorisation.</w:t>
      </w:r>
    </w:p>
    <w:p w14:paraId="39BC0C7D" w14:textId="1BB42587" w:rsidR="00813399" w:rsidRPr="00DF77C7" w:rsidRDefault="00813399" w:rsidP="008762B8">
      <w:pPr>
        <w:pStyle w:val="PGDNormal"/>
        <w:rPr>
          <w:highlight w:val="yellow"/>
          <w:lang w:val="en-GB"/>
        </w:rPr>
      </w:pPr>
      <w:r w:rsidRPr="00DF77C7">
        <w:rPr>
          <w:highlight w:val="yellow"/>
          <w:lang w:val="en-GB"/>
        </w:rPr>
        <w:t>The PGD is not legally valid until it has had the relevant organisational authorisations.</w:t>
      </w:r>
    </w:p>
    <w:p w14:paraId="7E37FB70" w14:textId="09849F2A" w:rsidR="00813399" w:rsidRPr="00DF77C7" w:rsidRDefault="00813399" w:rsidP="008762B8">
      <w:pPr>
        <w:pStyle w:val="PGDNormal"/>
        <w:rPr>
          <w:lang w:val="en-GB"/>
        </w:rPr>
      </w:pPr>
      <w:r w:rsidRPr="00DF77C7">
        <w:rPr>
          <w:highlight w:val="yellow"/>
          <w:lang w:val="en-GB"/>
        </w:rPr>
        <w:t xml:space="preserve">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legislation and </w:t>
      </w:r>
      <w:hyperlink r:id="rId13" w:history="1">
        <w:r w:rsidRPr="00DF77C7">
          <w:rPr>
            <w:rStyle w:val="Hyperlink"/>
            <w:highlight w:val="yellow"/>
            <w:lang w:val="en-GB"/>
          </w:rPr>
          <w:t>NICE MPG2 PGD 2017</w:t>
        </w:r>
      </w:hyperlink>
      <w:r w:rsidRPr="00DF77C7">
        <w:rPr>
          <w:highlight w:val="yellow"/>
          <w:lang w:val="en-GB"/>
        </w:rPr>
        <w:t>.</w:t>
      </w:r>
      <w:r w:rsidR="005E6491">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GD authorisation"/>
        <w:tblDescription w:val="This table allows input of the authorised signatories of the PGD as required by the Human Medicines Regulations 2012.  It includes columns for the name of the person authorising, their job title and organsiation, signature and the date signed. It also contains a link to the NICE PGD guidance which lists the authorising bodies included in the legislation."/>
      </w:tblPr>
      <w:tblGrid>
        <w:gridCol w:w="3133"/>
        <w:gridCol w:w="2753"/>
        <w:gridCol w:w="1535"/>
        <w:gridCol w:w="1074"/>
      </w:tblGrid>
      <w:tr w:rsidR="00813399" w:rsidRPr="00DF77C7" w14:paraId="39D55B3E" w14:textId="77777777" w:rsidTr="00F224C7">
        <w:trPr>
          <w:tblHeader/>
        </w:trPr>
        <w:tc>
          <w:tcPr>
            <w:tcW w:w="3133" w:type="dxa"/>
            <w:tcBorders>
              <w:top w:val="single" w:sz="4" w:space="0" w:color="auto"/>
              <w:left w:val="single" w:sz="4" w:space="0" w:color="auto"/>
              <w:bottom w:val="single" w:sz="4" w:space="0" w:color="auto"/>
              <w:right w:val="single" w:sz="4" w:space="0" w:color="auto"/>
            </w:tcBorders>
            <w:shd w:val="clear" w:color="auto" w:fill="auto"/>
          </w:tcPr>
          <w:p w14:paraId="11057968" w14:textId="77777777" w:rsidR="00813399" w:rsidRPr="00DF77C7" w:rsidRDefault="00813399" w:rsidP="00A32FA7">
            <w:pPr>
              <w:pStyle w:val="TableHeaderRow"/>
            </w:pPr>
            <w:r w:rsidRPr="00DF77C7">
              <w:t xml:space="preserve">Name </w:t>
            </w:r>
          </w:p>
        </w:tc>
        <w:tc>
          <w:tcPr>
            <w:tcW w:w="2753" w:type="dxa"/>
            <w:tcBorders>
              <w:top w:val="single" w:sz="4" w:space="0" w:color="auto"/>
              <w:left w:val="single" w:sz="4" w:space="0" w:color="auto"/>
              <w:bottom w:val="single" w:sz="4" w:space="0" w:color="auto"/>
              <w:right w:val="single" w:sz="4" w:space="0" w:color="auto"/>
            </w:tcBorders>
            <w:shd w:val="clear" w:color="auto" w:fill="auto"/>
          </w:tcPr>
          <w:p w14:paraId="1A0F4D2C" w14:textId="77777777" w:rsidR="00813399" w:rsidRPr="00DF77C7" w:rsidRDefault="00813399" w:rsidP="00A32FA7">
            <w:pPr>
              <w:pStyle w:val="TableHeaderRow"/>
            </w:pPr>
            <w:r w:rsidRPr="00DF77C7">
              <w:t xml:space="preserve">Job title and organisation </w:t>
            </w:r>
          </w:p>
        </w:tc>
        <w:tc>
          <w:tcPr>
            <w:tcW w:w="1535" w:type="dxa"/>
            <w:tcBorders>
              <w:top w:val="single" w:sz="4" w:space="0" w:color="auto"/>
              <w:left w:val="single" w:sz="4" w:space="0" w:color="auto"/>
              <w:bottom w:val="single" w:sz="4" w:space="0" w:color="auto"/>
              <w:right w:val="single" w:sz="4" w:space="0" w:color="auto"/>
            </w:tcBorders>
            <w:shd w:val="clear" w:color="auto" w:fill="auto"/>
          </w:tcPr>
          <w:p w14:paraId="581041E9" w14:textId="77777777" w:rsidR="00813399" w:rsidRPr="00DF77C7" w:rsidRDefault="00813399" w:rsidP="00A32FA7">
            <w:pPr>
              <w:pStyle w:val="TableHeaderRow"/>
            </w:pPr>
            <w:r w:rsidRPr="00DF77C7">
              <w:t>Signature</w:t>
            </w:r>
          </w:p>
        </w:tc>
        <w:tc>
          <w:tcPr>
            <w:tcW w:w="1074" w:type="dxa"/>
            <w:tcBorders>
              <w:top w:val="single" w:sz="4" w:space="0" w:color="auto"/>
              <w:left w:val="single" w:sz="4" w:space="0" w:color="auto"/>
              <w:bottom w:val="single" w:sz="4" w:space="0" w:color="auto"/>
              <w:right w:val="single" w:sz="4" w:space="0" w:color="auto"/>
            </w:tcBorders>
            <w:shd w:val="clear" w:color="auto" w:fill="auto"/>
          </w:tcPr>
          <w:p w14:paraId="02BD78F1" w14:textId="77777777" w:rsidR="00813399" w:rsidRPr="00DF77C7" w:rsidRDefault="00813399" w:rsidP="00A32FA7">
            <w:pPr>
              <w:pStyle w:val="TableHeaderRow"/>
            </w:pPr>
            <w:r w:rsidRPr="00DF77C7">
              <w:t>Date</w:t>
            </w:r>
          </w:p>
        </w:tc>
      </w:tr>
      <w:tr w:rsidR="00813399" w:rsidRPr="00DF77C7" w14:paraId="35D56BF3" w14:textId="77777777" w:rsidTr="00A32FA7">
        <w:tc>
          <w:tcPr>
            <w:tcW w:w="3133" w:type="dxa"/>
            <w:tcBorders>
              <w:top w:val="single" w:sz="4" w:space="0" w:color="auto"/>
              <w:left w:val="single" w:sz="4" w:space="0" w:color="auto"/>
              <w:bottom w:val="single" w:sz="4" w:space="0" w:color="auto"/>
              <w:right w:val="single" w:sz="4" w:space="0" w:color="auto"/>
            </w:tcBorders>
            <w:shd w:val="clear" w:color="auto" w:fill="auto"/>
          </w:tcPr>
          <w:p w14:paraId="491A1B03" w14:textId="77777777" w:rsidR="00813399" w:rsidRPr="00872410" w:rsidRDefault="00813399" w:rsidP="00B65003">
            <w:pPr>
              <w:rPr>
                <w:rStyle w:val="TableHeaderColumn"/>
              </w:rPr>
            </w:pPr>
            <w:r w:rsidRPr="00872410">
              <w:rPr>
                <w:rStyle w:val="TableHeaderColumn"/>
              </w:rPr>
              <w:t xml:space="preserve">Senior doctor </w:t>
            </w:r>
          </w:p>
        </w:tc>
        <w:tc>
          <w:tcPr>
            <w:tcW w:w="2753" w:type="dxa"/>
            <w:tcBorders>
              <w:top w:val="single" w:sz="4" w:space="0" w:color="auto"/>
              <w:left w:val="single" w:sz="4" w:space="0" w:color="auto"/>
              <w:bottom w:val="single" w:sz="4" w:space="0" w:color="auto"/>
              <w:right w:val="single" w:sz="4" w:space="0" w:color="auto"/>
            </w:tcBorders>
            <w:shd w:val="clear" w:color="auto" w:fill="auto"/>
          </w:tcPr>
          <w:p w14:paraId="098B297F"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AC393BA"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C070EF3" w14:textId="77777777" w:rsidR="00813399" w:rsidRPr="00DF77C7" w:rsidRDefault="00813399" w:rsidP="00B65003">
            <w:pPr>
              <w:pStyle w:val="Tabletext"/>
              <w:rPr>
                <w:lang w:val="en-GB"/>
              </w:rPr>
            </w:pPr>
          </w:p>
        </w:tc>
      </w:tr>
      <w:tr w:rsidR="00813399" w:rsidRPr="00DF77C7" w14:paraId="162855C1" w14:textId="77777777" w:rsidTr="00A32FA7">
        <w:tc>
          <w:tcPr>
            <w:tcW w:w="3133" w:type="dxa"/>
            <w:tcBorders>
              <w:top w:val="single" w:sz="4" w:space="0" w:color="auto"/>
              <w:left w:val="single" w:sz="4" w:space="0" w:color="auto"/>
              <w:bottom w:val="single" w:sz="4" w:space="0" w:color="auto"/>
              <w:right w:val="single" w:sz="4" w:space="0" w:color="auto"/>
            </w:tcBorders>
            <w:shd w:val="clear" w:color="auto" w:fill="auto"/>
          </w:tcPr>
          <w:p w14:paraId="579B23DD" w14:textId="77777777" w:rsidR="00813399" w:rsidRPr="00872410" w:rsidRDefault="00813399" w:rsidP="00B65003">
            <w:pPr>
              <w:rPr>
                <w:rStyle w:val="TableHeaderColumn"/>
              </w:rPr>
            </w:pPr>
            <w:r w:rsidRPr="00872410">
              <w:rPr>
                <w:rStyle w:val="TableHeaderColumn"/>
              </w:rPr>
              <w:t>Senior pharmacist</w:t>
            </w:r>
          </w:p>
        </w:tc>
        <w:tc>
          <w:tcPr>
            <w:tcW w:w="2753" w:type="dxa"/>
            <w:tcBorders>
              <w:top w:val="single" w:sz="4" w:space="0" w:color="auto"/>
              <w:left w:val="single" w:sz="4" w:space="0" w:color="auto"/>
              <w:bottom w:val="single" w:sz="4" w:space="0" w:color="auto"/>
              <w:right w:val="single" w:sz="4" w:space="0" w:color="auto"/>
            </w:tcBorders>
            <w:shd w:val="clear" w:color="auto" w:fill="auto"/>
          </w:tcPr>
          <w:p w14:paraId="75BBC646"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FB26856"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3A597D4A" w14:textId="77777777" w:rsidR="00813399" w:rsidRPr="00DF77C7" w:rsidRDefault="00813399" w:rsidP="00B65003">
            <w:pPr>
              <w:pStyle w:val="Tabletext"/>
              <w:rPr>
                <w:lang w:val="en-GB"/>
              </w:rPr>
            </w:pPr>
          </w:p>
        </w:tc>
      </w:tr>
      <w:tr w:rsidR="00813399" w:rsidRPr="00DF77C7" w14:paraId="7A2D073B" w14:textId="77777777" w:rsidTr="00A32FA7">
        <w:tc>
          <w:tcPr>
            <w:tcW w:w="3133" w:type="dxa"/>
            <w:tcBorders>
              <w:top w:val="single" w:sz="4" w:space="0" w:color="auto"/>
              <w:left w:val="single" w:sz="4" w:space="0" w:color="auto"/>
              <w:bottom w:val="single" w:sz="4" w:space="0" w:color="auto"/>
              <w:right w:val="single" w:sz="4" w:space="0" w:color="auto"/>
            </w:tcBorders>
            <w:shd w:val="clear" w:color="auto" w:fill="auto"/>
          </w:tcPr>
          <w:p w14:paraId="246E86BC" w14:textId="77777777" w:rsidR="00813399" w:rsidRPr="00872410" w:rsidRDefault="00813399" w:rsidP="00B65003">
            <w:pPr>
              <w:rPr>
                <w:rStyle w:val="TableHeaderColumn"/>
              </w:rPr>
            </w:pPr>
            <w:r w:rsidRPr="00872410">
              <w:rPr>
                <w:rStyle w:val="TableHeaderColumn"/>
              </w:rPr>
              <w:t xml:space="preserve">Senior representative of professional group using the PGD </w:t>
            </w:r>
          </w:p>
        </w:tc>
        <w:tc>
          <w:tcPr>
            <w:tcW w:w="2753" w:type="dxa"/>
            <w:tcBorders>
              <w:top w:val="single" w:sz="4" w:space="0" w:color="auto"/>
              <w:left w:val="single" w:sz="4" w:space="0" w:color="auto"/>
              <w:bottom w:val="single" w:sz="4" w:space="0" w:color="auto"/>
              <w:right w:val="single" w:sz="4" w:space="0" w:color="auto"/>
            </w:tcBorders>
            <w:shd w:val="clear" w:color="auto" w:fill="auto"/>
          </w:tcPr>
          <w:p w14:paraId="3F33A7EC"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BBDE978"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FB2672C" w14:textId="77777777" w:rsidR="00813399" w:rsidRPr="00DF77C7" w:rsidRDefault="00813399" w:rsidP="00B65003">
            <w:pPr>
              <w:pStyle w:val="Tabletext"/>
              <w:rPr>
                <w:lang w:val="en-GB"/>
              </w:rPr>
            </w:pPr>
          </w:p>
        </w:tc>
      </w:tr>
      <w:tr w:rsidR="00813399" w:rsidRPr="00DF77C7" w14:paraId="317E6CF7" w14:textId="77777777" w:rsidTr="00A32FA7">
        <w:tc>
          <w:tcPr>
            <w:tcW w:w="3133" w:type="dxa"/>
            <w:tcBorders>
              <w:top w:val="single" w:sz="4" w:space="0" w:color="auto"/>
              <w:left w:val="single" w:sz="4" w:space="0" w:color="auto"/>
              <w:bottom w:val="single" w:sz="4" w:space="0" w:color="auto"/>
              <w:right w:val="single" w:sz="4" w:space="0" w:color="auto"/>
            </w:tcBorders>
            <w:shd w:val="clear" w:color="auto" w:fill="auto"/>
          </w:tcPr>
          <w:p w14:paraId="2C7B5334" w14:textId="2D01FB95" w:rsidR="00813399" w:rsidRPr="00872410" w:rsidRDefault="00813399" w:rsidP="00B65003">
            <w:pPr>
              <w:rPr>
                <w:rStyle w:val="TableHeaderColumn"/>
              </w:rPr>
            </w:pPr>
            <w:r w:rsidRPr="00872410">
              <w:rPr>
                <w:rStyle w:val="TableHeaderColumn"/>
              </w:rPr>
              <w:t xml:space="preserve">Person signing on behalf of </w:t>
            </w:r>
            <w:r w:rsidR="009E38CA">
              <w:rPr>
                <w:rStyle w:val="TableHeaderColumn"/>
              </w:rPr>
              <w:t xml:space="preserve">the </w:t>
            </w:r>
            <w:hyperlink r:id="rId14" w:anchor="terms-used-in-the-guideline" w:history="1">
              <w:r w:rsidR="00D0044C" w:rsidRPr="001300B4">
                <w:rPr>
                  <w:rStyle w:val="Hyperlink"/>
                  <w:sz w:val="22"/>
                  <w:szCs w:val="22"/>
                </w:rPr>
                <w:t>authorising body</w:t>
              </w:r>
              <w:r w:rsidR="009E38CA" w:rsidRPr="001300B4">
                <w:rPr>
                  <w:rStyle w:val="Hyperlink"/>
                  <w:sz w:val="22"/>
                  <w:szCs w:val="22"/>
                </w:rPr>
                <w:t xml:space="preserve"> as defined by NICE</w:t>
              </w:r>
            </w:hyperlink>
            <w:r w:rsidR="009E38CA" w:rsidRPr="001300B4">
              <w:rPr>
                <w:rStyle w:val="Hyperlink"/>
                <w:sz w:val="22"/>
                <w:szCs w:val="22"/>
              </w:rPr>
              <w:t xml:space="preserve"> </w:t>
            </w:r>
          </w:p>
        </w:tc>
        <w:tc>
          <w:tcPr>
            <w:tcW w:w="2753" w:type="dxa"/>
            <w:tcBorders>
              <w:top w:val="single" w:sz="4" w:space="0" w:color="auto"/>
              <w:left w:val="single" w:sz="4" w:space="0" w:color="auto"/>
              <w:bottom w:val="single" w:sz="4" w:space="0" w:color="auto"/>
              <w:right w:val="single" w:sz="4" w:space="0" w:color="auto"/>
            </w:tcBorders>
            <w:shd w:val="clear" w:color="auto" w:fill="auto"/>
          </w:tcPr>
          <w:p w14:paraId="1233B39B"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647E003F"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50DC60E7" w14:textId="77777777" w:rsidR="00813399" w:rsidRPr="00DF77C7" w:rsidRDefault="00813399" w:rsidP="00B65003">
            <w:pPr>
              <w:pStyle w:val="Tabletext"/>
              <w:rPr>
                <w:lang w:val="en-GB"/>
              </w:rPr>
            </w:pPr>
          </w:p>
        </w:tc>
      </w:tr>
    </w:tbl>
    <w:p w14:paraId="358A5AE0" w14:textId="77777777" w:rsidR="00B65003" w:rsidRPr="00DF77C7" w:rsidRDefault="00B65003" w:rsidP="00B65003">
      <w:pPr>
        <w:pStyle w:val="PGDNormal"/>
        <w:rPr>
          <w:highlight w:val="yellow"/>
          <w:lang w:val="en-GB"/>
        </w:rPr>
      </w:pPr>
    </w:p>
    <w:p w14:paraId="5A26FA8C" w14:textId="0BDE5500" w:rsidR="00813399" w:rsidRPr="00DF77C7" w:rsidRDefault="00E46E97" w:rsidP="00B65003">
      <w:pPr>
        <w:pStyle w:val="PGDNormal"/>
        <w:rPr>
          <w:rFonts w:eastAsia="Calibri"/>
          <w:highlight w:val="yellow"/>
          <w:lang w:val="en-GB"/>
        </w:rPr>
      </w:pPr>
      <w:r w:rsidRPr="00AC0BE9">
        <w:rPr>
          <w:lang w:val="en-GB"/>
        </w:rPr>
        <w:t>[[</w:t>
      </w:r>
      <w:r w:rsidR="00813399" w:rsidRPr="00DF77C7">
        <w:rPr>
          <w:highlight w:val="yellow"/>
          <w:lang w:val="en-GB"/>
        </w:rPr>
        <w:t>It is the responsibility of the provider organisation to ensure that all legal and governance requirements for using the PGD are met.</w:t>
      </w:r>
    </w:p>
    <w:p w14:paraId="2466BD41" w14:textId="77777777" w:rsidR="00813399" w:rsidRPr="00DF77C7" w:rsidRDefault="00813399" w:rsidP="00B65003">
      <w:pPr>
        <w:pStyle w:val="PGDNormal"/>
        <w:rPr>
          <w:highlight w:val="yellow"/>
          <w:lang w:val="en-GB"/>
        </w:rPr>
      </w:pPr>
      <w:r w:rsidRPr="00DF77C7">
        <w:rPr>
          <w:highlight w:val="yellow"/>
          <w:lang w:val="en-GB"/>
        </w:rPr>
        <w:t xml:space="preserve">To meet legal requirements, authorising organisations must add an Individual Practitioner Authorisation sheet or List of Authorised Practitioners. This varies according to local policy and how the service is managed but this should be a signature list or an individual agreement. </w:t>
      </w:r>
    </w:p>
    <w:p w14:paraId="3AD71782" w14:textId="17D110E3" w:rsidR="00813399" w:rsidRPr="00DF77C7" w:rsidRDefault="00813399" w:rsidP="00B65003">
      <w:pPr>
        <w:pStyle w:val="PGDNormal"/>
        <w:rPr>
          <w:highlight w:val="yellow"/>
          <w:lang w:val="en-GB"/>
        </w:rPr>
      </w:pPr>
      <w:r w:rsidRPr="00DF77C7">
        <w:rPr>
          <w:highlight w:val="yellow"/>
          <w:lang w:val="en-GB"/>
        </w:rPr>
        <w:t xml:space="preserve">PGDs do not remove inherent professional obligations or accountability. It is the responsibility of each professional to practice only within the bounds of their own competence and in accordance with their own Code of Professional Conduct.  Individual practitioners must declare that they have read and understood the Patient Group Direction and agree to supply/administer </w:t>
      </w:r>
      <w:r w:rsidR="009531BB">
        <w:rPr>
          <w:highlight w:val="yellow"/>
          <w:lang w:val="en-GB"/>
        </w:rPr>
        <w:t>medicine</w:t>
      </w:r>
      <w:r w:rsidRPr="00DF77C7">
        <w:rPr>
          <w:highlight w:val="yellow"/>
          <w:lang w:val="en-GB"/>
        </w:rPr>
        <w:t xml:space="preserve"> listed only in accordance with the PGD. </w:t>
      </w:r>
    </w:p>
    <w:p w14:paraId="6831A5E6" w14:textId="24B273E0" w:rsidR="00813399" w:rsidRPr="00DF77C7" w:rsidRDefault="00813399" w:rsidP="008762B8">
      <w:pPr>
        <w:pStyle w:val="PGDNormal"/>
        <w:rPr>
          <w:highlight w:val="yellow"/>
          <w:lang w:val="en-GB"/>
        </w:rPr>
      </w:pPr>
      <w:r w:rsidRPr="00DF77C7">
        <w:rPr>
          <w:highlight w:val="yellow"/>
          <w:lang w:val="en-GB"/>
        </w:rPr>
        <w:t>O</w:t>
      </w:r>
      <w:r w:rsidR="008762B8" w:rsidRPr="00DF77C7">
        <w:rPr>
          <w:highlight w:val="yellow"/>
          <w:lang w:val="en-GB"/>
        </w:rPr>
        <w:t>rganisations may also add</w:t>
      </w:r>
      <w:r w:rsidRPr="00DF77C7">
        <w:rPr>
          <w:highlight w:val="yellow"/>
          <w:lang w:val="en-GB"/>
        </w:rPr>
        <w:t>:</w:t>
      </w:r>
    </w:p>
    <w:p w14:paraId="53B6678F" w14:textId="61FBF7EF" w:rsidR="00813399" w:rsidRPr="008C6AC3" w:rsidRDefault="00813399" w:rsidP="008C6AC3">
      <w:pPr>
        <w:pStyle w:val="Bulletindent1"/>
        <w:rPr>
          <w:highlight w:val="yellow"/>
        </w:rPr>
      </w:pPr>
      <w:r w:rsidRPr="008C6AC3">
        <w:rPr>
          <w:highlight w:val="yellow"/>
        </w:rPr>
        <w:t xml:space="preserve">Local training and competency assessment documentation </w:t>
      </w:r>
    </w:p>
    <w:p w14:paraId="17AFAE38" w14:textId="5FC656C0" w:rsidR="00813399" w:rsidRPr="008C6AC3" w:rsidRDefault="00813399" w:rsidP="008C6AC3">
      <w:pPr>
        <w:pStyle w:val="Bulletindent1"/>
        <w:rPr>
          <w:highlight w:val="yellow"/>
        </w:rPr>
      </w:pPr>
      <w:r w:rsidRPr="008C6AC3">
        <w:rPr>
          <w:highlight w:val="yellow"/>
        </w:rPr>
        <w:t>Other supporting local guidance or information</w:t>
      </w:r>
    </w:p>
    <w:p w14:paraId="0FF3FC45" w14:textId="5E617158" w:rsidR="00762BFE" w:rsidRPr="00160B58" w:rsidRDefault="00813399" w:rsidP="00160B58">
      <w:pPr>
        <w:pStyle w:val="Bulletindent1"/>
        <w:rPr>
          <w:highlight w:val="yellow"/>
        </w:rPr>
      </w:pPr>
      <w:r w:rsidRPr="00160B58">
        <w:rPr>
          <w:highlight w:val="yellow"/>
        </w:rPr>
        <w:t>Links to local PGD Policy and other supporting guidance</w:t>
      </w:r>
      <w:r w:rsidR="00762BFE" w:rsidRPr="00160B58">
        <w:rPr>
          <w:highlight w:val="yellow"/>
        </w:rPr>
        <w:t xml:space="preserve"> </w:t>
      </w:r>
    </w:p>
    <w:p w14:paraId="35B5D425" w14:textId="580BF799" w:rsidR="00813399" w:rsidRPr="00293756" w:rsidRDefault="00813399" w:rsidP="00160B58">
      <w:pPr>
        <w:pStyle w:val="Bulletindent1"/>
        <w:rPr>
          <w:highlight w:val="yellow"/>
        </w:rPr>
      </w:pPr>
      <w:r w:rsidRPr="00293756">
        <w:rPr>
          <w:highlight w:val="yellow"/>
        </w:rPr>
        <w:t xml:space="preserve">Audit requirements </w:t>
      </w:r>
    </w:p>
    <w:p w14:paraId="1B986D2E" w14:textId="7E6280B1" w:rsidR="00813399" w:rsidRPr="00DF77C7" w:rsidRDefault="00813399" w:rsidP="008762B8">
      <w:pPr>
        <w:pStyle w:val="PGDNormal"/>
        <w:rPr>
          <w:lang w:val="en-GB"/>
        </w:rPr>
      </w:pPr>
      <w:r w:rsidRPr="00DF77C7">
        <w:rPr>
          <w:highlight w:val="yellow"/>
          <w:lang w:val="en-GB"/>
        </w:rPr>
        <w:t xml:space="preserve">Any reference to a Trust protocol (either clinical to be followed as part of the administration of </w:t>
      </w:r>
      <w:r w:rsidR="009531BB">
        <w:rPr>
          <w:highlight w:val="yellow"/>
          <w:lang w:val="en-GB"/>
        </w:rPr>
        <w:t xml:space="preserve">the medicine named </w:t>
      </w:r>
      <w:r w:rsidRPr="00DF77C7">
        <w:rPr>
          <w:highlight w:val="yellow"/>
          <w:lang w:val="en-GB"/>
        </w:rPr>
        <w:t>with the PGD or for any other purpose) must be referenced and hyperlinked to ensure the practitioner acting under the PGD has direct access to the protocol for reference.</w:t>
      </w:r>
      <w:r w:rsidR="00E46E97" w:rsidRPr="00AC0BE9">
        <w:rPr>
          <w:lang w:val="en-GB"/>
        </w:rPr>
        <w:t>]]</w:t>
      </w:r>
    </w:p>
    <w:p w14:paraId="41A13A1A" w14:textId="2FC4B1AE" w:rsidR="007A1448" w:rsidRPr="00DF77C7" w:rsidRDefault="007A1448" w:rsidP="008762B8">
      <w:pPr>
        <w:pStyle w:val="Heading1"/>
      </w:pPr>
      <w:r w:rsidRPr="00DF77C7">
        <w:br w:type="page"/>
      </w:r>
      <w:bookmarkStart w:id="4" w:name="Table2"/>
      <w:r w:rsidR="004C39C3">
        <w:lastRenderedPageBreak/>
        <w:t>Characteristics of staff</w:t>
      </w:r>
    </w:p>
    <w:p w14:paraId="24B546B6" w14:textId="3CDEF124" w:rsidR="00BB2C75" w:rsidRPr="00DF77C7" w:rsidRDefault="00BB2C75" w:rsidP="00BB2C75">
      <w:pPr>
        <w:pStyle w:val="PGDNormal"/>
        <w:rPr>
          <w:lang w:val="en-GB"/>
        </w:rPr>
      </w:pPr>
      <w:r w:rsidRPr="00DF77C7">
        <w:rPr>
          <w:lang w:val="en-GB"/>
        </w:rPr>
        <w:t>The decision to administer any</w:t>
      </w:r>
      <w:r w:rsidR="009531BB">
        <w:rPr>
          <w:lang w:val="en-GB"/>
        </w:rPr>
        <w:t xml:space="preserve"> medicine</w:t>
      </w:r>
      <w:r w:rsidRPr="00DF77C7">
        <w:rPr>
          <w:lang w:val="en-GB"/>
        </w:rPr>
        <w:t xml:space="preserve"> rests with the individual registered practitioner who must abide by the PGD and any associated organisation policies</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of training and competency requirements."/>
        <w:tblDescription w:val="This table details the training and competency required by registered healthcare professionals to work under this PGD. It includes rows for qualifications and professional registration, initial training, competency assessment and ongoing training and competency."/>
      </w:tblPr>
      <w:tblGrid>
        <w:gridCol w:w="2591"/>
        <w:gridCol w:w="5904"/>
      </w:tblGrid>
      <w:tr w:rsidR="00B81529" w:rsidRPr="00DF77C7" w14:paraId="26A06832" w14:textId="77777777" w:rsidTr="00D05A10">
        <w:tc>
          <w:tcPr>
            <w:tcW w:w="1525" w:type="pct"/>
            <w:tcBorders>
              <w:top w:val="single" w:sz="4" w:space="0" w:color="auto"/>
              <w:left w:val="single" w:sz="4" w:space="0" w:color="auto"/>
              <w:bottom w:val="single" w:sz="4" w:space="0" w:color="auto"/>
              <w:right w:val="single" w:sz="4" w:space="0" w:color="auto"/>
            </w:tcBorders>
            <w:shd w:val="clear" w:color="auto" w:fill="auto"/>
          </w:tcPr>
          <w:p w14:paraId="627BE3CB" w14:textId="77777777" w:rsidR="00B81529" w:rsidRPr="00D05A10" w:rsidRDefault="00B81529" w:rsidP="00D05A10">
            <w:pPr>
              <w:pStyle w:val="Tabletext"/>
              <w:rPr>
                <w:rStyle w:val="TableHeaderColumn"/>
                <w:sz w:val="22"/>
              </w:rPr>
            </w:pPr>
            <w:r w:rsidRPr="00D05A10">
              <w:rPr>
                <w:rStyle w:val="TableHeaderColumn"/>
                <w:sz w:val="22"/>
              </w:rPr>
              <w:t>Qualifications and professional registration</w:t>
            </w:r>
          </w:p>
        </w:tc>
        <w:tc>
          <w:tcPr>
            <w:tcW w:w="3475" w:type="pct"/>
            <w:tcBorders>
              <w:top w:val="single" w:sz="4" w:space="0" w:color="auto"/>
              <w:left w:val="single" w:sz="4" w:space="0" w:color="auto"/>
              <w:bottom w:val="single" w:sz="4" w:space="0" w:color="auto"/>
              <w:right w:val="single" w:sz="4" w:space="0" w:color="auto"/>
            </w:tcBorders>
            <w:shd w:val="clear" w:color="auto" w:fill="auto"/>
          </w:tcPr>
          <w:p w14:paraId="0DA88DBE" w14:textId="77777777" w:rsidR="00311DC1" w:rsidRPr="00311DC1" w:rsidRDefault="00311DC1" w:rsidP="00D05A10">
            <w:pPr>
              <w:pStyle w:val="Tabletext"/>
              <w:rPr>
                <w:lang w:val="en-GB"/>
              </w:rPr>
            </w:pPr>
            <w:r w:rsidRPr="00311DC1">
              <w:rPr>
                <w:lang w:val="en-GB"/>
              </w:rPr>
              <w:t>Current contract of employment within a Local Authority or NHS commissioned service or an NHS Trust/organisation.</w:t>
            </w:r>
          </w:p>
          <w:p w14:paraId="111D2851" w14:textId="6987CA45" w:rsidR="00B81529" w:rsidRPr="0059734C" w:rsidRDefault="0059734C" w:rsidP="00D05A10">
            <w:pPr>
              <w:pStyle w:val="Tabletext"/>
            </w:pPr>
            <w:r w:rsidRPr="0059734C">
              <w:t xml:space="preserve">Registered healthcare professional (HCP) listed in  </w:t>
            </w:r>
            <w:hyperlink r:id="rId15" w:tgtFrame="_blank" w:history="1">
              <w:r w:rsidRPr="0059734C">
                <w:rPr>
                  <w:rStyle w:val="Hyperlink"/>
                </w:rPr>
                <w:t>The Human Medicines Regulation 2012, Schedule 16 Part 4 legislation</w:t>
              </w:r>
            </w:hyperlink>
            <w:r w:rsidRPr="0059734C">
              <w:t xml:space="preserve"> as able to practice under Patient Group Directions.   </w:t>
            </w:r>
          </w:p>
        </w:tc>
      </w:tr>
      <w:tr w:rsidR="00B81529" w:rsidRPr="00DF77C7" w14:paraId="06CF6755" w14:textId="77777777" w:rsidTr="00D05A10">
        <w:tc>
          <w:tcPr>
            <w:tcW w:w="1525" w:type="pct"/>
            <w:tcBorders>
              <w:top w:val="single" w:sz="4" w:space="0" w:color="auto"/>
              <w:left w:val="single" w:sz="4" w:space="0" w:color="auto"/>
              <w:bottom w:val="single" w:sz="4" w:space="0" w:color="auto"/>
              <w:right w:val="single" w:sz="4" w:space="0" w:color="auto"/>
            </w:tcBorders>
            <w:shd w:val="clear" w:color="auto" w:fill="auto"/>
          </w:tcPr>
          <w:p w14:paraId="72CA058D" w14:textId="77777777" w:rsidR="00B81529" w:rsidRPr="00D05A10" w:rsidRDefault="00B81529" w:rsidP="00D05A10">
            <w:pPr>
              <w:pStyle w:val="Tabletext"/>
              <w:rPr>
                <w:rStyle w:val="TableHeaderColumn"/>
                <w:sz w:val="22"/>
              </w:rPr>
            </w:pPr>
            <w:r w:rsidRPr="00D05A10">
              <w:rPr>
                <w:rStyle w:val="TableHeaderColumn"/>
                <w:sz w:val="22"/>
              </w:rPr>
              <w:t>Initial training</w:t>
            </w:r>
          </w:p>
        </w:tc>
        <w:tc>
          <w:tcPr>
            <w:tcW w:w="3475" w:type="pct"/>
            <w:tcBorders>
              <w:top w:val="single" w:sz="4" w:space="0" w:color="auto"/>
              <w:left w:val="single" w:sz="4" w:space="0" w:color="auto"/>
              <w:bottom w:val="single" w:sz="4" w:space="0" w:color="auto"/>
              <w:right w:val="single" w:sz="4" w:space="0" w:color="auto"/>
            </w:tcBorders>
            <w:shd w:val="clear" w:color="auto" w:fill="auto"/>
          </w:tcPr>
          <w:p w14:paraId="546C2092" w14:textId="748BEC18" w:rsidR="00FE6E1E" w:rsidRDefault="00FE6E1E" w:rsidP="00D05A10">
            <w:pPr>
              <w:pStyle w:val="Tabletext"/>
            </w:pPr>
            <w:r>
              <w:t xml:space="preserve">The registered </w:t>
            </w:r>
            <w:r w:rsidR="0059734C">
              <w:t xml:space="preserve">HCP </w:t>
            </w:r>
            <w:r>
              <w:t xml:space="preserve"> authorised to operate under this PGD must have undertaken appropriate education and training and successfully completed the competencies to undertake clinical assessment of an individual leading to diagnosis of the conditions listed. </w:t>
            </w:r>
          </w:p>
          <w:p w14:paraId="330E2975" w14:textId="77777777" w:rsidR="00D05A10" w:rsidRDefault="00D05A10" w:rsidP="00D05A10">
            <w:pPr>
              <w:pStyle w:val="Tabletext"/>
            </w:pPr>
          </w:p>
          <w:p w14:paraId="51D7FD0E" w14:textId="4EB4E105" w:rsidR="00957B7C" w:rsidRDefault="00957B7C" w:rsidP="00D05A10">
            <w:pPr>
              <w:pStyle w:val="Tabletext"/>
              <w:rPr>
                <w:lang w:val="en-GB"/>
              </w:rPr>
            </w:pPr>
            <w:r w:rsidRPr="00FE6E1E">
              <w:t>Recommended requirement for training would be successful completion of a relevant sexual health module/course accredited or endorsed by the BASHH, CPPE, RCN or a university or advised in the RCN Sexual Health Education directory</w:t>
            </w:r>
            <w:r w:rsidR="00D05A10">
              <w:t xml:space="preserve"> [</w:t>
            </w:r>
            <w:r w:rsidR="00D05A10" w:rsidRPr="00D05A10">
              <w:rPr>
                <w:highlight w:val="cyan"/>
                <w:lang w:val="en-GB"/>
              </w:rPr>
              <w:t>or, for other care settings, undertaken suitable locally-agreed alternative equivalent training</w:t>
            </w:r>
            <w:r w:rsidR="00D05A10">
              <w:rPr>
                <w:lang w:val="en-GB"/>
              </w:rPr>
              <w:t>].</w:t>
            </w:r>
          </w:p>
          <w:p w14:paraId="6F3684FD" w14:textId="77777777" w:rsidR="001E3FCB" w:rsidRDefault="001E3FCB" w:rsidP="00D05A10">
            <w:pPr>
              <w:pStyle w:val="Tabletext"/>
            </w:pPr>
          </w:p>
          <w:p w14:paraId="5A17ECDD" w14:textId="204C997F" w:rsidR="001E3FCB" w:rsidRPr="00FE6E1E" w:rsidRDefault="0059734C" w:rsidP="001E3FCB">
            <w:pPr>
              <w:pStyle w:val="Tabletext"/>
              <w:rPr>
                <w:rStyle w:val="Hyperlink"/>
                <w:highlight w:val="cyan"/>
              </w:rPr>
            </w:pPr>
            <w:r>
              <w:t xml:space="preserve">Registered HCP </w:t>
            </w:r>
            <w:r w:rsidR="001E3FCB">
              <w:t xml:space="preserve"> has undertaken appropriate training for working under PGDs for the supply and administration of medicines.  Recommended training - </w:t>
            </w:r>
            <w:hyperlink r:id="rId16" w:history="1">
              <w:r w:rsidR="001E3FCB" w:rsidRPr="00FE6E1E">
                <w:rPr>
                  <w:rStyle w:val="Hyperlink"/>
                </w:rPr>
                <w:t>eLfH PGD elearning programme</w:t>
              </w:r>
            </w:hyperlink>
            <w:r w:rsidR="001E3FCB" w:rsidRPr="00FE6E1E">
              <w:rPr>
                <w:rStyle w:val="Hyperlink"/>
              </w:rPr>
              <w:t xml:space="preserve"> </w:t>
            </w:r>
          </w:p>
          <w:p w14:paraId="4A9C151B" w14:textId="77777777" w:rsidR="00D05A10" w:rsidRDefault="00D05A10" w:rsidP="00D05A10">
            <w:pPr>
              <w:pStyle w:val="Tabletext"/>
              <w:rPr>
                <w:highlight w:val="cyan"/>
              </w:rPr>
            </w:pPr>
          </w:p>
          <w:p w14:paraId="4B43E5B0" w14:textId="2B1FDD85" w:rsidR="00B81529" w:rsidRPr="00DF77C7" w:rsidRDefault="00FE6E1E" w:rsidP="00D05A10">
            <w:pPr>
              <w:pStyle w:val="Tabletext"/>
              <w:rPr>
                <w:lang w:val="en-GB"/>
              </w:rPr>
            </w:pPr>
            <w:r>
              <w:rPr>
                <w:highlight w:val="cyan"/>
              </w:rPr>
              <w:t>[</w:t>
            </w:r>
            <w:r w:rsidRPr="00FE6E1E">
              <w:rPr>
                <w:highlight w:val="cyan"/>
              </w:rPr>
              <w:t>The healthcare professional has completed locally required training (including updates) in safeguarding children and vulnerable adults</w:t>
            </w:r>
            <w:r w:rsidRPr="00FE6E1E">
              <w:t>.</w:t>
            </w:r>
            <w:r>
              <w:t>]</w:t>
            </w:r>
          </w:p>
        </w:tc>
      </w:tr>
      <w:tr w:rsidR="00B81529" w:rsidRPr="00DF77C7" w14:paraId="15ADED8B" w14:textId="77777777" w:rsidTr="00D05A10">
        <w:tc>
          <w:tcPr>
            <w:tcW w:w="1525" w:type="pct"/>
            <w:tcBorders>
              <w:top w:val="single" w:sz="4" w:space="0" w:color="auto"/>
              <w:left w:val="single" w:sz="4" w:space="0" w:color="auto"/>
              <w:bottom w:val="single" w:sz="4" w:space="0" w:color="auto"/>
              <w:right w:val="single" w:sz="4" w:space="0" w:color="auto"/>
            </w:tcBorders>
            <w:shd w:val="clear" w:color="auto" w:fill="auto"/>
          </w:tcPr>
          <w:p w14:paraId="5DBBEBEA" w14:textId="77777777" w:rsidR="00B81529" w:rsidRPr="00D05A10" w:rsidRDefault="00B81529" w:rsidP="00D05A10">
            <w:pPr>
              <w:pStyle w:val="Tabletext"/>
              <w:rPr>
                <w:rStyle w:val="TableHeaderColumn"/>
                <w:sz w:val="22"/>
              </w:rPr>
            </w:pPr>
            <w:r w:rsidRPr="00D05A10">
              <w:rPr>
                <w:rStyle w:val="TableHeaderColumn"/>
                <w:sz w:val="22"/>
              </w:rPr>
              <w:t>Competency assessment</w:t>
            </w:r>
          </w:p>
        </w:tc>
        <w:tc>
          <w:tcPr>
            <w:tcW w:w="3475" w:type="pct"/>
            <w:tcBorders>
              <w:top w:val="single" w:sz="4" w:space="0" w:color="auto"/>
              <w:left w:val="single" w:sz="4" w:space="0" w:color="auto"/>
              <w:bottom w:val="single" w:sz="4" w:space="0" w:color="auto"/>
              <w:right w:val="single" w:sz="4" w:space="0" w:color="auto"/>
            </w:tcBorders>
            <w:shd w:val="clear" w:color="auto" w:fill="auto"/>
          </w:tcPr>
          <w:p w14:paraId="7FE93EEB" w14:textId="1A3E55DF" w:rsidR="00D05A10" w:rsidRPr="00D05A10" w:rsidRDefault="00C373F2" w:rsidP="00D05A10">
            <w:pPr>
              <w:pStyle w:val="Tabletext"/>
            </w:pPr>
            <w:r>
              <w:t xml:space="preserve">Registered </w:t>
            </w:r>
            <w:r w:rsidR="0059734C">
              <w:t>HCPs</w:t>
            </w:r>
            <w:r>
              <w:t xml:space="preserve"> </w:t>
            </w:r>
            <w:r w:rsidR="003E69CD">
              <w:t>operating under this PGD must be assessed as competent (see Appendix A) or complete an appropriate self-declaration of competence</w:t>
            </w:r>
            <w:r w:rsidR="00D05A10" w:rsidRPr="00D05A10">
              <w:t xml:space="preserve"> for the diagnosis and treatment of uncomplicated classical scabies. </w:t>
            </w:r>
          </w:p>
          <w:p w14:paraId="30C7E4AB" w14:textId="321FCA8A" w:rsidR="003E69CD" w:rsidRDefault="003E69CD" w:rsidP="00D05A10">
            <w:pPr>
              <w:pStyle w:val="Tabletext"/>
              <w:rPr>
                <w:lang w:val="en-GB"/>
              </w:rPr>
            </w:pPr>
          </w:p>
          <w:p w14:paraId="408B58F2" w14:textId="77777777" w:rsidR="00D05A10" w:rsidRDefault="00C373F2" w:rsidP="00D05A10">
            <w:pPr>
              <w:pStyle w:val="Tabletext"/>
            </w:pPr>
            <w:r>
              <w:t>Registered HCPs</w:t>
            </w:r>
            <w:r w:rsidR="008B2A57" w:rsidRPr="00DF77C7">
              <w:rPr>
                <w:lang w:val="en-GB"/>
              </w:rPr>
              <w:t xml:space="preserve"> </w:t>
            </w:r>
            <w:r w:rsidR="00B81529" w:rsidRPr="00DF77C7">
              <w:rPr>
                <w:lang w:val="en-GB"/>
              </w:rPr>
              <w:t>operating under this PGD are encouraged to review their competency using the</w:t>
            </w:r>
            <w:hyperlink r:id="rId17" w:history="1">
              <w:r w:rsidR="00B81529" w:rsidRPr="00F6120B">
                <w:rPr>
                  <w:rStyle w:val="Hyperlink"/>
                </w:rPr>
                <w:t xml:space="preserve"> NICE Competency Framework for health professionals using patient group directions</w:t>
              </w:r>
            </w:hyperlink>
          </w:p>
          <w:p w14:paraId="71DB8C46" w14:textId="77777777" w:rsidR="00FB2E11" w:rsidRDefault="00FB2E11" w:rsidP="00D05A10">
            <w:pPr>
              <w:pStyle w:val="Tabletext"/>
              <w:rPr>
                <w:rStyle w:val="Hyperlink"/>
              </w:rPr>
            </w:pPr>
          </w:p>
          <w:p w14:paraId="41F46029" w14:textId="3D56B961" w:rsidR="00B81529" w:rsidRPr="00DF77C7" w:rsidRDefault="00B154E7" w:rsidP="00D05A10">
            <w:pPr>
              <w:pStyle w:val="Tabletext"/>
              <w:rPr>
                <w:lang w:val="en-GB"/>
              </w:rPr>
            </w:pPr>
            <w:r w:rsidRPr="00AC0BE9">
              <w:rPr>
                <w:lang w:val="en-GB"/>
              </w:rPr>
              <w:t>[</w:t>
            </w:r>
            <w:r w:rsidR="003E69CD">
              <w:rPr>
                <w:highlight w:val="cyan"/>
                <w:lang w:val="en-GB"/>
              </w:rPr>
              <w:t xml:space="preserve">Organisational </w:t>
            </w:r>
            <w:r w:rsidR="00B81529" w:rsidRPr="00DF77C7">
              <w:rPr>
                <w:highlight w:val="cyan"/>
                <w:lang w:val="en-GB"/>
              </w:rPr>
              <w:t>PGD</w:t>
            </w:r>
            <w:r w:rsidR="003E69CD">
              <w:rPr>
                <w:highlight w:val="cyan"/>
                <w:lang w:val="en-GB"/>
              </w:rPr>
              <w:t xml:space="preserve"> and/</w:t>
            </w:r>
            <w:r w:rsidR="00B81529" w:rsidRPr="00DF77C7">
              <w:rPr>
                <w:highlight w:val="cyan"/>
                <w:lang w:val="en-GB"/>
              </w:rPr>
              <w:t xml:space="preserve"> or medication training required by </w:t>
            </w:r>
            <w:r w:rsidR="003E69CD">
              <w:rPr>
                <w:highlight w:val="cyan"/>
                <w:lang w:val="en-GB"/>
              </w:rPr>
              <w:t>employing Trust/</w:t>
            </w:r>
            <w:r w:rsidR="00B81529" w:rsidRPr="00DF77C7">
              <w:rPr>
                <w:highlight w:val="cyan"/>
                <w:lang w:val="en-GB"/>
              </w:rPr>
              <w:t>organisation</w:t>
            </w:r>
            <w:r>
              <w:rPr>
                <w:lang w:val="en-GB"/>
              </w:rPr>
              <w:t>]</w:t>
            </w:r>
            <w:r w:rsidR="00B81529" w:rsidRPr="00DF77C7">
              <w:rPr>
                <w:lang w:val="en-GB"/>
              </w:rPr>
              <w:t xml:space="preserve"> </w:t>
            </w:r>
          </w:p>
          <w:p w14:paraId="5719D930" w14:textId="6B769D7D" w:rsidR="00B81529" w:rsidRPr="00DF77C7" w:rsidRDefault="00B81529" w:rsidP="00D05A10">
            <w:pPr>
              <w:pStyle w:val="Tabletext"/>
              <w:rPr>
                <w:lang w:val="en-GB"/>
              </w:rPr>
            </w:pPr>
          </w:p>
        </w:tc>
      </w:tr>
      <w:tr w:rsidR="00B81529" w:rsidRPr="00DF77C7" w14:paraId="25FEFD2D" w14:textId="77777777" w:rsidTr="00D05A10">
        <w:tc>
          <w:tcPr>
            <w:tcW w:w="1525" w:type="pct"/>
            <w:tcBorders>
              <w:top w:val="single" w:sz="4" w:space="0" w:color="auto"/>
              <w:left w:val="single" w:sz="4" w:space="0" w:color="auto"/>
              <w:bottom w:val="single" w:sz="4" w:space="0" w:color="auto"/>
              <w:right w:val="single" w:sz="4" w:space="0" w:color="auto"/>
            </w:tcBorders>
            <w:shd w:val="clear" w:color="auto" w:fill="auto"/>
          </w:tcPr>
          <w:p w14:paraId="4C7E9E93" w14:textId="77777777" w:rsidR="00B81529" w:rsidRPr="00D05A10" w:rsidRDefault="00B81529" w:rsidP="00D05A10">
            <w:pPr>
              <w:pStyle w:val="Tabletext"/>
              <w:rPr>
                <w:rStyle w:val="TableHeaderColumn"/>
                <w:sz w:val="22"/>
              </w:rPr>
            </w:pPr>
            <w:r w:rsidRPr="00D05A10">
              <w:rPr>
                <w:rStyle w:val="TableHeaderColumn"/>
                <w:sz w:val="22"/>
              </w:rPr>
              <w:t>Ongoing training and competency</w:t>
            </w:r>
          </w:p>
        </w:tc>
        <w:tc>
          <w:tcPr>
            <w:tcW w:w="3475" w:type="pct"/>
            <w:tcBorders>
              <w:top w:val="single" w:sz="4" w:space="0" w:color="auto"/>
              <w:left w:val="single" w:sz="4" w:space="0" w:color="auto"/>
              <w:bottom w:val="single" w:sz="4" w:space="0" w:color="auto"/>
              <w:right w:val="single" w:sz="4" w:space="0" w:color="auto"/>
            </w:tcBorders>
            <w:shd w:val="clear" w:color="auto" w:fill="auto"/>
          </w:tcPr>
          <w:p w14:paraId="5599DF98" w14:textId="2757D0F4" w:rsidR="003E69CD" w:rsidRDefault="00C373F2" w:rsidP="00D05A10">
            <w:pPr>
              <w:pStyle w:val="Tabletext"/>
              <w:rPr>
                <w:lang w:val="en-GB"/>
              </w:rPr>
            </w:pPr>
            <w:r>
              <w:t>Registered HCPs</w:t>
            </w:r>
            <w:r w:rsidR="003E69CD" w:rsidRPr="00DF77C7">
              <w:rPr>
                <w:lang w:val="en-GB"/>
              </w:rPr>
              <w:t xml:space="preserve"> operating under this PGD are personally responsible for ensuring they remain up to date with the use of </w:t>
            </w:r>
            <w:r w:rsidR="009531BB">
              <w:rPr>
                <w:lang w:val="en-GB"/>
              </w:rPr>
              <w:t>the medicine</w:t>
            </w:r>
            <w:r w:rsidR="003E69CD" w:rsidRPr="00DF77C7">
              <w:rPr>
                <w:lang w:val="en-GB"/>
              </w:rPr>
              <w:t xml:space="preserve"> included in the PGD - if any training needs are identified these should be discussed with the </w:t>
            </w:r>
            <w:r w:rsidR="003E69CD" w:rsidRPr="00DF77C7">
              <w:rPr>
                <w:lang w:val="en-GB"/>
              </w:rPr>
              <w:lastRenderedPageBreak/>
              <w:t xml:space="preserve">senior individual responsible for authorising </w:t>
            </w:r>
            <w:r>
              <w:rPr>
                <w:lang w:val="en-GB"/>
              </w:rPr>
              <w:t>staff</w:t>
            </w:r>
            <w:r w:rsidRPr="00DF77C7">
              <w:rPr>
                <w:lang w:val="en-GB"/>
              </w:rPr>
              <w:t xml:space="preserve"> </w:t>
            </w:r>
            <w:r w:rsidR="003E69CD" w:rsidRPr="00DF77C7">
              <w:rPr>
                <w:lang w:val="en-GB"/>
              </w:rPr>
              <w:t>to act under the PGD and further training provided as required.</w:t>
            </w:r>
          </w:p>
          <w:p w14:paraId="7BD4BD1A" w14:textId="77777777" w:rsidR="00D05A10" w:rsidRDefault="00D05A10" w:rsidP="00D05A10">
            <w:pPr>
              <w:pStyle w:val="Tabletext"/>
              <w:rPr>
                <w:highlight w:val="cyan"/>
                <w:lang w:val="en-GB"/>
              </w:rPr>
            </w:pPr>
          </w:p>
          <w:p w14:paraId="3219E1FA" w14:textId="4C16D747" w:rsidR="00B81529" w:rsidRPr="00DF77C7" w:rsidRDefault="00B154E7" w:rsidP="00D05A10">
            <w:pPr>
              <w:pStyle w:val="Tabletext"/>
              <w:rPr>
                <w:lang w:val="en-GB"/>
              </w:rPr>
            </w:pPr>
            <w:r w:rsidRPr="00AC0BE9">
              <w:rPr>
                <w:lang w:val="en-GB"/>
              </w:rPr>
              <w:t>[</w:t>
            </w:r>
            <w:r w:rsidR="008B2A57">
              <w:rPr>
                <w:highlight w:val="cyan"/>
                <w:lang w:val="en-GB"/>
              </w:rPr>
              <w:t>Organisational</w:t>
            </w:r>
            <w:r w:rsidR="00B81529" w:rsidRPr="00DF77C7">
              <w:rPr>
                <w:highlight w:val="cyan"/>
                <w:lang w:val="en-GB"/>
              </w:rPr>
              <w:t xml:space="preserve"> </w:t>
            </w:r>
            <w:r w:rsidR="00FE6E1E">
              <w:rPr>
                <w:highlight w:val="cyan"/>
                <w:lang w:val="en-GB"/>
              </w:rPr>
              <w:t>PGD and</w:t>
            </w:r>
            <w:r w:rsidR="008B2A57">
              <w:rPr>
                <w:highlight w:val="cyan"/>
                <w:lang w:val="en-GB"/>
              </w:rPr>
              <w:t>/or</w:t>
            </w:r>
            <w:r w:rsidR="00B81529" w:rsidRPr="00DF77C7">
              <w:rPr>
                <w:highlight w:val="cyan"/>
                <w:lang w:val="en-GB"/>
              </w:rPr>
              <w:t xml:space="preserve"> medication training</w:t>
            </w:r>
            <w:r w:rsidR="008B2A57">
              <w:rPr>
                <w:highlight w:val="cyan"/>
                <w:lang w:val="en-GB"/>
              </w:rPr>
              <w:t xml:space="preserve"> </w:t>
            </w:r>
            <w:r w:rsidR="00B36F46">
              <w:rPr>
                <w:highlight w:val="cyan"/>
                <w:lang w:val="en-GB"/>
              </w:rPr>
              <w:t xml:space="preserve">as </w:t>
            </w:r>
            <w:r w:rsidR="00B36F46" w:rsidRPr="00DF77C7">
              <w:rPr>
                <w:highlight w:val="cyan"/>
                <w:lang w:val="en-GB"/>
              </w:rPr>
              <w:t>required</w:t>
            </w:r>
            <w:r w:rsidR="00B81529" w:rsidRPr="00DF77C7">
              <w:rPr>
                <w:highlight w:val="cyan"/>
                <w:lang w:val="en-GB"/>
              </w:rPr>
              <w:t xml:space="preserve"> by</w:t>
            </w:r>
            <w:r w:rsidR="008B2A57">
              <w:rPr>
                <w:highlight w:val="cyan"/>
                <w:lang w:val="en-GB"/>
              </w:rPr>
              <w:t xml:space="preserve"> employing Trust/</w:t>
            </w:r>
            <w:r w:rsidR="00B81529" w:rsidRPr="00DF77C7">
              <w:rPr>
                <w:highlight w:val="cyan"/>
                <w:lang w:val="en-GB"/>
              </w:rPr>
              <w:t xml:space="preserve"> organisation</w:t>
            </w:r>
            <w:r w:rsidR="00FE6E1E">
              <w:rPr>
                <w:lang w:val="en-GB"/>
              </w:rPr>
              <w:t>]</w:t>
            </w:r>
          </w:p>
        </w:tc>
      </w:tr>
    </w:tbl>
    <w:p w14:paraId="2F8A9B4B" w14:textId="72BCB8C7" w:rsidR="007A1448" w:rsidRDefault="007A1448" w:rsidP="00BB2C75">
      <w:pPr>
        <w:pStyle w:val="Heading1"/>
      </w:pPr>
      <w:r w:rsidRPr="00DF77C7">
        <w:lastRenderedPageBreak/>
        <w:br w:type="page"/>
      </w:r>
      <w:r w:rsidRPr="00DF77C7">
        <w:lastRenderedPageBreak/>
        <w:t>Clinical condition</w:t>
      </w:r>
      <w:r w:rsidR="003E69CD">
        <w:t xml:space="preserve"> or situation to which this PGD applies</w:t>
      </w:r>
    </w:p>
    <w:tbl>
      <w:tblPr>
        <w:tblStyle w:val="TableGrid"/>
        <w:tblW w:w="0" w:type="auto"/>
        <w:tblLook w:val="04A0" w:firstRow="1" w:lastRow="0" w:firstColumn="1" w:lastColumn="0" w:noHBand="0" w:noVBand="1"/>
        <w:tblCaption w:val="Table of clinical condition relating to this PGD template"/>
        <w:tblDescription w:val="This table details the clinical condition or situation to which this PGD applies.  It consists of five rows which include the clinical condition or situation applicable, inclusion criteria, exclusion criteria, cautions, actions to be taken if the individual is excluded or declines treatment"/>
      </w:tblPr>
      <w:tblGrid>
        <w:gridCol w:w="2689"/>
        <w:gridCol w:w="5806"/>
      </w:tblGrid>
      <w:tr w:rsidR="00D36D23" w14:paraId="06FC28D1" w14:textId="77777777" w:rsidTr="00D36D23">
        <w:tc>
          <w:tcPr>
            <w:tcW w:w="2689" w:type="dxa"/>
          </w:tcPr>
          <w:p w14:paraId="7ABDE5EA" w14:textId="3B5A4183" w:rsidR="00D36D23" w:rsidRPr="00D05A10" w:rsidRDefault="00D36D23" w:rsidP="005A6168">
            <w:pPr>
              <w:rPr>
                <w:rStyle w:val="TableHeaderColumn"/>
                <w:kern w:val="0"/>
                <w:sz w:val="22"/>
              </w:rPr>
            </w:pPr>
            <w:r w:rsidRPr="00D05A10">
              <w:rPr>
                <w:rStyle w:val="TableHeaderColumn"/>
                <w:kern w:val="0"/>
                <w:sz w:val="22"/>
              </w:rPr>
              <w:t>Clinical condition or situation to which this PGD applies</w:t>
            </w:r>
          </w:p>
        </w:tc>
        <w:tc>
          <w:tcPr>
            <w:tcW w:w="5806" w:type="dxa"/>
          </w:tcPr>
          <w:p w14:paraId="2A301BA5" w14:textId="5F53A114" w:rsidR="00D05A10" w:rsidRPr="00D05A10" w:rsidRDefault="00D05A10" w:rsidP="00D05A10">
            <w:pPr>
              <w:pStyle w:val="Tabletext"/>
              <w:rPr>
                <w:lang w:val="en-GB"/>
              </w:rPr>
            </w:pPr>
            <w:r w:rsidRPr="00D05A10">
              <w:rPr>
                <w:lang w:val="en-GB"/>
              </w:rPr>
              <w:t xml:space="preserve">Treatment of uncomplicated classical scabies in adults </w:t>
            </w:r>
            <w:r w:rsidR="0059734C">
              <w:rPr>
                <w:lang w:val="en-GB"/>
              </w:rPr>
              <w:t>[</w:t>
            </w:r>
            <w:r w:rsidRPr="0059734C">
              <w:rPr>
                <w:highlight w:val="cyan"/>
                <w:lang w:val="en-GB"/>
              </w:rPr>
              <w:t>and children aged 2 years and over</w:t>
            </w:r>
            <w:r w:rsidRPr="00D05A10">
              <w:rPr>
                <w:lang w:val="en-GB"/>
              </w:rPr>
              <w:t>.</w:t>
            </w:r>
            <w:r w:rsidR="0059734C">
              <w:rPr>
                <w:lang w:val="en-GB"/>
              </w:rPr>
              <w:t>]</w:t>
            </w:r>
          </w:p>
          <w:p w14:paraId="7B144FB0" w14:textId="77777777" w:rsidR="00696D83" w:rsidRPr="00696D83" w:rsidRDefault="00696D83" w:rsidP="00696D83">
            <w:pPr>
              <w:pStyle w:val="Tabletext"/>
            </w:pPr>
            <w:r w:rsidRPr="00696D83">
              <w:t>Malathion is suggested as an alternative scabies therapy and may be used where recommended treatments have failed, are unavailable, or are thought to cause adverse effects in specific individuals.</w:t>
            </w:r>
          </w:p>
          <w:p w14:paraId="554201D5" w14:textId="6CFF3C79" w:rsidR="00696D83" w:rsidRPr="00696D83" w:rsidRDefault="00696D83" w:rsidP="00696D83">
            <w:pPr>
              <w:pStyle w:val="Tabletext"/>
            </w:pPr>
            <w:r w:rsidRPr="00696D83">
              <w:t xml:space="preserve">To cover initial and follow up treatment – </w:t>
            </w:r>
            <w:r w:rsidR="008D54E8" w:rsidRPr="00696D83">
              <w:t>i.e.</w:t>
            </w:r>
            <w:r w:rsidRPr="00696D83">
              <w:t xml:space="preserve"> two applications.</w:t>
            </w:r>
          </w:p>
          <w:p w14:paraId="622A2C8E" w14:textId="04636262" w:rsidR="00D36D23" w:rsidRDefault="00696D83" w:rsidP="00696D83">
            <w:pPr>
              <w:pStyle w:val="Tabletext"/>
            </w:pPr>
            <w:r w:rsidRPr="00696D83">
              <w:rPr>
                <w:lang w:val="en-GB"/>
              </w:rPr>
              <w:t>As this product does not contain alcohol, it may be more suitable for those with asthma or eczema.</w:t>
            </w:r>
          </w:p>
        </w:tc>
      </w:tr>
      <w:tr w:rsidR="00AE4F4B" w14:paraId="423D958D" w14:textId="77777777" w:rsidTr="00D36D23">
        <w:tc>
          <w:tcPr>
            <w:tcW w:w="2689" w:type="dxa"/>
          </w:tcPr>
          <w:p w14:paraId="12B69C9D" w14:textId="0A77D3DB" w:rsidR="00AE4F4B" w:rsidRPr="00D05A10" w:rsidRDefault="003E69CD" w:rsidP="00FE6E1E">
            <w:pPr>
              <w:rPr>
                <w:rStyle w:val="TableHeaderColumn"/>
                <w:kern w:val="0"/>
                <w:sz w:val="22"/>
              </w:rPr>
            </w:pPr>
            <w:r w:rsidRPr="00D05A10">
              <w:rPr>
                <w:rStyle w:val="TableHeaderColumn"/>
                <w:kern w:val="0"/>
                <w:sz w:val="22"/>
              </w:rPr>
              <w:t>Criteria for i</w:t>
            </w:r>
            <w:r w:rsidR="00CA3998" w:rsidRPr="00D05A10">
              <w:rPr>
                <w:rStyle w:val="TableHeaderColumn"/>
                <w:kern w:val="0"/>
                <w:sz w:val="22"/>
              </w:rPr>
              <w:t xml:space="preserve">nclusion </w:t>
            </w:r>
          </w:p>
        </w:tc>
        <w:tc>
          <w:tcPr>
            <w:tcW w:w="5806" w:type="dxa"/>
          </w:tcPr>
          <w:p w14:paraId="2690BF7D" w14:textId="611701B4" w:rsidR="00D05A10" w:rsidRPr="00D05A10" w:rsidRDefault="00D05A10" w:rsidP="00791FE3">
            <w:pPr>
              <w:pStyle w:val="Bulletindent1"/>
            </w:pPr>
            <w:r>
              <w:t>I</w:t>
            </w:r>
            <w:r w:rsidRPr="00D05A10">
              <w:t>nformed consent</w:t>
            </w:r>
          </w:p>
          <w:p w14:paraId="1A0EE05A" w14:textId="2C5A53E1" w:rsidR="00D05A10" w:rsidRPr="00D05A10" w:rsidRDefault="00D05A10" w:rsidP="00791FE3">
            <w:pPr>
              <w:pStyle w:val="Bulletindent1"/>
            </w:pPr>
            <w:r w:rsidRPr="00D05A10">
              <w:t xml:space="preserve">Individuals aged </w:t>
            </w:r>
            <w:r w:rsidR="001300B4">
              <w:t>[</w:t>
            </w:r>
            <w:r w:rsidRPr="00D05A10">
              <w:rPr>
                <w:highlight w:val="cyan"/>
              </w:rPr>
              <w:t>2 years and over</w:t>
            </w:r>
            <w:r>
              <w:t>]</w:t>
            </w:r>
          </w:p>
          <w:p w14:paraId="47C18A2D" w14:textId="77777777" w:rsidR="00D05A10" w:rsidRPr="00D05A10" w:rsidRDefault="00D05A10" w:rsidP="00791FE3">
            <w:pPr>
              <w:pStyle w:val="Bulletindent1"/>
            </w:pPr>
            <w:r w:rsidRPr="00D05A10">
              <w:t xml:space="preserve">Signs and symptoms of scabies using Summary of 2020 International Alliance for the Control of Scabies (IACS) criteria for the diagnosis of scabies within BASHH guidance available at: </w:t>
            </w:r>
            <w:hyperlink r:id="rId18" w:history="1">
              <w:r w:rsidRPr="00D05A10">
                <w:rPr>
                  <w:rStyle w:val="Hyperlink"/>
                </w:rPr>
                <w:t>British Association for Sexual Health and HIV National Guideline on the Management of Scabies in adults 2025</w:t>
              </w:r>
            </w:hyperlink>
          </w:p>
          <w:p w14:paraId="0B12242C" w14:textId="77777777" w:rsidR="00D05A10" w:rsidRPr="00D05A10" w:rsidRDefault="00D05A10" w:rsidP="00791FE3">
            <w:pPr>
              <w:pStyle w:val="Bulletindent1"/>
            </w:pPr>
            <w:r w:rsidRPr="00D05A10">
              <w:t>People who have uncomplicated classical scabies and are also living with HIV taking antiretroviral therapy should receive the same treatment as those who are HIV negative.</w:t>
            </w:r>
          </w:p>
          <w:p w14:paraId="02A2FFD7" w14:textId="6E5C27DE" w:rsidR="00AE4F4B" w:rsidRDefault="00791FE3" w:rsidP="00791FE3">
            <w:pPr>
              <w:pStyle w:val="Bulletindent1"/>
            </w:pPr>
            <w:r>
              <w:rPr>
                <w:highlight w:val="cyan"/>
              </w:rPr>
              <w:t>[</w:t>
            </w:r>
            <w:r w:rsidRPr="00E46136">
              <w:rPr>
                <w:highlight w:val="cyan"/>
              </w:rPr>
              <w:t>Pregnancy or suspected pregnancy – malathion</w:t>
            </w:r>
            <w:r>
              <w:rPr>
                <w:highlight w:val="cyan"/>
              </w:rPr>
              <w:t xml:space="preserve"> </w:t>
            </w:r>
            <w:r w:rsidRPr="00E46136">
              <w:rPr>
                <w:highlight w:val="cyan"/>
              </w:rPr>
              <w:t>can be used for individuals where</w:t>
            </w:r>
            <w:r>
              <w:rPr>
                <w:highlight w:val="cyan"/>
              </w:rPr>
              <w:t xml:space="preserve"> </w:t>
            </w:r>
            <w:r w:rsidRPr="00E46136">
              <w:rPr>
                <w:highlight w:val="cyan"/>
              </w:rPr>
              <w:t>permethrin is not available or appropriate. Ensure full discussion on evidence base with individual before treating</w:t>
            </w:r>
            <w:r>
              <w:rPr>
                <w:highlight w:val="cyan"/>
              </w:rPr>
              <w:t>]</w:t>
            </w:r>
            <w:r w:rsidRPr="00E46136">
              <w:rPr>
                <w:highlight w:val="cyan"/>
              </w:rPr>
              <w:t>.</w:t>
            </w:r>
          </w:p>
        </w:tc>
      </w:tr>
      <w:tr w:rsidR="00AE4F4B" w14:paraId="6FC007A9" w14:textId="77777777" w:rsidTr="00D36D23">
        <w:tc>
          <w:tcPr>
            <w:tcW w:w="2689" w:type="dxa"/>
          </w:tcPr>
          <w:p w14:paraId="4F9F0FC6" w14:textId="72CE5320" w:rsidR="00AE4F4B" w:rsidRPr="00D05A10" w:rsidRDefault="003E69CD" w:rsidP="005A6168">
            <w:pPr>
              <w:rPr>
                <w:rStyle w:val="TableHeaderColumn"/>
                <w:kern w:val="0"/>
                <w:sz w:val="22"/>
              </w:rPr>
            </w:pPr>
            <w:r w:rsidRPr="00D05A10">
              <w:rPr>
                <w:rStyle w:val="TableHeaderColumn"/>
                <w:kern w:val="0"/>
                <w:sz w:val="22"/>
              </w:rPr>
              <w:t>Criteria for exclusion</w:t>
            </w:r>
          </w:p>
        </w:tc>
        <w:tc>
          <w:tcPr>
            <w:tcW w:w="5806" w:type="dxa"/>
          </w:tcPr>
          <w:p w14:paraId="6381612B" w14:textId="77777777" w:rsidR="007A2202" w:rsidRDefault="007A2202" w:rsidP="007A2202">
            <w:pPr>
              <w:pStyle w:val="Bulletindent1"/>
            </w:pPr>
            <w:r w:rsidRPr="00CC1B72">
              <w:t xml:space="preserve">Consent refused and documented in the individual’s </w:t>
            </w:r>
            <w:r>
              <w:t>clinical</w:t>
            </w:r>
            <w:r w:rsidRPr="00CC1B72">
              <w:t xml:space="preserve"> notes </w:t>
            </w:r>
          </w:p>
          <w:p w14:paraId="75799C9D" w14:textId="77777777" w:rsidR="007A2202" w:rsidRPr="00004690" w:rsidRDefault="007A2202" w:rsidP="007A2202">
            <w:pPr>
              <w:pStyle w:val="Bulletindent1"/>
              <w:rPr>
                <w:rFonts w:cs="Arial"/>
                <w:iCs/>
              </w:rPr>
            </w:pPr>
            <w:r w:rsidRPr="00004690">
              <w:rPr>
                <w:rFonts w:cs="Arial"/>
                <w:iCs/>
              </w:rPr>
              <w:t xml:space="preserve">Outbreaks in communal residential settings </w:t>
            </w:r>
            <w:r w:rsidRPr="001955E2">
              <w:rPr>
                <w:rFonts w:cs="Arial"/>
                <w:iCs/>
              </w:rPr>
              <w:t xml:space="preserve">– refer to </w:t>
            </w:r>
            <w:hyperlink r:id="rId19" w:history="1">
              <w:r w:rsidRPr="00004690">
                <w:rPr>
                  <w:rFonts w:eastAsiaTheme="minorHAnsi" w:cs="Arial"/>
                  <w:color w:val="0000FF"/>
                  <w:u w:val="single"/>
                </w:rPr>
                <w:t>UKHSA guidelines for the management of scabies cases and outbreaks in communal residential settings - GOV.UK</w:t>
              </w:r>
            </w:hyperlink>
          </w:p>
          <w:p w14:paraId="4A07142F" w14:textId="77777777" w:rsidR="007A2202" w:rsidRPr="007A2202" w:rsidRDefault="007A2202" w:rsidP="007A2202">
            <w:pPr>
              <w:pStyle w:val="Tabletext"/>
              <w:rPr>
                <w:b/>
                <w:bCs/>
              </w:rPr>
            </w:pPr>
            <w:r w:rsidRPr="007A2202">
              <w:rPr>
                <w:b/>
                <w:bCs/>
              </w:rPr>
              <w:t>Personal Characteristics</w:t>
            </w:r>
          </w:p>
          <w:p w14:paraId="0C9E3C53" w14:textId="21DEEF32" w:rsidR="007A2202" w:rsidRDefault="007A2202" w:rsidP="007A2202">
            <w:pPr>
              <w:pStyle w:val="Bulletindent1"/>
            </w:pPr>
            <w:r w:rsidRPr="008D2560">
              <w:t xml:space="preserve">Individuals under </w:t>
            </w:r>
            <w:r>
              <w:t>[</w:t>
            </w:r>
            <w:r w:rsidRPr="001D5CAB">
              <w:rPr>
                <w:highlight w:val="cyan"/>
              </w:rPr>
              <w:t xml:space="preserve">2 </w:t>
            </w:r>
            <w:r>
              <w:rPr>
                <w:highlight w:val="cyan"/>
              </w:rPr>
              <w:t>years</w:t>
            </w:r>
            <w:r w:rsidRPr="001D5CAB">
              <w:rPr>
                <w:highlight w:val="cyan"/>
              </w:rPr>
              <w:t xml:space="preserve"> of age</w:t>
            </w:r>
            <w:r>
              <w:t>]</w:t>
            </w:r>
          </w:p>
          <w:p w14:paraId="2D7CE930" w14:textId="7168CBCC" w:rsidR="007A2202" w:rsidRPr="00BF43A1" w:rsidRDefault="007A2202" w:rsidP="007A2202">
            <w:pPr>
              <w:pStyle w:val="Bulletindent1"/>
              <w:rPr>
                <w:highlight w:val="cyan"/>
              </w:rPr>
            </w:pPr>
            <w:r>
              <w:rPr>
                <w:highlight w:val="cyan"/>
              </w:rPr>
              <w:t>[</w:t>
            </w:r>
            <w:r w:rsidRPr="00BF43A1">
              <w:rPr>
                <w:highlight w:val="cyan"/>
              </w:rPr>
              <w:t>Individuals under 16 years of age and assessed as not competent using Fraser Guidelines</w:t>
            </w:r>
            <w:r>
              <w:rPr>
                <w:highlight w:val="cyan"/>
              </w:rPr>
              <w:t>]</w:t>
            </w:r>
          </w:p>
          <w:p w14:paraId="2C0A9049" w14:textId="6F1CFC27" w:rsidR="007A2202" w:rsidRPr="00BF43A1" w:rsidRDefault="007A2202" w:rsidP="007A2202">
            <w:pPr>
              <w:pStyle w:val="Bulletindent1"/>
              <w:rPr>
                <w:highlight w:val="cyan"/>
              </w:rPr>
            </w:pPr>
            <w:r>
              <w:rPr>
                <w:highlight w:val="cyan"/>
              </w:rPr>
              <w:t>[</w:t>
            </w:r>
            <w:r w:rsidRPr="00BF43A1">
              <w:rPr>
                <w:highlight w:val="cyan"/>
              </w:rPr>
              <w:t>Individuals 16 years of age and over and assessed as not competent to consent using local safeguarding guidelines</w:t>
            </w:r>
            <w:r>
              <w:rPr>
                <w:highlight w:val="cyan"/>
              </w:rPr>
              <w:t>]</w:t>
            </w:r>
          </w:p>
          <w:p w14:paraId="46E3C04F" w14:textId="77777777" w:rsidR="007A2202" w:rsidRPr="00F64CC5" w:rsidRDefault="007A2202" w:rsidP="00F64CC5">
            <w:pPr>
              <w:pStyle w:val="Tabletext"/>
              <w:rPr>
                <w:b/>
                <w:bCs/>
              </w:rPr>
            </w:pPr>
            <w:r w:rsidRPr="00F64CC5">
              <w:rPr>
                <w:b/>
                <w:bCs/>
              </w:rPr>
              <w:t>Medical history</w:t>
            </w:r>
          </w:p>
          <w:p w14:paraId="2A555E68" w14:textId="77777777" w:rsidR="007A2202" w:rsidRDefault="007A2202" w:rsidP="007A2202">
            <w:pPr>
              <w:pStyle w:val="Bulletindent1"/>
            </w:pPr>
            <w:r w:rsidRPr="002B4572">
              <w:t>Broken or secondarily infected skin</w:t>
            </w:r>
          </w:p>
          <w:p w14:paraId="28138F1A" w14:textId="77777777" w:rsidR="007A2202" w:rsidRPr="00DF7313" w:rsidRDefault="007A2202" w:rsidP="007A2202">
            <w:pPr>
              <w:pStyle w:val="Bulletindent1"/>
            </w:pPr>
            <w:r w:rsidRPr="00DF7313">
              <w:lastRenderedPageBreak/>
              <w:t>Crusted (Norwe</w:t>
            </w:r>
            <w:r>
              <w:t>g</w:t>
            </w:r>
            <w:r w:rsidRPr="00DF7313">
              <w:t>ian) scabies</w:t>
            </w:r>
            <w:r>
              <w:t xml:space="preserve"> (NB increased risk of crusted scabies with i</w:t>
            </w:r>
            <w:r w:rsidRPr="00DF7313">
              <w:t>mmunosuppressed individuals</w:t>
            </w:r>
            <w:r>
              <w:t>)</w:t>
            </w:r>
          </w:p>
          <w:p w14:paraId="1165B1B0" w14:textId="23880CE0" w:rsidR="007A2202" w:rsidRPr="00190C02" w:rsidRDefault="007A2202" w:rsidP="007A2202">
            <w:pPr>
              <w:pStyle w:val="Bulletindent1"/>
            </w:pPr>
            <w:r w:rsidRPr="00190C02">
              <w:t xml:space="preserve">Failed previous </w:t>
            </w:r>
            <w:r w:rsidRPr="001955E2">
              <w:t xml:space="preserve">treatment with </w:t>
            </w:r>
            <w:r w:rsidR="00696D83">
              <w:t>malathion</w:t>
            </w:r>
            <w:r w:rsidRPr="001955E2">
              <w:t xml:space="preserve"> for </w:t>
            </w:r>
            <w:r w:rsidRPr="00190C02">
              <w:t>this episode of s</w:t>
            </w:r>
            <w:r>
              <w:t>cabies</w:t>
            </w:r>
          </w:p>
          <w:p w14:paraId="055E6D3B" w14:textId="77777777" w:rsidR="007A2202" w:rsidRDefault="007A2202" w:rsidP="007A2202">
            <w:pPr>
              <w:pStyle w:val="Bulletindent1"/>
            </w:pPr>
            <w:r>
              <w:t>Individuals with pre-existing eczema or other skin conditions which may lead to hypersensitivity</w:t>
            </w:r>
          </w:p>
          <w:p w14:paraId="643B3D67" w14:textId="77777777" w:rsidR="007A2202" w:rsidRPr="00F64CC5" w:rsidRDefault="007A2202" w:rsidP="00F64CC5">
            <w:pPr>
              <w:pStyle w:val="Tabletext"/>
              <w:rPr>
                <w:b/>
                <w:bCs/>
              </w:rPr>
            </w:pPr>
            <w:r w:rsidRPr="00F64CC5">
              <w:rPr>
                <w:b/>
                <w:bCs/>
              </w:rPr>
              <w:t>Medication history</w:t>
            </w:r>
          </w:p>
          <w:p w14:paraId="3BDDED5E" w14:textId="0BB8495E" w:rsidR="00F64CC5" w:rsidRPr="00F64CC5" w:rsidRDefault="00696D83" w:rsidP="008A6752">
            <w:pPr>
              <w:pStyle w:val="Bulletindent1"/>
              <w:rPr>
                <w:b/>
                <w:bCs/>
              </w:rPr>
            </w:pPr>
            <w:r w:rsidRPr="00696D83">
              <w:t>Hypersensitivity to the active substance, or to any of the excipients listed</w:t>
            </w:r>
            <w:r>
              <w:t xml:space="preserve"> </w:t>
            </w:r>
            <w:r w:rsidRPr="00696D83">
              <w:t xml:space="preserve">- </w:t>
            </w:r>
            <w:hyperlink r:id="rId20" w:history="1">
              <w:r>
                <w:rPr>
                  <w:rStyle w:val="Hyperlink"/>
                  <w:rFonts w:cs="Arial"/>
                </w:rPr>
                <w:t>See the Summary of Product Characteristics (SmPC) which can be accessed on the MHRA website</w:t>
              </w:r>
            </w:hyperlink>
            <w:r w:rsidR="00F64CC5">
              <w:t xml:space="preserve">  </w:t>
            </w:r>
          </w:p>
          <w:p w14:paraId="242D0FB3" w14:textId="374ED084" w:rsidR="00CB4A2B" w:rsidRDefault="007A2202" w:rsidP="00F64CC5">
            <w:pPr>
              <w:pStyle w:val="Bulletindent1"/>
            </w:pPr>
            <w:r w:rsidRPr="00F64CC5">
              <w:rPr>
                <w:b/>
                <w:bCs/>
              </w:rPr>
              <w:t>Acceptable sources of allergy information include individual/carer/parent/guardian or National Care Record</w:t>
            </w:r>
            <w:r w:rsidR="00F64CC5">
              <w:rPr>
                <w:b/>
                <w:bCs/>
              </w:rPr>
              <w:t>.</w:t>
            </w:r>
          </w:p>
        </w:tc>
      </w:tr>
      <w:tr w:rsidR="00AE4F4B" w14:paraId="2086F951" w14:textId="77777777" w:rsidTr="00D36D23">
        <w:tc>
          <w:tcPr>
            <w:tcW w:w="2689" w:type="dxa"/>
          </w:tcPr>
          <w:p w14:paraId="34F2E318" w14:textId="7E1AEDD6" w:rsidR="00AE4F4B" w:rsidRPr="00D05A10" w:rsidRDefault="00AA150C" w:rsidP="005A6168">
            <w:pPr>
              <w:rPr>
                <w:rStyle w:val="TableHeaderColumn"/>
                <w:kern w:val="0"/>
                <w:sz w:val="22"/>
              </w:rPr>
            </w:pPr>
            <w:r w:rsidRPr="00D05A10">
              <w:rPr>
                <w:rStyle w:val="TableHeaderColumn"/>
                <w:kern w:val="0"/>
                <w:sz w:val="22"/>
              </w:rPr>
              <w:lastRenderedPageBreak/>
              <w:t xml:space="preserve">Cautions </w:t>
            </w:r>
            <w:r w:rsidR="003E69CD" w:rsidRPr="00D05A10">
              <w:rPr>
                <w:rStyle w:val="TableHeaderColumn"/>
                <w:kern w:val="0"/>
                <w:sz w:val="22"/>
              </w:rPr>
              <w:t>including any relevant action to be taken</w:t>
            </w:r>
          </w:p>
        </w:tc>
        <w:tc>
          <w:tcPr>
            <w:tcW w:w="5806" w:type="dxa"/>
          </w:tcPr>
          <w:p w14:paraId="7A0962FD" w14:textId="77777777" w:rsidR="00696D83" w:rsidRPr="00A4155C" w:rsidRDefault="00696D83" w:rsidP="00696D83">
            <w:pPr>
              <w:pStyle w:val="Bulletindent1"/>
              <w:rPr>
                <w:rFonts w:eastAsia="Arial"/>
              </w:rPr>
            </w:pPr>
            <w:r w:rsidRPr="00A4155C">
              <w:rPr>
                <w:rFonts w:eastAsia="Arial"/>
              </w:rPr>
              <w:t>Malathion liquid is for external use only and should not be applied to broken or secondarily infected skin. Avoid contact with the eyes, mouth and inside the ears. The medicinal product must not be swallowed.</w:t>
            </w:r>
          </w:p>
          <w:p w14:paraId="73453B84" w14:textId="4A46E4BB" w:rsidR="00F64CC5" w:rsidRPr="001665C4" w:rsidRDefault="00F64CC5" w:rsidP="00696D83">
            <w:pPr>
              <w:pStyle w:val="Bulletindent1"/>
              <w:rPr>
                <w:rFonts w:cs="Arial"/>
              </w:rPr>
            </w:pPr>
            <w:r w:rsidRPr="001665C4">
              <w:rPr>
                <w:rFonts w:cs="Arial"/>
                <w:b/>
                <w:iCs/>
              </w:rPr>
              <w:t>Breast/chest-feeding individuals</w:t>
            </w:r>
            <w:r w:rsidR="00696D83">
              <w:rPr>
                <w:rFonts w:cs="Arial"/>
                <w:iCs/>
              </w:rPr>
              <w:t xml:space="preserve"> Malathion0.5% liquid</w:t>
            </w:r>
            <w:r w:rsidRPr="001665C4">
              <w:rPr>
                <w:rFonts w:cs="Arial"/>
                <w:iCs/>
              </w:rPr>
              <w:t xml:space="preserve"> can be used in breast/chest-feeding individuals (as per </w:t>
            </w:r>
            <w:hyperlink r:id="rId21" w:history="1">
              <w:r w:rsidR="001665C4">
                <w:rPr>
                  <w:rStyle w:val="Hyperlink"/>
                </w:rPr>
                <w:t>British Association for Sexual Health and HIV National Guideline on the Management of Scabies in adults 2025</w:t>
              </w:r>
            </w:hyperlink>
            <w:r w:rsidR="001665C4">
              <w:t xml:space="preserve"> </w:t>
            </w:r>
            <w:r w:rsidRPr="001665C4">
              <w:rPr>
                <w:rFonts w:cs="Arial"/>
                <w:iCs/>
              </w:rPr>
              <w:t>): p</w:t>
            </w:r>
            <w:r w:rsidRPr="001665C4">
              <w:rPr>
                <w:rFonts w:cs="Arial"/>
              </w:rPr>
              <w:t>eople who are breast/chest-feeding should remove the cream from the nipples before breast/chest-feeding and reapply treatment afterwards.</w:t>
            </w:r>
          </w:p>
          <w:p w14:paraId="42093EF3" w14:textId="2D63378B" w:rsidR="00F64CC5" w:rsidRPr="001D5CAB" w:rsidRDefault="001665C4" w:rsidP="00696D83">
            <w:pPr>
              <w:pStyle w:val="Bulletindent1"/>
              <w:rPr>
                <w:highlight w:val="cyan"/>
              </w:rPr>
            </w:pPr>
            <w:r>
              <w:rPr>
                <w:highlight w:val="cyan"/>
              </w:rPr>
              <w:t>[</w:t>
            </w:r>
            <w:r w:rsidR="00F64CC5" w:rsidRPr="001D5CAB">
              <w:rPr>
                <w:highlight w:val="cyan"/>
              </w:rPr>
              <w:t>If the individual is less than 16 years of age an assessment based on Fraser guidelines must be made and documented</w:t>
            </w:r>
            <w:r>
              <w:rPr>
                <w:highlight w:val="cyan"/>
              </w:rPr>
              <w:t>]</w:t>
            </w:r>
            <w:r w:rsidR="00F64CC5" w:rsidRPr="001D5CAB">
              <w:rPr>
                <w:highlight w:val="cyan"/>
              </w:rPr>
              <w:t xml:space="preserve">. </w:t>
            </w:r>
          </w:p>
          <w:p w14:paraId="77C0BDD3" w14:textId="5DB46791" w:rsidR="00F64CC5" w:rsidRPr="001D5CAB" w:rsidRDefault="001665C4" w:rsidP="00696D83">
            <w:pPr>
              <w:pStyle w:val="Bulletindent1"/>
              <w:rPr>
                <w:highlight w:val="cyan"/>
              </w:rPr>
            </w:pPr>
            <w:r>
              <w:rPr>
                <w:highlight w:val="cyan"/>
              </w:rPr>
              <w:t>[</w:t>
            </w:r>
            <w:r w:rsidR="00F64CC5" w:rsidRPr="001D5CAB">
              <w:rPr>
                <w:highlight w:val="cyan"/>
              </w:rPr>
              <w:t>If the presenting individual is under 13 years of age the healthcare professional should speak to local safeguarding lead and follow the local safeguarding policy (note under 13 years of age</w:t>
            </w:r>
            <w:r w:rsidR="00F64CC5">
              <w:rPr>
                <w:highlight w:val="cyan"/>
              </w:rPr>
              <w:t xml:space="preserve"> </w:t>
            </w:r>
            <w:r w:rsidR="00F64CC5" w:rsidRPr="001D5CAB">
              <w:rPr>
                <w:highlight w:val="cyan"/>
              </w:rPr>
              <w:t>excluded from treatment under this PGD).</w:t>
            </w:r>
            <w:r>
              <w:rPr>
                <w:highlight w:val="cyan"/>
              </w:rPr>
              <w:t>]</w:t>
            </w:r>
          </w:p>
          <w:p w14:paraId="64FEDD91" w14:textId="383F47C8" w:rsidR="00CB4A2B" w:rsidRDefault="00F64CC5" w:rsidP="00696D83">
            <w:pPr>
              <w:pStyle w:val="Bulletindent1"/>
            </w:pPr>
            <w:r w:rsidRPr="008D2560">
              <w:t>Discuss with appropriate medical/independent non-medical prescriber any medical condition or medication of which the healthcare professional is unsure or uncertain.</w:t>
            </w:r>
          </w:p>
        </w:tc>
      </w:tr>
      <w:tr w:rsidR="00AE4F4B" w14:paraId="6142EA67" w14:textId="77777777" w:rsidTr="00D36D23">
        <w:tc>
          <w:tcPr>
            <w:tcW w:w="2689" w:type="dxa"/>
          </w:tcPr>
          <w:p w14:paraId="751752A4" w14:textId="3BF2F402" w:rsidR="00AE4F4B" w:rsidRPr="00D05A10" w:rsidRDefault="003E69CD" w:rsidP="005A6168">
            <w:pPr>
              <w:rPr>
                <w:rStyle w:val="TableHeaderColumn"/>
                <w:kern w:val="0"/>
                <w:sz w:val="22"/>
              </w:rPr>
            </w:pPr>
            <w:r w:rsidRPr="00D05A10">
              <w:rPr>
                <w:rStyle w:val="TableHeaderColumn"/>
                <w:kern w:val="0"/>
                <w:sz w:val="22"/>
              </w:rPr>
              <w:t>Actions to be taken if the individual is excluded or declines treatment</w:t>
            </w:r>
          </w:p>
        </w:tc>
        <w:tc>
          <w:tcPr>
            <w:tcW w:w="5806" w:type="dxa"/>
          </w:tcPr>
          <w:p w14:paraId="57ED032A" w14:textId="55C504A6" w:rsidR="008B1B9D" w:rsidRDefault="008B1B9D" w:rsidP="008B1B9D">
            <w:pPr>
              <w:pStyle w:val="Bulletindent1"/>
            </w:pPr>
            <w:r>
              <w:t>If declined ensure individual is aware of the need for treatment and the potential consequences of not receiving treatment.</w:t>
            </w:r>
          </w:p>
          <w:p w14:paraId="0D9FD0EA" w14:textId="49F29453" w:rsidR="008B1B9D" w:rsidRDefault="008B1B9D" w:rsidP="0012506B">
            <w:pPr>
              <w:pStyle w:val="Bulletindent1"/>
            </w:pPr>
            <w:r>
              <w:t>Explain the reasons for exclusion to the individual and document in the consultation record.</w:t>
            </w:r>
          </w:p>
          <w:p w14:paraId="1ACA62F4" w14:textId="479C3351" w:rsidR="00AE4F4B" w:rsidRDefault="008B1B9D" w:rsidP="0012506B">
            <w:pPr>
              <w:pStyle w:val="Bulletindent1"/>
            </w:pPr>
            <w:r>
              <w:t xml:space="preserve">Where required refer the individual to a suitable health service provider if appropriate and/or </w:t>
            </w:r>
            <w:r>
              <w:lastRenderedPageBreak/>
              <w:t>provide them with information about further options.</w:t>
            </w:r>
          </w:p>
        </w:tc>
      </w:tr>
    </w:tbl>
    <w:p w14:paraId="33A25EBD" w14:textId="75A4AEE9" w:rsidR="00BB2599" w:rsidRDefault="00BB2599" w:rsidP="005A6168">
      <w:pPr>
        <w:pStyle w:val="PGDNormal"/>
      </w:pPr>
    </w:p>
    <w:p w14:paraId="035E86F2" w14:textId="61E18D71" w:rsidR="007A1448" w:rsidRDefault="00C25DE0" w:rsidP="004D451D">
      <w:pPr>
        <w:pStyle w:val="Heading1"/>
      </w:pPr>
      <w:r w:rsidRPr="00DF77C7">
        <w:t>D</w:t>
      </w:r>
      <w:r w:rsidR="007A1448" w:rsidRPr="00DF77C7">
        <w:t>e</w:t>
      </w:r>
      <w:r w:rsidR="003E69CD">
        <w:t>scription of treatment</w:t>
      </w:r>
    </w:p>
    <w:tbl>
      <w:tblPr>
        <w:tblStyle w:val="TableGrid"/>
        <w:tblW w:w="8926" w:type="dxa"/>
        <w:tblLook w:val="04A0" w:firstRow="1" w:lastRow="0" w:firstColumn="1" w:lastColumn="0" w:noHBand="0" w:noVBand="1"/>
        <w:tblCaption w:val="Table including details of the treatment"/>
        <w:tblDescription w:val="This table provides details of the treatment included in the PGD template.  It consists of fourteen rows which include the name form and strength of the medicine, legal category, route or method of administration, off-label use, dose and frequency of administration, quantity to be supplied,  duration of treatment, storage, drug interactions, identification and management of adverse reactions, management and reporting of  adverse reactions,  written or other information for the individual, carer, parent or guardian, follow-up treatment and records to be kept."/>
      </w:tblPr>
      <w:tblGrid>
        <w:gridCol w:w="3397"/>
        <w:gridCol w:w="5529"/>
      </w:tblGrid>
      <w:tr w:rsidR="00165DD9" w14:paraId="2B351AEC" w14:textId="77777777" w:rsidTr="006A7AF1">
        <w:tc>
          <w:tcPr>
            <w:tcW w:w="3397" w:type="dxa"/>
          </w:tcPr>
          <w:p w14:paraId="6EB1838B" w14:textId="461B0EDD" w:rsidR="00165DD9" w:rsidRPr="00D0139F" w:rsidRDefault="00165DD9" w:rsidP="005A6168">
            <w:pPr>
              <w:rPr>
                <w:rStyle w:val="TableHeaderColumn"/>
                <w:kern w:val="0"/>
                <w:sz w:val="22"/>
              </w:rPr>
            </w:pPr>
            <w:r w:rsidRPr="00D0139F">
              <w:rPr>
                <w:rStyle w:val="TableHeaderColumn"/>
                <w:kern w:val="0"/>
                <w:sz w:val="22"/>
              </w:rPr>
              <w:t xml:space="preserve">Name, form and strength of </w:t>
            </w:r>
            <w:r w:rsidR="004A295D" w:rsidRPr="00D0139F">
              <w:rPr>
                <w:rStyle w:val="TableHeaderColumn"/>
                <w:kern w:val="0"/>
                <w:sz w:val="22"/>
              </w:rPr>
              <w:t>medicine</w:t>
            </w:r>
          </w:p>
        </w:tc>
        <w:tc>
          <w:tcPr>
            <w:tcW w:w="5529" w:type="dxa"/>
          </w:tcPr>
          <w:p w14:paraId="635DB6B9" w14:textId="77777777" w:rsidR="00696D83" w:rsidRDefault="00696D83" w:rsidP="00696D83">
            <w:pPr>
              <w:pStyle w:val="Tabletext"/>
            </w:pPr>
            <w:r>
              <w:t>Malathion 0.5% liquid</w:t>
            </w:r>
          </w:p>
          <w:p w14:paraId="2B104BB5" w14:textId="20CA03CA" w:rsidR="00BA5AC3" w:rsidRPr="0012506B" w:rsidRDefault="00BA5AC3" w:rsidP="00BA5AC3">
            <w:pPr>
              <w:pStyle w:val="Tabletext"/>
            </w:pPr>
          </w:p>
        </w:tc>
      </w:tr>
      <w:tr w:rsidR="00165DD9" w14:paraId="6DAA0645" w14:textId="77777777" w:rsidTr="006A7AF1">
        <w:tc>
          <w:tcPr>
            <w:tcW w:w="3397" w:type="dxa"/>
          </w:tcPr>
          <w:p w14:paraId="2F56A41B" w14:textId="05091A78" w:rsidR="00165DD9" w:rsidRPr="00D0139F" w:rsidRDefault="00165DD9" w:rsidP="005A6168">
            <w:pPr>
              <w:rPr>
                <w:rStyle w:val="TableHeaderColumn"/>
                <w:kern w:val="0"/>
                <w:sz w:val="22"/>
              </w:rPr>
            </w:pPr>
            <w:r w:rsidRPr="00D0139F">
              <w:rPr>
                <w:rStyle w:val="TableHeaderColumn"/>
                <w:kern w:val="0"/>
                <w:sz w:val="22"/>
              </w:rPr>
              <w:t>Legal category</w:t>
            </w:r>
          </w:p>
        </w:tc>
        <w:tc>
          <w:tcPr>
            <w:tcW w:w="5529" w:type="dxa"/>
          </w:tcPr>
          <w:p w14:paraId="29E26784" w14:textId="7A3C5ECA" w:rsidR="00165DD9" w:rsidRDefault="00590856" w:rsidP="009B62D2">
            <w:pPr>
              <w:pStyle w:val="Tabletext"/>
            </w:pPr>
            <w:r>
              <w:t>P</w:t>
            </w:r>
          </w:p>
        </w:tc>
      </w:tr>
      <w:tr w:rsidR="00165DD9" w14:paraId="44E2B1CC" w14:textId="77777777" w:rsidTr="006A7AF1">
        <w:tc>
          <w:tcPr>
            <w:tcW w:w="3397" w:type="dxa"/>
          </w:tcPr>
          <w:p w14:paraId="2EBF84AC" w14:textId="11EBC0E6" w:rsidR="004A295D" w:rsidRPr="00D0139F" w:rsidRDefault="00165DD9" w:rsidP="005A6168">
            <w:pPr>
              <w:rPr>
                <w:rStyle w:val="TableHeaderColumn"/>
                <w:kern w:val="0"/>
                <w:sz w:val="22"/>
              </w:rPr>
            </w:pPr>
            <w:r w:rsidRPr="00D0139F">
              <w:rPr>
                <w:rStyle w:val="TableHeaderColumn"/>
                <w:kern w:val="0"/>
                <w:sz w:val="22"/>
              </w:rPr>
              <w:t>Route</w:t>
            </w:r>
            <w:r w:rsidR="009604EE" w:rsidRPr="00D0139F">
              <w:rPr>
                <w:rStyle w:val="TableHeaderColumn"/>
                <w:kern w:val="0"/>
                <w:sz w:val="22"/>
              </w:rPr>
              <w:t xml:space="preserve"> or </w:t>
            </w:r>
            <w:r w:rsidRPr="00D0139F">
              <w:rPr>
                <w:rStyle w:val="TableHeaderColumn"/>
                <w:kern w:val="0"/>
                <w:sz w:val="22"/>
              </w:rPr>
              <w:t>method of administration</w:t>
            </w:r>
          </w:p>
        </w:tc>
        <w:tc>
          <w:tcPr>
            <w:tcW w:w="5529" w:type="dxa"/>
          </w:tcPr>
          <w:p w14:paraId="04517ADA" w14:textId="0A602303" w:rsidR="004A295D" w:rsidRDefault="00D0139F" w:rsidP="0012506B">
            <w:pPr>
              <w:pStyle w:val="Tabletext"/>
            </w:pPr>
            <w:r>
              <w:rPr>
                <w:rFonts w:cs="Arial"/>
              </w:rPr>
              <w:t>Topical</w:t>
            </w:r>
          </w:p>
        </w:tc>
      </w:tr>
      <w:tr w:rsidR="003E69CD" w14:paraId="264CA183" w14:textId="77777777" w:rsidTr="006A7AF1">
        <w:tc>
          <w:tcPr>
            <w:tcW w:w="3397" w:type="dxa"/>
          </w:tcPr>
          <w:p w14:paraId="011DED45" w14:textId="0D334062" w:rsidR="003E69CD" w:rsidRPr="00D0139F" w:rsidRDefault="003E69CD" w:rsidP="005A6168">
            <w:pPr>
              <w:rPr>
                <w:rStyle w:val="TableHeaderColumn"/>
                <w:kern w:val="0"/>
                <w:sz w:val="22"/>
              </w:rPr>
            </w:pPr>
            <w:r w:rsidRPr="00D0139F">
              <w:rPr>
                <w:rStyle w:val="TableHeaderColumn"/>
                <w:kern w:val="0"/>
                <w:sz w:val="22"/>
              </w:rPr>
              <w:t>Off label use</w:t>
            </w:r>
          </w:p>
        </w:tc>
        <w:tc>
          <w:tcPr>
            <w:tcW w:w="5529" w:type="dxa"/>
          </w:tcPr>
          <w:p w14:paraId="4D2CBB32" w14:textId="28C6B7C0" w:rsidR="0012506B" w:rsidRDefault="0012506B" w:rsidP="0012506B">
            <w:pPr>
              <w:pStyle w:val="Tabletext"/>
            </w:pPr>
            <w:r>
              <w:t xml:space="preserve">Best practice advice is given by BASHH and is used as the reference guidance in this PGD and may vary from the </w:t>
            </w:r>
            <w:hyperlink r:id="rId22" w:history="1">
              <w:r w:rsidR="004D451D">
                <w:rPr>
                  <w:rStyle w:val="Hyperlink"/>
                </w:rPr>
                <w:t>Summary of Product Characteristics (SmPC) which can be accessed on the MHRA website</w:t>
              </w:r>
            </w:hyperlink>
          </w:p>
          <w:p w14:paraId="48165889" w14:textId="77777777" w:rsidR="0012506B" w:rsidRDefault="0012506B" w:rsidP="0012506B">
            <w:pPr>
              <w:pStyle w:val="Tabletext"/>
            </w:pPr>
          </w:p>
          <w:p w14:paraId="2B5A6675" w14:textId="0487BCB5" w:rsidR="005F17C5" w:rsidRPr="005A6885" w:rsidRDefault="005F17C5" w:rsidP="005A6885">
            <w:pPr>
              <w:pStyle w:val="Tabletext"/>
            </w:pPr>
            <w:r w:rsidRPr="005A6885">
              <w:t xml:space="preserve">Medicines should be stored according to the conditions detailed in the </w:t>
            </w:r>
            <w:hyperlink w:anchor="Storage" w:history="1">
              <w:r w:rsidRPr="00FB2E11">
                <w:rPr>
                  <w:rStyle w:val="Hyperlink"/>
                </w:rPr>
                <w:t>Storage section below</w:t>
              </w:r>
            </w:hyperlink>
            <w:r w:rsidRPr="005A6885">
              <w:t>. However, in the event of an inadvertent or unavoidable deviation of these conditions the local pharmacy or Medicines Management team must be consulted.  Where medicines have been assessed by pharmacy/Medicines Management in accordance with national or specific product recommendations as appropriate for continued use this would constitute off-label administration under this PGD. The responsibility for the decision to release the affected drugs for use lies with pharmacy/Medicines Management.</w:t>
            </w:r>
          </w:p>
          <w:p w14:paraId="46196D32" w14:textId="77777777" w:rsidR="005F17C5" w:rsidRPr="005A6885" w:rsidRDefault="005F17C5" w:rsidP="005A6885">
            <w:pPr>
              <w:pStyle w:val="Tabletext"/>
            </w:pPr>
          </w:p>
          <w:p w14:paraId="74240E7C" w14:textId="587EF712" w:rsidR="003E69CD" w:rsidRPr="003B61FD" w:rsidRDefault="005F17C5" w:rsidP="005F17C5">
            <w:pPr>
              <w:pStyle w:val="Tabletext"/>
              <w:rPr>
                <w:szCs w:val="22"/>
              </w:rPr>
            </w:pPr>
            <w:r w:rsidRPr="005A6885">
              <w:t>Where a medicine is recommended off-label consider, as part of the consent process, informing the individual/parent/carer that the drug is being offered in accordance with national guidance but that this is outside the product licence.</w:t>
            </w:r>
          </w:p>
        </w:tc>
      </w:tr>
      <w:tr w:rsidR="00FB2E11" w:rsidRPr="00FB2E11" w14:paraId="27DDC201" w14:textId="77777777" w:rsidTr="006A7AF1">
        <w:tc>
          <w:tcPr>
            <w:tcW w:w="3397" w:type="dxa"/>
          </w:tcPr>
          <w:p w14:paraId="47CBA637" w14:textId="26C43375" w:rsidR="00165DD9" w:rsidRPr="00D0139F" w:rsidRDefault="00165DD9" w:rsidP="005A6168">
            <w:pPr>
              <w:rPr>
                <w:rStyle w:val="TableHeaderColumn"/>
                <w:kern w:val="0"/>
                <w:sz w:val="22"/>
              </w:rPr>
            </w:pPr>
            <w:bookmarkStart w:id="5" w:name="Dose"/>
            <w:bookmarkEnd w:id="5"/>
            <w:r w:rsidRPr="00D0139F">
              <w:rPr>
                <w:rStyle w:val="TableHeaderColumn"/>
                <w:kern w:val="0"/>
                <w:sz w:val="22"/>
              </w:rPr>
              <w:t>Dose and frequency</w:t>
            </w:r>
            <w:r w:rsidR="005F17C5" w:rsidRPr="00D0139F">
              <w:rPr>
                <w:rStyle w:val="TableHeaderColumn"/>
                <w:kern w:val="0"/>
                <w:sz w:val="22"/>
              </w:rPr>
              <w:t xml:space="preserve"> of administration</w:t>
            </w:r>
          </w:p>
        </w:tc>
        <w:tc>
          <w:tcPr>
            <w:tcW w:w="5529" w:type="dxa"/>
          </w:tcPr>
          <w:p w14:paraId="09BA0C10" w14:textId="09EFBB2D" w:rsidR="00D0139F" w:rsidRPr="00FB2E11" w:rsidRDefault="00D0139F" w:rsidP="00A04288">
            <w:pPr>
              <w:pStyle w:val="Bulletindent1"/>
            </w:pPr>
            <w:r w:rsidRPr="00FB2E11">
              <w:t xml:space="preserve">The </w:t>
            </w:r>
            <w:r w:rsidR="00A04288" w:rsidRPr="00FB2E11">
              <w:rPr>
                <w:rFonts w:cs="Arial"/>
              </w:rPr>
              <w:t>liquid</w:t>
            </w:r>
            <w:r w:rsidRPr="00FB2E11">
              <w:t xml:space="preserve"> should be applied to cool dry skin (not after a hot bath)</w:t>
            </w:r>
          </w:p>
          <w:p w14:paraId="378F16DA" w14:textId="77777777" w:rsidR="00A04288" w:rsidRPr="00FB2E11" w:rsidRDefault="00A04288" w:rsidP="00A04288">
            <w:pPr>
              <w:pStyle w:val="Bulletindent1"/>
            </w:pPr>
            <w:r w:rsidRPr="00FB2E11">
              <w:t>Course is two treatments as described below</w:t>
            </w:r>
          </w:p>
          <w:p w14:paraId="5CF5F5BD" w14:textId="77777777" w:rsidR="00A04288" w:rsidRPr="00FB2E11" w:rsidRDefault="00A04288" w:rsidP="00A04288">
            <w:pPr>
              <w:pStyle w:val="Bulletindent1"/>
            </w:pPr>
            <w:r w:rsidRPr="00FB2E11">
              <w:rPr>
                <w:b/>
                <w:bCs/>
              </w:rPr>
              <w:t>Adults and children over 2 years of age</w:t>
            </w:r>
            <w:r w:rsidRPr="00FB2E11">
              <w:t>: Malathion should be applied over the whole body (including neck, face, ears and scalp) in two applications on Day 1 and Day 8 (the second dose can be applied up to Day 15)</w:t>
            </w:r>
          </w:p>
          <w:p w14:paraId="62E14C5E" w14:textId="77777777" w:rsidR="00A04288" w:rsidRPr="00FB2E11" w:rsidRDefault="00A04288" w:rsidP="00A04288">
            <w:pPr>
              <w:pStyle w:val="Bulletindent1"/>
            </w:pPr>
            <w:r w:rsidRPr="00FB2E11">
              <w:t>Older children should be supervised when applying the liquid to ensure that a thorough treatment is administered.</w:t>
            </w:r>
          </w:p>
          <w:p w14:paraId="783BA3E3" w14:textId="77777777" w:rsidR="00A04288" w:rsidRPr="00FB2E11" w:rsidRDefault="00A04288" w:rsidP="00A04288">
            <w:pPr>
              <w:pStyle w:val="Bulletindent1"/>
            </w:pPr>
            <w:r w:rsidRPr="00FB2E11">
              <w:t>Assistance with topical application may be required (e.g. from a partner, relative or carer) to ensure full coverage.</w:t>
            </w:r>
          </w:p>
          <w:p w14:paraId="6AB47447" w14:textId="230B3154" w:rsidR="0012506B" w:rsidRPr="00FB2E11" w:rsidRDefault="00A04288" w:rsidP="00A04288">
            <w:pPr>
              <w:pStyle w:val="Bulletindent1"/>
            </w:pPr>
            <w:r w:rsidRPr="00FB2E11">
              <w:lastRenderedPageBreak/>
              <w:t>Treatment should be washed off after 24 hours. If hands, or any other body parts, are washed during the 24-h period, the treatment must be reapplied to those areas.</w:t>
            </w:r>
          </w:p>
        </w:tc>
      </w:tr>
      <w:tr w:rsidR="00165DD9" w14:paraId="25154B5D" w14:textId="77777777" w:rsidTr="006A7AF1">
        <w:tc>
          <w:tcPr>
            <w:tcW w:w="3397" w:type="dxa"/>
          </w:tcPr>
          <w:p w14:paraId="01685DA9" w14:textId="58D20A53" w:rsidR="00165DD9" w:rsidRPr="00D0139F" w:rsidRDefault="00165DD9" w:rsidP="005A6168">
            <w:pPr>
              <w:rPr>
                <w:rStyle w:val="TableHeaderColumn"/>
                <w:kern w:val="0"/>
                <w:sz w:val="22"/>
              </w:rPr>
            </w:pPr>
            <w:r w:rsidRPr="00D0139F">
              <w:rPr>
                <w:rStyle w:val="TableHeaderColumn"/>
                <w:kern w:val="0"/>
                <w:sz w:val="22"/>
              </w:rPr>
              <w:lastRenderedPageBreak/>
              <w:t xml:space="preserve">Quantity to be </w:t>
            </w:r>
            <w:r w:rsidR="0012506B" w:rsidRPr="00D0139F">
              <w:rPr>
                <w:rStyle w:val="TableHeaderColumn"/>
                <w:kern w:val="0"/>
                <w:sz w:val="22"/>
              </w:rPr>
              <w:t>supplied</w:t>
            </w:r>
          </w:p>
        </w:tc>
        <w:tc>
          <w:tcPr>
            <w:tcW w:w="5529" w:type="dxa"/>
          </w:tcPr>
          <w:p w14:paraId="1BDDBFD7" w14:textId="0659996F" w:rsidR="00165DD9" w:rsidRDefault="00A04288" w:rsidP="00A04288">
            <w:pPr>
              <w:pStyle w:val="Tabletext"/>
            </w:pPr>
            <w:r w:rsidRPr="00A04288">
              <w:t xml:space="preserve">One or two bottles of 150ml (depending on body surface area) </w:t>
            </w:r>
            <w:r w:rsidR="00D0139F" w:rsidRPr="00D0139F">
              <w:t>(corresponding to ¼ tube of 30g)</w:t>
            </w:r>
          </w:p>
        </w:tc>
      </w:tr>
      <w:tr w:rsidR="006A7AF1" w14:paraId="073231F9" w14:textId="77777777" w:rsidTr="006A7AF1">
        <w:tc>
          <w:tcPr>
            <w:tcW w:w="3397" w:type="dxa"/>
            <w:tcBorders>
              <w:top w:val="single" w:sz="4" w:space="0" w:color="auto"/>
              <w:left w:val="single" w:sz="4" w:space="0" w:color="auto"/>
              <w:bottom w:val="single" w:sz="4" w:space="0" w:color="auto"/>
              <w:right w:val="single" w:sz="4" w:space="0" w:color="auto"/>
            </w:tcBorders>
            <w:shd w:val="clear" w:color="auto" w:fill="auto"/>
          </w:tcPr>
          <w:p w14:paraId="3CF8ECDD" w14:textId="525F8E89" w:rsidR="006A7AF1" w:rsidRPr="00D0139F" w:rsidRDefault="005F17C5" w:rsidP="005A6168">
            <w:pPr>
              <w:rPr>
                <w:rStyle w:val="TableHeaderColumn"/>
                <w:kern w:val="0"/>
                <w:sz w:val="22"/>
              </w:rPr>
            </w:pPr>
            <w:r w:rsidRPr="00D0139F">
              <w:rPr>
                <w:rStyle w:val="TableHeaderColumn"/>
                <w:kern w:val="0"/>
                <w:sz w:val="22"/>
              </w:rPr>
              <w:t>Duration of treatment</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34A3B3B7" w14:textId="1C53E7F6" w:rsidR="006A7AF1" w:rsidRDefault="00D0139F" w:rsidP="00CB4A2B">
            <w:pPr>
              <w:pStyle w:val="Tabletext"/>
            </w:pPr>
            <w:r w:rsidRPr="00D0139F">
              <w:rPr>
                <w:lang w:val="en-GB"/>
              </w:rPr>
              <w:t>Usual course is two treatments 1-2 weeks apart.</w:t>
            </w:r>
          </w:p>
        </w:tc>
      </w:tr>
      <w:tr w:rsidR="005F17C5" w14:paraId="28CB51BD" w14:textId="77777777" w:rsidTr="006A7AF1">
        <w:tc>
          <w:tcPr>
            <w:tcW w:w="3397" w:type="dxa"/>
            <w:tcBorders>
              <w:top w:val="single" w:sz="4" w:space="0" w:color="auto"/>
              <w:left w:val="single" w:sz="4" w:space="0" w:color="auto"/>
              <w:bottom w:val="single" w:sz="4" w:space="0" w:color="auto"/>
              <w:right w:val="single" w:sz="4" w:space="0" w:color="auto"/>
            </w:tcBorders>
            <w:shd w:val="clear" w:color="auto" w:fill="auto"/>
          </w:tcPr>
          <w:p w14:paraId="69119C98" w14:textId="4AFD6B1F" w:rsidR="005F17C5" w:rsidRPr="00D0139F" w:rsidRDefault="005F17C5" w:rsidP="005A6168">
            <w:pPr>
              <w:rPr>
                <w:rStyle w:val="TableHeaderColumn"/>
                <w:kern w:val="0"/>
                <w:sz w:val="22"/>
              </w:rPr>
            </w:pPr>
            <w:bookmarkStart w:id="6" w:name="Storage"/>
            <w:bookmarkEnd w:id="6"/>
            <w:r w:rsidRPr="00D0139F">
              <w:rPr>
                <w:rStyle w:val="TableHeaderColumn"/>
                <w:kern w:val="0"/>
                <w:sz w:val="22"/>
              </w:rPr>
              <w:t>Storage</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63B16DBA" w14:textId="15FDA75A" w:rsidR="005F17C5" w:rsidRPr="00C434B8" w:rsidRDefault="005F17C5" w:rsidP="007C7E70">
            <w:pPr>
              <w:overflowPunct w:val="0"/>
              <w:autoSpaceDE w:val="0"/>
              <w:autoSpaceDN w:val="0"/>
              <w:adjustRightInd w:val="0"/>
              <w:textAlignment w:val="baseline"/>
              <w:rPr>
                <w:rFonts w:ascii="Arial" w:eastAsia="Times New Roman" w:hAnsi="Arial" w:cs="Arial"/>
                <w:kern w:val="0"/>
                <w:sz w:val="22"/>
                <w:lang w:val="en-US"/>
                <w14:ligatures w14:val="none"/>
              </w:rPr>
            </w:pPr>
            <w:r w:rsidRPr="005A6885">
              <w:rPr>
                <w:rFonts w:ascii="Arial" w:eastAsia="Times New Roman" w:hAnsi="Arial" w:cs="Arial"/>
                <w:kern w:val="0"/>
                <w:sz w:val="22"/>
                <w:lang w:val="en-US"/>
                <w14:ligatures w14:val="none"/>
              </w:rPr>
              <w:t xml:space="preserve">Medicines must be stored securely according to national guidelines and in accordance with the </w:t>
            </w:r>
            <w:hyperlink r:id="rId23" w:history="1">
              <w:r w:rsidR="00D0139F">
                <w:rPr>
                  <w:rStyle w:val="Hyperlink"/>
                </w:rPr>
                <w:t xml:space="preserve"> </w:t>
              </w:r>
              <w:hyperlink r:id="rId24" w:history="1">
                <w:r w:rsidR="00A04288">
                  <w:rPr>
                    <w:rStyle w:val="Hyperlink"/>
                    <w:rFonts w:ascii="Arial" w:eastAsia="Times New Roman" w:hAnsi="Arial"/>
                    <w:kern w:val="0"/>
                    <w:sz w:val="22"/>
                    <w14:ligatures w14:val="none"/>
                  </w:rPr>
                  <w:t>Summary of Product Characteristics (SmPC) which can be accessed on the MHRA website</w:t>
                </w:r>
              </w:hyperlink>
            </w:hyperlink>
          </w:p>
        </w:tc>
      </w:tr>
      <w:tr w:rsidR="00700627" w14:paraId="2CD9E9DF" w14:textId="77777777" w:rsidTr="00AA03B9">
        <w:tc>
          <w:tcPr>
            <w:tcW w:w="3397" w:type="dxa"/>
            <w:tcBorders>
              <w:top w:val="single" w:sz="4" w:space="0" w:color="auto"/>
              <w:left w:val="single" w:sz="4" w:space="0" w:color="auto"/>
              <w:bottom w:val="single" w:sz="4" w:space="0" w:color="auto"/>
              <w:right w:val="single" w:sz="4" w:space="0" w:color="auto"/>
            </w:tcBorders>
          </w:tcPr>
          <w:p w14:paraId="580D0647" w14:textId="706B8F3C" w:rsidR="00700627" w:rsidRPr="00D0139F" w:rsidRDefault="00700627" w:rsidP="005A6168">
            <w:pPr>
              <w:rPr>
                <w:rStyle w:val="TableHeaderColumn"/>
                <w:kern w:val="0"/>
                <w:sz w:val="22"/>
              </w:rPr>
            </w:pPr>
            <w:r w:rsidRPr="00D0139F">
              <w:rPr>
                <w:rStyle w:val="TableHeaderColumn"/>
                <w:kern w:val="0"/>
                <w:sz w:val="22"/>
              </w:rPr>
              <w:t>Drug interactions</w:t>
            </w:r>
          </w:p>
        </w:tc>
        <w:tc>
          <w:tcPr>
            <w:tcW w:w="5529" w:type="dxa"/>
            <w:tcBorders>
              <w:top w:val="single" w:sz="4" w:space="0" w:color="auto"/>
              <w:left w:val="single" w:sz="4" w:space="0" w:color="auto"/>
              <w:bottom w:val="single" w:sz="4" w:space="0" w:color="auto"/>
              <w:right w:val="single" w:sz="4" w:space="0" w:color="auto"/>
            </w:tcBorders>
          </w:tcPr>
          <w:p w14:paraId="05ECD13F" w14:textId="77777777" w:rsidR="00D0139F" w:rsidRPr="00D0139F" w:rsidRDefault="00D0139F" w:rsidP="00D0139F">
            <w:pPr>
              <w:pStyle w:val="Tabletext"/>
            </w:pPr>
            <w:r w:rsidRPr="00D0139F">
              <w:t>Due to the external administration of the product and application of the active ingredients at a low dose, systemic absorption is very unlikely.  Therefore, no clinically significant interactions are expected.</w:t>
            </w:r>
          </w:p>
          <w:p w14:paraId="692404FF" w14:textId="77777777" w:rsidR="00D0139F" w:rsidRPr="00D0139F" w:rsidRDefault="00D0139F" w:rsidP="00D0139F">
            <w:pPr>
              <w:pStyle w:val="Tabletext"/>
            </w:pPr>
          </w:p>
          <w:p w14:paraId="25E0A3CC" w14:textId="77777777" w:rsidR="00D0139F" w:rsidRPr="00D0139F" w:rsidRDefault="00D0139F" w:rsidP="00D0139F">
            <w:pPr>
              <w:pStyle w:val="Tabletext"/>
            </w:pPr>
            <w:r w:rsidRPr="00D0139F">
              <w:t>Advise to avoid use of topical corticosteroids at the same time to avoid potential for exacerbation of scabies infection.</w:t>
            </w:r>
          </w:p>
          <w:p w14:paraId="35F897EF" w14:textId="77777777" w:rsidR="00D0139F" w:rsidRPr="00D0139F" w:rsidRDefault="00D0139F" w:rsidP="00D0139F">
            <w:pPr>
              <w:pStyle w:val="Tabletext"/>
            </w:pPr>
          </w:p>
          <w:p w14:paraId="06B6C616" w14:textId="77D5BB62" w:rsidR="00700627" w:rsidRDefault="00D0139F" w:rsidP="00D0139F">
            <w:pPr>
              <w:pStyle w:val="Tabletext"/>
            </w:pPr>
            <w:r w:rsidRPr="00D0139F">
              <w:rPr>
                <w:lang w:val="en-GB"/>
              </w:rPr>
              <w:t xml:space="preserve">A detailed list of all drug interactions is available in </w:t>
            </w:r>
            <w:hyperlink r:id="rId25" w:history="1">
              <w:r>
                <w:rPr>
                  <w:rStyle w:val="Hyperlink"/>
                  <w:lang w:val="en-GB"/>
                </w:rPr>
                <w:t>the BNF</w:t>
              </w:r>
            </w:hyperlink>
            <w:r w:rsidRPr="00D0139F">
              <w:rPr>
                <w:lang w:val="en-GB"/>
              </w:rPr>
              <w:t xml:space="preserve"> or the </w:t>
            </w:r>
            <w:hyperlink r:id="rId26" w:history="1">
              <w:r w:rsidRPr="00D0139F">
                <w:rPr>
                  <w:rStyle w:val="Hyperlink"/>
                  <w:lang w:val="en-GB"/>
                </w:rPr>
                <w:t xml:space="preserve"> </w:t>
              </w:r>
              <w:hyperlink r:id="rId27" w:history="1">
                <w:r w:rsidR="00A04288">
                  <w:rPr>
                    <w:rStyle w:val="Hyperlink"/>
                    <w:lang w:val="en-GB"/>
                  </w:rPr>
                  <w:t>Summary of Product Characteristics (SmPC) which can be accessed on the MHRA website</w:t>
                </w:r>
              </w:hyperlink>
            </w:hyperlink>
          </w:p>
        </w:tc>
      </w:tr>
      <w:tr w:rsidR="00700627" w14:paraId="39E46197" w14:textId="77777777" w:rsidTr="00AA03B9">
        <w:tc>
          <w:tcPr>
            <w:tcW w:w="3397" w:type="dxa"/>
            <w:tcBorders>
              <w:top w:val="single" w:sz="4" w:space="0" w:color="auto"/>
              <w:left w:val="single" w:sz="4" w:space="0" w:color="auto"/>
              <w:bottom w:val="single" w:sz="4" w:space="0" w:color="auto"/>
              <w:right w:val="single" w:sz="4" w:space="0" w:color="auto"/>
            </w:tcBorders>
            <w:shd w:val="clear" w:color="auto" w:fill="auto"/>
          </w:tcPr>
          <w:p w14:paraId="338D9536" w14:textId="7100B09A" w:rsidR="00700627" w:rsidRPr="00D0139F" w:rsidRDefault="00AE7448" w:rsidP="005A6168">
            <w:pPr>
              <w:rPr>
                <w:rStyle w:val="TableHeaderColumn"/>
                <w:kern w:val="0"/>
                <w:sz w:val="22"/>
              </w:rPr>
            </w:pPr>
            <w:r w:rsidRPr="00D0139F">
              <w:rPr>
                <w:rStyle w:val="TableHeaderColumn"/>
                <w:kern w:val="0"/>
                <w:sz w:val="22"/>
              </w:rPr>
              <w:t>Identification and management of adverse reactions</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029B9E46" w14:textId="75FA4532" w:rsidR="00D0139F" w:rsidRDefault="00D0139F" w:rsidP="00D0139F">
            <w:pPr>
              <w:pStyle w:val="Tabletext"/>
            </w:pPr>
            <w:r w:rsidRPr="002F0C8D">
              <w:rPr>
                <w:rFonts w:eastAsia="Calibri"/>
              </w:rPr>
              <w:t xml:space="preserve">A detailed list of adverse reactions is available in the </w:t>
            </w:r>
            <w:hyperlink r:id="rId28" w:history="1">
              <w:r w:rsidRPr="00D0139F">
                <w:rPr>
                  <w:rStyle w:val="Hyperlink"/>
                  <w:rFonts w:eastAsia="Calibri"/>
                  <w:lang w:val="en-GB"/>
                </w:rPr>
                <w:t xml:space="preserve"> </w:t>
              </w:r>
            </w:hyperlink>
            <w:hyperlink r:id="rId29" w:history="1">
              <w:r w:rsidR="00A04288">
                <w:rPr>
                  <w:rStyle w:val="Hyperlink"/>
                  <w:lang w:val="en-GB"/>
                </w:rPr>
                <w:t>Summary of Product Characteristics (SmPC) which can be accessed on the MHRA website</w:t>
              </w:r>
            </w:hyperlink>
            <w:r w:rsidRPr="002F0C8D">
              <w:rPr>
                <w:rFonts w:eastAsia="Calibri"/>
              </w:rPr>
              <w:t xml:space="preserve"> and </w:t>
            </w:r>
            <w:hyperlink r:id="rId30" w:history="1">
              <w:r>
                <w:rPr>
                  <w:rFonts w:eastAsia="Calibri"/>
                  <w:color w:val="0000FF"/>
                  <w:u w:val="single"/>
                </w:rPr>
                <w:t>the BNF</w:t>
              </w:r>
            </w:hyperlink>
          </w:p>
          <w:p w14:paraId="50D0963F" w14:textId="77777777" w:rsidR="00D0139F" w:rsidRPr="002F0C8D" w:rsidRDefault="00D0139F" w:rsidP="00D0139F">
            <w:pPr>
              <w:pStyle w:val="Tabletext"/>
              <w:rPr>
                <w:rFonts w:eastAsia="Calibri"/>
              </w:rPr>
            </w:pPr>
          </w:p>
          <w:p w14:paraId="69BA2ED9" w14:textId="77777777" w:rsidR="00A04288" w:rsidRPr="00A04288" w:rsidRDefault="00A04288" w:rsidP="00A04288">
            <w:pPr>
              <w:pStyle w:val="Tabletext"/>
              <w:rPr>
                <w:rFonts w:eastAsia="Calibri"/>
                <w:lang w:val="en-GB"/>
              </w:rPr>
            </w:pPr>
            <w:r w:rsidRPr="00A04288">
              <w:rPr>
                <w:rFonts w:eastAsia="Calibri"/>
                <w:lang w:val="en-GB"/>
              </w:rPr>
              <w:t xml:space="preserve">Skin reactions may occur with any topical treatment. </w:t>
            </w:r>
          </w:p>
          <w:p w14:paraId="26A4363E" w14:textId="77777777" w:rsidR="00A04288" w:rsidRPr="00A04288" w:rsidRDefault="00A04288" w:rsidP="00A04288">
            <w:pPr>
              <w:pStyle w:val="Tabletext"/>
              <w:rPr>
                <w:rFonts w:eastAsia="Calibri"/>
                <w:lang w:val="en-GB"/>
              </w:rPr>
            </w:pPr>
            <w:r w:rsidRPr="00A04288">
              <w:rPr>
                <w:rFonts w:eastAsia="Calibri"/>
                <w:lang w:val="en-GB"/>
              </w:rPr>
              <w:t>Malathion is generally well tolerated.</w:t>
            </w:r>
          </w:p>
          <w:p w14:paraId="04C1A239" w14:textId="77777777" w:rsidR="00A04288" w:rsidRPr="00A04288" w:rsidRDefault="00A04288" w:rsidP="00A04288">
            <w:pPr>
              <w:pStyle w:val="Tabletext"/>
              <w:rPr>
                <w:rFonts w:eastAsia="Calibri"/>
                <w:lang w:val="en-GB"/>
              </w:rPr>
            </w:pPr>
            <w:r w:rsidRPr="00A04288">
              <w:rPr>
                <w:rFonts w:eastAsia="Calibri"/>
                <w:lang w:val="en-GB"/>
              </w:rPr>
              <w:t>The following side effects have been reported with topical malathion:</w:t>
            </w:r>
          </w:p>
          <w:p w14:paraId="137912F1" w14:textId="77777777" w:rsidR="00A04288" w:rsidRPr="00A04288" w:rsidRDefault="00A04288" w:rsidP="00A04288">
            <w:pPr>
              <w:pStyle w:val="Bulletindent1"/>
              <w:rPr>
                <w:rFonts w:eastAsia="Calibri"/>
              </w:rPr>
            </w:pPr>
            <w:r w:rsidRPr="00A04288">
              <w:rPr>
                <w:rFonts w:eastAsia="Calibri"/>
              </w:rPr>
              <w:t>skin irritation and hypersensitivity reactions such as anaphylaxis, angioedema, and swollen eyes</w:t>
            </w:r>
          </w:p>
          <w:p w14:paraId="26D85DCD" w14:textId="77777777" w:rsidR="00A04288" w:rsidRPr="00A04288" w:rsidRDefault="00A04288" w:rsidP="00A04288">
            <w:pPr>
              <w:pStyle w:val="Bulletindent1"/>
              <w:rPr>
                <w:rFonts w:eastAsia="Calibri"/>
              </w:rPr>
            </w:pPr>
            <w:r w:rsidRPr="00A04288">
              <w:rPr>
                <w:rFonts w:eastAsia="Calibri"/>
              </w:rPr>
              <w:t>chemical burns have also been reported.</w:t>
            </w:r>
          </w:p>
          <w:p w14:paraId="7400006D" w14:textId="77777777" w:rsidR="00D0139F" w:rsidRDefault="00D0139F" w:rsidP="00D0139F">
            <w:pPr>
              <w:pStyle w:val="Tabletext"/>
            </w:pPr>
          </w:p>
          <w:p w14:paraId="3F1D5713" w14:textId="77777777" w:rsidR="00D0139F" w:rsidRDefault="00D0139F" w:rsidP="00D0139F">
            <w:pPr>
              <w:pStyle w:val="Tabletext"/>
            </w:pPr>
            <w:r w:rsidRPr="00DE2C19">
              <w:t xml:space="preserve">Other transient signs and symptoms of irritation </w:t>
            </w:r>
            <w:r>
              <w:t xml:space="preserve">which </w:t>
            </w:r>
            <w:r w:rsidRPr="00DE2C19">
              <w:t>are generally considered to be part of the natural history of scabies</w:t>
            </w:r>
            <w:r>
              <w:t>:</w:t>
            </w:r>
          </w:p>
          <w:p w14:paraId="63A248F2" w14:textId="77777777" w:rsidR="00D0139F" w:rsidRDefault="00D0139F" w:rsidP="00503C7D">
            <w:pPr>
              <w:pStyle w:val="Bulletindent1"/>
            </w:pPr>
            <w:r w:rsidRPr="00DE2C19">
              <w:t xml:space="preserve">erythema, </w:t>
            </w:r>
          </w:p>
          <w:p w14:paraId="63D54BF8" w14:textId="77777777" w:rsidR="00D0139F" w:rsidRDefault="00D0139F" w:rsidP="00503C7D">
            <w:pPr>
              <w:pStyle w:val="Bulletindent1"/>
            </w:pPr>
            <w:r>
              <w:t>o</w:t>
            </w:r>
            <w:r w:rsidRPr="00DE2C19">
              <w:t xml:space="preserve">edema, </w:t>
            </w:r>
          </w:p>
          <w:p w14:paraId="08D0640E" w14:textId="77777777" w:rsidR="00D0139F" w:rsidRDefault="00D0139F" w:rsidP="00503C7D">
            <w:pPr>
              <w:pStyle w:val="Bulletindent1"/>
            </w:pPr>
            <w:r w:rsidRPr="00DE2C19">
              <w:t xml:space="preserve">eczema, </w:t>
            </w:r>
          </w:p>
          <w:p w14:paraId="3D9B2356" w14:textId="77777777" w:rsidR="00D0139F" w:rsidRDefault="00D0139F" w:rsidP="00503C7D">
            <w:pPr>
              <w:pStyle w:val="Bulletindent1"/>
            </w:pPr>
            <w:r w:rsidRPr="00DE2C19">
              <w:t>rash</w:t>
            </w:r>
            <w:r>
              <w:t>,</w:t>
            </w:r>
          </w:p>
          <w:p w14:paraId="03A76134" w14:textId="77777777" w:rsidR="00D0139F" w:rsidRDefault="00D0139F" w:rsidP="00503C7D">
            <w:pPr>
              <w:pStyle w:val="Bulletindent1"/>
            </w:pPr>
            <w:r w:rsidRPr="00DE2C19">
              <w:t>pruritus</w:t>
            </w:r>
            <w:r>
              <w:t>,</w:t>
            </w:r>
          </w:p>
          <w:p w14:paraId="4748BBE4" w14:textId="77777777" w:rsidR="00D0139F" w:rsidRDefault="00D0139F" w:rsidP="00503C7D">
            <w:pPr>
              <w:pStyle w:val="Bulletindent1"/>
            </w:pPr>
            <w:r w:rsidRPr="004C108F">
              <w:t>dermatitis</w:t>
            </w:r>
            <w:r>
              <w:t>.</w:t>
            </w:r>
          </w:p>
          <w:p w14:paraId="59A213F4" w14:textId="2552F4EA" w:rsidR="00AB0146" w:rsidRDefault="00D0139F" w:rsidP="00503C7D">
            <w:pPr>
              <w:pStyle w:val="Tabletext"/>
            </w:pPr>
            <w:r w:rsidRPr="00DE2C19">
              <w:lastRenderedPageBreak/>
              <w:t>In patients treated for scabies, itching may persist for up to 4 weeks post-treatment. This is generally regarded as due to an allergic reaction to the dead mites under the skin and is not necessarily indicative of a treatment failure</w:t>
            </w:r>
          </w:p>
        </w:tc>
      </w:tr>
      <w:tr w:rsidR="00700627" w14:paraId="08C3469A" w14:textId="77777777" w:rsidTr="006A7AF1">
        <w:tc>
          <w:tcPr>
            <w:tcW w:w="3397" w:type="dxa"/>
          </w:tcPr>
          <w:p w14:paraId="0980B18E" w14:textId="77777777" w:rsidR="00700627" w:rsidRPr="00D0139F" w:rsidRDefault="00AE7448" w:rsidP="005A6168">
            <w:pPr>
              <w:rPr>
                <w:rStyle w:val="TableHeaderColumn"/>
                <w:kern w:val="0"/>
                <w:sz w:val="22"/>
              </w:rPr>
            </w:pPr>
            <w:r w:rsidRPr="00D0139F">
              <w:rPr>
                <w:rStyle w:val="TableHeaderColumn"/>
                <w:kern w:val="0"/>
                <w:sz w:val="22"/>
              </w:rPr>
              <w:lastRenderedPageBreak/>
              <w:t>Management of and reporting procedures for adverse reactions</w:t>
            </w:r>
          </w:p>
        </w:tc>
        <w:tc>
          <w:tcPr>
            <w:tcW w:w="5529" w:type="dxa"/>
          </w:tcPr>
          <w:p w14:paraId="536C00C7" w14:textId="079213F4" w:rsidR="00AB0146" w:rsidRPr="008D2560" w:rsidRDefault="00AB0146" w:rsidP="00AB0146">
            <w:pPr>
              <w:pStyle w:val="Bulletindent1"/>
              <w:rPr>
                <w:rFonts w:eastAsia="Arial"/>
              </w:rPr>
            </w:pPr>
            <w:r w:rsidRPr="008D2560">
              <w:rPr>
                <w:rFonts w:eastAsia="Arial"/>
              </w:rPr>
              <w:t>Healthcare</w:t>
            </w:r>
            <w:r w:rsidRPr="008D2560">
              <w:rPr>
                <w:rFonts w:eastAsia="Arial"/>
                <w:spacing w:val="26"/>
              </w:rPr>
              <w:t xml:space="preserve"> </w:t>
            </w:r>
            <w:r w:rsidRPr="008D2560">
              <w:rPr>
                <w:rFonts w:eastAsia="Arial"/>
              </w:rPr>
              <w:t>professionals</w:t>
            </w:r>
            <w:r w:rsidRPr="008D2560">
              <w:rPr>
                <w:rFonts w:eastAsia="Arial"/>
                <w:spacing w:val="24"/>
              </w:rPr>
              <w:t xml:space="preserve"> </w:t>
            </w:r>
            <w:r w:rsidRPr="008D2560">
              <w:rPr>
                <w:rFonts w:eastAsia="Arial"/>
              </w:rPr>
              <w:t>and</w:t>
            </w:r>
            <w:r w:rsidRPr="008D2560">
              <w:rPr>
                <w:rFonts w:eastAsia="Arial"/>
                <w:spacing w:val="14"/>
              </w:rPr>
              <w:t xml:space="preserve"> </w:t>
            </w:r>
            <w:r>
              <w:rPr>
                <w:rFonts w:eastAsia="Arial"/>
              </w:rPr>
              <w:t>individuals</w:t>
            </w:r>
            <w:r w:rsidRPr="008D2560">
              <w:rPr>
                <w:rFonts w:eastAsia="Arial"/>
              </w:rPr>
              <w:t>/carers are</w:t>
            </w:r>
            <w:r w:rsidRPr="008D2560">
              <w:rPr>
                <w:rFonts w:eastAsia="Arial"/>
                <w:spacing w:val="10"/>
              </w:rPr>
              <w:t xml:space="preserve"> </w:t>
            </w:r>
            <w:r w:rsidRPr="008D2560">
              <w:rPr>
                <w:rFonts w:eastAsia="Arial"/>
              </w:rPr>
              <w:t>encouraged</w:t>
            </w:r>
            <w:r w:rsidRPr="008D2560">
              <w:rPr>
                <w:rFonts w:eastAsia="Arial"/>
                <w:spacing w:val="25"/>
              </w:rPr>
              <w:t xml:space="preserve"> </w:t>
            </w:r>
            <w:r w:rsidRPr="008D2560">
              <w:rPr>
                <w:rFonts w:eastAsia="Arial"/>
              </w:rPr>
              <w:t>to</w:t>
            </w:r>
            <w:r w:rsidRPr="008D2560">
              <w:rPr>
                <w:rFonts w:eastAsia="Arial"/>
                <w:spacing w:val="21"/>
              </w:rPr>
              <w:t xml:space="preserve"> </w:t>
            </w:r>
            <w:r w:rsidRPr="008D2560">
              <w:rPr>
                <w:rFonts w:eastAsia="Arial"/>
              </w:rPr>
              <w:t>report</w:t>
            </w:r>
            <w:r w:rsidRPr="008D2560">
              <w:rPr>
                <w:rFonts w:eastAsia="Arial"/>
                <w:spacing w:val="13"/>
              </w:rPr>
              <w:t xml:space="preserve"> </w:t>
            </w:r>
            <w:r w:rsidRPr="008D2560">
              <w:rPr>
                <w:rFonts w:eastAsia="Arial"/>
              </w:rPr>
              <w:t>suspected</w:t>
            </w:r>
            <w:r w:rsidRPr="008D2560">
              <w:rPr>
                <w:rFonts w:eastAsia="Arial"/>
                <w:spacing w:val="18"/>
              </w:rPr>
              <w:t xml:space="preserve"> </w:t>
            </w:r>
            <w:r w:rsidRPr="008D2560">
              <w:rPr>
                <w:rFonts w:eastAsia="Arial"/>
              </w:rPr>
              <w:t>adverse</w:t>
            </w:r>
            <w:r w:rsidRPr="008D2560">
              <w:rPr>
                <w:rFonts w:eastAsia="Arial"/>
                <w:spacing w:val="29"/>
              </w:rPr>
              <w:t xml:space="preserve"> </w:t>
            </w:r>
            <w:r w:rsidRPr="008D2560">
              <w:rPr>
                <w:rFonts w:eastAsia="Arial"/>
              </w:rPr>
              <w:t>reactions</w:t>
            </w:r>
            <w:r w:rsidRPr="008D2560">
              <w:rPr>
                <w:rFonts w:eastAsia="Arial"/>
                <w:spacing w:val="10"/>
              </w:rPr>
              <w:t xml:space="preserve"> </w:t>
            </w:r>
            <w:r w:rsidRPr="008D2560">
              <w:rPr>
                <w:rFonts w:eastAsia="Arial"/>
              </w:rPr>
              <w:t>to</w:t>
            </w:r>
            <w:r w:rsidRPr="008D2560">
              <w:rPr>
                <w:rFonts w:eastAsia="Arial"/>
                <w:spacing w:val="14"/>
              </w:rPr>
              <w:t xml:space="preserve"> </w:t>
            </w:r>
            <w:r w:rsidRPr="008D2560">
              <w:rPr>
                <w:rFonts w:eastAsia="Arial"/>
              </w:rPr>
              <w:t>the</w:t>
            </w:r>
            <w:r w:rsidRPr="008D2560">
              <w:rPr>
                <w:rFonts w:eastAsia="Arial"/>
                <w:w w:val="98"/>
              </w:rPr>
              <w:t xml:space="preserve"> </w:t>
            </w:r>
            <w:hyperlink r:id="rId31" w:history="1">
              <w:r w:rsidRPr="00F6120B">
                <w:rPr>
                  <w:rStyle w:val="Hyperlink"/>
                </w:rPr>
                <w:t>MHRA's Yellow Card Scheme</w:t>
              </w:r>
            </w:hyperlink>
            <w:r>
              <w:t xml:space="preserve"> </w:t>
            </w:r>
            <w:r w:rsidRPr="00AC0BE9">
              <w:t>[</w:t>
            </w:r>
            <w:r w:rsidRPr="00504FB7">
              <w:rPr>
                <w:highlight w:val="cyan"/>
              </w:rPr>
              <w:t>follow organisation policy (include link and any further detail required)</w:t>
            </w:r>
            <w:r w:rsidRPr="00AC0BE9">
              <w:t>]</w:t>
            </w:r>
          </w:p>
          <w:p w14:paraId="7166A1A4" w14:textId="77777777" w:rsidR="00AB0146" w:rsidRPr="008D2560" w:rsidRDefault="00AB0146" w:rsidP="00AB0146">
            <w:pPr>
              <w:pStyle w:val="Bulletindent1"/>
            </w:pPr>
            <w:r w:rsidRPr="008D2560">
              <w:t xml:space="preserve">Record all adverse drug reactions (ADRs) in the </w:t>
            </w:r>
            <w:r>
              <w:t>individual’s clinical record.</w:t>
            </w:r>
          </w:p>
          <w:p w14:paraId="292843F1" w14:textId="341F323A" w:rsidR="00700627" w:rsidRPr="00504FB7" w:rsidRDefault="00AB0146" w:rsidP="00E82744">
            <w:pPr>
              <w:pStyle w:val="Bulletindent1"/>
            </w:pPr>
            <w:r w:rsidRPr="00AC0BE9">
              <w:t>[</w:t>
            </w:r>
            <w:r w:rsidRPr="00802041">
              <w:rPr>
                <w:highlight w:val="cyan"/>
              </w:rPr>
              <w:t>Report via organisation incident policy (include link and any further detail required)</w:t>
            </w:r>
            <w:r w:rsidRPr="00AC0BE9">
              <w:t>]</w:t>
            </w:r>
          </w:p>
        </w:tc>
      </w:tr>
      <w:tr w:rsidR="00700627" w14:paraId="2D254ACF" w14:textId="77777777" w:rsidTr="006A7AF1">
        <w:tc>
          <w:tcPr>
            <w:tcW w:w="3397" w:type="dxa"/>
          </w:tcPr>
          <w:p w14:paraId="4807EA10" w14:textId="15F96C63" w:rsidR="00700627" w:rsidRPr="00D0139F" w:rsidRDefault="008B3958" w:rsidP="005A6168">
            <w:pPr>
              <w:rPr>
                <w:rStyle w:val="TableHeaderColumn"/>
                <w:kern w:val="0"/>
                <w:sz w:val="22"/>
              </w:rPr>
            </w:pPr>
            <w:r w:rsidRPr="00D0139F">
              <w:rPr>
                <w:rStyle w:val="TableHeaderColumn"/>
                <w:kern w:val="0"/>
                <w:sz w:val="22"/>
              </w:rPr>
              <w:t>Written information</w:t>
            </w:r>
            <w:r w:rsidR="006245F7" w:rsidRPr="00D0139F">
              <w:rPr>
                <w:rStyle w:val="TableHeaderColumn"/>
                <w:kern w:val="0"/>
                <w:sz w:val="22"/>
              </w:rPr>
              <w:t xml:space="preserve"> and further advice to</w:t>
            </w:r>
            <w:r w:rsidRPr="00D0139F">
              <w:rPr>
                <w:rStyle w:val="TableHeaderColumn"/>
                <w:kern w:val="0"/>
                <w:sz w:val="22"/>
              </w:rPr>
              <w:t xml:space="preserve"> be given to individual or carer</w:t>
            </w:r>
          </w:p>
        </w:tc>
        <w:tc>
          <w:tcPr>
            <w:tcW w:w="5529" w:type="dxa"/>
          </w:tcPr>
          <w:p w14:paraId="00C483B8" w14:textId="77777777" w:rsidR="00AB0146" w:rsidRPr="00FA5956" w:rsidRDefault="00AB0146" w:rsidP="00FA5956">
            <w:pPr>
              <w:pStyle w:val="Tabletext"/>
              <w:rPr>
                <w:rFonts w:eastAsia="Arial"/>
                <w:b/>
                <w:bCs/>
              </w:rPr>
            </w:pPr>
            <w:r w:rsidRPr="00FA5956">
              <w:rPr>
                <w:rFonts w:eastAsia="Arial"/>
                <w:b/>
                <w:bCs/>
              </w:rPr>
              <w:t>Medication:</w:t>
            </w:r>
          </w:p>
          <w:p w14:paraId="0DFDEBB6" w14:textId="77777777" w:rsidR="00AB0146" w:rsidRDefault="00AB0146" w:rsidP="00A04288">
            <w:pPr>
              <w:pStyle w:val="Bulletindent1"/>
              <w:rPr>
                <w:rFonts w:eastAsia="Arial"/>
              </w:rPr>
            </w:pPr>
            <w:r w:rsidRPr="008D2560">
              <w:rPr>
                <w:rFonts w:eastAsia="Arial"/>
              </w:rPr>
              <w:t xml:space="preserve">Give </w:t>
            </w:r>
            <w:r>
              <w:rPr>
                <w:rFonts w:eastAsia="Arial"/>
              </w:rPr>
              <w:t>manufacturer</w:t>
            </w:r>
            <w:r w:rsidRPr="008D2560">
              <w:rPr>
                <w:rFonts w:eastAsia="Arial"/>
              </w:rPr>
              <w:t xml:space="preserve"> information leaflet (PIL) provided with the original pack. Explain mode of action, side effects, and benefits of the medicine</w:t>
            </w:r>
          </w:p>
          <w:p w14:paraId="44A2F2FF" w14:textId="77777777" w:rsidR="00503C7D" w:rsidRPr="008D2560" w:rsidRDefault="00503C7D" w:rsidP="00A04288">
            <w:pPr>
              <w:pStyle w:val="Bulletindent1"/>
              <w:rPr>
                <w:rFonts w:eastAsia="Arial"/>
              </w:rPr>
            </w:pPr>
            <w:r w:rsidRPr="008D2560">
              <w:rPr>
                <w:rFonts w:eastAsia="Arial"/>
              </w:rPr>
              <w:t>If adverse reaction to treatment occurs advise individual to contact clinic for further advice</w:t>
            </w:r>
          </w:p>
          <w:p w14:paraId="583FDF6E" w14:textId="77777777" w:rsidR="00A04288" w:rsidRPr="00A4155C" w:rsidRDefault="00A04288" w:rsidP="00A04288">
            <w:pPr>
              <w:pStyle w:val="Bulletindent1"/>
              <w:rPr>
                <w:rFonts w:eastAsia="Arial"/>
              </w:rPr>
            </w:pPr>
            <w:r w:rsidRPr="00A4155C">
              <w:rPr>
                <w:rFonts w:eastAsia="Arial"/>
              </w:rPr>
              <w:t>If accidentally swallowed, seek medical advice immediately.</w:t>
            </w:r>
          </w:p>
          <w:p w14:paraId="256B5D99" w14:textId="77777777" w:rsidR="00A04288" w:rsidRPr="00A4155C" w:rsidRDefault="00A04288" w:rsidP="00A04288">
            <w:pPr>
              <w:pStyle w:val="Bulletindent1"/>
              <w:rPr>
                <w:rFonts w:eastAsia="Arial"/>
                <w:bCs/>
              </w:rPr>
            </w:pPr>
            <w:r w:rsidRPr="00A4155C">
              <w:t>Clip finger and toenails prior to application (to prevent eggs becoming trapped there) and consider using a soft toothbrush to aid application under nails</w:t>
            </w:r>
          </w:p>
          <w:p w14:paraId="22F279DF" w14:textId="77777777" w:rsidR="00A04288" w:rsidRPr="00A4155C" w:rsidRDefault="00A04288" w:rsidP="00A04288">
            <w:pPr>
              <w:pStyle w:val="Bulletindent1"/>
              <w:rPr>
                <w:rFonts w:eastAsia="Arial"/>
              </w:rPr>
            </w:pPr>
            <w:r w:rsidRPr="00A4155C">
              <w:rPr>
                <w:rFonts w:eastAsia="Arial"/>
              </w:rPr>
              <w:t>Malathion</w:t>
            </w:r>
            <w:r>
              <w:rPr>
                <w:rFonts w:eastAsia="Arial"/>
              </w:rPr>
              <w:t xml:space="preserve"> </w:t>
            </w:r>
            <w:r w:rsidRPr="00A4155C">
              <w:rPr>
                <w:rFonts w:eastAsia="Arial"/>
              </w:rPr>
              <w:t>liquid should be applied to skin which is clean dry and cool. It should not be used immediately after a hot bath.</w:t>
            </w:r>
          </w:p>
          <w:p w14:paraId="4B3A17D5" w14:textId="77777777" w:rsidR="00A04288" w:rsidRPr="00A4155C" w:rsidRDefault="00A04288" w:rsidP="00A04288">
            <w:pPr>
              <w:pStyle w:val="Bulletindent1"/>
              <w:rPr>
                <w:rFonts w:eastAsia="Arial"/>
              </w:rPr>
            </w:pPr>
            <w:r w:rsidRPr="00A4155C">
              <w:rPr>
                <w:rFonts w:eastAsia="Arial"/>
              </w:rPr>
              <w:t>Reapply to the hands if they are washed within 24 hours of treatment.</w:t>
            </w:r>
          </w:p>
          <w:p w14:paraId="0EB12C96" w14:textId="77777777" w:rsidR="00A04288" w:rsidRPr="00A4155C" w:rsidRDefault="00A04288" w:rsidP="00A04288">
            <w:pPr>
              <w:pStyle w:val="Bulletindent1"/>
              <w:rPr>
                <w:rFonts w:eastAsia="Arial"/>
              </w:rPr>
            </w:pPr>
            <w:r w:rsidRPr="00A4155C">
              <w:rPr>
                <w:rFonts w:eastAsia="Arial"/>
              </w:rPr>
              <w:t>The whole body should be washed thoroughly 24 hours after application.</w:t>
            </w:r>
          </w:p>
          <w:p w14:paraId="3E0820AD" w14:textId="77777777" w:rsidR="00A04288" w:rsidRPr="00A4155C" w:rsidRDefault="00A04288" w:rsidP="00A04288">
            <w:pPr>
              <w:pStyle w:val="Bulletindent1"/>
              <w:rPr>
                <w:rFonts w:eastAsia="Arial"/>
              </w:rPr>
            </w:pPr>
            <w:r w:rsidRPr="00A4155C">
              <w:rPr>
                <w:rFonts w:eastAsia="Arial"/>
              </w:rPr>
              <w:t>Continued prolonged treatment with this product should be avoided. It should be used not more than once a week and for not more than 3 consecutive weeks.</w:t>
            </w:r>
          </w:p>
          <w:p w14:paraId="7C313CA1" w14:textId="2C831A0D" w:rsidR="00AB0146" w:rsidRPr="00AB0146" w:rsidRDefault="00AB0146" w:rsidP="00AB0146">
            <w:pPr>
              <w:pStyle w:val="Tabletext"/>
              <w:rPr>
                <w:rFonts w:eastAsia="Arial"/>
                <w:b/>
                <w:bCs/>
              </w:rPr>
            </w:pPr>
            <w:r w:rsidRPr="00AB0146">
              <w:rPr>
                <w:rFonts w:eastAsia="Arial"/>
                <w:b/>
                <w:bCs/>
              </w:rPr>
              <w:t>Condition</w:t>
            </w:r>
            <w:r w:rsidR="00503C7D">
              <w:rPr>
                <w:rFonts w:eastAsia="Arial"/>
                <w:b/>
                <w:bCs/>
              </w:rPr>
              <w:t xml:space="preserve"> (general)</w:t>
            </w:r>
            <w:r w:rsidRPr="00AB0146">
              <w:rPr>
                <w:rFonts w:eastAsia="Arial"/>
                <w:b/>
                <w:bCs/>
              </w:rPr>
              <w:t>:</w:t>
            </w:r>
          </w:p>
          <w:p w14:paraId="231186E2" w14:textId="77777777" w:rsidR="00503C7D" w:rsidRDefault="00503C7D" w:rsidP="00A04288">
            <w:pPr>
              <w:pStyle w:val="Bulletindent1"/>
              <w:rPr>
                <w:rFonts w:eastAsia="Arial"/>
              </w:rPr>
            </w:pPr>
            <w:r w:rsidRPr="008D2560">
              <w:rPr>
                <w:rFonts w:eastAsia="Arial"/>
              </w:rPr>
              <w:t xml:space="preserve">Individuals diagnosed with </w:t>
            </w:r>
            <w:r>
              <w:rPr>
                <w:rFonts w:eastAsia="Arial"/>
              </w:rPr>
              <w:t xml:space="preserve">scabies </w:t>
            </w:r>
            <w:r w:rsidRPr="008D2560">
              <w:rPr>
                <w:rFonts w:eastAsia="Arial"/>
              </w:rPr>
              <w:t>should be offered information (verbal, written and/or digital) about their diagnosis and management</w:t>
            </w:r>
            <w:r>
              <w:rPr>
                <w:rFonts w:eastAsia="Arial"/>
              </w:rPr>
              <w:t>.</w:t>
            </w:r>
          </w:p>
          <w:p w14:paraId="7270421F" w14:textId="1FB73021" w:rsidR="00503C7D" w:rsidRPr="00D51782" w:rsidRDefault="00503C7D" w:rsidP="00A04288">
            <w:pPr>
              <w:pStyle w:val="Bulletindent1"/>
              <w:rPr>
                <w:rFonts w:eastAsia="Arial"/>
              </w:rPr>
            </w:pPr>
            <w:r w:rsidRPr="004C108F">
              <w:rPr>
                <w:rFonts w:eastAsia="Arial"/>
              </w:rPr>
              <w:t>Provide information leaflet on scabies produced, for example,</w:t>
            </w:r>
            <w:r>
              <w:t xml:space="preserve"> </w:t>
            </w:r>
            <w:hyperlink r:id="rId32" w:history="1">
              <w:r w:rsidRPr="00D51782">
                <w:rPr>
                  <w:rStyle w:val="Hyperlink"/>
                  <w:rFonts w:cs="Arial"/>
                </w:rPr>
                <w:t>Scabies - BAD Patient Hub</w:t>
              </w:r>
            </w:hyperlink>
            <w:r w:rsidRPr="004C108F">
              <w:rPr>
                <w:rFonts w:eastAsia="Arial"/>
              </w:rPr>
              <w:t xml:space="preserve"> by British Association of Dermatologists or </w:t>
            </w:r>
            <w:hyperlink r:id="rId33" w:history="1">
              <w:r w:rsidRPr="00503C7D">
                <w:rPr>
                  <w:rStyle w:val="Hyperlink"/>
                  <w:rFonts w:eastAsia="Arial"/>
                </w:rPr>
                <w:t>Primary Care Dermatology Society - patient information leaflet scabies</w:t>
              </w:r>
            </w:hyperlink>
            <w:r w:rsidRPr="00D51782">
              <w:rPr>
                <w:rFonts w:eastAsia="Arial"/>
              </w:rPr>
              <w:t>.</w:t>
            </w:r>
          </w:p>
          <w:p w14:paraId="57A59E0A" w14:textId="77777777" w:rsidR="00503C7D" w:rsidRPr="00503C7D" w:rsidRDefault="00503C7D" w:rsidP="00A04288">
            <w:pPr>
              <w:pStyle w:val="Bulletindent1"/>
              <w:rPr>
                <w:rFonts w:eastAsia="Arial"/>
              </w:rPr>
            </w:pPr>
            <w:r w:rsidRPr="00503C7D">
              <w:rPr>
                <w:rFonts w:eastAsia="Arial"/>
              </w:rPr>
              <w:t>People with scabies should be informed about its transmission through skin-to-skin contact, particularly between sexual partners and people living in the same household, and secondarily by contact with contaminated objects/surfaces.</w:t>
            </w:r>
          </w:p>
          <w:p w14:paraId="07ACCC5D" w14:textId="77777777" w:rsidR="00503C7D" w:rsidRPr="004C108F" w:rsidRDefault="00503C7D" w:rsidP="00A04288">
            <w:pPr>
              <w:pStyle w:val="Bulletindent1"/>
              <w:rPr>
                <w:rFonts w:eastAsia="Arial"/>
              </w:rPr>
            </w:pPr>
            <w:r w:rsidRPr="004C108F">
              <w:rPr>
                <w:rFonts w:eastAsia="Arial"/>
              </w:rPr>
              <w:t>Clinicians should advise patients on the correct methods of decontaminating or quarantining potential contaminated objects/surfaces.</w:t>
            </w:r>
          </w:p>
          <w:p w14:paraId="0B28C063" w14:textId="61B7A757" w:rsidR="00503C7D" w:rsidRPr="004C108F" w:rsidRDefault="00503C7D" w:rsidP="00A04288">
            <w:pPr>
              <w:pStyle w:val="Bulletindent1"/>
              <w:rPr>
                <w:rFonts w:eastAsia="Arial"/>
              </w:rPr>
            </w:pPr>
            <w:r>
              <w:rPr>
                <w:rFonts w:eastAsia="Arial"/>
                <w:highlight w:val="cyan"/>
              </w:rPr>
              <w:t>[</w:t>
            </w:r>
            <w:r w:rsidRPr="004C108F">
              <w:rPr>
                <w:rFonts w:eastAsia="Arial"/>
                <w:highlight w:val="cyan"/>
              </w:rPr>
              <w:t>Follow up contacts as per local agreement.</w:t>
            </w:r>
            <w:r>
              <w:rPr>
                <w:rFonts w:eastAsia="Arial"/>
              </w:rPr>
              <w:t>]</w:t>
            </w:r>
          </w:p>
          <w:p w14:paraId="35695D13" w14:textId="77777777" w:rsidR="00503C7D" w:rsidRPr="004C108F" w:rsidRDefault="00503C7D" w:rsidP="00A04288">
            <w:pPr>
              <w:pStyle w:val="Bulletindent1"/>
              <w:rPr>
                <w:rFonts w:eastAsia="Arial"/>
              </w:rPr>
            </w:pPr>
            <w:r w:rsidRPr="004C108F">
              <w:rPr>
                <w:rFonts w:eastAsia="Arial"/>
              </w:rPr>
              <w:t>To avoid recurrence, it is recommended treatment of contacts should be co-ordinated where possible, to ensure that both those with scabies and ALL relevant contacts are treated correctly at the same time.</w:t>
            </w:r>
          </w:p>
          <w:p w14:paraId="262463D7" w14:textId="77777777" w:rsidR="00503C7D" w:rsidRPr="004C108F" w:rsidRDefault="00503C7D" w:rsidP="00A04288">
            <w:pPr>
              <w:pStyle w:val="Bulletindent1"/>
              <w:rPr>
                <w:rFonts w:eastAsia="Arial"/>
              </w:rPr>
            </w:pPr>
            <w:r w:rsidRPr="004C108F">
              <w:rPr>
                <w:rFonts w:eastAsia="Arial"/>
              </w:rPr>
              <w:t>Clinicians should counsel patients to expect that symptoms may take more than 4 weeks to resolve.</w:t>
            </w:r>
          </w:p>
          <w:p w14:paraId="5D1702F3" w14:textId="77777777" w:rsidR="00503C7D" w:rsidRPr="004C108F" w:rsidRDefault="00503C7D" w:rsidP="00A04288">
            <w:pPr>
              <w:pStyle w:val="Bulletindent1"/>
              <w:rPr>
                <w:rFonts w:eastAsia="Arial"/>
              </w:rPr>
            </w:pPr>
            <w:r w:rsidRPr="004C108F">
              <w:t>Offer testing for other STIs where scabies is suspected to have been sexually transmitted</w:t>
            </w:r>
            <w:r w:rsidRPr="004C108F">
              <w:rPr>
                <w:rFonts w:eastAsia="Arial"/>
              </w:rPr>
              <w:t>.</w:t>
            </w:r>
          </w:p>
          <w:p w14:paraId="56D907EE" w14:textId="65E24FC1" w:rsidR="00503C7D" w:rsidRPr="004C108F" w:rsidRDefault="00503C7D" w:rsidP="00A04288">
            <w:pPr>
              <w:pStyle w:val="Bulletindent1"/>
              <w:rPr>
                <w:rFonts w:eastAsia="Arial"/>
              </w:rPr>
            </w:pPr>
            <w:r w:rsidRPr="004C108F">
              <w:rPr>
                <w:rFonts w:eastAsia="Arial"/>
              </w:rPr>
              <w:t xml:space="preserve">Advise on suitable symptomatic treatment for post-scabies itch, eg </w:t>
            </w:r>
            <w:r w:rsidR="00ED64F4" w:rsidRPr="004C108F">
              <w:rPr>
                <w:rFonts w:eastAsia="Arial"/>
              </w:rPr>
              <w:t>emollients, oral antihistamine</w:t>
            </w:r>
            <w:r w:rsidR="00ED64F4">
              <w:rPr>
                <w:rFonts w:eastAsia="Arial"/>
              </w:rPr>
              <w:t>,</w:t>
            </w:r>
            <w:r w:rsidR="00ED64F4" w:rsidRPr="004C108F">
              <w:rPr>
                <w:rFonts w:eastAsia="Arial"/>
              </w:rPr>
              <w:t xml:space="preserve"> </w:t>
            </w:r>
            <w:r w:rsidRPr="004C108F">
              <w:rPr>
                <w:rFonts w:eastAsia="Arial"/>
              </w:rPr>
              <w:t>topical anti-itch treatment.</w:t>
            </w:r>
          </w:p>
          <w:p w14:paraId="72AB3536" w14:textId="5F1225A1" w:rsidR="00700627" w:rsidRDefault="00503C7D" w:rsidP="00A04288">
            <w:pPr>
              <w:pStyle w:val="Bulletindent1"/>
            </w:pPr>
            <w:r w:rsidRPr="004C108F">
              <w:rPr>
                <w:rFonts w:eastAsia="Arial"/>
              </w:rPr>
              <w:t xml:space="preserve">Where treatment is not supplied </w:t>
            </w:r>
            <w:r w:rsidRPr="008D2560">
              <w:rPr>
                <w:rFonts w:eastAsia="Arial"/>
              </w:rPr>
              <w:t>via a sexual health clinic ensure the individual has contact details of local sexual health services if required.</w:t>
            </w:r>
          </w:p>
        </w:tc>
      </w:tr>
      <w:tr w:rsidR="00700627" w14:paraId="09A371CA" w14:textId="77777777" w:rsidTr="006A7AF1">
        <w:tc>
          <w:tcPr>
            <w:tcW w:w="3397" w:type="dxa"/>
          </w:tcPr>
          <w:p w14:paraId="0AB3BA26" w14:textId="4DA8AED8" w:rsidR="00700627" w:rsidRPr="00D0139F" w:rsidRDefault="00742444" w:rsidP="005A6168">
            <w:pPr>
              <w:rPr>
                <w:rStyle w:val="TableHeaderColumn"/>
                <w:kern w:val="0"/>
                <w:sz w:val="22"/>
              </w:rPr>
            </w:pPr>
            <w:r w:rsidRPr="00D0139F">
              <w:rPr>
                <w:rStyle w:val="TableHeaderColumn"/>
                <w:kern w:val="0"/>
                <w:sz w:val="22"/>
              </w:rPr>
              <w:lastRenderedPageBreak/>
              <w:t xml:space="preserve">Follow-up </w:t>
            </w:r>
            <w:r w:rsidR="006245F7" w:rsidRPr="00D0139F">
              <w:rPr>
                <w:rStyle w:val="TableHeaderColumn"/>
                <w:kern w:val="0"/>
                <w:sz w:val="22"/>
              </w:rPr>
              <w:t>treatment</w:t>
            </w:r>
          </w:p>
        </w:tc>
        <w:tc>
          <w:tcPr>
            <w:tcW w:w="5529" w:type="dxa"/>
          </w:tcPr>
          <w:p w14:paraId="700681A5" w14:textId="4323ADF3" w:rsidR="00835D4E" w:rsidRPr="00D55F9B" w:rsidRDefault="00835D4E" w:rsidP="00835D4E">
            <w:pPr>
              <w:pStyle w:val="Bulletindent1"/>
              <w:rPr>
                <w:rFonts w:eastAsia="Arial"/>
              </w:rPr>
            </w:pPr>
            <w:hyperlink w:anchor="Dose" w:history="1">
              <w:r w:rsidRPr="00835D4E">
                <w:rPr>
                  <w:rStyle w:val="Hyperlink"/>
                  <w:rFonts w:eastAsia="Arial"/>
                </w:rPr>
                <w:t xml:space="preserve">See </w:t>
              </w:r>
              <w:r w:rsidRPr="00835D4E">
                <w:rPr>
                  <w:rStyle w:val="Hyperlink"/>
                </w:rPr>
                <w:t>Dose, frequency and duration of administration</w:t>
              </w:r>
              <w:r w:rsidRPr="00835D4E">
                <w:rPr>
                  <w:rStyle w:val="Hyperlink"/>
                  <w:rFonts w:eastAsia="Arial"/>
                </w:rPr>
                <w:t xml:space="preserve"> section</w:t>
              </w:r>
            </w:hyperlink>
            <w:r w:rsidRPr="00D55F9B">
              <w:rPr>
                <w:rFonts w:eastAsia="Arial"/>
              </w:rPr>
              <w:t xml:space="preserve"> regarding a second application.</w:t>
            </w:r>
          </w:p>
          <w:p w14:paraId="44A8798C" w14:textId="77777777" w:rsidR="00835D4E" w:rsidRPr="00122877" w:rsidRDefault="00835D4E" w:rsidP="00835D4E">
            <w:pPr>
              <w:pStyle w:val="Bulletindent1"/>
              <w:rPr>
                <w:rFonts w:eastAsia="Arial"/>
              </w:rPr>
            </w:pPr>
            <w:r w:rsidRPr="00122877">
              <w:rPr>
                <w:rFonts w:eastAsia="Arial"/>
              </w:rPr>
              <w:t>The individual should be advised to seek medical advice in the event of an adverse reaction.</w:t>
            </w:r>
          </w:p>
          <w:p w14:paraId="0E4BCB33" w14:textId="0F7D787D" w:rsidR="00835D4E" w:rsidRDefault="00835D4E" w:rsidP="00835D4E">
            <w:pPr>
              <w:pStyle w:val="Bulletindent1"/>
              <w:rPr>
                <w:rFonts w:eastAsia="Arial"/>
              </w:rPr>
            </w:pPr>
            <w:r>
              <w:rPr>
                <w:rFonts w:eastAsia="Arial"/>
              </w:rPr>
              <w:t>Many</w:t>
            </w:r>
            <w:r w:rsidRPr="00A32DC9">
              <w:rPr>
                <w:rFonts w:eastAsia="Arial"/>
              </w:rPr>
              <w:t xml:space="preserve"> individuals are cured after a single </w:t>
            </w:r>
            <w:r w:rsidRPr="001955E2">
              <w:rPr>
                <w:rFonts w:eastAsia="Arial"/>
              </w:rPr>
              <w:t>application but two applications are advised. If symptoms have not resolved in four weeks after the second dose,</w:t>
            </w:r>
            <w:r>
              <w:rPr>
                <w:rFonts w:eastAsia="Arial"/>
              </w:rPr>
              <w:t xml:space="preserve"> </w:t>
            </w:r>
            <w:r w:rsidRPr="00A32DC9">
              <w:rPr>
                <w:rFonts w:eastAsia="Arial"/>
              </w:rPr>
              <w:t>and there have been no risks of reinfection</w:t>
            </w:r>
            <w:r>
              <w:rPr>
                <w:rFonts w:eastAsia="Arial"/>
              </w:rPr>
              <w:t>,</w:t>
            </w:r>
            <w:r w:rsidRPr="00A32DC9">
              <w:rPr>
                <w:rFonts w:eastAsia="Arial"/>
              </w:rPr>
              <w:t xml:space="preserve"> seek further advice from a relevant clinician </w:t>
            </w:r>
            <w:r>
              <w:rPr>
                <w:rFonts w:eastAsia="Arial"/>
              </w:rPr>
              <w:t>[</w:t>
            </w:r>
            <w:r w:rsidRPr="00A32DC9">
              <w:rPr>
                <w:rFonts w:eastAsia="Arial"/>
                <w:highlight w:val="cyan"/>
              </w:rPr>
              <w:t>(insert details of local process)</w:t>
            </w:r>
            <w:r>
              <w:rPr>
                <w:rFonts w:eastAsia="Arial"/>
              </w:rPr>
              <w:t>]</w:t>
            </w:r>
            <w:r w:rsidRPr="00A32DC9">
              <w:rPr>
                <w:rFonts w:eastAsia="Arial"/>
              </w:rPr>
              <w:t>.</w:t>
            </w:r>
          </w:p>
          <w:p w14:paraId="2BF8FA34" w14:textId="752950C5" w:rsidR="00700627" w:rsidRPr="00D54EC6" w:rsidRDefault="00835D4E" w:rsidP="00835D4E">
            <w:pPr>
              <w:pStyle w:val="Bulletindent1"/>
            </w:pPr>
            <w:r w:rsidRPr="00122877">
              <w:rPr>
                <w:rFonts w:eastAsia="Arial"/>
              </w:rPr>
              <w:t>Advise on suitable symptomatic treatment for post-scabies itch, e.g. emollients</w:t>
            </w:r>
            <w:r>
              <w:rPr>
                <w:rFonts w:eastAsia="Arial"/>
              </w:rPr>
              <w:t>,</w:t>
            </w:r>
            <w:r w:rsidRPr="00122877">
              <w:rPr>
                <w:rFonts w:eastAsia="Arial"/>
              </w:rPr>
              <w:t xml:space="preserve"> oral antihistamine</w:t>
            </w:r>
            <w:r>
              <w:rPr>
                <w:rFonts w:eastAsia="Arial"/>
              </w:rPr>
              <w:t xml:space="preserve">, </w:t>
            </w:r>
            <w:r w:rsidRPr="00122877">
              <w:rPr>
                <w:rFonts w:eastAsia="Arial"/>
              </w:rPr>
              <w:t>topical anti-itch treatment</w:t>
            </w:r>
            <w:r>
              <w:rPr>
                <w:rFonts w:eastAsia="Arial"/>
              </w:rPr>
              <w:t>.</w:t>
            </w:r>
          </w:p>
        </w:tc>
      </w:tr>
      <w:tr w:rsidR="00700627" w14:paraId="589EF44D" w14:textId="77777777" w:rsidTr="006A7AF1">
        <w:tc>
          <w:tcPr>
            <w:tcW w:w="3397" w:type="dxa"/>
          </w:tcPr>
          <w:p w14:paraId="0194F7E0" w14:textId="7E52FBD6" w:rsidR="00700627" w:rsidRPr="00D0139F" w:rsidRDefault="0097352C" w:rsidP="005A6168">
            <w:pPr>
              <w:rPr>
                <w:rStyle w:val="TableHeaderColumn"/>
                <w:kern w:val="0"/>
                <w:sz w:val="22"/>
              </w:rPr>
            </w:pPr>
            <w:r w:rsidRPr="00D0139F">
              <w:rPr>
                <w:rStyle w:val="TableHeaderColumn"/>
                <w:kern w:val="0"/>
                <w:sz w:val="22"/>
              </w:rPr>
              <w:t>Records to be kept</w:t>
            </w:r>
          </w:p>
        </w:tc>
        <w:tc>
          <w:tcPr>
            <w:tcW w:w="5529" w:type="dxa"/>
          </w:tcPr>
          <w:p w14:paraId="063A2DEB" w14:textId="77777777" w:rsidR="00A05022" w:rsidRPr="00A05022" w:rsidRDefault="00A05022" w:rsidP="00835D4E">
            <w:pPr>
              <w:pStyle w:val="Bulletindent1"/>
            </w:pPr>
            <w:r w:rsidRPr="00A05022">
              <w:t>The consent of the individual and</w:t>
            </w:r>
          </w:p>
          <w:p w14:paraId="01005708" w14:textId="77777777" w:rsidR="00A05022" w:rsidRPr="00A05022" w:rsidRDefault="00A05022" w:rsidP="00835D4E">
            <w:pPr>
              <w:pStyle w:val="Bulletindent1"/>
              <w:numPr>
                <w:ilvl w:val="1"/>
                <w:numId w:val="15"/>
              </w:numPr>
            </w:pPr>
            <w:r w:rsidRPr="00A05022">
              <w:lastRenderedPageBreak/>
              <w:t xml:space="preserve">If individual is under 16 years of age document capacity using Fraser guidelines.  If not competent record action taken.  </w:t>
            </w:r>
          </w:p>
          <w:p w14:paraId="05178C66" w14:textId="77777777" w:rsidR="00A05022" w:rsidRDefault="00A05022" w:rsidP="00835D4E">
            <w:pPr>
              <w:pStyle w:val="Bulletindent1"/>
              <w:numPr>
                <w:ilvl w:val="1"/>
                <w:numId w:val="15"/>
              </w:numPr>
            </w:pPr>
            <w:r w:rsidRPr="00A05022">
              <w:t>If individual over 16 years of age and not competent, record action taken</w:t>
            </w:r>
          </w:p>
          <w:p w14:paraId="751DE556" w14:textId="77777777" w:rsidR="00835D4E" w:rsidRPr="008D2560" w:rsidRDefault="00835D4E" w:rsidP="00835D4E">
            <w:pPr>
              <w:pStyle w:val="Bulletindent1"/>
              <w:rPr>
                <w:rFonts w:eastAsia="Calibri"/>
              </w:rPr>
            </w:pPr>
            <w:r w:rsidRPr="008D2560">
              <w:rPr>
                <w:rFonts w:eastAsia="Calibri"/>
              </w:rPr>
              <w:t>If individual not treated under PGD record action taken</w:t>
            </w:r>
          </w:p>
          <w:p w14:paraId="16F418DE" w14:textId="77777777" w:rsidR="00835D4E" w:rsidRPr="008D2560" w:rsidRDefault="00835D4E" w:rsidP="00835D4E">
            <w:pPr>
              <w:pStyle w:val="Bulletindent1"/>
              <w:rPr>
                <w:rFonts w:eastAsia="Calibri"/>
              </w:rPr>
            </w:pPr>
            <w:r w:rsidRPr="008D2560">
              <w:rPr>
                <w:rFonts w:eastAsia="Calibri"/>
              </w:rPr>
              <w:t xml:space="preserve">Name of individual, address, date of birth </w:t>
            </w:r>
          </w:p>
          <w:p w14:paraId="2D6AC39B" w14:textId="77777777" w:rsidR="00835D4E" w:rsidRPr="008D2560" w:rsidRDefault="00835D4E" w:rsidP="00835D4E">
            <w:pPr>
              <w:pStyle w:val="Bulletindent1"/>
              <w:rPr>
                <w:rFonts w:eastAsia="Calibri"/>
                <w:strike/>
              </w:rPr>
            </w:pPr>
            <w:r w:rsidRPr="008D2560">
              <w:rPr>
                <w:rFonts w:eastAsia="Calibri"/>
              </w:rPr>
              <w:t>GP contact details where appropriate</w:t>
            </w:r>
          </w:p>
          <w:p w14:paraId="73DEEBAB" w14:textId="77777777" w:rsidR="00835D4E" w:rsidRPr="008D2560" w:rsidRDefault="00835D4E" w:rsidP="00835D4E">
            <w:pPr>
              <w:pStyle w:val="Bulletindent1"/>
            </w:pPr>
            <w:r w:rsidRPr="008D2560">
              <w:t xml:space="preserve">Relevant past and present medical and sexual history, including medication history. </w:t>
            </w:r>
          </w:p>
          <w:p w14:paraId="4A040192" w14:textId="77777777" w:rsidR="00835D4E" w:rsidRPr="008D2560" w:rsidRDefault="00835D4E" w:rsidP="00835D4E">
            <w:pPr>
              <w:pStyle w:val="Bulletindent1"/>
            </w:pPr>
            <w:r w:rsidRPr="008D2560">
              <w:t xml:space="preserve">Any known allergies and nature of reaction </w:t>
            </w:r>
          </w:p>
          <w:p w14:paraId="16BD2106" w14:textId="471D05D9" w:rsidR="00835D4E" w:rsidRPr="008D2560" w:rsidRDefault="00835D4E" w:rsidP="00835D4E">
            <w:pPr>
              <w:pStyle w:val="Bulletindent1"/>
            </w:pPr>
            <w:r w:rsidRPr="008D2560">
              <w:t>Name of registered health professional</w:t>
            </w:r>
            <w:r w:rsidR="00ED64F4">
              <w:t xml:space="preserve"> </w:t>
            </w:r>
            <w:r w:rsidR="00ED64F4" w:rsidRPr="008D1A8D">
              <w:rPr>
                <w:rFonts w:eastAsia="Arial"/>
              </w:rPr>
              <w:t>operating under the PGD</w:t>
            </w:r>
          </w:p>
          <w:p w14:paraId="70A894A1" w14:textId="77777777" w:rsidR="00835D4E" w:rsidRPr="008D2560" w:rsidRDefault="00835D4E" w:rsidP="00835D4E">
            <w:pPr>
              <w:pStyle w:val="Bulletindent1"/>
            </w:pPr>
            <w:r w:rsidRPr="008D2560">
              <w:t xml:space="preserve">Indication for treatment </w:t>
            </w:r>
          </w:p>
          <w:p w14:paraId="0E5AE033" w14:textId="77777777" w:rsidR="00835D4E" w:rsidRPr="008D2560" w:rsidRDefault="00835D4E" w:rsidP="00835D4E">
            <w:pPr>
              <w:pStyle w:val="Bulletindent1"/>
            </w:pPr>
            <w:r w:rsidRPr="008D2560">
              <w:t xml:space="preserve">Name of medication supplied </w:t>
            </w:r>
          </w:p>
          <w:p w14:paraId="4F57B3CE" w14:textId="77777777" w:rsidR="00835D4E" w:rsidRPr="008D2560" w:rsidRDefault="00835D4E" w:rsidP="00835D4E">
            <w:pPr>
              <w:pStyle w:val="Bulletindent1"/>
            </w:pPr>
            <w:r w:rsidRPr="008D2560">
              <w:t>Date of supply</w:t>
            </w:r>
          </w:p>
          <w:p w14:paraId="7299D746" w14:textId="7A11E260" w:rsidR="00835D4E" w:rsidRPr="008D2560" w:rsidRDefault="00835D4E" w:rsidP="00835D4E">
            <w:pPr>
              <w:pStyle w:val="Bulletindent1"/>
            </w:pPr>
            <w:r w:rsidRPr="008D2560">
              <w:t xml:space="preserve">Quantity supplied </w:t>
            </w:r>
            <w:r w:rsidR="001300B4">
              <w:t>[</w:t>
            </w:r>
            <w:r w:rsidRPr="0052674A">
              <w:rPr>
                <w:highlight w:val="cyan"/>
              </w:rPr>
              <w:t>including batch number and expiry date in line with local procedures</w:t>
            </w:r>
            <w:r w:rsidR="001300B4">
              <w:t>]</w:t>
            </w:r>
          </w:p>
          <w:p w14:paraId="12E498C9" w14:textId="77777777" w:rsidR="00835D4E" w:rsidRPr="008D2560" w:rsidRDefault="00835D4E" w:rsidP="00835D4E">
            <w:pPr>
              <w:pStyle w:val="Bulletindent1"/>
            </w:pPr>
            <w:r w:rsidRPr="008D2560">
              <w:t>Advice given, including advice given if excluded or declines treatment</w:t>
            </w:r>
          </w:p>
          <w:p w14:paraId="66C61056" w14:textId="77777777" w:rsidR="00835D4E" w:rsidRPr="008D2560" w:rsidRDefault="00835D4E" w:rsidP="00835D4E">
            <w:pPr>
              <w:pStyle w:val="Bulletindent1"/>
            </w:pPr>
            <w:r w:rsidRPr="008D2560">
              <w:t>Details of any adverse drug reactions and actions taken</w:t>
            </w:r>
          </w:p>
          <w:p w14:paraId="576DB1B8" w14:textId="77777777" w:rsidR="00835D4E" w:rsidRPr="008D2560" w:rsidRDefault="00835D4E" w:rsidP="00835D4E">
            <w:pPr>
              <w:pStyle w:val="Bulletindent1"/>
            </w:pPr>
            <w:r w:rsidRPr="008D2560">
              <w:t xml:space="preserve">Advice given about the medication including side effects, benefits, and when and what to do if any concerns </w:t>
            </w:r>
          </w:p>
          <w:p w14:paraId="2647D110" w14:textId="77777777" w:rsidR="00835D4E" w:rsidRPr="008D2560" w:rsidRDefault="00835D4E" w:rsidP="00835D4E">
            <w:pPr>
              <w:pStyle w:val="Bulletindent1"/>
            </w:pPr>
            <w:r w:rsidRPr="008D2560">
              <w:t>Any referral arrangements made</w:t>
            </w:r>
          </w:p>
          <w:p w14:paraId="2C2C17E6" w14:textId="77777777" w:rsidR="00835D4E" w:rsidRPr="008D2560" w:rsidRDefault="00835D4E" w:rsidP="00835D4E">
            <w:pPr>
              <w:pStyle w:val="Bulletindent1"/>
            </w:pPr>
            <w:r w:rsidRPr="008D2560">
              <w:t>Any supply outside the terms of the product marketing authorisation</w:t>
            </w:r>
          </w:p>
          <w:p w14:paraId="329D982A" w14:textId="77777777" w:rsidR="00835D4E" w:rsidRPr="008D2560" w:rsidRDefault="00835D4E" w:rsidP="00835D4E">
            <w:pPr>
              <w:pStyle w:val="Bulletindent1"/>
            </w:pPr>
            <w:r w:rsidRPr="008D2560">
              <w:t>Recorded that supplied via Patient Group Direction (PGD)</w:t>
            </w:r>
          </w:p>
          <w:p w14:paraId="4DD08D81" w14:textId="77777777" w:rsidR="00A05022" w:rsidRPr="00A05022" w:rsidRDefault="00A05022" w:rsidP="00A05022">
            <w:pPr>
              <w:pStyle w:val="Tabletext"/>
              <w:rPr>
                <w:lang w:val="en-GB"/>
              </w:rPr>
            </w:pPr>
          </w:p>
          <w:p w14:paraId="54D17A0F" w14:textId="1B651A06" w:rsidR="00A05022" w:rsidRPr="00835D4E" w:rsidRDefault="00A05022" w:rsidP="00835D4E">
            <w:pPr>
              <w:pStyle w:val="Tabletext"/>
              <w:rPr>
                <w:b/>
                <w:bCs/>
              </w:rPr>
            </w:pPr>
            <w:r w:rsidRPr="00835D4E">
              <w:rPr>
                <w:b/>
                <w:bCs/>
              </w:rPr>
              <w:t>Records should be signed and dated (</w:t>
            </w:r>
            <w:r w:rsidR="002026AE" w:rsidRPr="00835D4E">
              <w:rPr>
                <w:b/>
                <w:bCs/>
              </w:rPr>
              <w:t>or password</w:t>
            </w:r>
            <w:r w:rsidRPr="00835D4E">
              <w:rPr>
                <w:b/>
                <w:bCs/>
              </w:rPr>
              <w:t xml:space="preserve"> controlled e-records) and securely kept for a defined period in line with local policy. </w:t>
            </w:r>
          </w:p>
          <w:p w14:paraId="03447662" w14:textId="77777777" w:rsidR="00A05022" w:rsidRPr="00835D4E" w:rsidRDefault="00A05022" w:rsidP="00835D4E">
            <w:pPr>
              <w:pStyle w:val="Tabletext"/>
              <w:rPr>
                <w:b/>
                <w:bCs/>
              </w:rPr>
            </w:pPr>
          </w:p>
          <w:p w14:paraId="747E3469" w14:textId="77777777" w:rsidR="00A05022" w:rsidRPr="00835D4E" w:rsidRDefault="00A05022" w:rsidP="00835D4E">
            <w:pPr>
              <w:pStyle w:val="Tabletext"/>
              <w:rPr>
                <w:b/>
                <w:bCs/>
              </w:rPr>
            </w:pPr>
            <w:r w:rsidRPr="00835D4E">
              <w:rPr>
                <w:b/>
                <w:bCs/>
              </w:rPr>
              <w:t>All records should be clear, legible and contemporaneous.</w:t>
            </w:r>
          </w:p>
          <w:p w14:paraId="28ADA3CC" w14:textId="77777777" w:rsidR="00A05022" w:rsidRPr="00835D4E" w:rsidRDefault="00A05022" w:rsidP="00835D4E">
            <w:pPr>
              <w:pStyle w:val="Tabletext"/>
              <w:rPr>
                <w:b/>
                <w:bCs/>
              </w:rPr>
            </w:pPr>
          </w:p>
          <w:p w14:paraId="4AF5F403" w14:textId="4B51D55D" w:rsidR="00700627" w:rsidRDefault="00A05022" w:rsidP="00835D4E">
            <w:pPr>
              <w:pStyle w:val="Tabletext"/>
            </w:pPr>
            <w:r w:rsidRPr="00835D4E">
              <w:rPr>
                <w:b/>
                <w:bCs/>
              </w:rPr>
              <w:t>A record of all individuals receiving treatment under this PGD should also be kept for audit purposes in accordance with local policy.</w:t>
            </w:r>
          </w:p>
        </w:tc>
      </w:tr>
    </w:tbl>
    <w:p w14:paraId="53B0192F" w14:textId="77777777" w:rsidR="00BB2599" w:rsidRPr="00BB2599" w:rsidRDefault="00BB2599" w:rsidP="005A6168">
      <w:pPr>
        <w:pStyle w:val="PGDNormal"/>
      </w:pPr>
    </w:p>
    <w:bookmarkEnd w:id="4"/>
    <w:p w14:paraId="74DEDA30" w14:textId="5107493F" w:rsidR="00725927" w:rsidRDefault="00725927" w:rsidP="00BB2C75">
      <w:pPr>
        <w:pStyle w:val="Heading1"/>
      </w:pPr>
      <w:r w:rsidRPr="00DF77C7">
        <w:lastRenderedPageBreak/>
        <w:t xml:space="preserve">Key references </w:t>
      </w:r>
      <w:r w:rsidR="00510425" w:rsidRPr="00DF77C7">
        <w:t>(accessed</w:t>
      </w:r>
      <w:r w:rsidR="00D0044C" w:rsidRPr="00DF77C7">
        <w:t xml:space="preserve"> </w:t>
      </w:r>
      <w:r w:rsidR="00ED64F4">
        <w:t xml:space="preserve">August </w:t>
      </w:r>
      <w:r w:rsidR="00835D4E">
        <w:t>2025</w:t>
      </w:r>
      <w:r w:rsidR="00510425" w:rsidRPr="00DF77C7">
        <w:t>)</w:t>
      </w:r>
    </w:p>
    <w:p w14:paraId="78F36D10" w14:textId="6C705A26" w:rsidR="00CE7FFC" w:rsidRPr="00A04288" w:rsidRDefault="00CE7FFC" w:rsidP="00877396">
      <w:pPr>
        <w:pStyle w:val="Bulletindent1"/>
        <w:rPr>
          <w:color w:val="0000FF"/>
          <w:u w:val="single"/>
        </w:rPr>
      </w:pPr>
      <w:hyperlink r:id="rId34" w:history="1">
        <w:r w:rsidRPr="00CE7FFC">
          <w:rPr>
            <w:rStyle w:val="Hyperlink"/>
          </w:rPr>
          <w:t>Current edition of British National Formulary</w:t>
        </w:r>
      </w:hyperlink>
    </w:p>
    <w:p w14:paraId="6F953588" w14:textId="48EB09E8" w:rsidR="00A04288" w:rsidRPr="00A05022" w:rsidRDefault="00A04288" w:rsidP="00877396">
      <w:pPr>
        <w:pStyle w:val="Bulletindent1"/>
        <w:rPr>
          <w:color w:val="0000FF"/>
          <w:u w:val="single"/>
        </w:rPr>
      </w:pPr>
      <w:hyperlink r:id="rId35" w:history="1">
        <w:r w:rsidRPr="00A04288">
          <w:rPr>
            <w:rStyle w:val="Hyperlink"/>
            <w:lang w:val="en-US"/>
          </w:rPr>
          <w:t>MHRA product search</w:t>
        </w:r>
      </w:hyperlink>
    </w:p>
    <w:p w14:paraId="0360EE5F" w14:textId="1E215AA2" w:rsidR="00A05022" w:rsidRPr="00835D4E" w:rsidRDefault="00A05022" w:rsidP="00A05022">
      <w:pPr>
        <w:pStyle w:val="Bulletindent1"/>
        <w:rPr>
          <w:color w:val="0000FF"/>
          <w:u w:val="single"/>
        </w:rPr>
      </w:pPr>
      <w:hyperlink r:id="rId36" w:history="1">
        <w:r w:rsidRPr="00A05022">
          <w:rPr>
            <w:rStyle w:val="Hyperlink"/>
          </w:rPr>
          <w:t>NICE Medicines practice guideline MPG2 - Patient Group Directions - Last Updated 27 March 20</w:t>
        </w:r>
        <w:r w:rsidRPr="00F36B1B">
          <w:rPr>
            <w:rStyle w:val="Hyperlink"/>
          </w:rPr>
          <w:t>17</w:t>
        </w:r>
      </w:hyperlink>
    </w:p>
    <w:p w14:paraId="72110E7E" w14:textId="1B7A192F" w:rsidR="00835D4E" w:rsidRDefault="00835D4E" w:rsidP="00835D4E">
      <w:pPr>
        <w:pStyle w:val="Bulletindent1"/>
      </w:pPr>
      <w:hyperlink r:id="rId37" w:history="1">
        <w:r w:rsidRPr="00835D4E">
          <w:rPr>
            <w:rStyle w:val="Hyperlink"/>
          </w:rPr>
          <w:t>NICE Clinical Knowledge Summaries –Scabies (last revised May 2025</w:t>
        </w:r>
      </w:hyperlink>
      <w:r w:rsidRPr="00F35B36">
        <w:t>)</w:t>
      </w:r>
    </w:p>
    <w:p w14:paraId="02F4926E" w14:textId="1009B475" w:rsidR="00835D4E" w:rsidRPr="00835D4E" w:rsidRDefault="00835D4E" w:rsidP="00835D4E">
      <w:pPr>
        <w:pStyle w:val="Bulletindent1"/>
        <w:rPr>
          <w:rFonts w:cs="Arial"/>
          <w:lang w:val="en-US"/>
        </w:rPr>
      </w:pPr>
      <w:hyperlink r:id="rId38" w:history="1">
        <w:r w:rsidRPr="00835D4E">
          <w:rPr>
            <w:rStyle w:val="Hyperlink"/>
            <w:lang w:val="en-US"/>
          </w:rPr>
          <w:t xml:space="preserve">British Association for Sexual Health and HIV National </w:t>
        </w:r>
        <w:r w:rsidRPr="00835D4E">
          <w:rPr>
            <w:rStyle w:val="Hyperlink"/>
            <w:rFonts w:cs="Arial"/>
            <w:lang w:val="en-US"/>
          </w:rPr>
          <w:t>Guideline on the Management of Scabies in adults (2025)</w:t>
        </w:r>
      </w:hyperlink>
    </w:p>
    <w:p w14:paraId="7F160C65" w14:textId="3ACFAD51" w:rsidR="00835D4E" w:rsidRPr="00835D4E" w:rsidRDefault="00835D4E" w:rsidP="00835D4E">
      <w:pPr>
        <w:pStyle w:val="Bulletindent1"/>
        <w:rPr>
          <w:color w:val="0000FF"/>
          <w:u w:val="single"/>
        </w:rPr>
      </w:pPr>
      <w:hyperlink r:id="rId39" w:history="1">
        <w:r w:rsidRPr="00835D4E">
          <w:rPr>
            <w:rStyle w:val="Hyperlink"/>
          </w:rPr>
          <w:t>Dermnet – Scabies (last updated April 2025)</w:t>
        </w:r>
      </w:hyperlink>
    </w:p>
    <w:p w14:paraId="08F0EE90" w14:textId="78C58B25" w:rsidR="00835D4E" w:rsidRPr="00835D4E" w:rsidRDefault="00835D4E" w:rsidP="00835D4E">
      <w:pPr>
        <w:pStyle w:val="Bulletindent1"/>
        <w:rPr>
          <w:color w:val="0000FF"/>
          <w:u w:val="single"/>
        </w:rPr>
      </w:pPr>
      <w:hyperlink r:id="rId40" w:history="1">
        <w:r w:rsidRPr="00835D4E">
          <w:rPr>
            <w:rStyle w:val="Hyperlink"/>
          </w:rPr>
          <w:t xml:space="preserve">The Primary Care Dermatology Society </w:t>
        </w:r>
        <w:r w:rsidR="00ED64F4">
          <w:rPr>
            <w:rStyle w:val="Hyperlink"/>
          </w:rPr>
          <w:t xml:space="preserve">– Scabies </w:t>
        </w:r>
        <w:r w:rsidRPr="00835D4E">
          <w:rPr>
            <w:rStyle w:val="Hyperlink"/>
          </w:rPr>
          <w:t>(last updated March 2025)</w:t>
        </w:r>
      </w:hyperlink>
    </w:p>
    <w:p w14:paraId="7F79D908" w14:textId="31CF011B" w:rsidR="00A068D1" w:rsidRPr="00A068D1" w:rsidRDefault="00A068D1" w:rsidP="00A068D1">
      <w:pPr>
        <w:pStyle w:val="Bulletindent1"/>
        <w:rPr>
          <w:rStyle w:val="Hyperlink"/>
        </w:rPr>
      </w:pPr>
      <w:hyperlink r:id="rId41" w:history="1">
        <w:r w:rsidRPr="00A068D1">
          <w:rPr>
            <w:rStyle w:val="Hyperlink"/>
          </w:rPr>
          <w:t>UKHSA guidelines for the management of scabies cases and outbreaks in communal residential settings (April 2025)</w:t>
        </w:r>
      </w:hyperlink>
    </w:p>
    <w:p w14:paraId="0FD57875" w14:textId="4E9E82B2" w:rsidR="00A068D1" w:rsidRPr="00A068D1" w:rsidRDefault="00A068D1" w:rsidP="00A068D1">
      <w:pPr>
        <w:pStyle w:val="Bulletindent1"/>
        <w:rPr>
          <w:color w:val="0000FF"/>
          <w:u w:val="single"/>
        </w:rPr>
      </w:pPr>
      <w:hyperlink r:id="rId42" w:history="1">
        <w:r w:rsidRPr="00A068D1">
          <w:rPr>
            <w:rStyle w:val="Hyperlink"/>
          </w:rPr>
          <w:t>Clinical response to local incidents and outbreaks of infectious disease: Commissioning guidance for ICBs, NHSE, Updated April 2025</w:t>
        </w:r>
      </w:hyperlink>
    </w:p>
    <w:p w14:paraId="7CF03792" w14:textId="7D013528" w:rsidR="00A068D1" w:rsidRPr="00F36B1B" w:rsidRDefault="004D451D" w:rsidP="00A068D1">
      <w:pPr>
        <w:pStyle w:val="Bulletindent1"/>
        <w:rPr>
          <w:color w:val="0000FF"/>
          <w:u w:val="single"/>
        </w:rPr>
      </w:pPr>
      <w:hyperlink r:id="rId43" w:history="1">
        <w:r>
          <w:rPr>
            <w:rStyle w:val="Hyperlink"/>
          </w:rPr>
          <w:t>Royal Pharmaceutical Society Safe and Secure Handling of Medicines - 2018</w:t>
        </w:r>
      </w:hyperlink>
    </w:p>
    <w:p w14:paraId="068AB94A" w14:textId="1C0F224D" w:rsidR="00533F89" w:rsidRPr="00533F89" w:rsidRDefault="007A1448" w:rsidP="000C1FB9">
      <w:pPr>
        <w:pStyle w:val="Bulletindent1"/>
        <w:numPr>
          <w:ilvl w:val="0"/>
          <w:numId w:val="0"/>
        </w:numPr>
        <w:ind w:left="720"/>
      </w:pPr>
      <w:r w:rsidRPr="00877396">
        <w:rPr>
          <w:rStyle w:val="Hyperlink"/>
        </w:rPr>
        <w:br w:type="page"/>
      </w:r>
      <w:bookmarkEnd w:id="0"/>
      <w:bookmarkEnd w:id="1"/>
      <w:bookmarkEnd w:id="2"/>
      <w:r w:rsidR="00510425" w:rsidRPr="00533F89">
        <w:lastRenderedPageBreak/>
        <w:t xml:space="preserve">Appendices </w:t>
      </w:r>
    </w:p>
    <w:p w14:paraId="14498D21" w14:textId="05B45152" w:rsidR="00510425" w:rsidRPr="00DF77C7" w:rsidRDefault="00B154E7" w:rsidP="00533F89">
      <w:pPr>
        <w:pStyle w:val="PGDNormal"/>
      </w:pPr>
      <w:r w:rsidRPr="00AC0BE9">
        <w:t>[[</w:t>
      </w:r>
      <w:r w:rsidR="00510425" w:rsidRPr="00DF77C7">
        <w:rPr>
          <w:highlight w:val="yellow"/>
        </w:rPr>
        <w:t>(appendices may be added as agreed locally including relevant patient questionnaires, links to protocols and any patient information)</w:t>
      </w:r>
      <w:r>
        <w:t>]]</w:t>
      </w:r>
    </w:p>
    <w:p w14:paraId="376D0D71" w14:textId="77777777" w:rsidR="00592D87" w:rsidRPr="00226222" w:rsidRDefault="00510425" w:rsidP="00226222">
      <w:pPr>
        <w:pStyle w:val="Heading2"/>
      </w:pPr>
      <w:r w:rsidRPr="00226222">
        <w:t xml:space="preserve">Appendix A - Registered health professional authorisation sheet </w:t>
      </w:r>
    </w:p>
    <w:p w14:paraId="64B7E49B" w14:textId="556758D8" w:rsidR="00510425" w:rsidRPr="00DF77C7" w:rsidRDefault="00B154E7" w:rsidP="00592D87">
      <w:pPr>
        <w:pStyle w:val="PGDNormal"/>
      </w:pPr>
      <w:r w:rsidRPr="00AC0BE9">
        <w:t>[[</w:t>
      </w:r>
      <w:r w:rsidR="00510425" w:rsidRPr="00DF77C7">
        <w:rPr>
          <w:highlight w:val="yellow"/>
        </w:rPr>
        <w:t>(example – local versions/electronic systems may be used)</w:t>
      </w:r>
      <w:r>
        <w:t>]]</w:t>
      </w:r>
    </w:p>
    <w:p w14:paraId="7DCA024B" w14:textId="77777777" w:rsidR="00510425" w:rsidRPr="00ED232C" w:rsidRDefault="00510425" w:rsidP="00ED232C">
      <w:pPr>
        <w:rPr>
          <w:rStyle w:val="PGDNormalBold"/>
        </w:rPr>
      </w:pPr>
      <w:r w:rsidRPr="00ED232C">
        <w:rPr>
          <w:rStyle w:val="PGDNormalBold"/>
        </w:rPr>
        <w:t xml:space="preserve">PGD Name/Version            Valid from:                       Expiry:  </w:t>
      </w:r>
    </w:p>
    <w:p w14:paraId="49C6FE57" w14:textId="77777777" w:rsidR="00510425" w:rsidRPr="00DF77C7" w:rsidRDefault="00510425" w:rsidP="00510425">
      <w:pPr>
        <w:rPr>
          <w:rStyle w:val="PGDNormalBold"/>
        </w:rPr>
      </w:pPr>
    </w:p>
    <w:p w14:paraId="26DAAAFB" w14:textId="173EA2FC" w:rsidR="00510425" w:rsidRPr="000411B7" w:rsidRDefault="00510425" w:rsidP="007D47D1">
      <w:pPr>
        <w:pStyle w:val="PGDNormal"/>
      </w:pPr>
      <w:r w:rsidRPr="00DF77C7">
        <w:t>Before signing this PGD, check that the document has had the necessary authorisations. Without these, this PGD is not lawfully valid.</w:t>
      </w:r>
    </w:p>
    <w:p w14:paraId="2DDE258B" w14:textId="77777777" w:rsidR="00510425" w:rsidRPr="00580EBB" w:rsidRDefault="00510425" w:rsidP="00580EBB">
      <w:pPr>
        <w:pStyle w:val="Heading3"/>
      </w:pPr>
      <w:r w:rsidRPr="00580EBB">
        <w:t>Registered health professional</w:t>
      </w:r>
    </w:p>
    <w:p w14:paraId="55CAE467" w14:textId="3F801116" w:rsidR="00CA77CF" w:rsidRDefault="00510425" w:rsidP="002A6CB8">
      <w:pPr>
        <w:pStyle w:val="PGDNormal"/>
      </w:pPr>
      <w:r w:rsidRPr="00DF77C7">
        <w:t xml:space="preserve">By signing this patient group </w:t>
      </w:r>
      <w:r w:rsidR="005A6885" w:rsidRPr="00DF77C7">
        <w:t>direction,</w:t>
      </w:r>
      <w:r w:rsidRPr="00DF77C7">
        <w:t xml:space="preserve"> you are indicating that you agree to its contents and that you will work within it</w:t>
      </w:r>
      <w:r w:rsidR="006C2CDE">
        <w:t xml:space="preserve"> and agree with the following statement: </w:t>
      </w:r>
    </w:p>
    <w:p w14:paraId="3E530E7A" w14:textId="47B317A0" w:rsidR="00510425" w:rsidRPr="00DF77C7" w:rsidRDefault="00CA77CF" w:rsidP="002A6CB8">
      <w:pPr>
        <w:pStyle w:val="PGDNormal"/>
      </w:pPr>
      <w:r>
        <w:t>‘</w:t>
      </w:r>
      <w:r w:rsidR="006C2CDE" w:rsidRPr="00F57606">
        <w:t>I confirm that I have read and understood the content of this Patient Group Direction and that I am willing and competent to work to it within my professional code of conduct</w:t>
      </w:r>
      <w:r w:rsidR="006C2CDE" w:rsidRPr="00DE5424">
        <w:t>.</w:t>
      </w:r>
      <w:r>
        <w:t>’</w:t>
      </w:r>
    </w:p>
    <w:p w14:paraId="135F3504" w14:textId="77777777" w:rsidR="00510425" w:rsidRPr="00DF77C7" w:rsidRDefault="00510425" w:rsidP="002A6CB8">
      <w:pPr>
        <w:pStyle w:val="PGDNormal"/>
        <w:rPr>
          <w:rFonts w:cs="Arial"/>
        </w:rPr>
      </w:pPr>
      <w:r w:rsidRPr="00DF77C7">
        <w:rPr>
          <w:rFonts w:cs="Arial"/>
        </w:rPr>
        <w:t>Patient group directions do not remove inherent professional obligations or accountability.</w:t>
      </w:r>
    </w:p>
    <w:p w14:paraId="468193FF" w14:textId="50557E12" w:rsidR="00510425" w:rsidRDefault="00510425" w:rsidP="002A6CB8">
      <w:pPr>
        <w:pStyle w:val="PGDNormal"/>
        <w:rPr>
          <w:rFonts w:cs="Arial"/>
        </w:rPr>
      </w:pPr>
      <w:r w:rsidRPr="00DF77C7">
        <w:rPr>
          <w:rFonts w:cs="Arial"/>
        </w:rPr>
        <w:t xml:space="preserve">It is the responsibility of each professional to </w:t>
      </w:r>
      <w:r w:rsidR="00825B58" w:rsidRPr="00DF77C7">
        <w:rPr>
          <w:rFonts w:cs="Arial"/>
        </w:rPr>
        <w:t>practice</w:t>
      </w:r>
      <w:r w:rsidRPr="00DF77C7">
        <w:rPr>
          <w:rFonts w:cs="Arial"/>
        </w:rPr>
        <w:t xml:space="preserve"> only within the bounds of their own competence and professional code of conduct.</w:t>
      </w:r>
    </w:p>
    <w:p w14:paraId="57515B32" w14:textId="11BDB5BB" w:rsidR="00A45A11" w:rsidRPr="00DF77C7" w:rsidRDefault="00A45A11" w:rsidP="002A6CB8">
      <w:pPr>
        <w:pStyle w:val="PGDNormal"/>
        <w:rPr>
          <w:rFonts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gistered Health professionals"/>
        <w:tblDescription w:val="This table details the health professionals who have signed to agree they are competent to work under this PGD. It includes 4 columns which contain name, designation, signature and date signed."/>
      </w:tblPr>
      <w:tblGrid>
        <w:gridCol w:w="2122"/>
        <w:gridCol w:w="2551"/>
        <w:gridCol w:w="2693"/>
        <w:gridCol w:w="1560"/>
      </w:tblGrid>
      <w:tr w:rsidR="00CA77CF" w:rsidRPr="00DF77C7" w14:paraId="7F978961" w14:textId="77777777" w:rsidTr="00600F2A">
        <w:trPr>
          <w:tblHeader/>
        </w:trPr>
        <w:tc>
          <w:tcPr>
            <w:tcW w:w="2122" w:type="dxa"/>
            <w:shd w:val="clear" w:color="auto" w:fill="auto"/>
          </w:tcPr>
          <w:p w14:paraId="1BE651D3" w14:textId="0A987DF7" w:rsidR="00CA77CF" w:rsidRPr="00DF77C7" w:rsidRDefault="00CA77CF" w:rsidP="00ED232C">
            <w:pPr>
              <w:pStyle w:val="TableHeaderRow"/>
            </w:pPr>
            <w:r w:rsidRPr="00DF77C7">
              <w:t>Name</w:t>
            </w:r>
          </w:p>
        </w:tc>
        <w:tc>
          <w:tcPr>
            <w:tcW w:w="2551" w:type="dxa"/>
            <w:shd w:val="clear" w:color="auto" w:fill="auto"/>
          </w:tcPr>
          <w:p w14:paraId="6DDDD4A1" w14:textId="77777777" w:rsidR="00CA77CF" w:rsidRPr="00DF77C7" w:rsidRDefault="00CA77CF" w:rsidP="00ED232C">
            <w:pPr>
              <w:pStyle w:val="TableHeaderRow"/>
            </w:pPr>
            <w:r w:rsidRPr="00DF77C7">
              <w:t>Designation</w:t>
            </w:r>
          </w:p>
        </w:tc>
        <w:tc>
          <w:tcPr>
            <w:tcW w:w="2693" w:type="dxa"/>
            <w:shd w:val="clear" w:color="auto" w:fill="auto"/>
          </w:tcPr>
          <w:p w14:paraId="7233218A" w14:textId="77777777" w:rsidR="00CA77CF" w:rsidRPr="00DF77C7" w:rsidRDefault="00CA77CF" w:rsidP="00ED232C">
            <w:pPr>
              <w:pStyle w:val="TableHeaderRow"/>
            </w:pPr>
            <w:r w:rsidRPr="00DF77C7">
              <w:t>Signature</w:t>
            </w:r>
          </w:p>
        </w:tc>
        <w:tc>
          <w:tcPr>
            <w:tcW w:w="1560" w:type="dxa"/>
            <w:shd w:val="clear" w:color="auto" w:fill="auto"/>
          </w:tcPr>
          <w:p w14:paraId="2E9AB17B" w14:textId="77777777" w:rsidR="00CA77CF" w:rsidRPr="00DF77C7" w:rsidRDefault="00CA77CF" w:rsidP="00ED232C">
            <w:pPr>
              <w:pStyle w:val="TableHeaderRow"/>
            </w:pPr>
            <w:r w:rsidRPr="00DF77C7">
              <w:t>Date</w:t>
            </w:r>
          </w:p>
        </w:tc>
      </w:tr>
      <w:tr w:rsidR="00CA77CF" w:rsidRPr="00DF77C7" w14:paraId="61E63983" w14:textId="77777777" w:rsidTr="00600F2A">
        <w:tc>
          <w:tcPr>
            <w:tcW w:w="2122" w:type="dxa"/>
            <w:shd w:val="clear" w:color="auto" w:fill="auto"/>
          </w:tcPr>
          <w:p w14:paraId="737E5C4D" w14:textId="6548B609" w:rsidR="00CA77CF" w:rsidRPr="00DF77C7" w:rsidRDefault="00CA77CF" w:rsidP="00ED232C">
            <w:pPr>
              <w:pStyle w:val="Tabletext"/>
            </w:pPr>
          </w:p>
          <w:p w14:paraId="51A7DECC" w14:textId="77777777" w:rsidR="00CA77CF" w:rsidRPr="00DF77C7" w:rsidRDefault="00CA77CF" w:rsidP="00ED232C">
            <w:pPr>
              <w:pStyle w:val="Tabletext"/>
            </w:pPr>
          </w:p>
        </w:tc>
        <w:tc>
          <w:tcPr>
            <w:tcW w:w="2551" w:type="dxa"/>
            <w:shd w:val="clear" w:color="auto" w:fill="auto"/>
          </w:tcPr>
          <w:p w14:paraId="301B1672" w14:textId="77777777" w:rsidR="00CA77CF" w:rsidRPr="00DF77C7" w:rsidRDefault="00CA77CF" w:rsidP="00ED232C">
            <w:pPr>
              <w:pStyle w:val="Tabletext"/>
            </w:pPr>
          </w:p>
        </w:tc>
        <w:tc>
          <w:tcPr>
            <w:tcW w:w="2693" w:type="dxa"/>
            <w:shd w:val="clear" w:color="auto" w:fill="auto"/>
          </w:tcPr>
          <w:p w14:paraId="1A38E131" w14:textId="77777777" w:rsidR="00CA77CF" w:rsidRPr="00DF77C7" w:rsidRDefault="00CA77CF" w:rsidP="00ED232C">
            <w:pPr>
              <w:pStyle w:val="Tabletext"/>
            </w:pPr>
          </w:p>
        </w:tc>
        <w:tc>
          <w:tcPr>
            <w:tcW w:w="1560" w:type="dxa"/>
            <w:shd w:val="clear" w:color="auto" w:fill="auto"/>
          </w:tcPr>
          <w:p w14:paraId="1323DD1C" w14:textId="77777777" w:rsidR="00CA77CF" w:rsidRPr="00DF77C7" w:rsidRDefault="00CA77CF" w:rsidP="00ED232C">
            <w:pPr>
              <w:pStyle w:val="Tabletext"/>
            </w:pPr>
          </w:p>
        </w:tc>
      </w:tr>
      <w:tr w:rsidR="00CA77CF" w:rsidRPr="00DF77C7" w14:paraId="7C334CD9" w14:textId="77777777" w:rsidTr="00600F2A">
        <w:tc>
          <w:tcPr>
            <w:tcW w:w="2122" w:type="dxa"/>
            <w:shd w:val="clear" w:color="auto" w:fill="auto"/>
          </w:tcPr>
          <w:p w14:paraId="58393539" w14:textId="30038A4B" w:rsidR="00CA77CF" w:rsidRPr="00DF77C7" w:rsidRDefault="00CA77CF" w:rsidP="00ED232C">
            <w:pPr>
              <w:pStyle w:val="Tabletext"/>
            </w:pPr>
          </w:p>
          <w:p w14:paraId="25BBB55C" w14:textId="77777777" w:rsidR="00CA77CF" w:rsidRPr="00DF77C7" w:rsidRDefault="00CA77CF" w:rsidP="00ED232C">
            <w:pPr>
              <w:pStyle w:val="Tabletext"/>
            </w:pPr>
          </w:p>
        </w:tc>
        <w:tc>
          <w:tcPr>
            <w:tcW w:w="2551" w:type="dxa"/>
            <w:shd w:val="clear" w:color="auto" w:fill="auto"/>
          </w:tcPr>
          <w:p w14:paraId="2D29423F" w14:textId="77777777" w:rsidR="00CA77CF" w:rsidRPr="00DF77C7" w:rsidRDefault="00CA77CF" w:rsidP="00ED232C">
            <w:pPr>
              <w:pStyle w:val="Tabletext"/>
            </w:pPr>
          </w:p>
        </w:tc>
        <w:tc>
          <w:tcPr>
            <w:tcW w:w="2693" w:type="dxa"/>
            <w:shd w:val="clear" w:color="auto" w:fill="auto"/>
          </w:tcPr>
          <w:p w14:paraId="22DF2ABA" w14:textId="77777777" w:rsidR="00CA77CF" w:rsidRPr="00DF77C7" w:rsidRDefault="00CA77CF" w:rsidP="00ED232C">
            <w:pPr>
              <w:pStyle w:val="Tabletext"/>
            </w:pPr>
          </w:p>
        </w:tc>
        <w:tc>
          <w:tcPr>
            <w:tcW w:w="1560" w:type="dxa"/>
            <w:shd w:val="clear" w:color="auto" w:fill="auto"/>
          </w:tcPr>
          <w:p w14:paraId="6676F21E" w14:textId="77777777" w:rsidR="00CA77CF" w:rsidRPr="00DF77C7" w:rsidRDefault="00CA77CF" w:rsidP="00ED232C">
            <w:pPr>
              <w:pStyle w:val="Tabletext"/>
            </w:pPr>
          </w:p>
        </w:tc>
      </w:tr>
      <w:tr w:rsidR="00CA77CF" w:rsidRPr="00DF77C7" w14:paraId="0F870408" w14:textId="77777777" w:rsidTr="00600F2A">
        <w:tc>
          <w:tcPr>
            <w:tcW w:w="2122" w:type="dxa"/>
            <w:shd w:val="clear" w:color="auto" w:fill="auto"/>
          </w:tcPr>
          <w:p w14:paraId="5CE778EF" w14:textId="243043BE" w:rsidR="00CA77CF" w:rsidRPr="00DF77C7" w:rsidRDefault="00CA77CF" w:rsidP="00ED232C">
            <w:pPr>
              <w:pStyle w:val="Tabletext"/>
            </w:pPr>
          </w:p>
          <w:p w14:paraId="3717604C" w14:textId="77777777" w:rsidR="00CA77CF" w:rsidRPr="00DF77C7" w:rsidRDefault="00CA77CF" w:rsidP="00ED232C">
            <w:pPr>
              <w:pStyle w:val="Tabletext"/>
            </w:pPr>
          </w:p>
        </w:tc>
        <w:tc>
          <w:tcPr>
            <w:tcW w:w="2551" w:type="dxa"/>
            <w:shd w:val="clear" w:color="auto" w:fill="auto"/>
          </w:tcPr>
          <w:p w14:paraId="16D62252" w14:textId="77777777" w:rsidR="00CA77CF" w:rsidRPr="00DF77C7" w:rsidRDefault="00CA77CF" w:rsidP="00ED232C">
            <w:pPr>
              <w:pStyle w:val="Tabletext"/>
            </w:pPr>
          </w:p>
        </w:tc>
        <w:tc>
          <w:tcPr>
            <w:tcW w:w="2693" w:type="dxa"/>
            <w:shd w:val="clear" w:color="auto" w:fill="auto"/>
          </w:tcPr>
          <w:p w14:paraId="2FEF6E0B" w14:textId="77777777" w:rsidR="00CA77CF" w:rsidRPr="00DF77C7" w:rsidRDefault="00CA77CF" w:rsidP="00ED232C">
            <w:pPr>
              <w:pStyle w:val="Tabletext"/>
            </w:pPr>
          </w:p>
        </w:tc>
        <w:tc>
          <w:tcPr>
            <w:tcW w:w="1560" w:type="dxa"/>
            <w:shd w:val="clear" w:color="auto" w:fill="auto"/>
          </w:tcPr>
          <w:p w14:paraId="0F5D7610" w14:textId="77777777" w:rsidR="00CA77CF" w:rsidRPr="00DF77C7" w:rsidRDefault="00CA77CF" w:rsidP="00ED232C">
            <w:pPr>
              <w:pStyle w:val="Tabletext"/>
            </w:pPr>
          </w:p>
        </w:tc>
      </w:tr>
      <w:tr w:rsidR="00CA77CF" w:rsidRPr="00DF77C7" w14:paraId="0626E8BC" w14:textId="77777777" w:rsidTr="00600F2A">
        <w:tc>
          <w:tcPr>
            <w:tcW w:w="2122" w:type="dxa"/>
            <w:shd w:val="clear" w:color="auto" w:fill="auto"/>
          </w:tcPr>
          <w:p w14:paraId="49B24D92" w14:textId="7A115BB2" w:rsidR="00CA77CF" w:rsidRPr="00DF77C7" w:rsidRDefault="00CA77CF" w:rsidP="00ED232C">
            <w:pPr>
              <w:pStyle w:val="Tabletext"/>
            </w:pPr>
          </w:p>
          <w:p w14:paraId="5856A963" w14:textId="77777777" w:rsidR="00CA77CF" w:rsidRPr="00DF77C7" w:rsidRDefault="00CA77CF" w:rsidP="00ED232C">
            <w:pPr>
              <w:pStyle w:val="Tabletext"/>
            </w:pPr>
          </w:p>
        </w:tc>
        <w:tc>
          <w:tcPr>
            <w:tcW w:w="2551" w:type="dxa"/>
            <w:shd w:val="clear" w:color="auto" w:fill="auto"/>
          </w:tcPr>
          <w:p w14:paraId="0FAD2285" w14:textId="77777777" w:rsidR="00CA77CF" w:rsidRPr="00DF77C7" w:rsidRDefault="00CA77CF" w:rsidP="00ED232C">
            <w:pPr>
              <w:pStyle w:val="Tabletext"/>
            </w:pPr>
          </w:p>
        </w:tc>
        <w:tc>
          <w:tcPr>
            <w:tcW w:w="2693" w:type="dxa"/>
            <w:shd w:val="clear" w:color="auto" w:fill="auto"/>
          </w:tcPr>
          <w:p w14:paraId="0011FCD8" w14:textId="77777777" w:rsidR="00CA77CF" w:rsidRPr="00DF77C7" w:rsidRDefault="00CA77CF" w:rsidP="00ED232C">
            <w:pPr>
              <w:pStyle w:val="Tabletext"/>
            </w:pPr>
          </w:p>
        </w:tc>
        <w:tc>
          <w:tcPr>
            <w:tcW w:w="1560" w:type="dxa"/>
            <w:shd w:val="clear" w:color="auto" w:fill="auto"/>
          </w:tcPr>
          <w:p w14:paraId="4D1DAA9B" w14:textId="77777777" w:rsidR="00CA77CF" w:rsidRPr="00DF77C7" w:rsidRDefault="00CA77CF" w:rsidP="00ED232C">
            <w:pPr>
              <w:pStyle w:val="Tabletext"/>
            </w:pPr>
          </w:p>
        </w:tc>
      </w:tr>
    </w:tbl>
    <w:p w14:paraId="10D15192" w14:textId="77777777" w:rsidR="0056237E" w:rsidRDefault="0056237E" w:rsidP="00AA5A30">
      <w:pPr>
        <w:pStyle w:val="Heading3"/>
      </w:pPr>
    </w:p>
    <w:p w14:paraId="451FFDD5" w14:textId="4C1D0839" w:rsidR="00510425" w:rsidRDefault="00510425" w:rsidP="00AA5A30">
      <w:pPr>
        <w:pStyle w:val="Heading3"/>
      </w:pPr>
      <w:r w:rsidRPr="00DF77C7">
        <w:t xml:space="preserve">Authorising manager </w:t>
      </w:r>
    </w:p>
    <w:p w14:paraId="46C3F1FD" w14:textId="55919643" w:rsidR="00825B58" w:rsidRPr="00825B58" w:rsidRDefault="00825B58" w:rsidP="00825B58">
      <w:pPr>
        <w:pStyle w:val="PGDNormal"/>
        <w:rPr>
          <w:rFonts w:cs="Arial"/>
        </w:rPr>
      </w:pPr>
      <w:r w:rsidRPr="00825B58">
        <w:rPr>
          <w:rFonts w:cs="Arial"/>
        </w:rPr>
        <w:t>I confirm that the registered health professionals named above have declared themselves suitably trained and competent to work under this PGD. I give authorisation on behalf of</w:t>
      </w:r>
      <w:r w:rsidR="001A11C9">
        <w:rPr>
          <w:rFonts w:cs="Arial"/>
        </w:rPr>
        <w:t xml:space="preserve"> </w:t>
      </w:r>
      <w:r w:rsidR="004E03A1">
        <w:rPr>
          <w:rFonts w:cs="Arial"/>
        </w:rPr>
        <w:t xml:space="preserve">[ </w:t>
      </w:r>
      <w:r w:rsidR="004E03A1" w:rsidRPr="004E03A1">
        <w:rPr>
          <w:rFonts w:cs="Arial"/>
          <w:highlight w:val="cyan"/>
        </w:rPr>
        <w:t>insert</w:t>
      </w:r>
      <w:r w:rsidRPr="004E03A1">
        <w:rPr>
          <w:rFonts w:cs="Arial"/>
          <w:highlight w:val="cyan"/>
        </w:rPr>
        <w:t xml:space="preserve"> name </w:t>
      </w:r>
      <w:r w:rsidRPr="001A11C9">
        <w:rPr>
          <w:rFonts w:cs="Arial"/>
          <w:highlight w:val="cyan"/>
        </w:rPr>
        <w:t>of organisation</w:t>
      </w:r>
      <w:r w:rsidR="001A11C9">
        <w:rPr>
          <w:rFonts w:cs="Arial"/>
        </w:rPr>
        <w:t xml:space="preserve"> ]</w:t>
      </w:r>
      <w:r w:rsidRPr="00825B58">
        <w:rPr>
          <w:rFonts w:cs="Arial"/>
        </w:rPr>
        <w:t xml:space="preserve"> for the above-named health care professionals who have signed the PGD to work under it</w:t>
      </w:r>
      <w:r w:rsidR="00ED64F4">
        <w:rPr>
          <w:rFonts w:cs="Arial"/>
        </w:rPr>
        <w: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uthorising Manager"/>
        <w:tblDescription w:val="This table details the authorising manager who has authorised individual Health Care Professional to work under this PGD. It contains 4 columns for name, designation, signature and date signed"/>
      </w:tblPr>
      <w:tblGrid>
        <w:gridCol w:w="2122"/>
        <w:gridCol w:w="2551"/>
        <w:gridCol w:w="2693"/>
        <w:gridCol w:w="1560"/>
      </w:tblGrid>
      <w:tr w:rsidR="00825B58" w:rsidRPr="00DF77C7" w14:paraId="08312120" w14:textId="77777777" w:rsidTr="00825B58">
        <w:tc>
          <w:tcPr>
            <w:tcW w:w="2122" w:type="dxa"/>
            <w:shd w:val="clear" w:color="auto" w:fill="auto"/>
          </w:tcPr>
          <w:p w14:paraId="2F89D8ED" w14:textId="6261413C" w:rsidR="00825B58" w:rsidRPr="00DF77C7" w:rsidRDefault="00825B58" w:rsidP="00ED232C">
            <w:pPr>
              <w:pStyle w:val="TableHeaderRow"/>
            </w:pPr>
            <w:r w:rsidRPr="00DF77C7">
              <w:t>Name</w:t>
            </w:r>
          </w:p>
        </w:tc>
        <w:tc>
          <w:tcPr>
            <w:tcW w:w="2551" w:type="dxa"/>
            <w:shd w:val="clear" w:color="auto" w:fill="auto"/>
          </w:tcPr>
          <w:p w14:paraId="5653C12E" w14:textId="77777777" w:rsidR="00825B58" w:rsidRPr="00DF77C7" w:rsidRDefault="00825B58" w:rsidP="00ED232C">
            <w:pPr>
              <w:pStyle w:val="TableHeaderRow"/>
            </w:pPr>
            <w:r w:rsidRPr="00DF77C7">
              <w:t>Designation</w:t>
            </w:r>
          </w:p>
        </w:tc>
        <w:tc>
          <w:tcPr>
            <w:tcW w:w="2693" w:type="dxa"/>
            <w:shd w:val="clear" w:color="auto" w:fill="auto"/>
          </w:tcPr>
          <w:p w14:paraId="6626EDAE" w14:textId="77777777" w:rsidR="00825B58" w:rsidRPr="00DF77C7" w:rsidRDefault="00825B58" w:rsidP="00ED232C">
            <w:pPr>
              <w:pStyle w:val="TableHeaderRow"/>
            </w:pPr>
            <w:r w:rsidRPr="00DF77C7">
              <w:t>Signature</w:t>
            </w:r>
          </w:p>
        </w:tc>
        <w:tc>
          <w:tcPr>
            <w:tcW w:w="1560" w:type="dxa"/>
            <w:shd w:val="clear" w:color="auto" w:fill="auto"/>
          </w:tcPr>
          <w:p w14:paraId="7E792298" w14:textId="77777777" w:rsidR="00825B58" w:rsidRPr="00DF77C7" w:rsidRDefault="00825B58" w:rsidP="00ED232C">
            <w:pPr>
              <w:pStyle w:val="TableHeaderRow"/>
            </w:pPr>
            <w:r w:rsidRPr="00DF77C7">
              <w:t>Date</w:t>
            </w:r>
          </w:p>
        </w:tc>
      </w:tr>
      <w:tr w:rsidR="00825B58" w:rsidRPr="00DF77C7" w14:paraId="0EBDF887" w14:textId="77777777" w:rsidTr="00825B58">
        <w:tc>
          <w:tcPr>
            <w:tcW w:w="2122" w:type="dxa"/>
            <w:shd w:val="clear" w:color="auto" w:fill="auto"/>
          </w:tcPr>
          <w:p w14:paraId="5FD07E7F" w14:textId="1DD65E11" w:rsidR="00825B58" w:rsidRPr="00DF77C7" w:rsidRDefault="00825B58" w:rsidP="00ED232C">
            <w:pPr>
              <w:pStyle w:val="Tabletext"/>
            </w:pPr>
          </w:p>
          <w:p w14:paraId="5C91BEFA" w14:textId="77777777" w:rsidR="00825B58" w:rsidRPr="00DF77C7" w:rsidRDefault="00825B58" w:rsidP="00ED232C">
            <w:pPr>
              <w:pStyle w:val="Tabletext"/>
            </w:pPr>
          </w:p>
        </w:tc>
        <w:tc>
          <w:tcPr>
            <w:tcW w:w="2551" w:type="dxa"/>
            <w:shd w:val="clear" w:color="auto" w:fill="auto"/>
          </w:tcPr>
          <w:p w14:paraId="5E586BCA" w14:textId="77777777" w:rsidR="00825B58" w:rsidRPr="00DF77C7" w:rsidRDefault="00825B58" w:rsidP="00ED232C">
            <w:pPr>
              <w:pStyle w:val="Tabletext"/>
            </w:pPr>
          </w:p>
          <w:p w14:paraId="012BFE9A" w14:textId="77777777" w:rsidR="00825B58" w:rsidRPr="00DF77C7" w:rsidRDefault="00825B58" w:rsidP="00ED232C">
            <w:pPr>
              <w:pStyle w:val="Tabletext"/>
            </w:pPr>
          </w:p>
        </w:tc>
        <w:tc>
          <w:tcPr>
            <w:tcW w:w="2693" w:type="dxa"/>
            <w:shd w:val="clear" w:color="auto" w:fill="auto"/>
          </w:tcPr>
          <w:p w14:paraId="0FD301BC" w14:textId="77777777" w:rsidR="00825B58" w:rsidRPr="00DF77C7" w:rsidRDefault="00825B58" w:rsidP="00ED232C">
            <w:pPr>
              <w:pStyle w:val="Tabletext"/>
            </w:pPr>
          </w:p>
          <w:p w14:paraId="2CF64E15" w14:textId="77777777" w:rsidR="00825B58" w:rsidRPr="00DF77C7" w:rsidRDefault="00825B58" w:rsidP="00ED232C">
            <w:pPr>
              <w:pStyle w:val="Tabletext"/>
            </w:pPr>
          </w:p>
        </w:tc>
        <w:tc>
          <w:tcPr>
            <w:tcW w:w="1560" w:type="dxa"/>
            <w:shd w:val="clear" w:color="auto" w:fill="auto"/>
          </w:tcPr>
          <w:p w14:paraId="001E573C" w14:textId="77777777" w:rsidR="00825B58" w:rsidRPr="00DF77C7" w:rsidRDefault="00825B58" w:rsidP="00ED232C">
            <w:pPr>
              <w:pStyle w:val="Tabletext"/>
            </w:pPr>
          </w:p>
          <w:p w14:paraId="27053B3A" w14:textId="77777777" w:rsidR="00825B58" w:rsidRPr="00DF77C7" w:rsidRDefault="00825B58" w:rsidP="00ED232C">
            <w:pPr>
              <w:pStyle w:val="Tabletext"/>
            </w:pPr>
          </w:p>
        </w:tc>
      </w:tr>
    </w:tbl>
    <w:p w14:paraId="7044DAD3" w14:textId="77777777" w:rsidR="00600F2A" w:rsidRDefault="00600F2A" w:rsidP="00293756">
      <w:pPr>
        <w:rPr>
          <w:rStyle w:val="PGDNormalBold"/>
        </w:rPr>
      </w:pPr>
    </w:p>
    <w:p w14:paraId="364647DE" w14:textId="77777777" w:rsidR="00600F2A" w:rsidRDefault="00600F2A" w:rsidP="00293756">
      <w:pPr>
        <w:rPr>
          <w:rStyle w:val="PGDNormalBold"/>
        </w:rPr>
      </w:pPr>
    </w:p>
    <w:p w14:paraId="4A40E55A" w14:textId="0E2A9252" w:rsidR="00600F2A" w:rsidRDefault="00600F2A" w:rsidP="00293756">
      <w:pPr>
        <w:rPr>
          <w:rStyle w:val="PGDNormalBold"/>
        </w:rPr>
      </w:pPr>
    </w:p>
    <w:p w14:paraId="6D72C4D4" w14:textId="77777777" w:rsidR="00600F2A" w:rsidRDefault="00600F2A" w:rsidP="00293756">
      <w:pPr>
        <w:rPr>
          <w:rStyle w:val="PGDNormalBold"/>
        </w:rPr>
      </w:pPr>
    </w:p>
    <w:p w14:paraId="016FF8D2" w14:textId="77777777" w:rsidR="00600F2A" w:rsidRDefault="00600F2A" w:rsidP="00293756">
      <w:pPr>
        <w:rPr>
          <w:rStyle w:val="PGDNormalBold"/>
        </w:rPr>
      </w:pPr>
    </w:p>
    <w:p w14:paraId="28F41219" w14:textId="66F5DEC4" w:rsidR="00510425" w:rsidRPr="00293756" w:rsidRDefault="00510425" w:rsidP="00293756">
      <w:pPr>
        <w:rPr>
          <w:rStyle w:val="PGDNormalBold"/>
        </w:rPr>
      </w:pPr>
      <w:r w:rsidRPr="00293756">
        <w:rPr>
          <w:rStyle w:val="PGDNormalBold"/>
        </w:rPr>
        <w:t>Note to authorising manager</w:t>
      </w:r>
    </w:p>
    <w:p w14:paraId="36670A02" w14:textId="77777777" w:rsidR="00510425" w:rsidRPr="00DF77C7" w:rsidRDefault="00510425" w:rsidP="0077187C">
      <w:pPr>
        <w:pStyle w:val="PGDNormal"/>
      </w:pPr>
      <w:r w:rsidRPr="00DF77C7">
        <w:t>Score through unused rows in the list of registered health professionals to prevent additions post managerial authorisation.</w:t>
      </w:r>
    </w:p>
    <w:p w14:paraId="29F7C469" w14:textId="77777777" w:rsidR="00510425" w:rsidRPr="00DF77C7" w:rsidRDefault="00510425" w:rsidP="0077187C">
      <w:pPr>
        <w:pStyle w:val="PGDNormal"/>
      </w:pPr>
      <w:r w:rsidRPr="00DF77C7">
        <w:t>This authorisation sheet should be retained to serve as a record of those registered health professionals authorised to work under this PGD.</w:t>
      </w:r>
    </w:p>
    <w:p w14:paraId="2136AB7D" w14:textId="7514879E" w:rsidR="00510425" w:rsidRPr="00DF77C7" w:rsidRDefault="00AC0BE9" w:rsidP="0077187C">
      <w:pPr>
        <w:pStyle w:val="PGDNormal"/>
      </w:pPr>
      <w:r w:rsidRPr="00AC0BE9">
        <w:t>[</w:t>
      </w:r>
      <w:r w:rsidR="00510425" w:rsidRPr="00DF77C7">
        <w:rPr>
          <w:highlight w:val="cyan"/>
        </w:rPr>
        <w:t>Add details on how this information is to be retained according to organisation PGD policy.</w:t>
      </w:r>
      <w:r>
        <w:t>]</w:t>
      </w:r>
    </w:p>
    <w:p w14:paraId="495DAEDB" w14:textId="77777777" w:rsidR="00E11FE0" w:rsidRDefault="00E11FE0" w:rsidP="00ED232C">
      <w:pPr>
        <w:pStyle w:val="PGDNormal"/>
      </w:pPr>
    </w:p>
    <w:sectPr w:rsidR="00E11FE0" w:rsidSect="00537E57">
      <w:headerReference w:type="even" r:id="rId44"/>
      <w:headerReference w:type="default" r:id="rId45"/>
      <w:footerReference w:type="default" r:id="rId46"/>
      <w:headerReference w:type="first" r:id="rId47"/>
      <w:pgSz w:w="11907" w:h="16840"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B50A4" w14:textId="77777777" w:rsidR="00DE2C56" w:rsidRPr="00DF77C7" w:rsidRDefault="00DE2C56">
      <w:r w:rsidRPr="00DF77C7">
        <w:separator/>
      </w:r>
    </w:p>
  </w:endnote>
  <w:endnote w:type="continuationSeparator" w:id="0">
    <w:p w14:paraId="5A5FD06B" w14:textId="77777777" w:rsidR="00DE2C56" w:rsidRPr="00DF77C7" w:rsidRDefault="00DE2C56">
      <w:r w:rsidRPr="00DF77C7">
        <w:continuationSeparator/>
      </w:r>
    </w:p>
  </w:endnote>
  <w:endnote w:type="continuationNotice" w:id="1">
    <w:p w14:paraId="21837034" w14:textId="77777777" w:rsidR="00DE2C56" w:rsidRDefault="00DE2C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F6D6" w14:textId="0875A07F" w:rsidR="007F0048" w:rsidRPr="00272136" w:rsidRDefault="005E6491" w:rsidP="00762BFE">
    <w:pPr>
      <w:pStyle w:val="Footer"/>
      <w:rPr>
        <w:highlight w:val="cyan"/>
      </w:rPr>
    </w:pPr>
    <w:r>
      <w:rPr>
        <w:highlight w:val="cyan"/>
      </w:rPr>
      <w:t>[</w:t>
    </w:r>
    <w:r w:rsidR="007F0048" w:rsidRPr="00272136">
      <w:rPr>
        <w:highlight w:val="cyan"/>
      </w:rPr>
      <w:t>Reference Number:</w:t>
    </w:r>
  </w:p>
  <w:p w14:paraId="37AB56FF" w14:textId="77777777" w:rsidR="007F0048" w:rsidRPr="00272136" w:rsidRDefault="007F0048" w:rsidP="00762BFE">
    <w:pPr>
      <w:pStyle w:val="PGDNormal"/>
      <w:spacing w:after="0"/>
      <w:rPr>
        <w:szCs w:val="22"/>
        <w:highlight w:val="cyan"/>
      </w:rPr>
    </w:pPr>
    <w:r w:rsidRPr="00272136">
      <w:rPr>
        <w:szCs w:val="22"/>
        <w:highlight w:val="cyan"/>
      </w:rPr>
      <w:t>Valid from:</w:t>
    </w:r>
  </w:p>
  <w:p w14:paraId="433533CD" w14:textId="77777777" w:rsidR="007F0048" w:rsidRPr="00272136" w:rsidRDefault="007F0048" w:rsidP="00762BFE">
    <w:pPr>
      <w:pStyle w:val="Footer"/>
      <w:rPr>
        <w:highlight w:val="cyan"/>
      </w:rPr>
    </w:pPr>
    <w:r w:rsidRPr="00272136">
      <w:rPr>
        <w:highlight w:val="cyan"/>
      </w:rPr>
      <w:t>Review date:</w:t>
    </w:r>
  </w:p>
  <w:p w14:paraId="6B111E08" w14:textId="239AE8CD" w:rsidR="007F0048" w:rsidRPr="00DF77C7" w:rsidRDefault="007F0048" w:rsidP="00762BFE">
    <w:pPr>
      <w:pStyle w:val="Footer"/>
    </w:pPr>
    <w:r w:rsidRPr="00272136">
      <w:rPr>
        <w:highlight w:val="cyan"/>
      </w:rPr>
      <w:t>Expiry date:</w:t>
    </w:r>
    <w:r w:rsidR="005E6491">
      <w:t>]</w:t>
    </w:r>
    <w:r w:rsidRPr="00DF77C7">
      <w:tab/>
    </w:r>
    <w:r w:rsidRPr="00DF77C7">
      <w:fldChar w:fldCharType="begin"/>
    </w:r>
    <w:r w:rsidRPr="00DF77C7">
      <w:instrText xml:space="preserve"> PAGE   \* MERGEFORMAT </w:instrText>
    </w:r>
    <w:r w:rsidRPr="00DF77C7">
      <w:fldChar w:fldCharType="separate"/>
    </w:r>
    <w:r w:rsidR="00B348EF" w:rsidRPr="00DF77C7">
      <w:t>12</w:t>
    </w:r>
    <w:r w:rsidRPr="00DF77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8761E" w14:textId="77777777" w:rsidR="00DE2C56" w:rsidRPr="00DF77C7" w:rsidRDefault="00DE2C56">
      <w:r w:rsidRPr="00DF77C7">
        <w:separator/>
      </w:r>
    </w:p>
  </w:footnote>
  <w:footnote w:type="continuationSeparator" w:id="0">
    <w:p w14:paraId="6827728D" w14:textId="77777777" w:rsidR="00DE2C56" w:rsidRPr="00DF77C7" w:rsidRDefault="00DE2C56">
      <w:r w:rsidRPr="00DF77C7">
        <w:continuationSeparator/>
      </w:r>
    </w:p>
  </w:footnote>
  <w:footnote w:type="continuationNotice" w:id="1">
    <w:p w14:paraId="7ADF2E07" w14:textId="77777777" w:rsidR="00DE2C56" w:rsidRDefault="00DE2C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5BA6" w14:textId="56F3EB4F" w:rsidR="0017669F" w:rsidRPr="00DF77C7" w:rsidRDefault="00716579">
    <w:pPr>
      <w:pStyle w:val="Header"/>
    </w:pPr>
    <w:r>
      <w:rPr>
        <w:noProof/>
      </w:rPr>
      <w:pict w14:anchorId="33AB8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7" o:spid="_x0000_s1032" type="#_x0000_t136" style="position:absolute;margin-left:0;margin-top:0;width:490.5pt;height:109pt;rotation:315;z-index:-251658239;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8BAA" w14:textId="187A1A8E" w:rsidR="00E60C36" w:rsidRPr="00B11B08" w:rsidRDefault="00716579" w:rsidP="00E27D26">
    <w:pPr>
      <w:pStyle w:val="Header"/>
      <w:rPr>
        <w:sz w:val="16"/>
        <w:szCs w:val="16"/>
      </w:rPr>
    </w:pPr>
    <w:r>
      <w:rPr>
        <w:noProof/>
        <w:sz w:val="22"/>
        <w:szCs w:val="22"/>
      </w:rPr>
      <w:pict w14:anchorId="73A80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8" o:spid="_x0000_s1033" type="#_x0000_t136" style="position:absolute;margin-left:0;margin-top:0;width:490.5pt;height:109pt;rotation:315;z-index:-25165823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B11B08" w:rsidRPr="00B11B08">
      <w:rPr>
        <w:sz w:val="16"/>
        <w:szCs w:val="16"/>
      </w:rPr>
      <w:t xml:space="preserve">Text </w:t>
    </w:r>
    <w:r w:rsidR="009C2AEE">
      <w:rPr>
        <w:sz w:val="16"/>
        <w:szCs w:val="16"/>
      </w:rPr>
      <w:t>[</w:t>
    </w:r>
    <w:r w:rsidR="00B11B08" w:rsidRPr="00BA6AF1">
      <w:rPr>
        <w:sz w:val="16"/>
        <w:szCs w:val="16"/>
        <w:highlight w:val="cyan"/>
      </w:rPr>
      <w:t xml:space="preserve">highlighted in </w:t>
    </w:r>
    <w:r w:rsidR="00B11B08" w:rsidRPr="009C2AEE">
      <w:rPr>
        <w:sz w:val="16"/>
        <w:szCs w:val="16"/>
        <w:highlight w:val="cyan"/>
      </w:rPr>
      <w:t>blue</w:t>
    </w:r>
    <w:r w:rsidR="009C2AEE" w:rsidRPr="009C2AEE">
      <w:rPr>
        <w:sz w:val="16"/>
        <w:szCs w:val="16"/>
        <w:highlight w:val="cyan"/>
      </w:rPr>
      <w:t xml:space="preserve"> and in </w:t>
    </w:r>
    <w:r w:rsidR="005E6491">
      <w:rPr>
        <w:sz w:val="16"/>
        <w:szCs w:val="16"/>
        <w:highlight w:val="cyan"/>
      </w:rPr>
      <w:t xml:space="preserve">single </w:t>
    </w:r>
    <w:r w:rsidR="009C2AEE" w:rsidRPr="009C2AEE">
      <w:rPr>
        <w:sz w:val="16"/>
        <w:szCs w:val="16"/>
        <w:highlight w:val="cyan"/>
      </w:rPr>
      <w:t>square brackets</w:t>
    </w:r>
    <w:r w:rsidR="009C2AEE">
      <w:rPr>
        <w:sz w:val="16"/>
        <w:szCs w:val="16"/>
      </w:rPr>
      <w:t>]</w:t>
    </w:r>
    <w:r w:rsidR="00B11B08" w:rsidRPr="00B11B08">
      <w:rPr>
        <w:sz w:val="16"/>
        <w:szCs w:val="16"/>
      </w:rPr>
      <w:t xml:space="preserve"> should be replaced with the user organisation’s own text. Text </w:t>
    </w:r>
    <w:r w:rsidR="005E6491">
      <w:rPr>
        <w:sz w:val="16"/>
        <w:szCs w:val="16"/>
      </w:rPr>
      <w:t>[[</w:t>
    </w:r>
    <w:r w:rsidR="00B11B08" w:rsidRPr="005E6491">
      <w:rPr>
        <w:sz w:val="16"/>
        <w:szCs w:val="16"/>
        <w:highlight w:val="yellow"/>
      </w:rPr>
      <w:t xml:space="preserve">highlighted in yellow </w:t>
    </w:r>
    <w:r w:rsidR="005E6491" w:rsidRPr="005E6491">
      <w:rPr>
        <w:sz w:val="16"/>
        <w:szCs w:val="16"/>
        <w:highlight w:val="yellow"/>
      </w:rPr>
      <w:t>and in double square brackets</w:t>
    </w:r>
    <w:r w:rsidR="005E6491">
      <w:rPr>
        <w:sz w:val="16"/>
        <w:szCs w:val="16"/>
      </w:rPr>
      <w:t xml:space="preserve">]] </w:t>
    </w:r>
    <w:r w:rsidR="00B11B08" w:rsidRPr="00B11B08">
      <w:rPr>
        <w:sz w:val="16"/>
        <w:szCs w:val="16"/>
      </w:rPr>
      <w:t>is advisory text and should be removed in final authorised versions of the PGD.  It is advised that all non-highlighted text remains in final authorised versions</w:t>
    </w:r>
    <w:r w:rsidR="00BA6AF1">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8BE0" w14:textId="3CDA4B89" w:rsidR="0017669F" w:rsidRPr="00DF77C7" w:rsidRDefault="00716579">
    <w:pPr>
      <w:pStyle w:val="Header"/>
    </w:pPr>
    <w:r>
      <w:rPr>
        <w:noProof/>
      </w:rPr>
      <w:pict w14:anchorId="5569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6" o:spid="_x0000_s1031" type="#_x0000_t136" style="position:absolute;margin-left:0;margin-top:0;width:490.5pt;height:109pt;rotation:315;z-index:-251658240;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D7A75D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506E94"/>
    <w:multiLevelType w:val="hybridMultilevel"/>
    <w:tmpl w:val="0422C4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800A56"/>
    <w:multiLevelType w:val="hybridMultilevel"/>
    <w:tmpl w:val="581EFE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D964D70"/>
    <w:multiLevelType w:val="hybridMultilevel"/>
    <w:tmpl w:val="F5986C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4B5FCF"/>
    <w:multiLevelType w:val="hybridMultilevel"/>
    <w:tmpl w:val="E8F491DA"/>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8"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0F3A16"/>
    <w:multiLevelType w:val="hybridMultilevel"/>
    <w:tmpl w:val="5E36B4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3984751"/>
    <w:multiLevelType w:val="hybridMultilevel"/>
    <w:tmpl w:val="A10498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2" w15:restartNumberingAfterBreak="0">
    <w:nsid w:val="2DFD1161"/>
    <w:multiLevelType w:val="hybridMultilevel"/>
    <w:tmpl w:val="D93EBB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B96E3D"/>
    <w:multiLevelType w:val="hybridMultilevel"/>
    <w:tmpl w:val="2110E5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3C890A86"/>
    <w:multiLevelType w:val="hybridMultilevel"/>
    <w:tmpl w:val="958A4F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E087A07"/>
    <w:multiLevelType w:val="hybridMultilevel"/>
    <w:tmpl w:val="65920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E87D95"/>
    <w:multiLevelType w:val="multilevel"/>
    <w:tmpl w:val="9DE858CE"/>
    <w:lvl w:ilvl="0">
      <w:start w:val="1"/>
      <w:numFmt w:val="bullet"/>
      <w:pStyle w:val="Bulletindent1"/>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25B685A"/>
    <w:multiLevelType w:val="multilevel"/>
    <w:tmpl w:val="6C8A4D2A"/>
    <w:styleLink w:val="PGDbulle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98F3A50"/>
    <w:multiLevelType w:val="hybridMultilevel"/>
    <w:tmpl w:val="7C229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ascii="Symbol" w:hAnsi="Symbol" w:hint="default"/>
        <w:sz w:val="22"/>
      </w:rPr>
    </w:lvl>
    <w:lvl w:ilvl="1">
      <w:start w:val="1"/>
      <w:numFmt w:val="bullet"/>
      <w:lvlText w:val=""/>
      <w:lvlJc w:val="left"/>
      <w:pPr>
        <w:tabs>
          <w:tab w:val="num" w:pos="1418"/>
        </w:tabs>
        <w:ind w:left="1418" w:hanging="284"/>
      </w:pPr>
      <w:rPr>
        <w:rFonts w:ascii="Wingdings" w:hAnsi="Wingdings" w:hint="default"/>
        <w:sz w:val="22"/>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934"/>
        </w:tabs>
        <w:ind w:left="2934" w:hanging="360"/>
      </w:pPr>
      <w:rPr>
        <w:rFonts w:ascii="Symbol" w:hAnsi="Symbol" w:hint="default"/>
      </w:rPr>
    </w:lvl>
    <w:lvl w:ilvl="4">
      <w:start w:val="1"/>
      <w:numFmt w:val="bullet"/>
      <w:lvlText w:val="o"/>
      <w:lvlJc w:val="left"/>
      <w:pPr>
        <w:tabs>
          <w:tab w:val="num" w:pos="3654"/>
        </w:tabs>
        <w:ind w:left="3654" w:hanging="360"/>
      </w:pPr>
      <w:rPr>
        <w:rFonts w:ascii="Courier New" w:hAnsi="Courier New" w:cs="Courier New" w:hint="default"/>
      </w:rPr>
    </w:lvl>
    <w:lvl w:ilvl="5">
      <w:start w:val="1"/>
      <w:numFmt w:val="bullet"/>
      <w:lvlText w:val=""/>
      <w:lvlJc w:val="left"/>
      <w:pPr>
        <w:tabs>
          <w:tab w:val="num" w:pos="4374"/>
        </w:tabs>
        <w:ind w:left="4374" w:hanging="360"/>
      </w:pPr>
      <w:rPr>
        <w:rFonts w:ascii="Wingdings" w:hAnsi="Wingdings" w:hint="default"/>
      </w:rPr>
    </w:lvl>
    <w:lvl w:ilvl="6">
      <w:start w:val="1"/>
      <w:numFmt w:val="bullet"/>
      <w:lvlText w:val=""/>
      <w:lvlJc w:val="left"/>
      <w:pPr>
        <w:tabs>
          <w:tab w:val="num" w:pos="5094"/>
        </w:tabs>
        <w:ind w:left="5094" w:hanging="360"/>
      </w:pPr>
      <w:rPr>
        <w:rFonts w:ascii="Symbol" w:hAnsi="Symbol" w:hint="default"/>
      </w:rPr>
    </w:lvl>
    <w:lvl w:ilvl="7">
      <w:start w:val="1"/>
      <w:numFmt w:val="bullet"/>
      <w:lvlText w:val="o"/>
      <w:lvlJc w:val="left"/>
      <w:pPr>
        <w:tabs>
          <w:tab w:val="num" w:pos="5814"/>
        </w:tabs>
        <w:ind w:left="5814" w:hanging="360"/>
      </w:pPr>
      <w:rPr>
        <w:rFonts w:ascii="Courier New" w:hAnsi="Courier New" w:cs="Courier New" w:hint="default"/>
      </w:rPr>
    </w:lvl>
    <w:lvl w:ilvl="8">
      <w:start w:val="1"/>
      <w:numFmt w:val="bullet"/>
      <w:lvlText w:val=""/>
      <w:lvlJc w:val="left"/>
      <w:pPr>
        <w:tabs>
          <w:tab w:val="num" w:pos="6534"/>
        </w:tabs>
        <w:ind w:left="6534" w:hanging="360"/>
      </w:pPr>
      <w:rPr>
        <w:rFonts w:ascii="Wingdings" w:hAnsi="Wingdings" w:hint="default"/>
      </w:rPr>
    </w:lvl>
  </w:abstractNum>
  <w:abstractNum w:abstractNumId="22"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B6F080E"/>
    <w:multiLevelType w:val="hybridMultilevel"/>
    <w:tmpl w:val="656653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E0774CB"/>
    <w:multiLevelType w:val="hybridMultilevel"/>
    <w:tmpl w:val="AFCCC2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6284D62"/>
    <w:multiLevelType w:val="hybridMultilevel"/>
    <w:tmpl w:val="239EC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85256B"/>
    <w:multiLevelType w:val="hybridMultilevel"/>
    <w:tmpl w:val="74F421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D4C4F0F"/>
    <w:multiLevelType w:val="hybridMultilevel"/>
    <w:tmpl w:val="57D27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ascii="Symbol" w:hAnsi="Symbol" w:hint="default"/>
        <w:sz w:val="22"/>
        <w:szCs w:val="22"/>
      </w:rPr>
    </w:lvl>
    <w:lvl w:ilvl="1">
      <w:start w:val="1"/>
      <w:numFmt w:val="bullet"/>
      <w:lvlText w:val="o"/>
      <w:lvlJc w:val="left"/>
      <w:pPr>
        <w:tabs>
          <w:tab w:val="num" w:pos="-713"/>
        </w:tabs>
        <w:ind w:left="-713" w:hanging="360"/>
      </w:pPr>
      <w:rPr>
        <w:rFonts w:ascii="Courier New" w:hAnsi="Courier New" w:cs="Courier New" w:hint="default"/>
        <w:sz w:val="22"/>
        <w:szCs w:val="22"/>
      </w:rPr>
    </w:lvl>
    <w:lvl w:ilvl="2">
      <w:start w:val="1"/>
      <w:numFmt w:val="bullet"/>
      <w:lvlText w:val=""/>
      <w:lvlJc w:val="left"/>
      <w:pPr>
        <w:tabs>
          <w:tab w:val="num" w:pos="7"/>
        </w:tabs>
        <w:ind w:left="7" w:hanging="360"/>
      </w:pPr>
      <w:rPr>
        <w:rFonts w:ascii="Wingdings" w:hAnsi="Wingdings" w:hint="default"/>
      </w:rPr>
    </w:lvl>
    <w:lvl w:ilvl="3">
      <w:start w:val="1"/>
      <w:numFmt w:val="bullet"/>
      <w:lvlText w:val=""/>
      <w:lvlJc w:val="left"/>
      <w:pPr>
        <w:tabs>
          <w:tab w:val="num" w:pos="727"/>
        </w:tabs>
        <w:ind w:left="727" w:hanging="360"/>
      </w:pPr>
      <w:rPr>
        <w:rFonts w:ascii="Symbol" w:hAnsi="Symbol" w:hint="default"/>
      </w:rPr>
    </w:lvl>
    <w:lvl w:ilvl="4">
      <w:start w:val="1"/>
      <w:numFmt w:val="bullet"/>
      <w:lvlText w:val="o"/>
      <w:lvlJc w:val="left"/>
      <w:pPr>
        <w:tabs>
          <w:tab w:val="num" w:pos="1447"/>
        </w:tabs>
        <w:ind w:left="1447" w:hanging="360"/>
      </w:pPr>
      <w:rPr>
        <w:rFonts w:ascii="Courier New" w:hAnsi="Courier New" w:cs="Courier New" w:hint="default"/>
      </w:rPr>
    </w:lvl>
    <w:lvl w:ilvl="5">
      <w:start w:val="1"/>
      <w:numFmt w:val="bullet"/>
      <w:lvlText w:val=""/>
      <w:lvlJc w:val="left"/>
      <w:pPr>
        <w:tabs>
          <w:tab w:val="num" w:pos="2167"/>
        </w:tabs>
        <w:ind w:left="2167" w:hanging="360"/>
      </w:pPr>
      <w:rPr>
        <w:rFonts w:ascii="Wingdings" w:hAnsi="Wingdings" w:hint="default"/>
      </w:rPr>
    </w:lvl>
    <w:lvl w:ilvl="6">
      <w:start w:val="1"/>
      <w:numFmt w:val="bullet"/>
      <w:lvlText w:val=""/>
      <w:lvlJc w:val="left"/>
      <w:pPr>
        <w:tabs>
          <w:tab w:val="num" w:pos="2887"/>
        </w:tabs>
        <w:ind w:left="2887" w:hanging="360"/>
      </w:pPr>
      <w:rPr>
        <w:rFonts w:ascii="Symbol" w:hAnsi="Symbol" w:hint="default"/>
      </w:rPr>
    </w:lvl>
    <w:lvl w:ilvl="7">
      <w:start w:val="1"/>
      <w:numFmt w:val="bullet"/>
      <w:lvlText w:val="o"/>
      <w:lvlJc w:val="left"/>
      <w:pPr>
        <w:tabs>
          <w:tab w:val="num" w:pos="3607"/>
        </w:tabs>
        <w:ind w:left="3607" w:hanging="360"/>
      </w:pPr>
      <w:rPr>
        <w:rFonts w:ascii="Courier New" w:hAnsi="Courier New" w:cs="Courier New" w:hint="default"/>
      </w:rPr>
    </w:lvl>
    <w:lvl w:ilvl="8">
      <w:start w:val="1"/>
      <w:numFmt w:val="bullet"/>
      <w:lvlText w:val=""/>
      <w:lvlJc w:val="left"/>
      <w:pPr>
        <w:tabs>
          <w:tab w:val="num" w:pos="4327"/>
        </w:tabs>
        <w:ind w:left="4327" w:hanging="360"/>
      </w:pPr>
      <w:rPr>
        <w:rFonts w:ascii="Wingdings" w:hAnsi="Wingdings" w:hint="default"/>
      </w:rPr>
    </w:lvl>
  </w:abstractNum>
  <w:abstractNum w:abstractNumId="31" w15:restartNumberingAfterBreak="0">
    <w:nsid w:val="77221C4D"/>
    <w:multiLevelType w:val="hybridMultilevel"/>
    <w:tmpl w:val="F18C2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ascii="Century Gothic" w:hAnsi="Century Gothic"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33"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ascii="Courier New" w:hAnsi="Courier New"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34" w15:restartNumberingAfterBreak="0">
    <w:nsid w:val="78BE70D9"/>
    <w:multiLevelType w:val="hybridMultilevel"/>
    <w:tmpl w:val="519670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9C14623"/>
    <w:multiLevelType w:val="hybridMultilevel"/>
    <w:tmpl w:val="EEDE7A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CFE749B"/>
    <w:multiLevelType w:val="hybridMultilevel"/>
    <w:tmpl w:val="8BE43D3A"/>
    <w:lvl w:ilvl="0" w:tplc="31026F84">
      <w:start w:val="1"/>
      <w:numFmt w:val="bullet"/>
      <w:pStyle w:val="Bulletindent1la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ascii="Arial" w:hAnsi="Arial" w:hint="default"/>
        <w:sz w:val="32"/>
      </w:rPr>
    </w:lvl>
    <w:lvl w:ilvl="1">
      <w:start w:val="1"/>
      <w:numFmt w:val="decimal"/>
      <w:lvlText w:val="%1.%2"/>
      <w:lvlJc w:val="left"/>
      <w:pPr>
        <w:tabs>
          <w:tab w:val="num" w:pos="851"/>
        </w:tabs>
        <w:ind w:left="851" w:hanging="851"/>
      </w:pPr>
      <w:rPr>
        <w:rFonts w:ascii="Arial" w:hAnsi="Arial" w:hint="default"/>
        <w:b/>
        <w:i/>
        <w:sz w:val="28"/>
        <w:szCs w:val="28"/>
      </w:rPr>
    </w:lvl>
    <w:lvl w:ilvl="2">
      <w:start w:val="1"/>
      <w:numFmt w:val="decimal"/>
      <w:lvlText w:val="%1.%2.%3"/>
      <w:lvlJc w:val="left"/>
      <w:pPr>
        <w:tabs>
          <w:tab w:val="num" w:pos="851"/>
        </w:tabs>
        <w:ind w:left="851" w:hanging="851"/>
      </w:pPr>
      <w:rPr>
        <w:rFonts w:ascii="Arial" w:hAnsi="Arial" w:hint="default"/>
        <w:b/>
        <w:i w:val="0"/>
        <w:sz w:val="24"/>
        <w:szCs w:val="24"/>
      </w:rPr>
    </w:lvl>
    <w:lvl w:ilvl="3">
      <w:start w:val="1"/>
      <w:numFmt w:val="decimal"/>
      <w:pStyle w:val="Numberedheading4"/>
      <w:lvlText w:val="%1.%2.%3.%4"/>
      <w:lvlJc w:val="left"/>
      <w:pPr>
        <w:tabs>
          <w:tab w:val="num" w:pos="1134"/>
        </w:tabs>
        <w:ind w:left="1134" w:hanging="1134"/>
      </w:pPr>
      <w:rPr>
        <w:rFonts w:ascii="Arial" w:hAnsi="Arial" w:hint="default"/>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ascii="Arial" w:hAnsi="Arial" w:hint="default"/>
        <w:b w:val="0"/>
        <w:i w:val="0"/>
        <w:sz w:val="24"/>
        <w:szCs w:val="24"/>
      </w:rPr>
    </w:lvl>
    <w:lvl w:ilvl="5">
      <w:start w:val="1"/>
      <w:numFmt w:val="decimal"/>
      <w:lvlText w:val="%1.%2.%3.%4.%5.%6"/>
      <w:lvlJc w:val="left"/>
      <w:pPr>
        <w:tabs>
          <w:tab w:val="num" w:pos="1134"/>
        </w:tabs>
        <w:ind w:left="1134" w:hanging="1134"/>
      </w:pPr>
      <w:rPr>
        <w:rFonts w:ascii="Arial" w:hAnsi="Arial" w:hint="default"/>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ascii="Arial" w:hAnsi="Arial" w:hint="default"/>
        <w:sz w:val="20"/>
        <w:szCs w:val="20"/>
      </w:rPr>
    </w:lvl>
  </w:abstractNum>
  <w:abstractNum w:abstractNumId="38" w15:restartNumberingAfterBreak="0">
    <w:nsid w:val="7EC46A70"/>
    <w:multiLevelType w:val="hybridMultilevel"/>
    <w:tmpl w:val="265E44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288662370">
    <w:abstractNumId w:val="25"/>
  </w:num>
  <w:num w:numId="2" w16cid:durableId="460340545">
    <w:abstractNumId w:val="14"/>
  </w:num>
  <w:num w:numId="3" w16cid:durableId="862549155">
    <w:abstractNumId w:val="32"/>
  </w:num>
  <w:num w:numId="4" w16cid:durableId="1902785077">
    <w:abstractNumId w:val="33"/>
  </w:num>
  <w:num w:numId="5" w16cid:durableId="1400252542">
    <w:abstractNumId w:val="21"/>
  </w:num>
  <w:num w:numId="6" w16cid:durableId="585113440">
    <w:abstractNumId w:val="13"/>
  </w:num>
  <w:num w:numId="7" w16cid:durableId="1512915418">
    <w:abstractNumId w:val="30"/>
  </w:num>
  <w:num w:numId="8" w16cid:durableId="759831936">
    <w:abstractNumId w:val="37"/>
  </w:num>
  <w:num w:numId="9" w16cid:durableId="1747412429">
    <w:abstractNumId w:val="3"/>
  </w:num>
  <w:num w:numId="10" w16cid:durableId="1297833641">
    <w:abstractNumId w:val="1"/>
  </w:num>
  <w:num w:numId="11" w16cid:durableId="1684160055">
    <w:abstractNumId w:val="36"/>
  </w:num>
  <w:num w:numId="12" w16cid:durableId="1610894224">
    <w:abstractNumId w:val="39"/>
  </w:num>
  <w:num w:numId="13" w16cid:durableId="1880973297">
    <w:abstractNumId w:val="19"/>
  </w:num>
  <w:num w:numId="14" w16cid:durableId="77676389">
    <w:abstractNumId w:val="6"/>
  </w:num>
  <w:num w:numId="15" w16cid:durableId="1496384920">
    <w:abstractNumId w:val="18"/>
  </w:num>
  <w:num w:numId="16" w16cid:durableId="441388192">
    <w:abstractNumId w:val="27"/>
    <w:lvlOverride w:ilvl="0">
      <w:startOverride w:val="1"/>
    </w:lvlOverride>
  </w:num>
  <w:num w:numId="17" w16cid:durableId="73867840">
    <w:abstractNumId w:val="8"/>
    <w:lvlOverride w:ilvl="0">
      <w:startOverride w:val="1"/>
    </w:lvlOverride>
  </w:num>
  <w:num w:numId="18" w16cid:durableId="604196735">
    <w:abstractNumId w:val="34"/>
  </w:num>
  <w:num w:numId="19" w16cid:durableId="373623662">
    <w:abstractNumId w:val="0"/>
  </w:num>
  <w:num w:numId="20" w16cid:durableId="219051108">
    <w:abstractNumId w:val="38"/>
  </w:num>
  <w:num w:numId="21" w16cid:durableId="58136785">
    <w:abstractNumId w:val="17"/>
  </w:num>
  <w:num w:numId="22" w16cid:durableId="349381989">
    <w:abstractNumId w:val="24"/>
  </w:num>
  <w:num w:numId="23" w16cid:durableId="1668512549">
    <w:abstractNumId w:val="5"/>
  </w:num>
  <w:num w:numId="24" w16cid:durableId="1466704068">
    <w:abstractNumId w:val="15"/>
  </w:num>
  <w:num w:numId="25" w16cid:durableId="1515025951">
    <w:abstractNumId w:val="35"/>
  </w:num>
  <w:num w:numId="26" w16cid:durableId="1985234507">
    <w:abstractNumId w:val="7"/>
  </w:num>
  <w:num w:numId="27" w16cid:durableId="1851486575">
    <w:abstractNumId w:val="10"/>
  </w:num>
  <w:num w:numId="28" w16cid:durableId="689574958">
    <w:abstractNumId w:val="29"/>
  </w:num>
  <w:num w:numId="29" w16cid:durableId="1993673407">
    <w:abstractNumId w:val="23"/>
  </w:num>
  <w:num w:numId="30" w16cid:durableId="1766027698">
    <w:abstractNumId w:val="4"/>
  </w:num>
  <w:num w:numId="31" w16cid:durableId="939684673">
    <w:abstractNumId w:val="2"/>
  </w:num>
  <w:num w:numId="32" w16cid:durableId="1965308950">
    <w:abstractNumId w:val="26"/>
  </w:num>
  <w:num w:numId="33" w16cid:durableId="585116736">
    <w:abstractNumId w:val="12"/>
  </w:num>
  <w:num w:numId="34" w16cid:durableId="1672633764">
    <w:abstractNumId w:val="28"/>
  </w:num>
  <w:num w:numId="35" w16cid:durableId="927811126">
    <w:abstractNumId w:val="9"/>
  </w:num>
  <w:num w:numId="36" w16cid:durableId="1439064542">
    <w:abstractNumId w:val="16"/>
  </w:num>
  <w:num w:numId="37" w16cid:durableId="948316901">
    <w:abstractNumId w:val="31"/>
  </w:num>
  <w:num w:numId="38" w16cid:durableId="1196194932">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2ACC"/>
    <w:rsid w:val="000065D4"/>
    <w:rsid w:val="0001063D"/>
    <w:rsid w:val="00017F41"/>
    <w:rsid w:val="00020F4D"/>
    <w:rsid w:val="00022601"/>
    <w:rsid w:val="0002298F"/>
    <w:rsid w:val="00024FDE"/>
    <w:rsid w:val="00026393"/>
    <w:rsid w:val="00031DE4"/>
    <w:rsid w:val="0003249A"/>
    <w:rsid w:val="00036708"/>
    <w:rsid w:val="00037F07"/>
    <w:rsid w:val="000411B7"/>
    <w:rsid w:val="0004289C"/>
    <w:rsid w:val="00043006"/>
    <w:rsid w:val="00043DD4"/>
    <w:rsid w:val="00044863"/>
    <w:rsid w:val="000462D9"/>
    <w:rsid w:val="0005035D"/>
    <w:rsid w:val="00050C45"/>
    <w:rsid w:val="00051AAD"/>
    <w:rsid w:val="000524CF"/>
    <w:rsid w:val="000556B2"/>
    <w:rsid w:val="00056CDA"/>
    <w:rsid w:val="000604E0"/>
    <w:rsid w:val="0006306E"/>
    <w:rsid w:val="000661B3"/>
    <w:rsid w:val="0007109F"/>
    <w:rsid w:val="00071312"/>
    <w:rsid w:val="00072490"/>
    <w:rsid w:val="0007357B"/>
    <w:rsid w:val="00073A2D"/>
    <w:rsid w:val="00073B6D"/>
    <w:rsid w:val="0007473C"/>
    <w:rsid w:val="00076494"/>
    <w:rsid w:val="00081B91"/>
    <w:rsid w:val="000856ED"/>
    <w:rsid w:val="000912CD"/>
    <w:rsid w:val="00091E6A"/>
    <w:rsid w:val="00094814"/>
    <w:rsid w:val="00094B2C"/>
    <w:rsid w:val="00095CC0"/>
    <w:rsid w:val="00096257"/>
    <w:rsid w:val="00097675"/>
    <w:rsid w:val="00097D7C"/>
    <w:rsid w:val="000A016E"/>
    <w:rsid w:val="000A0B03"/>
    <w:rsid w:val="000A4616"/>
    <w:rsid w:val="000A7224"/>
    <w:rsid w:val="000A7F4E"/>
    <w:rsid w:val="000B11F9"/>
    <w:rsid w:val="000B2929"/>
    <w:rsid w:val="000B2B38"/>
    <w:rsid w:val="000B2D26"/>
    <w:rsid w:val="000B3C9A"/>
    <w:rsid w:val="000B451C"/>
    <w:rsid w:val="000B55E8"/>
    <w:rsid w:val="000B6CB9"/>
    <w:rsid w:val="000C1FB9"/>
    <w:rsid w:val="000C2D31"/>
    <w:rsid w:val="000D602A"/>
    <w:rsid w:val="000D7704"/>
    <w:rsid w:val="000E2765"/>
    <w:rsid w:val="000E2E30"/>
    <w:rsid w:val="000E2E96"/>
    <w:rsid w:val="000E4DDA"/>
    <w:rsid w:val="000E6EC0"/>
    <w:rsid w:val="000E71C7"/>
    <w:rsid w:val="000E7A81"/>
    <w:rsid w:val="000F1CAB"/>
    <w:rsid w:val="000F2350"/>
    <w:rsid w:val="000F2735"/>
    <w:rsid w:val="000F2DC4"/>
    <w:rsid w:val="000F4B18"/>
    <w:rsid w:val="000F4FC5"/>
    <w:rsid w:val="000F52B4"/>
    <w:rsid w:val="000F6DF5"/>
    <w:rsid w:val="001016BC"/>
    <w:rsid w:val="00110308"/>
    <w:rsid w:val="00110E70"/>
    <w:rsid w:val="00112BE0"/>
    <w:rsid w:val="00114F02"/>
    <w:rsid w:val="0011562D"/>
    <w:rsid w:val="00120033"/>
    <w:rsid w:val="00120C76"/>
    <w:rsid w:val="0012506B"/>
    <w:rsid w:val="001260CA"/>
    <w:rsid w:val="001300B4"/>
    <w:rsid w:val="001309D6"/>
    <w:rsid w:val="00130C0D"/>
    <w:rsid w:val="00135D99"/>
    <w:rsid w:val="00136BE0"/>
    <w:rsid w:val="00137A0B"/>
    <w:rsid w:val="00142D2D"/>
    <w:rsid w:val="00143108"/>
    <w:rsid w:val="00143215"/>
    <w:rsid w:val="001438F2"/>
    <w:rsid w:val="001450CF"/>
    <w:rsid w:val="001452AF"/>
    <w:rsid w:val="001521AF"/>
    <w:rsid w:val="00154679"/>
    <w:rsid w:val="00157C5B"/>
    <w:rsid w:val="00160B58"/>
    <w:rsid w:val="001618F9"/>
    <w:rsid w:val="00161BBD"/>
    <w:rsid w:val="001629CB"/>
    <w:rsid w:val="00163BBB"/>
    <w:rsid w:val="00163CE8"/>
    <w:rsid w:val="00165DD9"/>
    <w:rsid w:val="001665C4"/>
    <w:rsid w:val="00170722"/>
    <w:rsid w:val="00170A19"/>
    <w:rsid w:val="00171245"/>
    <w:rsid w:val="0017281B"/>
    <w:rsid w:val="00173124"/>
    <w:rsid w:val="0017669F"/>
    <w:rsid w:val="001774D2"/>
    <w:rsid w:val="0018109D"/>
    <w:rsid w:val="00184E40"/>
    <w:rsid w:val="0018512B"/>
    <w:rsid w:val="0018568F"/>
    <w:rsid w:val="00185D9C"/>
    <w:rsid w:val="00191DF2"/>
    <w:rsid w:val="00191FDD"/>
    <w:rsid w:val="0019584B"/>
    <w:rsid w:val="00195BE6"/>
    <w:rsid w:val="0019622E"/>
    <w:rsid w:val="001966D1"/>
    <w:rsid w:val="00197EBE"/>
    <w:rsid w:val="001A0A45"/>
    <w:rsid w:val="001A11C9"/>
    <w:rsid w:val="001A20E4"/>
    <w:rsid w:val="001B0585"/>
    <w:rsid w:val="001B1208"/>
    <w:rsid w:val="001B1F2C"/>
    <w:rsid w:val="001B3087"/>
    <w:rsid w:val="001B3D6C"/>
    <w:rsid w:val="001B5C09"/>
    <w:rsid w:val="001B63A5"/>
    <w:rsid w:val="001B7FDB"/>
    <w:rsid w:val="001C02E3"/>
    <w:rsid w:val="001C24ED"/>
    <w:rsid w:val="001D4417"/>
    <w:rsid w:val="001D4AB6"/>
    <w:rsid w:val="001D6E37"/>
    <w:rsid w:val="001D7020"/>
    <w:rsid w:val="001D7D3D"/>
    <w:rsid w:val="001E006A"/>
    <w:rsid w:val="001E3238"/>
    <w:rsid w:val="001E3FCB"/>
    <w:rsid w:val="001E42C4"/>
    <w:rsid w:val="001E42CD"/>
    <w:rsid w:val="001E7E43"/>
    <w:rsid w:val="001F0DB2"/>
    <w:rsid w:val="001F1FD3"/>
    <w:rsid w:val="001F3071"/>
    <w:rsid w:val="001F3214"/>
    <w:rsid w:val="001F32F9"/>
    <w:rsid w:val="001F6143"/>
    <w:rsid w:val="001F6668"/>
    <w:rsid w:val="001F7697"/>
    <w:rsid w:val="0020051D"/>
    <w:rsid w:val="00202047"/>
    <w:rsid w:val="002026AE"/>
    <w:rsid w:val="002206F3"/>
    <w:rsid w:val="00221439"/>
    <w:rsid w:val="002258BE"/>
    <w:rsid w:val="00225F9D"/>
    <w:rsid w:val="00226222"/>
    <w:rsid w:val="00235023"/>
    <w:rsid w:val="00237A35"/>
    <w:rsid w:val="002406C4"/>
    <w:rsid w:val="002416AD"/>
    <w:rsid w:val="00243191"/>
    <w:rsid w:val="00244593"/>
    <w:rsid w:val="00244F1F"/>
    <w:rsid w:val="0025085E"/>
    <w:rsid w:val="002529F3"/>
    <w:rsid w:val="00264DF6"/>
    <w:rsid w:val="002651BA"/>
    <w:rsid w:val="00265C0F"/>
    <w:rsid w:val="0026660B"/>
    <w:rsid w:val="0027153F"/>
    <w:rsid w:val="00272136"/>
    <w:rsid w:val="002740D9"/>
    <w:rsid w:val="00274956"/>
    <w:rsid w:val="002759EC"/>
    <w:rsid w:val="00276789"/>
    <w:rsid w:val="00283845"/>
    <w:rsid w:val="00285B42"/>
    <w:rsid w:val="00290FAB"/>
    <w:rsid w:val="00293756"/>
    <w:rsid w:val="00294355"/>
    <w:rsid w:val="00295278"/>
    <w:rsid w:val="00296701"/>
    <w:rsid w:val="002A26DA"/>
    <w:rsid w:val="002A278A"/>
    <w:rsid w:val="002A6CB8"/>
    <w:rsid w:val="002A7D61"/>
    <w:rsid w:val="002B1479"/>
    <w:rsid w:val="002B4181"/>
    <w:rsid w:val="002B5BAC"/>
    <w:rsid w:val="002B5E5D"/>
    <w:rsid w:val="002B62CC"/>
    <w:rsid w:val="002B6400"/>
    <w:rsid w:val="002C19DC"/>
    <w:rsid w:val="002C1F27"/>
    <w:rsid w:val="002C24CE"/>
    <w:rsid w:val="002C5736"/>
    <w:rsid w:val="002D4185"/>
    <w:rsid w:val="002D7BE9"/>
    <w:rsid w:val="002E0743"/>
    <w:rsid w:val="002F134E"/>
    <w:rsid w:val="002F4DEC"/>
    <w:rsid w:val="002F5864"/>
    <w:rsid w:val="00301008"/>
    <w:rsid w:val="00302939"/>
    <w:rsid w:val="003111B2"/>
    <w:rsid w:val="00311DC1"/>
    <w:rsid w:val="003147B9"/>
    <w:rsid w:val="00315465"/>
    <w:rsid w:val="003156DC"/>
    <w:rsid w:val="00317C16"/>
    <w:rsid w:val="003203A2"/>
    <w:rsid w:val="003225C3"/>
    <w:rsid w:val="00323120"/>
    <w:rsid w:val="00323184"/>
    <w:rsid w:val="0032348B"/>
    <w:rsid w:val="0032462A"/>
    <w:rsid w:val="0032598F"/>
    <w:rsid w:val="00330081"/>
    <w:rsid w:val="00334B40"/>
    <w:rsid w:val="00335913"/>
    <w:rsid w:val="00337C36"/>
    <w:rsid w:val="00337E0A"/>
    <w:rsid w:val="00341D83"/>
    <w:rsid w:val="00351BBC"/>
    <w:rsid w:val="00355735"/>
    <w:rsid w:val="00361290"/>
    <w:rsid w:val="0036186E"/>
    <w:rsid w:val="00361DAE"/>
    <w:rsid w:val="003620A9"/>
    <w:rsid w:val="00362EFF"/>
    <w:rsid w:val="0036629F"/>
    <w:rsid w:val="003712C2"/>
    <w:rsid w:val="00373442"/>
    <w:rsid w:val="0037637C"/>
    <w:rsid w:val="00381766"/>
    <w:rsid w:val="00381FB5"/>
    <w:rsid w:val="003834E5"/>
    <w:rsid w:val="00384C86"/>
    <w:rsid w:val="00387754"/>
    <w:rsid w:val="00390939"/>
    <w:rsid w:val="00390B73"/>
    <w:rsid w:val="003919B5"/>
    <w:rsid w:val="0039272E"/>
    <w:rsid w:val="00395DA3"/>
    <w:rsid w:val="003969FE"/>
    <w:rsid w:val="003A0E76"/>
    <w:rsid w:val="003A2CBA"/>
    <w:rsid w:val="003A30B2"/>
    <w:rsid w:val="003B167D"/>
    <w:rsid w:val="003B3492"/>
    <w:rsid w:val="003B3958"/>
    <w:rsid w:val="003B4C5E"/>
    <w:rsid w:val="003B5534"/>
    <w:rsid w:val="003B7374"/>
    <w:rsid w:val="003B7DE2"/>
    <w:rsid w:val="003C266B"/>
    <w:rsid w:val="003C2B8D"/>
    <w:rsid w:val="003C3DAC"/>
    <w:rsid w:val="003D0B25"/>
    <w:rsid w:val="003D2411"/>
    <w:rsid w:val="003D3F0C"/>
    <w:rsid w:val="003D483F"/>
    <w:rsid w:val="003D4875"/>
    <w:rsid w:val="003D5921"/>
    <w:rsid w:val="003D59C2"/>
    <w:rsid w:val="003D5C60"/>
    <w:rsid w:val="003D672B"/>
    <w:rsid w:val="003D7FEC"/>
    <w:rsid w:val="003E114F"/>
    <w:rsid w:val="003E2F12"/>
    <w:rsid w:val="003E42E3"/>
    <w:rsid w:val="003E5C83"/>
    <w:rsid w:val="003E69CD"/>
    <w:rsid w:val="003E6FFF"/>
    <w:rsid w:val="003F2572"/>
    <w:rsid w:val="003F2B2E"/>
    <w:rsid w:val="003F3884"/>
    <w:rsid w:val="003F3DC3"/>
    <w:rsid w:val="003F4BC7"/>
    <w:rsid w:val="003F5626"/>
    <w:rsid w:val="003F5CAB"/>
    <w:rsid w:val="003F6784"/>
    <w:rsid w:val="003F69C5"/>
    <w:rsid w:val="003F7836"/>
    <w:rsid w:val="00400DB0"/>
    <w:rsid w:val="00402028"/>
    <w:rsid w:val="00402800"/>
    <w:rsid w:val="00403105"/>
    <w:rsid w:val="00404955"/>
    <w:rsid w:val="004058C1"/>
    <w:rsid w:val="004075B1"/>
    <w:rsid w:val="00417611"/>
    <w:rsid w:val="00421452"/>
    <w:rsid w:val="00421D74"/>
    <w:rsid w:val="00424C2D"/>
    <w:rsid w:val="00426C26"/>
    <w:rsid w:val="00430DF5"/>
    <w:rsid w:val="00432289"/>
    <w:rsid w:val="00433897"/>
    <w:rsid w:val="004340EF"/>
    <w:rsid w:val="00434610"/>
    <w:rsid w:val="00440E43"/>
    <w:rsid w:val="0044281C"/>
    <w:rsid w:val="004433EC"/>
    <w:rsid w:val="00447D9C"/>
    <w:rsid w:val="0045127E"/>
    <w:rsid w:val="00453B8C"/>
    <w:rsid w:val="004554AB"/>
    <w:rsid w:val="004564FB"/>
    <w:rsid w:val="0045723E"/>
    <w:rsid w:val="00463FF5"/>
    <w:rsid w:val="00467940"/>
    <w:rsid w:val="00473E4D"/>
    <w:rsid w:val="00476781"/>
    <w:rsid w:val="00476876"/>
    <w:rsid w:val="0048006E"/>
    <w:rsid w:val="00480581"/>
    <w:rsid w:val="0048223A"/>
    <w:rsid w:val="004826F5"/>
    <w:rsid w:val="00482D75"/>
    <w:rsid w:val="004870F8"/>
    <w:rsid w:val="00490B13"/>
    <w:rsid w:val="00490E24"/>
    <w:rsid w:val="00492064"/>
    <w:rsid w:val="004921B6"/>
    <w:rsid w:val="004A295D"/>
    <w:rsid w:val="004A34E1"/>
    <w:rsid w:val="004A6E53"/>
    <w:rsid w:val="004A7E93"/>
    <w:rsid w:val="004B0F38"/>
    <w:rsid w:val="004B17CE"/>
    <w:rsid w:val="004B1E73"/>
    <w:rsid w:val="004B2C19"/>
    <w:rsid w:val="004B55C6"/>
    <w:rsid w:val="004B5926"/>
    <w:rsid w:val="004B5A62"/>
    <w:rsid w:val="004B610E"/>
    <w:rsid w:val="004C0BD9"/>
    <w:rsid w:val="004C18D1"/>
    <w:rsid w:val="004C1FDF"/>
    <w:rsid w:val="004C243F"/>
    <w:rsid w:val="004C39C3"/>
    <w:rsid w:val="004C51BE"/>
    <w:rsid w:val="004C74E5"/>
    <w:rsid w:val="004C78B4"/>
    <w:rsid w:val="004D11DE"/>
    <w:rsid w:val="004D1C74"/>
    <w:rsid w:val="004D30C0"/>
    <w:rsid w:val="004D3649"/>
    <w:rsid w:val="004D451D"/>
    <w:rsid w:val="004D4FB3"/>
    <w:rsid w:val="004D6E41"/>
    <w:rsid w:val="004E03A1"/>
    <w:rsid w:val="004E044C"/>
    <w:rsid w:val="004E48B7"/>
    <w:rsid w:val="004E59D9"/>
    <w:rsid w:val="004F55B1"/>
    <w:rsid w:val="005001FC"/>
    <w:rsid w:val="00501566"/>
    <w:rsid w:val="00501FBD"/>
    <w:rsid w:val="00502626"/>
    <w:rsid w:val="00503C7D"/>
    <w:rsid w:val="00504FB7"/>
    <w:rsid w:val="00510425"/>
    <w:rsid w:val="00510803"/>
    <w:rsid w:val="00520D02"/>
    <w:rsid w:val="00523DF3"/>
    <w:rsid w:val="0052670D"/>
    <w:rsid w:val="0053278E"/>
    <w:rsid w:val="00533F89"/>
    <w:rsid w:val="005347B6"/>
    <w:rsid w:val="00537D8A"/>
    <w:rsid w:val="00537E57"/>
    <w:rsid w:val="005446AE"/>
    <w:rsid w:val="00544E14"/>
    <w:rsid w:val="00547D7B"/>
    <w:rsid w:val="005503A4"/>
    <w:rsid w:val="00552DBA"/>
    <w:rsid w:val="00557D6E"/>
    <w:rsid w:val="00557DB1"/>
    <w:rsid w:val="00561CE9"/>
    <w:rsid w:val="0056237E"/>
    <w:rsid w:val="005662A5"/>
    <w:rsid w:val="0056643E"/>
    <w:rsid w:val="005666A9"/>
    <w:rsid w:val="00567220"/>
    <w:rsid w:val="00567847"/>
    <w:rsid w:val="00570E3D"/>
    <w:rsid w:val="00572A06"/>
    <w:rsid w:val="00576318"/>
    <w:rsid w:val="005802B2"/>
    <w:rsid w:val="005806DB"/>
    <w:rsid w:val="00580EBB"/>
    <w:rsid w:val="00583011"/>
    <w:rsid w:val="005903AC"/>
    <w:rsid w:val="00590856"/>
    <w:rsid w:val="00592D87"/>
    <w:rsid w:val="00593089"/>
    <w:rsid w:val="005949EA"/>
    <w:rsid w:val="0059734C"/>
    <w:rsid w:val="0059738E"/>
    <w:rsid w:val="005A0BCC"/>
    <w:rsid w:val="005A11C4"/>
    <w:rsid w:val="005A16B8"/>
    <w:rsid w:val="005A2C55"/>
    <w:rsid w:val="005A3C13"/>
    <w:rsid w:val="005A5897"/>
    <w:rsid w:val="005A6168"/>
    <w:rsid w:val="005A6885"/>
    <w:rsid w:val="005A7D8A"/>
    <w:rsid w:val="005B5BD8"/>
    <w:rsid w:val="005B768E"/>
    <w:rsid w:val="005C020A"/>
    <w:rsid w:val="005C0AD0"/>
    <w:rsid w:val="005C2326"/>
    <w:rsid w:val="005C62A1"/>
    <w:rsid w:val="005C6771"/>
    <w:rsid w:val="005C68D1"/>
    <w:rsid w:val="005D199C"/>
    <w:rsid w:val="005D205A"/>
    <w:rsid w:val="005D28FA"/>
    <w:rsid w:val="005D3148"/>
    <w:rsid w:val="005D4154"/>
    <w:rsid w:val="005D5304"/>
    <w:rsid w:val="005D65E1"/>
    <w:rsid w:val="005D7A63"/>
    <w:rsid w:val="005E6491"/>
    <w:rsid w:val="005E6963"/>
    <w:rsid w:val="005E6E51"/>
    <w:rsid w:val="005F1323"/>
    <w:rsid w:val="005F1603"/>
    <w:rsid w:val="005F17C5"/>
    <w:rsid w:val="005F3623"/>
    <w:rsid w:val="005F4864"/>
    <w:rsid w:val="005F4940"/>
    <w:rsid w:val="00600F2A"/>
    <w:rsid w:val="00602CB0"/>
    <w:rsid w:val="0060527A"/>
    <w:rsid w:val="00607C5D"/>
    <w:rsid w:val="00611DA8"/>
    <w:rsid w:val="006125EC"/>
    <w:rsid w:val="006154DD"/>
    <w:rsid w:val="006165DF"/>
    <w:rsid w:val="006208D3"/>
    <w:rsid w:val="0062242D"/>
    <w:rsid w:val="00623945"/>
    <w:rsid w:val="006245F7"/>
    <w:rsid w:val="00624F56"/>
    <w:rsid w:val="00625E4A"/>
    <w:rsid w:val="0062633A"/>
    <w:rsid w:val="00630168"/>
    <w:rsid w:val="00630ACE"/>
    <w:rsid w:val="00630E5F"/>
    <w:rsid w:val="006315FC"/>
    <w:rsid w:val="00631BE9"/>
    <w:rsid w:val="00633A98"/>
    <w:rsid w:val="006417CE"/>
    <w:rsid w:val="006419B7"/>
    <w:rsid w:val="0065050E"/>
    <w:rsid w:val="0065215A"/>
    <w:rsid w:val="006529F3"/>
    <w:rsid w:val="00654433"/>
    <w:rsid w:val="00654491"/>
    <w:rsid w:val="006565AD"/>
    <w:rsid w:val="00660106"/>
    <w:rsid w:val="006604BA"/>
    <w:rsid w:val="006610ED"/>
    <w:rsid w:val="00665687"/>
    <w:rsid w:val="0067000A"/>
    <w:rsid w:val="00671697"/>
    <w:rsid w:val="00677DD2"/>
    <w:rsid w:val="00677FE6"/>
    <w:rsid w:val="0068233F"/>
    <w:rsid w:val="006829D5"/>
    <w:rsid w:val="006833EE"/>
    <w:rsid w:val="006843FA"/>
    <w:rsid w:val="00685DE2"/>
    <w:rsid w:val="006911EE"/>
    <w:rsid w:val="00696D83"/>
    <w:rsid w:val="006A1225"/>
    <w:rsid w:val="006A4706"/>
    <w:rsid w:val="006A7AF1"/>
    <w:rsid w:val="006B2D85"/>
    <w:rsid w:val="006B39B2"/>
    <w:rsid w:val="006C005F"/>
    <w:rsid w:val="006C0B7C"/>
    <w:rsid w:val="006C196B"/>
    <w:rsid w:val="006C22A9"/>
    <w:rsid w:val="006C2CDE"/>
    <w:rsid w:val="006C40A5"/>
    <w:rsid w:val="006C46CF"/>
    <w:rsid w:val="006C47DD"/>
    <w:rsid w:val="006C78C7"/>
    <w:rsid w:val="006D08CE"/>
    <w:rsid w:val="006D203F"/>
    <w:rsid w:val="006D3EFE"/>
    <w:rsid w:val="006D4858"/>
    <w:rsid w:val="006D6885"/>
    <w:rsid w:val="006D6AB1"/>
    <w:rsid w:val="006D73BC"/>
    <w:rsid w:val="006D7677"/>
    <w:rsid w:val="006E1A15"/>
    <w:rsid w:val="006E27B7"/>
    <w:rsid w:val="006E3923"/>
    <w:rsid w:val="006E4061"/>
    <w:rsid w:val="006E5F94"/>
    <w:rsid w:val="006F08DD"/>
    <w:rsid w:val="006F0F64"/>
    <w:rsid w:val="006F1BA4"/>
    <w:rsid w:val="006F45CB"/>
    <w:rsid w:val="006F555A"/>
    <w:rsid w:val="006F6E18"/>
    <w:rsid w:val="00700627"/>
    <w:rsid w:val="00700A9C"/>
    <w:rsid w:val="0070211B"/>
    <w:rsid w:val="00711452"/>
    <w:rsid w:val="00713AB2"/>
    <w:rsid w:val="0071562D"/>
    <w:rsid w:val="00716579"/>
    <w:rsid w:val="00716DE0"/>
    <w:rsid w:val="00724859"/>
    <w:rsid w:val="00725927"/>
    <w:rsid w:val="007335A9"/>
    <w:rsid w:val="007338E6"/>
    <w:rsid w:val="00735292"/>
    <w:rsid w:val="00737FD6"/>
    <w:rsid w:val="00740F19"/>
    <w:rsid w:val="00742444"/>
    <w:rsid w:val="00743222"/>
    <w:rsid w:val="0074695F"/>
    <w:rsid w:val="00754053"/>
    <w:rsid w:val="0075421A"/>
    <w:rsid w:val="0075472D"/>
    <w:rsid w:val="00757946"/>
    <w:rsid w:val="00762BFE"/>
    <w:rsid w:val="007635D1"/>
    <w:rsid w:val="00763BD7"/>
    <w:rsid w:val="00763E7A"/>
    <w:rsid w:val="007644BC"/>
    <w:rsid w:val="00764857"/>
    <w:rsid w:val="00771143"/>
    <w:rsid w:val="0077187C"/>
    <w:rsid w:val="00773971"/>
    <w:rsid w:val="00773F54"/>
    <w:rsid w:val="00775B0E"/>
    <w:rsid w:val="0078141A"/>
    <w:rsid w:val="0078597F"/>
    <w:rsid w:val="00787175"/>
    <w:rsid w:val="00791FE3"/>
    <w:rsid w:val="00792BF7"/>
    <w:rsid w:val="00792F90"/>
    <w:rsid w:val="00794857"/>
    <w:rsid w:val="00797CA6"/>
    <w:rsid w:val="007A04E2"/>
    <w:rsid w:val="007A06E9"/>
    <w:rsid w:val="007A1448"/>
    <w:rsid w:val="007A197E"/>
    <w:rsid w:val="007A1BBB"/>
    <w:rsid w:val="007A2202"/>
    <w:rsid w:val="007A276C"/>
    <w:rsid w:val="007B4395"/>
    <w:rsid w:val="007C1FDB"/>
    <w:rsid w:val="007C287F"/>
    <w:rsid w:val="007C2DC5"/>
    <w:rsid w:val="007C7E70"/>
    <w:rsid w:val="007D0D15"/>
    <w:rsid w:val="007D3AE2"/>
    <w:rsid w:val="007D47D1"/>
    <w:rsid w:val="007D6643"/>
    <w:rsid w:val="007D6C6B"/>
    <w:rsid w:val="007E1262"/>
    <w:rsid w:val="007E38E9"/>
    <w:rsid w:val="007E763A"/>
    <w:rsid w:val="007E7CC9"/>
    <w:rsid w:val="007F0048"/>
    <w:rsid w:val="007F3C0C"/>
    <w:rsid w:val="007F4B85"/>
    <w:rsid w:val="007F4C22"/>
    <w:rsid w:val="007F687D"/>
    <w:rsid w:val="007F6A64"/>
    <w:rsid w:val="00800595"/>
    <w:rsid w:val="00802041"/>
    <w:rsid w:val="0080206D"/>
    <w:rsid w:val="00804CA2"/>
    <w:rsid w:val="00804FEC"/>
    <w:rsid w:val="008052B6"/>
    <w:rsid w:val="00805F95"/>
    <w:rsid w:val="00810480"/>
    <w:rsid w:val="008115AE"/>
    <w:rsid w:val="00811BDE"/>
    <w:rsid w:val="00813399"/>
    <w:rsid w:val="00816E42"/>
    <w:rsid w:val="00817FED"/>
    <w:rsid w:val="00821380"/>
    <w:rsid w:val="00822687"/>
    <w:rsid w:val="00825B58"/>
    <w:rsid w:val="00826120"/>
    <w:rsid w:val="0083012C"/>
    <w:rsid w:val="0083041B"/>
    <w:rsid w:val="008305D7"/>
    <w:rsid w:val="008313BF"/>
    <w:rsid w:val="008333BF"/>
    <w:rsid w:val="0083364B"/>
    <w:rsid w:val="008339A7"/>
    <w:rsid w:val="00834168"/>
    <w:rsid w:val="00834F0F"/>
    <w:rsid w:val="00835D4E"/>
    <w:rsid w:val="0083780C"/>
    <w:rsid w:val="00837B25"/>
    <w:rsid w:val="0084110B"/>
    <w:rsid w:val="00846603"/>
    <w:rsid w:val="008479C0"/>
    <w:rsid w:val="008543A8"/>
    <w:rsid w:val="008548CB"/>
    <w:rsid w:val="00854BAD"/>
    <w:rsid w:val="00856887"/>
    <w:rsid w:val="0085752D"/>
    <w:rsid w:val="008676A6"/>
    <w:rsid w:val="00872410"/>
    <w:rsid w:val="008748F2"/>
    <w:rsid w:val="00876232"/>
    <w:rsid w:val="008762B8"/>
    <w:rsid w:val="00876FE2"/>
    <w:rsid w:val="00877396"/>
    <w:rsid w:val="00883AD3"/>
    <w:rsid w:val="00883EDC"/>
    <w:rsid w:val="0088563D"/>
    <w:rsid w:val="00886211"/>
    <w:rsid w:val="00886FD6"/>
    <w:rsid w:val="008956F5"/>
    <w:rsid w:val="00895776"/>
    <w:rsid w:val="00895961"/>
    <w:rsid w:val="0089661B"/>
    <w:rsid w:val="008A24EB"/>
    <w:rsid w:val="008A4D2A"/>
    <w:rsid w:val="008A5671"/>
    <w:rsid w:val="008A6198"/>
    <w:rsid w:val="008B1B9D"/>
    <w:rsid w:val="008B2A57"/>
    <w:rsid w:val="008B30AB"/>
    <w:rsid w:val="008B3958"/>
    <w:rsid w:val="008B4145"/>
    <w:rsid w:val="008B4416"/>
    <w:rsid w:val="008B54A7"/>
    <w:rsid w:val="008C121C"/>
    <w:rsid w:val="008C2F75"/>
    <w:rsid w:val="008C3DAE"/>
    <w:rsid w:val="008C6AC3"/>
    <w:rsid w:val="008D186B"/>
    <w:rsid w:val="008D2F8B"/>
    <w:rsid w:val="008D3327"/>
    <w:rsid w:val="008D4441"/>
    <w:rsid w:val="008D4727"/>
    <w:rsid w:val="008D54E8"/>
    <w:rsid w:val="008D5E28"/>
    <w:rsid w:val="008D6D14"/>
    <w:rsid w:val="008D75CF"/>
    <w:rsid w:val="008D7606"/>
    <w:rsid w:val="008E42BC"/>
    <w:rsid w:val="008E511A"/>
    <w:rsid w:val="008E64FB"/>
    <w:rsid w:val="008F0931"/>
    <w:rsid w:val="008F09E1"/>
    <w:rsid w:val="008F21CF"/>
    <w:rsid w:val="008F2B54"/>
    <w:rsid w:val="008F30A1"/>
    <w:rsid w:val="008F6FF7"/>
    <w:rsid w:val="0090103B"/>
    <w:rsid w:val="00903548"/>
    <w:rsid w:val="00904151"/>
    <w:rsid w:val="009078A7"/>
    <w:rsid w:val="00907A4B"/>
    <w:rsid w:val="00910DB7"/>
    <w:rsid w:val="00911B80"/>
    <w:rsid w:val="00913748"/>
    <w:rsid w:val="009153B6"/>
    <w:rsid w:val="0091559C"/>
    <w:rsid w:val="00915F6F"/>
    <w:rsid w:val="009160F7"/>
    <w:rsid w:val="00921A89"/>
    <w:rsid w:val="00922908"/>
    <w:rsid w:val="00922BBB"/>
    <w:rsid w:val="00924138"/>
    <w:rsid w:val="00924597"/>
    <w:rsid w:val="00926ACB"/>
    <w:rsid w:val="00931518"/>
    <w:rsid w:val="00937616"/>
    <w:rsid w:val="00940F9B"/>
    <w:rsid w:val="00941978"/>
    <w:rsid w:val="0094341B"/>
    <w:rsid w:val="0094393D"/>
    <w:rsid w:val="0094394E"/>
    <w:rsid w:val="00945C75"/>
    <w:rsid w:val="009504E0"/>
    <w:rsid w:val="00951B97"/>
    <w:rsid w:val="0095271C"/>
    <w:rsid w:val="00952F5D"/>
    <w:rsid w:val="009531BB"/>
    <w:rsid w:val="00953D3A"/>
    <w:rsid w:val="00955B40"/>
    <w:rsid w:val="00957B7C"/>
    <w:rsid w:val="009604EE"/>
    <w:rsid w:val="009607E2"/>
    <w:rsid w:val="00966D2D"/>
    <w:rsid w:val="00970400"/>
    <w:rsid w:val="00970EA1"/>
    <w:rsid w:val="00973131"/>
    <w:rsid w:val="0097352C"/>
    <w:rsid w:val="00973CBB"/>
    <w:rsid w:val="00974477"/>
    <w:rsid w:val="0097481D"/>
    <w:rsid w:val="00976054"/>
    <w:rsid w:val="00980479"/>
    <w:rsid w:val="00980CE6"/>
    <w:rsid w:val="009811EA"/>
    <w:rsid w:val="009826DD"/>
    <w:rsid w:val="00982F89"/>
    <w:rsid w:val="00984482"/>
    <w:rsid w:val="00984BE8"/>
    <w:rsid w:val="00985C7C"/>
    <w:rsid w:val="009876F3"/>
    <w:rsid w:val="0099097B"/>
    <w:rsid w:val="00991A23"/>
    <w:rsid w:val="00993F59"/>
    <w:rsid w:val="00996AFB"/>
    <w:rsid w:val="009A2D6C"/>
    <w:rsid w:val="009A37B8"/>
    <w:rsid w:val="009A3A3E"/>
    <w:rsid w:val="009A7439"/>
    <w:rsid w:val="009B0179"/>
    <w:rsid w:val="009B05E9"/>
    <w:rsid w:val="009B195D"/>
    <w:rsid w:val="009B444E"/>
    <w:rsid w:val="009B4905"/>
    <w:rsid w:val="009B4E98"/>
    <w:rsid w:val="009B6239"/>
    <w:rsid w:val="009B62D2"/>
    <w:rsid w:val="009B6FA5"/>
    <w:rsid w:val="009B7A66"/>
    <w:rsid w:val="009C1C62"/>
    <w:rsid w:val="009C2699"/>
    <w:rsid w:val="009C2AEE"/>
    <w:rsid w:val="009C3393"/>
    <w:rsid w:val="009D0ECD"/>
    <w:rsid w:val="009D4A9A"/>
    <w:rsid w:val="009D4C31"/>
    <w:rsid w:val="009D4F23"/>
    <w:rsid w:val="009E1EEC"/>
    <w:rsid w:val="009E38CA"/>
    <w:rsid w:val="009E3B2B"/>
    <w:rsid w:val="009E3F3B"/>
    <w:rsid w:val="009E4A1E"/>
    <w:rsid w:val="009F0A26"/>
    <w:rsid w:val="009F1A8D"/>
    <w:rsid w:val="00A02C46"/>
    <w:rsid w:val="00A03244"/>
    <w:rsid w:val="00A03890"/>
    <w:rsid w:val="00A04288"/>
    <w:rsid w:val="00A05022"/>
    <w:rsid w:val="00A05CFA"/>
    <w:rsid w:val="00A068D1"/>
    <w:rsid w:val="00A125D4"/>
    <w:rsid w:val="00A1309B"/>
    <w:rsid w:val="00A1358E"/>
    <w:rsid w:val="00A1461E"/>
    <w:rsid w:val="00A14981"/>
    <w:rsid w:val="00A154A4"/>
    <w:rsid w:val="00A2089E"/>
    <w:rsid w:val="00A20FBD"/>
    <w:rsid w:val="00A2119C"/>
    <w:rsid w:val="00A213AA"/>
    <w:rsid w:val="00A22B18"/>
    <w:rsid w:val="00A2599A"/>
    <w:rsid w:val="00A30EAB"/>
    <w:rsid w:val="00A31113"/>
    <w:rsid w:val="00A32FA7"/>
    <w:rsid w:val="00A33B77"/>
    <w:rsid w:val="00A420AE"/>
    <w:rsid w:val="00A430E9"/>
    <w:rsid w:val="00A4438D"/>
    <w:rsid w:val="00A45230"/>
    <w:rsid w:val="00A45923"/>
    <w:rsid w:val="00A45A11"/>
    <w:rsid w:val="00A45CE9"/>
    <w:rsid w:val="00A5060A"/>
    <w:rsid w:val="00A50DD9"/>
    <w:rsid w:val="00A51727"/>
    <w:rsid w:val="00A548D5"/>
    <w:rsid w:val="00A6013E"/>
    <w:rsid w:val="00A61B14"/>
    <w:rsid w:val="00A61BF4"/>
    <w:rsid w:val="00A64257"/>
    <w:rsid w:val="00A64DF1"/>
    <w:rsid w:val="00A651C2"/>
    <w:rsid w:val="00A749D3"/>
    <w:rsid w:val="00A752FD"/>
    <w:rsid w:val="00A77574"/>
    <w:rsid w:val="00A80532"/>
    <w:rsid w:val="00A813B9"/>
    <w:rsid w:val="00A9433C"/>
    <w:rsid w:val="00AA0666"/>
    <w:rsid w:val="00AA150C"/>
    <w:rsid w:val="00AA16A5"/>
    <w:rsid w:val="00AA18EC"/>
    <w:rsid w:val="00AA200A"/>
    <w:rsid w:val="00AA2DC6"/>
    <w:rsid w:val="00AA4332"/>
    <w:rsid w:val="00AA5A30"/>
    <w:rsid w:val="00AB0146"/>
    <w:rsid w:val="00AB1EA8"/>
    <w:rsid w:val="00AB2F4B"/>
    <w:rsid w:val="00AB40E4"/>
    <w:rsid w:val="00AB5D04"/>
    <w:rsid w:val="00AC0BE9"/>
    <w:rsid w:val="00AC54FE"/>
    <w:rsid w:val="00AC58F7"/>
    <w:rsid w:val="00AD27B9"/>
    <w:rsid w:val="00AD3FE4"/>
    <w:rsid w:val="00AD4BEE"/>
    <w:rsid w:val="00AD65E6"/>
    <w:rsid w:val="00AD66DD"/>
    <w:rsid w:val="00AD67D4"/>
    <w:rsid w:val="00AD71B3"/>
    <w:rsid w:val="00AD71F7"/>
    <w:rsid w:val="00AD79E7"/>
    <w:rsid w:val="00AD7BED"/>
    <w:rsid w:val="00AE2A4E"/>
    <w:rsid w:val="00AE4F4B"/>
    <w:rsid w:val="00AE59D8"/>
    <w:rsid w:val="00AE5EB2"/>
    <w:rsid w:val="00AE6867"/>
    <w:rsid w:val="00AE6F4A"/>
    <w:rsid w:val="00AE7448"/>
    <w:rsid w:val="00AF5DF1"/>
    <w:rsid w:val="00B00474"/>
    <w:rsid w:val="00B01C91"/>
    <w:rsid w:val="00B02922"/>
    <w:rsid w:val="00B0295D"/>
    <w:rsid w:val="00B04310"/>
    <w:rsid w:val="00B07ABD"/>
    <w:rsid w:val="00B11B08"/>
    <w:rsid w:val="00B12430"/>
    <w:rsid w:val="00B12E04"/>
    <w:rsid w:val="00B13B67"/>
    <w:rsid w:val="00B154E7"/>
    <w:rsid w:val="00B1612C"/>
    <w:rsid w:val="00B1633A"/>
    <w:rsid w:val="00B203D2"/>
    <w:rsid w:val="00B21912"/>
    <w:rsid w:val="00B27283"/>
    <w:rsid w:val="00B279AE"/>
    <w:rsid w:val="00B32B90"/>
    <w:rsid w:val="00B3302D"/>
    <w:rsid w:val="00B348EF"/>
    <w:rsid w:val="00B36F46"/>
    <w:rsid w:val="00B410F0"/>
    <w:rsid w:val="00B43C31"/>
    <w:rsid w:val="00B44178"/>
    <w:rsid w:val="00B52679"/>
    <w:rsid w:val="00B538F2"/>
    <w:rsid w:val="00B552E6"/>
    <w:rsid w:val="00B553BE"/>
    <w:rsid w:val="00B65003"/>
    <w:rsid w:val="00B6670A"/>
    <w:rsid w:val="00B71542"/>
    <w:rsid w:val="00B73659"/>
    <w:rsid w:val="00B74946"/>
    <w:rsid w:val="00B75FB4"/>
    <w:rsid w:val="00B76F86"/>
    <w:rsid w:val="00B80DF7"/>
    <w:rsid w:val="00B810C3"/>
    <w:rsid w:val="00B81529"/>
    <w:rsid w:val="00B87905"/>
    <w:rsid w:val="00B912CD"/>
    <w:rsid w:val="00B922C4"/>
    <w:rsid w:val="00B92435"/>
    <w:rsid w:val="00BA19CD"/>
    <w:rsid w:val="00BA4095"/>
    <w:rsid w:val="00BA57B1"/>
    <w:rsid w:val="00BA5AC3"/>
    <w:rsid w:val="00BA6AF1"/>
    <w:rsid w:val="00BB2599"/>
    <w:rsid w:val="00BB2C75"/>
    <w:rsid w:val="00BB3155"/>
    <w:rsid w:val="00BC2FFD"/>
    <w:rsid w:val="00BC445E"/>
    <w:rsid w:val="00BD2863"/>
    <w:rsid w:val="00BD3929"/>
    <w:rsid w:val="00BE0E22"/>
    <w:rsid w:val="00BE6C68"/>
    <w:rsid w:val="00BE7661"/>
    <w:rsid w:val="00BE7810"/>
    <w:rsid w:val="00BF09D0"/>
    <w:rsid w:val="00BF1BB5"/>
    <w:rsid w:val="00BF467C"/>
    <w:rsid w:val="00BF711A"/>
    <w:rsid w:val="00C005D8"/>
    <w:rsid w:val="00C02400"/>
    <w:rsid w:val="00C06E05"/>
    <w:rsid w:val="00C10DAE"/>
    <w:rsid w:val="00C11BBB"/>
    <w:rsid w:val="00C16536"/>
    <w:rsid w:val="00C17411"/>
    <w:rsid w:val="00C22683"/>
    <w:rsid w:val="00C22834"/>
    <w:rsid w:val="00C25DE0"/>
    <w:rsid w:val="00C25F31"/>
    <w:rsid w:val="00C2654A"/>
    <w:rsid w:val="00C34902"/>
    <w:rsid w:val="00C373F2"/>
    <w:rsid w:val="00C37CA7"/>
    <w:rsid w:val="00C37FC1"/>
    <w:rsid w:val="00C403CE"/>
    <w:rsid w:val="00C434B8"/>
    <w:rsid w:val="00C44CE3"/>
    <w:rsid w:val="00C46A10"/>
    <w:rsid w:val="00C5216A"/>
    <w:rsid w:val="00C52205"/>
    <w:rsid w:val="00C64E9F"/>
    <w:rsid w:val="00C65187"/>
    <w:rsid w:val="00C6768D"/>
    <w:rsid w:val="00C70B21"/>
    <w:rsid w:val="00C73DAF"/>
    <w:rsid w:val="00C76555"/>
    <w:rsid w:val="00C76F57"/>
    <w:rsid w:val="00C82252"/>
    <w:rsid w:val="00C84817"/>
    <w:rsid w:val="00C860E9"/>
    <w:rsid w:val="00C87548"/>
    <w:rsid w:val="00C91BD8"/>
    <w:rsid w:val="00C91C8B"/>
    <w:rsid w:val="00C9295A"/>
    <w:rsid w:val="00C93428"/>
    <w:rsid w:val="00C93CEB"/>
    <w:rsid w:val="00C94C8A"/>
    <w:rsid w:val="00C95736"/>
    <w:rsid w:val="00C95CF9"/>
    <w:rsid w:val="00C95EE9"/>
    <w:rsid w:val="00CA2E81"/>
    <w:rsid w:val="00CA3998"/>
    <w:rsid w:val="00CA589D"/>
    <w:rsid w:val="00CA5EA5"/>
    <w:rsid w:val="00CA77CF"/>
    <w:rsid w:val="00CA7C4E"/>
    <w:rsid w:val="00CB13D1"/>
    <w:rsid w:val="00CB3552"/>
    <w:rsid w:val="00CB35EC"/>
    <w:rsid w:val="00CB44C0"/>
    <w:rsid w:val="00CB4A2B"/>
    <w:rsid w:val="00CB4D8A"/>
    <w:rsid w:val="00CC4D60"/>
    <w:rsid w:val="00CC4D66"/>
    <w:rsid w:val="00CC4F69"/>
    <w:rsid w:val="00CC5763"/>
    <w:rsid w:val="00CC6054"/>
    <w:rsid w:val="00CC658D"/>
    <w:rsid w:val="00CC6F35"/>
    <w:rsid w:val="00CD1FE9"/>
    <w:rsid w:val="00CD207C"/>
    <w:rsid w:val="00CD7B61"/>
    <w:rsid w:val="00CE176B"/>
    <w:rsid w:val="00CE50C2"/>
    <w:rsid w:val="00CE527F"/>
    <w:rsid w:val="00CE7FFC"/>
    <w:rsid w:val="00CF283C"/>
    <w:rsid w:val="00CF4FD7"/>
    <w:rsid w:val="00D0044C"/>
    <w:rsid w:val="00D0139F"/>
    <w:rsid w:val="00D01CA9"/>
    <w:rsid w:val="00D05A10"/>
    <w:rsid w:val="00D16067"/>
    <w:rsid w:val="00D16880"/>
    <w:rsid w:val="00D17FB1"/>
    <w:rsid w:val="00D2077D"/>
    <w:rsid w:val="00D207D0"/>
    <w:rsid w:val="00D22B42"/>
    <w:rsid w:val="00D23499"/>
    <w:rsid w:val="00D263F9"/>
    <w:rsid w:val="00D2643E"/>
    <w:rsid w:val="00D27B90"/>
    <w:rsid w:val="00D31FDB"/>
    <w:rsid w:val="00D32463"/>
    <w:rsid w:val="00D32482"/>
    <w:rsid w:val="00D3599F"/>
    <w:rsid w:val="00D36D23"/>
    <w:rsid w:val="00D508F4"/>
    <w:rsid w:val="00D50D79"/>
    <w:rsid w:val="00D54EC6"/>
    <w:rsid w:val="00D57D1C"/>
    <w:rsid w:val="00D62CAD"/>
    <w:rsid w:val="00D726AB"/>
    <w:rsid w:val="00D7409D"/>
    <w:rsid w:val="00D745FE"/>
    <w:rsid w:val="00D76682"/>
    <w:rsid w:val="00D77616"/>
    <w:rsid w:val="00D843E4"/>
    <w:rsid w:val="00D87AC1"/>
    <w:rsid w:val="00D975BB"/>
    <w:rsid w:val="00DA12F7"/>
    <w:rsid w:val="00DA2E53"/>
    <w:rsid w:val="00DA38F2"/>
    <w:rsid w:val="00DA746D"/>
    <w:rsid w:val="00DB1926"/>
    <w:rsid w:val="00DB1CD1"/>
    <w:rsid w:val="00DB294F"/>
    <w:rsid w:val="00DB3A43"/>
    <w:rsid w:val="00DB3F21"/>
    <w:rsid w:val="00DB4005"/>
    <w:rsid w:val="00DB4B21"/>
    <w:rsid w:val="00DC31D6"/>
    <w:rsid w:val="00DC70A9"/>
    <w:rsid w:val="00DC71C0"/>
    <w:rsid w:val="00DC7588"/>
    <w:rsid w:val="00DC785A"/>
    <w:rsid w:val="00DD046E"/>
    <w:rsid w:val="00DD1D18"/>
    <w:rsid w:val="00DD6E31"/>
    <w:rsid w:val="00DD72E4"/>
    <w:rsid w:val="00DE01E7"/>
    <w:rsid w:val="00DE2C56"/>
    <w:rsid w:val="00DE2E06"/>
    <w:rsid w:val="00DE4D52"/>
    <w:rsid w:val="00DE4DF2"/>
    <w:rsid w:val="00DE5424"/>
    <w:rsid w:val="00DE6107"/>
    <w:rsid w:val="00DF1EE1"/>
    <w:rsid w:val="00DF1F20"/>
    <w:rsid w:val="00DF4003"/>
    <w:rsid w:val="00DF416E"/>
    <w:rsid w:val="00DF59C5"/>
    <w:rsid w:val="00DF77C7"/>
    <w:rsid w:val="00E0109F"/>
    <w:rsid w:val="00E04B4E"/>
    <w:rsid w:val="00E1069A"/>
    <w:rsid w:val="00E11365"/>
    <w:rsid w:val="00E11FE0"/>
    <w:rsid w:val="00E12F76"/>
    <w:rsid w:val="00E155DA"/>
    <w:rsid w:val="00E15FB4"/>
    <w:rsid w:val="00E16CB2"/>
    <w:rsid w:val="00E24D2F"/>
    <w:rsid w:val="00E27083"/>
    <w:rsid w:val="00E27D26"/>
    <w:rsid w:val="00E30A2D"/>
    <w:rsid w:val="00E334E6"/>
    <w:rsid w:val="00E377B8"/>
    <w:rsid w:val="00E437E5"/>
    <w:rsid w:val="00E43BDB"/>
    <w:rsid w:val="00E4552C"/>
    <w:rsid w:val="00E45889"/>
    <w:rsid w:val="00E45954"/>
    <w:rsid w:val="00E46E97"/>
    <w:rsid w:val="00E511F5"/>
    <w:rsid w:val="00E513E3"/>
    <w:rsid w:val="00E57A07"/>
    <w:rsid w:val="00E60C36"/>
    <w:rsid w:val="00E6166A"/>
    <w:rsid w:val="00E64981"/>
    <w:rsid w:val="00E66383"/>
    <w:rsid w:val="00E66580"/>
    <w:rsid w:val="00E71C5C"/>
    <w:rsid w:val="00E73E24"/>
    <w:rsid w:val="00E764AB"/>
    <w:rsid w:val="00E80341"/>
    <w:rsid w:val="00E8089E"/>
    <w:rsid w:val="00E8169E"/>
    <w:rsid w:val="00E8187D"/>
    <w:rsid w:val="00E82744"/>
    <w:rsid w:val="00E837AA"/>
    <w:rsid w:val="00E84F11"/>
    <w:rsid w:val="00E905A4"/>
    <w:rsid w:val="00E93EB5"/>
    <w:rsid w:val="00E952BB"/>
    <w:rsid w:val="00EA36BD"/>
    <w:rsid w:val="00EA389C"/>
    <w:rsid w:val="00EA3DB6"/>
    <w:rsid w:val="00EB0F75"/>
    <w:rsid w:val="00EB1C3F"/>
    <w:rsid w:val="00EC5BB8"/>
    <w:rsid w:val="00ED232C"/>
    <w:rsid w:val="00ED4BF7"/>
    <w:rsid w:val="00ED64F4"/>
    <w:rsid w:val="00EE2FE2"/>
    <w:rsid w:val="00EE5261"/>
    <w:rsid w:val="00EE659F"/>
    <w:rsid w:val="00EF09E0"/>
    <w:rsid w:val="00EF146C"/>
    <w:rsid w:val="00EF380B"/>
    <w:rsid w:val="00EF3BB2"/>
    <w:rsid w:val="00EF69F8"/>
    <w:rsid w:val="00EF6A7F"/>
    <w:rsid w:val="00F02A57"/>
    <w:rsid w:val="00F074B1"/>
    <w:rsid w:val="00F11C8D"/>
    <w:rsid w:val="00F141C0"/>
    <w:rsid w:val="00F14FA7"/>
    <w:rsid w:val="00F224C7"/>
    <w:rsid w:val="00F2404C"/>
    <w:rsid w:val="00F265BA"/>
    <w:rsid w:val="00F278B8"/>
    <w:rsid w:val="00F32D01"/>
    <w:rsid w:val="00F34643"/>
    <w:rsid w:val="00F34FB1"/>
    <w:rsid w:val="00F36B1B"/>
    <w:rsid w:val="00F44107"/>
    <w:rsid w:val="00F44969"/>
    <w:rsid w:val="00F44C14"/>
    <w:rsid w:val="00F46A0E"/>
    <w:rsid w:val="00F53868"/>
    <w:rsid w:val="00F57606"/>
    <w:rsid w:val="00F605E6"/>
    <w:rsid w:val="00F6120B"/>
    <w:rsid w:val="00F6305E"/>
    <w:rsid w:val="00F64CC5"/>
    <w:rsid w:val="00F71C6F"/>
    <w:rsid w:val="00F7236D"/>
    <w:rsid w:val="00F725A8"/>
    <w:rsid w:val="00F73016"/>
    <w:rsid w:val="00F75EB2"/>
    <w:rsid w:val="00F7614B"/>
    <w:rsid w:val="00F823BB"/>
    <w:rsid w:val="00F8302E"/>
    <w:rsid w:val="00F83E3E"/>
    <w:rsid w:val="00F85CC0"/>
    <w:rsid w:val="00F930DE"/>
    <w:rsid w:val="00F978F4"/>
    <w:rsid w:val="00FA08E6"/>
    <w:rsid w:val="00FA306E"/>
    <w:rsid w:val="00FA32E4"/>
    <w:rsid w:val="00FA5956"/>
    <w:rsid w:val="00FA6AA0"/>
    <w:rsid w:val="00FB2E11"/>
    <w:rsid w:val="00FB3F72"/>
    <w:rsid w:val="00FB59B8"/>
    <w:rsid w:val="00FC0A36"/>
    <w:rsid w:val="00FC30A2"/>
    <w:rsid w:val="00FC4AA5"/>
    <w:rsid w:val="00FD3A8D"/>
    <w:rsid w:val="00FD6A5F"/>
    <w:rsid w:val="00FD794D"/>
    <w:rsid w:val="00FE07B4"/>
    <w:rsid w:val="00FE6E1E"/>
    <w:rsid w:val="00FE7EA2"/>
    <w:rsid w:val="00FF0313"/>
    <w:rsid w:val="00FF0842"/>
    <w:rsid w:val="00FF187E"/>
    <w:rsid w:val="314DF381"/>
    <w:rsid w:val="5304A2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2F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579"/>
    <w:rPr>
      <w:rFonts w:eastAsiaTheme="minorHAnsi"/>
      <w:kern w:val="2"/>
      <w:lang w:eastAsia="en-US"/>
      <w14:ligatures w14:val="standardContextual"/>
    </w:rPr>
  </w:style>
  <w:style w:type="paragraph" w:styleId="Heading1">
    <w:name w:val="heading 1"/>
    <w:basedOn w:val="Normal"/>
    <w:next w:val="Paragraphnonumbers"/>
    <w:link w:val="Heading1Char"/>
    <w:uiPriority w:val="1"/>
    <w:qFormat/>
    <w:rsid w:val="00716579"/>
    <w:pPr>
      <w:keepNext/>
      <w:spacing w:after="12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7165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Paragraph"/>
    <w:link w:val="Heading3Char"/>
    <w:uiPriority w:val="3"/>
    <w:qFormat/>
    <w:rsid w:val="00716579"/>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716579"/>
    <w:pPr>
      <w:spacing w:before="200"/>
      <w:outlineLvl w:val="3"/>
    </w:pPr>
    <w:rPr>
      <w:rFonts w:ascii="Cambria" w:hAnsi="Cambria"/>
      <w:b/>
      <w:bCs/>
      <w:i/>
      <w:iCs/>
    </w:rPr>
  </w:style>
  <w:style w:type="paragraph" w:styleId="Heading5">
    <w:name w:val="heading 5"/>
    <w:basedOn w:val="Normal"/>
    <w:next w:val="Normal"/>
    <w:link w:val="Heading5Char"/>
    <w:uiPriority w:val="9"/>
    <w:qFormat/>
    <w:rsid w:val="00716579"/>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716579"/>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716579"/>
    <w:pPr>
      <w:outlineLvl w:val="6"/>
    </w:pPr>
    <w:rPr>
      <w:rFonts w:ascii="Cambria" w:hAnsi="Cambria"/>
      <w:i/>
      <w:iCs/>
    </w:rPr>
  </w:style>
  <w:style w:type="paragraph" w:styleId="Heading8">
    <w:name w:val="heading 8"/>
    <w:basedOn w:val="Normal"/>
    <w:next w:val="Normal"/>
    <w:link w:val="Heading8Char"/>
    <w:uiPriority w:val="9"/>
    <w:qFormat/>
    <w:rsid w:val="00716579"/>
    <w:pPr>
      <w:outlineLvl w:val="7"/>
    </w:pPr>
    <w:rPr>
      <w:rFonts w:ascii="Cambria" w:hAnsi="Cambria"/>
    </w:rPr>
  </w:style>
  <w:style w:type="paragraph" w:styleId="Heading9">
    <w:name w:val="heading 9"/>
    <w:basedOn w:val="Normal"/>
    <w:next w:val="Normal"/>
    <w:link w:val="Heading9Char"/>
    <w:uiPriority w:val="9"/>
    <w:qFormat/>
    <w:rsid w:val="00716579"/>
    <w:pPr>
      <w:outlineLvl w:val="8"/>
    </w:pPr>
    <w:rPr>
      <w:rFonts w:ascii="Cambria" w:hAnsi="Cambria"/>
      <w:i/>
      <w:iCs/>
      <w:spacing w:val="5"/>
    </w:rPr>
  </w:style>
  <w:style w:type="character" w:default="1" w:styleId="DefaultParagraphFont">
    <w:name w:val="Default Paragraph Font"/>
    <w:uiPriority w:val="1"/>
    <w:semiHidden/>
    <w:unhideWhenUsed/>
    <w:rsid w:val="0071657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16579"/>
  </w:style>
  <w:style w:type="paragraph" w:customStyle="1" w:styleId="NICEnormal">
    <w:name w:val="NICE normal"/>
    <w:rsid w:val="00716579"/>
    <w:pPr>
      <w:spacing w:after="240" w:line="360" w:lineRule="auto"/>
    </w:pPr>
    <w:rPr>
      <w:rFonts w:ascii="Arial" w:eastAsia="Times New Roman" w:hAnsi="Arial"/>
      <w:lang w:val="en-US" w:eastAsia="en-US"/>
    </w:rPr>
  </w:style>
  <w:style w:type="character" w:customStyle="1" w:styleId="NICEnormalChar">
    <w:name w:val="NICE normal Char"/>
    <w:rsid w:val="00716579"/>
    <w:rPr>
      <w:rFonts w:ascii="Arial" w:eastAsia="Times New Roman" w:hAnsi="Arial"/>
      <w:sz w:val="24"/>
      <w:szCs w:val="24"/>
      <w:lang w:val="en-GB" w:eastAsia="en-US" w:bidi="ar-SA"/>
    </w:rPr>
  </w:style>
  <w:style w:type="character" w:customStyle="1" w:styleId="Heading1Char">
    <w:name w:val="Heading 1 Char"/>
    <w:link w:val="Heading1"/>
    <w:uiPriority w:val="1"/>
    <w:rsid w:val="00716579"/>
    <w:rPr>
      <w:rFonts w:ascii="Arial" w:eastAsiaTheme="minorHAnsi" w:hAnsi="Arial"/>
      <w:b/>
      <w:bCs/>
      <w:kern w:val="32"/>
      <w:sz w:val="28"/>
      <w:szCs w:val="32"/>
      <w:lang w:eastAsia="en-US"/>
      <w14:ligatures w14:val="standardContextual"/>
    </w:rPr>
  </w:style>
  <w:style w:type="character" w:customStyle="1" w:styleId="Heading2Char">
    <w:name w:val="Heading 2 Char"/>
    <w:basedOn w:val="DefaultParagraphFont"/>
    <w:link w:val="Heading2"/>
    <w:uiPriority w:val="9"/>
    <w:rsid w:val="00716579"/>
    <w:rPr>
      <w:rFonts w:asciiTheme="majorHAnsi" w:eastAsiaTheme="majorEastAsia" w:hAnsiTheme="majorHAnsi" w:cstheme="majorBidi"/>
      <w:color w:val="0F4761" w:themeColor="accent1" w:themeShade="BF"/>
      <w:kern w:val="2"/>
      <w:sz w:val="32"/>
      <w:szCs w:val="32"/>
      <w:lang w:eastAsia="en-US"/>
      <w14:ligatures w14:val="standardContextual"/>
    </w:rPr>
  </w:style>
  <w:style w:type="character" w:customStyle="1" w:styleId="Heading3Char">
    <w:name w:val="Heading 3 Char"/>
    <w:link w:val="Heading3"/>
    <w:uiPriority w:val="3"/>
    <w:rsid w:val="00716579"/>
    <w:rPr>
      <w:rFonts w:ascii="Arial" w:eastAsiaTheme="minorHAnsi" w:hAnsi="Arial"/>
      <w:b/>
      <w:bCs/>
      <w:kern w:val="2"/>
      <w:szCs w:val="26"/>
      <w:lang w:eastAsia="en-US"/>
      <w14:ligatures w14:val="standardContextual"/>
    </w:rPr>
  </w:style>
  <w:style w:type="character" w:customStyle="1" w:styleId="Heading4Char">
    <w:name w:val="Heading 4 Char"/>
    <w:link w:val="Heading4"/>
    <w:uiPriority w:val="9"/>
    <w:rsid w:val="00716579"/>
    <w:rPr>
      <w:rFonts w:ascii="Cambria" w:eastAsiaTheme="minorHAnsi" w:hAnsi="Cambria"/>
      <w:b/>
      <w:bCs/>
      <w:i/>
      <w:iCs/>
      <w:kern w:val="2"/>
      <w:lang w:eastAsia="en-US"/>
      <w14:ligatures w14:val="standardContextual"/>
    </w:rPr>
  </w:style>
  <w:style w:type="paragraph" w:styleId="ListParagraph">
    <w:name w:val="List Paragraph"/>
    <w:basedOn w:val="Normal"/>
    <w:uiPriority w:val="34"/>
    <w:qFormat/>
    <w:rsid w:val="00716579"/>
    <w:pPr>
      <w:ind w:left="720"/>
      <w:contextualSpacing/>
    </w:pPr>
    <w:rPr>
      <w:rFonts w:eastAsia="Calibri"/>
    </w:rPr>
  </w:style>
  <w:style w:type="character" w:styleId="Hyperlink">
    <w:name w:val="Hyperlink"/>
    <w:uiPriority w:val="99"/>
    <w:rsid w:val="00716579"/>
    <w:rPr>
      <w:color w:val="0000FF"/>
      <w:u w:val="single"/>
    </w:rPr>
  </w:style>
  <w:style w:type="paragraph" w:styleId="Header">
    <w:name w:val="header"/>
    <w:basedOn w:val="Normal"/>
    <w:link w:val="HeaderChar"/>
    <w:uiPriority w:val="99"/>
    <w:rsid w:val="00716579"/>
    <w:pPr>
      <w:tabs>
        <w:tab w:val="center" w:pos="4513"/>
        <w:tab w:val="right" w:pos="9026"/>
      </w:tabs>
    </w:pPr>
    <w:rPr>
      <w:rFonts w:ascii="Arial" w:hAnsi="Arial"/>
    </w:rPr>
  </w:style>
  <w:style w:type="paragraph" w:customStyle="1" w:styleId="NICEnormaldoublespacing">
    <w:name w:val="NICE normal double spacing"/>
    <w:basedOn w:val="NICEnormal"/>
    <w:rsid w:val="00716579"/>
  </w:style>
  <w:style w:type="character" w:customStyle="1" w:styleId="HeaderChar">
    <w:name w:val="Header Char"/>
    <w:link w:val="Header"/>
    <w:uiPriority w:val="99"/>
    <w:rsid w:val="00716579"/>
    <w:rPr>
      <w:rFonts w:ascii="Arial" w:eastAsiaTheme="minorHAnsi" w:hAnsi="Arial"/>
      <w:kern w:val="2"/>
      <w:lang w:eastAsia="en-US"/>
      <w14:ligatures w14:val="standardContextual"/>
    </w:rPr>
  </w:style>
  <w:style w:type="paragraph" w:styleId="Footer">
    <w:name w:val="footer"/>
    <w:basedOn w:val="Normal"/>
    <w:link w:val="FooterChar"/>
    <w:uiPriority w:val="99"/>
    <w:rsid w:val="00716579"/>
    <w:pPr>
      <w:tabs>
        <w:tab w:val="center" w:pos="4513"/>
        <w:tab w:val="right" w:pos="9026"/>
      </w:tabs>
    </w:pPr>
    <w:rPr>
      <w:rFonts w:ascii="Arial" w:hAnsi="Arial"/>
    </w:rPr>
  </w:style>
  <w:style w:type="character" w:customStyle="1" w:styleId="FooterChar">
    <w:name w:val="Footer Char"/>
    <w:link w:val="Footer"/>
    <w:uiPriority w:val="99"/>
    <w:rsid w:val="00716579"/>
    <w:rPr>
      <w:rFonts w:ascii="Arial" w:eastAsiaTheme="minorHAnsi" w:hAnsi="Arial"/>
      <w:kern w:val="2"/>
      <w:lang w:eastAsia="en-US"/>
      <w14:ligatures w14:val="standardContextual"/>
    </w:rPr>
  </w:style>
  <w:style w:type="paragraph" w:customStyle="1" w:styleId="Style1">
    <w:name w:val="Style1"/>
    <w:basedOn w:val="Normal"/>
    <w:autoRedefine/>
    <w:rsid w:val="00716579"/>
    <w:pPr>
      <w:keepNext/>
      <w:spacing w:line="360" w:lineRule="auto"/>
      <w:ind w:left="567"/>
    </w:pPr>
    <w:rPr>
      <w:rFonts w:ascii="Arial" w:hAnsi="Arial" w:cs="Arial"/>
      <w:szCs w:val="16"/>
    </w:rPr>
  </w:style>
  <w:style w:type="paragraph" w:customStyle="1" w:styleId="Unnumberedboldheading">
    <w:name w:val="Unnumbered bold heading"/>
    <w:next w:val="NICEnormal"/>
    <w:rsid w:val="00716579"/>
    <w:pPr>
      <w:keepNext/>
      <w:widowControl w:val="0"/>
      <w:spacing w:after="120"/>
    </w:pPr>
    <w:rPr>
      <w:rFonts w:ascii="Arial" w:eastAsia="Times New Roman" w:hAnsi="Arial"/>
      <w:b/>
      <w:lang w:val="en-US" w:eastAsia="en-US"/>
    </w:rPr>
  </w:style>
  <w:style w:type="paragraph" w:customStyle="1" w:styleId="Unnumbereditalicheading">
    <w:name w:val="Unnumbered italic heading"/>
    <w:next w:val="NICEnormal"/>
    <w:rsid w:val="00716579"/>
    <w:pPr>
      <w:keepNext/>
      <w:widowControl w:val="0"/>
      <w:spacing w:after="120"/>
    </w:pPr>
    <w:rPr>
      <w:rFonts w:ascii="Arial" w:eastAsia="Times New Roman" w:hAnsi="Arial"/>
      <w:i/>
      <w:lang w:val="en-US" w:eastAsia="en-US"/>
    </w:rPr>
  </w:style>
  <w:style w:type="paragraph" w:styleId="Title">
    <w:name w:val="Title"/>
    <w:basedOn w:val="Normal"/>
    <w:next w:val="Normal"/>
    <w:link w:val="TitleChar"/>
    <w:uiPriority w:val="10"/>
    <w:qFormat/>
    <w:rsid w:val="0071657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6579"/>
    <w:rPr>
      <w:rFonts w:asciiTheme="majorHAnsi" w:eastAsiaTheme="majorEastAsia" w:hAnsiTheme="majorHAnsi" w:cstheme="majorBidi"/>
      <w:spacing w:val="-10"/>
      <w:kern w:val="28"/>
      <w:sz w:val="56"/>
      <w:szCs w:val="56"/>
      <w:lang w:eastAsia="en-US"/>
      <w14:ligatures w14:val="standardContextual"/>
    </w:rPr>
  </w:style>
  <w:style w:type="paragraph" w:customStyle="1" w:styleId="Title16pt">
    <w:name w:val="Title 16 pt"/>
    <w:basedOn w:val="Title"/>
    <w:rsid w:val="00716579"/>
  </w:style>
  <w:style w:type="paragraph" w:customStyle="1" w:styleId="Introtext">
    <w:name w:val="Intro text"/>
    <w:basedOn w:val="PGDNormal"/>
    <w:rsid w:val="00716579"/>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716579"/>
    <w:pPr>
      <w:tabs>
        <w:tab w:val="num" w:pos="360"/>
      </w:tabs>
    </w:pPr>
    <w:rPr>
      <w:szCs w:val="24"/>
    </w:rPr>
  </w:style>
  <w:style w:type="character" w:customStyle="1" w:styleId="Numberedheading1CharChar">
    <w:name w:val="Numbered heading 1 Char Char"/>
    <w:link w:val="Numberedheading1"/>
    <w:rsid w:val="00716579"/>
    <w:rPr>
      <w:rFonts w:ascii="Arial" w:eastAsiaTheme="minorHAnsi" w:hAnsi="Arial"/>
      <w:b/>
      <w:bCs/>
      <w:kern w:val="32"/>
      <w:sz w:val="28"/>
      <w:szCs w:val="24"/>
      <w:lang w:eastAsia="en-US"/>
      <w14:ligatures w14:val="standardContextual"/>
    </w:rPr>
  </w:style>
  <w:style w:type="paragraph" w:customStyle="1" w:styleId="Numberedheading2">
    <w:name w:val="Numbered heading 2"/>
    <w:basedOn w:val="Heading2"/>
    <w:next w:val="NICEnormal"/>
    <w:link w:val="Numberedheading2Char"/>
    <w:rsid w:val="00716579"/>
    <w:pPr>
      <w:tabs>
        <w:tab w:val="num" w:pos="360"/>
      </w:tabs>
    </w:pPr>
  </w:style>
  <w:style w:type="character" w:customStyle="1" w:styleId="Numberedheading2Char">
    <w:name w:val="Numbered heading 2 Char"/>
    <w:basedOn w:val="Heading2Char"/>
    <w:link w:val="Numberedheading2"/>
    <w:rsid w:val="00716579"/>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customStyle="1" w:styleId="Numberedheading3">
    <w:name w:val="Numbered heading 3"/>
    <w:basedOn w:val="Heading3"/>
    <w:next w:val="NICEnormal"/>
    <w:rsid w:val="00716579"/>
    <w:pPr>
      <w:tabs>
        <w:tab w:val="num" w:pos="360"/>
      </w:tabs>
    </w:pPr>
    <w:rPr>
      <w:sz w:val="26"/>
    </w:rPr>
  </w:style>
  <w:style w:type="paragraph" w:customStyle="1" w:styleId="Numberedlevel4text">
    <w:name w:val="Numbered level 4 text"/>
    <w:basedOn w:val="NICEnormal"/>
    <w:next w:val="NICEnormal"/>
    <w:rsid w:val="00716579"/>
    <w:pPr>
      <w:tabs>
        <w:tab w:val="num" w:pos="360"/>
      </w:tabs>
    </w:pPr>
  </w:style>
  <w:style w:type="paragraph" w:customStyle="1" w:styleId="Numberedlevel3text">
    <w:name w:val="Numbered level 3 text"/>
    <w:basedOn w:val="Numberedheading3"/>
    <w:rsid w:val="00716579"/>
    <w:pPr>
      <w:spacing w:after="240"/>
    </w:pPr>
    <w:rPr>
      <w:b w:val="0"/>
      <w:sz w:val="24"/>
    </w:rPr>
  </w:style>
  <w:style w:type="paragraph" w:customStyle="1" w:styleId="Bulletindent2">
    <w:name w:val="Bullet indent 2"/>
    <w:basedOn w:val="NICEnormal"/>
    <w:rsid w:val="00716579"/>
    <w:pPr>
      <w:tabs>
        <w:tab w:val="num" w:pos="360"/>
      </w:tabs>
      <w:spacing w:after="0"/>
      <w:ind w:left="1702" w:hanging="284"/>
    </w:pPr>
  </w:style>
  <w:style w:type="paragraph" w:customStyle="1" w:styleId="Title16ptleft">
    <w:name w:val="Title 16 pt left"/>
    <w:basedOn w:val="Title16pt"/>
    <w:rsid w:val="00716579"/>
  </w:style>
  <w:style w:type="paragraph" w:customStyle="1" w:styleId="Bulletleft1">
    <w:name w:val="Bullet left 1"/>
    <w:basedOn w:val="NICEnormal"/>
    <w:rsid w:val="00716579"/>
    <w:pPr>
      <w:tabs>
        <w:tab w:val="num" w:pos="360"/>
      </w:tabs>
      <w:spacing w:after="0"/>
    </w:pPr>
  </w:style>
  <w:style w:type="character" w:customStyle="1" w:styleId="Bulletleft1Char">
    <w:name w:val="Bullet left 1 Char"/>
    <w:basedOn w:val="NICEnormalChar"/>
    <w:rsid w:val="00716579"/>
    <w:rPr>
      <w:rFonts w:ascii="Arial" w:eastAsia="Times New Roman" w:hAnsi="Arial"/>
      <w:sz w:val="24"/>
      <w:szCs w:val="24"/>
      <w:lang w:val="en-GB" w:eastAsia="en-US" w:bidi="ar-SA"/>
    </w:rPr>
  </w:style>
  <w:style w:type="paragraph" w:customStyle="1" w:styleId="Bulletleft2">
    <w:name w:val="Bullet left 2"/>
    <w:basedOn w:val="NICEnormal"/>
    <w:rsid w:val="00716579"/>
    <w:pPr>
      <w:tabs>
        <w:tab w:val="num" w:pos="360"/>
      </w:tabs>
      <w:spacing w:after="0"/>
      <w:ind w:left="568" w:hanging="284"/>
    </w:pPr>
  </w:style>
  <w:style w:type="paragraph" w:customStyle="1" w:styleId="Bulletleft3">
    <w:name w:val="Bullet left 3"/>
    <w:basedOn w:val="NICEnormal"/>
    <w:rsid w:val="00716579"/>
    <w:pPr>
      <w:tabs>
        <w:tab w:val="num" w:pos="360"/>
      </w:tabs>
      <w:spacing w:after="0"/>
    </w:pPr>
  </w:style>
  <w:style w:type="paragraph" w:customStyle="1" w:styleId="Bulletindent1">
    <w:name w:val="Bullet indent 1"/>
    <w:basedOn w:val="NICEnormal"/>
    <w:rsid w:val="00716579"/>
    <w:pPr>
      <w:numPr>
        <w:numId w:val="15"/>
      </w:numPr>
      <w:spacing w:before="120" w:after="120" w:line="240" w:lineRule="auto"/>
    </w:pPr>
    <w:rPr>
      <w:sz w:val="22"/>
      <w:lang w:val="en-GB"/>
    </w:rPr>
  </w:style>
  <w:style w:type="paragraph" w:customStyle="1" w:styleId="Bulletindent3">
    <w:name w:val="Bullet indent 3"/>
    <w:basedOn w:val="NICEnormal"/>
    <w:rsid w:val="00716579"/>
    <w:pPr>
      <w:tabs>
        <w:tab w:val="num" w:pos="360"/>
      </w:tabs>
      <w:spacing w:after="0"/>
    </w:pPr>
  </w:style>
  <w:style w:type="paragraph" w:customStyle="1" w:styleId="Numberedlevel2text">
    <w:name w:val="Numbered level 2 text"/>
    <w:basedOn w:val="Numberedheading2"/>
    <w:rsid w:val="00716579"/>
    <w:pPr>
      <w:spacing w:after="240"/>
    </w:pPr>
    <w:rPr>
      <w:b/>
      <w:i/>
    </w:rPr>
  </w:style>
  <w:style w:type="paragraph" w:customStyle="1" w:styleId="Bulletleft1last">
    <w:name w:val="Bullet left 1 last"/>
    <w:basedOn w:val="NICEnormal"/>
    <w:rsid w:val="00716579"/>
    <w:pPr>
      <w:tabs>
        <w:tab w:val="num" w:pos="360"/>
      </w:tabs>
    </w:pPr>
    <w:rPr>
      <w:rFonts w:cs="Arial"/>
    </w:rPr>
  </w:style>
  <w:style w:type="character" w:customStyle="1" w:styleId="Bulletleft1lastChar">
    <w:name w:val="Bullet left 1 last Char"/>
    <w:rsid w:val="00716579"/>
    <w:rPr>
      <w:rFonts w:ascii="Arial" w:eastAsia="Times New Roman" w:hAnsi="Arial" w:cs="Arial"/>
      <w:sz w:val="24"/>
      <w:szCs w:val="24"/>
      <w:lang w:eastAsia="en-US"/>
    </w:rPr>
  </w:style>
  <w:style w:type="paragraph" w:customStyle="1" w:styleId="boxedtext">
    <w:name w:val="boxed text"/>
    <w:basedOn w:val="NICEnormal"/>
    <w:rsid w:val="00716579"/>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rsid w:val="00716579"/>
    <w:rPr>
      <w:rFonts w:ascii="Arial" w:hAnsi="Arial"/>
      <w:sz w:val="24"/>
    </w:rPr>
  </w:style>
  <w:style w:type="paragraph" w:customStyle="1" w:styleId="Bulletindent1last">
    <w:name w:val="Bullet indent 1 last"/>
    <w:basedOn w:val="NICEnormal"/>
    <w:next w:val="NICEnormal"/>
    <w:rsid w:val="00716579"/>
    <w:pPr>
      <w:numPr>
        <w:numId w:val="11"/>
      </w:numPr>
    </w:pPr>
    <w:rPr>
      <w:sz w:val="22"/>
      <w:lang w:val="en-GB"/>
    </w:rPr>
  </w:style>
  <w:style w:type="paragraph" w:customStyle="1" w:styleId="NICEnormalindented">
    <w:name w:val="NICE normal indented"/>
    <w:basedOn w:val="NICEnormal"/>
    <w:rsid w:val="00716579"/>
    <w:pPr>
      <w:tabs>
        <w:tab w:val="left" w:pos="1134"/>
      </w:tabs>
      <w:ind w:left="1134"/>
    </w:pPr>
  </w:style>
  <w:style w:type="paragraph" w:customStyle="1" w:styleId="Tabletitle">
    <w:name w:val="Table title"/>
    <w:basedOn w:val="NICEnormal"/>
    <w:next w:val="NICEnormal"/>
    <w:rsid w:val="00716579"/>
    <w:pPr>
      <w:keepNext/>
      <w:spacing w:after="60" w:line="240" w:lineRule="auto"/>
    </w:pPr>
    <w:rPr>
      <w:b/>
    </w:rPr>
  </w:style>
  <w:style w:type="paragraph" w:customStyle="1" w:styleId="Tabletext">
    <w:name w:val="Table text"/>
    <w:basedOn w:val="PGDNormal"/>
    <w:rsid w:val="00716579"/>
    <w:pPr>
      <w:keepNext/>
      <w:spacing w:after="60"/>
    </w:pPr>
  </w:style>
  <w:style w:type="paragraph" w:customStyle="1" w:styleId="Section2paragraphs">
    <w:name w:val="Section 2 paragraphs"/>
    <w:basedOn w:val="NICEnormal"/>
    <w:rsid w:val="00716579"/>
    <w:pPr>
      <w:tabs>
        <w:tab w:val="num" w:pos="360"/>
      </w:tabs>
    </w:pPr>
  </w:style>
  <w:style w:type="paragraph" w:customStyle="1" w:styleId="Section3paragraphs">
    <w:name w:val="Section 3 paragraphs"/>
    <w:basedOn w:val="NICEnormal"/>
    <w:rsid w:val="00716579"/>
    <w:pPr>
      <w:tabs>
        <w:tab w:val="num" w:pos="360"/>
      </w:tabs>
    </w:pPr>
  </w:style>
  <w:style w:type="paragraph" w:customStyle="1" w:styleId="Section411paragraphs">
    <w:name w:val="Section 4.1.1 paragraphs"/>
    <w:basedOn w:val="NICEnormal"/>
    <w:rsid w:val="00716579"/>
    <w:pPr>
      <w:tabs>
        <w:tab w:val="num" w:pos="360"/>
      </w:tabs>
    </w:pPr>
  </w:style>
  <w:style w:type="paragraph" w:customStyle="1" w:styleId="Section412paragraphs">
    <w:name w:val="Section 4.1.2 paragraphs"/>
    <w:basedOn w:val="NICEnormal"/>
    <w:rsid w:val="00716579"/>
    <w:pPr>
      <w:tabs>
        <w:tab w:val="num" w:pos="360"/>
      </w:tabs>
    </w:pPr>
  </w:style>
  <w:style w:type="paragraph" w:customStyle="1" w:styleId="Section42paragraphs">
    <w:name w:val="Section 4.2 paragraphs"/>
    <w:basedOn w:val="NICEnormal"/>
    <w:rsid w:val="00716579"/>
    <w:pPr>
      <w:tabs>
        <w:tab w:val="num" w:pos="360"/>
      </w:tabs>
    </w:pPr>
  </w:style>
  <w:style w:type="paragraph" w:customStyle="1" w:styleId="Section43paragraphs">
    <w:name w:val="Section 4.3 paragraphs"/>
    <w:basedOn w:val="NICEnormal"/>
    <w:rsid w:val="00716579"/>
    <w:pPr>
      <w:tabs>
        <w:tab w:val="num" w:pos="360"/>
      </w:tabs>
    </w:pPr>
  </w:style>
  <w:style w:type="paragraph" w:customStyle="1" w:styleId="Appendixlevel1">
    <w:name w:val="Appendix level 1"/>
    <w:basedOn w:val="NICEnormal"/>
    <w:autoRedefine/>
    <w:rsid w:val="00716579"/>
    <w:pPr>
      <w:tabs>
        <w:tab w:val="num" w:pos="360"/>
      </w:tabs>
      <w:spacing w:before="240"/>
    </w:pPr>
  </w:style>
  <w:style w:type="paragraph" w:customStyle="1" w:styleId="Appendixlevel2">
    <w:name w:val="Appendix level 2"/>
    <w:basedOn w:val="NICEnormal"/>
    <w:rsid w:val="00716579"/>
    <w:pPr>
      <w:tabs>
        <w:tab w:val="num" w:pos="360"/>
      </w:tabs>
      <w:spacing w:before="240"/>
    </w:pPr>
  </w:style>
  <w:style w:type="paragraph" w:customStyle="1" w:styleId="Appendixbullet">
    <w:name w:val="Appendix bullet"/>
    <w:basedOn w:val="NICEnormal"/>
    <w:rsid w:val="00716579"/>
    <w:pPr>
      <w:tabs>
        <w:tab w:val="num" w:pos="360"/>
      </w:tabs>
      <w:spacing w:after="0" w:line="240" w:lineRule="auto"/>
    </w:pPr>
  </w:style>
  <w:style w:type="paragraph" w:customStyle="1" w:styleId="Appendixreferences">
    <w:name w:val="Appendix references"/>
    <w:basedOn w:val="NICEnormal"/>
    <w:rsid w:val="00716579"/>
    <w:pPr>
      <w:tabs>
        <w:tab w:val="left" w:pos="567"/>
      </w:tabs>
      <w:spacing w:after="120" w:line="240" w:lineRule="auto"/>
      <w:ind w:left="567"/>
    </w:pPr>
  </w:style>
  <w:style w:type="paragraph" w:customStyle="1" w:styleId="References">
    <w:name w:val="References"/>
    <w:basedOn w:val="PGDNormal"/>
    <w:rsid w:val="00716579"/>
    <w:pPr>
      <w:tabs>
        <w:tab w:val="num" w:pos="360"/>
      </w:tabs>
      <w:spacing w:after="120"/>
    </w:pPr>
  </w:style>
  <w:style w:type="paragraph" w:styleId="BalloonText">
    <w:name w:val="Balloon Text"/>
    <w:basedOn w:val="Normal"/>
    <w:link w:val="BalloonTextChar"/>
    <w:semiHidden/>
    <w:rsid w:val="00716579"/>
    <w:rPr>
      <w:rFonts w:ascii="Tahoma" w:hAnsi="Tahoma" w:cs="Tahoma"/>
      <w:sz w:val="16"/>
      <w:szCs w:val="16"/>
    </w:rPr>
  </w:style>
  <w:style w:type="character" w:customStyle="1" w:styleId="BalloonTextChar">
    <w:name w:val="Balloon Text Char"/>
    <w:link w:val="BalloonText"/>
    <w:semiHidden/>
    <w:rsid w:val="00716579"/>
    <w:rPr>
      <w:rFonts w:ascii="Tahoma" w:eastAsiaTheme="minorHAnsi" w:hAnsi="Tahoma" w:cs="Tahoma"/>
      <w:kern w:val="2"/>
      <w:sz w:val="16"/>
      <w:szCs w:val="16"/>
      <w:lang w:eastAsia="en-US"/>
      <w14:ligatures w14:val="standardContextual"/>
    </w:rPr>
  </w:style>
  <w:style w:type="character" w:styleId="CommentReference">
    <w:name w:val="annotation reference"/>
    <w:unhideWhenUsed/>
    <w:rsid w:val="00716579"/>
    <w:rPr>
      <w:sz w:val="16"/>
      <w:szCs w:val="16"/>
    </w:rPr>
  </w:style>
  <w:style w:type="paragraph" w:styleId="CommentText">
    <w:name w:val="annotation text"/>
    <w:basedOn w:val="Normal"/>
    <w:link w:val="CommentTextChar1"/>
    <w:uiPriority w:val="99"/>
    <w:unhideWhenUsed/>
    <w:rsid w:val="00716579"/>
  </w:style>
  <w:style w:type="character" w:customStyle="1" w:styleId="CommentTextChar">
    <w:name w:val="Comment Text Char"/>
    <w:uiPriority w:val="99"/>
    <w:rsid w:val="00716579"/>
    <w:rPr>
      <w:rFonts w:ascii="Times New Roman" w:eastAsia="Times New Roman" w:hAnsi="Times New Roman"/>
      <w:lang w:eastAsia="en-US"/>
    </w:rPr>
  </w:style>
  <w:style w:type="paragraph" w:styleId="CommentSubject">
    <w:name w:val="annotation subject"/>
    <w:basedOn w:val="CommentText"/>
    <w:next w:val="CommentText"/>
    <w:link w:val="CommentSubjectChar1"/>
    <w:semiHidden/>
    <w:unhideWhenUsed/>
    <w:rsid w:val="00716579"/>
    <w:rPr>
      <w:b/>
      <w:bCs/>
    </w:rPr>
  </w:style>
  <w:style w:type="character" w:customStyle="1" w:styleId="CommentSubjectChar">
    <w:name w:val="Comment Subject Char"/>
    <w:semiHidden/>
    <w:rsid w:val="00716579"/>
    <w:rPr>
      <w:rFonts w:ascii="Times New Roman" w:eastAsia="Times New Roman" w:hAnsi="Times New Roman"/>
      <w:b/>
      <w:bCs/>
      <w:lang w:eastAsia="en-US"/>
    </w:rPr>
  </w:style>
  <w:style w:type="paragraph" w:styleId="Revision">
    <w:name w:val="Revision"/>
    <w:hidden/>
    <w:semiHidden/>
    <w:rsid w:val="001F0DB2"/>
    <w:rPr>
      <w:rFonts w:ascii="Times New Roman" w:eastAsia="Times New Roman" w:hAnsi="Times New Roman"/>
      <w:sz w:val="24"/>
      <w:szCs w:val="24"/>
      <w:lang w:eastAsia="en-US"/>
    </w:rPr>
  </w:style>
  <w:style w:type="paragraph" w:styleId="NormalWeb">
    <w:name w:val="Normal (Web)"/>
    <w:basedOn w:val="Normal"/>
    <w:uiPriority w:val="99"/>
    <w:unhideWhenUsed/>
    <w:rsid w:val="00716579"/>
    <w:pPr>
      <w:spacing w:before="100" w:beforeAutospacing="1" w:after="100" w:afterAutospacing="1"/>
    </w:pPr>
  </w:style>
  <w:style w:type="paragraph" w:styleId="TOC1">
    <w:name w:val="toc 1"/>
    <w:basedOn w:val="Normal"/>
    <w:next w:val="Normal"/>
    <w:autoRedefine/>
    <w:rsid w:val="00716579"/>
    <w:rPr>
      <w:rFonts w:ascii="Arial" w:hAnsi="Arial"/>
    </w:rPr>
  </w:style>
  <w:style w:type="paragraph" w:styleId="TOC2">
    <w:name w:val="toc 2"/>
    <w:basedOn w:val="Normal"/>
    <w:next w:val="Normal"/>
    <w:autoRedefine/>
    <w:rsid w:val="00716579"/>
    <w:pPr>
      <w:ind w:left="240"/>
    </w:pPr>
    <w:rPr>
      <w:rFonts w:ascii="Arial" w:hAnsi="Arial"/>
    </w:rPr>
  </w:style>
  <w:style w:type="paragraph" w:customStyle="1" w:styleId="Frontpagetitle">
    <w:name w:val="Front page title"/>
    <w:basedOn w:val="Normal"/>
    <w:rsid w:val="00716579"/>
    <w:pPr>
      <w:spacing w:after="240"/>
      <w:jc w:val="center"/>
    </w:pPr>
    <w:rPr>
      <w:rFonts w:ascii="Arial" w:hAnsi="Arial" w:cs="Arial"/>
      <w:sz w:val="48"/>
      <w:szCs w:val="48"/>
      <w:lang w:val="en-US"/>
    </w:rPr>
  </w:style>
  <w:style w:type="paragraph" w:customStyle="1" w:styleId="Frontpagedate">
    <w:name w:val="Front page date"/>
    <w:basedOn w:val="Normal"/>
    <w:rsid w:val="00716579"/>
    <w:pPr>
      <w:spacing w:after="240"/>
    </w:pPr>
    <w:rPr>
      <w:rFonts w:ascii="Arial" w:hAnsi="Arial" w:cs="Arial"/>
      <w:sz w:val="32"/>
      <w:szCs w:val="32"/>
      <w:lang w:val="en-US"/>
    </w:rPr>
  </w:style>
  <w:style w:type="paragraph" w:customStyle="1" w:styleId="Frontpageguidelinenumber">
    <w:name w:val="Front page guideline number"/>
    <w:basedOn w:val="Normal"/>
    <w:rsid w:val="00716579"/>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716579"/>
    <w:pPr>
      <w:outlineLvl w:val="9"/>
    </w:pPr>
    <w:rPr>
      <w:lang w:bidi="en-US"/>
    </w:rPr>
  </w:style>
  <w:style w:type="paragraph" w:styleId="TOC3">
    <w:name w:val="toc 3"/>
    <w:basedOn w:val="Normal"/>
    <w:next w:val="Normal"/>
    <w:autoRedefine/>
    <w:semiHidden/>
    <w:rsid w:val="00716579"/>
    <w:pPr>
      <w:ind w:left="480"/>
    </w:pPr>
    <w:rPr>
      <w:rFonts w:ascii="Arial" w:hAnsi="Arial"/>
    </w:rPr>
  </w:style>
  <w:style w:type="character" w:styleId="FollowedHyperlink">
    <w:name w:val="FollowedHyperlink"/>
    <w:unhideWhenUsed/>
    <w:rsid w:val="00716579"/>
    <w:rPr>
      <w:color w:val="800080"/>
      <w:u w:val="single"/>
    </w:rPr>
  </w:style>
  <w:style w:type="paragraph" w:customStyle="1" w:styleId="Level2text">
    <w:name w:val="Level 2 text"/>
    <w:basedOn w:val="Numberedheading2"/>
    <w:locked/>
    <w:rsid w:val="00716579"/>
    <w:pPr>
      <w:numPr>
        <w:ilvl w:val="1"/>
        <w:numId w:val="1"/>
      </w:numPr>
    </w:pPr>
    <w:rPr>
      <w:b/>
      <w:i/>
    </w:rPr>
  </w:style>
  <w:style w:type="paragraph" w:styleId="FootnoteText">
    <w:name w:val="footnote text"/>
    <w:basedOn w:val="Normal"/>
    <w:link w:val="FootnoteTextChar1"/>
    <w:semiHidden/>
    <w:rsid w:val="00716579"/>
    <w:rPr>
      <w:rFonts w:ascii="Arial" w:eastAsia="Calibri" w:hAnsi="Arial"/>
    </w:rPr>
  </w:style>
  <w:style w:type="character" w:customStyle="1" w:styleId="FootnoteTextChar">
    <w:name w:val="Footnote Text Char"/>
    <w:rsid w:val="00716579"/>
    <w:rPr>
      <w:rFonts w:ascii="Arial" w:eastAsia="Times New Roman" w:hAnsi="Arial"/>
    </w:rPr>
  </w:style>
  <w:style w:type="character" w:styleId="FootnoteReference">
    <w:name w:val="footnote reference"/>
    <w:rsid w:val="00716579"/>
    <w:rPr>
      <w:vertAlign w:val="superscript"/>
    </w:rPr>
  </w:style>
  <w:style w:type="paragraph" w:customStyle="1" w:styleId="Paragraph">
    <w:name w:val="Paragraph"/>
    <w:basedOn w:val="Paragraphnonumbers"/>
    <w:uiPriority w:val="4"/>
    <w:qFormat/>
    <w:rsid w:val="00716579"/>
    <w:pPr>
      <w:numPr>
        <w:numId w:val="9"/>
      </w:numPr>
      <w:tabs>
        <w:tab w:val="left" w:pos="567"/>
      </w:tabs>
    </w:pPr>
  </w:style>
  <w:style w:type="paragraph" w:customStyle="1" w:styleId="Bullets">
    <w:name w:val="Bullets"/>
    <w:basedOn w:val="Normal"/>
    <w:uiPriority w:val="5"/>
    <w:qFormat/>
    <w:rsid w:val="00716579"/>
    <w:pPr>
      <w:numPr>
        <w:numId w:val="16"/>
      </w:numPr>
      <w:spacing w:after="120" w:line="276" w:lineRule="auto"/>
    </w:pPr>
    <w:rPr>
      <w:rFonts w:ascii="Arial" w:hAnsi="Arial"/>
    </w:rPr>
  </w:style>
  <w:style w:type="paragraph" w:customStyle="1" w:styleId="Subbullets">
    <w:name w:val="Sub bullets"/>
    <w:basedOn w:val="Normal"/>
    <w:uiPriority w:val="6"/>
    <w:qFormat/>
    <w:rsid w:val="00716579"/>
    <w:pPr>
      <w:numPr>
        <w:numId w:val="17"/>
      </w:numPr>
      <w:spacing w:after="120" w:line="276" w:lineRule="auto"/>
    </w:pPr>
    <w:rPr>
      <w:rFonts w:ascii="Arial" w:hAnsi="Arial"/>
    </w:rPr>
  </w:style>
  <w:style w:type="paragraph" w:customStyle="1" w:styleId="Paragraphnonumbers">
    <w:name w:val="Paragraph no numbers"/>
    <w:basedOn w:val="Normal"/>
    <w:uiPriority w:val="99"/>
    <w:qFormat/>
    <w:rsid w:val="00716579"/>
    <w:pPr>
      <w:spacing w:after="240" w:line="276" w:lineRule="auto"/>
    </w:pPr>
    <w:rPr>
      <w:rFonts w:ascii="Arial" w:hAnsi="Arial"/>
    </w:rPr>
  </w:style>
  <w:style w:type="paragraph" w:styleId="TOAHeading">
    <w:name w:val="toa heading"/>
    <w:basedOn w:val="Normal"/>
    <w:next w:val="Normal"/>
    <w:semiHidden/>
    <w:rsid w:val="00716579"/>
    <w:pPr>
      <w:spacing w:before="120"/>
    </w:pPr>
    <w:rPr>
      <w:rFonts w:ascii="Arial" w:hAnsi="Arial"/>
      <w:b/>
      <w:bCs/>
    </w:rPr>
  </w:style>
  <w:style w:type="paragraph" w:styleId="TOC4">
    <w:name w:val="toc 4"/>
    <w:basedOn w:val="Normal"/>
    <w:next w:val="Normal"/>
    <w:autoRedefine/>
    <w:semiHidden/>
    <w:rsid w:val="00716579"/>
    <w:pPr>
      <w:ind w:left="720"/>
    </w:pPr>
    <w:rPr>
      <w:rFonts w:ascii="Arial" w:hAnsi="Arial"/>
    </w:rPr>
  </w:style>
  <w:style w:type="paragraph" w:customStyle="1" w:styleId="Bulletindent1alast">
    <w:name w:val="Bullet indent 1a last"/>
    <w:basedOn w:val="Bulletindent1last"/>
    <w:qFormat/>
    <w:rsid w:val="00716579"/>
    <w:pPr>
      <w:ind w:left="2552"/>
    </w:pPr>
  </w:style>
  <w:style w:type="paragraph" w:customStyle="1" w:styleId="Bulletindent2a">
    <w:name w:val="Bullet indent 2a"/>
    <w:basedOn w:val="Normal"/>
    <w:qFormat/>
    <w:rsid w:val="00716579"/>
    <w:pPr>
      <w:keepNext/>
      <w:tabs>
        <w:tab w:val="num" w:pos="1701"/>
      </w:tabs>
      <w:spacing w:line="360" w:lineRule="auto"/>
      <w:ind w:left="2836" w:hanging="284"/>
    </w:pPr>
    <w:rPr>
      <w:rFonts w:ascii="Arial" w:hAnsi="Arial"/>
    </w:rPr>
  </w:style>
  <w:style w:type="paragraph" w:customStyle="1" w:styleId="Bulletindent1a">
    <w:name w:val="Bullet indent 1a"/>
    <w:basedOn w:val="Bulletindent1"/>
    <w:qFormat/>
    <w:rsid w:val="00716579"/>
    <w:pPr>
      <w:tabs>
        <w:tab w:val="num" w:pos="2552"/>
      </w:tabs>
      <w:ind w:left="2552"/>
    </w:pPr>
  </w:style>
  <w:style w:type="paragraph" w:customStyle="1" w:styleId="Frontpagegreentitle">
    <w:name w:val="Front page green title"/>
    <w:basedOn w:val="Normal"/>
    <w:rsid w:val="00716579"/>
    <w:pPr>
      <w:jc w:val="center"/>
    </w:pPr>
    <w:rPr>
      <w:rFonts w:ascii="Arial" w:hAnsi="Arial" w:cs="Arial"/>
      <w:b/>
      <w:color w:val="009999"/>
      <w:sz w:val="64"/>
      <w:szCs w:val="64"/>
    </w:rPr>
  </w:style>
  <w:style w:type="paragraph" w:styleId="TOC5">
    <w:name w:val="toc 5"/>
    <w:basedOn w:val="Normal"/>
    <w:next w:val="Normal"/>
    <w:autoRedefine/>
    <w:semiHidden/>
    <w:unhideWhenUsed/>
    <w:rsid w:val="00716579"/>
    <w:pPr>
      <w:spacing w:after="100" w:line="276" w:lineRule="auto"/>
      <w:ind w:left="880"/>
    </w:pPr>
  </w:style>
  <w:style w:type="paragraph" w:styleId="TOC6">
    <w:name w:val="toc 6"/>
    <w:basedOn w:val="Normal"/>
    <w:next w:val="Normal"/>
    <w:autoRedefine/>
    <w:semiHidden/>
    <w:unhideWhenUsed/>
    <w:rsid w:val="00716579"/>
    <w:pPr>
      <w:spacing w:after="100" w:line="276" w:lineRule="auto"/>
      <w:ind w:left="1100"/>
    </w:pPr>
  </w:style>
  <w:style w:type="paragraph" w:styleId="TOC7">
    <w:name w:val="toc 7"/>
    <w:basedOn w:val="Normal"/>
    <w:next w:val="Normal"/>
    <w:autoRedefine/>
    <w:semiHidden/>
    <w:unhideWhenUsed/>
    <w:rsid w:val="00716579"/>
    <w:pPr>
      <w:spacing w:after="100" w:line="276" w:lineRule="auto"/>
      <w:ind w:left="1320"/>
    </w:pPr>
  </w:style>
  <w:style w:type="paragraph" w:styleId="TOC8">
    <w:name w:val="toc 8"/>
    <w:basedOn w:val="Normal"/>
    <w:next w:val="Normal"/>
    <w:autoRedefine/>
    <w:semiHidden/>
    <w:unhideWhenUsed/>
    <w:rsid w:val="00716579"/>
    <w:pPr>
      <w:spacing w:after="100" w:line="276" w:lineRule="auto"/>
      <w:ind w:left="1540"/>
    </w:pPr>
  </w:style>
  <w:style w:type="paragraph" w:styleId="TOC9">
    <w:name w:val="toc 9"/>
    <w:basedOn w:val="Normal"/>
    <w:next w:val="Normal"/>
    <w:autoRedefine/>
    <w:semiHidden/>
    <w:unhideWhenUsed/>
    <w:rsid w:val="00716579"/>
    <w:pPr>
      <w:spacing w:after="100" w:line="276" w:lineRule="auto"/>
      <w:ind w:left="1760"/>
    </w:pPr>
  </w:style>
  <w:style w:type="paragraph" w:customStyle="1" w:styleId="Question">
    <w:name w:val="Question"/>
    <w:basedOn w:val="References"/>
    <w:qFormat/>
    <w:rsid w:val="00716579"/>
    <w:pPr>
      <w:keepNext/>
      <w:numPr>
        <w:numId w:val="2"/>
      </w:numPr>
    </w:pPr>
    <w:rPr>
      <w:b/>
    </w:rPr>
  </w:style>
  <w:style w:type="paragraph" w:styleId="EndnoteText">
    <w:name w:val="endnote text"/>
    <w:basedOn w:val="Normal"/>
    <w:link w:val="EndnoteTextChar1"/>
    <w:semiHidden/>
    <w:unhideWhenUsed/>
    <w:rsid w:val="00716579"/>
  </w:style>
  <w:style w:type="character" w:customStyle="1" w:styleId="EndnoteTextChar">
    <w:name w:val="Endnote Text Char"/>
    <w:semiHidden/>
    <w:rsid w:val="00716579"/>
    <w:rPr>
      <w:rFonts w:ascii="Times New Roman" w:eastAsia="Times New Roman" w:hAnsi="Times New Roman"/>
    </w:rPr>
  </w:style>
  <w:style w:type="character" w:styleId="EndnoteReference">
    <w:name w:val="endnote reference"/>
    <w:semiHidden/>
    <w:unhideWhenUsed/>
    <w:rsid w:val="00716579"/>
    <w:rPr>
      <w:vertAlign w:val="superscript"/>
    </w:rPr>
  </w:style>
  <w:style w:type="paragraph" w:customStyle="1" w:styleId="Style4">
    <w:name w:val="Style4"/>
    <w:basedOn w:val="Normal"/>
    <w:autoRedefine/>
    <w:rsid w:val="00716579"/>
    <w:pPr>
      <w:keepNext/>
      <w:spacing w:line="360" w:lineRule="auto"/>
      <w:ind w:left="567"/>
    </w:pPr>
    <w:rPr>
      <w:rFonts w:ascii="Arial" w:hAnsi="Arial" w:cs="Arial"/>
    </w:rPr>
  </w:style>
  <w:style w:type="paragraph" w:customStyle="1" w:styleId="Bodytextosteo">
    <w:name w:val="Body text osteo"/>
    <w:basedOn w:val="BodyText"/>
    <w:autoRedefine/>
    <w:rsid w:val="00716579"/>
    <w:pPr>
      <w:spacing w:after="0" w:line="360" w:lineRule="auto"/>
      <w:ind w:left="567"/>
    </w:pPr>
    <w:rPr>
      <w:rFonts w:ascii="Arial" w:hAnsi="Arial" w:cs="Arial"/>
    </w:rPr>
  </w:style>
  <w:style w:type="paragraph" w:styleId="BodyText">
    <w:name w:val="Body Text"/>
    <w:basedOn w:val="Normal"/>
    <w:link w:val="BodyTextChar"/>
    <w:rsid w:val="00716579"/>
    <w:pPr>
      <w:spacing w:after="120"/>
    </w:pPr>
  </w:style>
  <w:style w:type="paragraph" w:customStyle="1" w:styleId="bulletdoubleindent">
    <w:name w:val="bullet double indent"/>
    <w:basedOn w:val="Normal"/>
    <w:autoRedefine/>
    <w:rsid w:val="00716579"/>
    <w:pPr>
      <w:numPr>
        <w:numId w:val="3"/>
      </w:numPr>
      <w:spacing w:line="360" w:lineRule="auto"/>
    </w:pPr>
    <w:rPr>
      <w:rFonts w:ascii="Arial" w:eastAsia="Calibri" w:hAnsi="Arial"/>
    </w:rPr>
  </w:style>
  <w:style w:type="paragraph" w:customStyle="1" w:styleId="bulletindentosteo">
    <w:name w:val="bullet indent osteo"/>
    <w:basedOn w:val="Normal"/>
    <w:autoRedefine/>
    <w:rsid w:val="00716579"/>
    <w:pPr>
      <w:numPr>
        <w:numId w:val="4"/>
      </w:numPr>
      <w:spacing w:line="360" w:lineRule="auto"/>
    </w:pPr>
    <w:rPr>
      <w:rFonts w:ascii="Arial" w:eastAsia="Calibri" w:hAnsi="Arial"/>
      <w:color w:val="000000"/>
    </w:rPr>
  </w:style>
  <w:style w:type="paragraph" w:customStyle="1" w:styleId="bulletosteoporosis">
    <w:name w:val="bullet osteoporosis"/>
    <w:basedOn w:val="Normal"/>
    <w:autoRedefine/>
    <w:rsid w:val="00716579"/>
    <w:pPr>
      <w:numPr>
        <w:numId w:val="7"/>
      </w:numPr>
      <w:tabs>
        <w:tab w:val="left" w:pos="900"/>
      </w:tabs>
      <w:spacing w:line="360" w:lineRule="auto"/>
    </w:pPr>
    <w:rPr>
      <w:rFonts w:ascii="Arial" w:hAnsi="Arial" w:cs="Arial"/>
      <w:bCs/>
    </w:rPr>
  </w:style>
  <w:style w:type="paragraph" w:customStyle="1" w:styleId="Subheading">
    <w:name w:val="Sub heading"/>
    <w:basedOn w:val="Heading3"/>
    <w:autoRedefine/>
    <w:rsid w:val="00716579"/>
    <w:pPr>
      <w:spacing w:after="0" w:line="360" w:lineRule="auto"/>
      <w:ind w:left="567"/>
    </w:pPr>
  </w:style>
  <w:style w:type="paragraph" w:customStyle="1" w:styleId="subheadingosteo">
    <w:name w:val="subheading osteo"/>
    <w:basedOn w:val="Heading6"/>
    <w:autoRedefine/>
    <w:rsid w:val="00716579"/>
    <w:pPr>
      <w:keepNext/>
      <w:spacing w:line="360" w:lineRule="auto"/>
      <w:ind w:left="539"/>
    </w:pPr>
    <w:rPr>
      <w:rFonts w:ascii="Arial" w:hAnsi="Arial"/>
    </w:rPr>
  </w:style>
  <w:style w:type="paragraph" w:customStyle="1" w:styleId="bulletdoubleindentosteo">
    <w:name w:val="bullet double indent osteo"/>
    <w:basedOn w:val="bulletindentosteo"/>
    <w:autoRedefine/>
    <w:rsid w:val="00716579"/>
    <w:pPr>
      <w:numPr>
        <w:numId w:val="5"/>
      </w:numPr>
    </w:pPr>
    <w:rPr>
      <w:rFonts w:eastAsia="Times New Roman"/>
      <w:lang w:eastAsia="en-GB"/>
    </w:rPr>
  </w:style>
  <w:style w:type="paragraph" w:styleId="ListBullet3">
    <w:name w:val="List Bullet 3"/>
    <w:basedOn w:val="Normal"/>
    <w:autoRedefine/>
    <w:rsid w:val="00716579"/>
  </w:style>
  <w:style w:type="paragraph" w:customStyle="1" w:styleId="Bulletosteotable">
    <w:name w:val="Bullet osteo table"/>
    <w:basedOn w:val="bulletosteoporosis"/>
    <w:autoRedefine/>
    <w:rsid w:val="00716579"/>
    <w:pPr>
      <w:numPr>
        <w:numId w:val="6"/>
      </w:numPr>
    </w:pPr>
  </w:style>
  <w:style w:type="paragraph" w:customStyle="1" w:styleId="StyleHeading2Before0ptAfter0ptLinespacing15l">
    <w:name w:val="Style Heading 2 + Before:  0 pt After:  0 pt Line spacing:  1.5 l..."/>
    <w:basedOn w:val="Heading2"/>
    <w:autoRedefine/>
    <w:rsid w:val="00716579"/>
    <w:pPr>
      <w:spacing w:after="0" w:line="360" w:lineRule="auto"/>
    </w:pPr>
    <w:rPr>
      <w:szCs w:val="20"/>
      <w:lang w:val="en-US"/>
    </w:rPr>
  </w:style>
  <w:style w:type="paragraph" w:customStyle="1" w:styleId="NCC-ACChaptertitle">
    <w:name w:val="NCC-AC Chapter title"/>
    <w:basedOn w:val="Numberedheading1"/>
    <w:next w:val="Normal"/>
    <w:autoRedefine/>
    <w:rsid w:val="00716579"/>
    <w:pPr>
      <w:tabs>
        <w:tab w:val="clear" w:pos="360"/>
        <w:tab w:val="left" w:pos="0"/>
      </w:tabs>
      <w:spacing w:after="0"/>
    </w:pPr>
    <w:rPr>
      <w:rFonts w:ascii="Tw Cen MT" w:hAnsi="Tw Cen MT"/>
      <w:sz w:val="36"/>
    </w:rPr>
  </w:style>
  <w:style w:type="paragraph" w:customStyle="1" w:styleId="StyleNCC-ACChaptertitleArial18pt">
    <w:name w:val="Style NCC-AC Chapter title + Arial 18 pt"/>
    <w:basedOn w:val="NCC-ACChaptertitle"/>
    <w:autoRedefine/>
    <w:rsid w:val="00716579"/>
    <w:pPr>
      <w:tabs>
        <w:tab w:val="clear" w:pos="0"/>
        <w:tab w:val="left" w:pos="567"/>
        <w:tab w:val="num" w:pos="1134"/>
      </w:tabs>
      <w:spacing w:before="2160" w:after="600" w:line="360" w:lineRule="auto"/>
    </w:pPr>
    <w:rPr>
      <w:rFonts w:ascii="Arial" w:hAnsi="Arial"/>
      <w:szCs w:val="36"/>
    </w:rPr>
  </w:style>
  <w:style w:type="paragraph" w:customStyle="1" w:styleId="Numberedheading4">
    <w:name w:val="Numbered heading 4"/>
    <w:basedOn w:val="Heading4"/>
    <w:next w:val="Normal"/>
    <w:autoRedefine/>
    <w:rsid w:val="00716579"/>
    <w:pPr>
      <w:numPr>
        <w:ilvl w:val="3"/>
        <w:numId w:val="8"/>
      </w:numPr>
    </w:pPr>
    <w:rPr>
      <w:b w:val="0"/>
    </w:rPr>
  </w:style>
  <w:style w:type="numbering" w:customStyle="1" w:styleId="NiceNumbering">
    <w:name w:val="Nice Numbering"/>
    <w:rsid w:val="00716579"/>
    <w:pPr>
      <w:numPr>
        <w:numId w:val="8"/>
      </w:numPr>
    </w:pPr>
  </w:style>
  <w:style w:type="character" w:customStyle="1" w:styleId="FootnoteTextChar1">
    <w:name w:val="Footnote Text Char1"/>
    <w:link w:val="FootnoteText"/>
    <w:semiHidden/>
    <w:rsid w:val="00716579"/>
    <w:rPr>
      <w:rFonts w:ascii="Arial" w:hAnsi="Arial"/>
      <w:kern w:val="2"/>
      <w:lang w:eastAsia="en-US"/>
      <w14:ligatures w14:val="standardContextual"/>
    </w:rPr>
  </w:style>
  <w:style w:type="table" w:styleId="TableGrid">
    <w:name w:val="Table Grid"/>
    <w:basedOn w:val="TableNormal"/>
    <w:rsid w:val="0071657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ontpageguidanceno">
    <w:name w:val="Front page guidance no"/>
    <w:basedOn w:val="Normal"/>
    <w:rsid w:val="00716579"/>
    <w:rPr>
      <w:rFonts w:ascii="Arial" w:hAnsi="Arial" w:cs="Arial"/>
      <w:color w:val="FFFFFF"/>
      <w:sz w:val="32"/>
      <w:szCs w:val="32"/>
    </w:rPr>
  </w:style>
  <w:style w:type="paragraph" w:customStyle="1" w:styleId="Default">
    <w:name w:val="Default"/>
    <w:rsid w:val="00716579"/>
    <w:pPr>
      <w:autoSpaceDE w:val="0"/>
      <w:autoSpaceDN w:val="0"/>
      <w:adjustRightInd w:val="0"/>
    </w:pPr>
    <w:rPr>
      <w:rFonts w:eastAsia="Times New Roman" w:cs="Calibri"/>
      <w:color w:val="000000"/>
    </w:rPr>
  </w:style>
  <w:style w:type="paragraph" w:customStyle="1" w:styleId="PGDNormal">
    <w:name w:val="PGD Normal"/>
    <w:basedOn w:val="NICEnormal"/>
    <w:rsid w:val="00716579"/>
    <w:pPr>
      <w:spacing w:line="240" w:lineRule="auto"/>
    </w:pPr>
    <w:rPr>
      <w:sz w:val="22"/>
    </w:rPr>
  </w:style>
  <w:style w:type="paragraph" w:customStyle="1" w:styleId="TabletextIPoverviewevidence">
    <w:name w:val="Table text IP overview evidence"/>
    <w:basedOn w:val="Tabletext"/>
    <w:rsid w:val="00716579"/>
    <w:rPr>
      <w:sz w:val="18"/>
    </w:rPr>
  </w:style>
  <w:style w:type="character" w:customStyle="1" w:styleId="Heading5Char">
    <w:name w:val="Heading 5 Char"/>
    <w:link w:val="Heading5"/>
    <w:uiPriority w:val="9"/>
    <w:rsid w:val="00716579"/>
    <w:rPr>
      <w:rFonts w:ascii="Cambria" w:eastAsiaTheme="minorHAnsi" w:hAnsi="Cambria"/>
      <w:b/>
      <w:bCs/>
      <w:color w:val="7F7F7F"/>
      <w:kern w:val="2"/>
      <w:lang w:eastAsia="en-US"/>
      <w14:ligatures w14:val="standardContextual"/>
    </w:rPr>
  </w:style>
  <w:style w:type="character" w:customStyle="1" w:styleId="Heading7Char">
    <w:name w:val="Heading 7 Char"/>
    <w:link w:val="Heading7"/>
    <w:uiPriority w:val="9"/>
    <w:rsid w:val="00716579"/>
    <w:rPr>
      <w:rFonts w:ascii="Cambria" w:eastAsiaTheme="minorHAnsi" w:hAnsi="Cambria"/>
      <w:i/>
      <w:iCs/>
      <w:kern w:val="2"/>
      <w:lang w:eastAsia="en-US"/>
      <w14:ligatures w14:val="standardContextual"/>
    </w:rPr>
  </w:style>
  <w:style w:type="character" w:customStyle="1" w:styleId="Heading8Char">
    <w:name w:val="Heading 8 Char"/>
    <w:link w:val="Heading8"/>
    <w:uiPriority w:val="9"/>
    <w:rsid w:val="00716579"/>
    <w:rPr>
      <w:rFonts w:ascii="Cambria" w:eastAsiaTheme="minorHAnsi" w:hAnsi="Cambria"/>
      <w:kern w:val="2"/>
      <w:lang w:eastAsia="en-US"/>
      <w14:ligatures w14:val="standardContextual"/>
    </w:rPr>
  </w:style>
  <w:style w:type="character" w:customStyle="1" w:styleId="Heading9Char">
    <w:name w:val="Heading 9 Char"/>
    <w:link w:val="Heading9"/>
    <w:uiPriority w:val="9"/>
    <w:rsid w:val="00716579"/>
    <w:rPr>
      <w:rFonts w:ascii="Cambria" w:eastAsiaTheme="minorHAnsi" w:hAnsi="Cambria"/>
      <w:i/>
      <w:iCs/>
      <w:spacing w:val="5"/>
      <w:kern w:val="2"/>
      <w:lang w:eastAsia="en-US"/>
      <w14:ligatures w14:val="standardContextual"/>
    </w:rPr>
  </w:style>
  <w:style w:type="character" w:customStyle="1" w:styleId="Heading6Char">
    <w:name w:val="Heading 6 Char"/>
    <w:link w:val="Heading6"/>
    <w:uiPriority w:val="9"/>
    <w:rsid w:val="00716579"/>
    <w:rPr>
      <w:rFonts w:ascii="Cambria" w:eastAsiaTheme="minorHAnsi" w:hAnsi="Cambria"/>
      <w:b/>
      <w:bCs/>
      <w:i/>
      <w:iCs/>
      <w:color w:val="7F7F7F"/>
      <w:kern w:val="2"/>
      <w:lang w:eastAsia="en-US"/>
      <w14:ligatures w14:val="standardContextual"/>
    </w:rPr>
  </w:style>
  <w:style w:type="paragraph" w:styleId="Subtitle">
    <w:name w:val="Subtitle"/>
    <w:basedOn w:val="Normal"/>
    <w:next w:val="Normal"/>
    <w:link w:val="SubtitleChar"/>
    <w:uiPriority w:val="11"/>
    <w:qFormat/>
    <w:rsid w:val="00716579"/>
    <w:pPr>
      <w:spacing w:after="600"/>
    </w:pPr>
    <w:rPr>
      <w:rFonts w:ascii="Cambria" w:hAnsi="Cambria"/>
      <w:i/>
      <w:iCs/>
      <w:spacing w:val="13"/>
    </w:rPr>
  </w:style>
  <w:style w:type="character" w:customStyle="1" w:styleId="SubtitleChar">
    <w:name w:val="Subtitle Char"/>
    <w:link w:val="Subtitle"/>
    <w:uiPriority w:val="11"/>
    <w:rsid w:val="00716579"/>
    <w:rPr>
      <w:rFonts w:ascii="Cambria" w:eastAsiaTheme="minorHAnsi" w:hAnsi="Cambria"/>
      <w:i/>
      <w:iCs/>
      <w:spacing w:val="13"/>
      <w:kern w:val="2"/>
      <w:lang w:eastAsia="en-US"/>
      <w14:ligatures w14:val="standardContextual"/>
    </w:rPr>
  </w:style>
  <w:style w:type="character" w:styleId="Strong">
    <w:name w:val="Strong"/>
    <w:uiPriority w:val="22"/>
    <w:qFormat/>
    <w:rsid w:val="00716579"/>
    <w:rPr>
      <w:b/>
      <w:bCs/>
    </w:rPr>
  </w:style>
  <w:style w:type="character" w:styleId="Emphasis">
    <w:name w:val="Emphasis"/>
    <w:uiPriority w:val="20"/>
    <w:qFormat/>
    <w:rsid w:val="00716579"/>
    <w:rPr>
      <w:b/>
      <w:bCs/>
      <w:i/>
      <w:iCs/>
      <w:spacing w:val="10"/>
      <w:bdr w:val="none" w:sz="0" w:space="0" w:color="auto"/>
      <w:shd w:val="clear" w:color="auto" w:fill="auto"/>
    </w:rPr>
  </w:style>
  <w:style w:type="paragraph" w:styleId="NoSpacing">
    <w:name w:val="No Spacing"/>
    <w:basedOn w:val="Normal"/>
    <w:uiPriority w:val="1"/>
    <w:qFormat/>
    <w:rsid w:val="00716579"/>
    <w:rPr>
      <w:rFonts w:eastAsia="Calibri"/>
    </w:rPr>
  </w:style>
  <w:style w:type="paragraph" w:styleId="Quote">
    <w:name w:val="Quote"/>
    <w:basedOn w:val="Normal"/>
    <w:next w:val="Normal"/>
    <w:link w:val="QuoteChar"/>
    <w:uiPriority w:val="29"/>
    <w:qFormat/>
    <w:rsid w:val="00716579"/>
    <w:pPr>
      <w:spacing w:before="200"/>
      <w:ind w:left="360" w:right="360"/>
    </w:pPr>
    <w:rPr>
      <w:i/>
      <w:iCs/>
    </w:rPr>
  </w:style>
  <w:style w:type="character" w:customStyle="1" w:styleId="QuoteChar">
    <w:name w:val="Quote Char"/>
    <w:link w:val="Quote"/>
    <w:uiPriority w:val="29"/>
    <w:rsid w:val="00716579"/>
    <w:rPr>
      <w:rFonts w:eastAsiaTheme="minorHAnsi"/>
      <w:i/>
      <w:iCs/>
      <w:kern w:val="2"/>
      <w:lang w:eastAsia="en-US"/>
      <w14:ligatures w14:val="standardContextual"/>
    </w:rPr>
  </w:style>
  <w:style w:type="paragraph" w:styleId="IntenseQuote">
    <w:name w:val="Intense Quote"/>
    <w:basedOn w:val="Normal"/>
    <w:next w:val="Normal"/>
    <w:link w:val="IntenseQuoteChar"/>
    <w:uiPriority w:val="30"/>
    <w:qFormat/>
    <w:rsid w:val="00716579"/>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716579"/>
    <w:rPr>
      <w:rFonts w:eastAsiaTheme="minorHAnsi"/>
      <w:b/>
      <w:bCs/>
      <w:i/>
      <w:iCs/>
      <w:kern w:val="2"/>
      <w:lang w:eastAsia="en-US"/>
      <w14:ligatures w14:val="standardContextual"/>
    </w:rPr>
  </w:style>
  <w:style w:type="character" w:styleId="SubtleEmphasis">
    <w:name w:val="Subtle Emphasis"/>
    <w:uiPriority w:val="19"/>
    <w:qFormat/>
    <w:rsid w:val="00716579"/>
    <w:rPr>
      <w:i/>
      <w:iCs/>
    </w:rPr>
  </w:style>
  <w:style w:type="character" w:styleId="IntenseEmphasis">
    <w:name w:val="Intense Emphasis"/>
    <w:uiPriority w:val="21"/>
    <w:qFormat/>
    <w:rsid w:val="00716579"/>
    <w:rPr>
      <w:b/>
      <w:bCs/>
    </w:rPr>
  </w:style>
  <w:style w:type="character" w:styleId="SubtleReference">
    <w:name w:val="Subtle Reference"/>
    <w:uiPriority w:val="31"/>
    <w:qFormat/>
    <w:rsid w:val="00716579"/>
    <w:rPr>
      <w:smallCaps/>
    </w:rPr>
  </w:style>
  <w:style w:type="character" w:styleId="IntenseReference">
    <w:name w:val="Intense Reference"/>
    <w:uiPriority w:val="32"/>
    <w:qFormat/>
    <w:rsid w:val="00716579"/>
    <w:rPr>
      <w:smallCaps/>
      <w:spacing w:val="5"/>
      <w:u w:val="single"/>
    </w:rPr>
  </w:style>
  <w:style w:type="character" w:styleId="BookTitle">
    <w:name w:val="Book Title"/>
    <w:uiPriority w:val="33"/>
    <w:qFormat/>
    <w:rsid w:val="00716579"/>
    <w:rPr>
      <w:i/>
      <w:iCs/>
      <w:smallCaps/>
      <w:spacing w:val="5"/>
    </w:rPr>
  </w:style>
  <w:style w:type="paragraph" w:customStyle="1" w:styleId="NICETitle2">
    <w:name w:val="NICE Title 2"/>
    <w:basedOn w:val="Normal"/>
    <w:qFormat/>
    <w:rsid w:val="00716579"/>
    <w:pPr>
      <w:keepNext/>
      <w:spacing w:before="240" w:after="240"/>
      <w:jc w:val="center"/>
      <w:outlineLvl w:val="0"/>
    </w:pPr>
    <w:rPr>
      <w:rFonts w:ascii="Arial" w:hAnsi="Arial" w:cs="Arial"/>
      <w:b/>
      <w:bCs/>
      <w:color w:val="282828"/>
      <w:kern w:val="28"/>
      <w:sz w:val="32"/>
      <w:szCs w:val="32"/>
    </w:rPr>
  </w:style>
  <w:style w:type="character" w:customStyle="1" w:styleId="acicollapsed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716579"/>
    <w:pPr>
      <w:spacing w:after="120" w:line="480" w:lineRule="auto"/>
    </w:pPr>
  </w:style>
  <w:style w:type="character" w:customStyle="1" w:styleId="BodyText2Char">
    <w:name w:val="Body Text 2 Char"/>
    <w:link w:val="BodyText2"/>
    <w:uiPriority w:val="99"/>
    <w:semiHidden/>
    <w:rsid w:val="00716579"/>
    <w:rPr>
      <w:rFonts w:eastAsiaTheme="minorHAnsi"/>
      <w:kern w:val="2"/>
      <w:lang w:eastAsia="en-US"/>
      <w14:ligatures w14:val="standardContextual"/>
    </w:rPr>
  </w:style>
  <w:style w:type="character" w:styleId="UnresolvedMention">
    <w:name w:val="Unresolved Mention"/>
    <w:uiPriority w:val="99"/>
    <w:semiHidden/>
    <w:unhideWhenUsed/>
    <w:rsid w:val="00716579"/>
    <w:rPr>
      <w:color w:val="605E5C"/>
      <w:shd w:val="clear" w:color="auto" w:fill="E1DFDD"/>
    </w:rPr>
  </w:style>
  <w:style w:type="paragraph" w:customStyle="1" w:styleId="PGDTitle2">
    <w:name w:val="PGD Title 2"/>
    <w:basedOn w:val="Normal"/>
    <w:rsid w:val="00716579"/>
    <w:pPr>
      <w:jc w:val="center"/>
    </w:pPr>
    <w:rPr>
      <w:rFonts w:ascii="Arial" w:hAnsi="Arial"/>
      <w:b/>
      <w:sz w:val="36"/>
      <w:szCs w:val="36"/>
    </w:rPr>
  </w:style>
  <w:style w:type="paragraph" w:customStyle="1" w:styleId="PGDTitle1">
    <w:name w:val="PGD Title 1"/>
    <w:basedOn w:val="Normal"/>
    <w:rsid w:val="00716579"/>
    <w:pPr>
      <w:jc w:val="center"/>
    </w:pPr>
    <w:rPr>
      <w:rFonts w:ascii="Arial" w:hAnsi="Arial"/>
      <w:b/>
      <w:bCs/>
      <w:sz w:val="44"/>
    </w:rPr>
  </w:style>
  <w:style w:type="character" w:customStyle="1" w:styleId="PGDVersionNumber">
    <w:name w:val="PGD Version Number"/>
    <w:basedOn w:val="DefaultParagraphFont"/>
    <w:qFormat/>
    <w:rsid w:val="00716579"/>
    <w:rPr>
      <w:rFonts w:ascii="Arial" w:hAnsi="Arial"/>
      <w:sz w:val="28"/>
    </w:rPr>
  </w:style>
  <w:style w:type="paragraph" w:customStyle="1" w:styleId="TableHeaderRow">
    <w:name w:val="Table Header Row"/>
    <w:basedOn w:val="Normal"/>
    <w:rsid w:val="00716579"/>
    <w:rPr>
      <w:rFonts w:ascii="Arial" w:hAnsi="Arial"/>
      <w:b/>
      <w:bCs/>
    </w:rPr>
  </w:style>
  <w:style w:type="character" w:customStyle="1" w:styleId="PGDNormalBold">
    <w:name w:val="PGD Normal Bold"/>
    <w:basedOn w:val="DefaultParagraphFont"/>
    <w:rsid w:val="00716579"/>
    <w:rPr>
      <w:rFonts w:ascii="Arial" w:hAnsi="Arial"/>
      <w:b/>
      <w:bCs/>
    </w:rPr>
  </w:style>
  <w:style w:type="character" w:customStyle="1" w:styleId="TableHeaderColumn">
    <w:name w:val="Table Header Column"/>
    <w:basedOn w:val="DefaultParagraphFont"/>
    <w:rsid w:val="00716579"/>
    <w:rPr>
      <w:rFonts w:ascii="Arial" w:hAnsi="Arial"/>
      <w:b/>
      <w:bCs/>
      <w:sz w:val="20"/>
    </w:rPr>
  </w:style>
  <w:style w:type="paragraph" w:customStyle="1" w:styleId="Title1">
    <w:name w:val="Title 1"/>
    <w:basedOn w:val="Title"/>
    <w:qFormat/>
    <w:rsid w:val="00716579"/>
    <w:rPr>
      <w:rFonts w:ascii="Arial" w:hAnsi="Arial" w:cs="Arial"/>
      <w:sz w:val="44"/>
      <w:szCs w:val="44"/>
    </w:rPr>
  </w:style>
  <w:style w:type="paragraph" w:customStyle="1" w:styleId="Title2">
    <w:name w:val="Title 2"/>
    <w:basedOn w:val="Title"/>
    <w:qFormat/>
    <w:rsid w:val="00716579"/>
    <w:rPr>
      <w:rFonts w:ascii="Arial" w:hAnsi="Arial" w:cs="Arial"/>
      <w:sz w:val="40"/>
      <w:szCs w:val="40"/>
    </w:rPr>
  </w:style>
  <w:style w:type="paragraph" w:customStyle="1" w:styleId="PGDHeading2">
    <w:name w:val="PGD Heading 2"/>
    <w:basedOn w:val="Heading2"/>
    <w:qFormat/>
    <w:rsid w:val="00716579"/>
    <w:rPr>
      <w:rFonts w:ascii="Arial" w:hAnsi="Arial" w:cs="Arial"/>
      <w:color w:val="auto"/>
      <w:sz w:val="28"/>
      <w:szCs w:val="28"/>
    </w:rPr>
  </w:style>
  <w:style w:type="table" w:customStyle="1" w:styleId="Tableheading">
    <w:name w:val="Table heading"/>
    <w:basedOn w:val="TableNormal"/>
    <w:uiPriority w:val="99"/>
    <w:rsid w:val="00716579"/>
    <w:rPr>
      <w:rFonts w:ascii="Arial" w:eastAsiaTheme="minorHAnsi" w:hAnsi="Arial"/>
      <w:b/>
      <w:color w:val="000000" w:themeColor="text1"/>
      <w:kern w:val="2"/>
      <w:szCs w:val="22"/>
      <w:lang w:eastAsia="en-US"/>
      <w14:ligatures w14:val="standardContextual"/>
    </w:rPr>
    <w:tblPr/>
    <w:tcPr>
      <w:shd w:val="clear" w:color="auto" w:fill="FFFFFF" w:themeFill="background1"/>
    </w:tcPr>
    <w:tblStylePr w:type="firstRow">
      <w:rPr>
        <w:rFonts w:ascii="Arial" w:hAnsi="Arial"/>
        <w:b/>
        <w:sz w:val="24"/>
      </w:rPr>
    </w:tblStylePr>
  </w:style>
  <w:style w:type="paragraph" w:customStyle="1" w:styleId="NICEnormalsinglespacing">
    <w:name w:val="NICE normal single spacing"/>
    <w:basedOn w:val="NICEnormal"/>
    <w:rsid w:val="00716579"/>
    <w:pPr>
      <w:spacing w:line="240" w:lineRule="auto"/>
    </w:pPr>
  </w:style>
  <w:style w:type="paragraph" w:customStyle="1" w:styleId="PGDtablebullet0">
    <w:name w:val="PGD table bullet"/>
    <w:basedOn w:val="Normal"/>
    <w:rsid w:val="00716579"/>
    <w:rPr>
      <w:rFonts w:ascii="Arial" w:eastAsia="Times New Roman" w:hAnsi="Arial"/>
    </w:rPr>
  </w:style>
  <w:style w:type="numbering" w:customStyle="1" w:styleId="PGDTableBullet">
    <w:name w:val="PGD Table Bullet"/>
    <w:basedOn w:val="NoList"/>
    <w:uiPriority w:val="99"/>
    <w:rsid w:val="00716579"/>
    <w:pPr>
      <w:numPr>
        <w:numId w:val="10"/>
      </w:numPr>
    </w:pPr>
  </w:style>
  <w:style w:type="paragraph" w:customStyle="1" w:styleId="StyleLatinArialAfter0ptLinespacingsingle">
    <w:name w:val="Style (Latin) Arial After:  0 pt Line spacing:  single"/>
    <w:basedOn w:val="Normal"/>
    <w:rsid w:val="00716579"/>
    <w:rPr>
      <w:rFonts w:ascii="Arial" w:eastAsia="Times New Roman" w:hAnsi="Arial"/>
    </w:rPr>
  </w:style>
  <w:style w:type="paragraph" w:customStyle="1" w:styleId="PGDlogo">
    <w:name w:val="PGD logo"/>
    <w:basedOn w:val="NICEnormal"/>
    <w:rsid w:val="00716579"/>
    <w:pPr>
      <w:jc w:val="right"/>
    </w:pPr>
  </w:style>
  <w:style w:type="paragraph" w:customStyle="1" w:styleId="PGDLogo0">
    <w:name w:val="PGD Logo"/>
    <w:basedOn w:val="PGDNormal"/>
    <w:rsid w:val="00716579"/>
    <w:pPr>
      <w:jc w:val="right"/>
    </w:pPr>
  </w:style>
  <w:style w:type="paragraph" w:customStyle="1" w:styleId="PGDVersion">
    <w:name w:val="PGD Version"/>
    <w:basedOn w:val="Normal"/>
    <w:rsid w:val="00716579"/>
    <w:pPr>
      <w:jc w:val="center"/>
    </w:pPr>
    <w:rPr>
      <w:rFonts w:ascii="Arial" w:eastAsia="Times New Roman" w:hAnsi="Arial"/>
      <w:sz w:val="28"/>
    </w:rPr>
  </w:style>
  <w:style w:type="numbering" w:customStyle="1" w:styleId="PGDtablebullet2">
    <w:name w:val="PGD table bullet 2"/>
    <w:basedOn w:val="NoList"/>
    <w:rsid w:val="00716579"/>
    <w:pPr>
      <w:numPr>
        <w:numId w:val="12"/>
      </w:numPr>
    </w:pPr>
  </w:style>
  <w:style w:type="numbering" w:customStyle="1" w:styleId="PGDbullet2">
    <w:name w:val="PGD bullet 2"/>
    <w:basedOn w:val="NoList"/>
    <w:rsid w:val="00716579"/>
    <w:pPr>
      <w:numPr>
        <w:numId w:val="13"/>
      </w:numPr>
    </w:pPr>
  </w:style>
  <w:style w:type="numbering" w:customStyle="1" w:styleId="PGDtablebullet1">
    <w:name w:val="PGD table bullet 1"/>
    <w:basedOn w:val="NoList"/>
    <w:rsid w:val="00716579"/>
    <w:pPr>
      <w:numPr>
        <w:numId w:val="14"/>
      </w:numPr>
    </w:pPr>
  </w:style>
  <w:style w:type="character" w:customStyle="1" w:styleId="BodyTextChar">
    <w:name w:val="Body Text Char"/>
    <w:basedOn w:val="DefaultParagraphFont"/>
    <w:link w:val="BodyText"/>
    <w:rsid w:val="00716579"/>
    <w:rPr>
      <w:rFonts w:eastAsiaTheme="minorHAnsi"/>
      <w:kern w:val="2"/>
      <w:lang w:eastAsia="en-US"/>
      <w14:ligatures w14:val="standardContextual"/>
    </w:rPr>
  </w:style>
  <w:style w:type="character" w:customStyle="1" w:styleId="CommentTextChar1">
    <w:name w:val="Comment Text Char1"/>
    <w:basedOn w:val="DefaultParagraphFont"/>
    <w:link w:val="CommentText"/>
    <w:uiPriority w:val="99"/>
    <w:rsid w:val="00716579"/>
    <w:rPr>
      <w:rFonts w:eastAsiaTheme="minorHAnsi"/>
      <w:kern w:val="2"/>
      <w:lang w:eastAsia="en-US"/>
      <w14:ligatures w14:val="standardContextual"/>
    </w:rPr>
  </w:style>
  <w:style w:type="character" w:customStyle="1" w:styleId="EndnoteTextChar1">
    <w:name w:val="Endnote Text Char1"/>
    <w:basedOn w:val="DefaultParagraphFont"/>
    <w:link w:val="EndnoteText"/>
    <w:semiHidden/>
    <w:rsid w:val="00716579"/>
    <w:rPr>
      <w:rFonts w:eastAsiaTheme="minorHAnsi"/>
      <w:kern w:val="2"/>
      <w:lang w:eastAsia="en-US"/>
      <w14:ligatures w14:val="standardContextual"/>
    </w:rPr>
  </w:style>
  <w:style w:type="character" w:customStyle="1" w:styleId="CommentSubjectChar1">
    <w:name w:val="Comment Subject Char1"/>
    <w:basedOn w:val="CommentTextChar1"/>
    <w:link w:val="CommentSubject"/>
    <w:semiHidden/>
    <w:rsid w:val="00716579"/>
    <w:rPr>
      <w:rFonts w:eastAsiaTheme="minorHAnsi"/>
      <w:b/>
      <w:bCs/>
      <w:kern w:val="2"/>
      <w:lang w:eastAsia="en-US"/>
      <w14:ligatures w14:val="standardContextual"/>
    </w:rPr>
  </w:style>
  <w:style w:type="paragraph" w:customStyle="1" w:styleId="TableParagraph">
    <w:name w:val="Table Paragraph"/>
    <w:basedOn w:val="Normal"/>
    <w:uiPriority w:val="1"/>
    <w:qFormat/>
    <w:rsid w:val="007A2202"/>
    <w:pPr>
      <w:widowControl w:val="0"/>
    </w:pPr>
    <w:rPr>
      <w:rFonts w:eastAsia="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06161">
      <w:bodyDiv w:val="1"/>
      <w:marLeft w:val="0"/>
      <w:marRight w:val="0"/>
      <w:marTop w:val="0"/>
      <w:marBottom w:val="0"/>
      <w:divBdr>
        <w:top w:val="none" w:sz="0" w:space="0" w:color="auto"/>
        <w:left w:val="none" w:sz="0" w:space="0" w:color="auto"/>
        <w:bottom w:val="none" w:sz="0" w:space="0" w:color="auto"/>
        <w:right w:val="none" w:sz="0" w:space="0" w:color="auto"/>
      </w:divBdr>
    </w:div>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126437074">
      <w:bodyDiv w:val="1"/>
      <w:marLeft w:val="0"/>
      <w:marRight w:val="0"/>
      <w:marTop w:val="0"/>
      <w:marBottom w:val="0"/>
      <w:divBdr>
        <w:top w:val="none" w:sz="0" w:space="0" w:color="auto"/>
        <w:left w:val="none" w:sz="0" w:space="0" w:color="auto"/>
        <w:bottom w:val="none" w:sz="0" w:space="0" w:color="auto"/>
        <w:right w:val="none" w:sz="0" w:space="0" w:color="auto"/>
      </w:divBdr>
    </w:div>
    <w:div w:id="139269848">
      <w:bodyDiv w:val="1"/>
      <w:marLeft w:val="0"/>
      <w:marRight w:val="0"/>
      <w:marTop w:val="0"/>
      <w:marBottom w:val="0"/>
      <w:divBdr>
        <w:top w:val="none" w:sz="0" w:space="0" w:color="auto"/>
        <w:left w:val="none" w:sz="0" w:space="0" w:color="auto"/>
        <w:bottom w:val="none" w:sz="0" w:space="0" w:color="auto"/>
        <w:right w:val="none" w:sz="0" w:space="0" w:color="auto"/>
      </w:divBdr>
    </w:div>
    <w:div w:id="216596777">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317732247">
      <w:bodyDiv w:val="1"/>
      <w:marLeft w:val="0"/>
      <w:marRight w:val="0"/>
      <w:marTop w:val="0"/>
      <w:marBottom w:val="0"/>
      <w:divBdr>
        <w:top w:val="none" w:sz="0" w:space="0" w:color="auto"/>
        <w:left w:val="none" w:sz="0" w:space="0" w:color="auto"/>
        <w:bottom w:val="none" w:sz="0" w:space="0" w:color="auto"/>
        <w:right w:val="none" w:sz="0" w:space="0" w:color="auto"/>
      </w:divBdr>
    </w:div>
    <w:div w:id="416172745">
      <w:bodyDiv w:val="1"/>
      <w:marLeft w:val="0"/>
      <w:marRight w:val="0"/>
      <w:marTop w:val="0"/>
      <w:marBottom w:val="0"/>
      <w:divBdr>
        <w:top w:val="none" w:sz="0" w:space="0" w:color="auto"/>
        <w:left w:val="none" w:sz="0" w:space="0" w:color="auto"/>
        <w:bottom w:val="none" w:sz="0" w:space="0" w:color="auto"/>
        <w:right w:val="none" w:sz="0" w:space="0" w:color="auto"/>
      </w:divBdr>
    </w:div>
    <w:div w:id="439642201">
      <w:bodyDiv w:val="1"/>
      <w:marLeft w:val="0"/>
      <w:marRight w:val="0"/>
      <w:marTop w:val="0"/>
      <w:marBottom w:val="0"/>
      <w:divBdr>
        <w:top w:val="none" w:sz="0" w:space="0" w:color="auto"/>
        <w:left w:val="none" w:sz="0" w:space="0" w:color="auto"/>
        <w:bottom w:val="none" w:sz="0" w:space="0" w:color="auto"/>
        <w:right w:val="none" w:sz="0" w:space="0" w:color="auto"/>
      </w:divBdr>
    </w:div>
    <w:div w:id="569465316">
      <w:bodyDiv w:val="1"/>
      <w:marLeft w:val="0"/>
      <w:marRight w:val="0"/>
      <w:marTop w:val="0"/>
      <w:marBottom w:val="0"/>
      <w:divBdr>
        <w:top w:val="none" w:sz="0" w:space="0" w:color="auto"/>
        <w:left w:val="none" w:sz="0" w:space="0" w:color="auto"/>
        <w:bottom w:val="none" w:sz="0" w:space="0" w:color="auto"/>
        <w:right w:val="none" w:sz="0" w:space="0" w:color="auto"/>
      </w:divBdr>
    </w:div>
    <w:div w:id="612789887">
      <w:bodyDiv w:val="1"/>
      <w:marLeft w:val="0"/>
      <w:marRight w:val="0"/>
      <w:marTop w:val="0"/>
      <w:marBottom w:val="0"/>
      <w:divBdr>
        <w:top w:val="none" w:sz="0" w:space="0" w:color="auto"/>
        <w:left w:val="none" w:sz="0" w:space="0" w:color="auto"/>
        <w:bottom w:val="none" w:sz="0" w:space="0" w:color="auto"/>
        <w:right w:val="none" w:sz="0" w:space="0" w:color="auto"/>
      </w:divBdr>
    </w:div>
    <w:div w:id="1201354511">
      <w:bodyDiv w:val="1"/>
      <w:marLeft w:val="0"/>
      <w:marRight w:val="0"/>
      <w:marTop w:val="0"/>
      <w:marBottom w:val="0"/>
      <w:divBdr>
        <w:top w:val="none" w:sz="0" w:space="0" w:color="auto"/>
        <w:left w:val="none" w:sz="0" w:space="0" w:color="auto"/>
        <w:bottom w:val="none" w:sz="0" w:space="0" w:color="auto"/>
        <w:right w:val="none" w:sz="0" w:space="0" w:color="auto"/>
      </w:divBdr>
    </w:div>
    <w:div w:id="1432387166">
      <w:bodyDiv w:val="1"/>
      <w:marLeft w:val="0"/>
      <w:marRight w:val="0"/>
      <w:marTop w:val="0"/>
      <w:marBottom w:val="0"/>
      <w:divBdr>
        <w:top w:val="none" w:sz="0" w:space="0" w:color="auto"/>
        <w:left w:val="none" w:sz="0" w:space="0" w:color="auto"/>
        <w:bottom w:val="none" w:sz="0" w:space="0" w:color="auto"/>
        <w:right w:val="none" w:sz="0" w:space="0" w:color="auto"/>
      </w:divBdr>
    </w:div>
    <w:div w:id="1548638943">
      <w:bodyDiv w:val="1"/>
      <w:marLeft w:val="0"/>
      <w:marRight w:val="0"/>
      <w:marTop w:val="0"/>
      <w:marBottom w:val="0"/>
      <w:divBdr>
        <w:top w:val="none" w:sz="0" w:space="0" w:color="auto"/>
        <w:left w:val="none" w:sz="0" w:space="0" w:color="auto"/>
        <w:bottom w:val="none" w:sz="0" w:space="0" w:color="auto"/>
        <w:right w:val="none" w:sz="0" w:space="0" w:color="auto"/>
      </w:divBdr>
    </w:div>
    <w:div w:id="1550611600">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733501843">
      <w:bodyDiv w:val="1"/>
      <w:marLeft w:val="0"/>
      <w:marRight w:val="0"/>
      <w:marTop w:val="0"/>
      <w:marBottom w:val="0"/>
      <w:divBdr>
        <w:top w:val="none" w:sz="0" w:space="0" w:color="auto"/>
        <w:left w:val="none" w:sz="0" w:space="0" w:color="auto"/>
        <w:bottom w:val="none" w:sz="0" w:space="0" w:color="auto"/>
        <w:right w:val="none" w:sz="0" w:space="0" w:color="auto"/>
      </w:divBdr>
    </w:div>
    <w:div w:id="1745058795">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 w:id="2069918749">
      <w:bodyDiv w:val="1"/>
      <w:marLeft w:val="0"/>
      <w:marRight w:val="0"/>
      <w:marTop w:val="0"/>
      <w:marBottom w:val="0"/>
      <w:divBdr>
        <w:top w:val="none" w:sz="0" w:space="0" w:color="auto"/>
        <w:left w:val="none" w:sz="0" w:space="0" w:color="auto"/>
        <w:bottom w:val="none" w:sz="0" w:space="0" w:color="auto"/>
        <w:right w:val="none" w:sz="0" w:space="0" w:color="auto"/>
      </w:divBdr>
    </w:div>
    <w:div w:id="21360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ice.org.uk/Guidance/MPG2" TargetMode="External"/><Relationship Id="rId18" Type="http://schemas.openxmlformats.org/officeDocument/2006/relationships/hyperlink" Target="https://www.bashh.org/_userfiles/pages/files/morrisetal2025britishassociationforsexualhealthandhivnationalguidelineonthemanagementofscabiesin_1.pdf" TargetMode="External"/><Relationship Id="rId26" Type="http://schemas.openxmlformats.org/officeDocument/2006/relationships/hyperlink" Target="https://www.medicines.org.uk/emc/search?q=permethrin" TargetMode="External"/><Relationship Id="rId39" Type="http://schemas.openxmlformats.org/officeDocument/2006/relationships/hyperlink" Target="https://dermnetnz.org/topics/scabies" TargetMode="External"/><Relationship Id="rId21" Type="http://schemas.openxmlformats.org/officeDocument/2006/relationships/hyperlink" Target="https://www.bashh.org/_userfiles/pages/files/morrisetal2025britishassociationforsexualhealthandhivnationalguidelineonthemanagementofscabiesin_1.pdf" TargetMode="External"/><Relationship Id="rId34" Type="http://schemas.openxmlformats.org/officeDocument/2006/relationships/hyperlink" Target="https://www.pharmaceuticalpress.com/bnf-and-bnfc/" TargetMode="External"/><Relationship Id="rId42" Type="http://schemas.openxmlformats.org/officeDocument/2006/relationships/hyperlink" Target="file://rlbuht.lan/groups/MUS%20Team/Jo%20Jenkins/National%20PGDs/Workstreams/Sexual%20Health%20and%20Contraception/SH%20workstream/Scabies/NHS%20England%20&#194;" TargetMode="External"/><Relationship Id="rId47"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lfh.org.uk/programmes/patient-group-directions/" TargetMode="External"/><Relationship Id="rId29" Type="http://schemas.openxmlformats.org/officeDocument/2006/relationships/hyperlink" Target="https://products.mhra.gov.uk/search/?search=malathion&amp;page=1" TargetMode="External"/><Relationship Id="rId11" Type="http://schemas.openxmlformats.org/officeDocument/2006/relationships/hyperlink" Target="https://www.nice.org.uk/guidance/mpg2/chapter/Recommendations" TargetMode="External"/><Relationship Id="rId24" Type="http://schemas.openxmlformats.org/officeDocument/2006/relationships/hyperlink" Target="https://products.mhra.gov.uk/search/?search=malathion&amp;page=1" TargetMode="External"/><Relationship Id="rId32" Type="http://schemas.openxmlformats.org/officeDocument/2006/relationships/hyperlink" Target="https://www.skinhealthinfo.org.uk/condition/scabies/" TargetMode="External"/><Relationship Id="rId37" Type="http://schemas.openxmlformats.org/officeDocument/2006/relationships/hyperlink" Target="https://cks.nice.org.uk/topics/scabies/" TargetMode="External"/><Relationship Id="rId40" Type="http://schemas.openxmlformats.org/officeDocument/2006/relationships/hyperlink" Target="https://www.pcds.org.uk/clinical-guidance/scabies" TargetMode="External"/><Relationship Id="rId45"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gbr01.safelinks.protection.outlook.com/?url=https%3A%2F%2Fwww.legislation.gov.uk%2Fuksi%2F2012%2F1916%2Fschedule%2F16&amp;data=05%7C02%7Ckieran.reynolds%40nhs.net%7C0ed82623dc9b48a24a4408ddfcec5553%7C37c354b285b047f5b22207b48d774ee3%7C0%7C0%7C638944814147993079%7CUnknown%7CTWFpbGZsb3d8eyJFbXB0eU1hcGkiOnRydWUsIlYiOiIwLjAuMDAwMCIsIlAiOiJXaW4zMiIsIkFOIjoiTWFpbCIsIldUIjoyfQ%3D%3D%7C0%7C%7C%7C&amp;sdata=hr%2BV0K6bbQjkoJYqWynfyb19lEe6%2FSgc95ydmdPg6vA%3D&amp;reserved=0" TargetMode="External"/><Relationship Id="rId23" Type="http://schemas.openxmlformats.org/officeDocument/2006/relationships/hyperlink" Target="https://www.medicines.org.uk/emc/search?q=permethrin" TargetMode="External"/><Relationship Id="rId28" Type="http://schemas.openxmlformats.org/officeDocument/2006/relationships/hyperlink" Target="https://www.medicines.org.uk/emc/search?q=permethrin" TargetMode="External"/><Relationship Id="rId36" Type="http://schemas.openxmlformats.org/officeDocument/2006/relationships/hyperlink" Target="https://www.nice.org.uk/guidance/mpg2"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ov.uk/government/publications/scabies-management-advice-for-health-professionals/ukhsa-guidance-on-the-management-of-scabies-cases-and-outbreaks-in-long-term-care-facilities-and-other-closed-settings" TargetMode="External"/><Relationship Id="rId31" Type="http://schemas.openxmlformats.org/officeDocument/2006/relationships/hyperlink" Target="https://yellowcard.mhra.gov.uk/"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ce.org.uk/guidance/mpg2/chapter/Recommendations" TargetMode="External"/><Relationship Id="rId22" Type="http://schemas.openxmlformats.org/officeDocument/2006/relationships/hyperlink" Target="https://products.mhra.gov.uk/search/?search=malathion&amp;page=1" TargetMode="External"/><Relationship Id="rId27" Type="http://schemas.openxmlformats.org/officeDocument/2006/relationships/hyperlink" Target="https://products.mhra.gov.uk/search/?search=malathion&amp;page=1" TargetMode="External"/><Relationship Id="rId30" Type="http://schemas.openxmlformats.org/officeDocument/2006/relationships/hyperlink" Target="http://www.bnf.org/" TargetMode="External"/><Relationship Id="rId35" Type="http://schemas.openxmlformats.org/officeDocument/2006/relationships/hyperlink" Target="https://products.mhra.gov.uk/search/?search=malathion&amp;page=1" TargetMode="External"/><Relationship Id="rId43" Type="http://schemas.openxmlformats.org/officeDocument/2006/relationships/hyperlink" Target="https://www.rpharms.com/making-a-difference/projects-and-campaigns/safe-and-secure-handling-of-medicines"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sps.nhs.uk/home/guidance/patient-group-directions/templates/" TargetMode="External"/><Relationship Id="rId17" Type="http://schemas.openxmlformats.org/officeDocument/2006/relationships/hyperlink" Target="https://www.nice.org.uk/guidance/mpg2/resources" TargetMode="External"/><Relationship Id="rId25" Type="http://schemas.openxmlformats.org/officeDocument/2006/relationships/hyperlink" Target="http://www.bnf.org/" TargetMode="External"/><Relationship Id="rId33" Type="http://schemas.openxmlformats.org/officeDocument/2006/relationships/hyperlink" Target="https://www.pcds.org.uk/patient-info-leaflets/scabies" TargetMode="External"/><Relationship Id="rId38" Type="http://schemas.openxmlformats.org/officeDocument/2006/relationships/hyperlink" Target="https://www.bashh.org/resources/135/scabies_guideline_2025_updated_guideline" TargetMode="External"/><Relationship Id="rId46" Type="http://schemas.openxmlformats.org/officeDocument/2006/relationships/footer" Target="footer1.xml"/><Relationship Id="rId20" Type="http://schemas.openxmlformats.org/officeDocument/2006/relationships/hyperlink" Target="https://products.mhra.gov.uk/search/?search=malathion&amp;page=1" TargetMode="External"/><Relationship Id="rId41" Type="http://schemas.openxmlformats.org/officeDocument/2006/relationships/hyperlink" Target="https://www.gov.uk/government/publications/scabies-management-advice-for-health-professionals/ukhsa-guidance-on-the-management-of-scabies-cases-and-outbreaks-in-long-term-care-facilities-and-other-closed-settings"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EDB55CA70F904A97CD334C935D89AB" ma:contentTypeVersion="14" ma:contentTypeDescription="Create a new document." ma:contentTypeScope="" ma:versionID="12a449ebba51d8cf1ebe340c458c1cce">
  <xsd:schema xmlns:xsd="http://www.w3.org/2001/XMLSchema" xmlns:xs="http://www.w3.org/2001/XMLSchema" xmlns:p="http://schemas.microsoft.com/office/2006/metadata/properties" xmlns:ns2="f161132f-3af4-47f5-b28f-8075dccddbe8" targetNamespace="http://schemas.microsoft.com/office/2006/metadata/properties" ma:root="true" ma:fieldsID="b04f7813cbb5608c6caf12dd5a15da04" ns2:_="">
    <xsd:import namespace="f161132f-3af4-47f5-b28f-8075dccddbe8"/>
    <xsd:element name="properties">
      <xsd:complexType>
        <xsd:sequence>
          <xsd:element name="documentManagement">
            <xsd:complexType>
              <xsd:all>
                <xsd:element ref="ns2:Versionnumber" minOccurs="0"/>
                <xsd:element ref="ns2:Workstream" minOccurs="0"/>
                <xsd:element ref="ns2:PublishedDate" minOccurs="0"/>
                <xsd:element ref="ns2:Effectivefromdate" minOccurs="0"/>
                <xsd:element ref="ns2:ReviewDate" minOccurs="0"/>
                <xsd:element ref="ns2:ExpiryDate" minOccurs="0"/>
                <xsd:element ref="ns2:ProgrammeBoardMeeting" minOccurs="0"/>
                <xsd:element ref="ns2:MediaServiceMetadata" minOccurs="0"/>
                <xsd:element ref="ns2:MediaServiceFastMetadata" minOccurs="0"/>
                <xsd:element ref="ns2:MediaServiceSearchProperties" minOccurs="0"/>
                <xsd:element ref="ns2:RAGrating" minOccurs="0"/>
                <xsd:element ref="ns2:Templatecounting" minOccurs="0"/>
                <xsd:element ref="ns2:Accessibletemplate" minOccurs="0"/>
                <xsd:element ref="ns2:Cardcreat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1132f-3af4-47f5-b28f-8075dccddbe8" elementFormDefault="qualified">
    <xsd:import namespace="http://schemas.microsoft.com/office/2006/documentManagement/types"/>
    <xsd:import namespace="http://schemas.microsoft.com/office/infopath/2007/PartnerControls"/>
    <xsd:element name="Versionnumber" ma:index="8" nillable="true" ma:displayName="Version number" ma:decimals="1" ma:description="Version number  1.0 2.2 etc" ma:format="Dropdown" ma:internalName="Versionnumber" ma:percentage="FALSE">
      <xsd:simpleType>
        <xsd:restriction base="dms:Number"/>
      </xsd:simpleType>
    </xsd:element>
    <xsd:element name="Workstream" ma:index="9" nillable="true" ma:displayName="Workstream" ma:description="Workstream the PGD template belongs to" ma:format="Dropdown" ma:internalName="Workstream">
      <xsd:simpleType>
        <xsd:restriction base="dms:Choice">
          <xsd:enumeration value="Ambulance"/>
          <xsd:enumeration value="Infection &amp; Infectious Diseases"/>
          <xsd:enumeration value="Pregnancy &amp; Supportive Medicines"/>
          <xsd:enumeration value="Public Health (UKHSA)"/>
          <xsd:enumeration value="Radiology"/>
          <xsd:enumeration value="Reproductive Health"/>
          <xsd:enumeration value="Sexual Health"/>
          <xsd:enumeration value="Smoking Cessation"/>
          <xsd:enumeration value="Occupational Health"/>
        </xsd:restriction>
      </xsd:simpleType>
    </xsd:element>
    <xsd:element name="PublishedDate" ma:index="10" nillable="true" ma:displayName="Published Date" ma:format="DateOnly" ma:internalName="PublishedDate">
      <xsd:simpleType>
        <xsd:restriction base="dms:DateTime"/>
      </xsd:simpleType>
    </xsd:element>
    <xsd:element name="Effectivefromdate" ma:index="11" nillable="true" ma:displayName="Effective from date" ma:format="DateOnly" ma:internalName="Effectivefromdate">
      <xsd:simpleType>
        <xsd:restriction base="dms:DateTime"/>
      </xsd:simpleType>
    </xsd:element>
    <xsd:element name="ReviewDate" ma:index="12" nillable="true" ma:displayName="Scheduled Review Date" ma:format="DateOnly" ma:indexed="true" ma:internalName="ReviewDate">
      <xsd:simpleType>
        <xsd:restriction base="dms:DateTime"/>
      </xsd:simpleType>
    </xsd:element>
    <xsd:element name="ExpiryDate" ma:index="13" nillable="true" ma:displayName="Expiry Date" ma:format="DateOnly" ma:indexed="true" ma:internalName="ExpiryDate">
      <xsd:simpleType>
        <xsd:restriction base="dms:DateTime"/>
      </xsd:simpleType>
    </xsd:element>
    <xsd:element name="ProgrammeBoardMeeting" ma:index="14" nillable="true" ma:displayName="Programme Board Meeting" ma:description="Programme Board aiming to take for approval" ma:format="DateOnly" ma:internalName="ProgrammeBoardMeeting">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RAGrating" ma:index="18" nillable="true" ma:displayName="RAG rating" ma:description="RAG rating for completed risk assessments" ma:format="Dropdown" ma:internalName="RAGrating">
      <xsd:simpleType>
        <xsd:restriction base="dms:Choice">
          <xsd:enumeration value="RED"/>
          <xsd:enumeration value="AMBER"/>
          <xsd:enumeration value="GREEN"/>
        </xsd:restriction>
      </xsd:simpleType>
    </xsd:element>
    <xsd:element name="Templatecounting" ma:index="19" nillable="true" ma:displayName="Template  counting" ma:format="Dropdown" ma:internalName="Templatecounting">
      <xsd:simpleType>
        <xsd:restriction base="dms:Choice">
          <xsd:enumeration value="PGD for KPI"/>
          <xsd:enumeration value="Protocol for KPI"/>
          <xsd:enumeration value="WI for KPI"/>
        </xsd:restriction>
      </xsd:simpleType>
    </xsd:element>
    <xsd:element name="Accessibletemplate" ma:index="20" nillable="true" ma:displayName="Accessible template" ma:default="1" ma:format="Dropdown" ma:internalName="Accessibletemplate">
      <xsd:simpleType>
        <xsd:restriction base="dms:Boolean"/>
      </xsd:simpleType>
    </xsd:element>
    <xsd:element name="Cardcreated" ma:index="21" ma:displayName="Card created" ma:description="Link to card on digital shareppoint" ma:format="Hyperlink" ma:internalName="Cardcreated">
      <xsd:complexType>
        <xsd:complexContent>
          <xsd:extension base="dms:URL">
            <xsd:sequence>
              <xsd:element name="Url" type="dms:ValidUrl"/>
              <xsd:element name="Description" type="xsd:string"/>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emplatecounting xmlns="f161132f-3af4-47f5-b28f-8075dccddbe8">PGD for KPI</Templatecounting>
    <Accessibletemplate xmlns="f161132f-3af4-47f5-b28f-8075dccddbe8">true</Accessibletemplate>
    <Workstream xmlns="f161132f-3af4-47f5-b28f-8075dccddbe8">Infection &amp; Infectious Diseases</Workstream>
    <ReviewDate xmlns="f161132f-3af4-47f5-b28f-8075dccddbe8">2028-04-30T23:00:00+00:00</ReviewDate>
    <Versionnumber xmlns="f161132f-3af4-47f5-b28f-8075dccddbe8">1</Versionnumber>
    <ProgrammeBoardMeeting xmlns="f161132f-3af4-47f5-b28f-8075dccddbe8">2028-07-19T23:00:00+00:00</ProgrammeBoardMeeting>
    <PublishedDate xmlns="f161132f-3af4-47f5-b28f-8075dccddbe8">2025-11-27T00:00:00+00:00</PublishedDate>
    <Effectivefromdate xmlns="f161132f-3af4-47f5-b28f-8075dccddbe8">2025-12-01T00:00:00+00:00</Effectivefromdate>
    <RAGrating xmlns="f161132f-3af4-47f5-b28f-8075dccddbe8" xsi:nil="true"/>
    <ExpiryDate xmlns="f161132f-3af4-47f5-b28f-8075dccddbe8">2028-11-30T00:00:00+00:00</ExpiryDate>
    <Cardcreated xmlns="f161132f-3af4-47f5-b28f-8075dccddbe8">
      <Url/>
      <Description/>
    </Cardcreated>
  </documentManagement>
</p:properties>
</file>

<file path=customXml/itemProps1.xml><?xml version="1.0" encoding="utf-8"?>
<ds:datastoreItem xmlns:ds="http://schemas.openxmlformats.org/officeDocument/2006/customXml" ds:itemID="{F4CC438B-B281-4964-BBF1-4EF695E794F5}">
  <ds:schemaRefs>
    <ds:schemaRef ds:uri="http://schemas.openxmlformats.org/officeDocument/2006/bibliography"/>
  </ds:schemaRefs>
</ds:datastoreItem>
</file>

<file path=customXml/itemProps2.xml><?xml version="1.0" encoding="utf-8"?>
<ds:datastoreItem xmlns:ds="http://schemas.openxmlformats.org/officeDocument/2006/customXml" ds:itemID="{F1952D2B-9085-458B-BAD6-78F8BB6AFBF4}">
  <ds:schemaRefs>
    <ds:schemaRef ds:uri="http://schemas.microsoft.com/sharepoint/v3/contenttype/forms"/>
  </ds:schemaRefs>
</ds:datastoreItem>
</file>

<file path=customXml/itemProps3.xml><?xml version="1.0" encoding="utf-8"?>
<ds:datastoreItem xmlns:ds="http://schemas.openxmlformats.org/officeDocument/2006/customXml" ds:itemID="{60A191D9-EDAB-4048-AD5B-783B54FDB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1132f-3af4-47f5-b28f-8075dccdd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AC0AD9-E2CF-476F-A342-58BE45CB33B9}">
  <ds:schemaRefs>
    <ds:schemaRef ds:uri="http://schemas.microsoft.com/office/2006/metadata/properties"/>
    <ds:schemaRef ds:uri="http://schemas.microsoft.com/office/infopath/2007/PartnerControls"/>
    <ds:schemaRef ds:uri="f161132f-3af4-47f5-b28f-8075dccddbe8"/>
  </ds:schemaRefs>
</ds:datastoreItem>
</file>

<file path=docMetadata/LabelInfo.xml><?xml version="1.0" encoding="utf-8"?>
<clbl:labelList xmlns:clbl="http://schemas.microsoft.com/office/2020/mipLabelMetadata">
  <clbl:label id="{43ed9756-41ff-4cbf-959b-406a4083b78b}" enabled="0" method="" siteId="{43ed9756-41ff-4cbf-959b-406a4083b78b}" removed="1"/>
</clbl:labelList>
</file>

<file path=docProps/app.xml><?xml version="1.0" encoding="utf-8"?>
<Properties xmlns="http://schemas.openxmlformats.org/officeDocument/2006/extended-properties" xmlns:vt="http://schemas.openxmlformats.org/officeDocument/2006/docPropsVTypes">
  <Template>Normal</Template>
  <TotalTime>0</TotalTime>
  <Pages>17</Pages>
  <Words>4219</Words>
  <Characters>24054</Characters>
  <Application>Microsoft Office Word</Application>
  <DocSecurity>0</DocSecurity>
  <Lines>200</Lines>
  <Paragraphs>56</Paragraphs>
  <ScaleCrop>false</ScaleCrop>
  <Company/>
  <LinksUpToDate>false</LinksUpToDate>
  <CharactersWithSpaces>28217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2025-11-24T15:46:00Z</dcterms:created>
  <dcterms:modified xsi:type="dcterms:W3CDTF">2025-12-02T12:33:00Z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0x01010098EDB55CA70F904A97CD334C935D89AB</vt:lpwstr>
  </property>
</Properties>
</file>