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1" w:type="pct"/>
        <w:tblInd w:w="-176" w:type="dxa"/>
        <w:tblLayout w:type="fixed"/>
        <w:tblLook w:val="01E0" w:firstRow="1" w:lastRow="1" w:firstColumn="1" w:lastColumn="1" w:noHBand="0" w:noVBand="0"/>
      </w:tblPr>
      <w:tblGrid>
        <w:gridCol w:w="10267"/>
      </w:tblGrid>
      <w:tr w:rsidR="00D2402E" w:rsidRPr="00862949" w14:paraId="6D6BAC33" w14:textId="77777777" w:rsidTr="009B0BCE">
        <w:trPr>
          <w:trHeight w:val="192"/>
        </w:trPr>
        <w:tc>
          <w:tcPr>
            <w:tcW w:w="5000" w:type="pct"/>
            <w:shd w:val="clear" w:color="auto" w:fill="auto"/>
            <w:tcMar>
              <w:top w:w="57" w:type="dxa"/>
              <w:bottom w:w="57" w:type="dxa"/>
            </w:tcMar>
          </w:tcPr>
          <w:p w14:paraId="05C18DDB" w14:textId="77777777" w:rsidR="00D2402E" w:rsidRPr="00E369CC" w:rsidRDefault="00860B89" w:rsidP="00F81A28">
            <w:pPr>
              <w:jc w:val="right"/>
              <w:rPr>
                <w:rFonts w:cs="Arial"/>
                <w:b/>
                <w:bCs/>
                <w:iCs/>
                <w:color w:val="0070C0"/>
                <w:sz w:val="15"/>
                <w:szCs w:val="15"/>
                <w:lang w:val="en-US"/>
              </w:rPr>
            </w:pPr>
            <w:r>
              <w:rPr>
                <w:rFonts w:cs="Arial"/>
                <w:b/>
                <w:bCs/>
                <w:iCs/>
                <w:color w:val="333399"/>
                <w:sz w:val="15"/>
                <w:szCs w:val="15"/>
                <w:lang w:val="en-US"/>
              </w:rPr>
              <w:t xml:space="preserve">  </w:t>
            </w:r>
            <w:r w:rsidR="00A3053B">
              <w:rPr>
                <w:rFonts w:cs="Arial"/>
                <w:b/>
                <w:bCs/>
                <w:iCs/>
                <w:color w:val="333399"/>
                <w:sz w:val="15"/>
                <w:szCs w:val="15"/>
                <w:lang w:val="en-US"/>
              </w:rPr>
              <w:t xml:space="preserve"> </w:t>
            </w:r>
            <w:r w:rsidR="00AB34E3" w:rsidRPr="00862949">
              <w:rPr>
                <w:rFonts w:cs="Arial"/>
                <w:b/>
                <w:bCs/>
                <w:iCs/>
                <w:color w:val="333399"/>
                <w:sz w:val="15"/>
                <w:szCs w:val="15"/>
                <w:lang w:val="en-US"/>
              </w:rPr>
              <w:t xml:space="preserve"> </w:t>
            </w:r>
            <w:r w:rsidR="009C539A" w:rsidRPr="00862949">
              <w:rPr>
                <w:rFonts w:cs="Arial"/>
                <w:b/>
                <w:bCs/>
                <w:iCs/>
                <w:color w:val="333399"/>
                <w:sz w:val="15"/>
                <w:szCs w:val="15"/>
                <w:lang w:val="en-US"/>
              </w:rPr>
              <w:t xml:space="preserve"> </w:t>
            </w:r>
            <w:hyperlink r:id="rId11" w:tgtFrame="_blank" w:history="1">
              <w:r w:rsidR="00F81A28" w:rsidRPr="009B0BCE">
                <w:rPr>
                  <w:rStyle w:val="Hyperlink"/>
                  <w:rFonts w:ascii="Arial" w:hAnsi="Arial" w:cs="Arial"/>
                  <w:b/>
                  <w:bCs/>
                  <w:iCs/>
                  <w:color w:val="0070C0"/>
                  <w:sz w:val="20"/>
                  <w:szCs w:val="15"/>
                  <w:lang w:val="en-US"/>
                </w:rPr>
                <w:t>SPS</w:t>
              </w:r>
              <w:r w:rsidR="00D2402E" w:rsidRPr="009B0BCE">
                <w:rPr>
                  <w:rStyle w:val="Hyperlink"/>
                  <w:rFonts w:ascii="Arial" w:hAnsi="Arial" w:cs="Arial"/>
                  <w:b/>
                  <w:bCs/>
                  <w:iCs/>
                  <w:color w:val="0070C0"/>
                  <w:sz w:val="20"/>
                  <w:szCs w:val="15"/>
                  <w:lang w:val="en-US"/>
                </w:rPr>
                <w:t xml:space="preserve"> home</w:t>
              </w:r>
            </w:hyperlink>
            <w:r w:rsidR="00D2402E" w:rsidRPr="009B0BCE">
              <w:rPr>
                <w:rFonts w:cs="Arial"/>
                <w:b/>
                <w:bCs/>
                <w:iCs/>
                <w:color w:val="0070C0"/>
                <w:sz w:val="20"/>
                <w:szCs w:val="15"/>
                <w:lang w:val="en-US"/>
              </w:rPr>
              <w:t xml:space="preserve"> | </w:t>
            </w:r>
            <w:hyperlink r:id="rId12" w:history="1">
              <w:r w:rsidR="00D2402E" w:rsidRPr="009B0BCE">
                <w:rPr>
                  <w:rStyle w:val="Hyperlink"/>
                  <w:rFonts w:ascii="Arial" w:hAnsi="Arial" w:cs="Arial"/>
                  <w:b/>
                  <w:bCs/>
                  <w:iCs/>
                  <w:color w:val="0070C0"/>
                  <w:sz w:val="20"/>
                  <w:szCs w:val="15"/>
                  <w:lang w:val="en-US"/>
                </w:rPr>
                <w:t>Contact</w:t>
              </w:r>
            </w:hyperlink>
          </w:p>
        </w:tc>
      </w:tr>
    </w:tbl>
    <w:p w14:paraId="56BA0FB8" w14:textId="77777777" w:rsidR="00B85859" w:rsidRDefault="00B85859" w:rsidP="00727945">
      <w:pPr>
        <w:rPr>
          <w:rFonts w:ascii="Latha" w:hAnsi="Latha" w:cs="Latha"/>
          <w:sz w:val="8"/>
          <w:szCs w:val="8"/>
        </w:rPr>
      </w:pPr>
    </w:p>
    <w:tbl>
      <w:tblPr>
        <w:tblW w:w="5170" w:type="pct"/>
        <w:tblInd w:w="-176" w:type="dxa"/>
        <w:tblLayout w:type="fixed"/>
        <w:tblLook w:val="01E0" w:firstRow="1" w:lastRow="1" w:firstColumn="1" w:lastColumn="1" w:noHBand="0" w:noVBand="0"/>
      </w:tblPr>
      <w:tblGrid>
        <w:gridCol w:w="3193"/>
        <w:gridCol w:w="7358"/>
      </w:tblGrid>
      <w:tr w:rsidR="0020101A" w:rsidRPr="00862949" w14:paraId="22376985" w14:textId="77777777" w:rsidTr="002772ED">
        <w:tc>
          <w:tcPr>
            <w:tcW w:w="5000" w:type="pct"/>
            <w:gridSpan w:val="2"/>
            <w:shd w:val="clear" w:color="auto" w:fill="0070C0"/>
            <w:tcMar>
              <w:top w:w="85" w:type="dxa"/>
              <w:bottom w:w="85" w:type="dxa"/>
            </w:tcMar>
            <w:vAlign w:val="bottom"/>
          </w:tcPr>
          <w:p w14:paraId="3AF9F4F7" w14:textId="77777777" w:rsidR="0020101A" w:rsidRPr="00862949" w:rsidRDefault="0020101A" w:rsidP="00720F9E">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20101A" w:rsidRPr="00862949" w14:paraId="6DB54B9A" w14:textId="77777777" w:rsidTr="002772ED">
        <w:tc>
          <w:tcPr>
            <w:tcW w:w="5000" w:type="pct"/>
            <w:gridSpan w:val="2"/>
            <w:shd w:val="clear" w:color="auto" w:fill="DAEEF3"/>
            <w:tcMar>
              <w:top w:w="0" w:type="dxa"/>
              <w:bottom w:w="0" w:type="dxa"/>
            </w:tcMar>
          </w:tcPr>
          <w:p w14:paraId="42D7D93A" w14:textId="77777777" w:rsidR="0020101A" w:rsidRPr="00862949" w:rsidRDefault="0020101A" w:rsidP="00720F9E">
            <w:pPr>
              <w:rPr>
                <w:rFonts w:cs="Arial"/>
                <w:b/>
                <w:bCs/>
                <w:i/>
                <w:iCs/>
                <w:color w:val="000000"/>
                <w:sz w:val="8"/>
                <w:szCs w:val="8"/>
                <w:lang w:val="en-US"/>
              </w:rPr>
            </w:pPr>
          </w:p>
        </w:tc>
      </w:tr>
      <w:tr w:rsidR="0020101A" w:rsidRPr="00862949" w14:paraId="4058C785" w14:textId="77777777" w:rsidTr="00562CE4">
        <w:tc>
          <w:tcPr>
            <w:tcW w:w="5000" w:type="pct"/>
            <w:gridSpan w:val="2"/>
            <w:shd w:val="clear" w:color="auto" w:fill="008232"/>
            <w:tcMar>
              <w:top w:w="57" w:type="dxa"/>
              <w:bottom w:w="57" w:type="dxa"/>
            </w:tcMar>
          </w:tcPr>
          <w:p w14:paraId="5F22425D" w14:textId="77777777" w:rsidR="0020101A" w:rsidRPr="00433D3E" w:rsidRDefault="0020101A" w:rsidP="00720F9E">
            <w:pPr>
              <w:rPr>
                <w:rFonts w:cs="Arial"/>
                <w:color w:val="FFFFFF"/>
                <w:sz w:val="20"/>
                <w:szCs w:val="20"/>
              </w:rPr>
            </w:pPr>
            <w:r w:rsidRPr="00433D3E">
              <w:rPr>
                <w:rFonts w:cs="Arial"/>
                <w:b/>
                <w:bCs/>
                <w:i/>
                <w:iCs/>
                <w:color w:val="FFFFFF"/>
                <w:sz w:val="22"/>
                <w:szCs w:val="20"/>
                <w:lang w:val="en-US"/>
              </w:rPr>
              <w:t>Launched in the UK (or licence change for existing products)</w:t>
            </w:r>
          </w:p>
        </w:tc>
      </w:tr>
      <w:tr w:rsidR="00304905" w:rsidRPr="00131D4C" w14:paraId="6251AA29" w14:textId="77777777" w:rsidTr="003D2915">
        <w:tc>
          <w:tcPr>
            <w:tcW w:w="1513" w:type="pct"/>
            <w:shd w:val="clear" w:color="auto" w:fill="auto"/>
            <w:tcMar>
              <w:top w:w="57" w:type="dxa"/>
              <w:left w:w="170" w:type="dxa"/>
              <w:bottom w:w="57" w:type="dxa"/>
              <w:right w:w="170" w:type="dxa"/>
            </w:tcMar>
          </w:tcPr>
          <w:p w14:paraId="07E236CF" w14:textId="77777777" w:rsidR="00304905" w:rsidRDefault="00304905" w:rsidP="00304905">
            <w:pPr>
              <w:rPr>
                <w:rFonts w:cs="Arial"/>
                <w:szCs w:val="19"/>
              </w:rPr>
            </w:pPr>
            <w:r>
              <w:rPr>
                <w:rFonts w:cs="Arial"/>
                <w:szCs w:val="19"/>
              </w:rPr>
              <w:t>Aflibercept biosimilar (</w:t>
            </w:r>
            <w:r>
              <w:rPr>
                <w:rFonts w:cs="Arial"/>
                <w:i/>
                <w:iCs/>
                <w:szCs w:val="19"/>
              </w:rPr>
              <w:t>Afqlir</w:t>
            </w:r>
            <w:r>
              <w:rPr>
                <w:rFonts w:cs="Arial"/>
                <w:szCs w:val="19"/>
              </w:rPr>
              <w:t xml:space="preserve">) </w:t>
            </w:r>
          </w:p>
          <w:p w14:paraId="1D0B6ABD" w14:textId="69008484" w:rsidR="00304905" w:rsidRDefault="00304905" w:rsidP="00304905">
            <w:pPr>
              <w:rPr>
                <w:rFonts w:cs="Arial"/>
                <w:szCs w:val="19"/>
              </w:rPr>
            </w:pPr>
            <w:r w:rsidRPr="00D25AFD">
              <w:rPr>
                <w:rFonts w:cs="Arial"/>
                <w:sz w:val="16"/>
                <w:szCs w:val="16"/>
              </w:rPr>
              <w:t>6.6mg in 0.165mL prefilled syringe</w:t>
            </w:r>
          </w:p>
        </w:tc>
        <w:tc>
          <w:tcPr>
            <w:tcW w:w="3487" w:type="pct"/>
            <w:shd w:val="clear" w:color="auto" w:fill="auto"/>
            <w:tcMar>
              <w:top w:w="57" w:type="dxa"/>
              <w:left w:w="170" w:type="dxa"/>
              <w:bottom w:w="57" w:type="dxa"/>
              <w:right w:w="170" w:type="dxa"/>
            </w:tcMar>
          </w:tcPr>
          <w:p w14:paraId="5A0A9060" w14:textId="0AEE0963" w:rsidR="00304905" w:rsidRPr="00A35FF9" w:rsidRDefault="00304905" w:rsidP="00304905">
            <w:pPr>
              <w:tabs>
                <w:tab w:val="center" w:pos="3152"/>
              </w:tabs>
              <w:rPr>
                <w:rFonts w:cs="Arial"/>
                <w:szCs w:val="19"/>
                <w:lang w:val="en-US"/>
              </w:rPr>
            </w:pPr>
            <w:r w:rsidRPr="00501AAE">
              <w:rPr>
                <w:rFonts w:cs="Arial"/>
                <w:szCs w:val="19"/>
                <w:lang w:val="en-US"/>
              </w:rPr>
              <w:t>Use in adults for the treatment of neovascular (wet) age-related macular degeneration, visual impairment due to macular oedema secondary to retinal vein occlusion (branch RVO or central RVO), visual impairment due to diabetic macular oedema and visual impairment due to myopic choroidal neovascularisation</w:t>
            </w:r>
          </w:p>
        </w:tc>
      </w:tr>
      <w:tr w:rsidR="00304905" w:rsidRPr="00131D4C" w14:paraId="48017F4E" w14:textId="77777777" w:rsidTr="003D2915">
        <w:tc>
          <w:tcPr>
            <w:tcW w:w="1513" w:type="pct"/>
            <w:shd w:val="clear" w:color="auto" w:fill="auto"/>
            <w:tcMar>
              <w:top w:w="57" w:type="dxa"/>
              <w:left w:w="170" w:type="dxa"/>
              <w:bottom w:w="57" w:type="dxa"/>
              <w:right w:w="170" w:type="dxa"/>
            </w:tcMar>
          </w:tcPr>
          <w:p w14:paraId="0740BE63" w14:textId="77777777" w:rsidR="00304905" w:rsidRDefault="00304905" w:rsidP="00304905">
            <w:pPr>
              <w:rPr>
                <w:rFonts w:cs="Arial"/>
                <w:szCs w:val="19"/>
              </w:rPr>
            </w:pPr>
            <w:r>
              <w:rPr>
                <w:rFonts w:cs="Arial"/>
                <w:szCs w:val="19"/>
              </w:rPr>
              <w:t>Apomorphine (</w:t>
            </w:r>
            <w:r w:rsidRPr="00543280">
              <w:rPr>
                <w:rFonts w:cs="Arial"/>
                <w:i/>
                <w:iCs/>
                <w:szCs w:val="19"/>
              </w:rPr>
              <w:t>Kynmobi</w:t>
            </w:r>
            <w:r>
              <w:rPr>
                <w:rFonts w:cs="Arial"/>
                <w:szCs w:val="19"/>
              </w:rPr>
              <w:t>)</w:t>
            </w:r>
          </w:p>
          <w:p w14:paraId="1C3C8F27" w14:textId="4C5F9211" w:rsidR="00304905" w:rsidRPr="007D018E" w:rsidRDefault="00304905" w:rsidP="00304905">
            <w:pPr>
              <w:rPr>
                <w:rFonts w:cs="Arial"/>
                <w:szCs w:val="19"/>
              </w:rPr>
            </w:pPr>
            <w:r w:rsidRPr="009453FE">
              <w:rPr>
                <w:rFonts w:cs="Arial"/>
                <w:sz w:val="16"/>
                <w:szCs w:val="16"/>
              </w:rPr>
              <w:t>10mg, 15mg, 20mg, 25mg and 30mg sublingual films</w:t>
            </w:r>
          </w:p>
        </w:tc>
        <w:tc>
          <w:tcPr>
            <w:tcW w:w="3487" w:type="pct"/>
            <w:shd w:val="clear" w:color="auto" w:fill="auto"/>
            <w:tcMar>
              <w:top w:w="57" w:type="dxa"/>
              <w:left w:w="170" w:type="dxa"/>
              <w:bottom w:w="57" w:type="dxa"/>
              <w:right w:w="170" w:type="dxa"/>
            </w:tcMar>
          </w:tcPr>
          <w:p w14:paraId="2D74B16D" w14:textId="77777777" w:rsidR="00304905" w:rsidRDefault="00304905" w:rsidP="00304905">
            <w:pPr>
              <w:tabs>
                <w:tab w:val="center" w:pos="3152"/>
              </w:tabs>
              <w:rPr>
                <w:rFonts w:cs="Arial"/>
                <w:szCs w:val="19"/>
                <w:lang w:val="en-US"/>
              </w:rPr>
            </w:pPr>
            <w:r w:rsidRPr="00A35FF9">
              <w:rPr>
                <w:rFonts w:cs="Arial"/>
                <w:szCs w:val="19"/>
                <w:lang w:val="en-US"/>
              </w:rPr>
              <w:t>Intermittent treatment of “OFF” episodes in adults with Parkinson’s disease which are not sufficiently controlled by oral anti-Parkinson medication</w:t>
            </w:r>
            <w:r>
              <w:rPr>
                <w:rFonts w:cs="Arial"/>
                <w:szCs w:val="19"/>
                <w:lang w:val="en-US"/>
              </w:rPr>
              <w:t xml:space="preserve"> </w:t>
            </w:r>
          </w:p>
          <w:p w14:paraId="5A4C9BCA" w14:textId="097375A3" w:rsidR="00304905" w:rsidRDefault="00304905" w:rsidP="00304905">
            <w:pPr>
              <w:tabs>
                <w:tab w:val="center" w:pos="3152"/>
              </w:tabs>
              <w:rPr>
                <w:rFonts w:cs="Arial"/>
                <w:szCs w:val="19"/>
                <w:lang w:val="en-US"/>
              </w:rPr>
            </w:pPr>
            <w:r w:rsidRPr="007D018E">
              <w:rPr>
                <w:rFonts w:cs="Arial"/>
                <w:sz w:val="16"/>
                <w:szCs w:val="16"/>
                <w:lang w:val="en-US"/>
              </w:rPr>
              <w:t xml:space="preserve">[new sublingual </w:t>
            </w:r>
            <w:r>
              <w:rPr>
                <w:rFonts w:cs="Arial"/>
                <w:sz w:val="16"/>
                <w:szCs w:val="16"/>
                <w:lang w:val="en-US"/>
              </w:rPr>
              <w:t xml:space="preserve">film </w:t>
            </w:r>
            <w:r w:rsidRPr="007D018E">
              <w:rPr>
                <w:rFonts w:cs="Arial"/>
                <w:sz w:val="16"/>
                <w:szCs w:val="16"/>
                <w:lang w:val="en-US"/>
              </w:rPr>
              <w:t>formulation]</w:t>
            </w:r>
          </w:p>
        </w:tc>
      </w:tr>
      <w:tr w:rsidR="006E7B3E" w:rsidRPr="00131D4C" w14:paraId="5DB17184" w14:textId="77777777" w:rsidTr="003D2915">
        <w:tc>
          <w:tcPr>
            <w:tcW w:w="1513" w:type="pct"/>
            <w:shd w:val="clear" w:color="auto" w:fill="auto"/>
            <w:tcMar>
              <w:top w:w="57" w:type="dxa"/>
              <w:left w:w="170" w:type="dxa"/>
              <w:bottom w:w="57" w:type="dxa"/>
              <w:right w:w="170" w:type="dxa"/>
            </w:tcMar>
          </w:tcPr>
          <w:p w14:paraId="66CF6F1D" w14:textId="77777777" w:rsidR="006E7B3E" w:rsidRDefault="006E7B3E" w:rsidP="00304905">
            <w:pPr>
              <w:rPr>
                <w:rFonts w:cs="Arial"/>
                <w:szCs w:val="19"/>
              </w:rPr>
            </w:pPr>
            <w:r>
              <w:rPr>
                <w:rFonts w:cs="Arial"/>
                <w:szCs w:val="19"/>
              </w:rPr>
              <w:t>Apremilast (</w:t>
            </w:r>
            <w:r>
              <w:rPr>
                <w:rFonts w:cs="Arial"/>
                <w:i/>
                <w:iCs/>
                <w:szCs w:val="19"/>
              </w:rPr>
              <w:t>Otezla</w:t>
            </w:r>
            <w:r>
              <w:rPr>
                <w:rFonts w:cs="Arial"/>
                <w:szCs w:val="19"/>
              </w:rPr>
              <w:t>)</w:t>
            </w:r>
          </w:p>
          <w:p w14:paraId="758F7359" w14:textId="71ED39FA" w:rsidR="006E7B3E" w:rsidRPr="006E7B3E" w:rsidRDefault="004D42B4" w:rsidP="00304905">
            <w:pPr>
              <w:rPr>
                <w:rFonts w:cs="Arial"/>
                <w:szCs w:val="19"/>
              </w:rPr>
            </w:pPr>
            <w:r w:rsidRPr="004D42B4">
              <w:rPr>
                <w:rFonts w:cs="Arial"/>
                <w:sz w:val="16"/>
                <w:szCs w:val="16"/>
              </w:rPr>
              <w:t>10mg, 20mg and 30mg tablets</w:t>
            </w:r>
          </w:p>
        </w:tc>
        <w:tc>
          <w:tcPr>
            <w:tcW w:w="3487" w:type="pct"/>
            <w:shd w:val="clear" w:color="auto" w:fill="auto"/>
            <w:tcMar>
              <w:top w:w="57" w:type="dxa"/>
              <w:left w:w="170" w:type="dxa"/>
              <w:bottom w:w="57" w:type="dxa"/>
              <w:right w:w="170" w:type="dxa"/>
            </w:tcMar>
          </w:tcPr>
          <w:p w14:paraId="21DEE3FB" w14:textId="77777777" w:rsidR="004D42B4" w:rsidRDefault="004D42B4" w:rsidP="00304905">
            <w:pPr>
              <w:tabs>
                <w:tab w:val="center" w:pos="3152"/>
              </w:tabs>
              <w:rPr>
                <w:rFonts w:cs="Arial"/>
                <w:szCs w:val="19"/>
                <w:lang w:val="en-US"/>
              </w:rPr>
            </w:pPr>
            <w:r w:rsidRPr="004D42B4">
              <w:rPr>
                <w:rFonts w:cs="Arial"/>
                <w:szCs w:val="19"/>
                <w:lang w:val="en-US"/>
              </w:rPr>
              <w:t xml:space="preserve">Treatment of moderate to severe plaque psoriasis in children and adolescents </w:t>
            </w:r>
            <w:r>
              <w:rPr>
                <w:rFonts w:cs="Arial"/>
                <w:szCs w:val="19"/>
                <w:lang w:val="en-US"/>
              </w:rPr>
              <w:t>aged ≥</w:t>
            </w:r>
            <w:r w:rsidRPr="004D42B4">
              <w:rPr>
                <w:rFonts w:cs="Arial"/>
                <w:szCs w:val="19"/>
                <w:lang w:val="en-US"/>
              </w:rPr>
              <w:t xml:space="preserve">6 years and weighing </w:t>
            </w:r>
            <w:r>
              <w:rPr>
                <w:rFonts w:cs="Arial"/>
                <w:szCs w:val="19"/>
                <w:lang w:val="en-US"/>
              </w:rPr>
              <w:t>≥</w:t>
            </w:r>
            <w:r w:rsidRPr="004D42B4">
              <w:rPr>
                <w:rFonts w:cs="Arial"/>
                <w:szCs w:val="19"/>
                <w:lang w:val="en-US"/>
              </w:rPr>
              <w:t>20kg who are candidates for systemic therapy</w:t>
            </w:r>
            <w:r>
              <w:rPr>
                <w:rFonts w:cs="Arial"/>
                <w:szCs w:val="19"/>
                <w:lang w:val="en-US"/>
              </w:rPr>
              <w:t xml:space="preserve"> </w:t>
            </w:r>
          </w:p>
          <w:p w14:paraId="1B4914D8" w14:textId="7D82E6D8" w:rsidR="006E7B3E" w:rsidRDefault="004D42B4" w:rsidP="00304905">
            <w:pPr>
              <w:tabs>
                <w:tab w:val="center" w:pos="3152"/>
              </w:tabs>
              <w:rPr>
                <w:rFonts w:cs="Arial"/>
                <w:szCs w:val="19"/>
                <w:lang w:val="en-US"/>
              </w:rPr>
            </w:pPr>
            <w:r w:rsidRPr="004D42B4">
              <w:rPr>
                <w:rFonts w:cs="Arial"/>
                <w:sz w:val="16"/>
                <w:szCs w:val="16"/>
                <w:lang w:val="en-US"/>
              </w:rPr>
              <w:t>[new indication]</w:t>
            </w:r>
          </w:p>
        </w:tc>
      </w:tr>
      <w:tr w:rsidR="00304905" w:rsidRPr="00131D4C" w14:paraId="591E5845" w14:textId="77777777" w:rsidTr="003D2915">
        <w:tc>
          <w:tcPr>
            <w:tcW w:w="1513" w:type="pct"/>
            <w:shd w:val="clear" w:color="auto" w:fill="auto"/>
            <w:tcMar>
              <w:top w:w="57" w:type="dxa"/>
              <w:left w:w="170" w:type="dxa"/>
              <w:bottom w:w="57" w:type="dxa"/>
              <w:right w:w="170" w:type="dxa"/>
            </w:tcMar>
          </w:tcPr>
          <w:p w14:paraId="7D71F0A5" w14:textId="77777777" w:rsidR="00304905" w:rsidRDefault="00304905" w:rsidP="00304905">
            <w:pPr>
              <w:rPr>
                <w:rFonts w:cs="Arial"/>
                <w:szCs w:val="19"/>
              </w:rPr>
            </w:pPr>
            <w:r w:rsidRPr="00FE4E03">
              <w:rPr>
                <w:rFonts w:cs="Arial"/>
                <w:szCs w:val="19"/>
              </w:rPr>
              <w:t>Bevacizumab biosimilar</w:t>
            </w:r>
            <w:r>
              <w:rPr>
                <w:rFonts w:cs="Arial"/>
                <w:szCs w:val="19"/>
              </w:rPr>
              <w:t xml:space="preserve"> </w:t>
            </w:r>
            <w:r w:rsidRPr="00FE4E03">
              <w:rPr>
                <w:rFonts w:cs="Arial"/>
                <w:szCs w:val="19"/>
              </w:rPr>
              <w:t>(</w:t>
            </w:r>
            <w:r w:rsidRPr="00FE4E03">
              <w:rPr>
                <w:rFonts w:cs="Arial"/>
                <w:i/>
                <w:iCs/>
                <w:szCs w:val="19"/>
              </w:rPr>
              <w:t>Bevqolva</w:t>
            </w:r>
            <w:r w:rsidRPr="00FE4E03">
              <w:rPr>
                <w:rFonts w:cs="Arial"/>
                <w:szCs w:val="19"/>
              </w:rPr>
              <w:t>)</w:t>
            </w:r>
          </w:p>
          <w:p w14:paraId="28EB1C13" w14:textId="1729F529" w:rsidR="00304905" w:rsidRPr="0011452F" w:rsidRDefault="00304905" w:rsidP="00304905">
            <w:pPr>
              <w:rPr>
                <w:rFonts w:cs="Arial"/>
                <w:szCs w:val="19"/>
              </w:rPr>
            </w:pPr>
            <w:r w:rsidRPr="006277D6">
              <w:rPr>
                <w:rFonts w:cs="Arial"/>
                <w:sz w:val="16"/>
                <w:szCs w:val="16"/>
              </w:rPr>
              <w:t>100mg in 4mL vials and 400mg in 16mL vials</w:t>
            </w:r>
          </w:p>
        </w:tc>
        <w:tc>
          <w:tcPr>
            <w:tcW w:w="3487" w:type="pct"/>
            <w:shd w:val="clear" w:color="auto" w:fill="auto"/>
            <w:tcMar>
              <w:top w:w="57" w:type="dxa"/>
              <w:left w:w="170" w:type="dxa"/>
              <w:bottom w:w="57" w:type="dxa"/>
              <w:right w:w="170" w:type="dxa"/>
            </w:tcMar>
          </w:tcPr>
          <w:p w14:paraId="5EA0C7D0" w14:textId="3FAEEC41" w:rsidR="00304905" w:rsidRPr="009C4947" w:rsidRDefault="00304905" w:rsidP="00304905">
            <w:pPr>
              <w:tabs>
                <w:tab w:val="center" w:pos="3152"/>
              </w:tabs>
              <w:rPr>
                <w:rFonts w:cs="Arial"/>
                <w:szCs w:val="19"/>
                <w:lang w:val="en-US"/>
              </w:rPr>
            </w:pPr>
            <w:r w:rsidRPr="00A076AF">
              <w:rPr>
                <w:rFonts w:cs="Arial"/>
                <w:szCs w:val="19"/>
                <w:lang w:val="en-US"/>
              </w:rPr>
              <w:t xml:space="preserve">Treatment of adults with metastatic carcinoma of the colon or rectum, metastatic </w:t>
            </w:r>
            <w:r w:rsidRPr="00A04C74">
              <w:rPr>
                <w:rFonts w:cs="Arial"/>
                <w:szCs w:val="19"/>
                <w:lang w:val="en-US"/>
              </w:rPr>
              <w:t>breast cancer, unresectable advanced, metastatic or recurrent non-small cell lung cancer, advanced and/or metastatic renal cell cancer, epithelial ovarian, fallopian tube, or primary peritoneal cancer, and persistent, recurrent, or metastatic carcinoma of the cervix</w:t>
            </w:r>
            <w:r>
              <w:rPr>
                <w:rFonts w:cs="Arial"/>
                <w:szCs w:val="19"/>
                <w:lang w:val="en-US"/>
              </w:rPr>
              <w:t xml:space="preserve"> </w:t>
            </w:r>
            <w:r w:rsidRPr="00172E6E">
              <w:rPr>
                <w:rFonts w:cs="Arial"/>
                <w:i/>
                <w:iCs/>
                <w:sz w:val="16"/>
                <w:szCs w:val="16"/>
                <w:lang w:val="en-US"/>
              </w:rPr>
              <w:t xml:space="preserve">Note: See </w:t>
            </w:r>
            <w:hyperlink r:id="rId13" w:history="1">
              <w:r w:rsidRPr="001C74E6">
                <w:rPr>
                  <w:rStyle w:val="Hyperlink"/>
                  <w:rFonts w:ascii="Arial" w:hAnsi="Arial" w:cs="Arial"/>
                  <w:i/>
                  <w:iCs/>
                  <w:sz w:val="16"/>
                  <w:szCs w:val="16"/>
                  <w:lang w:val="en-US"/>
                </w:rPr>
                <w:t>SmPC</w:t>
              </w:r>
            </w:hyperlink>
            <w:r w:rsidRPr="00172E6E">
              <w:rPr>
                <w:rFonts w:cs="Arial"/>
                <w:i/>
                <w:iCs/>
                <w:sz w:val="16"/>
                <w:szCs w:val="16"/>
                <w:lang w:val="en-US"/>
              </w:rPr>
              <w:t xml:space="preserve"> for full details of the indication</w:t>
            </w:r>
          </w:p>
        </w:tc>
      </w:tr>
      <w:tr w:rsidR="00304905" w:rsidRPr="00131D4C" w14:paraId="5CBB02ED" w14:textId="77777777" w:rsidTr="003D2915">
        <w:tc>
          <w:tcPr>
            <w:tcW w:w="1513" w:type="pct"/>
            <w:shd w:val="clear" w:color="auto" w:fill="auto"/>
            <w:tcMar>
              <w:top w:w="57" w:type="dxa"/>
              <w:left w:w="170" w:type="dxa"/>
              <w:bottom w:w="57" w:type="dxa"/>
              <w:right w:w="170" w:type="dxa"/>
            </w:tcMar>
          </w:tcPr>
          <w:p w14:paraId="7C0A390F" w14:textId="77777777" w:rsidR="00304905" w:rsidRDefault="00304905" w:rsidP="00304905">
            <w:pPr>
              <w:rPr>
                <w:rFonts w:cs="Arial"/>
                <w:szCs w:val="19"/>
              </w:rPr>
            </w:pPr>
            <w:r w:rsidRPr="003B12B4">
              <w:rPr>
                <w:rFonts w:cs="Arial"/>
                <w:szCs w:val="19"/>
              </w:rPr>
              <w:t>Darunavir + cobicistat </w:t>
            </w:r>
            <w:r>
              <w:rPr>
                <w:rFonts w:cs="Arial"/>
                <w:szCs w:val="19"/>
              </w:rPr>
              <w:t>(</w:t>
            </w:r>
            <w:r>
              <w:rPr>
                <w:rFonts w:cs="Arial"/>
                <w:i/>
                <w:iCs/>
                <w:szCs w:val="19"/>
              </w:rPr>
              <w:t>Rezolsta</w:t>
            </w:r>
            <w:r>
              <w:rPr>
                <w:rFonts w:cs="Arial"/>
                <w:szCs w:val="19"/>
              </w:rPr>
              <w:t>)</w:t>
            </w:r>
          </w:p>
          <w:p w14:paraId="34CB7946" w14:textId="2943C161" w:rsidR="00304905" w:rsidRPr="009B4F9E" w:rsidRDefault="00304905" w:rsidP="00304905">
            <w:pPr>
              <w:rPr>
                <w:rFonts w:cs="Arial"/>
                <w:szCs w:val="19"/>
              </w:rPr>
            </w:pPr>
            <w:r w:rsidRPr="00206488">
              <w:rPr>
                <w:rFonts w:cs="Arial"/>
                <w:sz w:val="16"/>
                <w:szCs w:val="16"/>
              </w:rPr>
              <w:t>800mg/150mg tablet</w:t>
            </w:r>
          </w:p>
        </w:tc>
        <w:tc>
          <w:tcPr>
            <w:tcW w:w="3487" w:type="pct"/>
            <w:shd w:val="clear" w:color="auto" w:fill="auto"/>
            <w:tcMar>
              <w:top w:w="57" w:type="dxa"/>
              <w:left w:w="170" w:type="dxa"/>
              <w:bottom w:w="57" w:type="dxa"/>
              <w:right w:w="170" w:type="dxa"/>
            </w:tcMar>
          </w:tcPr>
          <w:p w14:paraId="7CF84D50" w14:textId="62280B70" w:rsidR="00304905" w:rsidRPr="00A075A3" w:rsidRDefault="00304905" w:rsidP="00304905">
            <w:pPr>
              <w:tabs>
                <w:tab w:val="center" w:pos="3152"/>
              </w:tabs>
              <w:rPr>
                <w:rFonts w:cs="Arial"/>
                <w:szCs w:val="19"/>
                <w:lang w:val="en-US"/>
              </w:rPr>
            </w:pPr>
            <w:r>
              <w:rPr>
                <w:rFonts w:cs="Arial"/>
                <w:szCs w:val="19"/>
              </w:rPr>
              <w:t>U</w:t>
            </w:r>
            <w:r w:rsidRPr="006A497C">
              <w:rPr>
                <w:rFonts w:cs="Arial"/>
                <w:szCs w:val="19"/>
              </w:rPr>
              <w:t>se in combination with other antiretroviral medicinal products for the treatment of human immunodeficiency virus</w:t>
            </w:r>
            <w:r w:rsidRPr="006A497C">
              <w:rPr>
                <w:rFonts w:ascii="Cambria Math" w:hAnsi="Cambria Math" w:cs="Cambria Math"/>
                <w:szCs w:val="19"/>
              </w:rPr>
              <w:t>‑</w:t>
            </w:r>
            <w:r w:rsidRPr="006A497C">
              <w:rPr>
                <w:rFonts w:cs="Arial"/>
                <w:szCs w:val="19"/>
              </w:rPr>
              <w:t xml:space="preserve">1 infection in adults and paediatric patients aged </w:t>
            </w:r>
            <w:r>
              <w:rPr>
                <w:rFonts w:cs="Arial"/>
                <w:szCs w:val="19"/>
              </w:rPr>
              <w:t>≥</w:t>
            </w:r>
            <w:r w:rsidRPr="006A497C">
              <w:rPr>
                <w:rFonts w:cs="Arial"/>
                <w:szCs w:val="19"/>
              </w:rPr>
              <w:t xml:space="preserve">6 years, weighing </w:t>
            </w:r>
            <w:r>
              <w:rPr>
                <w:rFonts w:cs="Arial"/>
                <w:szCs w:val="19"/>
              </w:rPr>
              <w:t>≥</w:t>
            </w:r>
            <w:r w:rsidRPr="006A497C">
              <w:rPr>
                <w:rFonts w:cs="Arial"/>
                <w:szCs w:val="19"/>
              </w:rPr>
              <w:t>25kg</w:t>
            </w:r>
            <w:r>
              <w:rPr>
                <w:rFonts w:cs="Arial"/>
                <w:szCs w:val="19"/>
              </w:rPr>
              <w:t xml:space="preserve"> </w:t>
            </w:r>
            <w:r w:rsidRPr="00B41DA2">
              <w:rPr>
                <w:rFonts w:cs="Arial"/>
                <w:sz w:val="16"/>
                <w:szCs w:val="16"/>
              </w:rPr>
              <w:t>[licence change from use only in people aged ≥1</w:t>
            </w:r>
            <w:r>
              <w:rPr>
                <w:rFonts w:cs="Arial"/>
                <w:sz w:val="16"/>
                <w:szCs w:val="16"/>
              </w:rPr>
              <w:t>2</w:t>
            </w:r>
            <w:r w:rsidRPr="00B41DA2">
              <w:rPr>
                <w:rFonts w:cs="Arial"/>
                <w:sz w:val="16"/>
                <w:szCs w:val="16"/>
              </w:rPr>
              <w:t xml:space="preserve"> years]</w:t>
            </w:r>
          </w:p>
        </w:tc>
      </w:tr>
      <w:tr w:rsidR="008A282A" w:rsidRPr="00131D4C" w14:paraId="4FBD1AEF" w14:textId="77777777" w:rsidTr="003D2915">
        <w:tc>
          <w:tcPr>
            <w:tcW w:w="1513" w:type="pct"/>
            <w:shd w:val="clear" w:color="auto" w:fill="auto"/>
            <w:tcMar>
              <w:top w:w="57" w:type="dxa"/>
              <w:left w:w="170" w:type="dxa"/>
              <w:bottom w:w="57" w:type="dxa"/>
              <w:right w:w="170" w:type="dxa"/>
            </w:tcMar>
          </w:tcPr>
          <w:p w14:paraId="3C77BFD9" w14:textId="77777777" w:rsidR="008A282A" w:rsidRDefault="008A282A" w:rsidP="00304905">
            <w:pPr>
              <w:rPr>
                <w:rFonts w:cs="Arial"/>
                <w:szCs w:val="19"/>
              </w:rPr>
            </w:pPr>
            <w:r w:rsidRPr="008A282A">
              <w:rPr>
                <w:rFonts w:cs="Arial"/>
                <w:szCs w:val="19"/>
              </w:rPr>
              <w:t>Enalapril (</w:t>
            </w:r>
            <w:r w:rsidRPr="008A282A">
              <w:rPr>
                <w:rFonts w:cs="Arial"/>
                <w:i/>
                <w:iCs/>
                <w:szCs w:val="19"/>
              </w:rPr>
              <w:t>Aqumeldi</w:t>
            </w:r>
            <w:r w:rsidRPr="008A282A">
              <w:rPr>
                <w:rFonts w:cs="Arial"/>
                <w:szCs w:val="19"/>
              </w:rPr>
              <w:t>)</w:t>
            </w:r>
          </w:p>
          <w:p w14:paraId="6490820E" w14:textId="3FDECF44" w:rsidR="008A282A" w:rsidRDefault="008A282A" w:rsidP="00304905">
            <w:pPr>
              <w:rPr>
                <w:rFonts w:cs="Arial"/>
                <w:szCs w:val="19"/>
              </w:rPr>
            </w:pPr>
            <w:r w:rsidRPr="008A282A">
              <w:rPr>
                <w:rFonts w:cs="Arial"/>
                <w:sz w:val="16"/>
                <w:szCs w:val="16"/>
              </w:rPr>
              <w:t xml:space="preserve">1mg orodispersible </w:t>
            </w:r>
            <w:r w:rsidR="005E48B4">
              <w:rPr>
                <w:rFonts w:cs="Arial"/>
                <w:sz w:val="16"/>
                <w:szCs w:val="16"/>
              </w:rPr>
              <w:t>tablet</w:t>
            </w:r>
          </w:p>
        </w:tc>
        <w:tc>
          <w:tcPr>
            <w:tcW w:w="3487" w:type="pct"/>
            <w:shd w:val="clear" w:color="auto" w:fill="auto"/>
            <w:tcMar>
              <w:top w:w="57" w:type="dxa"/>
              <w:left w:w="170" w:type="dxa"/>
              <w:bottom w:w="57" w:type="dxa"/>
              <w:right w:w="170" w:type="dxa"/>
            </w:tcMar>
          </w:tcPr>
          <w:p w14:paraId="54061AED" w14:textId="77777777" w:rsidR="00A91492" w:rsidRDefault="005E48B4" w:rsidP="00304905">
            <w:pPr>
              <w:tabs>
                <w:tab w:val="center" w:pos="3152"/>
              </w:tabs>
              <w:rPr>
                <w:rFonts w:cs="Arial"/>
                <w:color w:val="000000"/>
                <w:szCs w:val="19"/>
                <w:lang w:val="en-US"/>
              </w:rPr>
            </w:pPr>
            <w:r w:rsidRPr="005E48B4">
              <w:rPr>
                <w:rFonts w:cs="Arial"/>
                <w:color w:val="000000"/>
                <w:szCs w:val="19"/>
                <w:lang w:val="en-US"/>
              </w:rPr>
              <w:t>Treatment of heart failure in children from birth to less than 18 years</w:t>
            </w:r>
            <w:r>
              <w:rPr>
                <w:rFonts w:cs="Arial"/>
                <w:color w:val="000000"/>
                <w:szCs w:val="19"/>
                <w:lang w:val="en-US"/>
              </w:rPr>
              <w:t xml:space="preserve"> </w:t>
            </w:r>
          </w:p>
          <w:p w14:paraId="16DA4CB3" w14:textId="219108AA" w:rsidR="008A282A" w:rsidRPr="00562529" w:rsidRDefault="005E48B4" w:rsidP="00304905">
            <w:pPr>
              <w:tabs>
                <w:tab w:val="center" w:pos="3152"/>
              </w:tabs>
              <w:rPr>
                <w:rFonts w:cs="Arial"/>
                <w:color w:val="000000"/>
                <w:szCs w:val="19"/>
                <w:lang w:val="en-US"/>
              </w:rPr>
            </w:pPr>
            <w:r w:rsidRPr="00A91492">
              <w:rPr>
                <w:rFonts w:cs="Arial"/>
                <w:color w:val="000000"/>
                <w:sz w:val="16"/>
                <w:szCs w:val="16"/>
                <w:lang w:val="en-US"/>
              </w:rPr>
              <w:t>[new</w:t>
            </w:r>
            <w:r w:rsidR="00A91492" w:rsidRPr="00A91492">
              <w:rPr>
                <w:rFonts w:cs="Arial"/>
                <w:color w:val="000000"/>
                <w:sz w:val="16"/>
                <w:szCs w:val="16"/>
                <w:lang w:val="en-US"/>
              </w:rPr>
              <w:t xml:space="preserve"> higher strength tablet formulation]</w:t>
            </w:r>
          </w:p>
        </w:tc>
      </w:tr>
      <w:tr w:rsidR="00304905" w:rsidRPr="00131D4C" w14:paraId="0DA61D33" w14:textId="77777777" w:rsidTr="003D2915">
        <w:tc>
          <w:tcPr>
            <w:tcW w:w="1513" w:type="pct"/>
            <w:shd w:val="clear" w:color="auto" w:fill="auto"/>
            <w:tcMar>
              <w:top w:w="57" w:type="dxa"/>
              <w:left w:w="170" w:type="dxa"/>
              <w:bottom w:w="57" w:type="dxa"/>
              <w:right w:w="170" w:type="dxa"/>
            </w:tcMar>
          </w:tcPr>
          <w:p w14:paraId="0096C16E" w14:textId="77777777" w:rsidR="00304905" w:rsidRDefault="00304905" w:rsidP="00304905">
            <w:pPr>
              <w:rPr>
                <w:rFonts w:cs="Arial"/>
                <w:szCs w:val="19"/>
              </w:rPr>
            </w:pPr>
            <w:r>
              <w:rPr>
                <w:rFonts w:cs="Arial"/>
                <w:szCs w:val="19"/>
              </w:rPr>
              <w:t>Futibatinib (</w:t>
            </w:r>
            <w:r w:rsidRPr="003E18D4">
              <w:rPr>
                <w:rFonts w:cs="Arial"/>
                <w:i/>
                <w:iCs/>
                <w:szCs w:val="19"/>
              </w:rPr>
              <w:t>Lytgobi</w:t>
            </w:r>
            <w:r>
              <w:rPr>
                <w:rFonts w:cs="Arial"/>
                <w:szCs w:val="19"/>
              </w:rPr>
              <w:t>)</w:t>
            </w:r>
          </w:p>
          <w:p w14:paraId="0D6C2A86" w14:textId="05EB1DCB" w:rsidR="00304905" w:rsidRPr="00A075A3" w:rsidRDefault="00304905" w:rsidP="00304905">
            <w:pPr>
              <w:rPr>
                <w:rFonts w:cs="Arial"/>
                <w:szCs w:val="19"/>
              </w:rPr>
            </w:pPr>
            <w:r w:rsidRPr="00562529">
              <w:rPr>
                <w:rFonts w:cs="Arial"/>
                <w:sz w:val="16"/>
                <w:szCs w:val="16"/>
              </w:rPr>
              <w:t>4mg tablet</w:t>
            </w:r>
          </w:p>
        </w:tc>
        <w:tc>
          <w:tcPr>
            <w:tcW w:w="3487" w:type="pct"/>
            <w:shd w:val="clear" w:color="auto" w:fill="auto"/>
            <w:tcMar>
              <w:top w:w="57" w:type="dxa"/>
              <w:left w:w="170" w:type="dxa"/>
              <w:bottom w:w="57" w:type="dxa"/>
              <w:right w:w="170" w:type="dxa"/>
            </w:tcMar>
          </w:tcPr>
          <w:p w14:paraId="09A803CA" w14:textId="79355DEA" w:rsidR="00304905" w:rsidRPr="00562529" w:rsidRDefault="00304905" w:rsidP="00304905">
            <w:pPr>
              <w:tabs>
                <w:tab w:val="center" w:pos="3152"/>
              </w:tabs>
              <w:rPr>
                <w:rFonts w:cs="Arial"/>
                <w:color w:val="000000"/>
                <w:szCs w:val="19"/>
                <w:lang w:val="en-US"/>
              </w:rPr>
            </w:pPr>
            <w:r w:rsidRPr="00562529">
              <w:rPr>
                <w:rFonts w:cs="Arial"/>
                <w:color w:val="000000"/>
                <w:szCs w:val="19"/>
                <w:lang w:val="en-US"/>
              </w:rPr>
              <w:t>Treatment of adults with locally advanced or metastatic cholangiocarcinoma with a fibroblast growth factor receptor 2 fusion or rearrangement that have progressed after at least one prior line of systemic therapy</w:t>
            </w:r>
          </w:p>
        </w:tc>
      </w:tr>
      <w:tr w:rsidR="00304905" w:rsidRPr="00131D4C" w14:paraId="04332EFE" w14:textId="77777777" w:rsidTr="003D2915">
        <w:tc>
          <w:tcPr>
            <w:tcW w:w="1513" w:type="pct"/>
            <w:shd w:val="clear" w:color="auto" w:fill="auto"/>
            <w:tcMar>
              <w:top w:w="57" w:type="dxa"/>
              <w:left w:w="170" w:type="dxa"/>
              <w:bottom w:w="57" w:type="dxa"/>
              <w:right w:w="170" w:type="dxa"/>
            </w:tcMar>
          </w:tcPr>
          <w:p w14:paraId="203EA7FE" w14:textId="77777777" w:rsidR="00304905" w:rsidRDefault="00304905" w:rsidP="00304905">
            <w:pPr>
              <w:rPr>
                <w:rFonts w:cs="Arial"/>
                <w:szCs w:val="19"/>
              </w:rPr>
            </w:pPr>
            <w:r>
              <w:rPr>
                <w:rFonts w:cs="Arial"/>
                <w:szCs w:val="19"/>
              </w:rPr>
              <w:t>Lecanemab (</w:t>
            </w:r>
            <w:r>
              <w:rPr>
                <w:rFonts w:cs="Arial"/>
                <w:i/>
                <w:iCs/>
                <w:szCs w:val="19"/>
              </w:rPr>
              <w:t>Leqembi</w:t>
            </w:r>
            <w:r>
              <w:rPr>
                <w:rFonts w:cs="Arial"/>
                <w:szCs w:val="19"/>
              </w:rPr>
              <w:t>)</w:t>
            </w:r>
          </w:p>
          <w:p w14:paraId="38BAE593" w14:textId="1D7BAAC9" w:rsidR="00304905" w:rsidRPr="00EA51C2" w:rsidRDefault="00304905" w:rsidP="00304905">
            <w:pPr>
              <w:rPr>
                <w:rFonts w:cs="Arial"/>
                <w:szCs w:val="19"/>
              </w:rPr>
            </w:pPr>
            <w:r w:rsidRPr="004D4840">
              <w:rPr>
                <w:rFonts w:cs="Arial"/>
                <w:sz w:val="16"/>
                <w:szCs w:val="16"/>
              </w:rPr>
              <w:t>200mg in 2mL and 500mg in 5mL vial</w:t>
            </w:r>
          </w:p>
        </w:tc>
        <w:tc>
          <w:tcPr>
            <w:tcW w:w="3487" w:type="pct"/>
            <w:shd w:val="clear" w:color="auto" w:fill="auto"/>
            <w:tcMar>
              <w:top w:w="57" w:type="dxa"/>
              <w:left w:w="170" w:type="dxa"/>
              <w:bottom w:w="57" w:type="dxa"/>
              <w:right w:w="170" w:type="dxa"/>
            </w:tcMar>
          </w:tcPr>
          <w:p w14:paraId="62EFAB75" w14:textId="77777777" w:rsidR="00304905" w:rsidRDefault="00304905" w:rsidP="00304905">
            <w:pPr>
              <w:tabs>
                <w:tab w:val="center" w:pos="3152"/>
              </w:tabs>
              <w:rPr>
                <w:rFonts w:cs="Arial"/>
                <w:szCs w:val="19"/>
              </w:rPr>
            </w:pPr>
            <w:r w:rsidRPr="006F5E7E">
              <w:rPr>
                <w:rFonts w:cs="Arial"/>
                <w:szCs w:val="19"/>
              </w:rPr>
              <w:t>Treatment of mild cognitive impairment and mild dementia due to Alzheimer’s disease in adults that are apolipoprotein E ε4 heterozygotes or non-carriers</w:t>
            </w:r>
            <w:r>
              <w:rPr>
                <w:rFonts w:cs="Arial"/>
                <w:szCs w:val="19"/>
              </w:rPr>
              <w:t xml:space="preserve"> </w:t>
            </w:r>
          </w:p>
          <w:p w14:paraId="75060D25" w14:textId="1F91A22A" w:rsidR="00304905" w:rsidRPr="00B64A1C" w:rsidRDefault="00304905" w:rsidP="00304905">
            <w:pPr>
              <w:tabs>
                <w:tab w:val="center" w:pos="3152"/>
              </w:tabs>
              <w:rPr>
                <w:rFonts w:cs="Arial"/>
                <w:sz w:val="18"/>
                <w:szCs w:val="18"/>
              </w:rPr>
            </w:pPr>
            <w:r w:rsidRPr="00E13796">
              <w:rPr>
                <w:rFonts w:cs="Arial"/>
                <w:sz w:val="16"/>
                <w:szCs w:val="16"/>
              </w:rPr>
              <w:t>[4-weekly maintenance dosing regimen with no change to licensed indication]</w:t>
            </w:r>
          </w:p>
        </w:tc>
      </w:tr>
      <w:tr w:rsidR="00F33646" w:rsidRPr="00131D4C" w14:paraId="40D2C644" w14:textId="77777777" w:rsidTr="003D2915">
        <w:tc>
          <w:tcPr>
            <w:tcW w:w="1513" w:type="pct"/>
            <w:shd w:val="clear" w:color="auto" w:fill="auto"/>
            <w:tcMar>
              <w:top w:w="57" w:type="dxa"/>
              <w:left w:w="170" w:type="dxa"/>
              <w:bottom w:w="57" w:type="dxa"/>
              <w:right w:w="170" w:type="dxa"/>
            </w:tcMar>
          </w:tcPr>
          <w:p w14:paraId="2F5D44F9" w14:textId="77777777" w:rsidR="00F33646" w:rsidRDefault="00F33646" w:rsidP="00F33646">
            <w:pPr>
              <w:rPr>
                <w:rFonts w:cs="Arial"/>
                <w:szCs w:val="19"/>
              </w:rPr>
            </w:pPr>
            <w:r>
              <w:rPr>
                <w:rFonts w:cs="Arial"/>
                <w:szCs w:val="19"/>
              </w:rPr>
              <w:t>Leuprorelin (</w:t>
            </w:r>
            <w:r>
              <w:rPr>
                <w:rFonts w:cs="Arial"/>
                <w:i/>
                <w:iCs/>
                <w:szCs w:val="19"/>
              </w:rPr>
              <w:t>Camcevi</w:t>
            </w:r>
            <w:r>
              <w:rPr>
                <w:rFonts w:cs="Arial"/>
                <w:szCs w:val="19"/>
              </w:rPr>
              <w:t>)</w:t>
            </w:r>
          </w:p>
          <w:p w14:paraId="7C570F7D" w14:textId="282BCBCA" w:rsidR="00F33646" w:rsidRDefault="00F33646" w:rsidP="00F33646">
            <w:pPr>
              <w:rPr>
                <w:rFonts w:cs="Arial"/>
                <w:szCs w:val="19"/>
              </w:rPr>
            </w:pPr>
            <w:r w:rsidRPr="00EB48D9">
              <w:rPr>
                <w:rFonts w:cs="Arial"/>
                <w:sz w:val="16"/>
                <w:szCs w:val="16"/>
              </w:rPr>
              <w:t>42mg prefilled syringe</w:t>
            </w:r>
          </w:p>
        </w:tc>
        <w:tc>
          <w:tcPr>
            <w:tcW w:w="3487" w:type="pct"/>
            <w:shd w:val="clear" w:color="auto" w:fill="auto"/>
            <w:tcMar>
              <w:top w:w="57" w:type="dxa"/>
              <w:left w:w="170" w:type="dxa"/>
              <w:bottom w:w="57" w:type="dxa"/>
              <w:right w:w="170" w:type="dxa"/>
            </w:tcMar>
          </w:tcPr>
          <w:p w14:paraId="0B77405F" w14:textId="5F2B4865" w:rsidR="00EB4437" w:rsidRDefault="00F33646" w:rsidP="00F33646">
            <w:pPr>
              <w:tabs>
                <w:tab w:val="center" w:pos="3152"/>
              </w:tabs>
              <w:rPr>
                <w:rFonts w:cs="Arial"/>
                <w:color w:val="000000"/>
                <w:szCs w:val="19"/>
                <w:lang w:val="en-US"/>
              </w:rPr>
            </w:pPr>
            <w:r w:rsidRPr="00912FFC">
              <w:rPr>
                <w:rFonts w:cs="Arial"/>
                <w:color w:val="000000"/>
                <w:szCs w:val="19"/>
                <w:lang w:val="en-US"/>
              </w:rPr>
              <w:t>Metastatic prostate cancer, locally advanced prostate cancer, as an alternative to surgical castration</w:t>
            </w:r>
            <w:r>
              <w:rPr>
                <w:rFonts w:cs="Arial"/>
                <w:color w:val="000000"/>
                <w:szCs w:val="19"/>
                <w:lang w:val="en-US"/>
              </w:rPr>
              <w:t>, a</w:t>
            </w:r>
            <w:r w:rsidRPr="00912FFC">
              <w:rPr>
                <w:rFonts w:cs="Arial"/>
                <w:color w:val="000000"/>
                <w:szCs w:val="19"/>
                <w:lang w:val="en-US"/>
              </w:rPr>
              <w:t xml:space="preserve">s an adjuvant treatment to radiotherapy in patients with high-risk </w:t>
            </w:r>
            <w:r>
              <w:rPr>
                <w:rFonts w:cs="Arial"/>
                <w:color w:val="000000"/>
                <w:szCs w:val="19"/>
                <w:lang w:val="en-US"/>
              </w:rPr>
              <w:t>locali</w:t>
            </w:r>
            <w:r w:rsidR="000E13A4">
              <w:rPr>
                <w:rFonts w:cs="Arial"/>
                <w:color w:val="000000"/>
                <w:szCs w:val="19"/>
                <w:lang w:val="en-US"/>
              </w:rPr>
              <w:t>s</w:t>
            </w:r>
            <w:r>
              <w:rPr>
                <w:rFonts w:cs="Arial"/>
                <w:color w:val="000000"/>
                <w:szCs w:val="19"/>
                <w:lang w:val="en-US"/>
              </w:rPr>
              <w:t xml:space="preserve">ed </w:t>
            </w:r>
            <w:r w:rsidRPr="00912FFC">
              <w:rPr>
                <w:rFonts w:cs="Arial"/>
                <w:color w:val="000000"/>
                <w:szCs w:val="19"/>
                <w:lang w:val="en-US"/>
              </w:rPr>
              <w:t>or locally advanced prostate cancer</w:t>
            </w:r>
            <w:r>
              <w:rPr>
                <w:rFonts w:cs="Arial"/>
                <w:color w:val="000000"/>
                <w:szCs w:val="19"/>
                <w:lang w:val="en-US"/>
              </w:rPr>
              <w:t xml:space="preserve">, as </w:t>
            </w:r>
            <w:r w:rsidRPr="00912FFC">
              <w:rPr>
                <w:rFonts w:cs="Arial"/>
                <w:color w:val="000000"/>
                <w:szCs w:val="19"/>
                <w:lang w:val="en-US"/>
              </w:rPr>
              <w:t>an adjuvant treatment to radical prostatectomy in patients with locally</w:t>
            </w:r>
            <w:r>
              <w:rPr>
                <w:rFonts w:cs="Arial"/>
                <w:color w:val="000000"/>
                <w:szCs w:val="19"/>
                <w:lang w:val="en-US"/>
              </w:rPr>
              <w:t xml:space="preserve"> </w:t>
            </w:r>
            <w:r w:rsidRPr="00912FFC">
              <w:rPr>
                <w:rFonts w:cs="Arial"/>
                <w:color w:val="000000"/>
                <w:szCs w:val="19"/>
                <w:lang w:val="en-US"/>
              </w:rPr>
              <w:t>advanced prostate cancer at high risk of disease progression</w:t>
            </w:r>
            <w:r>
              <w:rPr>
                <w:rFonts w:cs="Arial"/>
                <w:color w:val="000000"/>
                <w:szCs w:val="19"/>
                <w:lang w:val="en-US"/>
              </w:rPr>
              <w:t>, and a</w:t>
            </w:r>
            <w:r w:rsidRPr="00912FFC">
              <w:rPr>
                <w:rFonts w:cs="Arial"/>
                <w:color w:val="000000"/>
                <w:szCs w:val="19"/>
                <w:lang w:val="en-US"/>
              </w:rPr>
              <w:t>s neo-adjuvant treatment prior to radiotherapy in patients with high-risk</w:t>
            </w:r>
            <w:r>
              <w:rPr>
                <w:rFonts w:cs="Arial"/>
                <w:color w:val="000000"/>
                <w:szCs w:val="19"/>
                <w:lang w:val="en-US"/>
              </w:rPr>
              <w:t xml:space="preserve"> </w:t>
            </w:r>
            <w:r w:rsidRPr="00912FFC">
              <w:rPr>
                <w:rFonts w:cs="Arial"/>
                <w:color w:val="000000"/>
                <w:szCs w:val="19"/>
                <w:lang w:val="en-US"/>
              </w:rPr>
              <w:t>localised or locally advanced prostate cancer</w:t>
            </w:r>
            <w:r>
              <w:rPr>
                <w:rFonts w:cs="Arial"/>
                <w:color w:val="000000"/>
                <w:szCs w:val="19"/>
                <w:lang w:val="en-US"/>
              </w:rPr>
              <w:t xml:space="preserve"> </w:t>
            </w:r>
          </w:p>
          <w:p w14:paraId="32FA210D" w14:textId="35835C43" w:rsidR="00F33646" w:rsidRPr="00B42C18" w:rsidRDefault="00F33646" w:rsidP="00F33646">
            <w:pPr>
              <w:tabs>
                <w:tab w:val="center" w:pos="3152"/>
              </w:tabs>
              <w:rPr>
                <w:rFonts w:cs="Arial"/>
                <w:szCs w:val="19"/>
                <w:lang w:val="en-US"/>
              </w:rPr>
            </w:pPr>
            <w:r w:rsidRPr="006A748B">
              <w:rPr>
                <w:rFonts w:cs="Arial"/>
                <w:color w:val="000000"/>
                <w:sz w:val="16"/>
                <w:szCs w:val="16"/>
                <w:lang w:val="en-US"/>
              </w:rPr>
              <w:t xml:space="preserve">[new 6-month </w:t>
            </w:r>
            <w:r>
              <w:rPr>
                <w:rFonts w:cs="Arial"/>
                <w:color w:val="000000"/>
                <w:sz w:val="16"/>
                <w:szCs w:val="16"/>
                <w:lang w:val="en-US"/>
              </w:rPr>
              <w:t xml:space="preserve">prolonged-release suspension for injection </w:t>
            </w:r>
            <w:r w:rsidRPr="006A748B">
              <w:rPr>
                <w:rFonts w:cs="Arial"/>
                <w:color w:val="000000"/>
                <w:sz w:val="16"/>
                <w:szCs w:val="16"/>
                <w:lang w:val="en-US"/>
              </w:rPr>
              <w:t>formulation]</w:t>
            </w:r>
          </w:p>
        </w:tc>
      </w:tr>
      <w:tr w:rsidR="007C4E3D" w:rsidRPr="00131D4C" w14:paraId="6A8CD40A" w14:textId="77777777" w:rsidTr="003D2915">
        <w:tc>
          <w:tcPr>
            <w:tcW w:w="1513" w:type="pct"/>
            <w:shd w:val="clear" w:color="auto" w:fill="auto"/>
            <w:tcMar>
              <w:top w:w="57" w:type="dxa"/>
              <w:left w:w="170" w:type="dxa"/>
              <w:bottom w:w="57" w:type="dxa"/>
              <w:right w:w="170" w:type="dxa"/>
            </w:tcMar>
          </w:tcPr>
          <w:p w14:paraId="4CA5457B" w14:textId="77777777" w:rsidR="007C4E3D" w:rsidRDefault="007C4E3D" w:rsidP="007C4E3D">
            <w:pPr>
              <w:rPr>
                <w:rFonts w:cs="Arial"/>
                <w:szCs w:val="19"/>
              </w:rPr>
            </w:pPr>
            <w:r>
              <w:rPr>
                <w:rFonts w:cs="Arial"/>
                <w:szCs w:val="19"/>
              </w:rPr>
              <w:t>Mercapta</w:t>
            </w:r>
            <w:r w:rsidRPr="00F76DAF">
              <w:rPr>
                <w:rFonts w:cs="Arial"/>
                <w:szCs w:val="19"/>
              </w:rPr>
              <w:t>mine hydrochloride </w:t>
            </w:r>
          </w:p>
          <w:p w14:paraId="7B674AC2" w14:textId="77777777" w:rsidR="007C4E3D" w:rsidRDefault="007C4E3D" w:rsidP="007C4E3D">
            <w:pPr>
              <w:rPr>
                <w:rFonts w:cs="Arial"/>
                <w:szCs w:val="19"/>
              </w:rPr>
            </w:pPr>
            <w:r>
              <w:rPr>
                <w:rFonts w:cs="Arial"/>
                <w:szCs w:val="19"/>
              </w:rPr>
              <w:t>(</w:t>
            </w:r>
            <w:r w:rsidRPr="00F76DAF">
              <w:rPr>
                <w:rFonts w:cs="Arial"/>
                <w:i/>
                <w:iCs/>
                <w:szCs w:val="19"/>
              </w:rPr>
              <w:t>Cystadrops</w:t>
            </w:r>
            <w:r>
              <w:rPr>
                <w:rFonts w:cs="Arial"/>
                <w:szCs w:val="19"/>
              </w:rPr>
              <w:t>)</w:t>
            </w:r>
          </w:p>
          <w:p w14:paraId="05DA0272" w14:textId="44ABF4D4" w:rsidR="007C4E3D" w:rsidRDefault="007C4E3D" w:rsidP="007C4E3D">
            <w:pPr>
              <w:rPr>
                <w:rFonts w:cs="Arial"/>
                <w:szCs w:val="19"/>
              </w:rPr>
            </w:pPr>
            <w:r w:rsidRPr="00B72173">
              <w:rPr>
                <w:rFonts w:cs="Arial"/>
                <w:sz w:val="16"/>
                <w:szCs w:val="16"/>
              </w:rPr>
              <w:t>3.8mg in 1mL eye drops</w:t>
            </w:r>
          </w:p>
        </w:tc>
        <w:tc>
          <w:tcPr>
            <w:tcW w:w="3487" w:type="pct"/>
            <w:shd w:val="clear" w:color="auto" w:fill="auto"/>
            <w:tcMar>
              <w:top w:w="57" w:type="dxa"/>
              <w:left w:w="170" w:type="dxa"/>
              <w:bottom w:w="57" w:type="dxa"/>
              <w:right w:w="170" w:type="dxa"/>
            </w:tcMar>
          </w:tcPr>
          <w:p w14:paraId="179C8451" w14:textId="04DDD326" w:rsidR="007C4E3D" w:rsidRPr="00912FFC" w:rsidRDefault="007C4E3D" w:rsidP="007C4E3D">
            <w:pPr>
              <w:tabs>
                <w:tab w:val="center" w:pos="3152"/>
              </w:tabs>
              <w:rPr>
                <w:rFonts w:cs="Arial"/>
                <w:color w:val="000000"/>
                <w:szCs w:val="19"/>
                <w:lang w:val="en-US"/>
              </w:rPr>
            </w:pPr>
            <w:r w:rsidRPr="00B42C18">
              <w:rPr>
                <w:rFonts w:cs="Arial"/>
                <w:szCs w:val="19"/>
                <w:lang w:val="en-US"/>
              </w:rPr>
              <w:t xml:space="preserve">Treatment of corneal cystine crystal deposits in adults and children </w:t>
            </w:r>
            <w:r>
              <w:rPr>
                <w:rFonts w:cs="Arial"/>
                <w:szCs w:val="19"/>
                <w:lang w:val="en-US"/>
              </w:rPr>
              <w:t>aged</w:t>
            </w:r>
            <w:r w:rsidRPr="00B42C18">
              <w:rPr>
                <w:rFonts w:cs="Arial"/>
                <w:szCs w:val="19"/>
                <w:lang w:val="en-US"/>
              </w:rPr>
              <w:t xml:space="preserve"> </w:t>
            </w:r>
            <w:r>
              <w:rPr>
                <w:rFonts w:cs="Arial"/>
                <w:szCs w:val="19"/>
                <w:lang w:val="en-US"/>
              </w:rPr>
              <w:t>≥</w:t>
            </w:r>
            <w:r w:rsidRPr="00B42C18">
              <w:rPr>
                <w:rFonts w:cs="Arial"/>
                <w:szCs w:val="19"/>
                <w:lang w:val="en-US"/>
              </w:rPr>
              <w:t xml:space="preserve">6 </w:t>
            </w:r>
            <w:r>
              <w:rPr>
                <w:rFonts w:cs="Arial"/>
                <w:szCs w:val="19"/>
                <w:lang w:val="en-US"/>
              </w:rPr>
              <w:t>m</w:t>
            </w:r>
            <w:r w:rsidRPr="00B42C18">
              <w:rPr>
                <w:rFonts w:cs="Arial"/>
                <w:szCs w:val="19"/>
                <w:lang w:val="en-US"/>
              </w:rPr>
              <w:t>onths with cystinosis</w:t>
            </w:r>
            <w:r>
              <w:rPr>
                <w:rFonts w:cs="Arial"/>
                <w:szCs w:val="19"/>
                <w:lang w:val="en-US"/>
              </w:rPr>
              <w:t xml:space="preserve"> </w:t>
            </w:r>
            <w:r w:rsidRPr="00B42C18">
              <w:rPr>
                <w:rFonts w:cs="Arial"/>
                <w:sz w:val="16"/>
                <w:szCs w:val="16"/>
                <w:lang w:val="en-US"/>
              </w:rPr>
              <w:t xml:space="preserve">[licence change from use only in people aged </w:t>
            </w:r>
            <w:r>
              <w:rPr>
                <w:rFonts w:cs="Arial"/>
                <w:sz w:val="16"/>
                <w:szCs w:val="16"/>
                <w:lang w:val="en-US"/>
              </w:rPr>
              <w:t>≥</w:t>
            </w:r>
            <w:r w:rsidRPr="00B42C18">
              <w:rPr>
                <w:rFonts w:cs="Arial"/>
                <w:sz w:val="16"/>
                <w:szCs w:val="16"/>
                <w:lang w:val="en-US"/>
              </w:rPr>
              <w:t>2 years]</w:t>
            </w:r>
          </w:p>
        </w:tc>
      </w:tr>
      <w:tr w:rsidR="007C4E3D" w:rsidRPr="00862949" w14:paraId="017007BC" w14:textId="77777777" w:rsidTr="002772ED">
        <w:tc>
          <w:tcPr>
            <w:tcW w:w="5000" w:type="pct"/>
            <w:gridSpan w:val="2"/>
            <w:shd w:val="clear" w:color="auto" w:fill="auto"/>
            <w:tcMar>
              <w:top w:w="0" w:type="dxa"/>
              <w:bottom w:w="0" w:type="dxa"/>
            </w:tcMar>
          </w:tcPr>
          <w:p w14:paraId="0171AFC0" w14:textId="77777777" w:rsidR="007C4E3D" w:rsidRPr="00862949" w:rsidRDefault="007C4E3D" w:rsidP="007C4E3D">
            <w:pPr>
              <w:rPr>
                <w:rFonts w:cs="Arial"/>
                <w:b/>
                <w:noProof/>
                <w:sz w:val="8"/>
                <w:szCs w:val="8"/>
              </w:rPr>
            </w:pPr>
          </w:p>
        </w:tc>
      </w:tr>
      <w:tr w:rsidR="007C4E3D" w:rsidRPr="00862949" w14:paraId="189A327A" w14:textId="77777777" w:rsidTr="002772ED">
        <w:tc>
          <w:tcPr>
            <w:tcW w:w="5000" w:type="pct"/>
            <w:gridSpan w:val="2"/>
            <w:shd w:val="clear" w:color="auto" w:fill="DAEEF3"/>
            <w:tcMar>
              <w:top w:w="0" w:type="dxa"/>
              <w:bottom w:w="0" w:type="dxa"/>
            </w:tcMar>
          </w:tcPr>
          <w:p w14:paraId="41E56681" w14:textId="77777777" w:rsidR="007C4E3D" w:rsidRPr="00862949" w:rsidRDefault="007C4E3D" w:rsidP="007C4E3D">
            <w:pPr>
              <w:rPr>
                <w:rFonts w:cs="Arial"/>
                <w:b/>
                <w:i/>
                <w:noProof/>
                <w:sz w:val="8"/>
                <w:szCs w:val="8"/>
              </w:rPr>
            </w:pPr>
          </w:p>
        </w:tc>
      </w:tr>
    </w:tbl>
    <w:p w14:paraId="6E8F21BF" w14:textId="77777777" w:rsidR="00797F59" w:rsidRDefault="00797F59" w:rsidP="00727945">
      <w:pPr>
        <w:rPr>
          <w:rFonts w:ascii="Latha" w:hAnsi="Latha" w:cs="Latha"/>
          <w:sz w:val="8"/>
          <w:szCs w:val="8"/>
        </w:rPr>
      </w:pPr>
    </w:p>
    <w:p w14:paraId="040E9BC5" w14:textId="77777777" w:rsidR="0022269C" w:rsidRDefault="0022269C" w:rsidP="00727945">
      <w:pPr>
        <w:rPr>
          <w:rFonts w:ascii="Latha" w:hAnsi="Latha" w:cs="Latha"/>
          <w:sz w:val="8"/>
          <w:szCs w:val="8"/>
        </w:rPr>
      </w:pPr>
    </w:p>
    <w:p w14:paraId="3F7A7FF3" w14:textId="77777777" w:rsidR="0022269C" w:rsidRDefault="0022269C" w:rsidP="00727945">
      <w:pPr>
        <w:rPr>
          <w:rFonts w:ascii="Latha" w:hAnsi="Latha" w:cs="Latha"/>
          <w:sz w:val="8"/>
          <w:szCs w:val="8"/>
        </w:rPr>
      </w:pPr>
    </w:p>
    <w:p w14:paraId="598B6DA2" w14:textId="77777777" w:rsidR="0022269C" w:rsidRDefault="0022269C" w:rsidP="00727945">
      <w:pPr>
        <w:rPr>
          <w:rFonts w:ascii="Latha" w:hAnsi="Latha" w:cs="Latha"/>
          <w:sz w:val="8"/>
          <w:szCs w:val="8"/>
        </w:rPr>
      </w:pPr>
    </w:p>
    <w:p w14:paraId="54F9D051" w14:textId="77777777" w:rsidR="001A42CE" w:rsidRPr="00727945" w:rsidRDefault="001A42CE" w:rsidP="00727945">
      <w:pPr>
        <w:rPr>
          <w:rFonts w:ascii="Latha" w:hAnsi="Latha" w:cs="Latha"/>
          <w:sz w:val="8"/>
          <w:szCs w:val="8"/>
        </w:rPr>
        <w:sectPr w:rsidR="001A42CE" w:rsidRPr="00727945" w:rsidSect="002772ED">
          <w:headerReference w:type="even" r:id="rId14"/>
          <w:headerReference w:type="default" r:id="rId15"/>
          <w:footerReference w:type="even" r:id="rId16"/>
          <w:footerReference w:type="default" r:id="rId17"/>
          <w:headerReference w:type="first" r:id="rId18"/>
          <w:pgSz w:w="11906" w:h="16838" w:code="9"/>
          <w:pgMar w:top="680" w:right="851" w:bottom="680" w:left="851" w:header="567" w:footer="227" w:gutter="0"/>
          <w:cols w:space="708"/>
          <w:docGrid w:linePitch="360"/>
        </w:sectPr>
      </w:pPr>
    </w:p>
    <w:p w14:paraId="0EB9A5EB" w14:textId="77777777" w:rsidR="006825BB" w:rsidRDefault="006825BB">
      <w:pPr>
        <w:rPr>
          <w:sz w:val="8"/>
          <w:szCs w:val="16"/>
        </w:rPr>
      </w:pPr>
    </w:p>
    <w:p w14:paraId="031EF0D5" w14:textId="77777777" w:rsidR="00C10FEB" w:rsidRDefault="00C10FEB">
      <w:pPr>
        <w:rPr>
          <w:sz w:val="8"/>
          <w:szCs w:val="16"/>
        </w:rPr>
      </w:pPr>
    </w:p>
    <w:p w14:paraId="5509C14B" w14:textId="77777777" w:rsidR="00A81694" w:rsidRDefault="00EB3E6F" w:rsidP="00EB3E6F">
      <w:pPr>
        <w:tabs>
          <w:tab w:val="left" w:pos="2087"/>
        </w:tabs>
      </w:pPr>
      <w:r>
        <w:tab/>
      </w:r>
    </w:p>
    <w:tbl>
      <w:tblPr>
        <w:tblW w:w="5170" w:type="pct"/>
        <w:tblInd w:w="-176" w:type="dxa"/>
        <w:tblLayout w:type="fixed"/>
        <w:tblLook w:val="01E0" w:firstRow="1" w:lastRow="1" w:firstColumn="1" w:lastColumn="1" w:noHBand="0" w:noVBand="0"/>
      </w:tblPr>
      <w:tblGrid>
        <w:gridCol w:w="3193"/>
        <w:gridCol w:w="7358"/>
      </w:tblGrid>
      <w:tr w:rsidR="001802BD" w:rsidRPr="00862949" w14:paraId="158710AF" w14:textId="77777777" w:rsidTr="00DB233A">
        <w:tc>
          <w:tcPr>
            <w:tcW w:w="5000" w:type="pct"/>
            <w:gridSpan w:val="2"/>
            <w:shd w:val="clear" w:color="auto" w:fill="0070C0"/>
            <w:tcMar>
              <w:top w:w="85" w:type="dxa"/>
              <w:bottom w:w="85" w:type="dxa"/>
            </w:tcMar>
            <w:vAlign w:val="bottom"/>
          </w:tcPr>
          <w:p w14:paraId="4D036002" w14:textId="77777777" w:rsidR="001802BD" w:rsidRPr="00862949" w:rsidRDefault="001802BD" w:rsidP="00DB233A">
            <w:pPr>
              <w:rPr>
                <w:rFonts w:cs="Arial"/>
                <w:color w:val="FFFFFF"/>
                <w:sz w:val="15"/>
                <w:szCs w:val="15"/>
              </w:rPr>
            </w:pPr>
            <w:r>
              <w:rPr>
                <w:rFonts w:cs="Arial"/>
                <w:b/>
                <w:bCs/>
                <w:iCs/>
                <w:color w:val="FFFFFF"/>
                <w:sz w:val="28"/>
                <w:szCs w:val="28"/>
                <w:lang w:val="en-US"/>
              </w:rPr>
              <w:t>New product information</w:t>
            </w:r>
            <w:r w:rsidRPr="00862949">
              <w:rPr>
                <w:rFonts w:cs="Arial"/>
                <w:b/>
                <w:bCs/>
                <w:iCs/>
                <w:color w:val="FFFFFF"/>
                <w:sz w:val="28"/>
                <w:szCs w:val="28"/>
                <w:lang w:val="en-US"/>
              </w:rPr>
              <w:tab/>
            </w:r>
          </w:p>
        </w:tc>
      </w:tr>
      <w:tr w:rsidR="001802BD" w:rsidRPr="00862949" w14:paraId="4F0298F6" w14:textId="77777777" w:rsidTr="00DB233A">
        <w:tc>
          <w:tcPr>
            <w:tcW w:w="5000" w:type="pct"/>
            <w:gridSpan w:val="2"/>
            <w:shd w:val="clear" w:color="auto" w:fill="DAEEF3"/>
            <w:tcMar>
              <w:top w:w="0" w:type="dxa"/>
              <w:bottom w:w="0" w:type="dxa"/>
            </w:tcMar>
          </w:tcPr>
          <w:p w14:paraId="7997C8E3" w14:textId="77777777" w:rsidR="001802BD" w:rsidRPr="00862949" w:rsidRDefault="001802BD" w:rsidP="00DB233A">
            <w:pPr>
              <w:rPr>
                <w:rFonts w:cs="Arial"/>
                <w:b/>
                <w:bCs/>
                <w:i/>
                <w:iCs/>
                <w:color w:val="000000"/>
                <w:sz w:val="8"/>
                <w:szCs w:val="8"/>
                <w:lang w:val="en-US"/>
              </w:rPr>
            </w:pPr>
          </w:p>
        </w:tc>
      </w:tr>
      <w:tr w:rsidR="001802BD" w:rsidRPr="00862949" w14:paraId="38A694E4" w14:textId="77777777" w:rsidTr="00DB233A">
        <w:tc>
          <w:tcPr>
            <w:tcW w:w="5000" w:type="pct"/>
            <w:gridSpan w:val="2"/>
            <w:shd w:val="clear" w:color="auto" w:fill="008232"/>
            <w:tcMar>
              <w:top w:w="57" w:type="dxa"/>
              <w:bottom w:w="57" w:type="dxa"/>
            </w:tcMar>
          </w:tcPr>
          <w:p w14:paraId="31B2EFCF" w14:textId="3296E5EA" w:rsidR="001802BD" w:rsidRPr="00433D3E" w:rsidRDefault="001802BD" w:rsidP="00DB233A">
            <w:pPr>
              <w:rPr>
                <w:rFonts w:cs="Arial"/>
                <w:color w:val="FFFFFF"/>
                <w:sz w:val="20"/>
                <w:szCs w:val="20"/>
              </w:rPr>
            </w:pPr>
            <w:r w:rsidRPr="00433D3E">
              <w:rPr>
                <w:rFonts w:cs="Arial"/>
                <w:b/>
                <w:bCs/>
                <w:i/>
                <w:iCs/>
                <w:color w:val="FFFFFF"/>
                <w:sz w:val="22"/>
                <w:szCs w:val="20"/>
                <w:lang w:val="en-US"/>
              </w:rPr>
              <w:t>Launched in the UK (or licence change for existing products)</w:t>
            </w:r>
            <w:r w:rsidR="006E3EEF">
              <w:rPr>
                <w:rFonts w:cs="Arial"/>
                <w:b/>
                <w:bCs/>
                <w:i/>
                <w:iCs/>
                <w:color w:val="FFFFFF"/>
                <w:sz w:val="22"/>
                <w:szCs w:val="20"/>
                <w:lang w:val="en-US"/>
              </w:rPr>
              <w:t xml:space="preserve"> </w:t>
            </w:r>
            <w:r w:rsidR="006E3EEF" w:rsidRPr="006E3EEF">
              <w:rPr>
                <w:rFonts w:cs="Arial"/>
                <w:b/>
                <w:bCs/>
                <w:color w:val="FFFFFF"/>
                <w:sz w:val="16"/>
                <w:szCs w:val="14"/>
                <w:lang w:val="en-US"/>
              </w:rPr>
              <w:t>(continued)</w:t>
            </w:r>
          </w:p>
        </w:tc>
      </w:tr>
      <w:tr w:rsidR="008A282A" w:rsidRPr="00131D4C" w14:paraId="36FA4BAB" w14:textId="77777777" w:rsidTr="00DB233A">
        <w:tc>
          <w:tcPr>
            <w:tcW w:w="1513" w:type="pct"/>
            <w:shd w:val="clear" w:color="auto" w:fill="auto"/>
            <w:tcMar>
              <w:top w:w="57" w:type="dxa"/>
              <w:left w:w="170" w:type="dxa"/>
              <w:bottom w:w="57" w:type="dxa"/>
              <w:right w:w="170" w:type="dxa"/>
            </w:tcMar>
          </w:tcPr>
          <w:p w14:paraId="6A26AE51" w14:textId="77777777" w:rsidR="008A282A" w:rsidRDefault="008A282A" w:rsidP="008A282A">
            <w:pPr>
              <w:rPr>
                <w:rFonts w:cs="Arial"/>
                <w:szCs w:val="19"/>
              </w:rPr>
            </w:pPr>
            <w:r>
              <w:rPr>
                <w:rFonts w:cs="Arial"/>
                <w:szCs w:val="19"/>
              </w:rPr>
              <w:t>Nintedanib (</w:t>
            </w:r>
            <w:r>
              <w:rPr>
                <w:rFonts w:cs="Arial"/>
                <w:i/>
                <w:iCs/>
                <w:szCs w:val="19"/>
              </w:rPr>
              <w:t>Ofev</w:t>
            </w:r>
            <w:r>
              <w:rPr>
                <w:rFonts w:cs="Arial"/>
                <w:szCs w:val="19"/>
              </w:rPr>
              <w:t>)</w:t>
            </w:r>
          </w:p>
          <w:p w14:paraId="1BD8145D" w14:textId="68FA4266" w:rsidR="008A282A" w:rsidRPr="00336E06" w:rsidRDefault="008A282A" w:rsidP="008A282A">
            <w:pPr>
              <w:rPr>
                <w:rFonts w:cs="Arial"/>
                <w:szCs w:val="19"/>
              </w:rPr>
            </w:pPr>
            <w:r w:rsidRPr="003067EE">
              <w:rPr>
                <w:rFonts w:cs="Arial"/>
                <w:sz w:val="16"/>
                <w:szCs w:val="16"/>
              </w:rPr>
              <w:t>100mg and 150mg capsules</w:t>
            </w:r>
          </w:p>
        </w:tc>
        <w:tc>
          <w:tcPr>
            <w:tcW w:w="3487" w:type="pct"/>
            <w:shd w:val="clear" w:color="auto" w:fill="auto"/>
            <w:tcMar>
              <w:top w:w="57" w:type="dxa"/>
              <w:left w:w="170" w:type="dxa"/>
              <w:bottom w:w="57" w:type="dxa"/>
              <w:right w:w="170" w:type="dxa"/>
            </w:tcMar>
          </w:tcPr>
          <w:p w14:paraId="116B8F2E" w14:textId="77777777" w:rsidR="008A282A" w:rsidRDefault="008A282A" w:rsidP="008A282A">
            <w:pPr>
              <w:tabs>
                <w:tab w:val="center" w:pos="3152"/>
              </w:tabs>
              <w:rPr>
                <w:rFonts w:cs="Arial"/>
                <w:szCs w:val="19"/>
              </w:rPr>
            </w:pPr>
            <w:r w:rsidRPr="00491B4D">
              <w:rPr>
                <w:rFonts w:cs="Arial"/>
                <w:szCs w:val="19"/>
              </w:rPr>
              <w:t xml:space="preserve">Treatment of </w:t>
            </w:r>
            <w:r>
              <w:rPr>
                <w:rFonts w:cs="Arial"/>
                <w:szCs w:val="19"/>
              </w:rPr>
              <w:t xml:space="preserve">adults, </w:t>
            </w:r>
            <w:r w:rsidRPr="00491B4D">
              <w:rPr>
                <w:rFonts w:cs="Arial"/>
                <w:szCs w:val="19"/>
              </w:rPr>
              <w:t xml:space="preserve">adolescents and children aged </w:t>
            </w:r>
            <w:r>
              <w:rPr>
                <w:rFonts w:cs="Arial"/>
                <w:szCs w:val="19"/>
              </w:rPr>
              <w:t>≥</w:t>
            </w:r>
            <w:r w:rsidRPr="00491B4D">
              <w:rPr>
                <w:rFonts w:cs="Arial"/>
                <w:szCs w:val="19"/>
              </w:rPr>
              <w:t>6 years for the treatment of systemic sclerosis associated interstitial lung disease</w:t>
            </w:r>
            <w:r>
              <w:rPr>
                <w:rFonts w:cs="Arial"/>
                <w:szCs w:val="19"/>
              </w:rPr>
              <w:t xml:space="preserve"> </w:t>
            </w:r>
          </w:p>
          <w:p w14:paraId="4B91E490" w14:textId="6660A4E3" w:rsidR="008A282A" w:rsidRDefault="008A282A" w:rsidP="008A282A">
            <w:pPr>
              <w:tabs>
                <w:tab w:val="center" w:pos="3152"/>
              </w:tabs>
              <w:rPr>
                <w:rFonts w:cs="Arial"/>
                <w:szCs w:val="19"/>
                <w:lang w:val="en-US"/>
              </w:rPr>
            </w:pPr>
            <w:r w:rsidRPr="00B41DA2">
              <w:rPr>
                <w:rFonts w:cs="Arial"/>
                <w:sz w:val="16"/>
                <w:szCs w:val="16"/>
              </w:rPr>
              <w:t xml:space="preserve">[licence change from use only in </w:t>
            </w:r>
            <w:r>
              <w:rPr>
                <w:rFonts w:cs="Arial"/>
                <w:sz w:val="16"/>
                <w:szCs w:val="16"/>
              </w:rPr>
              <w:t>adults</w:t>
            </w:r>
            <w:r w:rsidRPr="00B41DA2">
              <w:rPr>
                <w:rFonts w:cs="Arial"/>
                <w:sz w:val="16"/>
                <w:szCs w:val="16"/>
              </w:rPr>
              <w:t>]</w:t>
            </w:r>
          </w:p>
        </w:tc>
      </w:tr>
      <w:tr w:rsidR="008A282A" w:rsidRPr="00131D4C" w14:paraId="52C287F2" w14:textId="77777777" w:rsidTr="00DB233A">
        <w:tc>
          <w:tcPr>
            <w:tcW w:w="1513" w:type="pct"/>
            <w:shd w:val="clear" w:color="auto" w:fill="auto"/>
            <w:tcMar>
              <w:top w:w="57" w:type="dxa"/>
              <w:left w:w="170" w:type="dxa"/>
              <w:bottom w:w="57" w:type="dxa"/>
              <w:right w:w="170" w:type="dxa"/>
            </w:tcMar>
          </w:tcPr>
          <w:p w14:paraId="61FA4B93" w14:textId="77777777" w:rsidR="008A282A" w:rsidRDefault="008A282A" w:rsidP="008A282A">
            <w:pPr>
              <w:rPr>
                <w:rFonts w:cs="Arial"/>
                <w:szCs w:val="19"/>
              </w:rPr>
            </w:pPr>
            <w:r w:rsidRPr="00336E06">
              <w:rPr>
                <w:rFonts w:cs="Arial"/>
                <w:szCs w:val="19"/>
              </w:rPr>
              <w:t>Respiratory syncytial virus vaccine</w:t>
            </w:r>
            <w:r>
              <w:rPr>
                <w:rFonts w:cs="Arial"/>
                <w:szCs w:val="19"/>
              </w:rPr>
              <w:t xml:space="preserve"> (</w:t>
            </w:r>
            <w:r>
              <w:rPr>
                <w:rFonts w:cs="Arial"/>
                <w:i/>
                <w:iCs/>
                <w:szCs w:val="19"/>
              </w:rPr>
              <w:t>Abrysvo</w:t>
            </w:r>
            <w:r>
              <w:rPr>
                <w:rFonts w:cs="Arial"/>
                <w:szCs w:val="19"/>
              </w:rPr>
              <w:t>)</w:t>
            </w:r>
          </w:p>
          <w:p w14:paraId="3A6D9C93" w14:textId="5A3220D7" w:rsidR="008A282A" w:rsidRDefault="008A282A" w:rsidP="008A282A">
            <w:pPr>
              <w:rPr>
                <w:rFonts w:cs="Arial"/>
                <w:szCs w:val="19"/>
              </w:rPr>
            </w:pPr>
            <w:r w:rsidRPr="009A34BE">
              <w:rPr>
                <w:rFonts w:cs="Arial"/>
                <w:sz w:val="16"/>
                <w:szCs w:val="16"/>
              </w:rPr>
              <w:t>Single-dose vial</w:t>
            </w:r>
          </w:p>
        </w:tc>
        <w:tc>
          <w:tcPr>
            <w:tcW w:w="3487" w:type="pct"/>
            <w:shd w:val="clear" w:color="auto" w:fill="auto"/>
            <w:tcMar>
              <w:top w:w="57" w:type="dxa"/>
              <w:left w:w="170" w:type="dxa"/>
              <w:bottom w:w="57" w:type="dxa"/>
              <w:right w:w="170" w:type="dxa"/>
            </w:tcMar>
          </w:tcPr>
          <w:p w14:paraId="1A1C8261" w14:textId="5F72F2AD" w:rsidR="008A282A" w:rsidRPr="00DB331B" w:rsidRDefault="008A282A" w:rsidP="008A282A">
            <w:pPr>
              <w:tabs>
                <w:tab w:val="center" w:pos="3152"/>
              </w:tabs>
              <w:rPr>
                <w:rFonts w:cs="Arial"/>
                <w:szCs w:val="19"/>
                <w:lang w:val="en-US"/>
              </w:rPr>
            </w:pPr>
            <w:r>
              <w:rPr>
                <w:rFonts w:cs="Arial"/>
                <w:szCs w:val="19"/>
                <w:lang w:val="en-US"/>
              </w:rPr>
              <w:t>Activ</w:t>
            </w:r>
            <w:r w:rsidRPr="009A34BE">
              <w:rPr>
                <w:rFonts w:cs="Arial"/>
                <w:szCs w:val="19"/>
                <w:lang w:val="en-US"/>
              </w:rPr>
              <w:t xml:space="preserve">e immunisation for the prevention of lower respiratory tract disease caused by </w:t>
            </w:r>
            <w:r>
              <w:rPr>
                <w:rFonts w:cs="Arial"/>
                <w:szCs w:val="19"/>
                <w:lang w:val="en-US"/>
              </w:rPr>
              <w:t>respiratory syncytial virus (</w:t>
            </w:r>
            <w:r w:rsidRPr="009A34BE">
              <w:rPr>
                <w:rFonts w:cs="Arial"/>
                <w:szCs w:val="19"/>
                <w:lang w:val="en-US"/>
              </w:rPr>
              <w:t>RSV</w:t>
            </w:r>
            <w:r>
              <w:rPr>
                <w:rFonts w:cs="Arial"/>
                <w:szCs w:val="19"/>
                <w:lang w:val="en-US"/>
              </w:rPr>
              <w:t>)</w:t>
            </w:r>
            <w:r w:rsidRPr="009A34BE">
              <w:rPr>
                <w:rFonts w:cs="Arial"/>
                <w:szCs w:val="19"/>
                <w:lang w:val="en-US"/>
              </w:rPr>
              <w:t xml:space="preserve"> in individuals</w:t>
            </w:r>
            <w:r>
              <w:rPr>
                <w:rFonts w:cs="Arial"/>
                <w:szCs w:val="19"/>
                <w:lang w:val="en-US"/>
              </w:rPr>
              <w:t xml:space="preserve"> aged</w:t>
            </w:r>
            <w:r w:rsidRPr="009A34BE">
              <w:rPr>
                <w:rFonts w:cs="Arial"/>
                <w:szCs w:val="19"/>
                <w:lang w:val="en-US"/>
              </w:rPr>
              <w:t xml:space="preserve"> 18</w:t>
            </w:r>
            <w:r>
              <w:rPr>
                <w:rFonts w:cs="Arial"/>
                <w:szCs w:val="19"/>
                <w:lang w:val="en-US"/>
              </w:rPr>
              <w:t>-</w:t>
            </w:r>
            <w:r w:rsidRPr="009A34BE">
              <w:rPr>
                <w:rFonts w:cs="Arial"/>
                <w:szCs w:val="19"/>
                <w:lang w:val="en-US"/>
              </w:rPr>
              <w:t>59 years who are at increased risk for lower respiratory tract disease caused by RSV</w:t>
            </w:r>
            <w:r>
              <w:rPr>
                <w:rFonts w:cs="Arial"/>
                <w:szCs w:val="19"/>
                <w:lang w:val="en-US"/>
              </w:rPr>
              <w:t xml:space="preserve"> </w:t>
            </w:r>
            <w:r w:rsidRPr="009A34BE">
              <w:rPr>
                <w:rFonts w:cs="Arial"/>
                <w:sz w:val="16"/>
                <w:szCs w:val="16"/>
                <w:lang w:val="en-US"/>
              </w:rPr>
              <w:t>[new indication]</w:t>
            </w:r>
          </w:p>
        </w:tc>
      </w:tr>
      <w:tr w:rsidR="008A282A" w:rsidRPr="00131D4C" w14:paraId="442023C5" w14:textId="77777777" w:rsidTr="00DB233A">
        <w:tc>
          <w:tcPr>
            <w:tcW w:w="1513" w:type="pct"/>
            <w:shd w:val="clear" w:color="auto" w:fill="auto"/>
            <w:tcMar>
              <w:top w:w="57" w:type="dxa"/>
              <w:left w:w="170" w:type="dxa"/>
              <w:bottom w:w="57" w:type="dxa"/>
              <w:right w:w="170" w:type="dxa"/>
            </w:tcMar>
          </w:tcPr>
          <w:p w14:paraId="3EC89E08" w14:textId="77777777" w:rsidR="008A282A" w:rsidRDefault="008A282A" w:rsidP="008A282A">
            <w:pPr>
              <w:rPr>
                <w:rFonts w:cs="Arial"/>
                <w:szCs w:val="19"/>
              </w:rPr>
            </w:pPr>
            <w:r>
              <w:rPr>
                <w:rFonts w:cs="Arial"/>
                <w:szCs w:val="19"/>
              </w:rPr>
              <w:t>Risdiplam (</w:t>
            </w:r>
            <w:r w:rsidRPr="00AD3868">
              <w:rPr>
                <w:rFonts w:cs="Arial"/>
                <w:i/>
                <w:iCs/>
                <w:szCs w:val="19"/>
              </w:rPr>
              <w:t>Evrysdi</w:t>
            </w:r>
            <w:r>
              <w:rPr>
                <w:rFonts w:cs="Arial"/>
                <w:szCs w:val="19"/>
              </w:rPr>
              <w:t>)</w:t>
            </w:r>
          </w:p>
          <w:p w14:paraId="69B409D5" w14:textId="316377C4" w:rsidR="008A282A" w:rsidRDefault="008A282A" w:rsidP="008A282A">
            <w:pPr>
              <w:rPr>
                <w:rFonts w:cs="Arial"/>
                <w:szCs w:val="19"/>
              </w:rPr>
            </w:pPr>
            <w:r w:rsidRPr="009A1A32">
              <w:rPr>
                <w:rFonts w:cs="Arial"/>
                <w:sz w:val="16"/>
                <w:szCs w:val="16"/>
              </w:rPr>
              <w:t>5mg tablet</w:t>
            </w:r>
          </w:p>
        </w:tc>
        <w:tc>
          <w:tcPr>
            <w:tcW w:w="3487" w:type="pct"/>
            <w:shd w:val="clear" w:color="auto" w:fill="auto"/>
            <w:tcMar>
              <w:top w:w="57" w:type="dxa"/>
              <w:left w:w="170" w:type="dxa"/>
              <w:bottom w:w="57" w:type="dxa"/>
              <w:right w:w="170" w:type="dxa"/>
            </w:tcMar>
          </w:tcPr>
          <w:p w14:paraId="3C8F5E83" w14:textId="77777777" w:rsidR="008A282A" w:rsidRDefault="008A282A" w:rsidP="008A282A">
            <w:pPr>
              <w:tabs>
                <w:tab w:val="center" w:pos="3152"/>
              </w:tabs>
              <w:rPr>
                <w:rFonts w:cs="Arial"/>
                <w:szCs w:val="19"/>
                <w:lang w:val="en-US"/>
              </w:rPr>
            </w:pPr>
            <w:r w:rsidRPr="00DB331B">
              <w:rPr>
                <w:rFonts w:cs="Arial"/>
                <w:szCs w:val="19"/>
                <w:lang w:val="en-US"/>
              </w:rPr>
              <w:t>Treatment of 5q spinal muscular atrophy (SMA) in patients with a clinical diagnosis of SMA Type 1, Type 2 or Type 3 or with one to four SMN2 copies</w:t>
            </w:r>
            <w:r>
              <w:rPr>
                <w:rFonts w:cs="Arial"/>
                <w:szCs w:val="19"/>
                <w:lang w:val="en-US"/>
              </w:rPr>
              <w:t xml:space="preserve"> </w:t>
            </w:r>
          </w:p>
          <w:p w14:paraId="3AEA287D" w14:textId="6329AEEA" w:rsidR="008A282A" w:rsidRDefault="008A282A" w:rsidP="008A282A">
            <w:pPr>
              <w:tabs>
                <w:tab w:val="center" w:pos="3152"/>
              </w:tabs>
              <w:rPr>
                <w:rFonts w:cs="Arial"/>
                <w:szCs w:val="19"/>
                <w:lang w:val="en-US"/>
              </w:rPr>
            </w:pPr>
            <w:r w:rsidRPr="009A1A32">
              <w:rPr>
                <w:rFonts w:cs="Arial"/>
                <w:sz w:val="16"/>
                <w:szCs w:val="16"/>
                <w:lang w:val="en-US"/>
              </w:rPr>
              <w:t>[new tablet formulation]</w:t>
            </w:r>
          </w:p>
        </w:tc>
      </w:tr>
      <w:tr w:rsidR="008A282A" w:rsidRPr="00131D4C" w14:paraId="26764A9A" w14:textId="77777777" w:rsidTr="00DB233A">
        <w:tc>
          <w:tcPr>
            <w:tcW w:w="1513" w:type="pct"/>
            <w:shd w:val="clear" w:color="auto" w:fill="auto"/>
            <w:tcMar>
              <w:top w:w="57" w:type="dxa"/>
              <w:left w:w="170" w:type="dxa"/>
              <w:bottom w:w="57" w:type="dxa"/>
              <w:right w:w="170" w:type="dxa"/>
            </w:tcMar>
          </w:tcPr>
          <w:p w14:paraId="42D3DD9D" w14:textId="77777777" w:rsidR="008A282A" w:rsidRDefault="008A282A" w:rsidP="008A282A">
            <w:pPr>
              <w:rPr>
                <w:rFonts w:cs="Arial"/>
                <w:szCs w:val="19"/>
              </w:rPr>
            </w:pPr>
            <w:r>
              <w:rPr>
                <w:rFonts w:cs="Arial"/>
                <w:szCs w:val="19"/>
              </w:rPr>
              <w:t>Rituximab biosimilar (</w:t>
            </w:r>
            <w:r>
              <w:rPr>
                <w:rFonts w:cs="Arial"/>
                <w:i/>
                <w:iCs/>
                <w:szCs w:val="19"/>
              </w:rPr>
              <w:t>Ituxredi</w:t>
            </w:r>
            <w:r>
              <w:rPr>
                <w:rFonts w:cs="Arial"/>
                <w:szCs w:val="19"/>
              </w:rPr>
              <w:t>)</w:t>
            </w:r>
          </w:p>
          <w:p w14:paraId="13AA67C0" w14:textId="54E9B9FC" w:rsidR="008A282A" w:rsidRPr="00D4363E" w:rsidRDefault="008A282A" w:rsidP="008A282A">
            <w:pPr>
              <w:rPr>
                <w:rFonts w:cs="Arial"/>
                <w:szCs w:val="19"/>
              </w:rPr>
            </w:pPr>
            <w:r w:rsidRPr="001B058C">
              <w:rPr>
                <w:rFonts w:cs="Arial"/>
                <w:sz w:val="16"/>
                <w:szCs w:val="16"/>
              </w:rPr>
              <w:t>100mg in 10mL and 500mg in 50mL vials</w:t>
            </w:r>
          </w:p>
        </w:tc>
        <w:tc>
          <w:tcPr>
            <w:tcW w:w="3487" w:type="pct"/>
            <w:shd w:val="clear" w:color="auto" w:fill="auto"/>
            <w:tcMar>
              <w:top w:w="57" w:type="dxa"/>
              <w:left w:w="170" w:type="dxa"/>
              <w:bottom w:w="57" w:type="dxa"/>
              <w:right w:w="170" w:type="dxa"/>
            </w:tcMar>
          </w:tcPr>
          <w:p w14:paraId="3EF83C3E" w14:textId="77777777" w:rsidR="008A282A" w:rsidRDefault="008A282A" w:rsidP="008A282A">
            <w:pPr>
              <w:tabs>
                <w:tab w:val="center" w:pos="3152"/>
              </w:tabs>
              <w:rPr>
                <w:rFonts w:cs="Arial"/>
                <w:szCs w:val="19"/>
                <w:lang w:val="en-US"/>
              </w:rPr>
            </w:pPr>
            <w:r>
              <w:rPr>
                <w:rFonts w:cs="Arial"/>
                <w:szCs w:val="19"/>
                <w:lang w:val="en-US"/>
              </w:rPr>
              <w:t>Treatment of adults with n</w:t>
            </w:r>
            <w:r w:rsidRPr="00C87383">
              <w:rPr>
                <w:rFonts w:cs="Arial"/>
                <w:szCs w:val="19"/>
                <w:lang w:val="en-US"/>
              </w:rPr>
              <w:t>on-Hodgkin's lymphom</w:t>
            </w:r>
            <w:r>
              <w:rPr>
                <w:rFonts w:cs="Arial"/>
                <w:szCs w:val="19"/>
                <w:lang w:val="en-US"/>
              </w:rPr>
              <w:t xml:space="preserve">a (including follicular lymphoma, </w:t>
            </w:r>
            <w:r w:rsidRPr="006F348F">
              <w:rPr>
                <w:rFonts w:cs="Arial"/>
                <w:szCs w:val="19"/>
                <w:lang w:val="en-US"/>
              </w:rPr>
              <w:t>diffuse large B-cell lymphoma, Burkitt lymphoma/leukaemia or Burkitt-like lymphoma</w:t>
            </w:r>
            <w:r>
              <w:rPr>
                <w:rFonts w:cs="Arial"/>
                <w:szCs w:val="19"/>
                <w:lang w:val="en-US"/>
              </w:rPr>
              <w:t>), c</w:t>
            </w:r>
            <w:r w:rsidRPr="000560AF">
              <w:rPr>
                <w:rFonts w:cs="Arial"/>
                <w:szCs w:val="19"/>
                <w:lang w:val="en-US"/>
              </w:rPr>
              <w:t>hronic lymphocytic leukaemia</w:t>
            </w:r>
            <w:r>
              <w:rPr>
                <w:rFonts w:cs="Arial"/>
                <w:szCs w:val="19"/>
                <w:lang w:val="en-US"/>
              </w:rPr>
              <w:t>, r</w:t>
            </w:r>
            <w:r w:rsidRPr="00C87383">
              <w:rPr>
                <w:rFonts w:cs="Arial"/>
                <w:szCs w:val="19"/>
                <w:lang w:val="en-US"/>
              </w:rPr>
              <w:t>heumatoid arthritis</w:t>
            </w:r>
            <w:r>
              <w:rPr>
                <w:rFonts w:cs="Arial"/>
                <w:szCs w:val="19"/>
                <w:lang w:val="en-US"/>
              </w:rPr>
              <w:t>, g</w:t>
            </w:r>
            <w:r w:rsidRPr="00C87383">
              <w:rPr>
                <w:rFonts w:cs="Arial"/>
                <w:szCs w:val="19"/>
                <w:lang w:val="en-US"/>
              </w:rPr>
              <w:t>ranulomatosis with polyangiitis</w:t>
            </w:r>
            <w:r>
              <w:rPr>
                <w:rFonts w:cs="Arial"/>
                <w:szCs w:val="19"/>
                <w:lang w:val="en-US"/>
              </w:rPr>
              <w:t xml:space="preserve"> (GPA)</w:t>
            </w:r>
            <w:r w:rsidRPr="00C87383">
              <w:rPr>
                <w:rFonts w:cs="Arial"/>
                <w:szCs w:val="19"/>
                <w:lang w:val="en-US"/>
              </w:rPr>
              <w:t xml:space="preserve"> and microscopic polyangiitis</w:t>
            </w:r>
            <w:r>
              <w:rPr>
                <w:rFonts w:cs="Arial"/>
                <w:szCs w:val="19"/>
                <w:lang w:val="en-US"/>
              </w:rPr>
              <w:t xml:space="preserve"> (MPA), and pemphigus vulgaris; treatment of paediatric patients aged 2-17 years </w:t>
            </w:r>
            <w:r w:rsidRPr="006470EE">
              <w:rPr>
                <w:rFonts w:cs="Arial"/>
                <w:szCs w:val="19"/>
                <w:lang w:val="en-US"/>
              </w:rPr>
              <w:t>GPA and MPA</w:t>
            </w:r>
            <w:r>
              <w:rPr>
                <w:rFonts w:cs="Arial"/>
                <w:szCs w:val="19"/>
                <w:lang w:val="en-US"/>
              </w:rPr>
              <w:t xml:space="preserve"> </w:t>
            </w:r>
          </w:p>
          <w:p w14:paraId="38B8D954" w14:textId="542BE892" w:rsidR="008A282A" w:rsidRPr="001D7849" w:rsidRDefault="008A282A" w:rsidP="008A282A">
            <w:pPr>
              <w:tabs>
                <w:tab w:val="center" w:pos="3152"/>
              </w:tabs>
              <w:rPr>
                <w:rFonts w:cs="Arial"/>
                <w:szCs w:val="19"/>
              </w:rPr>
            </w:pPr>
            <w:r w:rsidRPr="00172E6E">
              <w:rPr>
                <w:rFonts w:cs="Arial"/>
                <w:i/>
                <w:iCs/>
                <w:sz w:val="16"/>
                <w:szCs w:val="16"/>
                <w:lang w:val="en-US"/>
              </w:rPr>
              <w:t xml:space="preserve">Note: See </w:t>
            </w:r>
            <w:hyperlink r:id="rId19" w:history="1">
              <w:r w:rsidRPr="001C74E6">
                <w:rPr>
                  <w:rStyle w:val="Hyperlink"/>
                  <w:rFonts w:ascii="Arial" w:hAnsi="Arial" w:cs="Arial"/>
                  <w:i/>
                  <w:iCs/>
                  <w:sz w:val="16"/>
                  <w:szCs w:val="16"/>
                  <w:lang w:val="en-US"/>
                </w:rPr>
                <w:t>SmP</w:t>
              </w:r>
              <w:r>
                <w:rPr>
                  <w:rStyle w:val="Hyperlink"/>
                  <w:rFonts w:ascii="Arial" w:hAnsi="Arial" w:cs="Arial"/>
                  <w:i/>
                  <w:iCs/>
                  <w:sz w:val="16"/>
                  <w:szCs w:val="16"/>
                  <w:lang w:val="en-US"/>
                </w:rPr>
                <w:t>C</w:t>
              </w:r>
              <w:r>
                <w:rPr>
                  <w:rStyle w:val="Hyperlink"/>
                  <w:rFonts w:ascii="Arial" w:hAnsi="Arial"/>
                  <w:i/>
                  <w:iCs/>
                  <w:sz w:val="16"/>
                  <w:szCs w:val="16"/>
                </w:rPr>
                <w:t>s</w:t>
              </w:r>
            </w:hyperlink>
            <w:r w:rsidRPr="00172E6E">
              <w:rPr>
                <w:rFonts w:cs="Arial"/>
                <w:i/>
                <w:iCs/>
                <w:sz w:val="16"/>
                <w:szCs w:val="16"/>
                <w:lang w:val="en-US"/>
              </w:rPr>
              <w:t xml:space="preserve"> for full details of the indication</w:t>
            </w:r>
          </w:p>
        </w:tc>
      </w:tr>
      <w:tr w:rsidR="008A282A" w14:paraId="5DFCEAC5" w14:textId="77777777" w:rsidTr="00DB233A">
        <w:tc>
          <w:tcPr>
            <w:tcW w:w="1513" w:type="pct"/>
            <w:shd w:val="clear" w:color="auto" w:fill="auto"/>
            <w:tcMar>
              <w:top w:w="57" w:type="dxa"/>
              <w:left w:w="170" w:type="dxa"/>
              <w:bottom w:w="57" w:type="dxa"/>
              <w:right w:w="170" w:type="dxa"/>
            </w:tcMar>
          </w:tcPr>
          <w:p w14:paraId="2BD527B2" w14:textId="77777777" w:rsidR="008A282A" w:rsidRDefault="008A282A" w:rsidP="008A282A">
            <w:pPr>
              <w:rPr>
                <w:rFonts w:cs="Arial"/>
                <w:szCs w:val="19"/>
              </w:rPr>
            </w:pPr>
            <w:r w:rsidRPr="002C684F">
              <w:rPr>
                <w:rFonts w:cs="Arial"/>
                <w:szCs w:val="19"/>
              </w:rPr>
              <w:t>Sugammadex (</w:t>
            </w:r>
            <w:r w:rsidRPr="002C684F">
              <w:rPr>
                <w:rFonts w:cs="Arial"/>
                <w:i/>
                <w:iCs/>
                <w:szCs w:val="19"/>
              </w:rPr>
              <w:t>Bridion</w:t>
            </w:r>
            <w:r w:rsidRPr="002C684F">
              <w:rPr>
                <w:rFonts w:cs="Arial"/>
                <w:szCs w:val="19"/>
              </w:rPr>
              <w:t>)</w:t>
            </w:r>
          </w:p>
          <w:p w14:paraId="513EA6B6" w14:textId="45D5EF6A" w:rsidR="008A282A" w:rsidRPr="00752701" w:rsidRDefault="008A282A" w:rsidP="008A282A">
            <w:pPr>
              <w:rPr>
                <w:rFonts w:cs="Arial"/>
                <w:szCs w:val="19"/>
              </w:rPr>
            </w:pPr>
            <w:r w:rsidRPr="000560A4">
              <w:rPr>
                <w:rFonts w:cs="Arial"/>
                <w:sz w:val="16"/>
                <w:szCs w:val="16"/>
              </w:rPr>
              <w:t>200mg in 2mL and 500mg in 5mL vials</w:t>
            </w:r>
          </w:p>
        </w:tc>
        <w:tc>
          <w:tcPr>
            <w:tcW w:w="3487" w:type="pct"/>
            <w:shd w:val="clear" w:color="auto" w:fill="auto"/>
            <w:tcMar>
              <w:top w:w="57" w:type="dxa"/>
              <w:left w:w="170" w:type="dxa"/>
              <w:bottom w:w="57" w:type="dxa"/>
              <w:right w:w="170" w:type="dxa"/>
            </w:tcMar>
          </w:tcPr>
          <w:p w14:paraId="5364D2EF" w14:textId="05571C92" w:rsidR="008A282A" w:rsidRPr="00A075A3" w:rsidRDefault="008A282A" w:rsidP="008A282A">
            <w:pPr>
              <w:tabs>
                <w:tab w:val="center" w:pos="3152"/>
              </w:tabs>
              <w:rPr>
                <w:rFonts w:cs="Arial"/>
                <w:szCs w:val="19"/>
                <w:lang w:val="en-US"/>
              </w:rPr>
            </w:pPr>
            <w:r>
              <w:rPr>
                <w:rFonts w:cs="Arial"/>
                <w:szCs w:val="19"/>
                <w:lang w:val="en-US"/>
              </w:rPr>
              <w:t>R</w:t>
            </w:r>
            <w:r w:rsidRPr="000560A4">
              <w:rPr>
                <w:rFonts w:cs="Arial"/>
                <w:szCs w:val="19"/>
                <w:lang w:val="en-US"/>
              </w:rPr>
              <w:t>outine reversal of rocuronium induced blockade in paediatric patients from birth to 17 years</w:t>
            </w:r>
            <w:r>
              <w:rPr>
                <w:rFonts w:cs="Arial"/>
                <w:szCs w:val="19"/>
                <w:lang w:val="en-US"/>
              </w:rPr>
              <w:t xml:space="preserve"> </w:t>
            </w:r>
            <w:r w:rsidRPr="006B06B0">
              <w:rPr>
                <w:rFonts w:cs="Arial"/>
                <w:sz w:val="16"/>
                <w:szCs w:val="16"/>
                <w:lang w:val="en-US"/>
              </w:rPr>
              <w:t>[licence change from use only in children aged ≥2 years]</w:t>
            </w:r>
          </w:p>
        </w:tc>
      </w:tr>
      <w:tr w:rsidR="008A282A" w14:paraId="4508CEBD" w14:textId="77777777" w:rsidTr="00DB233A">
        <w:tc>
          <w:tcPr>
            <w:tcW w:w="1513" w:type="pct"/>
            <w:shd w:val="clear" w:color="auto" w:fill="auto"/>
            <w:tcMar>
              <w:top w:w="57" w:type="dxa"/>
              <w:left w:w="170" w:type="dxa"/>
              <w:bottom w:w="57" w:type="dxa"/>
              <w:right w:w="170" w:type="dxa"/>
            </w:tcMar>
          </w:tcPr>
          <w:p w14:paraId="4AC78080" w14:textId="77777777" w:rsidR="008A282A" w:rsidRDefault="008A282A" w:rsidP="008A282A">
            <w:pPr>
              <w:rPr>
                <w:rFonts w:cs="Arial"/>
                <w:szCs w:val="19"/>
              </w:rPr>
            </w:pPr>
            <w:r>
              <w:rPr>
                <w:rFonts w:cs="Arial"/>
                <w:szCs w:val="19"/>
              </w:rPr>
              <w:t>Thiamine hydrochloride</w:t>
            </w:r>
          </w:p>
          <w:p w14:paraId="62998EC8" w14:textId="77777777" w:rsidR="008A282A" w:rsidRPr="00FF5ADC" w:rsidRDefault="008A282A" w:rsidP="008A282A">
            <w:pPr>
              <w:rPr>
                <w:rFonts w:cs="Arial"/>
                <w:szCs w:val="19"/>
              </w:rPr>
            </w:pPr>
            <w:r w:rsidRPr="00D115F2">
              <w:rPr>
                <w:rFonts w:cs="Arial"/>
                <w:sz w:val="16"/>
                <w:szCs w:val="16"/>
              </w:rPr>
              <w:t>250mg in 2mL ampoule</w:t>
            </w:r>
          </w:p>
        </w:tc>
        <w:tc>
          <w:tcPr>
            <w:tcW w:w="3487" w:type="pct"/>
            <w:shd w:val="clear" w:color="auto" w:fill="auto"/>
            <w:tcMar>
              <w:top w:w="57" w:type="dxa"/>
              <w:left w:w="170" w:type="dxa"/>
              <w:bottom w:w="57" w:type="dxa"/>
              <w:right w:w="170" w:type="dxa"/>
            </w:tcMar>
          </w:tcPr>
          <w:p w14:paraId="38077828" w14:textId="77777777" w:rsidR="008A282A" w:rsidRDefault="008A282A" w:rsidP="008A282A">
            <w:pPr>
              <w:tabs>
                <w:tab w:val="center" w:pos="3152"/>
              </w:tabs>
              <w:rPr>
                <w:rFonts w:cs="Arial"/>
                <w:color w:val="000000"/>
                <w:szCs w:val="19"/>
                <w:lang w:val="en-US"/>
              </w:rPr>
            </w:pPr>
            <w:r w:rsidRPr="00622FBB">
              <w:rPr>
                <w:rFonts w:cs="Arial"/>
                <w:color w:val="000000"/>
                <w:szCs w:val="19"/>
                <w:lang w:val="en-US"/>
              </w:rPr>
              <w:t>Prevention and treatment of vitamin B1 deficiencies like beriberi, deficiency related to chronic alcoholism and Wernicke-Korsakoff syndrome</w:t>
            </w:r>
            <w:r>
              <w:rPr>
                <w:rFonts w:cs="Arial"/>
                <w:color w:val="000000"/>
                <w:szCs w:val="19"/>
                <w:lang w:val="en-US"/>
              </w:rPr>
              <w:t xml:space="preserve"> </w:t>
            </w:r>
          </w:p>
          <w:p w14:paraId="119966C8" w14:textId="77777777" w:rsidR="008A282A" w:rsidRPr="00622FBB" w:rsidRDefault="008A282A" w:rsidP="008A282A">
            <w:pPr>
              <w:tabs>
                <w:tab w:val="center" w:pos="3152"/>
              </w:tabs>
              <w:rPr>
                <w:rFonts w:cs="Arial"/>
                <w:color w:val="000000"/>
                <w:szCs w:val="19"/>
                <w:lang w:val="en-US"/>
              </w:rPr>
            </w:pPr>
            <w:r w:rsidRPr="008D16BA">
              <w:rPr>
                <w:rFonts w:cs="Arial"/>
                <w:color w:val="000000"/>
                <w:sz w:val="16"/>
                <w:szCs w:val="16"/>
                <w:lang w:val="en-US"/>
              </w:rPr>
              <w:t xml:space="preserve">[new higher strength </w:t>
            </w:r>
            <w:r>
              <w:rPr>
                <w:rFonts w:cs="Arial"/>
                <w:color w:val="000000"/>
                <w:sz w:val="16"/>
                <w:szCs w:val="16"/>
                <w:lang w:val="en-US"/>
              </w:rPr>
              <w:t xml:space="preserve">Brancaster Pharma </w:t>
            </w:r>
            <w:r w:rsidRPr="008D16BA">
              <w:rPr>
                <w:rFonts w:cs="Arial"/>
                <w:color w:val="000000"/>
                <w:sz w:val="16"/>
                <w:szCs w:val="16"/>
                <w:lang w:val="en-US"/>
              </w:rPr>
              <w:t>formulation]</w:t>
            </w:r>
          </w:p>
        </w:tc>
      </w:tr>
      <w:tr w:rsidR="008A282A" w:rsidRPr="00862949" w14:paraId="7A1B8B80" w14:textId="77777777" w:rsidTr="00DB233A">
        <w:tc>
          <w:tcPr>
            <w:tcW w:w="5000" w:type="pct"/>
            <w:gridSpan w:val="2"/>
            <w:shd w:val="clear" w:color="auto" w:fill="auto"/>
            <w:tcMar>
              <w:top w:w="0" w:type="dxa"/>
              <w:bottom w:w="0" w:type="dxa"/>
            </w:tcMar>
          </w:tcPr>
          <w:p w14:paraId="7DEFF875" w14:textId="77777777" w:rsidR="008A282A" w:rsidRPr="00862949" w:rsidRDefault="008A282A" w:rsidP="008A282A">
            <w:pPr>
              <w:rPr>
                <w:rFonts w:cs="Arial"/>
                <w:b/>
                <w:noProof/>
                <w:sz w:val="8"/>
                <w:szCs w:val="8"/>
              </w:rPr>
            </w:pPr>
          </w:p>
        </w:tc>
      </w:tr>
      <w:tr w:rsidR="008A282A" w:rsidRPr="00862949" w14:paraId="235F4D02" w14:textId="77777777" w:rsidTr="00DB233A">
        <w:tc>
          <w:tcPr>
            <w:tcW w:w="5000" w:type="pct"/>
            <w:gridSpan w:val="2"/>
            <w:shd w:val="clear" w:color="auto" w:fill="DAEEF3"/>
            <w:tcMar>
              <w:top w:w="0" w:type="dxa"/>
              <w:bottom w:w="0" w:type="dxa"/>
            </w:tcMar>
          </w:tcPr>
          <w:p w14:paraId="0DC39607" w14:textId="77777777" w:rsidR="008A282A" w:rsidRPr="00862949" w:rsidRDefault="008A282A" w:rsidP="008A282A">
            <w:pPr>
              <w:rPr>
                <w:rFonts w:cs="Arial"/>
                <w:b/>
                <w:i/>
                <w:noProof/>
                <w:sz w:val="8"/>
                <w:szCs w:val="8"/>
              </w:rPr>
            </w:pPr>
          </w:p>
        </w:tc>
      </w:tr>
    </w:tbl>
    <w:p w14:paraId="6A388677" w14:textId="77777777" w:rsidR="001802BD" w:rsidRDefault="001802BD" w:rsidP="00EB3E6F">
      <w:pPr>
        <w:tabs>
          <w:tab w:val="left" w:pos="2087"/>
        </w:tabs>
      </w:pPr>
    </w:p>
    <w:p w14:paraId="0DACEEB3" w14:textId="77777777" w:rsidR="00EB1E12" w:rsidRDefault="00EB1E12" w:rsidP="00EB3E6F">
      <w:pPr>
        <w:tabs>
          <w:tab w:val="left" w:pos="2087"/>
        </w:tabs>
      </w:pPr>
    </w:p>
    <w:p w14:paraId="253D2042" w14:textId="77777777" w:rsidR="00EB1E12" w:rsidRDefault="00EB1E12" w:rsidP="00EB3E6F">
      <w:pPr>
        <w:tabs>
          <w:tab w:val="left" w:pos="2087"/>
        </w:tabs>
      </w:pPr>
    </w:p>
    <w:p w14:paraId="24AD3CDE" w14:textId="77777777" w:rsidR="007C4E3D" w:rsidRDefault="007C4E3D" w:rsidP="00EB3E6F">
      <w:pPr>
        <w:tabs>
          <w:tab w:val="left" w:pos="2087"/>
        </w:tabs>
      </w:pPr>
    </w:p>
    <w:p w14:paraId="0C01BBCE" w14:textId="77777777" w:rsidR="00EB1E12" w:rsidRDefault="00EB1E12" w:rsidP="00EB3E6F">
      <w:pPr>
        <w:tabs>
          <w:tab w:val="left" w:pos="2087"/>
        </w:tabs>
      </w:pPr>
    </w:p>
    <w:tbl>
      <w:tblPr>
        <w:tblW w:w="5170" w:type="pct"/>
        <w:tblInd w:w="-176" w:type="dxa"/>
        <w:tblLayout w:type="fixed"/>
        <w:tblLook w:val="01E0" w:firstRow="1" w:lastRow="1" w:firstColumn="1" w:lastColumn="1" w:noHBand="0" w:noVBand="0"/>
      </w:tblPr>
      <w:tblGrid>
        <w:gridCol w:w="2430"/>
        <w:gridCol w:w="623"/>
        <w:gridCol w:w="7498"/>
      </w:tblGrid>
      <w:tr w:rsidR="00EB1E12" w:rsidRPr="00862949" w14:paraId="6D07E6A4" w14:textId="77777777" w:rsidTr="00993B3F">
        <w:tc>
          <w:tcPr>
            <w:tcW w:w="5000" w:type="pct"/>
            <w:gridSpan w:val="3"/>
            <w:shd w:val="clear" w:color="auto" w:fill="0070C0"/>
            <w:tcMar>
              <w:top w:w="85" w:type="dxa"/>
              <w:bottom w:w="85" w:type="dxa"/>
            </w:tcMar>
            <w:vAlign w:val="bottom"/>
          </w:tcPr>
          <w:p w14:paraId="48A7EBA5" w14:textId="77777777" w:rsidR="00EB1E12" w:rsidRPr="00862949" w:rsidRDefault="00EB1E12" w:rsidP="00993B3F">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EB1E12" w:rsidRPr="00862949" w14:paraId="11F8D19F" w14:textId="77777777" w:rsidTr="00993B3F">
        <w:tc>
          <w:tcPr>
            <w:tcW w:w="5000" w:type="pct"/>
            <w:gridSpan w:val="3"/>
            <w:shd w:val="clear" w:color="auto" w:fill="DAEEF3"/>
            <w:tcMar>
              <w:top w:w="0" w:type="dxa"/>
              <w:bottom w:w="0" w:type="dxa"/>
            </w:tcMar>
          </w:tcPr>
          <w:p w14:paraId="63280947" w14:textId="77777777" w:rsidR="00EB1E12" w:rsidRPr="00862949" w:rsidRDefault="00EB1E12" w:rsidP="00993B3F">
            <w:pPr>
              <w:rPr>
                <w:rFonts w:cs="Arial"/>
                <w:b/>
                <w:bCs/>
                <w:i/>
                <w:iCs/>
                <w:color w:val="000000"/>
                <w:sz w:val="8"/>
                <w:szCs w:val="8"/>
                <w:lang w:val="en-US"/>
              </w:rPr>
            </w:pPr>
          </w:p>
        </w:tc>
      </w:tr>
      <w:tr w:rsidR="00EB1E12" w:rsidRPr="00862949" w14:paraId="21B7B234" w14:textId="77777777" w:rsidTr="00993B3F">
        <w:tc>
          <w:tcPr>
            <w:tcW w:w="5000" w:type="pct"/>
            <w:gridSpan w:val="3"/>
            <w:shd w:val="clear" w:color="auto" w:fill="008232"/>
            <w:tcMar>
              <w:top w:w="57" w:type="dxa"/>
              <w:bottom w:w="57" w:type="dxa"/>
            </w:tcMar>
          </w:tcPr>
          <w:p w14:paraId="118E78A9" w14:textId="77777777" w:rsidR="00EB1E12" w:rsidRPr="00433D3E" w:rsidRDefault="00EB1E12" w:rsidP="00993B3F">
            <w:pPr>
              <w:rPr>
                <w:rFonts w:cs="Arial"/>
                <w:color w:val="FFFFFF"/>
                <w:sz w:val="20"/>
                <w:szCs w:val="20"/>
              </w:rPr>
            </w:pPr>
            <w:r w:rsidRPr="00433D3E">
              <w:rPr>
                <w:rFonts w:cs="Arial"/>
                <w:b/>
                <w:bCs/>
                <w:i/>
                <w:iCs/>
                <w:color w:val="FFFFFF"/>
                <w:sz w:val="22"/>
                <w:szCs w:val="20"/>
                <w:lang w:val="en-US"/>
              </w:rPr>
              <w:t xml:space="preserve">Approved in the </w:t>
            </w:r>
            <w:r>
              <w:rPr>
                <w:rFonts w:cs="Arial"/>
                <w:b/>
                <w:bCs/>
                <w:i/>
                <w:iCs/>
                <w:color w:val="FFFFFF"/>
                <w:sz w:val="22"/>
                <w:szCs w:val="20"/>
                <w:lang w:val="en-US"/>
              </w:rPr>
              <w:t>UK</w:t>
            </w:r>
          </w:p>
        </w:tc>
      </w:tr>
      <w:tr w:rsidR="00EB1E12" w14:paraId="69A1C8F4" w14:textId="77777777" w:rsidTr="00993B3F">
        <w:tc>
          <w:tcPr>
            <w:tcW w:w="1447" w:type="pct"/>
            <w:gridSpan w:val="2"/>
            <w:shd w:val="clear" w:color="auto" w:fill="auto"/>
            <w:tcMar>
              <w:top w:w="57" w:type="dxa"/>
              <w:bottom w:w="57" w:type="dxa"/>
            </w:tcMar>
          </w:tcPr>
          <w:p w14:paraId="1F3C4152" w14:textId="77777777" w:rsidR="00EB1E12" w:rsidRDefault="00EB1E12" w:rsidP="00993B3F">
            <w:pPr>
              <w:rPr>
                <w:rFonts w:cs="Arial"/>
                <w:szCs w:val="19"/>
              </w:rPr>
            </w:pPr>
            <w:r>
              <w:rPr>
                <w:rFonts w:cs="Arial"/>
                <w:szCs w:val="19"/>
              </w:rPr>
              <w:t>Atropine (</w:t>
            </w:r>
            <w:r w:rsidRPr="001605B9">
              <w:rPr>
                <w:rFonts w:cs="Arial"/>
                <w:i/>
                <w:iCs/>
                <w:szCs w:val="19"/>
              </w:rPr>
              <w:t>Ryjunea</w:t>
            </w:r>
            <w:r>
              <w:rPr>
                <w:rFonts w:cs="Arial"/>
                <w:szCs w:val="19"/>
              </w:rPr>
              <w:t>)</w:t>
            </w:r>
          </w:p>
          <w:p w14:paraId="65A2A4C1" w14:textId="77777777" w:rsidR="00EB1E12" w:rsidRPr="000C769F" w:rsidRDefault="00EB1E12" w:rsidP="00993B3F">
            <w:pPr>
              <w:rPr>
                <w:rFonts w:cs="Arial"/>
                <w:szCs w:val="19"/>
              </w:rPr>
            </w:pPr>
            <w:r w:rsidRPr="000C769F">
              <w:rPr>
                <w:rFonts w:cs="Arial"/>
                <w:sz w:val="16"/>
                <w:szCs w:val="16"/>
              </w:rPr>
              <w:t>0.1mg in 1mL eye drops</w:t>
            </w:r>
          </w:p>
        </w:tc>
        <w:tc>
          <w:tcPr>
            <w:tcW w:w="3553" w:type="pct"/>
            <w:shd w:val="clear" w:color="auto" w:fill="auto"/>
            <w:tcMar>
              <w:top w:w="57" w:type="dxa"/>
              <w:bottom w:w="57" w:type="dxa"/>
            </w:tcMar>
          </w:tcPr>
          <w:p w14:paraId="2B976245" w14:textId="77777777" w:rsidR="00EB1E12" w:rsidRPr="002B10C1" w:rsidRDefault="00EB1E12" w:rsidP="00993B3F">
            <w:pPr>
              <w:tabs>
                <w:tab w:val="center" w:pos="3152"/>
              </w:tabs>
              <w:rPr>
                <w:rFonts w:cs="Arial"/>
                <w:szCs w:val="19"/>
                <w:lang w:val="en-US"/>
              </w:rPr>
            </w:pPr>
            <w:r w:rsidRPr="001605B9">
              <w:rPr>
                <w:rFonts w:cs="Arial"/>
                <w:szCs w:val="19"/>
                <w:lang w:val="en-US"/>
              </w:rPr>
              <w:t>Slowing the progression of myopia in paediatric patients</w:t>
            </w:r>
            <w:r>
              <w:rPr>
                <w:rFonts w:cs="Arial"/>
                <w:szCs w:val="19"/>
                <w:lang w:val="en-US"/>
              </w:rPr>
              <w:t xml:space="preserve"> (t</w:t>
            </w:r>
            <w:r w:rsidRPr="001605B9">
              <w:rPr>
                <w:rFonts w:cs="Arial"/>
                <w:szCs w:val="19"/>
                <w:lang w:val="en-US"/>
              </w:rPr>
              <w:t>reatment may be initiated in children aged 3-14 years with a progression rate of</w:t>
            </w:r>
            <w:r>
              <w:rPr>
                <w:rFonts w:cs="Arial"/>
                <w:szCs w:val="19"/>
                <w:lang w:val="en-US"/>
              </w:rPr>
              <w:t xml:space="preserve"> </w:t>
            </w:r>
            <w:r w:rsidRPr="001605B9">
              <w:rPr>
                <w:rFonts w:cs="Arial"/>
                <w:szCs w:val="19"/>
                <w:lang w:val="en-US"/>
              </w:rPr>
              <w:t>0.5 D or more per year and a severity of -0.5 D to -6.0 D</w:t>
            </w:r>
            <w:r>
              <w:rPr>
                <w:rFonts w:cs="Arial"/>
                <w:szCs w:val="19"/>
                <w:lang w:val="en-US"/>
              </w:rPr>
              <w:t>)</w:t>
            </w:r>
          </w:p>
        </w:tc>
      </w:tr>
      <w:tr w:rsidR="00EB1E12" w14:paraId="5ABB4E74" w14:textId="77777777" w:rsidTr="00993B3F">
        <w:tc>
          <w:tcPr>
            <w:tcW w:w="1447" w:type="pct"/>
            <w:gridSpan w:val="2"/>
            <w:shd w:val="clear" w:color="auto" w:fill="auto"/>
            <w:tcMar>
              <w:top w:w="57" w:type="dxa"/>
              <w:bottom w:w="57" w:type="dxa"/>
            </w:tcMar>
          </w:tcPr>
          <w:p w14:paraId="7EA73B50" w14:textId="77777777" w:rsidR="00EB1E12" w:rsidRDefault="00EB1E12" w:rsidP="00993B3F">
            <w:pPr>
              <w:rPr>
                <w:rFonts w:cs="Arial"/>
                <w:szCs w:val="19"/>
              </w:rPr>
            </w:pPr>
            <w:r>
              <w:rPr>
                <w:rFonts w:cs="Arial"/>
                <w:szCs w:val="19"/>
              </w:rPr>
              <w:t>Ciclosporin (</w:t>
            </w:r>
            <w:r w:rsidRPr="00832674">
              <w:rPr>
                <w:rFonts w:cs="Arial"/>
                <w:i/>
                <w:iCs/>
                <w:szCs w:val="19"/>
              </w:rPr>
              <w:t>Vevizye</w:t>
            </w:r>
            <w:r>
              <w:rPr>
                <w:rFonts w:cs="Arial"/>
                <w:szCs w:val="19"/>
              </w:rPr>
              <w:t>)</w:t>
            </w:r>
          </w:p>
          <w:p w14:paraId="709B63DF" w14:textId="77777777" w:rsidR="00EB1E12" w:rsidRPr="003B12B4" w:rsidRDefault="00EB1E12" w:rsidP="00993B3F">
            <w:pPr>
              <w:rPr>
                <w:rFonts w:cs="Arial"/>
                <w:szCs w:val="19"/>
              </w:rPr>
            </w:pPr>
            <w:r w:rsidRPr="00F71511">
              <w:rPr>
                <w:rFonts w:cs="Arial"/>
                <w:sz w:val="16"/>
                <w:szCs w:val="16"/>
              </w:rPr>
              <w:t>1mg in 1mL eye drops</w:t>
            </w:r>
          </w:p>
        </w:tc>
        <w:tc>
          <w:tcPr>
            <w:tcW w:w="3553" w:type="pct"/>
            <w:shd w:val="clear" w:color="auto" w:fill="auto"/>
            <w:tcMar>
              <w:top w:w="57" w:type="dxa"/>
              <w:bottom w:w="57" w:type="dxa"/>
            </w:tcMar>
          </w:tcPr>
          <w:p w14:paraId="14534CF0" w14:textId="77777777" w:rsidR="00EB1E12" w:rsidRPr="00B00753" w:rsidRDefault="00EB1E12" w:rsidP="00993B3F">
            <w:pPr>
              <w:tabs>
                <w:tab w:val="center" w:pos="3152"/>
              </w:tabs>
              <w:rPr>
                <w:rFonts w:cs="Arial"/>
                <w:szCs w:val="19"/>
              </w:rPr>
            </w:pPr>
            <w:r w:rsidRPr="00F71511">
              <w:rPr>
                <w:rFonts w:cs="Arial"/>
                <w:szCs w:val="19"/>
              </w:rPr>
              <w:t>Treatment of moderate to severe dry eye disease (keratoconjunctivitis sicca) in adul</w:t>
            </w:r>
            <w:r>
              <w:rPr>
                <w:rFonts w:cs="Arial"/>
                <w:szCs w:val="19"/>
              </w:rPr>
              <w:t>t</w:t>
            </w:r>
            <w:r w:rsidRPr="00F71511">
              <w:rPr>
                <w:rFonts w:cs="Arial"/>
                <w:szCs w:val="19"/>
              </w:rPr>
              <w:t>s, which has not improved despite treatment with tear substitutes</w:t>
            </w:r>
            <w:r>
              <w:rPr>
                <w:rFonts w:cs="Arial"/>
                <w:szCs w:val="19"/>
              </w:rPr>
              <w:t xml:space="preserve"> </w:t>
            </w:r>
            <w:r w:rsidRPr="00755E26">
              <w:rPr>
                <w:rFonts w:cs="Arial"/>
                <w:sz w:val="16"/>
                <w:szCs w:val="16"/>
              </w:rPr>
              <w:t>[new formulation]</w:t>
            </w:r>
          </w:p>
        </w:tc>
      </w:tr>
      <w:tr w:rsidR="00EB1E12" w14:paraId="7FB866BB" w14:textId="77777777" w:rsidTr="00993B3F">
        <w:tc>
          <w:tcPr>
            <w:tcW w:w="1447" w:type="pct"/>
            <w:gridSpan w:val="2"/>
            <w:shd w:val="clear" w:color="auto" w:fill="auto"/>
            <w:tcMar>
              <w:top w:w="57" w:type="dxa"/>
              <w:bottom w:w="57" w:type="dxa"/>
            </w:tcMar>
          </w:tcPr>
          <w:p w14:paraId="5EBDABFA" w14:textId="77777777" w:rsidR="00EB1E12" w:rsidRDefault="00EB1E12" w:rsidP="00993B3F">
            <w:pPr>
              <w:rPr>
                <w:rFonts w:cs="Arial"/>
                <w:szCs w:val="19"/>
              </w:rPr>
            </w:pPr>
            <w:r>
              <w:rPr>
                <w:rFonts w:cs="Arial"/>
                <w:szCs w:val="19"/>
              </w:rPr>
              <w:t>Denosumab biosimilar (</w:t>
            </w:r>
            <w:r>
              <w:rPr>
                <w:rFonts w:cs="Arial"/>
                <w:i/>
                <w:iCs/>
                <w:szCs w:val="19"/>
              </w:rPr>
              <w:t>Bildyos</w:t>
            </w:r>
            <w:r>
              <w:rPr>
                <w:rFonts w:cs="Arial"/>
                <w:szCs w:val="19"/>
              </w:rPr>
              <w:t>)</w:t>
            </w:r>
          </w:p>
          <w:p w14:paraId="2D7B8EFB" w14:textId="77777777" w:rsidR="00EB1E12" w:rsidRPr="000C53D0" w:rsidRDefault="00EB1E12" w:rsidP="00993B3F">
            <w:pPr>
              <w:rPr>
                <w:rFonts w:cs="Arial"/>
                <w:szCs w:val="19"/>
              </w:rPr>
            </w:pPr>
            <w:r w:rsidRPr="00BF40A6">
              <w:rPr>
                <w:rFonts w:cs="Arial"/>
                <w:sz w:val="16"/>
                <w:szCs w:val="16"/>
              </w:rPr>
              <w:t>60mg in 1mL prefilled syringe</w:t>
            </w:r>
          </w:p>
        </w:tc>
        <w:tc>
          <w:tcPr>
            <w:tcW w:w="3553" w:type="pct"/>
            <w:shd w:val="clear" w:color="auto" w:fill="auto"/>
            <w:tcMar>
              <w:top w:w="57" w:type="dxa"/>
              <w:bottom w:w="57" w:type="dxa"/>
            </w:tcMar>
          </w:tcPr>
          <w:p w14:paraId="78290201" w14:textId="77777777" w:rsidR="00EB1E12" w:rsidRPr="00900CE0" w:rsidRDefault="00EB1E12" w:rsidP="00993B3F">
            <w:pPr>
              <w:tabs>
                <w:tab w:val="center" w:pos="3152"/>
              </w:tabs>
              <w:rPr>
                <w:rFonts w:cs="Arial"/>
                <w:szCs w:val="19"/>
              </w:rPr>
            </w:pPr>
            <w:r w:rsidRPr="00900CE0">
              <w:rPr>
                <w:rFonts w:cs="Arial"/>
                <w:szCs w:val="19"/>
              </w:rPr>
              <w:t>Treatment of osteoporosis in postmenopausal women and in men at increased risk of</w:t>
            </w:r>
          </w:p>
          <w:p w14:paraId="583EE3DC" w14:textId="77777777" w:rsidR="00EB1E12" w:rsidRPr="00B00753" w:rsidRDefault="00EB1E12" w:rsidP="00993B3F">
            <w:pPr>
              <w:tabs>
                <w:tab w:val="center" w:pos="3152"/>
              </w:tabs>
              <w:rPr>
                <w:rFonts w:cs="Arial"/>
                <w:szCs w:val="19"/>
              </w:rPr>
            </w:pPr>
            <w:r>
              <w:rPr>
                <w:rFonts w:cs="Arial"/>
                <w:szCs w:val="19"/>
              </w:rPr>
              <w:t>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p>
        </w:tc>
      </w:tr>
      <w:tr w:rsidR="00EB1E12" w14:paraId="04CB8248" w14:textId="77777777" w:rsidTr="00993B3F">
        <w:tc>
          <w:tcPr>
            <w:tcW w:w="1447" w:type="pct"/>
            <w:gridSpan w:val="2"/>
            <w:shd w:val="clear" w:color="auto" w:fill="auto"/>
            <w:tcMar>
              <w:top w:w="57" w:type="dxa"/>
              <w:bottom w:w="57" w:type="dxa"/>
            </w:tcMar>
          </w:tcPr>
          <w:p w14:paraId="6049FEC8" w14:textId="77777777" w:rsidR="00EB1E12" w:rsidRPr="00B00753" w:rsidRDefault="00EB1E12" w:rsidP="00993B3F">
            <w:pPr>
              <w:rPr>
                <w:rFonts w:cs="Arial"/>
                <w:szCs w:val="19"/>
              </w:rPr>
            </w:pPr>
            <w:r w:rsidRPr="00B00753">
              <w:rPr>
                <w:rFonts w:cs="Arial"/>
                <w:szCs w:val="19"/>
              </w:rPr>
              <w:t xml:space="preserve">Denosumab biosimilar </w:t>
            </w:r>
            <w:r>
              <w:rPr>
                <w:rFonts w:cs="Arial"/>
                <w:szCs w:val="19"/>
              </w:rPr>
              <w:t>(</w:t>
            </w:r>
            <w:r>
              <w:rPr>
                <w:rFonts w:cs="Arial"/>
                <w:i/>
                <w:iCs/>
                <w:szCs w:val="19"/>
              </w:rPr>
              <w:t>Bilprevda</w:t>
            </w:r>
            <w:r w:rsidRPr="00B00753">
              <w:rPr>
                <w:rFonts w:cs="Arial"/>
                <w:szCs w:val="19"/>
              </w:rPr>
              <w:t>)</w:t>
            </w:r>
          </w:p>
          <w:p w14:paraId="11C01966" w14:textId="77777777" w:rsidR="00EB1E12" w:rsidRPr="002B10C1" w:rsidRDefault="00EB1E12" w:rsidP="00993B3F">
            <w:pPr>
              <w:rPr>
                <w:rFonts w:cs="Arial"/>
                <w:szCs w:val="19"/>
              </w:rPr>
            </w:pPr>
            <w:r w:rsidRPr="00B00753">
              <w:rPr>
                <w:rFonts w:cs="Arial"/>
                <w:sz w:val="16"/>
                <w:szCs w:val="16"/>
              </w:rPr>
              <w:t>120mg in 1.7mL vial</w:t>
            </w:r>
          </w:p>
        </w:tc>
        <w:tc>
          <w:tcPr>
            <w:tcW w:w="3553" w:type="pct"/>
            <w:shd w:val="clear" w:color="auto" w:fill="auto"/>
            <w:tcMar>
              <w:top w:w="57" w:type="dxa"/>
              <w:bottom w:w="57" w:type="dxa"/>
            </w:tcMar>
          </w:tcPr>
          <w:p w14:paraId="119B1043" w14:textId="77777777" w:rsidR="00EB1E12" w:rsidRDefault="00EB1E12" w:rsidP="00993B3F">
            <w:pPr>
              <w:tabs>
                <w:tab w:val="center" w:pos="3152"/>
              </w:tabs>
              <w:rPr>
                <w:rFonts w:cs="Arial"/>
                <w:sz w:val="18"/>
                <w:szCs w:val="18"/>
                <w:lang w:val="en-US"/>
              </w:rPr>
            </w:pPr>
            <w:r w:rsidRPr="00B00753">
              <w:rPr>
                <w:rFonts w:cs="Arial"/>
                <w:szCs w:val="19"/>
              </w:rPr>
              <w:t>Prevention of skeletal related events (pathological fracture, radiation to bone, spinal cord compression or surgery to bone) in adults with advanced malignancies involving bone, and treatment of adults and skeletally mature adolescents with giant cell tumour of bone that is unresectable or where surgical resection is likely to result in severe morbidity</w:t>
            </w:r>
          </w:p>
        </w:tc>
      </w:tr>
      <w:tr w:rsidR="00EB1E12" w14:paraId="2E709EA7" w14:textId="77777777" w:rsidTr="00993B3F">
        <w:tc>
          <w:tcPr>
            <w:tcW w:w="1447" w:type="pct"/>
            <w:gridSpan w:val="2"/>
            <w:shd w:val="clear" w:color="auto" w:fill="auto"/>
            <w:tcMar>
              <w:top w:w="57" w:type="dxa"/>
              <w:bottom w:w="57" w:type="dxa"/>
            </w:tcMar>
          </w:tcPr>
          <w:p w14:paraId="0E51B084" w14:textId="77777777" w:rsidR="00EB1E12" w:rsidRDefault="00EB1E12" w:rsidP="00993B3F">
            <w:pPr>
              <w:rPr>
                <w:rFonts w:cs="Arial"/>
                <w:szCs w:val="19"/>
              </w:rPr>
            </w:pPr>
            <w:r w:rsidRPr="00AD7937">
              <w:rPr>
                <w:rFonts w:cs="Arial"/>
                <w:szCs w:val="19"/>
              </w:rPr>
              <w:t>Ferric citrate coordination complex (</w:t>
            </w:r>
            <w:r w:rsidRPr="00AD7937">
              <w:rPr>
                <w:rFonts w:cs="Arial"/>
                <w:i/>
                <w:iCs/>
                <w:szCs w:val="19"/>
              </w:rPr>
              <w:t>Xoanacyl</w:t>
            </w:r>
            <w:r>
              <w:rPr>
                <w:rFonts w:cs="Arial"/>
                <w:szCs w:val="19"/>
              </w:rPr>
              <w:t>)</w:t>
            </w:r>
          </w:p>
          <w:p w14:paraId="6EED7FCF" w14:textId="77777777" w:rsidR="00EB1E12" w:rsidRPr="002F73AD" w:rsidRDefault="00EB1E12" w:rsidP="00993B3F">
            <w:pPr>
              <w:rPr>
                <w:rFonts w:cs="Arial"/>
                <w:szCs w:val="19"/>
              </w:rPr>
            </w:pPr>
            <w:r w:rsidRPr="00C84372">
              <w:rPr>
                <w:rFonts w:cs="Arial"/>
                <w:sz w:val="16"/>
                <w:szCs w:val="16"/>
              </w:rPr>
              <w:t>1g tablet</w:t>
            </w:r>
          </w:p>
        </w:tc>
        <w:tc>
          <w:tcPr>
            <w:tcW w:w="3553" w:type="pct"/>
            <w:shd w:val="clear" w:color="auto" w:fill="auto"/>
            <w:tcMar>
              <w:top w:w="57" w:type="dxa"/>
              <w:bottom w:w="57" w:type="dxa"/>
            </w:tcMar>
          </w:tcPr>
          <w:p w14:paraId="284D0975" w14:textId="77777777" w:rsidR="00EB1E12" w:rsidRPr="00A075A3" w:rsidRDefault="00EB1E12" w:rsidP="00993B3F">
            <w:pPr>
              <w:tabs>
                <w:tab w:val="center" w:pos="3152"/>
              </w:tabs>
              <w:rPr>
                <w:rFonts w:cs="Arial"/>
                <w:szCs w:val="19"/>
                <w:lang w:val="en-US"/>
              </w:rPr>
            </w:pPr>
            <w:r w:rsidRPr="00C84372">
              <w:rPr>
                <w:rFonts w:cs="Arial"/>
                <w:szCs w:val="19"/>
                <w:lang w:val="en-US"/>
              </w:rPr>
              <w:t>Treatment of concomitant elevated serum phosphorous and iron deficiency in adults with chronic kidney disease</w:t>
            </w:r>
          </w:p>
        </w:tc>
      </w:tr>
      <w:tr w:rsidR="00EB1E12" w:rsidRPr="00862949" w14:paraId="7AADD411" w14:textId="77777777" w:rsidTr="00993B3F">
        <w:tc>
          <w:tcPr>
            <w:tcW w:w="5000" w:type="pct"/>
            <w:gridSpan w:val="3"/>
            <w:shd w:val="clear" w:color="auto" w:fill="auto"/>
            <w:tcMar>
              <w:top w:w="0" w:type="dxa"/>
              <w:bottom w:w="0" w:type="dxa"/>
            </w:tcMar>
          </w:tcPr>
          <w:p w14:paraId="522BF048" w14:textId="77777777" w:rsidR="00EB1E12" w:rsidRPr="00862949" w:rsidRDefault="00EB1E12" w:rsidP="00993B3F">
            <w:pPr>
              <w:jc w:val="center"/>
              <w:rPr>
                <w:rFonts w:cs="Arial"/>
                <w:noProof/>
                <w:sz w:val="8"/>
                <w:szCs w:val="8"/>
              </w:rPr>
            </w:pPr>
          </w:p>
        </w:tc>
      </w:tr>
      <w:tr w:rsidR="00EB1E12" w:rsidRPr="000F19E1" w14:paraId="3BADC7BB" w14:textId="77777777" w:rsidTr="00993B3F">
        <w:tc>
          <w:tcPr>
            <w:tcW w:w="1152" w:type="pct"/>
            <w:shd w:val="clear" w:color="auto" w:fill="DAEEF3"/>
            <w:tcMar>
              <w:top w:w="0" w:type="dxa"/>
              <w:bottom w:w="0" w:type="dxa"/>
            </w:tcMar>
          </w:tcPr>
          <w:p w14:paraId="79AD8F2D" w14:textId="77777777" w:rsidR="00EB1E12" w:rsidRPr="000F19E1" w:rsidRDefault="00EB1E12" w:rsidP="00993B3F">
            <w:pPr>
              <w:rPr>
                <w:rFonts w:cs="Arial"/>
                <w:bCs/>
                <w:sz w:val="8"/>
                <w:szCs w:val="8"/>
              </w:rPr>
            </w:pPr>
          </w:p>
        </w:tc>
        <w:tc>
          <w:tcPr>
            <w:tcW w:w="3848" w:type="pct"/>
            <w:gridSpan w:val="2"/>
            <w:shd w:val="clear" w:color="auto" w:fill="DAEEF3"/>
            <w:tcMar>
              <w:top w:w="0" w:type="dxa"/>
              <w:bottom w:w="0" w:type="dxa"/>
            </w:tcMar>
          </w:tcPr>
          <w:p w14:paraId="125AAD0F" w14:textId="77777777" w:rsidR="00EB1E12" w:rsidRPr="000F19E1" w:rsidRDefault="00EB1E12" w:rsidP="00993B3F">
            <w:pPr>
              <w:tabs>
                <w:tab w:val="center" w:pos="3152"/>
              </w:tabs>
              <w:rPr>
                <w:rFonts w:cs="Arial"/>
                <w:sz w:val="8"/>
                <w:szCs w:val="8"/>
                <w:lang w:val="en-US"/>
              </w:rPr>
            </w:pPr>
          </w:p>
        </w:tc>
      </w:tr>
    </w:tbl>
    <w:p w14:paraId="2C25FEAD" w14:textId="3F30A86B" w:rsidR="00EB1E12" w:rsidRDefault="00EB1E12" w:rsidP="00EB3E6F">
      <w:pPr>
        <w:tabs>
          <w:tab w:val="left" w:pos="2087"/>
        </w:tabs>
      </w:pPr>
    </w:p>
    <w:p w14:paraId="48B9F07B" w14:textId="77777777" w:rsidR="00EB1E12" w:rsidRDefault="00EB1E12">
      <w:r>
        <w:br w:type="page"/>
      </w:r>
    </w:p>
    <w:p w14:paraId="18278547" w14:textId="77777777" w:rsidR="00EB1E12" w:rsidRDefault="00EB1E12" w:rsidP="00EB3E6F">
      <w:pPr>
        <w:tabs>
          <w:tab w:val="left" w:pos="2087"/>
        </w:tabs>
      </w:pPr>
    </w:p>
    <w:p w14:paraId="0C1378EC" w14:textId="77777777" w:rsidR="006E7B3E" w:rsidRDefault="006E7B3E" w:rsidP="00EB3E6F">
      <w:pPr>
        <w:tabs>
          <w:tab w:val="left" w:pos="2087"/>
        </w:tabs>
      </w:pPr>
    </w:p>
    <w:tbl>
      <w:tblPr>
        <w:tblW w:w="5170" w:type="pct"/>
        <w:tblInd w:w="-176" w:type="dxa"/>
        <w:tblLayout w:type="fixed"/>
        <w:tblLook w:val="01E0" w:firstRow="1" w:lastRow="1" w:firstColumn="1" w:lastColumn="1" w:noHBand="0" w:noVBand="0"/>
      </w:tblPr>
      <w:tblGrid>
        <w:gridCol w:w="2430"/>
        <w:gridCol w:w="623"/>
        <w:gridCol w:w="7498"/>
      </w:tblGrid>
      <w:tr w:rsidR="0026556F" w:rsidRPr="00862949" w14:paraId="7B489B8A" w14:textId="77777777" w:rsidTr="00993B3F">
        <w:tc>
          <w:tcPr>
            <w:tcW w:w="5000" w:type="pct"/>
            <w:gridSpan w:val="3"/>
            <w:shd w:val="clear" w:color="auto" w:fill="0070C0"/>
            <w:tcMar>
              <w:top w:w="85" w:type="dxa"/>
              <w:bottom w:w="85" w:type="dxa"/>
            </w:tcMar>
            <w:vAlign w:val="bottom"/>
          </w:tcPr>
          <w:p w14:paraId="562F9A8B" w14:textId="77777777" w:rsidR="0026556F" w:rsidRPr="00862949" w:rsidRDefault="0026556F" w:rsidP="00993B3F">
            <w:pPr>
              <w:rPr>
                <w:rFonts w:cs="Arial"/>
                <w:color w:val="FFFFFF"/>
                <w:sz w:val="15"/>
                <w:szCs w:val="15"/>
              </w:rPr>
            </w:pP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26556F" w:rsidRPr="00862949" w14:paraId="7E8141AE" w14:textId="77777777" w:rsidTr="00993B3F">
        <w:tc>
          <w:tcPr>
            <w:tcW w:w="5000" w:type="pct"/>
            <w:gridSpan w:val="3"/>
            <w:shd w:val="clear" w:color="auto" w:fill="DAEEF3"/>
            <w:tcMar>
              <w:top w:w="0" w:type="dxa"/>
              <w:bottom w:w="0" w:type="dxa"/>
            </w:tcMar>
          </w:tcPr>
          <w:p w14:paraId="2B83E8A8" w14:textId="77777777" w:rsidR="0026556F" w:rsidRPr="00862949" w:rsidRDefault="0026556F" w:rsidP="00993B3F">
            <w:pPr>
              <w:rPr>
                <w:rFonts w:cs="Arial"/>
                <w:b/>
                <w:bCs/>
                <w:i/>
                <w:iCs/>
                <w:color w:val="000000"/>
                <w:sz w:val="8"/>
                <w:szCs w:val="8"/>
                <w:lang w:val="en-US"/>
              </w:rPr>
            </w:pPr>
          </w:p>
        </w:tc>
      </w:tr>
      <w:tr w:rsidR="0026556F" w:rsidRPr="00862949" w14:paraId="038E505C" w14:textId="77777777" w:rsidTr="00993B3F">
        <w:tc>
          <w:tcPr>
            <w:tcW w:w="5000" w:type="pct"/>
            <w:gridSpan w:val="3"/>
            <w:shd w:val="clear" w:color="auto" w:fill="008232"/>
            <w:tcMar>
              <w:top w:w="57" w:type="dxa"/>
              <w:bottom w:w="57" w:type="dxa"/>
            </w:tcMar>
          </w:tcPr>
          <w:p w14:paraId="3FC1A972" w14:textId="3ED589F9" w:rsidR="0026556F" w:rsidRPr="0026556F" w:rsidRDefault="0026556F" w:rsidP="00993B3F">
            <w:pPr>
              <w:rPr>
                <w:rFonts w:cs="Arial"/>
                <w:color w:val="FFFFFF"/>
                <w:sz w:val="20"/>
                <w:szCs w:val="20"/>
              </w:rPr>
            </w:pPr>
            <w:r w:rsidRPr="00433D3E">
              <w:rPr>
                <w:rFonts w:cs="Arial"/>
                <w:b/>
                <w:bCs/>
                <w:i/>
                <w:iCs/>
                <w:color w:val="FFFFFF"/>
                <w:sz w:val="22"/>
                <w:szCs w:val="20"/>
                <w:lang w:val="en-US"/>
              </w:rPr>
              <w:t xml:space="preserve">Approved in the </w:t>
            </w:r>
            <w:r>
              <w:rPr>
                <w:rFonts w:cs="Arial"/>
                <w:b/>
                <w:bCs/>
                <w:i/>
                <w:iCs/>
                <w:color w:val="FFFFFF"/>
                <w:sz w:val="22"/>
                <w:szCs w:val="20"/>
                <w:lang w:val="en-US"/>
              </w:rPr>
              <w:t xml:space="preserve">UK </w:t>
            </w:r>
            <w:r w:rsidRPr="0026556F">
              <w:rPr>
                <w:rFonts w:cs="Arial"/>
                <w:b/>
                <w:bCs/>
                <w:color w:val="FFFFFF"/>
                <w:sz w:val="16"/>
                <w:szCs w:val="14"/>
                <w:lang w:val="en-US"/>
              </w:rPr>
              <w:t>(continued)</w:t>
            </w:r>
          </w:p>
        </w:tc>
      </w:tr>
      <w:tr w:rsidR="0026556F" w14:paraId="33617F94" w14:textId="77777777" w:rsidTr="00993B3F">
        <w:tc>
          <w:tcPr>
            <w:tcW w:w="1447" w:type="pct"/>
            <w:gridSpan w:val="2"/>
            <w:shd w:val="clear" w:color="auto" w:fill="auto"/>
            <w:tcMar>
              <w:top w:w="57" w:type="dxa"/>
              <w:bottom w:w="57" w:type="dxa"/>
            </w:tcMar>
          </w:tcPr>
          <w:p w14:paraId="05AD9A04" w14:textId="77777777" w:rsidR="0026556F" w:rsidRDefault="0026556F" w:rsidP="00993B3F">
            <w:pPr>
              <w:rPr>
                <w:rFonts w:cs="Arial"/>
                <w:szCs w:val="19"/>
              </w:rPr>
            </w:pPr>
            <w:r w:rsidRPr="00E61931">
              <w:rPr>
                <w:rFonts w:cs="Arial"/>
                <w:szCs w:val="19"/>
              </w:rPr>
              <w:t>Golimumab biosimilar (</w:t>
            </w:r>
            <w:r w:rsidRPr="00E61931">
              <w:rPr>
                <w:rFonts w:cs="Arial"/>
                <w:i/>
                <w:iCs/>
                <w:szCs w:val="19"/>
              </w:rPr>
              <w:t>Gobivaz</w:t>
            </w:r>
            <w:r w:rsidRPr="00E61931">
              <w:rPr>
                <w:rFonts w:cs="Arial"/>
                <w:szCs w:val="19"/>
              </w:rPr>
              <w:t>)</w:t>
            </w:r>
          </w:p>
          <w:p w14:paraId="6FFA2E98" w14:textId="0C2B6730" w:rsidR="0026556F" w:rsidRPr="009B4F9E" w:rsidRDefault="0026556F" w:rsidP="00993B3F">
            <w:pPr>
              <w:rPr>
                <w:rFonts w:cs="Arial"/>
                <w:szCs w:val="19"/>
              </w:rPr>
            </w:pPr>
            <w:r w:rsidRPr="009764E2">
              <w:rPr>
                <w:rFonts w:cs="Arial"/>
                <w:sz w:val="16"/>
                <w:szCs w:val="16"/>
              </w:rPr>
              <w:t>100mg in 1mL prefilled pen</w:t>
            </w:r>
          </w:p>
        </w:tc>
        <w:tc>
          <w:tcPr>
            <w:tcW w:w="3553" w:type="pct"/>
            <w:shd w:val="clear" w:color="auto" w:fill="auto"/>
            <w:tcMar>
              <w:top w:w="57" w:type="dxa"/>
              <w:bottom w:w="57" w:type="dxa"/>
            </w:tcMar>
          </w:tcPr>
          <w:p w14:paraId="6BDA5E53" w14:textId="77777777" w:rsidR="0026556F" w:rsidRPr="00A075A3" w:rsidRDefault="0026556F" w:rsidP="00993B3F">
            <w:pPr>
              <w:tabs>
                <w:tab w:val="num" w:pos="720"/>
                <w:tab w:val="center" w:pos="3152"/>
              </w:tabs>
              <w:rPr>
                <w:rFonts w:cs="Arial"/>
                <w:szCs w:val="19"/>
                <w:lang w:val="en-US"/>
              </w:rPr>
            </w:pPr>
            <w:r w:rsidRPr="001540C5">
              <w:rPr>
                <w:rFonts w:cs="Arial"/>
                <w:szCs w:val="19"/>
                <w:lang w:val="en-US"/>
              </w:rPr>
              <w:t xml:space="preserve">Use in combination with methotrexate (MTX) for the treatment of moderate to severe, active rheumatoid arthritis (RA) in adults when the response to disease-modifying anti-rheumatic drug (DMARD) therapy including MTX has been inadequate, and the </w:t>
            </w:r>
            <w:r w:rsidRPr="000165FF">
              <w:rPr>
                <w:rFonts w:cs="Arial"/>
                <w:szCs w:val="19"/>
                <w:lang w:val="en-US"/>
              </w:rPr>
              <w:t xml:space="preserve">treatment of severe, active and progressive RA in adults not previously treated with MTX; use alone or in combination with MTX, for the treatment of active and progressive psoriatic </w:t>
            </w:r>
            <w:r w:rsidRPr="0009677E">
              <w:rPr>
                <w:rFonts w:cs="Arial"/>
                <w:szCs w:val="19"/>
                <w:lang w:val="en-US"/>
              </w:rPr>
              <w:t xml:space="preserve">arthritis in adults when the response to previous DMARD therapy has been inadequate; treatment of severe, active </w:t>
            </w:r>
            <w:r w:rsidRPr="00AC389A">
              <w:rPr>
                <w:rFonts w:cs="Arial"/>
                <w:szCs w:val="19"/>
                <w:lang w:val="en-US"/>
              </w:rPr>
              <w:t xml:space="preserve">ankylosing spondylitis in adults who have responded inadequately to conventional therapy; treatment of adults with severe, active non-radiographic axial spondyloarthritis with objective signs of inflammation as </w:t>
            </w:r>
            <w:r w:rsidRPr="00E87932">
              <w:rPr>
                <w:rFonts w:cs="Arial"/>
                <w:szCs w:val="19"/>
                <w:lang w:val="en-US"/>
              </w:rPr>
              <w:t xml:space="preserve">indicated by elevated C-reactive protein and/or magnetic resonance imaging evidence, who have had an inadequate response to, or are intolerant to nonsteroidal anti-inflammatory drugs; </w:t>
            </w:r>
            <w:r w:rsidRPr="008145E2">
              <w:rPr>
                <w:rFonts w:cs="Arial"/>
                <w:szCs w:val="19"/>
                <w:lang w:val="en-US"/>
              </w:rPr>
              <w:t>treatment of moderately to severely active ulcerative colitis in adults who have had an inadequate response to conventional therapy including corticosteroids and 6-mercaptopurine or azathioprine, or who are intolerant to or have medical contraindications for such therapies</w:t>
            </w:r>
          </w:p>
        </w:tc>
      </w:tr>
      <w:tr w:rsidR="0026556F" w14:paraId="7BAB3C04" w14:textId="77777777" w:rsidTr="00993B3F">
        <w:tc>
          <w:tcPr>
            <w:tcW w:w="1447" w:type="pct"/>
            <w:gridSpan w:val="2"/>
            <w:shd w:val="clear" w:color="auto" w:fill="auto"/>
            <w:tcMar>
              <w:top w:w="57" w:type="dxa"/>
              <w:bottom w:w="57" w:type="dxa"/>
            </w:tcMar>
          </w:tcPr>
          <w:p w14:paraId="3E681A1F" w14:textId="77777777" w:rsidR="0026556F" w:rsidRDefault="0026556F" w:rsidP="00993B3F">
            <w:pPr>
              <w:rPr>
                <w:rFonts w:cs="Arial"/>
                <w:szCs w:val="19"/>
              </w:rPr>
            </w:pPr>
            <w:r w:rsidRPr="00E61931">
              <w:rPr>
                <w:rFonts w:cs="Arial"/>
                <w:szCs w:val="19"/>
              </w:rPr>
              <w:t>Golimumab biosimilar (</w:t>
            </w:r>
            <w:r w:rsidRPr="00E61931">
              <w:rPr>
                <w:rFonts w:cs="Arial"/>
                <w:i/>
                <w:iCs/>
                <w:szCs w:val="19"/>
              </w:rPr>
              <w:t>Gobivaz</w:t>
            </w:r>
            <w:r w:rsidRPr="00E61931">
              <w:rPr>
                <w:rFonts w:cs="Arial"/>
                <w:szCs w:val="19"/>
              </w:rPr>
              <w:t>)</w:t>
            </w:r>
          </w:p>
          <w:p w14:paraId="3ABEEA6F" w14:textId="77777777" w:rsidR="0026556F" w:rsidRPr="00847590" w:rsidRDefault="0026556F" w:rsidP="00993B3F">
            <w:pPr>
              <w:rPr>
                <w:rFonts w:cs="Arial"/>
                <w:szCs w:val="19"/>
              </w:rPr>
            </w:pPr>
            <w:r>
              <w:rPr>
                <w:rFonts w:cs="Arial"/>
                <w:sz w:val="16"/>
                <w:szCs w:val="16"/>
              </w:rPr>
              <w:t>50mg in 0.5m</w:t>
            </w:r>
            <w:r w:rsidRPr="009764E2">
              <w:rPr>
                <w:rFonts w:cs="Arial"/>
                <w:sz w:val="16"/>
                <w:szCs w:val="16"/>
              </w:rPr>
              <w:t xml:space="preserve">L prefilled pen and syringe </w:t>
            </w:r>
          </w:p>
        </w:tc>
        <w:tc>
          <w:tcPr>
            <w:tcW w:w="3553" w:type="pct"/>
            <w:shd w:val="clear" w:color="auto" w:fill="auto"/>
            <w:tcMar>
              <w:top w:w="57" w:type="dxa"/>
              <w:bottom w:w="57" w:type="dxa"/>
            </w:tcMar>
          </w:tcPr>
          <w:p w14:paraId="49346FA0" w14:textId="77777777" w:rsidR="0026556F" w:rsidRPr="009B0BCE" w:rsidRDefault="0026556F" w:rsidP="00993B3F">
            <w:pPr>
              <w:tabs>
                <w:tab w:val="center" w:pos="3152"/>
              </w:tabs>
              <w:rPr>
                <w:rFonts w:cs="Arial"/>
                <w:color w:val="000000"/>
                <w:sz w:val="20"/>
                <w:szCs w:val="18"/>
                <w:lang w:val="en-US"/>
              </w:rPr>
            </w:pPr>
            <w:r w:rsidRPr="00AC6F08">
              <w:rPr>
                <w:rFonts w:cs="Arial"/>
                <w:szCs w:val="19"/>
                <w:lang w:val="en-US"/>
              </w:rPr>
              <w:t xml:space="preserve">Use in combination with methotrexate (MTX) for the treatment of moderate to severe, active rheumatoid arthritis (RA) in adults when the response to disease-modifying anti-rheumatic drug (DMARD) therapy including MTX has been inadequate, and the </w:t>
            </w:r>
            <w:r w:rsidRPr="0031679D">
              <w:rPr>
                <w:rFonts w:cs="Arial"/>
                <w:szCs w:val="19"/>
                <w:lang w:val="en-US"/>
              </w:rPr>
              <w:t xml:space="preserve">treatment of severe, active and progressive RA in adults not previously treated with MTX; </w:t>
            </w:r>
            <w:r w:rsidRPr="0031679D">
              <w:rPr>
                <w:rFonts w:cs="Arial"/>
                <w:b/>
                <w:bCs/>
                <w:szCs w:val="19"/>
                <w:lang w:val="en-US"/>
              </w:rPr>
              <w:t>use in combination with MTX for the treatment of polyarticular juvenile idiopathic arthritis in children aged ≥2 years, who have responded inadequately to previous therapy with MTX</w:t>
            </w:r>
            <w:r w:rsidRPr="0031679D">
              <w:rPr>
                <w:rFonts w:cs="Arial"/>
                <w:szCs w:val="19"/>
                <w:lang w:val="en-US"/>
              </w:rPr>
              <w:t xml:space="preserve">; use alone or in combination with MTX, for the treatment of active and progressive psoriatic arthritis in adults when the response to previous DMARD therapy has been inadequate; </w:t>
            </w:r>
            <w:r w:rsidRPr="00935641">
              <w:rPr>
                <w:rFonts w:cs="Arial"/>
                <w:szCs w:val="19"/>
                <w:lang w:val="en-US"/>
              </w:rPr>
              <w:t>treatment of severe, active ankylosing spondylitis in adults who have responded inadequately to conventional therapy; treatment of adults with severe, active non-radiographic axial spondyloarthritis with objective signs of inflammation as indicated by elevated C-reactive protein and/or magnetic resonance imaging evidence</w:t>
            </w:r>
            <w:r w:rsidRPr="003B534D">
              <w:rPr>
                <w:rFonts w:cs="Arial"/>
                <w:szCs w:val="19"/>
                <w:lang w:val="en-US"/>
              </w:rPr>
              <w:t>, who have had an inadequate response to, or are intolerant to nonsteroidal anti-inflammatory drugs; treatment of moderately to severely active ulcerative colitis in adults who have had an inadequate response to conventional therapy including corticosteroids and 6-mercaptopurine or azathioprine, or who are intolerant to or have medical contraindications for such therapies</w:t>
            </w:r>
          </w:p>
        </w:tc>
      </w:tr>
      <w:tr w:rsidR="0026556F" w14:paraId="2AF22FCD" w14:textId="77777777" w:rsidTr="00993B3F">
        <w:tc>
          <w:tcPr>
            <w:tcW w:w="1447" w:type="pct"/>
            <w:gridSpan w:val="2"/>
            <w:shd w:val="clear" w:color="auto" w:fill="auto"/>
            <w:tcMar>
              <w:top w:w="57" w:type="dxa"/>
              <w:bottom w:w="57" w:type="dxa"/>
            </w:tcMar>
          </w:tcPr>
          <w:p w14:paraId="732A5F0F" w14:textId="77777777" w:rsidR="0026556F" w:rsidRPr="0059045F" w:rsidRDefault="0026556F" w:rsidP="00993B3F">
            <w:pPr>
              <w:rPr>
                <w:rFonts w:cs="Arial"/>
                <w:color w:val="000000" w:themeColor="text1"/>
                <w:szCs w:val="19"/>
              </w:rPr>
            </w:pPr>
            <w:r w:rsidRPr="0059045F">
              <w:rPr>
                <w:rFonts w:cs="Arial"/>
                <w:color w:val="000000" w:themeColor="text1"/>
                <w:szCs w:val="19"/>
              </w:rPr>
              <w:t>Inavolisib (</w:t>
            </w:r>
            <w:r w:rsidRPr="0059045F">
              <w:rPr>
                <w:rFonts w:cs="Arial"/>
                <w:i/>
                <w:iCs/>
                <w:color w:val="000000" w:themeColor="text1"/>
                <w:szCs w:val="19"/>
              </w:rPr>
              <w:t>Itovebi</w:t>
            </w:r>
            <w:r w:rsidRPr="0059045F">
              <w:rPr>
                <w:rFonts w:cs="Arial"/>
                <w:color w:val="000000" w:themeColor="text1"/>
                <w:szCs w:val="19"/>
              </w:rPr>
              <w:t>)</w:t>
            </w:r>
          </w:p>
          <w:p w14:paraId="3B8DBB29" w14:textId="77777777" w:rsidR="0026556F" w:rsidRPr="0059045F" w:rsidRDefault="0026556F" w:rsidP="00993B3F">
            <w:pPr>
              <w:rPr>
                <w:rFonts w:cs="Arial"/>
                <w:color w:val="000000" w:themeColor="text1"/>
                <w:szCs w:val="19"/>
              </w:rPr>
            </w:pPr>
            <w:r w:rsidRPr="0059045F">
              <w:rPr>
                <w:rFonts w:cs="Arial"/>
                <w:color w:val="000000" w:themeColor="text1"/>
                <w:sz w:val="16"/>
                <w:szCs w:val="16"/>
              </w:rPr>
              <w:t>3mg and 9mg tablets</w:t>
            </w:r>
          </w:p>
        </w:tc>
        <w:tc>
          <w:tcPr>
            <w:tcW w:w="3553" w:type="pct"/>
            <w:shd w:val="clear" w:color="auto" w:fill="auto"/>
            <w:tcMar>
              <w:top w:w="57" w:type="dxa"/>
              <w:bottom w:w="57" w:type="dxa"/>
            </w:tcMar>
          </w:tcPr>
          <w:p w14:paraId="4751DF59" w14:textId="77777777" w:rsidR="0026556F" w:rsidRPr="0059045F" w:rsidRDefault="0026556F" w:rsidP="00993B3F">
            <w:pPr>
              <w:tabs>
                <w:tab w:val="center" w:pos="3152"/>
              </w:tabs>
              <w:rPr>
                <w:rFonts w:cs="Arial"/>
                <w:color w:val="000000" w:themeColor="text1"/>
                <w:szCs w:val="19"/>
              </w:rPr>
            </w:pPr>
            <w:r w:rsidRPr="0059045F">
              <w:rPr>
                <w:rFonts w:cs="Arial"/>
                <w:color w:val="000000" w:themeColor="text1"/>
                <w:szCs w:val="19"/>
                <w:lang w:val="en-US"/>
              </w:rPr>
              <w:t>Use in combination with palbociclib and fulvestrant for the treatment of adults with PIK3CA</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mutated, oestrogen receptor</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positive, HER2</w:t>
            </w:r>
            <w:r w:rsidRPr="0059045F">
              <w:rPr>
                <w:rFonts w:ascii="Cambria Math" w:hAnsi="Cambria Math" w:cs="Cambria Math"/>
                <w:color w:val="000000" w:themeColor="text1"/>
                <w:szCs w:val="19"/>
                <w:lang w:val="en-US"/>
              </w:rPr>
              <w:t>‑</w:t>
            </w:r>
            <w:r w:rsidRPr="0059045F">
              <w:rPr>
                <w:rFonts w:cs="Arial"/>
                <w:color w:val="000000" w:themeColor="text1"/>
                <w:szCs w:val="19"/>
                <w:lang w:val="en-US"/>
              </w:rPr>
              <w:t>negative, locally advanced or metastatic breast cancer, following recurrence on or within 12 months of completing adjuvant endocrine treatment</w:t>
            </w:r>
          </w:p>
        </w:tc>
      </w:tr>
      <w:tr w:rsidR="0026556F" w14:paraId="3717E1F3" w14:textId="77777777" w:rsidTr="00993B3F">
        <w:tc>
          <w:tcPr>
            <w:tcW w:w="1447" w:type="pct"/>
            <w:gridSpan w:val="2"/>
            <w:shd w:val="clear" w:color="auto" w:fill="auto"/>
            <w:tcMar>
              <w:top w:w="57" w:type="dxa"/>
              <w:bottom w:w="57" w:type="dxa"/>
            </w:tcMar>
          </w:tcPr>
          <w:p w14:paraId="2820967A" w14:textId="77777777" w:rsidR="0026556F" w:rsidRDefault="0026556F" w:rsidP="00993B3F">
            <w:pPr>
              <w:rPr>
                <w:rFonts w:cs="Arial"/>
                <w:szCs w:val="19"/>
              </w:rPr>
            </w:pPr>
            <w:r>
              <w:rPr>
                <w:rFonts w:cs="Arial"/>
                <w:szCs w:val="19"/>
              </w:rPr>
              <w:t>Nintedanib (</w:t>
            </w:r>
            <w:r>
              <w:rPr>
                <w:rFonts w:cs="Arial"/>
                <w:i/>
                <w:iCs/>
                <w:szCs w:val="19"/>
              </w:rPr>
              <w:t>Ofev</w:t>
            </w:r>
            <w:r>
              <w:rPr>
                <w:rFonts w:cs="Arial"/>
                <w:szCs w:val="19"/>
              </w:rPr>
              <w:t>)</w:t>
            </w:r>
          </w:p>
          <w:p w14:paraId="05399958" w14:textId="77777777" w:rsidR="0026556F" w:rsidRPr="00E61931" w:rsidRDefault="0026556F" w:rsidP="00993B3F">
            <w:pPr>
              <w:rPr>
                <w:rFonts w:cs="Arial"/>
                <w:szCs w:val="19"/>
              </w:rPr>
            </w:pPr>
            <w:r>
              <w:rPr>
                <w:rFonts w:cs="Arial"/>
                <w:sz w:val="16"/>
                <w:szCs w:val="16"/>
              </w:rPr>
              <w:t>25</w:t>
            </w:r>
            <w:r w:rsidRPr="003067EE">
              <w:rPr>
                <w:rFonts w:cs="Arial"/>
                <w:sz w:val="16"/>
                <w:szCs w:val="16"/>
              </w:rPr>
              <w:t>mg capsule</w:t>
            </w:r>
          </w:p>
        </w:tc>
        <w:tc>
          <w:tcPr>
            <w:tcW w:w="3553" w:type="pct"/>
            <w:shd w:val="clear" w:color="auto" w:fill="auto"/>
            <w:tcMar>
              <w:top w:w="57" w:type="dxa"/>
              <w:bottom w:w="57" w:type="dxa"/>
            </w:tcMar>
          </w:tcPr>
          <w:p w14:paraId="0DBC8257" w14:textId="77777777" w:rsidR="0026556F" w:rsidRDefault="0026556F" w:rsidP="00993B3F">
            <w:pPr>
              <w:tabs>
                <w:tab w:val="center" w:pos="3152"/>
              </w:tabs>
              <w:rPr>
                <w:rFonts w:cs="Arial"/>
                <w:szCs w:val="19"/>
              </w:rPr>
            </w:pPr>
            <w:r w:rsidRPr="003927D4">
              <w:rPr>
                <w:rFonts w:cs="Arial"/>
                <w:szCs w:val="19"/>
              </w:rPr>
              <w:t xml:space="preserve">Use in adults for the treatment of idiopathic pulmonary fibrosis, use in adults for the treatment of other chronic fibrosing interstitial lung diseases (ILDs) with a progressive phenotype, use in children and adolescents </w:t>
            </w:r>
            <w:r>
              <w:rPr>
                <w:rFonts w:cs="Arial"/>
                <w:szCs w:val="19"/>
              </w:rPr>
              <w:t>aged</w:t>
            </w:r>
            <w:r w:rsidRPr="003927D4">
              <w:rPr>
                <w:rFonts w:cs="Arial"/>
                <w:szCs w:val="19"/>
              </w:rPr>
              <w:t xml:space="preserve"> 6</w:t>
            </w:r>
            <w:r>
              <w:rPr>
                <w:rFonts w:cs="Arial"/>
                <w:szCs w:val="19"/>
              </w:rPr>
              <w:t>-</w:t>
            </w:r>
            <w:r w:rsidRPr="003927D4">
              <w:rPr>
                <w:rFonts w:cs="Arial"/>
                <w:szCs w:val="19"/>
              </w:rPr>
              <w:t xml:space="preserve">17 years for the treatment of clinically significant, progressive fibrosing ILDs, and use in adults, adolescents and children aged </w:t>
            </w:r>
            <w:r>
              <w:rPr>
                <w:rFonts w:cs="Arial"/>
                <w:szCs w:val="19"/>
              </w:rPr>
              <w:t>≥</w:t>
            </w:r>
            <w:r w:rsidRPr="003927D4">
              <w:rPr>
                <w:rFonts w:cs="Arial"/>
                <w:szCs w:val="19"/>
              </w:rPr>
              <w:t xml:space="preserve">6 years for the treatment of systemic sclerosis associated-ILD </w:t>
            </w:r>
          </w:p>
          <w:p w14:paraId="13E0EE05" w14:textId="77777777" w:rsidR="0026556F" w:rsidRDefault="0026556F" w:rsidP="00993B3F">
            <w:pPr>
              <w:tabs>
                <w:tab w:val="center" w:pos="3152"/>
              </w:tabs>
              <w:rPr>
                <w:rFonts w:cs="Arial"/>
                <w:szCs w:val="19"/>
                <w:lang w:val="en-US"/>
              </w:rPr>
            </w:pPr>
            <w:r w:rsidRPr="00B41DA2">
              <w:rPr>
                <w:rFonts w:cs="Arial"/>
                <w:sz w:val="16"/>
                <w:szCs w:val="16"/>
              </w:rPr>
              <w:t>[</w:t>
            </w:r>
            <w:r>
              <w:rPr>
                <w:rFonts w:cs="Arial"/>
                <w:sz w:val="16"/>
                <w:szCs w:val="16"/>
              </w:rPr>
              <w:t>new lower strength formulation</w:t>
            </w:r>
            <w:r w:rsidRPr="00B41DA2">
              <w:rPr>
                <w:rFonts w:cs="Arial"/>
                <w:sz w:val="16"/>
                <w:szCs w:val="16"/>
              </w:rPr>
              <w:t>]</w:t>
            </w:r>
          </w:p>
        </w:tc>
      </w:tr>
      <w:tr w:rsidR="0026556F" w14:paraId="07047FC5" w14:textId="77777777" w:rsidTr="00993B3F">
        <w:tc>
          <w:tcPr>
            <w:tcW w:w="1447" w:type="pct"/>
            <w:gridSpan w:val="2"/>
            <w:shd w:val="clear" w:color="auto" w:fill="auto"/>
            <w:tcMar>
              <w:top w:w="57" w:type="dxa"/>
              <w:bottom w:w="57" w:type="dxa"/>
            </w:tcMar>
          </w:tcPr>
          <w:p w14:paraId="2A440098" w14:textId="77777777" w:rsidR="0026556F" w:rsidRDefault="0026556F" w:rsidP="00993B3F">
            <w:pPr>
              <w:rPr>
                <w:rFonts w:cs="Arial"/>
                <w:szCs w:val="19"/>
              </w:rPr>
            </w:pPr>
            <w:r w:rsidRPr="00D31DFF">
              <w:rPr>
                <w:rFonts w:cs="Arial"/>
                <w:szCs w:val="19"/>
              </w:rPr>
              <w:t xml:space="preserve">SARS-CoV-2 virus recombinant spike protein </w:t>
            </w:r>
            <w:r w:rsidRPr="00BE25C0">
              <w:rPr>
                <w:rFonts w:cs="Arial"/>
                <w:szCs w:val="19"/>
              </w:rPr>
              <w:t>receptor binding domain (RBD) fusion homodimer</w:t>
            </w:r>
            <w:r>
              <w:rPr>
                <w:rFonts w:cs="Arial"/>
                <w:szCs w:val="19"/>
              </w:rPr>
              <w:t xml:space="preserve"> (</w:t>
            </w:r>
            <w:r w:rsidRPr="00E11342">
              <w:rPr>
                <w:rFonts w:cs="Arial"/>
                <w:i/>
                <w:iCs/>
                <w:szCs w:val="19"/>
              </w:rPr>
              <w:t>Bimervax LP.8.1</w:t>
            </w:r>
            <w:r>
              <w:rPr>
                <w:rFonts w:cs="Arial"/>
                <w:szCs w:val="19"/>
              </w:rPr>
              <w:t>)</w:t>
            </w:r>
          </w:p>
          <w:p w14:paraId="0DD78E7B" w14:textId="77777777" w:rsidR="0026556F" w:rsidRPr="00E11342" w:rsidRDefault="0026556F" w:rsidP="00993B3F">
            <w:pPr>
              <w:rPr>
                <w:rFonts w:cs="Arial"/>
                <w:szCs w:val="19"/>
              </w:rPr>
            </w:pPr>
            <w:r w:rsidRPr="00E11342">
              <w:rPr>
                <w:rFonts w:cs="Arial"/>
                <w:sz w:val="16"/>
                <w:szCs w:val="16"/>
              </w:rPr>
              <w:t>Single-dose vial</w:t>
            </w:r>
          </w:p>
        </w:tc>
        <w:tc>
          <w:tcPr>
            <w:tcW w:w="3553" w:type="pct"/>
            <w:shd w:val="clear" w:color="auto" w:fill="auto"/>
            <w:tcMar>
              <w:top w:w="57" w:type="dxa"/>
              <w:bottom w:w="57" w:type="dxa"/>
            </w:tcMar>
          </w:tcPr>
          <w:p w14:paraId="2181AE32" w14:textId="77777777" w:rsidR="0026556F" w:rsidRPr="00A075A3" w:rsidRDefault="0026556F" w:rsidP="00993B3F">
            <w:pPr>
              <w:tabs>
                <w:tab w:val="center" w:pos="3152"/>
              </w:tabs>
              <w:rPr>
                <w:rFonts w:cs="Arial"/>
                <w:szCs w:val="19"/>
                <w:lang w:val="en-US"/>
              </w:rPr>
            </w:pPr>
            <w:r>
              <w:rPr>
                <w:rFonts w:cs="Arial"/>
                <w:szCs w:val="19"/>
                <w:lang w:val="en-US"/>
              </w:rPr>
              <w:t>Activ</w:t>
            </w:r>
            <w:r w:rsidRPr="00A70B78">
              <w:rPr>
                <w:rFonts w:cs="Arial"/>
                <w:szCs w:val="19"/>
                <w:lang w:val="en-US"/>
              </w:rPr>
              <w:t xml:space="preserve">e immunisation to prevent COVID-19 caused by SARS-CoV-2 in individuals </w:t>
            </w:r>
            <w:r>
              <w:rPr>
                <w:rFonts w:cs="Arial"/>
                <w:szCs w:val="19"/>
                <w:lang w:val="en-US"/>
              </w:rPr>
              <w:t>aged ≥</w:t>
            </w:r>
            <w:r w:rsidRPr="00A70B78">
              <w:rPr>
                <w:rFonts w:cs="Arial"/>
                <w:szCs w:val="19"/>
                <w:lang w:val="en-US"/>
              </w:rPr>
              <w:t>16 years</w:t>
            </w:r>
          </w:p>
        </w:tc>
      </w:tr>
      <w:tr w:rsidR="0026556F" w:rsidRPr="00862949" w14:paraId="47C418FF" w14:textId="77777777" w:rsidTr="00993B3F">
        <w:tc>
          <w:tcPr>
            <w:tcW w:w="5000" w:type="pct"/>
            <w:gridSpan w:val="3"/>
            <w:shd w:val="clear" w:color="auto" w:fill="auto"/>
            <w:tcMar>
              <w:top w:w="0" w:type="dxa"/>
              <w:bottom w:w="0" w:type="dxa"/>
            </w:tcMar>
          </w:tcPr>
          <w:p w14:paraId="3EA47FB5" w14:textId="77777777" w:rsidR="0026556F" w:rsidRPr="00862949" w:rsidRDefault="0026556F" w:rsidP="00993B3F">
            <w:pPr>
              <w:jc w:val="center"/>
              <w:rPr>
                <w:rFonts w:cs="Arial"/>
                <w:noProof/>
                <w:sz w:val="8"/>
                <w:szCs w:val="8"/>
              </w:rPr>
            </w:pPr>
          </w:p>
        </w:tc>
      </w:tr>
      <w:tr w:rsidR="0026556F" w:rsidRPr="000F19E1" w14:paraId="065180D7" w14:textId="77777777" w:rsidTr="00993B3F">
        <w:tc>
          <w:tcPr>
            <w:tcW w:w="1152" w:type="pct"/>
            <w:shd w:val="clear" w:color="auto" w:fill="DAEEF3"/>
            <w:tcMar>
              <w:top w:w="0" w:type="dxa"/>
              <w:bottom w:w="0" w:type="dxa"/>
            </w:tcMar>
          </w:tcPr>
          <w:p w14:paraId="48FFCB19" w14:textId="77777777" w:rsidR="0026556F" w:rsidRPr="000F19E1" w:rsidRDefault="0026556F" w:rsidP="00993B3F">
            <w:pPr>
              <w:rPr>
                <w:rFonts w:cs="Arial"/>
                <w:bCs/>
                <w:sz w:val="8"/>
                <w:szCs w:val="8"/>
              </w:rPr>
            </w:pPr>
          </w:p>
        </w:tc>
        <w:tc>
          <w:tcPr>
            <w:tcW w:w="3848" w:type="pct"/>
            <w:gridSpan w:val="2"/>
            <w:shd w:val="clear" w:color="auto" w:fill="DAEEF3"/>
            <w:tcMar>
              <w:top w:w="0" w:type="dxa"/>
              <w:bottom w:w="0" w:type="dxa"/>
            </w:tcMar>
          </w:tcPr>
          <w:p w14:paraId="181F5D78" w14:textId="77777777" w:rsidR="0026556F" w:rsidRPr="000F19E1" w:rsidRDefault="0026556F" w:rsidP="00993B3F">
            <w:pPr>
              <w:tabs>
                <w:tab w:val="center" w:pos="3152"/>
              </w:tabs>
              <w:rPr>
                <w:rFonts w:cs="Arial"/>
                <w:sz w:val="8"/>
                <w:szCs w:val="8"/>
                <w:lang w:val="en-US"/>
              </w:rPr>
            </w:pPr>
          </w:p>
        </w:tc>
      </w:tr>
    </w:tbl>
    <w:p w14:paraId="038629EF" w14:textId="4275C139" w:rsidR="0026556F" w:rsidRDefault="0026556F" w:rsidP="00EB3E6F">
      <w:pPr>
        <w:tabs>
          <w:tab w:val="left" w:pos="2087"/>
        </w:tabs>
      </w:pPr>
    </w:p>
    <w:p w14:paraId="3A8292DB" w14:textId="77777777" w:rsidR="0026556F" w:rsidRDefault="0026556F">
      <w:r>
        <w:br w:type="page"/>
      </w:r>
    </w:p>
    <w:p w14:paraId="1DFB082F" w14:textId="77777777" w:rsidR="001802BD" w:rsidRDefault="001802BD" w:rsidP="00EB3E6F">
      <w:pPr>
        <w:tabs>
          <w:tab w:val="left" w:pos="2087"/>
        </w:tabs>
      </w:pPr>
    </w:p>
    <w:p w14:paraId="01312A47" w14:textId="77777777" w:rsidR="0026556F" w:rsidRDefault="0026556F" w:rsidP="00EB3E6F">
      <w:pPr>
        <w:tabs>
          <w:tab w:val="left" w:pos="2087"/>
        </w:tabs>
      </w:pPr>
    </w:p>
    <w:tbl>
      <w:tblPr>
        <w:tblW w:w="5170" w:type="pct"/>
        <w:tblInd w:w="-176" w:type="dxa"/>
        <w:tblLayout w:type="fixed"/>
        <w:tblLook w:val="01E0" w:firstRow="1" w:lastRow="1" w:firstColumn="1" w:lastColumn="1" w:noHBand="0" w:noVBand="0"/>
      </w:tblPr>
      <w:tblGrid>
        <w:gridCol w:w="2430"/>
        <w:gridCol w:w="623"/>
        <w:gridCol w:w="7498"/>
      </w:tblGrid>
      <w:tr w:rsidR="005A7E09" w:rsidRPr="00862949" w14:paraId="7CDBDE9D" w14:textId="77777777" w:rsidTr="005A7E09">
        <w:tc>
          <w:tcPr>
            <w:tcW w:w="5000" w:type="pct"/>
            <w:gridSpan w:val="3"/>
            <w:shd w:val="clear" w:color="auto" w:fill="0070C0"/>
            <w:tcMar>
              <w:top w:w="85" w:type="dxa"/>
              <w:bottom w:w="85" w:type="dxa"/>
            </w:tcMar>
            <w:vAlign w:val="bottom"/>
          </w:tcPr>
          <w:p w14:paraId="724930A3" w14:textId="77777777" w:rsidR="005A7E09" w:rsidRPr="00862949" w:rsidRDefault="005A7E09" w:rsidP="005A7E09">
            <w:pPr>
              <w:rPr>
                <w:rFonts w:cs="Arial"/>
                <w:color w:val="FFFFFF"/>
                <w:sz w:val="15"/>
                <w:szCs w:val="15"/>
              </w:rPr>
            </w:pPr>
            <w:r w:rsidRPr="00862949">
              <w:rPr>
                <w:rFonts w:cs="Arial"/>
                <w:b/>
                <w:bCs/>
                <w:iCs/>
                <w:color w:val="FFFFFF"/>
                <w:sz w:val="28"/>
                <w:szCs w:val="28"/>
                <w:lang w:val="en-US"/>
              </w:rPr>
              <w:t xml:space="preserve">Regulatory changes in the </w:t>
            </w:r>
            <w:r w:rsidR="00AA1F49">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5A7E09" w:rsidRPr="00862949" w14:paraId="5F2BE315" w14:textId="77777777" w:rsidTr="005A7E09">
        <w:tc>
          <w:tcPr>
            <w:tcW w:w="5000" w:type="pct"/>
            <w:gridSpan w:val="3"/>
            <w:shd w:val="clear" w:color="auto" w:fill="DAEEF3"/>
            <w:tcMar>
              <w:top w:w="0" w:type="dxa"/>
              <w:bottom w:w="0" w:type="dxa"/>
            </w:tcMar>
          </w:tcPr>
          <w:p w14:paraId="19F8218D" w14:textId="77777777" w:rsidR="005A7E09" w:rsidRPr="00862949" w:rsidRDefault="005A7E09" w:rsidP="005A7E09">
            <w:pPr>
              <w:rPr>
                <w:rFonts w:cs="Arial"/>
                <w:b/>
                <w:bCs/>
                <w:i/>
                <w:iCs/>
                <w:color w:val="000000"/>
                <w:sz w:val="8"/>
                <w:szCs w:val="8"/>
                <w:lang w:val="en-US"/>
              </w:rPr>
            </w:pPr>
          </w:p>
        </w:tc>
      </w:tr>
      <w:tr w:rsidR="009C5B8D" w:rsidRPr="00831779" w14:paraId="396E1FAF" w14:textId="77777777" w:rsidTr="00562CE4">
        <w:tc>
          <w:tcPr>
            <w:tcW w:w="5000" w:type="pct"/>
            <w:gridSpan w:val="3"/>
            <w:shd w:val="clear" w:color="auto" w:fill="008232"/>
            <w:tcMar>
              <w:top w:w="57" w:type="dxa"/>
              <w:bottom w:w="57" w:type="dxa"/>
            </w:tcMar>
          </w:tcPr>
          <w:p w14:paraId="23F998F8" w14:textId="77777777" w:rsidR="009C5B8D" w:rsidRPr="00831779" w:rsidRDefault="009C5B8D" w:rsidP="009C5B8D">
            <w:pPr>
              <w:rPr>
                <w:rFonts w:cs="Arial"/>
                <w:noProof/>
                <w:color w:val="FFFFFF"/>
                <w:sz w:val="16"/>
                <w:szCs w:val="16"/>
              </w:rPr>
            </w:pPr>
            <w:r>
              <w:rPr>
                <w:rFonts w:cs="Arial"/>
                <w:b/>
                <w:bCs/>
                <w:i/>
                <w:iCs/>
                <w:color w:val="FFFFFF"/>
                <w:sz w:val="22"/>
                <w:szCs w:val="20"/>
                <w:lang w:val="en-US"/>
              </w:rPr>
              <w:t xml:space="preserve">Recommended for approval in </w:t>
            </w:r>
            <w:r w:rsidRPr="00433D3E">
              <w:rPr>
                <w:rFonts w:cs="Arial"/>
                <w:b/>
                <w:bCs/>
                <w:i/>
                <w:iCs/>
                <w:color w:val="FFFFFF"/>
                <w:sz w:val="22"/>
                <w:szCs w:val="20"/>
                <w:lang w:val="en-US"/>
              </w:rPr>
              <w:t xml:space="preserve">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9C5B8D" w14:paraId="1EA8B15A" w14:textId="77777777" w:rsidTr="00D6452A">
        <w:tc>
          <w:tcPr>
            <w:tcW w:w="1447" w:type="pct"/>
            <w:gridSpan w:val="2"/>
            <w:shd w:val="clear" w:color="auto" w:fill="auto"/>
            <w:tcMar>
              <w:top w:w="57" w:type="dxa"/>
              <w:bottom w:w="57" w:type="dxa"/>
            </w:tcMar>
          </w:tcPr>
          <w:p w14:paraId="48E710DF" w14:textId="148C0B39" w:rsidR="009C5B8D" w:rsidRPr="003E428A" w:rsidRDefault="009C5B8D" w:rsidP="009C5B8D">
            <w:pPr>
              <w:rPr>
                <w:rFonts w:cs="Arial"/>
                <w:szCs w:val="19"/>
              </w:rPr>
            </w:pPr>
            <w:r w:rsidRPr="003E428A">
              <w:rPr>
                <w:rFonts w:cs="Arial"/>
                <w:szCs w:val="19"/>
              </w:rPr>
              <w:t>Denosumab biosimilar </w:t>
            </w:r>
            <w:r>
              <w:rPr>
                <w:rFonts w:cs="Arial"/>
                <w:szCs w:val="19"/>
              </w:rPr>
              <w:t>(</w:t>
            </w:r>
            <w:r>
              <w:rPr>
                <w:rFonts w:cs="Arial"/>
                <w:i/>
                <w:iCs/>
                <w:szCs w:val="19"/>
              </w:rPr>
              <w:t>Osqay</w:t>
            </w:r>
            <w:r>
              <w:rPr>
                <w:rFonts w:cs="Arial"/>
                <w:szCs w:val="19"/>
              </w:rPr>
              <w:t>)</w:t>
            </w:r>
          </w:p>
        </w:tc>
        <w:tc>
          <w:tcPr>
            <w:tcW w:w="3553" w:type="pct"/>
            <w:shd w:val="clear" w:color="auto" w:fill="auto"/>
            <w:tcMar>
              <w:top w:w="57" w:type="dxa"/>
              <w:bottom w:w="57" w:type="dxa"/>
            </w:tcMar>
          </w:tcPr>
          <w:p w14:paraId="53F8D334" w14:textId="77777777" w:rsidR="009C5B8D" w:rsidRPr="00900CE0" w:rsidRDefault="009C5B8D" w:rsidP="009C5B8D">
            <w:pPr>
              <w:tabs>
                <w:tab w:val="center" w:pos="3152"/>
              </w:tabs>
              <w:rPr>
                <w:rFonts w:cs="Arial"/>
                <w:szCs w:val="19"/>
              </w:rPr>
            </w:pPr>
            <w:r w:rsidRPr="00900CE0">
              <w:rPr>
                <w:rFonts w:cs="Arial"/>
                <w:szCs w:val="19"/>
              </w:rPr>
              <w:t>Treatment of osteoporosis in postmenopausal women and in men at increased risk of</w:t>
            </w:r>
          </w:p>
          <w:p w14:paraId="637F1DD7" w14:textId="5FF4B3D4" w:rsidR="009C5B8D" w:rsidRDefault="009C5B8D" w:rsidP="009C5B8D">
            <w:pPr>
              <w:tabs>
                <w:tab w:val="center" w:pos="3152"/>
              </w:tabs>
              <w:rPr>
                <w:rFonts w:cs="Arial"/>
                <w:szCs w:val="19"/>
                <w:lang w:val="en-US"/>
              </w:rPr>
            </w:pPr>
            <w:r>
              <w:rPr>
                <w:rFonts w:cs="Arial"/>
                <w:szCs w:val="19"/>
              </w:rPr>
              <w:t>f</w:t>
            </w:r>
            <w:r w:rsidRPr="00900CE0">
              <w:rPr>
                <w:rFonts w:cs="Arial"/>
                <w:szCs w:val="19"/>
              </w:rPr>
              <w:t>ractures</w:t>
            </w:r>
            <w:r>
              <w:rPr>
                <w:rFonts w:cs="Arial"/>
                <w:szCs w:val="19"/>
              </w:rPr>
              <w:t>, t</w:t>
            </w:r>
            <w:r w:rsidRPr="00900CE0">
              <w:rPr>
                <w:rFonts w:cs="Arial"/>
                <w:szCs w:val="19"/>
              </w:rPr>
              <w:t>reatment of bone loss associated with hormone ablation in men with prostate cancer</w:t>
            </w:r>
            <w:r>
              <w:rPr>
                <w:rFonts w:cs="Arial"/>
                <w:szCs w:val="19"/>
              </w:rPr>
              <w:t xml:space="preserve"> </w:t>
            </w:r>
            <w:r w:rsidRPr="00900CE0">
              <w:rPr>
                <w:rFonts w:cs="Arial"/>
                <w:szCs w:val="19"/>
              </w:rPr>
              <w:t>at increased risk of fractures</w:t>
            </w:r>
            <w:r>
              <w:rPr>
                <w:rFonts w:cs="Arial"/>
                <w:szCs w:val="19"/>
              </w:rPr>
              <w:t>, and t</w:t>
            </w:r>
            <w:r w:rsidRPr="00900CE0">
              <w:rPr>
                <w:rFonts w:cs="Arial"/>
                <w:szCs w:val="19"/>
              </w:rPr>
              <w:t>reatment of bone loss associated with long-term systemic glucocorticoid therapy in</w:t>
            </w:r>
            <w:r>
              <w:rPr>
                <w:rFonts w:cs="Arial"/>
                <w:szCs w:val="19"/>
              </w:rPr>
              <w:t xml:space="preserve"> </w:t>
            </w:r>
            <w:r w:rsidRPr="00900CE0">
              <w:rPr>
                <w:rFonts w:cs="Arial"/>
                <w:szCs w:val="19"/>
              </w:rPr>
              <w:t>adults at increased risk of fracture</w:t>
            </w:r>
            <w:r>
              <w:rPr>
                <w:rFonts w:cs="Arial"/>
                <w:szCs w:val="19"/>
              </w:rPr>
              <w:t xml:space="preserve"> </w:t>
            </w:r>
            <w:r w:rsidRPr="003A25B8">
              <w:rPr>
                <w:rFonts w:cs="Arial"/>
                <w:sz w:val="16"/>
                <w:szCs w:val="16"/>
              </w:rPr>
              <w:t>[EU]</w:t>
            </w:r>
          </w:p>
        </w:tc>
      </w:tr>
      <w:tr w:rsidR="009C5B8D" w14:paraId="101CFEF5" w14:textId="77777777" w:rsidTr="00D6452A">
        <w:tc>
          <w:tcPr>
            <w:tcW w:w="1447" w:type="pct"/>
            <w:gridSpan w:val="2"/>
            <w:shd w:val="clear" w:color="auto" w:fill="auto"/>
            <w:tcMar>
              <w:top w:w="57" w:type="dxa"/>
              <w:bottom w:w="57" w:type="dxa"/>
            </w:tcMar>
          </w:tcPr>
          <w:p w14:paraId="48A880EB" w14:textId="014A0072" w:rsidR="009C5B8D" w:rsidRPr="006276AF" w:rsidRDefault="009C5B8D" w:rsidP="009C5B8D">
            <w:pPr>
              <w:rPr>
                <w:rFonts w:cs="Arial"/>
                <w:szCs w:val="19"/>
              </w:rPr>
            </w:pPr>
            <w:r w:rsidRPr="00785485">
              <w:rPr>
                <w:rFonts w:cs="Arial"/>
                <w:szCs w:val="19"/>
              </w:rPr>
              <w:t>Donidalorsen</w:t>
            </w:r>
            <w:r>
              <w:rPr>
                <w:rFonts w:cs="Arial"/>
                <w:szCs w:val="19"/>
              </w:rPr>
              <w:t xml:space="preserve"> (</w:t>
            </w:r>
            <w:r>
              <w:rPr>
                <w:rFonts w:cs="Arial"/>
                <w:i/>
                <w:iCs/>
                <w:szCs w:val="19"/>
              </w:rPr>
              <w:t>Dawnzera</w:t>
            </w:r>
            <w:r>
              <w:rPr>
                <w:rFonts w:cs="Arial"/>
                <w:szCs w:val="19"/>
              </w:rPr>
              <w:t>)</w:t>
            </w:r>
          </w:p>
        </w:tc>
        <w:tc>
          <w:tcPr>
            <w:tcW w:w="3553" w:type="pct"/>
            <w:shd w:val="clear" w:color="auto" w:fill="auto"/>
            <w:tcMar>
              <w:top w:w="57" w:type="dxa"/>
              <w:bottom w:w="57" w:type="dxa"/>
            </w:tcMar>
          </w:tcPr>
          <w:p w14:paraId="03668C32" w14:textId="3A2DEC83" w:rsidR="009C5B8D" w:rsidRDefault="009C5B8D" w:rsidP="009C5B8D">
            <w:pPr>
              <w:tabs>
                <w:tab w:val="center" w:pos="3152"/>
              </w:tabs>
              <w:rPr>
                <w:rFonts w:cs="Arial"/>
                <w:szCs w:val="19"/>
                <w:lang w:val="en-US"/>
              </w:rPr>
            </w:pPr>
            <w:r w:rsidRPr="005D12B6">
              <w:rPr>
                <w:rFonts w:cs="Arial"/>
                <w:szCs w:val="19"/>
                <w:lang w:val="en-US"/>
              </w:rPr>
              <w:t xml:space="preserve">Routine prevention of recurrent attacks of hereditary angioedema in adults and adolescents aged </w:t>
            </w:r>
            <w:r>
              <w:rPr>
                <w:rFonts w:cs="Arial"/>
                <w:szCs w:val="19"/>
                <w:lang w:val="en-US"/>
              </w:rPr>
              <w:t>≥</w:t>
            </w:r>
            <w:r w:rsidRPr="005D12B6">
              <w:rPr>
                <w:rFonts w:cs="Arial"/>
                <w:szCs w:val="19"/>
                <w:lang w:val="en-US"/>
              </w:rPr>
              <w:t>12 years</w:t>
            </w:r>
            <w:r>
              <w:rPr>
                <w:rFonts w:cs="Arial"/>
                <w:szCs w:val="19"/>
                <w:lang w:val="en-US"/>
              </w:rPr>
              <w:t xml:space="preserve"> </w:t>
            </w:r>
            <w:r w:rsidRPr="005D12B6">
              <w:rPr>
                <w:rFonts w:cs="Arial"/>
                <w:sz w:val="16"/>
                <w:szCs w:val="16"/>
                <w:lang w:val="en-US"/>
              </w:rPr>
              <w:t>[EU]</w:t>
            </w:r>
          </w:p>
        </w:tc>
      </w:tr>
      <w:tr w:rsidR="009C5B8D" w14:paraId="41253810" w14:textId="77777777" w:rsidTr="00D6452A">
        <w:tc>
          <w:tcPr>
            <w:tcW w:w="1447" w:type="pct"/>
            <w:gridSpan w:val="2"/>
            <w:shd w:val="clear" w:color="auto" w:fill="auto"/>
            <w:tcMar>
              <w:top w:w="57" w:type="dxa"/>
              <w:bottom w:w="57" w:type="dxa"/>
            </w:tcMar>
          </w:tcPr>
          <w:p w14:paraId="436DB799" w14:textId="1AB3D4F3" w:rsidR="009C5B8D" w:rsidRPr="00785862" w:rsidRDefault="009C5B8D" w:rsidP="009C5B8D">
            <w:pPr>
              <w:rPr>
                <w:rFonts w:cs="Arial"/>
                <w:szCs w:val="19"/>
              </w:rPr>
            </w:pPr>
            <w:r w:rsidRPr="00DA3FEC">
              <w:rPr>
                <w:rFonts w:cs="Arial"/>
                <w:szCs w:val="19"/>
              </w:rPr>
              <w:t>Eravacycline (</w:t>
            </w:r>
            <w:r w:rsidRPr="00DA3FEC">
              <w:rPr>
                <w:rFonts w:cs="Arial"/>
                <w:i/>
                <w:iCs/>
                <w:szCs w:val="19"/>
              </w:rPr>
              <w:t>Xerava</w:t>
            </w:r>
            <w:r w:rsidRPr="00DA3FEC">
              <w:rPr>
                <w:rFonts w:cs="Arial"/>
                <w:szCs w:val="19"/>
              </w:rPr>
              <w:t>)</w:t>
            </w:r>
          </w:p>
        </w:tc>
        <w:tc>
          <w:tcPr>
            <w:tcW w:w="3553" w:type="pct"/>
            <w:shd w:val="clear" w:color="auto" w:fill="auto"/>
            <w:tcMar>
              <w:top w:w="57" w:type="dxa"/>
              <w:bottom w:w="57" w:type="dxa"/>
            </w:tcMar>
          </w:tcPr>
          <w:p w14:paraId="63294411" w14:textId="4AA8BB57" w:rsidR="009C5B8D" w:rsidRDefault="009C5B8D" w:rsidP="0005342A">
            <w:pPr>
              <w:tabs>
                <w:tab w:val="num" w:pos="720"/>
                <w:tab w:val="center" w:pos="3152"/>
              </w:tabs>
              <w:rPr>
                <w:rFonts w:cs="Arial"/>
                <w:szCs w:val="19"/>
                <w:lang w:val="en-US"/>
              </w:rPr>
            </w:pPr>
            <w:r>
              <w:rPr>
                <w:rFonts w:cs="Arial"/>
                <w:szCs w:val="19"/>
                <w:lang w:val="en-US"/>
              </w:rPr>
              <w:t xml:space="preserve">Use </w:t>
            </w:r>
            <w:r w:rsidRPr="00103E3B">
              <w:rPr>
                <w:rFonts w:cs="Arial"/>
                <w:szCs w:val="19"/>
                <w:lang w:val="en-US"/>
              </w:rPr>
              <w:t>in adolescents</w:t>
            </w:r>
            <w:r w:rsidR="0005342A">
              <w:rPr>
                <w:rFonts w:cs="Arial"/>
                <w:szCs w:val="19"/>
                <w:lang w:val="en-US"/>
              </w:rPr>
              <w:t xml:space="preserve"> aged ≥</w:t>
            </w:r>
            <w:r w:rsidRPr="00103E3B">
              <w:rPr>
                <w:rFonts w:cs="Arial"/>
                <w:szCs w:val="19"/>
                <w:lang w:val="en-US"/>
              </w:rPr>
              <w:t xml:space="preserve">12 years weighing </w:t>
            </w:r>
            <w:r>
              <w:rPr>
                <w:rFonts w:cs="Arial"/>
                <w:szCs w:val="19"/>
                <w:lang w:val="en-US"/>
              </w:rPr>
              <w:t>≥</w:t>
            </w:r>
            <w:r w:rsidRPr="00103E3B">
              <w:rPr>
                <w:rFonts w:cs="Arial"/>
                <w:szCs w:val="19"/>
                <w:lang w:val="en-US"/>
              </w:rPr>
              <w:t>50kg, and in adults, for the treatment of complicated intra-abdominal infections</w:t>
            </w:r>
            <w:r>
              <w:rPr>
                <w:rFonts w:cs="Arial"/>
                <w:szCs w:val="19"/>
                <w:lang w:val="en-US"/>
              </w:rPr>
              <w:t xml:space="preserve"> </w:t>
            </w:r>
            <w:r w:rsidRPr="00103E3B">
              <w:rPr>
                <w:rFonts w:cs="Arial"/>
                <w:sz w:val="16"/>
                <w:szCs w:val="16"/>
                <w:lang w:val="en-US"/>
              </w:rPr>
              <w:t>[EU] [licence change from use only in adults]</w:t>
            </w:r>
          </w:p>
        </w:tc>
      </w:tr>
      <w:tr w:rsidR="009C5B8D" w14:paraId="640F7EFC" w14:textId="77777777" w:rsidTr="00D6452A">
        <w:tc>
          <w:tcPr>
            <w:tcW w:w="1447" w:type="pct"/>
            <w:gridSpan w:val="2"/>
            <w:shd w:val="clear" w:color="auto" w:fill="auto"/>
            <w:tcMar>
              <w:top w:w="57" w:type="dxa"/>
              <w:bottom w:w="57" w:type="dxa"/>
            </w:tcMar>
          </w:tcPr>
          <w:p w14:paraId="6EB59388" w14:textId="77777777" w:rsidR="009C5B8D" w:rsidRDefault="009C5B8D" w:rsidP="009C5B8D">
            <w:pPr>
              <w:rPr>
                <w:rFonts w:cs="Arial"/>
                <w:szCs w:val="19"/>
              </w:rPr>
            </w:pPr>
            <w:r w:rsidRPr="00B502F9">
              <w:rPr>
                <w:rFonts w:cs="Arial"/>
                <w:szCs w:val="19"/>
              </w:rPr>
              <w:t>Etuvetidigene autotemcel </w:t>
            </w:r>
          </w:p>
          <w:p w14:paraId="4BE48944" w14:textId="46E9BF78" w:rsidR="009C5B8D" w:rsidRPr="00E411E8" w:rsidRDefault="009C5B8D" w:rsidP="009C5B8D">
            <w:pPr>
              <w:rPr>
                <w:rFonts w:cs="Arial"/>
                <w:szCs w:val="19"/>
              </w:rPr>
            </w:pPr>
            <w:r>
              <w:rPr>
                <w:rFonts w:cs="Arial"/>
                <w:szCs w:val="19"/>
              </w:rPr>
              <w:t>(</w:t>
            </w:r>
            <w:r w:rsidRPr="00BB6451">
              <w:rPr>
                <w:rFonts w:cs="Arial"/>
                <w:i/>
                <w:iCs/>
                <w:szCs w:val="19"/>
              </w:rPr>
              <w:t>Waskyra</w:t>
            </w:r>
            <w:r>
              <w:rPr>
                <w:rFonts w:cs="Arial"/>
                <w:szCs w:val="19"/>
              </w:rPr>
              <w:t>)</w:t>
            </w:r>
          </w:p>
        </w:tc>
        <w:tc>
          <w:tcPr>
            <w:tcW w:w="3553" w:type="pct"/>
            <w:shd w:val="clear" w:color="auto" w:fill="auto"/>
            <w:tcMar>
              <w:top w:w="57" w:type="dxa"/>
              <w:bottom w:w="57" w:type="dxa"/>
            </w:tcMar>
          </w:tcPr>
          <w:p w14:paraId="1972CC2C" w14:textId="128174D7" w:rsidR="009C5B8D" w:rsidRDefault="009C5B8D" w:rsidP="009C5B8D">
            <w:pPr>
              <w:tabs>
                <w:tab w:val="num" w:pos="720"/>
                <w:tab w:val="center" w:pos="3152"/>
              </w:tabs>
              <w:rPr>
                <w:rFonts w:cs="Arial"/>
                <w:szCs w:val="19"/>
                <w:lang w:val="en-US"/>
              </w:rPr>
            </w:pPr>
            <w:r w:rsidRPr="003C2670">
              <w:rPr>
                <w:rFonts w:cs="Arial"/>
                <w:szCs w:val="19"/>
                <w:lang w:val="en-US"/>
              </w:rPr>
              <w:t xml:space="preserve">Treatment of patients aged </w:t>
            </w:r>
            <w:r>
              <w:rPr>
                <w:rFonts w:cs="Arial"/>
                <w:szCs w:val="19"/>
                <w:lang w:val="en-US"/>
              </w:rPr>
              <w:t>≥</w:t>
            </w:r>
            <w:r w:rsidRPr="003C2670">
              <w:rPr>
                <w:rFonts w:cs="Arial"/>
                <w:szCs w:val="19"/>
                <w:lang w:val="en-US"/>
              </w:rPr>
              <w:t xml:space="preserve">6 months with Wiskott-Aldrich </w:t>
            </w:r>
            <w:r>
              <w:rPr>
                <w:rFonts w:cs="Arial"/>
                <w:szCs w:val="19"/>
                <w:lang w:val="en-US"/>
              </w:rPr>
              <w:t>s</w:t>
            </w:r>
            <w:r w:rsidRPr="003C2670">
              <w:rPr>
                <w:rFonts w:cs="Arial"/>
                <w:szCs w:val="19"/>
                <w:lang w:val="en-US"/>
              </w:rPr>
              <w:t xml:space="preserve">yndrome (WAS) who have a mutation in the WAS gene for whom haematopoietic stem cell (HSC) transplantation is appropriate and no suitable human leukocyte antigen-matched related </w:t>
            </w:r>
            <w:r>
              <w:rPr>
                <w:rFonts w:cs="Arial"/>
                <w:szCs w:val="19"/>
                <w:lang w:val="en-US"/>
              </w:rPr>
              <w:t>HSC</w:t>
            </w:r>
            <w:r w:rsidRPr="003C2670">
              <w:rPr>
                <w:rFonts w:cs="Arial"/>
                <w:szCs w:val="19"/>
                <w:lang w:val="en-US"/>
              </w:rPr>
              <w:t xml:space="preserve"> donor is available</w:t>
            </w:r>
            <w:r>
              <w:rPr>
                <w:rFonts w:cs="Arial"/>
                <w:szCs w:val="19"/>
                <w:lang w:val="en-US"/>
              </w:rPr>
              <w:t xml:space="preserve"> </w:t>
            </w:r>
            <w:r w:rsidRPr="005D12B6">
              <w:rPr>
                <w:rFonts w:cs="Arial"/>
                <w:sz w:val="16"/>
                <w:szCs w:val="16"/>
                <w:lang w:val="en-US"/>
              </w:rPr>
              <w:t>[EU]</w:t>
            </w:r>
          </w:p>
        </w:tc>
      </w:tr>
      <w:tr w:rsidR="0026556F" w14:paraId="634E396C" w14:textId="77777777" w:rsidTr="00D6452A">
        <w:tc>
          <w:tcPr>
            <w:tcW w:w="1447" w:type="pct"/>
            <w:gridSpan w:val="2"/>
            <w:shd w:val="clear" w:color="auto" w:fill="auto"/>
            <w:tcMar>
              <w:top w:w="57" w:type="dxa"/>
              <w:bottom w:w="57" w:type="dxa"/>
            </w:tcMar>
          </w:tcPr>
          <w:p w14:paraId="52CB22FE" w14:textId="0F8795D8" w:rsidR="0026556F" w:rsidRPr="00B502F9" w:rsidRDefault="0026556F" w:rsidP="0026556F">
            <w:pPr>
              <w:rPr>
                <w:rFonts w:cs="Arial"/>
                <w:szCs w:val="19"/>
              </w:rPr>
            </w:pPr>
            <w:r w:rsidRPr="007C19C8">
              <w:rPr>
                <w:rFonts w:cs="Arial"/>
                <w:szCs w:val="19"/>
              </w:rPr>
              <w:t>Imlunestrant (</w:t>
            </w:r>
            <w:r w:rsidRPr="007C19C8">
              <w:rPr>
                <w:rFonts w:cs="Arial"/>
                <w:i/>
                <w:iCs/>
                <w:szCs w:val="19"/>
              </w:rPr>
              <w:t>Inluriyo</w:t>
            </w:r>
            <w:r w:rsidRPr="007C19C8">
              <w:rPr>
                <w:rFonts w:cs="Arial"/>
                <w:szCs w:val="19"/>
              </w:rPr>
              <w:t>)</w:t>
            </w:r>
          </w:p>
        </w:tc>
        <w:tc>
          <w:tcPr>
            <w:tcW w:w="3553" w:type="pct"/>
            <w:shd w:val="clear" w:color="auto" w:fill="auto"/>
            <w:tcMar>
              <w:top w:w="57" w:type="dxa"/>
              <w:bottom w:w="57" w:type="dxa"/>
            </w:tcMar>
          </w:tcPr>
          <w:p w14:paraId="560A46E2" w14:textId="2090FF54" w:rsidR="0026556F" w:rsidRPr="003C2670" w:rsidRDefault="0026556F" w:rsidP="0026556F">
            <w:pPr>
              <w:tabs>
                <w:tab w:val="num" w:pos="720"/>
                <w:tab w:val="center" w:pos="3152"/>
              </w:tabs>
              <w:rPr>
                <w:rFonts w:cs="Arial"/>
                <w:szCs w:val="19"/>
                <w:lang w:val="en-US"/>
              </w:rPr>
            </w:pPr>
            <w:r w:rsidRPr="00993C37">
              <w:rPr>
                <w:rFonts w:cs="Arial"/>
                <w:szCs w:val="19"/>
                <w:lang w:val="en-US"/>
              </w:rPr>
              <w:t xml:space="preserve">Use as monotherapy for the treatment of adults with oestrogen receptor-positive, HER2-negative, locally advanced or metastatic breast cancer with an activating ESR1-mutation, who have disease progression following prior treatment with an endocrine based regimen. In pre- or perimenopausal women, or men, </w:t>
            </w:r>
            <w:r w:rsidRPr="00993C37">
              <w:rPr>
                <w:rFonts w:cs="Arial"/>
                <w:i/>
                <w:iCs/>
                <w:szCs w:val="19"/>
                <w:lang w:val="en-US"/>
              </w:rPr>
              <w:t>Inluriyo</w:t>
            </w:r>
            <w:r w:rsidRPr="00993C37">
              <w:rPr>
                <w:rFonts w:cs="Arial"/>
                <w:szCs w:val="19"/>
                <w:lang w:val="en-US"/>
              </w:rPr>
              <w:t xml:space="preserve"> should be combined with a luteinising hormone-releasing hormone agonist</w:t>
            </w:r>
            <w:r>
              <w:rPr>
                <w:rFonts w:cs="Arial"/>
                <w:szCs w:val="19"/>
                <w:lang w:val="en-US"/>
              </w:rPr>
              <w:t xml:space="preserve"> </w:t>
            </w:r>
            <w:r w:rsidRPr="005D12B6">
              <w:rPr>
                <w:rFonts w:cs="Arial"/>
                <w:sz w:val="16"/>
                <w:szCs w:val="16"/>
                <w:lang w:val="en-US"/>
              </w:rPr>
              <w:t>[EU]</w:t>
            </w:r>
          </w:p>
        </w:tc>
      </w:tr>
      <w:tr w:rsidR="0026556F" w14:paraId="3F7CB607" w14:textId="77777777" w:rsidTr="00D6452A">
        <w:tc>
          <w:tcPr>
            <w:tcW w:w="1447" w:type="pct"/>
            <w:gridSpan w:val="2"/>
            <w:shd w:val="clear" w:color="auto" w:fill="auto"/>
            <w:tcMar>
              <w:top w:w="57" w:type="dxa"/>
              <w:bottom w:w="57" w:type="dxa"/>
            </w:tcMar>
          </w:tcPr>
          <w:p w14:paraId="4AFDBE99" w14:textId="75A00AA9" w:rsidR="0026556F" w:rsidRPr="00B502F9" w:rsidRDefault="0026556F" w:rsidP="0026556F">
            <w:pPr>
              <w:rPr>
                <w:rFonts w:cs="Arial"/>
                <w:szCs w:val="19"/>
              </w:rPr>
            </w:pPr>
            <w:r w:rsidRPr="00AC4946">
              <w:rPr>
                <w:rFonts w:cs="Arial"/>
                <w:szCs w:val="19"/>
              </w:rPr>
              <w:t>Insulin glargine biosimilar</w:t>
            </w:r>
            <w:r>
              <w:rPr>
                <w:rFonts w:cs="Arial"/>
                <w:szCs w:val="19"/>
              </w:rPr>
              <w:t xml:space="preserve"> (</w:t>
            </w:r>
            <w:r w:rsidRPr="00AC4946">
              <w:rPr>
                <w:rFonts w:cs="Arial"/>
                <w:i/>
                <w:iCs/>
                <w:szCs w:val="19"/>
              </w:rPr>
              <w:t>Ondibta</w:t>
            </w:r>
            <w:r w:rsidRPr="00AC4946">
              <w:rPr>
                <w:rFonts w:cs="Arial"/>
                <w:szCs w:val="19"/>
              </w:rPr>
              <w:t>)</w:t>
            </w:r>
          </w:p>
        </w:tc>
        <w:tc>
          <w:tcPr>
            <w:tcW w:w="3553" w:type="pct"/>
            <w:shd w:val="clear" w:color="auto" w:fill="auto"/>
            <w:tcMar>
              <w:top w:w="57" w:type="dxa"/>
              <w:bottom w:w="57" w:type="dxa"/>
            </w:tcMar>
          </w:tcPr>
          <w:p w14:paraId="0385CFAC" w14:textId="17C5EABC" w:rsidR="0026556F" w:rsidRPr="003C2670" w:rsidRDefault="0026556F" w:rsidP="0026556F">
            <w:pPr>
              <w:tabs>
                <w:tab w:val="num" w:pos="720"/>
                <w:tab w:val="center" w:pos="3152"/>
              </w:tabs>
              <w:rPr>
                <w:rFonts w:cs="Arial"/>
                <w:szCs w:val="19"/>
                <w:lang w:val="en-US"/>
              </w:rPr>
            </w:pPr>
            <w:r w:rsidRPr="00F05A49">
              <w:rPr>
                <w:rFonts w:cs="Arial"/>
                <w:szCs w:val="19"/>
                <w:lang w:val="en-US"/>
              </w:rPr>
              <w:t xml:space="preserve">Treatment of diabetes mellitus in adults, adolescents and children aged </w:t>
            </w:r>
            <w:r>
              <w:rPr>
                <w:rFonts w:cs="Arial"/>
                <w:szCs w:val="19"/>
                <w:lang w:val="en-US"/>
              </w:rPr>
              <w:t>≥</w:t>
            </w:r>
            <w:r w:rsidRPr="00F05A49">
              <w:rPr>
                <w:rFonts w:cs="Arial"/>
                <w:szCs w:val="19"/>
                <w:lang w:val="en-US"/>
              </w:rPr>
              <w:t>2 years</w:t>
            </w:r>
            <w:r>
              <w:rPr>
                <w:rFonts w:cs="Arial"/>
                <w:szCs w:val="19"/>
                <w:lang w:val="en-US"/>
              </w:rPr>
              <w:t xml:space="preserve"> </w:t>
            </w:r>
            <w:r w:rsidRPr="005D12B6">
              <w:rPr>
                <w:rFonts w:cs="Arial"/>
                <w:sz w:val="16"/>
                <w:szCs w:val="16"/>
                <w:lang w:val="en-US"/>
              </w:rPr>
              <w:t>[EU]</w:t>
            </w:r>
          </w:p>
        </w:tc>
      </w:tr>
      <w:tr w:rsidR="0026556F" w14:paraId="2090B4F1" w14:textId="77777777" w:rsidTr="00D6452A">
        <w:tc>
          <w:tcPr>
            <w:tcW w:w="1447" w:type="pct"/>
            <w:gridSpan w:val="2"/>
            <w:shd w:val="clear" w:color="auto" w:fill="auto"/>
            <w:tcMar>
              <w:top w:w="57" w:type="dxa"/>
              <w:bottom w:w="57" w:type="dxa"/>
            </w:tcMar>
          </w:tcPr>
          <w:p w14:paraId="2E5FFB64" w14:textId="1ECAF329" w:rsidR="0026556F" w:rsidRPr="00B502F9" w:rsidRDefault="0026556F" w:rsidP="0026556F">
            <w:pPr>
              <w:rPr>
                <w:rFonts w:cs="Arial"/>
                <w:szCs w:val="19"/>
              </w:rPr>
            </w:pPr>
            <w:r>
              <w:rPr>
                <w:rFonts w:cs="Arial"/>
                <w:szCs w:val="19"/>
              </w:rPr>
              <w:t>Selumetinib (</w:t>
            </w:r>
            <w:r>
              <w:rPr>
                <w:rFonts w:cs="Arial"/>
                <w:i/>
                <w:iCs/>
                <w:szCs w:val="19"/>
              </w:rPr>
              <w:t>Koselugo</w:t>
            </w:r>
            <w:r>
              <w:rPr>
                <w:rFonts w:cs="Arial"/>
                <w:szCs w:val="19"/>
              </w:rPr>
              <w:t>)</w:t>
            </w:r>
          </w:p>
        </w:tc>
        <w:tc>
          <w:tcPr>
            <w:tcW w:w="3553" w:type="pct"/>
            <w:shd w:val="clear" w:color="auto" w:fill="auto"/>
            <w:tcMar>
              <w:top w:w="57" w:type="dxa"/>
              <w:bottom w:w="57" w:type="dxa"/>
            </w:tcMar>
          </w:tcPr>
          <w:p w14:paraId="333C04CB" w14:textId="0C58F5F9" w:rsidR="0026556F" w:rsidRPr="003C2670" w:rsidRDefault="0026556F" w:rsidP="0026556F">
            <w:pPr>
              <w:tabs>
                <w:tab w:val="num" w:pos="720"/>
                <w:tab w:val="center" w:pos="3152"/>
              </w:tabs>
              <w:rPr>
                <w:rFonts w:cs="Arial"/>
                <w:szCs w:val="19"/>
                <w:lang w:val="en-US"/>
              </w:rPr>
            </w:pPr>
            <w:r w:rsidRPr="00407142">
              <w:rPr>
                <w:rFonts w:cs="Arial"/>
                <w:szCs w:val="19"/>
                <w:lang w:val="en-US"/>
              </w:rPr>
              <w:t>Monotherapy for the treatment of symptomatic, inoperable plexiform neurofibromas in patients with neurofibromatosis type 1 aged 1</w:t>
            </w:r>
            <w:r>
              <w:rPr>
                <w:rFonts w:cs="Arial"/>
                <w:szCs w:val="19"/>
                <w:lang w:val="en-US"/>
              </w:rPr>
              <w:t>-6</w:t>
            </w:r>
            <w:r w:rsidRPr="00407142">
              <w:rPr>
                <w:rFonts w:cs="Arial"/>
                <w:szCs w:val="19"/>
                <w:lang w:val="en-US"/>
              </w:rPr>
              <w:t xml:space="preserve"> years and for older patients with swallowing difficulties</w:t>
            </w:r>
            <w:r>
              <w:rPr>
                <w:rFonts w:cs="Arial"/>
                <w:szCs w:val="19"/>
                <w:lang w:val="en-US"/>
              </w:rPr>
              <w:t xml:space="preserve"> </w:t>
            </w:r>
            <w:r w:rsidRPr="00157FB1">
              <w:rPr>
                <w:rFonts w:cs="Arial"/>
                <w:sz w:val="16"/>
                <w:szCs w:val="16"/>
                <w:lang w:val="en-US"/>
              </w:rPr>
              <w:t>[EU] [new granule formulations</w:t>
            </w:r>
            <w:r>
              <w:rPr>
                <w:rFonts w:cs="Arial"/>
                <w:sz w:val="16"/>
                <w:szCs w:val="16"/>
                <w:lang w:val="en-US"/>
              </w:rPr>
              <w:t xml:space="preserve"> with new indication</w:t>
            </w:r>
            <w:r w:rsidRPr="00157FB1">
              <w:rPr>
                <w:rFonts w:cs="Arial"/>
                <w:sz w:val="16"/>
                <w:szCs w:val="16"/>
                <w:lang w:val="en-US"/>
              </w:rPr>
              <w:t>]</w:t>
            </w:r>
          </w:p>
        </w:tc>
      </w:tr>
      <w:tr w:rsidR="0026556F" w14:paraId="3C249EF5" w14:textId="77777777" w:rsidTr="00D6452A">
        <w:tc>
          <w:tcPr>
            <w:tcW w:w="1447" w:type="pct"/>
            <w:gridSpan w:val="2"/>
            <w:shd w:val="clear" w:color="auto" w:fill="auto"/>
            <w:tcMar>
              <w:top w:w="57" w:type="dxa"/>
              <w:bottom w:w="57" w:type="dxa"/>
            </w:tcMar>
          </w:tcPr>
          <w:p w14:paraId="6A7A492E" w14:textId="4BE10395" w:rsidR="0026556F" w:rsidRPr="00B502F9" w:rsidRDefault="0026556F" w:rsidP="0026556F">
            <w:pPr>
              <w:rPr>
                <w:rFonts w:cs="Arial"/>
                <w:szCs w:val="19"/>
              </w:rPr>
            </w:pPr>
            <w:r w:rsidRPr="00C065F5">
              <w:rPr>
                <w:rFonts w:cs="Arial"/>
                <w:szCs w:val="19"/>
              </w:rPr>
              <w:t>Tafasitamab (</w:t>
            </w:r>
            <w:r w:rsidRPr="00C065F5">
              <w:rPr>
                <w:rFonts w:cs="Arial"/>
                <w:i/>
                <w:iCs/>
                <w:szCs w:val="19"/>
              </w:rPr>
              <w:t>Minjuvi</w:t>
            </w:r>
            <w:r>
              <w:rPr>
                <w:rFonts w:cs="Arial"/>
                <w:szCs w:val="19"/>
              </w:rPr>
              <w:t>)</w:t>
            </w:r>
          </w:p>
        </w:tc>
        <w:tc>
          <w:tcPr>
            <w:tcW w:w="3553" w:type="pct"/>
            <w:shd w:val="clear" w:color="auto" w:fill="auto"/>
            <w:tcMar>
              <w:top w:w="57" w:type="dxa"/>
              <w:bottom w:w="57" w:type="dxa"/>
            </w:tcMar>
          </w:tcPr>
          <w:p w14:paraId="70565C6C" w14:textId="22836D7F" w:rsidR="0026556F" w:rsidRPr="003C2670" w:rsidRDefault="0026556F" w:rsidP="0026556F">
            <w:pPr>
              <w:tabs>
                <w:tab w:val="num" w:pos="720"/>
                <w:tab w:val="center" w:pos="3152"/>
              </w:tabs>
              <w:rPr>
                <w:rFonts w:cs="Arial"/>
                <w:szCs w:val="19"/>
                <w:lang w:val="en-US"/>
              </w:rPr>
            </w:pPr>
            <w:r>
              <w:rPr>
                <w:rFonts w:cs="Arial"/>
                <w:szCs w:val="19"/>
                <w:lang w:val="en-US"/>
              </w:rPr>
              <w:t xml:space="preserve">Use </w:t>
            </w:r>
            <w:r w:rsidRPr="00BC0F34">
              <w:rPr>
                <w:rFonts w:cs="Arial"/>
                <w:szCs w:val="19"/>
                <w:lang w:val="en-US"/>
              </w:rPr>
              <w:t>in combination with lenalidomide and rituximab for the treatment of adults with relapsed or refractory follicular lymphoma (Grade 1-3a) after at least one line of systemic therapy</w:t>
            </w:r>
            <w:r>
              <w:rPr>
                <w:rFonts w:cs="Arial"/>
                <w:szCs w:val="19"/>
                <w:lang w:val="en-US"/>
              </w:rPr>
              <w:t xml:space="preserve"> </w:t>
            </w:r>
            <w:r w:rsidRPr="00BC0F34">
              <w:rPr>
                <w:rFonts w:cs="Arial"/>
                <w:sz w:val="16"/>
                <w:szCs w:val="16"/>
                <w:lang w:val="en-US"/>
              </w:rPr>
              <w:t>[EU] [new indication]</w:t>
            </w:r>
          </w:p>
        </w:tc>
      </w:tr>
      <w:tr w:rsidR="0026556F" w14:paraId="5B90F2FA" w14:textId="77777777" w:rsidTr="00D6452A">
        <w:tc>
          <w:tcPr>
            <w:tcW w:w="1447" w:type="pct"/>
            <w:gridSpan w:val="2"/>
            <w:shd w:val="clear" w:color="auto" w:fill="auto"/>
            <w:tcMar>
              <w:top w:w="57" w:type="dxa"/>
              <w:bottom w:w="57" w:type="dxa"/>
            </w:tcMar>
          </w:tcPr>
          <w:p w14:paraId="71335219" w14:textId="270C689F" w:rsidR="0026556F" w:rsidRPr="00B502F9" w:rsidRDefault="0026556F" w:rsidP="0026556F">
            <w:pPr>
              <w:rPr>
                <w:rFonts w:cs="Arial"/>
                <w:szCs w:val="19"/>
              </w:rPr>
            </w:pPr>
            <w:r w:rsidRPr="001F24ED">
              <w:rPr>
                <w:rFonts w:cs="Arial"/>
                <w:szCs w:val="19"/>
              </w:rPr>
              <w:t>Teplizumab (</w:t>
            </w:r>
            <w:r w:rsidRPr="001F24ED">
              <w:rPr>
                <w:rFonts w:cs="Arial"/>
                <w:i/>
                <w:iCs/>
                <w:szCs w:val="19"/>
              </w:rPr>
              <w:t>Teizeild</w:t>
            </w:r>
            <w:r>
              <w:rPr>
                <w:rFonts w:cs="Arial"/>
                <w:szCs w:val="19"/>
              </w:rPr>
              <w:t>)</w:t>
            </w:r>
          </w:p>
        </w:tc>
        <w:tc>
          <w:tcPr>
            <w:tcW w:w="3553" w:type="pct"/>
            <w:shd w:val="clear" w:color="auto" w:fill="auto"/>
            <w:tcMar>
              <w:top w:w="57" w:type="dxa"/>
              <w:bottom w:w="57" w:type="dxa"/>
            </w:tcMar>
          </w:tcPr>
          <w:p w14:paraId="58E16FF5" w14:textId="4E8E55F3" w:rsidR="0026556F" w:rsidRPr="003C2670" w:rsidRDefault="0026556F" w:rsidP="0026556F">
            <w:pPr>
              <w:tabs>
                <w:tab w:val="num" w:pos="720"/>
                <w:tab w:val="center" w:pos="3152"/>
              </w:tabs>
              <w:rPr>
                <w:rFonts w:cs="Arial"/>
                <w:szCs w:val="19"/>
                <w:lang w:val="en-US"/>
              </w:rPr>
            </w:pPr>
            <w:r w:rsidRPr="004B6EE4">
              <w:rPr>
                <w:rFonts w:cs="Arial"/>
                <w:szCs w:val="19"/>
                <w:lang w:val="en-US"/>
              </w:rPr>
              <w:t xml:space="preserve">To delay the onset of stage 3 type 1 diabetes (T1D) in adult and paediatric patients </w:t>
            </w:r>
            <w:r>
              <w:rPr>
                <w:rFonts w:cs="Arial"/>
                <w:szCs w:val="19"/>
                <w:lang w:val="en-US"/>
              </w:rPr>
              <w:t>aged ≥</w:t>
            </w:r>
            <w:r w:rsidRPr="004B6EE4">
              <w:rPr>
                <w:rFonts w:cs="Arial"/>
                <w:szCs w:val="19"/>
                <w:lang w:val="en-US"/>
              </w:rPr>
              <w:t>8 years with stage 2 T1D</w:t>
            </w:r>
          </w:p>
        </w:tc>
      </w:tr>
      <w:tr w:rsidR="0026556F" w14:paraId="5741B7C7" w14:textId="77777777" w:rsidTr="00D6452A">
        <w:tc>
          <w:tcPr>
            <w:tcW w:w="1447" w:type="pct"/>
            <w:gridSpan w:val="2"/>
            <w:shd w:val="clear" w:color="auto" w:fill="auto"/>
            <w:tcMar>
              <w:top w:w="57" w:type="dxa"/>
              <w:bottom w:w="57" w:type="dxa"/>
            </w:tcMar>
          </w:tcPr>
          <w:p w14:paraId="62C64D04" w14:textId="458430CE" w:rsidR="0026556F" w:rsidRPr="00B502F9" w:rsidRDefault="0026556F" w:rsidP="0026556F">
            <w:pPr>
              <w:rPr>
                <w:rFonts w:cs="Arial"/>
                <w:szCs w:val="19"/>
              </w:rPr>
            </w:pPr>
            <w:r w:rsidRPr="00573409">
              <w:rPr>
                <w:rFonts w:cs="Arial"/>
                <w:szCs w:val="19"/>
              </w:rPr>
              <w:t>Vonicog alfa (</w:t>
            </w:r>
            <w:r w:rsidRPr="00573409">
              <w:rPr>
                <w:rFonts w:cs="Arial"/>
                <w:i/>
                <w:iCs/>
                <w:szCs w:val="19"/>
              </w:rPr>
              <w:t>Veyvondi</w:t>
            </w:r>
            <w:r>
              <w:rPr>
                <w:rFonts w:cs="Arial"/>
                <w:szCs w:val="19"/>
              </w:rPr>
              <w:t>)</w:t>
            </w:r>
          </w:p>
        </w:tc>
        <w:tc>
          <w:tcPr>
            <w:tcW w:w="3553" w:type="pct"/>
            <w:shd w:val="clear" w:color="auto" w:fill="auto"/>
            <w:tcMar>
              <w:top w:w="57" w:type="dxa"/>
              <w:bottom w:w="57" w:type="dxa"/>
            </w:tcMar>
          </w:tcPr>
          <w:p w14:paraId="6C857761" w14:textId="74475E5E" w:rsidR="0026556F" w:rsidRPr="003C2670" w:rsidRDefault="0026556F" w:rsidP="0026556F">
            <w:pPr>
              <w:tabs>
                <w:tab w:val="num" w:pos="720"/>
                <w:tab w:val="center" w:pos="3152"/>
              </w:tabs>
              <w:rPr>
                <w:rFonts w:cs="Arial"/>
                <w:szCs w:val="19"/>
                <w:lang w:val="en-US"/>
              </w:rPr>
            </w:pPr>
            <w:r w:rsidRPr="00B22B05">
              <w:rPr>
                <w:rFonts w:cs="Arial"/>
                <w:szCs w:val="19"/>
                <w:lang w:val="en-US"/>
              </w:rPr>
              <w:t xml:space="preserve">Treatment of haemorrhage in children (aged </w:t>
            </w:r>
            <w:r>
              <w:rPr>
                <w:rFonts w:cs="Arial"/>
                <w:szCs w:val="19"/>
                <w:lang w:val="en-US"/>
              </w:rPr>
              <w:t>&lt;</w:t>
            </w:r>
            <w:r w:rsidRPr="00B22B05">
              <w:rPr>
                <w:rFonts w:cs="Arial"/>
                <w:szCs w:val="19"/>
                <w:lang w:val="en-US"/>
              </w:rPr>
              <w:t>18 years) with von Willebrand disease, when desmopressin treatment alone is ineffective or contraindicated</w:t>
            </w:r>
            <w:r>
              <w:rPr>
                <w:rFonts w:cs="Arial"/>
                <w:szCs w:val="19"/>
                <w:lang w:val="en-US"/>
              </w:rPr>
              <w:t xml:space="preserve"> </w:t>
            </w:r>
            <w:r w:rsidRPr="00BC0F34">
              <w:rPr>
                <w:rFonts w:cs="Arial"/>
                <w:sz w:val="16"/>
                <w:szCs w:val="16"/>
                <w:lang w:val="en-US"/>
              </w:rPr>
              <w:t>[EU] [new indication]</w:t>
            </w:r>
          </w:p>
        </w:tc>
      </w:tr>
      <w:tr w:rsidR="0026556F" w:rsidRPr="000F19E1" w14:paraId="3525B345" w14:textId="77777777" w:rsidTr="00D6452A">
        <w:tc>
          <w:tcPr>
            <w:tcW w:w="1447" w:type="pct"/>
            <w:gridSpan w:val="2"/>
            <w:shd w:val="clear" w:color="auto" w:fill="auto"/>
            <w:tcMar>
              <w:top w:w="0" w:type="dxa"/>
              <w:bottom w:w="0" w:type="dxa"/>
            </w:tcMar>
          </w:tcPr>
          <w:p w14:paraId="5E9069E6" w14:textId="77777777" w:rsidR="0026556F" w:rsidRPr="000F19E1" w:rsidRDefault="0026556F" w:rsidP="0026556F">
            <w:pPr>
              <w:rPr>
                <w:rFonts w:cs="Arial"/>
                <w:bCs/>
                <w:sz w:val="8"/>
                <w:szCs w:val="8"/>
              </w:rPr>
            </w:pPr>
          </w:p>
        </w:tc>
        <w:tc>
          <w:tcPr>
            <w:tcW w:w="3553" w:type="pct"/>
            <w:shd w:val="clear" w:color="auto" w:fill="auto"/>
            <w:tcMar>
              <w:top w:w="0" w:type="dxa"/>
              <w:bottom w:w="0" w:type="dxa"/>
            </w:tcMar>
          </w:tcPr>
          <w:p w14:paraId="653B75DE" w14:textId="77777777" w:rsidR="0026556F" w:rsidRPr="000F19E1" w:rsidRDefault="0026556F" w:rsidP="0026556F">
            <w:pPr>
              <w:tabs>
                <w:tab w:val="center" w:pos="3152"/>
              </w:tabs>
              <w:rPr>
                <w:rFonts w:cs="Arial"/>
                <w:sz w:val="8"/>
                <w:szCs w:val="8"/>
                <w:lang w:val="en-US"/>
              </w:rPr>
            </w:pPr>
          </w:p>
        </w:tc>
      </w:tr>
      <w:tr w:rsidR="0026556F" w:rsidRPr="000F19E1" w14:paraId="7B3CB692" w14:textId="77777777" w:rsidTr="00D6452A">
        <w:tc>
          <w:tcPr>
            <w:tcW w:w="1152" w:type="pct"/>
            <w:shd w:val="clear" w:color="auto" w:fill="DAEEF3"/>
            <w:tcMar>
              <w:top w:w="0" w:type="dxa"/>
              <w:bottom w:w="0" w:type="dxa"/>
            </w:tcMar>
          </w:tcPr>
          <w:p w14:paraId="025B2DF2" w14:textId="77777777" w:rsidR="0026556F" w:rsidRPr="000F19E1" w:rsidRDefault="0026556F" w:rsidP="0026556F">
            <w:pPr>
              <w:rPr>
                <w:rFonts w:cs="Arial"/>
                <w:bCs/>
                <w:sz w:val="8"/>
                <w:szCs w:val="8"/>
              </w:rPr>
            </w:pPr>
          </w:p>
        </w:tc>
        <w:tc>
          <w:tcPr>
            <w:tcW w:w="3848" w:type="pct"/>
            <w:gridSpan w:val="2"/>
            <w:shd w:val="clear" w:color="auto" w:fill="DAEEF3"/>
            <w:tcMar>
              <w:top w:w="0" w:type="dxa"/>
              <w:bottom w:w="0" w:type="dxa"/>
            </w:tcMar>
          </w:tcPr>
          <w:p w14:paraId="7EFE4226" w14:textId="77777777" w:rsidR="0026556F" w:rsidRPr="000F19E1" w:rsidRDefault="0026556F" w:rsidP="0026556F">
            <w:pPr>
              <w:tabs>
                <w:tab w:val="center" w:pos="3152"/>
              </w:tabs>
              <w:rPr>
                <w:rFonts w:cs="Arial"/>
                <w:sz w:val="8"/>
                <w:szCs w:val="8"/>
                <w:lang w:val="en-US"/>
              </w:rPr>
            </w:pPr>
          </w:p>
        </w:tc>
      </w:tr>
      <w:tr w:rsidR="00F66949" w:rsidRPr="00433D3E" w14:paraId="4D8BA0A9" w14:textId="77777777" w:rsidTr="00993B3F">
        <w:tc>
          <w:tcPr>
            <w:tcW w:w="5000" w:type="pct"/>
            <w:gridSpan w:val="3"/>
            <w:shd w:val="clear" w:color="auto" w:fill="008232"/>
            <w:tcMar>
              <w:top w:w="57" w:type="dxa"/>
              <w:bottom w:w="57" w:type="dxa"/>
            </w:tcMar>
          </w:tcPr>
          <w:p w14:paraId="168D809C" w14:textId="77777777" w:rsidR="00F66949" w:rsidRPr="00433D3E" w:rsidRDefault="00F66949" w:rsidP="00993B3F">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p>
        </w:tc>
      </w:tr>
      <w:tr w:rsidR="00F66949" w:rsidRPr="00A075A3" w14:paraId="6FBF2234" w14:textId="77777777" w:rsidTr="00993B3F">
        <w:tc>
          <w:tcPr>
            <w:tcW w:w="1447" w:type="pct"/>
            <w:gridSpan w:val="2"/>
            <w:shd w:val="clear" w:color="auto" w:fill="auto"/>
            <w:tcMar>
              <w:top w:w="57" w:type="dxa"/>
              <w:bottom w:w="57" w:type="dxa"/>
            </w:tcMar>
          </w:tcPr>
          <w:p w14:paraId="009F51E2" w14:textId="5370E78B" w:rsidR="00F66949" w:rsidRPr="00C466BC" w:rsidRDefault="00AB5EBC" w:rsidP="00993B3F">
            <w:pPr>
              <w:rPr>
                <w:rFonts w:cs="Arial"/>
                <w:szCs w:val="19"/>
              </w:rPr>
            </w:pPr>
            <w:r>
              <w:rPr>
                <w:rFonts w:cs="Arial"/>
                <w:szCs w:val="19"/>
              </w:rPr>
              <w:t>Bevacizumab biosimilar</w:t>
            </w:r>
          </w:p>
        </w:tc>
        <w:tc>
          <w:tcPr>
            <w:tcW w:w="3553" w:type="pct"/>
            <w:shd w:val="clear" w:color="auto" w:fill="auto"/>
            <w:tcMar>
              <w:top w:w="57" w:type="dxa"/>
              <w:bottom w:w="57" w:type="dxa"/>
            </w:tcMar>
          </w:tcPr>
          <w:p w14:paraId="7B150072" w14:textId="7132474B" w:rsidR="00F66949" w:rsidRPr="00A075A3" w:rsidRDefault="00773BB7" w:rsidP="00993B3F">
            <w:pPr>
              <w:tabs>
                <w:tab w:val="center" w:pos="3152"/>
              </w:tabs>
              <w:rPr>
                <w:rFonts w:cs="Arial"/>
                <w:szCs w:val="19"/>
                <w:lang w:val="en-US"/>
              </w:rPr>
            </w:pPr>
            <w:r w:rsidRPr="00773BB7">
              <w:rPr>
                <w:rFonts w:cs="Arial"/>
                <w:szCs w:val="19"/>
                <w:lang w:val="en-US"/>
              </w:rPr>
              <w:t>Treatment of adults with hereditary haemorrhagic telangiectasia</w:t>
            </w:r>
            <w:r>
              <w:rPr>
                <w:rFonts w:cs="Arial"/>
                <w:szCs w:val="19"/>
                <w:lang w:val="en-US"/>
              </w:rPr>
              <w:t xml:space="preserve"> </w:t>
            </w:r>
            <w:r w:rsidRPr="00773BB7">
              <w:rPr>
                <w:rFonts w:cs="Arial"/>
                <w:sz w:val="16"/>
                <w:szCs w:val="16"/>
                <w:lang w:val="en-US"/>
              </w:rPr>
              <w:t>[EU]</w:t>
            </w:r>
          </w:p>
        </w:tc>
      </w:tr>
      <w:tr w:rsidR="00AB5EBC" w:rsidRPr="00A075A3" w14:paraId="75BFB6AC" w14:textId="77777777" w:rsidTr="00993B3F">
        <w:tc>
          <w:tcPr>
            <w:tcW w:w="1447" w:type="pct"/>
            <w:gridSpan w:val="2"/>
            <w:shd w:val="clear" w:color="auto" w:fill="auto"/>
            <w:tcMar>
              <w:top w:w="57" w:type="dxa"/>
              <w:bottom w:w="57" w:type="dxa"/>
            </w:tcMar>
          </w:tcPr>
          <w:p w14:paraId="129015F6" w14:textId="2ADF54AE" w:rsidR="00AB5EBC" w:rsidRPr="004F10A7" w:rsidRDefault="00AB5EBC" w:rsidP="00AB5EBC">
            <w:pPr>
              <w:rPr>
                <w:rFonts w:cs="Arial"/>
                <w:szCs w:val="19"/>
              </w:rPr>
            </w:pPr>
            <w:r w:rsidRPr="00930E1E">
              <w:rPr>
                <w:rFonts w:cs="Arial"/>
                <w:szCs w:val="19"/>
              </w:rPr>
              <w:t>Cedazuridine + decitabine</w:t>
            </w:r>
            <w:r>
              <w:rPr>
                <w:rFonts w:cs="Arial"/>
                <w:szCs w:val="19"/>
              </w:rPr>
              <w:t xml:space="preserve"> (</w:t>
            </w:r>
            <w:r>
              <w:rPr>
                <w:rFonts w:cs="Arial"/>
                <w:i/>
                <w:iCs/>
                <w:szCs w:val="19"/>
              </w:rPr>
              <w:t>Inaqovi</w:t>
            </w:r>
            <w:r>
              <w:rPr>
                <w:rFonts w:cs="Arial"/>
                <w:szCs w:val="19"/>
              </w:rPr>
              <w:t>)</w:t>
            </w:r>
          </w:p>
        </w:tc>
        <w:tc>
          <w:tcPr>
            <w:tcW w:w="3553" w:type="pct"/>
            <w:shd w:val="clear" w:color="auto" w:fill="auto"/>
            <w:tcMar>
              <w:top w:w="57" w:type="dxa"/>
              <w:bottom w:w="57" w:type="dxa"/>
            </w:tcMar>
          </w:tcPr>
          <w:p w14:paraId="3CA73597" w14:textId="75959334" w:rsidR="00AB5EBC" w:rsidRPr="00D27ADE" w:rsidRDefault="00AB5EBC" w:rsidP="00AB5EBC">
            <w:pPr>
              <w:tabs>
                <w:tab w:val="center" w:pos="3152"/>
              </w:tabs>
              <w:rPr>
                <w:rFonts w:cs="Arial"/>
                <w:szCs w:val="19"/>
                <w:lang w:val="en-US"/>
              </w:rPr>
            </w:pPr>
            <w:r w:rsidRPr="00276C06">
              <w:rPr>
                <w:rFonts w:cs="Arial"/>
                <w:szCs w:val="19"/>
                <w:lang w:val="en-US"/>
              </w:rPr>
              <w:t>Treatment of adults with newly diagnosed acute myeloid leukaemia who are ineligible for standard induction chemotherapy</w:t>
            </w:r>
            <w:r>
              <w:rPr>
                <w:rFonts w:cs="Arial"/>
                <w:szCs w:val="19"/>
                <w:lang w:val="en-US"/>
              </w:rPr>
              <w:t xml:space="preserve">, </w:t>
            </w:r>
            <w:r w:rsidRPr="00276C06">
              <w:rPr>
                <w:rFonts w:cs="Arial"/>
                <w:szCs w:val="19"/>
                <w:lang w:val="en-US"/>
              </w:rPr>
              <w:t>in combination with venetoclax</w:t>
            </w:r>
            <w:r>
              <w:rPr>
                <w:rFonts w:cs="Arial"/>
                <w:szCs w:val="19"/>
                <w:lang w:val="en-US"/>
              </w:rPr>
              <w:t xml:space="preserve"> </w:t>
            </w:r>
            <w:r w:rsidRPr="00FA597F">
              <w:rPr>
                <w:rFonts w:cs="Arial"/>
                <w:sz w:val="16"/>
                <w:szCs w:val="16"/>
                <w:lang w:val="en-US"/>
              </w:rPr>
              <w:t>[EU] [new indication]</w:t>
            </w:r>
          </w:p>
        </w:tc>
      </w:tr>
      <w:tr w:rsidR="00AB5EBC" w:rsidRPr="00A075A3" w14:paraId="1C4ED85D" w14:textId="77777777" w:rsidTr="00993B3F">
        <w:tc>
          <w:tcPr>
            <w:tcW w:w="1447" w:type="pct"/>
            <w:gridSpan w:val="2"/>
            <w:shd w:val="clear" w:color="auto" w:fill="auto"/>
            <w:tcMar>
              <w:top w:w="57" w:type="dxa"/>
              <w:bottom w:w="57" w:type="dxa"/>
            </w:tcMar>
          </w:tcPr>
          <w:p w14:paraId="56CFD600" w14:textId="063D1E9E" w:rsidR="00AB5EBC" w:rsidRPr="00331E50" w:rsidRDefault="00AB5EBC" w:rsidP="00AB5EBC">
            <w:pPr>
              <w:rPr>
                <w:rFonts w:cs="Arial"/>
                <w:szCs w:val="19"/>
              </w:rPr>
            </w:pPr>
            <w:r>
              <w:rPr>
                <w:rFonts w:cs="Arial"/>
                <w:szCs w:val="19"/>
              </w:rPr>
              <w:t xml:space="preserve">Denecimig </w:t>
            </w:r>
          </w:p>
        </w:tc>
        <w:tc>
          <w:tcPr>
            <w:tcW w:w="3553" w:type="pct"/>
            <w:shd w:val="clear" w:color="auto" w:fill="auto"/>
            <w:tcMar>
              <w:top w:w="57" w:type="dxa"/>
              <w:bottom w:w="57" w:type="dxa"/>
            </w:tcMar>
          </w:tcPr>
          <w:p w14:paraId="7E519F07" w14:textId="4243EE04" w:rsidR="00AB5EBC" w:rsidRPr="00DF6519" w:rsidRDefault="00AB5EBC" w:rsidP="00AB5EBC">
            <w:pPr>
              <w:tabs>
                <w:tab w:val="center" w:pos="3152"/>
              </w:tabs>
              <w:rPr>
                <w:rFonts w:cs="Arial"/>
                <w:szCs w:val="19"/>
                <w:lang w:val="en-US"/>
              </w:rPr>
            </w:pPr>
            <w:r w:rsidRPr="00CD5351">
              <w:rPr>
                <w:rFonts w:cs="Arial"/>
                <w:szCs w:val="19"/>
                <w:lang w:val="en-US"/>
              </w:rPr>
              <w:t>Prophylaxis of bleeding episodes in patients with haemophilia A</w:t>
            </w:r>
            <w:r>
              <w:rPr>
                <w:rFonts w:cs="Arial"/>
                <w:szCs w:val="19"/>
                <w:lang w:val="en-US"/>
              </w:rPr>
              <w:t xml:space="preserve"> </w:t>
            </w:r>
            <w:r w:rsidRPr="00CD5351">
              <w:rPr>
                <w:rFonts w:cs="Arial"/>
                <w:sz w:val="16"/>
                <w:szCs w:val="16"/>
                <w:lang w:val="en-US"/>
              </w:rPr>
              <w:t>[EU]</w:t>
            </w:r>
          </w:p>
        </w:tc>
      </w:tr>
      <w:tr w:rsidR="00AB5EBC" w:rsidRPr="00A075A3" w14:paraId="7C465D6D" w14:textId="77777777" w:rsidTr="00993B3F">
        <w:tc>
          <w:tcPr>
            <w:tcW w:w="1447" w:type="pct"/>
            <w:gridSpan w:val="2"/>
            <w:shd w:val="clear" w:color="auto" w:fill="auto"/>
            <w:tcMar>
              <w:top w:w="57" w:type="dxa"/>
              <w:bottom w:w="57" w:type="dxa"/>
            </w:tcMar>
          </w:tcPr>
          <w:p w14:paraId="17CF3557" w14:textId="430EEB64" w:rsidR="00AB5EBC" w:rsidRPr="00A013D9" w:rsidRDefault="00AB5EBC" w:rsidP="00AB5EBC">
            <w:pPr>
              <w:rPr>
                <w:rFonts w:cs="Arial"/>
                <w:szCs w:val="19"/>
              </w:rPr>
            </w:pPr>
            <w:r w:rsidRPr="00A013D9">
              <w:rPr>
                <w:rFonts w:cs="Arial"/>
                <w:szCs w:val="19"/>
              </w:rPr>
              <w:t xml:space="preserve">Denosumab biosimilar </w:t>
            </w:r>
            <w:r>
              <w:rPr>
                <w:rFonts w:cs="Arial"/>
                <w:szCs w:val="19"/>
              </w:rPr>
              <w:t xml:space="preserve">– </w:t>
            </w:r>
            <w:r w:rsidRPr="00A013D9">
              <w:rPr>
                <w:rFonts w:cs="Arial"/>
                <w:szCs w:val="19"/>
              </w:rPr>
              <w:t>BA1102</w:t>
            </w:r>
          </w:p>
        </w:tc>
        <w:tc>
          <w:tcPr>
            <w:tcW w:w="3553" w:type="pct"/>
            <w:shd w:val="clear" w:color="auto" w:fill="auto"/>
            <w:tcMar>
              <w:top w:w="57" w:type="dxa"/>
              <w:bottom w:w="57" w:type="dxa"/>
            </w:tcMar>
          </w:tcPr>
          <w:p w14:paraId="033DFE03" w14:textId="146EACB4" w:rsidR="00AB5EBC" w:rsidRPr="00DF6519" w:rsidRDefault="00AB5EBC" w:rsidP="00AB5EBC">
            <w:pPr>
              <w:tabs>
                <w:tab w:val="center" w:pos="3152"/>
              </w:tabs>
              <w:rPr>
                <w:rFonts w:cs="Arial"/>
                <w:szCs w:val="19"/>
                <w:lang w:val="en-US"/>
              </w:rPr>
            </w:pPr>
            <w:r w:rsidRPr="00AF66E5">
              <w:rPr>
                <w:rFonts w:cs="Arial"/>
                <w:szCs w:val="19"/>
                <w:lang w:val="en-US"/>
              </w:rPr>
              <w:t xml:space="preserve">Prevention of skeletal related events in adults with advanced malignancies involving bone and other </w:t>
            </w:r>
            <w:r w:rsidRPr="00AF66E5">
              <w:rPr>
                <w:rFonts w:cs="Arial"/>
                <w:i/>
                <w:iCs/>
                <w:szCs w:val="19"/>
                <w:lang w:val="en-US"/>
              </w:rPr>
              <w:t>Xgeva</w:t>
            </w:r>
            <w:r w:rsidRPr="00AF66E5">
              <w:rPr>
                <w:rFonts w:cs="Arial"/>
                <w:szCs w:val="19"/>
                <w:lang w:val="en-US"/>
              </w:rPr>
              <w:t xml:space="preserve"> indications </w:t>
            </w:r>
            <w:r w:rsidRPr="00AF66E5">
              <w:rPr>
                <w:rFonts w:cs="Arial"/>
                <w:sz w:val="16"/>
                <w:szCs w:val="16"/>
                <w:lang w:val="en-US"/>
              </w:rPr>
              <w:t>[U</w:t>
            </w:r>
            <w:r>
              <w:rPr>
                <w:rFonts w:cs="Arial"/>
                <w:sz w:val="16"/>
                <w:szCs w:val="16"/>
                <w:lang w:val="en-US"/>
              </w:rPr>
              <w:t>K</w:t>
            </w:r>
            <w:r w:rsidRPr="00AF66E5">
              <w:rPr>
                <w:rFonts w:cs="Arial"/>
                <w:sz w:val="16"/>
                <w:szCs w:val="16"/>
                <w:lang w:val="en-US"/>
              </w:rPr>
              <w:t>]</w:t>
            </w:r>
          </w:p>
        </w:tc>
      </w:tr>
      <w:tr w:rsidR="00AB5EBC" w:rsidRPr="00A075A3" w14:paraId="791FB1A3" w14:textId="77777777" w:rsidTr="00993B3F">
        <w:tc>
          <w:tcPr>
            <w:tcW w:w="1447" w:type="pct"/>
            <w:gridSpan w:val="2"/>
            <w:shd w:val="clear" w:color="auto" w:fill="auto"/>
            <w:tcMar>
              <w:top w:w="57" w:type="dxa"/>
              <w:bottom w:w="57" w:type="dxa"/>
            </w:tcMar>
          </w:tcPr>
          <w:p w14:paraId="327B227A" w14:textId="74E427BD" w:rsidR="00AB5EBC" w:rsidRPr="005D3E98" w:rsidRDefault="00AB5EBC" w:rsidP="00AB5EBC">
            <w:pPr>
              <w:rPr>
                <w:rFonts w:cs="Arial"/>
                <w:szCs w:val="19"/>
              </w:rPr>
            </w:pPr>
            <w:r w:rsidRPr="00331E50">
              <w:rPr>
                <w:rFonts w:cs="Arial"/>
                <w:szCs w:val="19"/>
              </w:rPr>
              <w:t xml:space="preserve">Denosumab biosimilar </w:t>
            </w:r>
            <w:r>
              <w:rPr>
                <w:rFonts w:cs="Arial"/>
                <w:szCs w:val="19"/>
              </w:rPr>
              <w:t xml:space="preserve">– </w:t>
            </w:r>
            <w:r w:rsidRPr="00331E50">
              <w:rPr>
                <w:rFonts w:cs="Arial"/>
                <w:szCs w:val="19"/>
              </w:rPr>
              <w:t>BA6101</w:t>
            </w:r>
          </w:p>
        </w:tc>
        <w:tc>
          <w:tcPr>
            <w:tcW w:w="3553" w:type="pct"/>
            <w:shd w:val="clear" w:color="auto" w:fill="auto"/>
            <w:tcMar>
              <w:top w:w="57" w:type="dxa"/>
              <w:bottom w:w="57" w:type="dxa"/>
            </w:tcMar>
          </w:tcPr>
          <w:p w14:paraId="38E660E3" w14:textId="6CA654E4" w:rsidR="00AB5EBC" w:rsidRDefault="00AB5EBC" w:rsidP="00AB5EBC">
            <w:pPr>
              <w:tabs>
                <w:tab w:val="center" w:pos="3152"/>
              </w:tabs>
              <w:rPr>
                <w:rFonts w:cs="Arial"/>
                <w:szCs w:val="19"/>
                <w:lang w:val="en-US"/>
              </w:rPr>
            </w:pPr>
            <w:r w:rsidRPr="00DF6519">
              <w:rPr>
                <w:rFonts w:cs="Arial"/>
                <w:szCs w:val="19"/>
                <w:lang w:val="en-US"/>
              </w:rPr>
              <w:t xml:space="preserve">Postmenopausal osteoporosis and other </w:t>
            </w:r>
            <w:r w:rsidRPr="00DF6519">
              <w:rPr>
                <w:rFonts w:cs="Arial"/>
                <w:i/>
                <w:iCs/>
                <w:szCs w:val="19"/>
                <w:lang w:val="en-US"/>
              </w:rPr>
              <w:t>Prolia</w:t>
            </w:r>
            <w:r w:rsidRPr="00DF6519">
              <w:rPr>
                <w:rFonts w:cs="Arial"/>
                <w:szCs w:val="19"/>
                <w:lang w:val="en-US"/>
              </w:rPr>
              <w:t xml:space="preserve"> indications</w:t>
            </w:r>
            <w:r>
              <w:rPr>
                <w:rFonts w:cs="Arial"/>
                <w:szCs w:val="19"/>
                <w:lang w:val="en-US"/>
              </w:rPr>
              <w:t xml:space="preserve"> </w:t>
            </w:r>
            <w:r w:rsidRPr="00DF6519">
              <w:rPr>
                <w:rFonts w:cs="Arial"/>
                <w:sz w:val="16"/>
                <w:szCs w:val="16"/>
                <w:lang w:val="en-US"/>
              </w:rPr>
              <w:t>[U</w:t>
            </w:r>
            <w:r>
              <w:rPr>
                <w:rFonts w:cs="Arial"/>
                <w:sz w:val="16"/>
                <w:szCs w:val="16"/>
                <w:lang w:val="en-US"/>
              </w:rPr>
              <w:t>K</w:t>
            </w:r>
            <w:r w:rsidRPr="00DF6519">
              <w:rPr>
                <w:rFonts w:cs="Arial"/>
                <w:sz w:val="16"/>
                <w:szCs w:val="16"/>
                <w:lang w:val="en-US"/>
              </w:rPr>
              <w:t>]</w:t>
            </w:r>
          </w:p>
        </w:tc>
      </w:tr>
      <w:tr w:rsidR="00AB5EBC" w:rsidRPr="00A075A3" w14:paraId="2DFC9DED" w14:textId="77777777" w:rsidTr="00993B3F">
        <w:tc>
          <w:tcPr>
            <w:tcW w:w="1447" w:type="pct"/>
            <w:gridSpan w:val="2"/>
            <w:shd w:val="clear" w:color="auto" w:fill="auto"/>
            <w:tcMar>
              <w:top w:w="57" w:type="dxa"/>
              <w:bottom w:w="57" w:type="dxa"/>
            </w:tcMar>
          </w:tcPr>
          <w:p w14:paraId="5D7A7F7A" w14:textId="4413A4D7" w:rsidR="00AB5EBC" w:rsidRPr="004F10A7" w:rsidRDefault="00AB5EBC" w:rsidP="00AB5EBC">
            <w:pPr>
              <w:rPr>
                <w:rFonts w:cs="Arial"/>
                <w:szCs w:val="19"/>
              </w:rPr>
            </w:pPr>
            <w:r w:rsidRPr="004F10A7">
              <w:rPr>
                <w:rFonts w:cs="Arial"/>
                <w:szCs w:val="19"/>
              </w:rPr>
              <w:t>Encorafenib</w:t>
            </w:r>
            <w:r>
              <w:rPr>
                <w:rFonts w:cs="Arial"/>
                <w:szCs w:val="19"/>
              </w:rPr>
              <w:t xml:space="preserve"> (</w:t>
            </w:r>
            <w:r>
              <w:rPr>
                <w:rFonts w:cs="Arial"/>
                <w:i/>
                <w:iCs/>
                <w:szCs w:val="19"/>
              </w:rPr>
              <w:t>Braftovi</w:t>
            </w:r>
            <w:r>
              <w:rPr>
                <w:rFonts w:cs="Arial"/>
                <w:szCs w:val="19"/>
              </w:rPr>
              <w:t>)</w:t>
            </w:r>
          </w:p>
        </w:tc>
        <w:tc>
          <w:tcPr>
            <w:tcW w:w="3553" w:type="pct"/>
            <w:shd w:val="clear" w:color="auto" w:fill="auto"/>
            <w:tcMar>
              <w:top w:w="57" w:type="dxa"/>
              <w:bottom w:w="57" w:type="dxa"/>
            </w:tcMar>
          </w:tcPr>
          <w:p w14:paraId="3F795D49" w14:textId="7B1480E4" w:rsidR="00AB5EBC" w:rsidRPr="00D27ADE" w:rsidRDefault="00AB5EBC" w:rsidP="00AB5EBC">
            <w:pPr>
              <w:tabs>
                <w:tab w:val="center" w:pos="3152"/>
              </w:tabs>
              <w:rPr>
                <w:rFonts w:cs="Arial"/>
                <w:szCs w:val="19"/>
                <w:lang w:val="en-US"/>
              </w:rPr>
            </w:pPr>
            <w:r w:rsidRPr="00D27ADE">
              <w:rPr>
                <w:rFonts w:cs="Arial"/>
                <w:szCs w:val="19"/>
                <w:lang w:val="en-US"/>
              </w:rPr>
              <w:t>Use in combination with cetuximab and FOLFOX, for the first</w:t>
            </w:r>
            <w:r>
              <w:rPr>
                <w:rFonts w:cs="Arial"/>
                <w:szCs w:val="19"/>
                <w:lang w:val="en-US"/>
              </w:rPr>
              <w:t>-</w:t>
            </w:r>
            <w:r w:rsidRPr="00D27ADE">
              <w:rPr>
                <w:rFonts w:cs="Arial"/>
                <w:szCs w:val="19"/>
                <w:lang w:val="en-US"/>
              </w:rPr>
              <w:t>line treatment of adults with metastatic colorectal cancer with a BRAF V600E mutation</w:t>
            </w:r>
            <w:r>
              <w:rPr>
                <w:rFonts w:cs="Arial"/>
                <w:szCs w:val="19"/>
                <w:lang w:val="en-US"/>
              </w:rPr>
              <w:t xml:space="preserve"> </w:t>
            </w:r>
            <w:r w:rsidRPr="00FA597F">
              <w:rPr>
                <w:rFonts w:cs="Arial"/>
                <w:sz w:val="16"/>
                <w:szCs w:val="16"/>
                <w:lang w:val="en-US"/>
              </w:rPr>
              <w:t>[EU] [new indication]</w:t>
            </w:r>
          </w:p>
        </w:tc>
      </w:tr>
      <w:tr w:rsidR="00801451" w:rsidRPr="00A075A3" w14:paraId="6E3D91E1" w14:textId="77777777" w:rsidTr="00993B3F">
        <w:tc>
          <w:tcPr>
            <w:tcW w:w="1447" w:type="pct"/>
            <w:gridSpan w:val="2"/>
            <w:shd w:val="clear" w:color="auto" w:fill="auto"/>
            <w:tcMar>
              <w:top w:w="57" w:type="dxa"/>
              <w:bottom w:w="57" w:type="dxa"/>
            </w:tcMar>
          </w:tcPr>
          <w:p w14:paraId="43A0B950" w14:textId="6CB92AF7" w:rsidR="00801451" w:rsidRPr="004F10A7" w:rsidRDefault="00801451" w:rsidP="00801451">
            <w:pPr>
              <w:rPr>
                <w:rFonts w:cs="Arial"/>
                <w:szCs w:val="19"/>
              </w:rPr>
            </w:pPr>
            <w:r w:rsidRPr="007C0B77">
              <w:rPr>
                <w:rFonts w:cs="Arial"/>
                <w:szCs w:val="19"/>
              </w:rPr>
              <w:t>Enfortumab</w:t>
            </w:r>
            <w:r>
              <w:rPr>
                <w:rFonts w:cs="Arial"/>
                <w:szCs w:val="19"/>
              </w:rPr>
              <w:t xml:space="preserve"> </w:t>
            </w:r>
            <w:r w:rsidRPr="007C0B77">
              <w:rPr>
                <w:rFonts w:cs="Arial"/>
                <w:szCs w:val="19"/>
              </w:rPr>
              <w:t>vedotin</w:t>
            </w:r>
            <w:r>
              <w:rPr>
                <w:rFonts w:cs="Arial"/>
                <w:szCs w:val="19"/>
              </w:rPr>
              <w:t xml:space="preserve"> (</w:t>
            </w:r>
            <w:r>
              <w:rPr>
                <w:rFonts w:cs="Arial"/>
                <w:i/>
                <w:iCs/>
                <w:szCs w:val="19"/>
              </w:rPr>
              <w:t>Padcev</w:t>
            </w:r>
            <w:r>
              <w:rPr>
                <w:rFonts w:cs="Arial"/>
                <w:szCs w:val="19"/>
              </w:rPr>
              <w:t>)</w:t>
            </w:r>
            <w:r w:rsidRPr="007C0B77">
              <w:rPr>
                <w:rFonts w:cs="Arial"/>
                <w:szCs w:val="19"/>
              </w:rPr>
              <w:t> </w:t>
            </w:r>
          </w:p>
        </w:tc>
        <w:tc>
          <w:tcPr>
            <w:tcW w:w="3553" w:type="pct"/>
            <w:shd w:val="clear" w:color="auto" w:fill="auto"/>
            <w:tcMar>
              <w:top w:w="57" w:type="dxa"/>
              <w:bottom w:w="57" w:type="dxa"/>
            </w:tcMar>
          </w:tcPr>
          <w:p w14:paraId="07F21C8A" w14:textId="16B24676" w:rsidR="00801451" w:rsidRPr="00D27ADE" w:rsidRDefault="00801451" w:rsidP="00801451">
            <w:pPr>
              <w:tabs>
                <w:tab w:val="center" w:pos="3152"/>
              </w:tabs>
              <w:rPr>
                <w:rFonts w:cs="Arial"/>
                <w:szCs w:val="19"/>
                <w:lang w:val="en-US"/>
              </w:rPr>
            </w:pPr>
            <w:r>
              <w:rPr>
                <w:rFonts w:cs="Arial"/>
                <w:szCs w:val="19"/>
                <w:lang w:val="en-US"/>
              </w:rPr>
              <w:t xml:space="preserve">Use </w:t>
            </w:r>
            <w:r w:rsidRPr="00990C77">
              <w:rPr>
                <w:rFonts w:cs="Arial"/>
                <w:szCs w:val="19"/>
                <w:lang w:val="en-US"/>
              </w:rPr>
              <w:t>as neoadjuvant treatment followed by adjuvant treatment after cystectomy for adults with muscle invasive bladder cancer who are ineligible for cisplati</w:t>
            </w:r>
            <w:r>
              <w:rPr>
                <w:rFonts w:cs="Arial"/>
                <w:szCs w:val="19"/>
                <w:lang w:val="en-US"/>
              </w:rPr>
              <w:t xml:space="preserve">n, in combination with pembrolizumab </w:t>
            </w:r>
            <w:r w:rsidRPr="00990C77">
              <w:rPr>
                <w:rFonts w:cs="Arial"/>
                <w:sz w:val="16"/>
                <w:szCs w:val="16"/>
                <w:lang w:val="en-US"/>
              </w:rPr>
              <w:t>[UK]</w:t>
            </w:r>
          </w:p>
        </w:tc>
      </w:tr>
      <w:tr w:rsidR="00801451" w:rsidRPr="000F19E1" w14:paraId="7BAC43BE" w14:textId="77777777" w:rsidTr="00993B3F">
        <w:tc>
          <w:tcPr>
            <w:tcW w:w="1447" w:type="pct"/>
            <w:gridSpan w:val="2"/>
            <w:shd w:val="clear" w:color="auto" w:fill="auto"/>
            <w:tcMar>
              <w:top w:w="0" w:type="dxa"/>
              <w:bottom w:w="0" w:type="dxa"/>
            </w:tcMar>
          </w:tcPr>
          <w:p w14:paraId="745CEC1A" w14:textId="77777777" w:rsidR="00801451" w:rsidRPr="000F19E1" w:rsidRDefault="00801451" w:rsidP="00801451">
            <w:pPr>
              <w:rPr>
                <w:rFonts w:cs="Arial"/>
                <w:bCs/>
                <w:sz w:val="8"/>
                <w:szCs w:val="8"/>
              </w:rPr>
            </w:pPr>
          </w:p>
        </w:tc>
        <w:tc>
          <w:tcPr>
            <w:tcW w:w="3553" w:type="pct"/>
            <w:shd w:val="clear" w:color="auto" w:fill="auto"/>
            <w:tcMar>
              <w:top w:w="0" w:type="dxa"/>
              <w:bottom w:w="0" w:type="dxa"/>
            </w:tcMar>
          </w:tcPr>
          <w:p w14:paraId="2BDA95A9" w14:textId="77777777" w:rsidR="00801451" w:rsidRPr="000F19E1" w:rsidRDefault="00801451" w:rsidP="00801451">
            <w:pPr>
              <w:tabs>
                <w:tab w:val="center" w:pos="3152"/>
              </w:tabs>
              <w:rPr>
                <w:rFonts w:cs="Arial"/>
                <w:sz w:val="8"/>
                <w:szCs w:val="8"/>
                <w:lang w:val="en-US"/>
              </w:rPr>
            </w:pPr>
          </w:p>
        </w:tc>
      </w:tr>
      <w:tr w:rsidR="00801451" w:rsidRPr="000F19E1" w14:paraId="5B678620" w14:textId="77777777" w:rsidTr="00993B3F">
        <w:tc>
          <w:tcPr>
            <w:tcW w:w="1152" w:type="pct"/>
            <w:shd w:val="clear" w:color="auto" w:fill="DAEEF3"/>
            <w:tcMar>
              <w:top w:w="0" w:type="dxa"/>
              <w:bottom w:w="0" w:type="dxa"/>
            </w:tcMar>
          </w:tcPr>
          <w:p w14:paraId="1AAFB794" w14:textId="77777777" w:rsidR="00801451" w:rsidRPr="000F19E1" w:rsidRDefault="00801451" w:rsidP="00801451">
            <w:pPr>
              <w:rPr>
                <w:rFonts w:cs="Arial"/>
                <w:bCs/>
                <w:sz w:val="8"/>
                <w:szCs w:val="8"/>
              </w:rPr>
            </w:pPr>
          </w:p>
        </w:tc>
        <w:tc>
          <w:tcPr>
            <w:tcW w:w="3848" w:type="pct"/>
            <w:gridSpan w:val="2"/>
            <w:shd w:val="clear" w:color="auto" w:fill="DAEEF3"/>
            <w:tcMar>
              <w:top w:w="0" w:type="dxa"/>
              <w:bottom w:w="0" w:type="dxa"/>
            </w:tcMar>
          </w:tcPr>
          <w:p w14:paraId="62225D70" w14:textId="77777777" w:rsidR="00801451" w:rsidRPr="000F19E1" w:rsidRDefault="00801451" w:rsidP="00801451">
            <w:pPr>
              <w:tabs>
                <w:tab w:val="center" w:pos="3152"/>
              </w:tabs>
              <w:rPr>
                <w:rFonts w:cs="Arial"/>
                <w:sz w:val="8"/>
                <w:szCs w:val="8"/>
                <w:lang w:val="en-US"/>
              </w:rPr>
            </w:pPr>
          </w:p>
        </w:tc>
      </w:tr>
    </w:tbl>
    <w:p w14:paraId="37EBC64C" w14:textId="427FC75B" w:rsidR="00E87799" w:rsidRDefault="00E87799">
      <w:r>
        <w:br w:type="page"/>
      </w:r>
    </w:p>
    <w:p w14:paraId="3B0FD636" w14:textId="77777777" w:rsidR="00570064" w:rsidRDefault="00570064"/>
    <w:p w14:paraId="5F41A769" w14:textId="77777777" w:rsidR="00F66949" w:rsidRDefault="00F66949"/>
    <w:tbl>
      <w:tblPr>
        <w:tblW w:w="5170" w:type="pct"/>
        <w:tblInd w:w="-176" w:type="dxa"/>
        <w:tblLayout w:type="fixed"/>
        <w:tblLook w:val="01E0" w:firstRow="1" w:lastRow="1" w:firstColumn="1" w:lastColumn="1" w:noHBand="0" w:noVBand="0"/>
      </w:tblPr>
      <w:tblGrid>
        <w:gridCol w:w="2431"/>
        <w:gridCol w:w="428"/>
        <w:gridCol w:w="194"/>
        <w:gridCol w:w="7498"/>
      </w:tblGrid>
      <w:tr w:rsidR="00F66949" w:rsidRPr="00862949" w14:paraId="44C589B3" w14:textId="77777777" w:rsidTr="00993B3F">
        <w:tc>
          <w:tcPr>
            <w:tcW w:w="5000" w:type="pct"/>
            <w:gridSpan w:val="4"/>
            <w:shd w:val="clear" w:color="auto" w:fill="0070C0"/>
            <w:tcMar>
              <w:top w:w="85" w:type="dxa"/>
              <w:bottom w:w="85" w:type="dxa"/>
            </w:tcMar>
            <w:vAlign w:val="bottom"/>
          </w:tcPr>
          <w:p w14:paraId="44BA93D1" w14:textId="77777777" w:rsidR="00F66949" w:rsidRPr="00862949" w:rsidRDefault="00F66949" w:rsidP="00993B3F">
            <w:pPr>
              <w:rPr>
                <w:rFonts w:cs="Arial"/>
                <w:color w:val="FFFFFF"/>
                <w:sz w:val="15"/>
                <w:szCs w:val="15"/>
              </w:rPr>
            </w:pPr>
            <w:r>
              <w:br w:type="page"/>
            </w:r>
            <w:r w:rsidRPr="00862949">
              <w:rPr>
                <w:rFonts w:cs="Arial"/>
                <w:b/>
                <w:bCs/>
                <w:iCs/>
                <w:color w:val="FFFFFF"/>
                <w:sz w:val="28"/>
                <w:szCs w:val="28"/>
                <w:lang w:val="en-US"/>
              </w:rPr>
              <w:t xml:space="preserve">Regulatory changes in the </w:t>
            </w:r>
            <w:r>
              <w:rPr>
                <w:rFonts w:cs="Arial"/>
                <w:b/>
                <w:bCs/>
                <w:iCs/>
                <w:color w:val="FFFFFF"/>
                <w:sz w:val="28"/>
                <w:szCs w:val="28"/>
                <w:lang w:val="en-US"/>
              </w:rPr>
              <w:t xml:space="preserve">UK or </w:t>
            </w:r>
            <w:r w:rsidRPr="00862949">
              <w:rPr>
                <w:rFonts w:cs="Arial"/>
                <w:b/>
                <w:bCs/>
                <w:iCs/>
                <w:color w:val="FFFFFF"/>
                <w:sz w:val="28"/>
                <w:szCs w:val="28"/>
                <w:lang w:val="en-US"/>
              </w:rPr>
              <w:t>EU</w:t>
            </w:r>
            <w:r w:rsidRPr="00862949">
              <w:rPr>
                <w:rFonts w:cs="Arial"/>
                <w:b/>
                <w:bCs/>
                <w:iCs/>
                <w:color w:val="FFFFFF"/>
                <w:sz w:val="28"/>
                <w:szCs w:val="28"/>
                <w:lang w:val="en-US"/>
              </w:rPr>
              <w:tab/>
            </w:r>
          </w:p>
        </w:tc>
      </w:tr>
      <w:tr w:rsidR="00F66949" w:rsidRPr="000F19E1" w14:paraId="212C50E5" w14:textId="77777777" w:rsidTr="00993B3F">
        <w:tc>
          <w:tcPr>
            <w:tcW w:w="1152" w:type="pct"/>
            <w:shd w:val="clear" w:color="auto" w:fill="DAEEF3"/>
            <w:tcMar>
              <w:top w:w="0" w:type="dxa"/>
              <w:bottom w:w="0" w:type="dxa"/>
            </w:tcMar>
          </w:tcPr>
          <w:p w14:paraId="69406A85" w14:textId="77777777" w:rsidR="00F66949" w:rsidRPr="000F19E1" w:rsidRDefault="00F66949" w:rsidP="00993B3F">
            <w:pPr>
              <w:rPr>
                <w:rFonts w:cs="Arial"/>
                <w:bCs/>
                <w:sz w:val="8"/>
                <w:szCs w:val="8"/>
              </w:rPr>
            </w:pPr>
          </w:p>
        </w:tc>
        <w:tc>
          <w:tcPr>
            <w:tcW w:w="3848" w:type="pct"/>
            <w:gridSpan w:val="3"/>
            <w:shd w:val="clear" w:color="auto" w:fill="DAEEF3"/>
            <w:tcMar>
              <w:top w:w="0" w:type="dxa"/>
              <w:bottom w:w="0" w:type="dxa"/>
            </w:tcMar>
          </w:tcPr>
          <w:p w14:paraId="67436FFE" w14:textId="77777777" w:rsidR="00F66949" w:rsidRPr="000F19E1" w:rsidRDefault="00F66949" w:rsidP="00993B3F">
            <w:pPr>
              <w:tabs>
                <w:tab w:val="center" w:pos="3152"/>
              </w:tabs>
              <w:rPr>
                <w:rFonts w:cs="Arial"/>
                <w:sz w:val="8"/>
                <w:szCs w:val="8"/>
                <w:lang w:val="en-US"/>
              </w:rPr>
            </w:pPr>
          </w:p>
        </w:tc>
      </w:tr>
      <w:tr w:rsidR="00F66949" w:rsidRPr="00433D3E" w14:paraId="6CEF24C7" w14:textId="77777777" w:rsidTr="00993B3F">
        <w:tc>
          <w:tcPr>
            <w:tcW w:w="5000" w:type="pct"/>
            <w:gridSpan w:val="4"/>
            <w:shd w:val="clear" w:color="auto" w:fill="008232"/>
            <w:tcMar>
              <w:top w:w="57" w:type="dxa"/>
              <w:bottom w:w="57" w:type="dxa"/>
            </w:tcMar>
          </w:tcPr>
          <w:p w14:paraId="3C283111" w14:textId="77777777" w:rsidR="00F66949" w:rsidRPr="00F66949" w:rsidRDefault="00F66949" w:rsidP="00993B3F">
            <w:pPr>
              <w:rPr>
                <w:rFonts w:cs="Arial"/>
                <w:noProof/>
                <w:color w:val="FFFFFF"/>
                <w:sz w:val="16"/>
                <w:szCs w:val="16"/>
              </w:rPr>
            </w:pPr>
            <w:r w:rsidRPr="00433D3E">
              <w:rPr>
                <w:rFonts w:cs="Arial"/>
                <w:b/>
                <w:bCs/>
                <w:i/>
                <w:iCs/>
                <w:color w:val="FFFFFF"/>
                <w:sz w:val="22"/>
                <w:szCs w:val="20"/>
                <w:lang w:val="en-US"/>
              </w:rPr>
              <w:t xml:space="preserve">Filed for approval in the </w:t>
            </w:r>
            <w:r>
              <w:rPr>
                <w:rFonts w:cs="Arial"/>
                <w:b/>
                <w:bCs/>
                <w:i/>
                <w:iCs/>
                <w:color w:val="FFFFFF"/>
                <w:sz w:val="22"/>
                <w:szCs w:val="20"/>
                <w:lang w:val="en-US"/>
              </w:rPr>
              <w:t xml:space="preserve">UK or </w:t>
            </w:r>
            <w:r w:rsidRPr="00433D3E">
              <w:rPr>
                <w:rFonts w:cs="Arial"/>
                <w:b/>
                <w:bCs/>
                <w:i/>
                <w:iCs/>
                <w:color w:val="FFFFFF"/>
                <w:sz w:val="22"/>
                <w:szCs w:val="20"/>
                <w:lang w:val="en-US"/>
              </w:rPr>
              <w:t>EU</w:t>
            </w:r>
            <w:r>
              <w:rPr>
                <w:rFonts w:cs="Arial"/>
                <w:b/>
                <w:bCs/>
                <w:i/>
                <w:iCs/>
                <w:color w:val="FFFFFF"/>
                <w:sz w:val="22"/>
                <w:szCs w:val="20"/>
                <w:lang w:val="en-US"/>
              </w:rPr>
              <w:t xml:space="preserve"> </w:t>
            </w:r>
            <w:r w:rsidRPr="00F66949">
              <w:rPr>
                <w:rFonts w:cs="Arial"/>
                <w:b/>
                <w:bCs/>
                <w:color w:val="FFFFFF"/>
                <w:sz w:val="16"/>
                <w:szCs w:val="14"/>
                <w:lang w:val="en-US"/>
              </w:rPr>
              <w:t>(continued)</w:t>
            </w:r>
          </w:p>
        </w:tc>
      </w:tr>
      <w:tr w:rsidR="00AB5EBC" w:rsidRPr="00A075A3" w14:paraId="205CD428" w14:textId="77777777" w:rsidTr="00993B3F">
        <w:tc>
          <w:tcPr>
            <w:tcW w:w="1447" w:type="pct"/>
            <w:gridSpan w:val="3"/>
            <w:shd w:val="clear" w:color="auto" w:fill="auto"/>
            <w:tcMar>
              <w:top w:w="57" w:type="dxa"/>
              <w:bottom w:w="57" w:type="dxa"/>
            </w:tcMar>
          </w:tcPr>
          <w:p w14:paraId="2D62CAB3" w14:textId="29F1AC72" w:rsidR="00AB5EBC" w:rsidRDefault="00AB5EBC" w:rsidP="00AB5EBC">
            <w:pPr>
              <w:rPr>
                <w:rFonts w:cs="Arial"/>
                <w:szCs w:val="19"/>
              </w:rPr>
            </w:pPr>
            <w:r>
              <w:rPr>
                <w:rFonts w:cs="Arial"/>
                <w:szCs w:val="19"/>
              </w:rPr>
              <w:t xml:space="preserve">Ensitrelvir </w:t>
            </w:r>
          </w:p>
        </w:tc>
        <w:tc>
          <w:tcPr>
            <w:tcW w:w="3553" w:type="pct"/>
            <w:shd w:val="clear" w:color="auto" w:fill="auto"/>
            <w:tcMar>
              <w:top w:w="57" w:type="dxa"/>
              <w:bottom w:w="57" w:type="dxa"/>
            </w:tcMar>
          </w:tcPr>
          <w:p w14:paraId="4206F7CA" w14:textId="65FFACF1" w:rsidR="00AB5EBC" w:rsidRDefault="00AB5EBC" w:rsidP="00AB5EBC">
            <w:pPr>
              <w:tabs>
                <w:tab w:val="center" w:pos="3152"/>
              </w:tabs>
              <w:rPr>
                <w:rFonts w:cs="Arial"/>
                <w:szCs w:val="19"/>
                <w:lang w:val="en-US"/>
              </w:rPr>
            </w:pPr>
            <w:r>
              <w:rPr>
                <w:rFonts w:cs="Arial"/>
                <w:szCs w:val="19"/>
                <w:lang w:val="en-US"/>
              </w:rPr>
              <w:t xml:space="preserve">Post-exposure prophylaxis of </w:t>
            </w:r>
            <w:r w:rsidRPr="00CD14F9">
              <w:rPr>
                <w:rFonts w:cs="Arial"/>
                <w:szCs w:val="19"/>
                <w:lang w:val="en-US"/>
              </w:rPr>
              <w:t xml:space="preserve">COVID-19 </w:t>
            </w:r>
            <w:r>
              <w:rPr>
                <w:rFonts w:cs="Arial"/>
                <w:szCs w:val="19"/>
                <w:lang w:val="en-US"/>
              </w:rPr>
              <w:t xml:space="preserve">in adults and children aged ≥12 years </w:t>
            </w:r>
            <w:r w:rsidRPr="00FA597F">
              <w:rPr>
                <w:rFonts w:cs="Arial"/>
                <w:sz w:val="16"/>
                <w:szCs w:val="16"/>
                <w:lang w:val="en-US"/>
              </w:rPr>
              <w:t>[EU] [new indication]</w:t>
            </w:r>
          </w:p>
        </w:tc>
      </w:tr>
      <w:tr w:rsidR="00AB5EBC" w:rsidRPr="00A075A3" w14:paraId="004FA64B" w14:textId="77777777" w:rsidTr="00993B3F">
        <w:tc>
          <w:tcPr>
            <w:tcW w:w="1447" w:type="pct"/>
            <w:gridSpan w:val="3"/>
            <w:shd w:val="clear" w:color="auto" w:fill="auto"/>
            <w:tcMar>
              <w:top w:w="57" w:type="dxa"/>
              <w:bottom w:w="57" w:type="dxa"/>
            </w:tcMar>
          </w:tcPr>
          <w:p w14:paraId="2443B8DB" w14:textId="21D9300E" w:rsidR="00AB5EBC" w:rsidRPr="00007B75" w:rsidRDefault="00AB5EBC" w:rsidP="00AB5EBC">
            <w:pPr>
              <w:rPr>
                <w:rFonts w:cs="Arial"/>
                <w:szCs w:val="19"/>
              </w:rPr>
            </w:pPr>
            <w:r w:rsidRPr="00007B75">
              <w:rPr>
                <w:rFonts w:cs="Arial"/>
                <w:szCs w:val="19"/>
              </w:rPr>
              <w:t>Gemtuzumab ozogamicin</w:t>
            </w:r>
            <w:r>
              <w:rPr>
                <w:rFonts w:cs="Arial"/>
                <w:szCs w:val="19"/>
              </w:rPr>
              <w:t xml:space="preserve"> (</w:t>
            </w:r>
            <w:r>
              <w:rPr>
                <w:rFonts w:cs="Arial"/>
                <w:i/>
                <w:iCs/>
                <w:szCs w:val="19"/>
              </w:rPr>
              <w:t>Mylotarg</w:t>
            </w:r>
            <w:r>
              <w:rPr>
                <w:rFonts w:cs="Arial"/>
                <w:szCs w:val="19"/>
              </w:rPr>
              <w:t>)</w:t>
            </w:r>
          </w:p>
        </w:tc>
        <w:tc>
          <w:tcPr>
            <w:tcW w:w="3553" w:type="pct"/>
            <w:shd w:val="clear" w:color="auto" w:fill="auto"/>
            <w:tcMar>
              <w:top w:w="57" w:type="dxa"/>
              <w:bottom w:w="57" w:type="dxa"/>
            </w:tcMar>
          </w:tcPr>
          <w:p w14:paraId="5517777C" w14:textId="6F8FC5A3" w:rsidR="00AB5EBC" w:rsidRPr="00A075A3" w:rsidRDefault="00AB5EBC" w:rsidP="00AB5EBC">
            <w:pPr>
              <w:tabs>
                <w:tab w:val="center" w:pos="3152"/>
              </w:tabs>
              <w:rPr>
                <w:rFonts w:cs="Arial"/>
                <w:szCs w:val="19"/>
                <w:lang w:val="en-US"/>
              </w:rPr>
            </w:pPr>
            <w:r w:rsidRPr="00222C72">
              <w:rPr>
                <w:rFonts w:cs="Arial"/>
                <w:szCs w:val="19"/>
                <w:lang w:val="en-US"/>
              </w:rPr>
              <w:t>Use in combination with mitoxantrone and cytarabine, for the treatment of paediatric patients aged 1</w:t>
            </w:r>
            <w:r>
              <w:rPr>
                <w:rFonts w:cs="Arial"/>
                <w:szCs w:val="19"/>
                <w:lang w:val="en-US"/>
              </w:rPr>
              <w:t>-17</w:t>
            </w:r>
            <w:r w:rsidRPr="00222C72">
              <w:rPr>
                <w:rFonts w:cs="Arial"/>
                <w:szCs w:val="19"/>
                <w:lang w:val="en-US"/>
              </w:rPr>
              <w:t xml:space="preserve"> years with newly diagnosed CD33-positive acute myeloid leukaemia, except acute promyelocytic leukaemia</w:t>
            </w:r>
            <w:r>
              <w:rPr>
                <w:rFonts w:cs="Arial"/>
                <w:szCs w:val="19"/>
                <w:lang w:val="en-US"/>
              </w:rPr>
              <w:t xml:space="preserve"> </w:t>
            </w:r>
            <w:r w:rsidRPr="00FA597F">
              <w:rPr>
                <w:rFonts w:cs="Arial"/>
                <w:sz w:val="16"/>
                <w:szCs w:val="16"/>
                <w:lang w:val="en-US"/>
              </w:rPr>
              <w:t>[EU] [new indication]</w:t>
            </w:r>
          </w:p>
        </w:tc>
      </w:tr>
      <w:tr w:rsidR="00FB4B0C" w:rsidRPr="00A075A3" w14:paraId="012CB7C5" w14:textId="77777777" w:rsidTr="00993B3F">
        <w:tc>
          <w:tcPr>
            <w:tcW w:w="1447" w:type="pct"/>
            <w:gridSpan w:val="3"/>
            <w:shd w:val="clear" w:color="auto" w:fill="auto"/>
            <w:tcMar>
              <w:top w:w="57" w:type="dxa"/>
              <w:bottom w:w="57" w:type="dxa"/>
            </w:tcMar>
          </w:tcPr>
          <w:p w14:paraId="23B418A8" w14:textId="160AAE44" w:rsidR="00FB4B0C" w:rsidRDefault="00FB4B0C" w:rsidP="00AB5EBC">
            <w:pPr>
              <w:rPr>
                <w:rFonts w:cs="Arial"/>
                <w:szCs w:val="19"/>
              </w:rPr>
            </w:pPr>
            <w:r w:rsidRPr="00FB4B0C">
              <w:rPr>
                <w:rFonts w:cs="Arial"/>
                <w:szCs w:val="19"/>
              </w:rPr>
              <w:t>Grass pollen vaccine</w:t>
            </w:r>
          </w:p>
        </w:tc>
        <w:tc>
          <w:tcPr>
            <w:tcW w:w="3553" w:type="pct"/>
            <w:shd w:val="clear" w:color="auto" w:fill="auto"/>
            <w:tcMar>
              <w:top w:w="57" w:type="dxa"/>
              <w:bottom w:w="57" w:type="dxa"/>
            </w:tcMar>
          </w:tcPr>
          <w:p w14:paraId="4F22B2A8" w14:textId="789135CD" w:rsidR="00FB4B0C" w:rsidRPr="000E3D17" w:rsidRDefault="004F2856" w:rsidP="00661CF1">
            <w:pPr>
              <w:tabs>
                <w:tab w:val="center" w:pos="3152"/>
              </w:tabs>
              <w:rPr>
                <w:rFonts w:cs="Arial"/>
                <w:szCs w:val="19"/>
                <w:lang w:val="en-US"/>
              </w:rPr>
            </w:pPr>
            <w:r>
              <w:rPr>
                <w:rFonts w:cs="Arial"/>
                <w:szCs w:val="19"/>
                <w:lang w:val="en-US"/>
              </w:rPr>
              <w:t>Seasonal a</w:t>
            </w:r>
            <w:r w:rsidR="00661CF1">
              <w:rPr>
                <w:rFonts w:cs="Arial"/>
                <w:szCs w:val="19"/>
                <w:lang w:val="en-US"/>
              </w:rPr>
              <w:t>l</w:t>
            </w:r>
            <w:r w:rsidRPr="004F2856">
              <w:rPr>
                <w:rFonts w:cs="Arial"/>
                <w:szCs w:val="19"/>
                <w:lang w:val="en-US"/>
              </w:rPr>
              <w:t>lergic rhinitis in adults</w:t>
            </w:r>
            <w:r w:rsidR="00661CF1">
              <w:rPr>
                <w:rFonts w:cs="Arial"/>
                <w:szCs w:val="19"/>
                <w:lang w:val="en-US"/>
              </w:rPr>
              <w:t xml:space="preserve"> </w:t>
            </w:r>
            <w:r w:rsidR="00661CF1" w:rsidRPr="00661CF1">
              <w:rPr>
                <w:rFonts w:cs="Arial"/>
                <w:sz w:val="16"/>
                <w:szCs w:val="16"/>
                <w:lang w:val="en-US"/>
              </w:rPr>
              <w:t>[EU]</w:t>
            </w:r>
          </w:p>
        </w:tc>
      </w:tr>
      <w:tr w:rsidR="00AB5EBC" w:rsidRPr="00A075A3" w14:paraId="203EE9AE" w14:textId="77777777" w:rsidTr="00993B3F">
        <w:tc>
          <w:tcPr>
            <w:tcW w:w="1447" w:type="pct"/>
            <w:gridSpan w:val="3"/>
            <w:shd w:val="clear" w:color="auto" w:fill="auto"/>
            <w:tcMar>
              <w:top w:w="57" w:type="dxa"/>
              <w:bottom w:w="57" w:type="dxa"/>
            </w:tcMar>
          </w:tcPr>
          <w:p w14:paraId="0AAB4159" w14:textId="77777777" w:rsidR="00AB5EBC" w:rsidRPr="00896AE9" w:rsidRDefault="00AB5EBC" w:rsidP="00AB5EBC">
            <w:pPr>
              <w:rPr>
                <w:rFonts w:cs="Arial"/>
                <w:szCs w:val="19"/>
              </w:rPr>
            </w:pPr>
            <w:r>
              <w:rPr>
                <w:rFonts w:cs="Arial"/>
                <w:szCs w:val="19"/>
              </w:rPr>
              <w:t>Levodop</w:t>
            </w:r>
            <w:r w:rsidRPr="0080652B">
              <w:rPr>
                <w:rFonts w:cs="Arial"/>
                <w:szCs w:val="19"/>
              </w:rPr>
              <w:t>a + carbidopa ER (</w:t>
            </w:r>
            <w:r w:rsidRPr="0080652B">
              <w:rPr>
                <w:rFonts w:cs="Arial"/>
                <w:i/>
                <w:iCs/>
                <w:szCs w:val="19"/>
              </w:rPr>
              <w:t>Crexont</w:t>
            </w:r>
            <w:r w:rsidRPr="0080652B">
              <w:rPr>
                <w:rFonts w:cs="Arial"/>
                <w:szCs w:val="19"/>
              </w:rPr>
              <w:t>)</w:t>
            </w:r>
          </w:p>
        </w:tc>
        <w:tc>
          <w:tcPr>
            <w:tcW w:w="3553" w:type="pct"/>
            <w:shd w:val="clear" w:color="auto" w:fill="auto"/>
            <w:tcMar>
              <w:top w:w="57" w:type="dxa"/>
              <w:bottom w:w="57" w:type="dxa"/>
            </w:tcMar>
          </w:tcPr>
          <w:p w14:paraId="66F6AC5A" w14:textId="77777777" w:rsidR="00AB5EBC" w:rsidRPr="00A075A3" w:rsidRDefault="00AB5EBC" w:rsidP="00AB5EBC">
            <w:pPr>
              <w:tabs>
                <w:tab w:val="center" w:pos="3152"/>
              </w:tabs>
              <w:rPr>
                <w:rFonts w:cs="Arial"/>
                <w:szCs w:val="19"/>
                <w:lang w:val="en-US"/>
              </w:rPr>
            </w:pPr>
            <w:r w:rsidRPr="000E3D17">
              <w:rPr>
                <w:rFonts w:cs="Arial"/>
                <w:szCs w:val="19"/>
                <w:lang w:val="en-US"/>
              </w:rPr>
              <w:t>Treatment of adults with Parkinson’s disease</w:t>
            </w:r>
            <w:r>
              <w:rPr>
                <w:rFonts w:cs="Arial"/>
                <w:szCs w:val="19"/>
                <w:lang w:val="en-US"/>
              </w:rPr>
              <w:t xml:space="preserve"> </w:t>
            </w:r>
            <w:r w:rsidRPr="00C63E3E">
              <w:rPr>
                <w:rFonts w:cs="Arial"/>
                <w:sz w:val="16"/>
                <w:szCs w:val="16"/>
                <w:lang w:val="en-US"/>
              </w:rPr>
              <w:t>[EU] [new extended-release formulation]</w:t>
            </w:r>
          </w:p>
        </w:tc>
      </w:tr>
      <w:tr w:rsidR="00AB5EBC" w:rsidRPr="00A075A3" w14:paraId="00263D33" w14:textId="77777777" w:rsidTr="00993B3F">
        <w:tc>
          <w:tcPr>
            <w:tcW w:w="1447" w:type="pct"/>
            <w:gridSpan w:val="3"/>
            <w:shd w:val="clear" w:color="auto" w:fill="auto"/>
            <w:tcMar>
              <w:top w:w="57" w:type="dxa"/>
              <w:bottom w:w="57" w:type="dxa"/>
            </w:tcMar>
          </w:tcPr>
          <w:p w14:paraId="28977F78" w14:textId="77777777" w:rsidR="00AB5EBC" w:rsidRPr="00CC3403" w:rsidRDefault="00AB5EBC" w:rsidP="00AB5EBC">
            <w:pPr>
              <w:rPr>
                <w:rFonts w:cs="Arial"/>
                <w:szCs w:val="19"/>
              </w:rPr>
            </w:pPr>
            <w:r>
              <w:rPr>
                <w:rFonts w:cs="Arial"/>
                <w:szCs w:val="19"/>
              </w:rPr>
              <w:t>Marstacimab (</w:t>
            </w:r>
            <w:r>
              <w:rPr>
                <w:rFonts w:cs="Arial"/>
                <w:i/>
                <w:iCs/>
                <w:szCs w:val="19"/>
              </w:rPr>
              <w:t>Hympavi</w:t>
            </w:r>
            <w:r>
              <w:rPr>
                <w:rFonts w:cs="Arial"/>
                <w:szCs w:val="19"/>
              </w:rPr>
              <w:t>)</w:t>
            </w:r>
          </w:p>
        </w:tc>
        <w:tc>
          <w:tcPr>
            <w:tcW w:w="3553" w:type="pct"/>
            <w:shd w:val="clear" w:color="auto" w:fill="auto"/>
            <w:tcMar>
              <w:top w:w="57" w:type="dxa"/>
              <w:bottom w:w="57" w:type="dxa"/>
            </w:tcMar>
          </w:tcPr>
          <w:p w14:paraId="5701EE77" w14:textId="77777777" w:rsidR="00AB5EBC" w:rsidRPr="00460B68" w:rsidRDefault="00AB5EBC" w:rsidP="00AB5EBC">
            <w:pPr>
              <w:tabs>
                <w:tab w:val="center" w:pos="3152"/>
              </w:tabs>
              <w:rPr>
                <w:rFonts w:cs="Arial"/>
                <w:szCs w:val="19"/>
                <w:lang w:val="en-US"/>
              </w:rPr>
            </w:pPr>
            <w:r>
              <w:rPr>
                <w:rFonts w:cs="Arial"/>
                <w:szCs w:val="19"/>
                <w:lang w:val="en-US"/>
              </w:rPr>
              <w:t>R</w:t>
            </w:r>
            <w:r w:rsidRPr="001930CC">
              <w:rPr>
                <w:rFonts w:cs="Arial"/>
                <w:szCs w:val="19"/>
                <w:lang w:val="en-US"/>
              </w:rPr>
              <w:t xml:space="preserve">outine prophylaxis of bleeding episodes in patients </w:t>
            </w:r>
            <w:r>
              <w:rPr>
                <w:rFonts w:cs="Arial"/>
                <w:szCs w:val="19"/>
                <w:lang w:val="en-US"/>
              </w:rPr>
              <w:t>aged ≥</w:t>
            </w:r>
            <w:r w:rsidRPr="001930CC">
              <w:rPr>
                <w:rFonts w:cs="Arial"/>
                <w:szCs w:val="19"/>
                <w:lang w:val="en-US"/>
              </w:rPr>
              <w:t>12 years with haemophilia A with factor VIII inhibitors or haemophilia B with factor IX inhibitors</w:t>
            </w:r>
            <w:r>
              <w:rPr>
                <w:rFonts w:cs="Arial"/>
                <w:szCs w:val="19"/>
                <w:lang w:val="en-US"/>
              </w:rPr>
              <w:t xml:space="preserve"> </w:t>
            </w:r>
            <w:r w:rsidRPr="00FA597F">
              <w:rPr>
                <w:rFonts w:cs="Arial"/>
                <w:sz w:val="16"/>
                <w:szCs w:val="16"/>
                <w:lang w:val="en-US"/>
              </w:rPr>
              <w:t>[EU] [new indication]</w:t>
            </w:r>
          </w:p>
        </w:tc>
      </w:tr>
      <w:tr w:rsidR="00AB5EBC" w:rsidRPr="00A075A3" w14:paraId="2FB4F4A1" w14:textId="77777777" w:rsidTr="00993B3F">
        <w:tc>
          <w:tcPr>
            <w:tcW w:w="1447" w:type="pct"/>
            <w:gridSpan w:val="3"/>
            <w:shd w:val="clear" w:color="auto" w:fill="auto"/>
            <w:tcMar>
              <w:top w:w="57" w:type="dxa"/>
              <w:bottom w:w="57" w:type="dxa"/>
            </w:tcMar>
          </w:tcPr>
          <w:p w14:paraId="56068B91" w14:textId="77777777" w:rsidR="00AB5EBC" w:rsidRDefault="00AB5EBC" w:rsidP="00AB5EBC">
            <w:pPr>
              <w:rPr>
                <w:rFonts w:cs="Arial"/>
                <w:szCs w:val="19"/>
              </w:rPr>
            </w:pPr>
            <w:r w:rsidRPr="005B4768">
              <w:rPr>
                <w:rFonts w:cs="Arial"/>
                <w:szCs w:val="19"/>
              </w:rPr>
              <w:t>Navepegritide</w:t>
            </w:r>
            <w:r>
              <w:rPr>
                <w:rFonts w:cs="Arial"/>
                <w:szCs w:val="19"/>
              </w:rPr>
              <w:t xml:space="preserve"> </w:t>
            </w:r>
          </w:p>
        </w:tc>
        <w:tc>
          <w:tcPr>
            <w:tcW w:w="3553" w:type="pct"/>
            <w:shd w:val="clear" w:color="auto" w:fill="auto"/>
            <w:tcMar>
              <w:top w:w="57" w:type="dxa"/>
              <w:bottom w:w="57" w:type="dxa"/>
            </w:tcMar>
          </w:tcPr>
          <w:p w14:paraId="542522CD" w14:textId="77777777" w:rsidR="00AB5EBC" w:rsidRPr="00C7199F" w:rsidRDefault="00AB5EBC" w:rsidP="00AB5EBC">
            <w:pPr>
              <w:tabs>
                <w:tab w:val="center" w:pos="3152"/>
              </w:tabs>
              <w:rPr>
                <w:rFonts w:cs="Arial"/>
                <w:szCs w:val="19"/>
                <w:lang w:val="en-US"/>
              </w:rPr>
            </w:pPr>
            <w:r w:rsidRPr="00A55F9D">
              <w:rPr>
                <w:rFonts w:cs="Arial"/>
                <w:szCs w:val="19"/>
                <w:lang w:val="en-US"/>
              </w:rPr>
              <w:t>Treatment of achondroplasia in children</w:t>
            </w:r>
            <w:r>
              <w:rPr>
                <w:rFonts w:cs="Arial"/>
                <w:szCs w:val="19"/>
                <w:lang w:val="en-US"/>
              </w:rPr>
              <w:t xml:space="preserve"> </w:t>
            </w:r>
            <w:r w:rsidRPr="00A55F9D">
              <w:rPr>
                <w:rFonts w:cs="Arial"/>
                <w:sz w:val="16"/>
                <w:szCs w:val="16"/>
                <w:lang w:val="en-US"/>
              </w:rPr>
              <w:t>[EU]</w:t>
            </w:r>
          </w:p>
        </w:tc>
      </w:tr>
      <w:tr w:rsidR="00AB5EBC" w:rsidRPr="00A075A3" w14:paraId="115B1FAC" w14:textId="77777777" w:rsidTr="00993B3F">
        <w:tc>
          <w:tcPr>
            <w:tcW w:w="1447" w:type="pct"/>
            <w:gridSpan w:val="3"/>
            <w:shd w:val="clear" w:color="auto" w:fill="auto"/>
            <w:tcMar>
              <w:top w:w="57" w:type="dxa"/>
              <w:bottom w:w="57" w:type="dxa"/>
            </w:tcMar>
          </w:tcPr>
          <w:p w14:paraId="4C199C61" w14:textId="77777777" w:rsidR="00AB5EBC" w:rsidRPr="00FA461D" w:rsidRDefault="00AB5EBC" w:rsidP="00AB5EBC">
            <w:pPr>
              <w:rPr>
                <w:rFonts w:cs="Arial"/>
                <w:i/>
                <w:iCs/>
                <w:szCs w:val="19"/>
              </w:rPr>
            </w:pPr>
            <w:r>
              <w:rPr>
                <w:rFonts w:cs="Arial"/>
                <w:szCs w:val="19"/>
              </w:rPr>
              <w:t>Nivolumab (</w:t>
            </w:r>
            <w:r w:rsidRPr="00FA461D">
              <w:rPr>
                <w:rFonts w:cs="Arial"/>
                <w:i/>
                <w:iCs/>
                <w:szCs w:val="19"/>
              </w:rPr>
              <w:t>Opdivo</w:t>
            </w:r>
            <w:r>
              <w:rPr>
                <w:rFonts w:cs="Arial"/>
                <w:szCs w:val="19"/>
              </w:rPr>
              <w:t>)</w:t>
            </w:r>
          </w:p>
        </w:tc>
        <w:tc>
          <w:tcPr>
            <w:tcW w:w="3553" w:type="pct"/>
            <w:shd w:val="clear" w:color="auto" w:fill="auto"/>
            <w:tcMar>
              <w:top w:w="57" w:type="dxa"/>
              <w:bottom w:w="57" w:type="dxa"/>
            </w:tcMar>
          </w:tcPr>
          <w:p w14:paraId="0D91118E" w14:textId="77777777" w:rsidR="00AB5EBC" w:rsidRDefault="00AB5EBC" w:rsidP="00AB5EBC">
            <w:pPr>
              <w:tabs>
                <w:tab w:val="center" w:pos="3152"/>
              </w:tabs>
              <w:rPr>
                <w:rFonts w:cs="Arial"/>
                <w:szCs w:val="19"/>
                <w:lang w:val="en-US"/>
              </w:rPr>
            </w:pPr>
            <w:r w:rsidRPr="00C7199F">
              <w:rPr>
                <w:rFonts w:cs="Arial"/>
                <w:szCs w:val="19"/>
                <w:lang w:val="en-US"/>
              </w:rPr>
              <w:t xml:space="preserve">Treatment of adults and adolescents </w:t>
            </w:r>
            <w:r>
              <w:rPr>
                <w:rFonts w:cs="Arial"/>
                <w:szCs w:val="19"/>
                <w:lang w:val="en-US"/>
              </w:rPr>
              <w:t>aged ≥</w:t>
            </w:r>
            <w:r w:rsidRPr="00C7199F">
              <w:rPr>
                <w:rFonts w:cs="Arial"/>
                <w:szCs w:val="19"/>
                <w:lang w:val="en-US"/>
              </w:rPr>
              <w:t xml:space="preserve">12 years with previously untreated Stage III or IV classical Hodgkin </w:t>
            </w:r>
            <w:r>
              <w:rPr>
                <w:rFonts w:cs="Arial"/>
                <w:szCs w:val="19"/>
                <w:lang w:val="en-US"/>
              </w:rPr>
              <w:t>l</w:t>
            </w:r>
            <w:r w:rsidRPr="00C7199F">
              <w:rPr>
                <w:rFonts w:cs="Arial"/>
                <w:szCs w:val="19"/>
                <w:lang w:val="en-US"/>
              </w:rPr>
              <w:t>ymphoma</w:t>
            </w:r>
            <w:r>
              <w:rPr>
                <w:rFonts w:cs="Arial"/>
                <w:szCs w:val="19"/>
                <w:lang w:val="en-US"/>
              </w:rPr>
              <w:t xml:space="preserve"> </w:t>
            </w:r>
            <w:r w:rsidRPr="00FA597F">
              <w:rPr>
                <w:rFonts w:cs="Arial"/>
                <w:sz w:val="16"/>
                <w:szCs w:val="16"/>
                <w:lang w:val="en-US"/>
              </w:rPr>
              <w:t>[EU] [new indication]</w:t>
            </w:r>
          </w:p>
        </w:tc>
      </w:tr>
      <w:tr w:rsidR="00AB5EBC" w:rsidRPr="00A075A3" w14:paraId="380E6D47" w14:textId="77777777" w:rsidTr="00993B3F">
        <w:tc>
          <w:tcPr>
            <w:tcW w:w="1447" w:type="pct"/>
            <w:gridSpan w:val="3"/>
            <w:shd w:val="clear" w:color="auto" w:fill="auto"/>
            <w:tcMar>
              <w:top w:w="57" w:type="dxa"/>
              <w:bottom w:w="57" w:type="dxa"/>
            </w:tcMar>
          </w:tcPr>
          <w:p w14:paraId="6FDACDF7" w14:textId="77777777" w:rsidR="00AB5EBC" w:rsidRPr="005F2BB6" w:rsidRDefault="00AB5EBC" w:rsidP="00AB5EBC">
            <w:pPr>
              <w:rPr>
                <w:rFonts w:cs="Arial"/>
                <w:szCs w:val="19"/>
              </w:rPr>
            </w:pPr>
            <w:r>
              <w:rPr>
                <w:rFonts w:cs="Arial"/>
                <w:szCs w:val="19"/>
              </w:rPr>
              <w:t>Pembrolizumab (</w:t>
            </w:r>
            <w:r>
              <w:rPr>
                <w:rFonts w:cs="Arial"/>
                <w:i/>
                <w:iCs/>
                <w:szCs w:val="19"/>
              </w:rPr>
              <w:t>Keytruda</w:t>
            </w:r>
            <w:r>
              <w:rPr>
                <w:rFonts w:cs="Arial"/>
                <w:szCs w:val="19"/>
              </w:rPr>
              <w:t>)</w:t>
            </w:r>
          </w:p>
        </w:tc>
        <w:tc>
          <w:tcPr>
            <w:tcW w:w="3553" w:type="pct"/>
            <w:shd w:val="clear" w:color="auto" w:fill="auto"/>
            <w:tcMar>
              <w:top w:w="57" w:type="dxa"/>
              <w:bottom w:w="57" w:type="dxa"/>
            </w:tcMar>
          </w:tcPr>
          <w:p w14:paraId="381C7DAF" w14:textId="77777777" w:rsidR="00AB5EBC" w:rsidRPr="007D08EA" w:rsidRDefault="00AB5EBC" w:rsidP="00AB5EBC">
            <w:pPr>
              <w:tabs>
                <w:tab w:val="center" w:pos="3152"/>
              </w:tabs>
              <w:rPr>
                <w:rFonts w:cs="Arial"/>
                <w:szCs w:val="19"/>
                <w:lang w:val="en-US"/>
              </w:rPr>
            </w:pPr>
            <w:r>
              <w:rPr>
                <w:rFonts w:cs="Arial"/>
                <w:szCs w:val="19"/>
                <w:lang w:val="en-US"/>
              </w:rPr>
              <w:t xml:space="preserve">Use </w:t>
            </w:r>
            <w:r w:rsidRPr="00990C77">
              <w:rPr>
                <w:rFonts w:cs="Arial"/>
                <w:szCs w:val="19"/>
                <w:lang w:val="en-US"/>
              </w:rPr>
              <w:t>as neoadjuvant treatment followed by adjuvant treatment after cystectomy for adults with muscle invasive bladder cancer who are ineligible for cisplati</w:t>
            </w:r>
            <w:r>
              <w:rPr>
                <w:rFonts w:cs="Arial"/>
                <w:szCs w:val="19"/>
                <w:lang w:val="en-US"/>
              </w:rPr>
              <w:t xml:space="preserve">n, with enfortumab vedotin </w:t>
            </w:r>
            <w:r w:rsidRPr="00990C77">
              <w:rPr>
                <w:rFonts w:cs="Arial"/>
                <w:sz w:val="16"/>
                <w:szCs w:val="16"/>
                <w:lang w:val="en-US"/>
              </w:rPr>
              <w:t>[UK]</w:t>
            </w:r>
          </w:p>
        </w:tc>
      </w:tr>
      <w:tr w:rsidR="00AB5EBC" w:rsidRPr="00A075A3" w14:paraId="28CF30B7" w14:textId="77777777" w:rsidTr="00993B3F">
        <w:tc>
          <w:tcPr>
            <w:tcW w:w="1447" w:type="pct"/>
            <w:gridSpan w:val="3"/>
            <w:shd w:val="clear" w:color="auto" w:fill="auto"/>
            <w:tcMar>
              <w:top w:w="57" w:type="dxa"/>
              <w:bottom w:w="57" w:type="dxa"/>
            </w:tcMar>
          </w:tcPr>
          <w:p w14:paraId="1C831A4E" w14:textId="77777777" w:rsidR="00AB5EBC" w:rsidRPr="00A62FAE" w:rsidRDefault="00AB5EBC" w:rsidP="00AB5EBC">
            <w:pPr>
              <w:rPr>
                <w:rFonts w:cs="Arial"/>
                <w:szCs w:val="19"/>
              </w:rPr>
            </w:pPr>
            <w:r>
              <w:rPr>
                <w:rFonts w:cs="Arial"/>
                <w:szCs w:val="19"/>
              </w:rPr>
              <w:t>Ponatinib (</w:t>
            </w:r>
            <w:r>
              <w:rPr>
                <w:rFonts w:cs="Arial"/>
                <w:i/>
                <w:iCs/>
                <w:szCs w:val="19"/>
              </w:rPr>
              <w:t>Iclusig</w:t>
            </w:r>
            <w:r>
              <w:rPr>
                <w:rFonts w:cs="Arial"/>
                <w:szCs w:val="19"/>
              </w:rPr>
              <w:t>)</w:t>
            </w:r>
          </w:p>
        </w:tc>
        <w:tc>
          <w:tcPr>
            <w:tcW w:w="3553" w:type="pct"/>
            <w:shd w:val="clear" w:color="auto" w:fill="auto"/>
            <w:tcMar>
              <w:top w:w="57" w:type="dxa"/>
              <w:bottom w:w="57" w:type="dxa"/>
            </w:tcMar>
          </w:tcPr>
          <w:p w14:paraId="6C94F02F" w14:textId="77777777" w:rsidR="00AB5EBC" w:rsidRPr="00C7199F" w:rsidRDefault="00AB5EBC" w:rsidP="00AB5EBC">
            <w:pPr>
              <w:tabs>
                <w:tab w:val="center" w:pos="3152"/>
              </w:tabs>
              <w:rPr>
                <w:rFonts w:cs="Arial"/>
                <w:szCs w:val="19"/>
                <w:lang w:val="en-US"/>
              </w:rPr>
            </w:pPr>
            <w:r w:rsidRPr="007D08EA">
              <w:rPr>
                <w:rFonts w:cs="Arial"/>
                <w:szCs w:val="19"/>
                <w:lang w:val="en-US"/>
              </w:rPr>
              <w:t xml:space="preserve">Treatment of paediatric patients aged </w:t>
            </w:r>
            <w:r>
              <w:rPr>
                <w:rFonts w:cs="Arial"/>
                <w:szCs w:val="19"/>
                <w:lang w:val="en-US"/>
              </w:rPr>
              <w:t>≥</w:t>
            </w:r>
            <w:r w:rsidRPr="007D08EA">
              <w:rPr>
                <w:rFonts w:cs="Arial"/>
                <w:szCs w:val="19"/>
                <w:lang w:val="en-US"/>
              </w:rPr>
              <w:t>6 years</w:t>
            </w:r>
            <w:r>
              <w:rPr>
                <w:rFonts w:cs="Arial"/>
                <w:szCs w:val="19"/>
                <w:lang w:val="en-US"/>
              </w:rPr>
              <w:t xml:space="preserve"> </w:t>
            </w:r>
            <w:r w:rsidRPr="007D08EA">
              <w:rPr>
                <w:rFonts w:cs="Arial"/>
                <w:szCs w:val="19"/>
                <w:lang w:val="en-US"/>
              </w:rPr>
              <w:t>with chronic phase chronic myeloid leukaemia who are resistant or intolerant to at least one tyrosine kinase inhibitor</w:t>
            </w:r>
            <w:r>
              <w:rPr>
                <w:rFonts w:cs="Arial"/>
                <w:szCs w:val="19"/>
                <w:lang w:val="en-US"/>
              </w:rPr>
              <w:t xml:space="preserve"> </w:t>
            </w:r>
            <w:r w:rsidRPr="00FA597F">
              <w:rPr>
                <w:rFonts w:cs="Arial"/>
                <w:sz w:val="16"/>
                <w:szCs w:val="16"/>
                <w:lang w:val="en-US"/>
              </w:rPr>
              <w:t>[EU] [new indication</w:t>
            </w:r>
            <w:r>
              <w:rPr>
                <w:rFonts w:cs="Arial"/>
                <w:sz w:val="16"/>
                <w:szCs w:val="16"/>
                <w:lang w:val="en-US"/>
              </w:rPr>
              <w:t xml:space="preserve"> and new 5mg capsule formulation</w:t>
            </w:r>
            <w:r w:rsidRPr="00FA597F">
              <w:rPr>
                <w:rFonts w:cs="Arial"/>
                <w:sz w:val="16"/>
                <w:szCs w:val="16"/>
                <w:lang w:val="en-US"/>
              </w:rPr>
              <w:t>]</w:t>
            </w:r>
          </w:p>
        </w:tc>
      </w:tr>
      <w:tr w:rsidR="00AB5EBC" w:rsidRPr="00A075A3" w14:paraId="4392832E" w14:textId="77777777" w:rsidTr="00993B3F">
        <w:tc>
          <w:tcPr>
            <w:tcW w:w="1447" w:type="pct"/>
            <w:gridSpan w:val="3"/>
            <w:shd w:val="clear" w:color="auto" w:fill="auto"/>
            <w:tcMar>
              <w:top w:w="57" w:type="dxa"/>
              <w:bottom w:w="57" w:type="dxa"/>
            </w:tcMar>
          </w:tcPr>
          <w:p w14:paraId="2F8C96DA" w14:textId="77777777" w:rsidR="00AB5EBC" w:rsidRPr="00D05624" w:rsidRDefault="00AB5EBC" w:rsidP="00AB5EBC">
            <w:pPr>
              <w:rPr>
                <w:rFonts w:cs="Arial"/>
                <w:szCs w:val="19"/>
              </w:rPr>
            </w:pPr>
            <w:r w:rsidRPr="00AD6432">
              <w:rPr>
                <w:rFonts w:cs="Arial"/>
                <w:szCs w:val="19"/>
              </w:rPr>
              <w:t>Povorcitinib</w:t>
            </w:r>
            <w:r>
              <w:rPr>
                <w:rFonts w:cs="Arial"/>
                <w:szCs w:val="19"/>
              </w:rPr>
              <w:t xml:space="preserve"> </w:t>
            </w:r>
          </w:p>
        </w:tc>
        <w:tc>
          <w:tcPr>
            <w:tcW w:w="3553" w:type="pct"/>
            <w:shd w:val="clear" w:color="auto" w:fill="auto"/>
            <w:tcMar>
              <w:top w:w="57" w:type="dxa"/>
              <w:bottom w:w="57" w:type="dxa"/>
            </w:tcMar>
          </w:tcPr>
          <w:p w14:paraId="3F83EFC7" w14:textId="77777777" w:rsidR="00AB5EBC" w:rsidRDefault="00AB5EBC" w:rsidP="00AB5EBC">
            <w:pPr>
              <w:tabs>
                <w:tab w:val="center" w:pos="3152"/>
              </w:tabs>
              <w:rPr>
                <w:rFonts w:cs="Arial"/>
                <w:szCs w:val="19"/>
                <w:lang w:val="en-US"/>
              </w:rPr>
            </w:pPr>
            <w:r w:rsidRPr="00082A61">
              <w:rPr>
                <w:rFonts w:cs="Arial"/>
                <w:szCs w:val="19"/>
                <w:lang w:val="en-US"/>
              </w:rPr>
              <w:t>Treatment of active moderate to severe hidradenitis suppurativa (acne inversa) in adults</w:t>
            </w:r>
            <w:r>
              <w:rPr>
                <w:rFonts w:cs="Arial"/>
                <w:szCs w:val="19"/>
                <w:lang w:val="en-US"/>
              </w:rPr>
              <w:t xml:space="preserve"> </w:t>
            </w:r>
            <w:r w:rsidRPr="00082A61">
              <w:rPr>
                <w:rFonts w:cs="Arial"/>
                <w:sz w:val="16"/>
                <w:szCs w:val="16"/>
                <w:lang w:val="en-US"/>
              </w:rPr>
              <w:t>[EU]</w:t>
            </w:r>
          </w:p>
        </w:tc>
      </w:tr>
      <w:tr w:rsidR="00AB5EBC" w:rsidRPr="00A075A3" w14:paraId="2E7B3237" w14:textId="77777777" w:rsidTr="00993B3F">
        <w:tc>
          <w:tcPr>
            <w:tcW w:w="1447" w:type="pct"/>
            <w:gridSpan w:val="3"/>
            <w:shd w:val="clear" w:color="auto" w:fill="auto"/>
            <w:tcMar>
              <w:top w:w="57" w:type="dxa"/>
              <w:bottom w:w="57" w:type="dxa"/>
            </w:tcMar>
          </w:tcPr>
          <w:p w14:paraId="66BF460A" w14:textId="77777777" w:rsidR="00AB5EBC" w:rsidRDefault="00AB5EBC" w:rsidP="00AB5EBC">
            <w:pPr>
              <w:rPr>
                <w:rFonts w:cs="Arial"/>
                <w:szCs w:val="19"/>
              </w:rPr>
            </w:pPr>
            <w:r w:rsidRPr="00D05624">
              <w:rPr>
                <w:rFonts w:cs="Arial"/>
                <w:szCs w:val="19"/>
              </w:rPr>
              <w:t>Relacorilant</w:t>
            </w:r>
            <w:r>
              <w:rPr>
                <w:rFonts w:cs="Arial"/>
                <w:szCs w:val="19"/>
              </w:rPr>
              <w:t xml:space="preserve"> </w:t>
            </w:r>
          </w:p>
        </w:tc>
        <w:tc>
          <w:tcPr>
            <w:tcW w:w="3553" w:type="pct"/>
            <w:shd w:val="clear" w:color="auto" w:fill="auto"/>
            <w:tcMar>
              <w:top w:w="57" w:type="dxa"/>
              <w:bottom w:w="57" w:type="dxa"/>
            </w:tcMar>
          </w:tcPr>
          <w:p w14:paraId="52EECEAA" w14:textId="77777777" w:rsidR="00AB5EBC" w:rsidRPr="00460B68" w:rsidRDefault="00AB5EBC" w:rsidP="00AB5EBC">
            <w:pPr>
              <w:tabs>
                <w:tab w:val="center" w:pos="3152"/>
              </w:tabs>
              <w:rPr>
                <w:rFonts w:cs="Arial"/>
                <w:szCs w:val="19"/>
                <w:lang w:val="en-US"/>
              </w:rPr>
            </w:pPr>
            <w:r>
              <w:rPr>
                <w:rFonts w:cs="Arial"/>
                <w:szCs w:val="19"/>
                <w:lang w:val="en-US"/>
              </w:rPr>
              <w:t xml:space="preserve">Treatment of advanced </w:t>
            </w:r>
            <w:r w:rsidRPr="006020D0">
              <w:rPr>
                <w:rFonts w:cs="Arial"/>
                <w:szCs w:val="19"/>
                <w:lang w:val="en-US"/>
              </w:rPr>
              <w:t>platinum-resistant ovarian cancer</w:t>
            </w:r>
            <w:r>
              <w:rPr>
                <w:rFonts w:cs="Arial"/>
                <w:szCs w:val="19"/>
                <w:lang w:val="en-US"/>
              </w:rPr>
              <w:t xml:space="preserve"> in adults </w:t>
            </w:r>
            <w:r w:rsidRPr="006020D0">
              <w:rPr>
                <w:rFonts w:cs="Arial"/>
                <w:sz w:val="16"/>
                <w:szCs w:val="16"/>
                <w:lang w:val="en-US"/>
              </w:rPr>
              <w:t>[EU]</w:t>
            </w:r>
          </w:p>
        </w:tc>
      </w:tr>
      <w:tr w:rsidR="00AB5EBC" w:rsidRPr="00A075A3" w14:paraId="727E930A" w14:textId="77777777" w:rsidTr="00993B3F">
        <w:tc>
          <w:tcPr>
            <w:tcW w:w="1447" w:type="pct"/>
            <w:gridSpan w:val="3"/>
            <w:shd w:val="clear" w:color="auto" w:fill="auto"/>
            <w:tcMar>
              <w:top w:w="57" w:type="dxa"/>
              <w:bottom w:w="57" w:type="dxa"/>
            </w:tcMar>
          </w:tcPr>
          <w:p w14:paraId="47423562" w14:textId="77777777" w:rsidR="00AB5EBC" w:rsidRPr="00884914" w:rsidRDefault="00AB5EBC" w:rsidP="00AB5EBC">
            <w:pPr>
              <w:rPr>
                <w:rFonts w:cs="Arial"/>
                <w:i/>
                <w:iCs/>
                <w:szCs w:val="19"/>
              </w:rPr>
            </w:pPr>
            <w:r>
              <w:rPr>
                <w:rFonts w:cs="Arial"/>
                <w:szCs w:val="19"/>
              </w:rPr>
              <w:t>Risankizumab (</w:t>
            </w:r>
            <w:r w:rsidRPr="00884914">
              <w:rPr>
                <w:rFonts w:cs="Arial"/>
                <w:i/>
                <w:iCs/>
                <w:szCs w:val="19"/>
              </w:rPr>
              <w:t>Skyrizi</w:t>
            </w:r>
            <w:r>
              <w:rPr>
                <w:rFonts w:cs="Arial"/>
                <w:szCs w:val="19"/>
              </w:rPr>
              <w:t>)</w:t>
            </w:r>
          </w:p>
        </w:tc>
        <w:tc>
          <w:tcPr>
            <w:tcW w:w="3553" w:type="pct"/>
            <w:shd w:val="clear" w:color="auto" w:fill="auto"/>
            <w:tcMar>
              <w:top w:w="57" w:type="dxa"/>
              <w:bottom w:w="57" w:type="dxa"/>
            </w:tcMar>
          </w:tcPr>
          <w:p w14:paraId="5206BC6E" w14:textId="77777777" w:rsidR="00AB5EBC" w:rsidRDefault="00AB5EBC" w:rsidP="00AB5EBC">
            <w:pPr>
              <w:tabs>
                <w:tab w:val="center" w:pos="3152"/>
              </w:tabs>
              <w:rPr>
                <w:rFonts w:cs="Arial"/>
                <w:sz w:val="16"/>
                <w:szCs w:val="16"/>
                <w:lang w:val="en-US"/>
              </w:rPr>
            </w:pPr>
            <w:r w:rsidRPr="00507135">
              <w:rPr>
                <w:rFonts w:cs="Arial"/>
                <w:szCs w:val="19"/>
                <w:lang w:val="en-US"/>
              </w:rPr>
              <w:t xml:space="preserve">Treatment of paediatric plaque psoriasis </w:t>
            </w:r>
            <w:r>
              <w:rPr>
                <w:rFonts w:cs="Arial"/>
                <w:szCs w:val="19"/>
                <w:lang w:val="en-US"/>
              </w:rPr>
              <w:t xml:space="preserve">in patients aged </w:t>
            </w:r>
            <w:r w:rsidRPr="00507135">
              <w:rPr>
                <w:rFonts w:cs="Arial"/>
                <w:szCs w:val="19"/>
                <w:lang w:val="en-US"/>
              </w:rPr>
              <w:t>6</w:t>
            </w:r>
            <w:r>
              <w:rPr>
                <w:rFonts w:cs="Arial"/>
                <w:szCs w:val="19"/>
                <w:lang w:val="en-US"/>
              </w:rPr>
              <w:t>-17</w:t>
            </w:r>
            <w:r w:rsidRPr="00507135">
              <w:rPr>
                <w:rFonts w:cs="Arial"/>
                <w:szCs w:val="19"/>
                <w:lang w:val="en-US"/>
              </w:rPr>
              <w:t xml:space="preserve"> years</w:t>
            </w:r>
            <w:r>
              <w:rPr>
                <w:rFonts w:cs="Arial"/>
                <w:szCs w:val="19"/>
                <w:lang w:val="en-US"/>
              </w:rPr>
              <w:t xml:space="preserve"> </w:t>
            </w:r>
            <w:r w:rsidRPr="00ED2277">
              <w:rPr>
                <w:rFonts w:cs="Arial"/>
                <w:sz w:val="16"/>
                <w:szCs w:val="16"/>
                <w:lang w:val="en-US"/>
              </w:rPr>
              <w:t xml:space="preserve">[EU] </w:t>
            </w:r>
          </w:p>
          <w:p w14:paraId="67779AE8" w14:textId="77777777" w:rsidR="00AB5EBC" w:rsidRPr="00460B68" w:rsidRDefault="00AB5EBC" w:rsidP="00AB5EBC">
            <w:pPr>
              <w:tabs>
                <w:tab w:val="center" w:pos="3152"/>
              </w:tabs>
              <w:rPr>
                <w:rFonts w:cs="Arial"/>
                <w:szCs w:val="19"/>
                <w:lang w:val="en-US"/>
              </w:rPr>
            </w:pPr>
            <w:r w:rsidRPr="00ED2277">
              <w:rPr>
                <w:rFonts w:cs="Arial"/>
                <w:sz w:val="16"/>
                <w:szCs w:val="16"/>
                <w:lang w:val="en-US"/>
              </w:rPr>
              <w:t>[new indication and new 55mg solution for injection formulation]</w:t>
            </w:r>
          </w:p>
        </w:tc>
      </w:tr>
      <w:tr w:rsidR="00AB5EBC" w:rsidRPr="00A075A3" w14:paraId="316E5C0F" w14:textId="77777777" w:rsidTr="00993B3F">
        <w:tc>
          <w:tcPr>
            <w:tcW w:w="1447" w:type="pct"/>
            <w:gridSpan w:val="3"/>
            <w:shd w:val="clear" w:color="auto" w:fill="auto"/>
            <w:tcMar>
              <w:top w:w="57" w:type="dxa"/>
              <w:bottom w:w="57" w:type="dxa"/>
            </w:tcMar>
          </w:tcPr>
          <w:p w14:paraId="7CDBE1E3" w14:textId="77777777" w:rsidR="00AB5EBC" w:rsidRPr="002446F5" w:rsidRDefault="00AB5EBC" w:rsidP="00AB5EBC">
            <w:pPr>
              <w:rPr>
                <w:rFonts w:cs="Arial"/>
                <w:szCs w:val="19"/>
              </w:rPr>
            </w:pPr>
            <w:r>
              <w:rPr>
                <w:rFonts w:cs="Arial"/>
                <w:szCs w:val="19"/>
              </w:rPr>
              <w:t xml:space="preserve">Semaglutide </w:t>
            </w:r>
          </w:p>
        </w:tc>
        <w:tc>
          <w:tcPr>
            <w:tcW w:w="3553" w:type="pct"/>
            <w:shd w:val="clear" w:color="auto" w:fill="auto"/>
            <w:tcMar>
              <w:top w:w="57" w:type="dxa"/>
              <w:bottom w:w="57" w:type="dxa"/>
            </w:tcMar>
          </w:tcPr>
          <w:p w14:paraId="1A75BA07" w14:textId="77777777" w:rsidR="00AB5EBC" w:rsidRPr="003F02CB" w:rsidRDefault="00AB5EBC" w:rsidP="00AB5EBC">
            <w:pPr>
              <w:tabs>
                <w:tab w:val="center" w:pos="3152"/>
              </w:tabs>
              <w:rPr>
                <w:rFonts w:cs="Arial"/>
                <w:szCs w:val="19"/>
                <w:lang w:val="en-US"/>
              </w:rPr>
            </w:pPr>
            <w:r w:rsidRPr="00733E6A">
              <w:rPr>
                <w:rFonts w:cs="Arial"/>
                <w:szCs w:val="19"/>
                <w:lang w:val="en-US"/>
              </w:rPr>
              <w:t xml:space="preserve">Obesity </w:t>
            </w:r>
            <w:r w:rsidRPr="00733E6A">
              <w:rPr>
                <w:rFonts w:cs="Arial"/>
                <w:szCs w:val="19"/>
                <w:lang w:val="en-US"/>
              </w:rPr>
              <w:tab/>
              <w:t>or overweight, for weight management in adults with at least one weight-related comorbidity</w:t>
            </w:r>
            <w:r>
              <w:rPr>
                <w:rFonts w:cs="Arial"/>
                <w:szCs w:val="19"/>
                <w:lang w:val="en-US"/>
              </w:rPr>
              <w:t>,</w:t>
            </w:r>
            <w:r w:rsidRPr="00733E6A">
              <w:rPr>
                <w:rFonts w:cs="Arial"/>
                <w:szCs w:val="19"/>
                <w:lang w:val="en-US"/>
              </w:rPr>
              <w:t xml:space="preserve"> as an adjunct to a reduced-calorie diet and increased physical activity </w:t>
            </w:r>
            <w:r w:rsidRPr="00733E6A">
              <w:rPr>
                <w:rFonts w:cs="Arial"/>
                <w:sz w:val="16"/>
                <w:szCs w:val="16"/>
                <w:lang w:val="en-US"/>
              </w:rPr>
              <w:t>[EU] [new oral formulation]</w:t>
            </w:r>
          </w:p>
        </w:tc>
      </w:tr>
      <w:tr w:rsidR="00AB5EBC" w:rsidRPr="00A075A3" w14:paraId="0D79B8F2" w14:textId="77777777" w:rsidTr="00993B3F">
        <w:tc>
          <w:tcPr>
            <w:tcW w:w="1447" w:type="pct"/>
            <w:gridSpan w:val="3"/>
            <w:shd w:val="clear" w:color="auto" w:fill="auto"/>
            <w:tcMar>
              <w:top w:w="57" w:type="dxa"/>
              <w:bottom w:w="57" w:type="dxa"/>
            </w:tcMar>
          </w:tcPr>
          <w:p w14:paraId="71CE8A28" w14:textId="77777777" w:rsidR="00AB5EBC" w:rsidRDefault="00AB5EBC" w:rsidP="00AB5EBC">
            <w:pPr>
              <w:rPr>
                <w:rFonts w:cs="Arial"/>
                <w:szCs w:val="19"/>
              </w:rPr>
            </w:pPr>
            <w:r w:rsidRPr="00E551C7">
              <w:rPr>
                <w:rFonts w:cs="Arial"/>
                <w:szCs w:val="19"/>
              </w:rPr>
              <w:t>Tarlatamab (</w:t>
            </w:r>
            <w:r w:rsidRPr="00E551C7">
              <w:rPr>
                <w:rFonts w:cs="Arial"/>
                <w:i/>
                <w:iCs/>
                <w:szCs w:val="19"/>
              </w:rPr>
              <w:t>Imdylltra</w:t>
            </w:r>
            <w:r>
              <w:rPr>
                <w:rFonts w:cs="Arial"/>
                <w:szCs w:val="19"/>
              </w:rPr>
              <w:t>)</w:t>
            </w:r>
          </w:p>
        </w:tc>
        <w:tc>
          <w:tcPr>
            <w:tcW w:w="3553" w:type="pct"/>
            <w:shd w:val="clear" w:color="auto" w:fill="auto"/>
            <w:tcMar>
              <w:top w:w="57" w:type="dxa"/>
              <w:bottom w:w="57" w:type="dxa"/>
            </w:tcMar>
          </w:tcPr>
          <w:p w14:paraId="1B971127" w14:textId="77777777" w:rsidR="00AB5EBC" w:rsidRPr="00272180" w:rsidRDefault="00AB5EBC" w:rsidP="00AB5EBC">
            <w:pPr>
              <w:tabs>
                <w:tab w:val="center" w:pos="3152"/>
              </w:tabs>
              <w:rPr>
                <w:rFonts w:cs="Arial"/>
                <w:szCs w:val="19"/>
                <w:lang w:val="en-US"/>
              </w:rPr>
            </w:pPr>
            <w:r>
              <w:rPr>
                <w:rFonts w:cs="Arial"/>
                <w:szCs w:val="19"/>
                <w:lang w:val="en-US"/>
              </w:rPr>
              <w:t>Treatment of</w:t>
            </w:r>
            <w:r w:rsidRPr="00E766C2">
              <w:rPr>
                <w:rFonts w:cs="Arial"/>
                <w:szCs w:val="19"/>
                <w:lang w:val="en-US"/>
              </w:rPr>
              <w:t xml:space="preserve"> extensive stage small cell lung cancer </w:t>
            </w:r>
            <w:r>
              <w:rPr>
                <w:rFonts w:cs="Arial"/>
                <w:szCs w:val="19"/>
                <w:lang w:val="en-US"/>
              </w:rPr>
              <w:t>in adults</w:t>
            </w:r>
            <w:r w:rsidRPr="00E766C2">
              <w:rPr>
                <w:rFonts w:cs="Arial"/>
                <w:szCs w:val="19"/>
                <w:lang w:val="en-US"/>
              </w:rPr>
              <w:t xml:space="preserve"> with disease progression on or after platinum-based chemotherapy</w:t>
            </w:r>
            <w:r>
              <w:rPr>
                <w:rFonts w:cs="Arial"/>
                <w:szCs w:val="19"/>
                <w:lang w:val="en-US"/>
              </w:rPr>
              <w:t xml:space="preserve"> </w:t>
            </w:r>
            <w:r w:rsidRPr="00DA63D2">
              <w:rPr>
                <w:rFonts w:cs="Arial"/>
                <w:sz w:val="16"/>
                <w:szCs w:val="16"/>
                <w:lang w:val="en-US"/>
              </w:rPr>
              <w:t>[UK] [new indication]</w:t>
            </w:r>
          </w:p>
        </w:tc>
      </w:tr>
      <w:tr w:rsidR="00AB5EBC" w:rsidRPr="000F19E1" w14:paraId="2AFEFFA3" w14:textId="77777777" w:rsidTr="00993B3F">
        <w:tc>
          <w:tcPr>
            <w:tcW w:w="1447" w:type="pct"/>
            <w:gridSpan w:val="3"/>
            <w:shd w:val="clear" w:color="auto" w:fill="auto"/>
            <w:tcMar>
              <w:top w:w="0" w:type="dxa"/>
              <w:bottom w:w="0" w:type="dxa"/>
            </w:tcMar>
          </w:tcPr>
          <w:p w14:paraId="11B8E319" w14:textId="77777777" w:rsidR="00AB5EBC" w:rsidRPr="000F19E1" w:rsidRDefault="00AB5EBC" w:rsidP="00AB5EBC">
            <w:pPr>
              <w:rPr>
                <w:rFonts w:cs="Arial"/>
                <w:bCs/>
                <w:sz w:val="8"/>
                <w:szCs w:val="8"/>
              </w:rPr>
            </w:pPr>
          </w:p>
        </w:tc>
        <w:tc>
          <w:tcPr>
            <w:tcW w:w="3553" w:type="pct"/>
            <w:shd w:val="clear" w:color="auto" w:fill="auto"/>
            <w:tcMar>
              <w:top w:w="0" w:type="dxa"/>
              <w:bottom w:w="0" w:type="dxa"/>
            </w:tcMar>
          </w:tcPr>
          <w:p w14:paraId="7CECFEFC" w14:textId="77777777" w:rsidR="00AB5EBC" w:rsidRPr="000F19E1" w:rsidRDefault="00AB5EBC" w:rsidP="00AB5EBC">
            <w:pPr>
              <w:tabs>
                <w:tab w:val="center" w:pos="3152"/>
              </w:tabs>
              <w:rPr>
                <w:rFonts w:cs="Arial"/>
                <w:sz w:val="8"/>
                <w:szCs w:val="8"/>
                <w:lang w:val="en-US"/>
              </w:rPr>
            </w:pPr>
          </w:p>
        </w:tc>
      </w:tr>
      <w:tr w:rsidR="00AB5EBC" w:rsidRPr="000F19E1" w14:paraId="38C820FA" w14:textId="77777777" w:rsidTr="00993B3F">
        <w:tc>
          <w:tcPr>
            <w:tcW w:w="1152" w:type="pct"/>
            <w:shd w:val="clear" w:color="auto" w:fill="DAEEF3"/>
            <w:tcMar>
              <w:top w:w="0" w:type="dxa"/>
              <w:bottom w:w="0" w:type="dxa"/>
            </w:tcMar>
          </w:tcPr>
          <w:p w14:paraId="13A1CDE2" w14:textId="77777777" w:rsidR="00AB5EBC" w:rsidRPr="000F19E1" w:rsidRDefault="00AB5EBC" w:rsidP="00AB5EBC">
            <w:pPr>
              <w:rPr>
                <w:rFonts w:cs="Arial"/>
                <w:bCs/>
                <w:sz w:val="8"/>
                <w:szCs w:val="8"/>
              </w:rPr>
            </w:pPr>
          </w:p>
        </w:tc>
        <w:tc>
          <w:tcPr>
            <w:tcW w:w="3848" w:type="pct"/>
            <w:gridSpan w:val="3"/>
            <w:shd w:val="clear" w:color="auto" w:fill="DAEEF3"/>
            <w:tcMar>
              <w:top w:w="0" w:type="dxa"/>
              <w:bottom w:w="0" w:type="dxa"/>
            </w:tcMar>
          </w:tcPr>
          <w:p w14:paraId="41641D62" w14:textId="77777777" w:rsidR="00AB5EBC" w:rsidRPr="000F19E1" w:rsidRDefault="00AB5EBC" w:rsidP="00AB5EBC">
            <w:pPr>
              <w:tabs>
                <w:tab w:val="center" w:pos="3152"/>
              </w:tabs>
              <w:rPr>
                <w:rFonts w:cs="Arial"/>
                <w:sz w:val="8"/>
                <w:szCs w:val="8"/>
                <w:lang w:val="en-US"/>
              </w:rPr>
            </w:pPr>
          </w:p>
        </w:tc>
      </w:tr>
      <w:tr w:rsidR="00AB5EBC" w:rsidRPr="00126CCD" w14:paraId="2933B363" w14:textId="77777777" w:rsidTr="00993B3F">
        <w:tc>
          <w:tcPr>
            <w:tcW w:w="5000" w:type="pct"/>
            <w:gridSpan w:val="4"/>
            <w:shd w:val="clear" w:color="auto" w:fill="008232"/>
            <w:tcMar>
              <w:top w:w="57" w:type="dxa"/>
              <w:bottom w:w="57" w:type="dxa"/>
            </w:tcMar>
          </w:tcPr>
          <w:p w14:paraId="70A5F1A1" w14:textId="77777777" w:rsidR="00AB5EBC" w:rsidRPr="004642B4" w:rsidRDefault="00AB5EBC" w:rsidP="00AB5EBC">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p>
        </w:tc>
      </w:tr>
      <w:tr w:rsidR="001647B8" w14:paraId="3C2860EA" w14:textId="77777777" w:rsidTr="00993B3F">
        <w:tc>
          <w:tcPr>
            <w:tcW w:w="1447" w:type="pct"/>
            <w:gridSpan w:val="3"/>
            <w:shd w:val="clear" w:color="auto" w:fill="auto"/>
            <w:tcMar>
              <w:top w:w="57" w:type="dxa"/>
              <w:bottom w:w="57" w:type="dxa"/>
            </w:tcMar>
          </w:tcPr>
          <w:p w14:paraId="4938F7CB" w14:textId="4A635B10" w:rsidR="001647B8" w:rsidRPr="00760A52" w:rsidRDefault="00301C99" w:rsidP="00AB5EBC">
            <w:pPr>
              <w:rPr>
                <w:rFonts w:cs="Arial"/>
                <w:szCs w:val="19"/>
              </w:rPr>
            </w:pPr>
            <w:r>
              <w:rPr>
                <w:rFonts w:cs="Arial"/>
                <w:szCs w:val="19"/>
              </w:rPr>
              <w:t>Atezolizumab (</w:t>
            </w:r>
            <w:r w:rsidRPr="00301C99">
              <w:rPr>
                <w:rFonts w:cs="Arial"/>
                <w:i/>
                <w:iCs/>
                <w:szCs w:val="19"/>
              </w:rPr>
              <w:t>Tecentriq</w:t>
            </w:r>
            <w:r>
              <w:rPr>
                <w:rFonts w:cs="Arial"/>
                <w:szCs w:val="19"/>
              </w:rPr>
              <w:t>)</w:t>
            </w:r>
          </w:p>
        </w:tc>
        <w:tc>
          <w:tcPr>
            <w:tcW w:w="3553" w:type="pct"/>
            <w:shd w:val="clear" w:color="auto" w:fill="auto"/>
            <w:tcMar>
              <w:top w:w="57" w:type="dxa"/>
              <w:bottom w:w="57" w:type="dxa"/>
            </w:tcMar>
          </w:tcPr>
          <w:p w14:paraId="2987071B" w14:textId="7A36CA03" w:rsidR="001647B8" w:rsidRDefault="00C1049E" w:rsidP="00AB5EBC">
            <w:pPr>
              <w:tabs>
                <w:tab w:val="center" w:pos="3152"/>
              </w:tabs>
              <w:rPr>
                <w:rFonts w:cs="Arial"/>
                <w:szCs w:val="19"/>
                <w:lang w:val="en-US"/>
              </w:rPr>
            </w:pPr>
            <w:r w:rsidRPr="00C1049E">
              <w:rPr>
                <w:rFonts w:cs="Arial"/>
                <w:szCs w:val="19"/>
                <w:lang w:val="en-US"/>
              </w:rPr>
              <w:t>Early, locally advanced, triple negative</w:t>
            </w:r>
            <w:r>
              <w:rPr>
                <w:rFonts w:cs="Arial"/>
                <w:szCs w:val="19"/>
                <w:lang w:val="en-US"/>
              </w:rPr>
              <w:t xml:space="preserve"> breast cancer</w:t>
            </w:r>
            <w:r w:rsidRPr="00C1049E">
              <w:rPr>
                <w:rFonts w:cs="Arial"/>
                <w:szCs w:val="19"/>
                <w:lang w:val="en-US"/>
              </w:rPr>
              <w:t xml:space="preserve"> in adults</w:t>
            </w:r>
            <w:r>
              <w:rPr>
                <w:rFonts w:cs="Arial"/>
                <w:szCs w:val="19"/>
                <w:lang w:val="en-US"/>
              </w:rPr>
              <w:t>,</w:t>
            </w:r>
            <w:r w:rsidRPr="00C1049E">
              <w:rPr>
                <w:rFonts w:cs="Arial"/>
                <w:szCs w:val="19"/>
                <w:lang w:val="en-US"/>
              </w:rPr>
              <w:t xml:space="preserve"> neoadjuvant therapy with chemotherapy, followed by adjuvant atezolizumab monotherapy</w:t>
            </w:r>
            <w:r>
              <w:rPr>
                <w:rFonts w:cs="Arial"/>
                <w:szCs w:val="19"/>
                <w:lang w:val="en-US"/>
              </w:rPr>
              <w:t xml:space="preserve"> – development discontinued (</w:t>
            </w:r>
            <w:r w:rsidR="005062E0">
              <w:rPr>
                <w:rFonts w:cs="Arial"/>
                <w:szCs w:val="19"/>
                <w:lang w:val="en-US"/>
              </w:rPr>
              <w:t>lack of efficacy</w:t>
            </w:r>
            <w:r>
              <w:rPr>
                <w:rFonts w:cs="Arial"/>
                <w:szCs w:val="19"/>
                <w:lang w:val="en-US"/>
              </w:rPr>
              <w:t>)</w:t>
            </w:r>
          </w:p>
        </w:tc>
      </w:tr>
      <w:tr w:rsidR="00C96C52" w14:paraId="03C4F918" w14:textId="77777777" w:rsidTr="00993B3F">
        <w:tc>
          <w:tcPr>
            <w:tcW w:w="1447" w:type="pct"/>
            <w:gridSpan w:val="3"/>
            <w:shd w:val="clear" w:color="auto" w:fill="auto"/>
            <w:tcMar>
              <w:top w:w="57" w:type="dxa"/>
              <w:bottom w:w="57" w:type="dxa"/>
            </w:tcMar>
          </w:tcPr>
          <w:p w14:paraId="1EB4E14A" w14:textId="4865B37A" w:rsidR="00C96C52" w:rsidRPr="00C96C52" w:rsidRDefault="00C96C52" w:rsidP="00AB5EBC">
            <w:pPr>
              <w:rPr>
                <w:rFonts w:cs="Arial"/>
                <w:szCs w:val="19"/>
              </w:rPr>
            </w:pPr>
            <w:r>
              <w:rPr>
                <w:rFonts w:cs="Arial"/>
                <w:szCs w:val="19"/>
              </w:rPr>
              <w:t>Atezolizumab (</w:t>
            </w:r>
            <w:r>
              <w:rPr>
                <w:rFonts w:cs="Arial"/>
                <w:i/>
                <w:iCs/>
                <w:szCs w:val="19"/>
              </w:rPr>
              <w:t>Tecentriq</w:t>
            </w:r>
            <w:r>
              <w:rPr>
                <w:rFonts w:cs="Arial"/>
                <w:szCs w:val="19"/>
              </w:rPr>
              <w:t>)</w:t>
            </w:r>
          </w:p>
        </w:tc>
        <w:tc>
          <w:tcPr>
            <w:tcW w:w="3553" w:type="pct"/>
            <w:shd w:val="clear" w:color="auto" w:fill="auto"/>
            <w:tcMar>
              <w:top w:w="57" w:type="dxa"/>
              <w:bottom w:w="57" w:type="dxa"/>
            </w:tcMar>
          </w:tcPr>
          <w:p w14:paraId="1C33A170" w14:textId="3BD76C4B" w:rsidR="00C96C52" w:rsidRPr="00CF7859" w:rsidRDefault="00641B96" w:rsidP="00AB5EBC">
            <w:pPr>
              <w:tabs>
                <w:tab w:val="center" w:pos="3152"/>
              </w:tabs>
              <w:rPr>
                <w:rFonts w:cs="Arial"/>
                <w:szCs w:val="19"/>
                <w:lang w:val="en-US"/>
              </w:rPr>
            </w:pPr>
            <w:r w:rsidRPr="00641B96">
              <w:rPr>
                <w:rFonts w:cs="Arial"/>
                <w:szCs w:val="19"/>
                <w:lang w:val="en-US"/>
              </w:rPr>
              <w:t xml:space="preserve">High-risk muscle-invasive </w:t>
            </w:r>
            <w:r>
              <w:rPr>
                <w:rFonts w:cs="Arial"/>
                <w:szCs w:val="19"/>
                <w:lang w:val="en-US"/>
              </w:rPr>
              <w:t>bladder cancer</w:t>
            </w:r>
            <w:r w:rsidRPr="00641B96">
              <w:rPr>
                <w:rFonts w:cs="Arial"/>
                <w:szCs w:val="19"/>
                <w:lang w:val="en-US"/>
              </w:rPr>
              <w:t>, ctDNA-positive, in adults</w:t>
            </w:r>
            <w:r>
              <w:rPr>
                <w:rFonts w:cs="Arial"/>
                <w:szCs w:val="19"/>
                <w:lang w:val="en-US"/>
              </w:rPr>
              <w:t>,</w:t>
            </w:r>
            <w:r w:rsidRPr="00641B96">
              <w:rPr>
                <w:rFonts w:cs="Arial"/>
                <w:szCs w:val="19"/>
                <w:lang w:val="en-US"/>
              </w:rPr>
              <w:t xml:space="preserve"> adjuvant monotherapy</w:t>
            </w:r>
            <w:r>
              <w:rPr>
                <w:rFonts w:cs="Arial"/>
                <w:szCs w:val="19"/>
                <w:lang w:val="en-US"/>
              </w:rPr>
              <w:t xml:space="preserve"> – UK de</w:t>
            </w:r>
            <w:r w:rsidR="00647644">
              <w:rPr>
                <w:rFonts w:cs="Arial"/>
                <w:szCs w:val="19"/>
                <w:lang w:val="en-US"/>
              </w:rPr>
              <w:t>velopment discontinued (company decision)</w:t>
            </w:r>
          </w:p>
        </w:tc>
      </w:tr>
      <w:tr w:rsidR="00AB5EBC" w14:paraId="61B3215B" w14:textId="77777777" w:rsidTr="00993B3F">
        <w:tc>
          <w:tcPr>
            <w:tcW w:w="1447" w:type="pct"/>
            <w:gridSpan w:val="3"/>
            <w:shd w:val="clear" w:color="auto" w:fill="auto"/>
            <w:tcMar>
              <w:top w:w="57" w:type="dxa"/>
              <w:bottom w:w="57" w:type="dxa"/>
            </w:tcMar>
          </w:tcPr>
          <w:p w14:paraId="3F75A738" w14:textId="413937F6" w:rsidR="00AB5EBC" w:rsidRDefault="00301C99" w:rsidP="00AB5EBC">
            <w:pPr>
              <w:rPr>
                <w:rFonts w:cs="Arial"/>
                <w:szCs w:val="19"/>
              </w:rPr>
            </w:pPr>
            <w:r w:rsidRPr="001647B8">
              <w:rPr>
                <w:rFonts w:cs="Arial"/>
                <w:szCs w:val="19"/>
              </w:rPr>
              <w:t>Atezolizumab (</w:t>
            </w:r>
            <w:r w:rsidRPr="001647B8">
              <w:rPr>
                <w:rFonts w:cs="Arial"/>
                <w:i/>
                <w:iCs/>
                <w:szCs w:val="19"/>
              </w:rPr>
              <w:t>Tecentriq</w:t>
            </w:r>
            <w:r w:rsidRPr="001647B8">
              <w:rPr>
                <w:rFonts w:cs="Arial"/>
                <w:szCs w:val="19"/>
              </w:rPr>
              <w:t>)</w:t>
            </w:r>
          </w:p>
        </w:tc>
        <w:tc>
          <w:tcPr>
            <w:tcW w:w="3553" w:type="pct"/>
            <w:shd w:val="clear" w:color="auto" w:fill="auto"/>
            <w:tcMar>
              <w:top w:w="57" w:type="dxa"/>
              <w:bottom w:w="57" w:type="dxa"/>
            </w:tcMar>
          </w:tcPr>
          <w:p w14:paraId="1F9CE969" w14:textId="186B4A26" w:rsidR="00AB5EBC" w:rsidRPr="00C05FAF" w:rsidRDefault="00301C99" w:rsidP="00AB5EBC">
            <w:pPr>
              <w:tabs>
                <w:tab w:val="center" w:pos="3152"/>
              </w:tabs>
              <w:rPr>
                <w:rFonts w:cs="Arial"/>
                <w:szCs w:val="19"/>
                <w:lang w:val="en-US"/>
              </w:rPr>
            </w:pPr>
            <w:r w:rsidRPr="00CF7859">
              <w:rPr>
                <w:rFonts w:cs="Arial"/>
                <w:szCs w:val="19"/>
                <w:lang w:val="en-US"/>
              </w:rPr>
              <w:t xml:space="preserve">High-risk non-muscle-invasive </w:t>
            </w:r>
            <w:r>
              <w:rPr>
                <w:rFonts w:cs="Arial"/>
                <w:szCs w:val="19"/>
                <w:lang w:val="en-US"/>
              </w:rPr>
              <w:t>bladder cancer</w:t>
            </w:r>
            <w:r w:rsidRPr="00CF7859">
              <w:rPr>
                <w:rFonts w:cs="Arial"/>
                <w:szCs w:val="19"/>
                <w:lang w:val="en-US"/>
              </w:rPr>
              <w:t xml:space="preserve"> in adults</w:t>
            </w:r>
            <w:r>
              <w:rPr>
                <w:rFonts w:cs="Arial"/>
                <w:szCs w:val="19"/>
                <w:lang w:val="en-US"/>
              </w:rPr>
              <w:t>,</w:t>
            </w:r>
            <w:r w:rsidRPr="00CF7859">
              <w:rPr>
                <w:rFonts w:cs="Arial"/>
                <w:szCs w:val="19"/>
                <w:lang w:val="en-US"/>
              </w:rPr>
              <w:t xml:space="preserve"> neoadjuvant therapy with BCG</w:t>
            </w:r>
            <w:r>
              <w:rPr>
                <w:rFonts w:cs="Arial"/>
                <w:szCs w:val="19"/>
                <w:lang w:val="en-US"/>
              </w:rPr>
              <w:t xml:space="preserve"> – development discontinued (lack of efficacy)</w:t>
            </w:r>
          </w:p>
        </w:tc>
      </w:tr>
      <w:tr w:rsidR="00DB7F03" w14:paraId="4A831D2D" w14:textId="77777777" w:rsidTr="00993B3F">
        <w:tc>
          <w:tcPr>
            <w:tcW w:w="1447" w:type="pct"/>
            <w:gridSpan w:val="3"/>
            <w:shd w:val="clear" w:color="auto" w:fill="auto"/>
            <w:tcMar>
              <w:top w:w="57" w:type="dxa"/>
              <w:bottom w:w="57" w:type="dxa"/>
            </w:tcMar>
          </w:tcPr>
          <w:p w14:paraId="30139373" w14:textId="4206B8DC" w:rsidR="00DB7F03" w:rsidRPr="00780EAB" w:rsidRDefault="00DB7F03" w:rsidP="00DB7F03">
            <w:pPr>
              <w:rPr>
                <w:rFonts w:cs="Arial"/>
                <w:szCs w:val="19"/>
              </w:rPr>
            </w:pPr>
            <w:r w:rsidRPr="00760A52">
              <w:rPr>
                <w:rFonts w:cs="Arial"/>
                <w:szCs w:val="19"/>
              </w:rPr>
              <w:t>Bemarituzumab</w:t>
            </w:r>
            <w:r>
              <w:rPr>
                <w:rFonts w:cs="Arial"/>
                <w:szCs w:val="19"/>
              </w:rPr>
              <w:t xml:space="preserve"> </w:t>
            </w:r>
          </w:p>
        </w:tc>
        <w:tc>
          <w:tcPr>
            <w:tcW w:w="3553" w:type="pct"/>
            <w:shd w:val="clear" w:color="auto" w:fill="auto"/>
            <w:tcMar>
              <w:top w:w="57" w:type="dxa"/>
              <w:bottom w:w="57" w:type="dxa"/>
            </w:tcMar>
          </w:tcPr>
          <w:p w14:paraId="7A0C7220" w14:textId="5DFEC37C" w:rsidR="00DB7F03" w:rsidRPr="0041467B" w:rsidRDefault="00DB7F03" w:rsidP="00DB7F03">
            <w:pPr>
              <w:tabs>
                <w:tab w:val="center" w:pos="3152"/>
              </w:tabs>
              <w:rPr>
                <w:rFonts w:cs="Arial"/>
                <w:szCs w:val="19"/>
                <w:lang w:val="en-US"/>
              </w:rPr>
            </w:pPr>
            <w:r>
              <w:rPr>
                <w:rFonts w:cs="Arial"/>
                <w:szCs w:val="19"/>
                <w:lang w:val="en-US"/>
              </w:rPr>
              <w:t>Advanced g</w:t>
            </w:r>
            <w:r w:rsidRPr="00F03BCF">
              <w:rPr>
                <w:rFonts w:cs="Arial"/>
                <w:szCs w:val="19"/>
                <w:lang w:val="en-US"/>
              </w:rPr>
              <w:t>astric or gastro-oesophageal junction adenocarcinoma, HER2-negative, FGFR2b-positive, in adults</w:t>
            </w:r>
            <w:r>
              <w:rPr>
                <w:rFonts w:cs="Arial"/>
                <w:szCs w:val="19"/>
                <w:lang w:val="en-US"/>
              </w:rPr>
              <w:t>,</w:t>
            </w:r>
            <w:r w:rsidRPr="00F03BCF">
              <w:rPr>
                <w:rFonts w:cs="Arial"/>
                <w:szCs w:val="19"/>
                <w:lang w:val="en-US"/>
              </w:rPr>
              <w:t xml:space="preserve"> first-line with chemotherapy and nivolumab</w:t>
            </w:r>
            <w:r>
              <w:rPr>
                <w:rFonts w:cs="Arial"/>
                <w:szCs w:val="19"/>
                <w:lang w:val="en-US"/>
              </w:rPr>
              <w:t xml:space="preserve"> – development discontinued (lack of efficacy)</w:t>
            </w:r>
          </w:p>
        </w:tc>
      </w:tr>
      <w:tr w:rsidR="00801451" w14:paraId="20739B2B" w14:textId="77777777" w:rsidTr="00993B3F">
        <w:tc>
          <w:tcPr>
            <w:tcW w:w="1447" w:type="pct"/>
            <w:gridSpan w:val="3"/>
            <w:shd w:val="clear" w:color="auto" w:fill="auto"/>
            <w:tcMar>
              <w:top w:w="57" w:type="dxa"/>
              <w:bottom w:w="57" w:type="dxa"/>
            </w:tcMar>
          </w:tcPr>
          <w:p w14:paraId="3E876D6A" w14:textId="5E46203D" w:rsidR="00801451" w:rsidRPr="00760A52" w:rsidRDefault="00801451" w:rsidP="00801451">
            <w:pPr>
              <w:rPr>
                <w:rFonts w:cs="Arial"/>
                <w:szCs w:val="19"/>
              </w:rPr>
            </w:pPr>
            <w:r>
              <w:rPr>
                <w:rFonts w:cs="Arial"/>
                <w:szCs w:val="19"/>
              </w:rPr>
              <w:t xml:space="preserve">Bemcentinib </w:t>
            </w:r>
          </w:p>
        </w:tc>
        <w:tc>
          <w:tcPr>
            <w:tcW w:w="3553" w:type="pct"/>
            <w:shd w:val="clear" w:color="auto" w:fill="auto"/>
            <w:tcMar>
              <w:top w:w="57" w:type="dxa"/>
              <w:bottom w:w="57" w:type="dxa"/>
            </w:tcMar>
          </w:tcPr>
          <w:p w14:paraId="6C7D5D5D" w14:textId="434FBB1C" w:rsidR="00801451" w:rsidRDefault="00801451" w:rsidP="00801451">
            <w:pPr>
              <w:tabs>
                <w:tab w:val="center" w:pos="3152"/>
              </w:tabs>
              <w:rPr>
                <w:rFonts w:cs="Arial"/>
                <w:szCs w:val="19"/>
                <w:lang w:val="en-US"/>
              </w:rPr>
            </w:pPr>
            <w:r>
              <w:rPr>
                <w:rFonts w:cs="Arial"/>
                <w:szCs w:val="19"/>
                <w:lang w:val="en-US"/>
              </w:rPr>
              <w:t>Relapsed a</w:t>
            </w:r>
            <w:r w:rsidRPr="00856266">
              <w:rPr>
                <w:rFonts w:cs="Arial"/>
                <w:szCs w:val="19"/>
                <w:lang w:val="en-US"/>
              </w:rPr>
              <w:t xml:space="preserve">cute myeloid leukaemia </w:t>
            </w:r>
            <w:r>
              <w:rPr>
                <w:rFonts w:cs="Arial"/>
                <w:szCs w:val="19"/>
                <w:lang w:val="en-US"/>
              </w:rPr>
              <w:t>in adults</w:t>
            </w:r>
            <w:r w:rsidRPr="00856266">
              <w:rPr>
                <w:rFonts w:cs="Arial"/>
                <w:szCs w:val="19"/>
                <w:lang w:val="en-US"/>
              </w:rPr>
              <w:t xml:space="preserve"> unsuitable for intensive chemotherapy, with low-dose cytarabine</w:t>
            </w:r>
            <w:r>
              <w:rPr>
                <w:rFonts w:cs="Arial"/>
                <w:szCs w:val="19"/>
                <w:lang w:val="en-US"/>
              </w:rPr>
              <w:t xml:space="preserve"> – development discontinued (company decision)</w:t>
            </w:r>
          </w:p>
        </w:tc>
      </w:tr>
      <w:tr w:rsidR="00801451" w:rsidRPr="000F19E1" w14:paraId="02C45A13" w14:textId="77777777" w:rsidTr="00993B3F">
        <w:tc>
          <w:tcPr>
            <w:tcW w:w="1447" w:type="pct"/>
            <w:gridSpan w:val="3"/>
            <w:shd w:val="clear" w:color="auto" w:fill="auto"/>
            <w:tcMar>
              <w:top w:w="0" w:type="dxa"/>
              <w:bottom w:w="0" w:type="dxa"/>
            </w:tcMar>
          </w:tcPr>
          <w:p w14:paraId="7E33830D" w14:textId="77777777" w:rsidR="00801451" w:rsidRPr="000F19E1" w:rsidRDefault="00801451" w:rsidP="00801451">
            <w:pPr>
              <w:rPr>
                <w:rFonts w:cs="Arial"/>
                <w:bCs/>
                <w:sz w:val="8"/>
                <w:szCs w:val="8"/>
              </w:rPr>
            </w:pPr>
          </w:p>
        </w:tc>
        <w:tc>
          <w:tcPr>
            <w:tcW w:w="3553" w:type="pct"/>
            <w:shd w:val="clear" w:color="auto" w:fill="auto"/>
            <w:tcMar>
              <w:top w:w="0" w:type="dxa"/>
              <w:bottom w:w="0" w:type="dxa"/>
            </w:tcMar>
          </w:tcPr>
          <w:p w14:paraId="19378A61" w14:textId="77777777" w:rsidR="00801451" w:rsidRPr="000F19E1" w:rsidRDefault="00801451" w:rsidP="00801451">
            <w:pPr>
              <w:tabs>
                <w:tab w:val="center" w:pos="3152"/>
              </w:tabs>
              <w:rPr>
                <w:rFonts w:cs="Arial"/>
                <w:sz w:val="8"/>
                <w:szCs w:val="8"/>
                <w:lang w:val="en-US"/>
              </w:rPr>
            </w:pPr>
          </w:p>
        </w:tc>
      </w:tr>
      <w:tr w:rsidR="00801451" w:rsidRPr="000F19E1" w14:paraId="265BB79C" w14:textId="77777777" w:rsidTr="00993B3F">
        <w:tc>
          <w:tcPr>
            <w:tcW w:w="1355" w:type="pct"/>
            <w:gridSpan w:val="2"/>
            <w:shd w:val="clear" w:color="auto" w:fill="DAEEF3"/>
            <w:tcMar>
              <w:top w:w="0" w:type="dxa"/>
              <w:bottom w:w="0" w:type="dxa"/>
            </w:tcMar>
          </w:tcPr>
          <w:p w14:paraId="41C02C2C" w14:textId="77777777" w:rsidR="00801451" w:rsidRPr="000F19E1" w:rsidRDefault="00801451" w:rsidP="00801451">
            <w:pPr>
              <w:rPr>
                <w:rFonts w:cs="Arial"/>
                <w:bCs/>
                <w:sz w:val="8"/>
                <w:szCs w:val="8"/>
              </w:rPr>
            </w:pPr>
          </w:p>
        </w:tc>
        <w:tc>
          <w:tcPr>
            <w:tcW w:w="3645" w:type="pct"/>
            <w:gridSpan w:val="2"/>
            <w:shd w:val="clear" w:color="auto" w:fill="DAEEF3"/>
            <w:tcMar>
              <w:top w:w="0" w:type="dxa"/>
              <w:bottom w:w="0" w:type="dxa"/>
            </w:tcMar>
          </w:tcPr>
          <w:p w14:paraId="046B6058" w14:textId="77777777" w:rsidR="00801451" w:rsidRPr="000F19E1" w:rsidRDefault="00801451" w:rsidP="00801451">
            <w:pPr>
              <w:tabs>
                <w:tab w:val="center" w:pos="3152"/>
              </w:tabs>
              <w:rPr>
                <w:rFonts w:cs="Arial"/>
                <w:sz w:val="8"/>
                <w:szCs w:val="8"/>
                <w:lang w:val="en-US"/>
              </w:rPr>
            </w:pPr>
          </w:p>
        </w:tc>
      </w:tr>
    </w:tbl>
    <w:p w14:paraId="44F04F94" w14:textId="77777777" w:rsidR="00E87799" w:rsidRDefault="00E87799"/>
    <w:p w14:paraId="0E469479" w14:textId="77777777" w:rsidR="00F66949" w:rsidRDefault="00F66949"/>
    <w:p w14:paraId="2DF0A126" w14:textId="77777777" w:rsidR="00F66949" w:rsidRDefault="00F66949"/>
    <w:p w14:paraId="74B1609D" w14:textId="77777777" w:rsidR="00801451" w:rsidRDefault="00801451"/>
    <w:p w14:paraId="0DA01F35" w14:textId="77777777" w:rsidR="001647B8" w:rsidRDefault="001647B8"/>
    <w:tbl>
      <w:tblPr>
        <w:tblW w:w="5170" w:type="pct"/>
        <w:tblInd w:w="-176" w:type="dxa"/>
        <w:tblLayout w:type="fixed"/>
        <w:tblLook w:val="01E0" w:firstRow="1" w:lastRow="1" w:firstColumn="1" w:lastColumn="1" w:noHBand="0" w:noVBand="0"/>
      </w:tblPr>
      <w:tblGrid>
        <w:gridCol w:w="2431"/>
        <w:gridCol w:w="428"/>
        <w:gridCol w:w="194"/>
        <w:gridCol w:w="7498"/>
      </w:tblGrid>
      <w:tr w:rsidR="0021490D" w:rsidRPr="00862949" w14:paraId="6514E272" w14:textId="77777777" w:rsidTr="00D6452A">
        <w:tc>
          <w:tcPr>
            <w:tcW w:w="5000" w:type="pct"/>
            <w:gridSpan w:val="4"/>
            <w:shd w:val="clear" w:color="auto" w:fill="0070C0"/>
            <w:tcMar>
              <w:top w:w="85" w:type="dxa"/>
              <w:bottom w:w="85" w:type="dxa"/>
            </w:tcMar>
            <w:vAlign w:val="bottom"/>
          </w:tcPr>
          <w:p w14:paraId="4B570984" w14:textId="0499E05C" w:rsidR="0021490D" w:rsidRPr="00862949" w:rsidRDefault="0048777D" w:rsidP="00D6452A">
            <w:pPr>
              <w:rPr>
                <w:rFonts w:cs="Arial"/>
                <w:color w:val="FFFFFF"/>
                <w:sz w:val="15"/>
                <w:szCs w:val="15"/>
              </w:rPr>
            </w:pPr>
            <w:r>
              <w:br w:type="page"/>
            </w:r>
            <w:r w:rsidR="0021490D" w:rsidRPr="00862949">
              <w:rPr>
                <w:rFonts w:cs="Arial"/>
                <w:b/>
                <w:bCs/>
                <w:iCs/>
                <w:color w:val="FFFFFF"/>
                <w:sz w:val="28"/>
                <w:szCs w:val="28"/>
                <w:lang w:val="en-US"/>
              </w:rPr>
              <w:t xml:space="preserve">Regulatory changes in the </w:t>
            </w:r>
            <w:r w:rsidR="0021490D">
              <w:rPr>
                <w:rFonts w:cs="Arial"/>
                <w:b/>
                <w:bCs/>
                <w:iCs/>
                <w:color w:val="FFFFFF"/>
                <w:sz w:val="28"/>
                <w:szCs w:val="28"/>
                <w:lang w:val="en-US"/>
              </w:rPr>
              <w:t xml:space="preserve">UK or </w:t>
            </w:r>
            <w:r w:rsidR="0021490D" w:rsidRPr="00862949">
              <w:rPr>
                <w:rFonts w:cs="Arial"/>
                <w:b/>
                <w:bCs/>
                <w:iCs/>
                <w:color w:val="FFFFFF"/>
                <w:sz w:val="28"/>
                <w:szCs w:val="28"/>
                <w:lang w:val="en-US"/>
              </w:rPr>
              <w:t>EU</w:t>
            </w:r>
            <w:r w:rsidR="0021490D" w:rsidRPr="00862949">
              <w:rPr>
                <w:rFonts w:cs="Arial"/>
                <w:b/>
                <w:bCs/>
                <w:iCs/>
                <w:color w:val="FFFFFF"/>
                <w:sz w:val="28"/>
                <w:szCs w:val="28"/>
                <w:lang w:val="en-US"/>
              </w:rPr>
              <w:tab/>
            </w:r>
          </w:p>
        </w:tc>
      </w:tr>
      <w:tr w:rsidR="001C3A55" w:rsidRPr="000F19E1" w14:paraId="21EB29E2" w14:textId="77777777" w:rsidTr="00155BD9">
        <w:tc>
          <w:tcPr>
            <w:tcW w:w="1152" w:type="pct"/>
            <w:shd w:val="clear" w:color="auto" w:fill="DAEEF3"/>
            <w:tcMar>
              <w:top w:w="0" w:type="dxa"/>
              <w:bottom w:w="0" w:type="dxa"/>
            </w:tcMar>
          </w:tcPr>
          <w:p w14:paraId="6D4012EB" w14:textId="77777777" w:rsidR="001C3A55" w:rsidRPr="000F19E1" w:rsidRDefault="001C3A55" w:rsidP="00510003">
            <w:pPr>
              <w:rPr>
                <w:rFonts w:cs="Arial"/>
                <w:bCs/>
                <w:sz w:val="8"/>
                <w:szCs w:val="8"/>
              </w:rPr>
            </w:pPr>
          </w:p>
        </w:tc>
        <w:tc>
          <w:tcPr>
            <w:tcW w:w="3848" w:type="pct"/>
            <w:gridSpan w:val="3"/>
            <w:shd w:val="clear" w:color="auto" w:fill="DAEEF3"/>
            <w:tcMar>
              <w:top w:w="0" w:type="dxa"/>
              <w:bottom w:w="0" w:type="dxa"/>
            </w:tcMar>
          </w:tcPr>
          <w:p w14:paraId="4E22A39A" w14:textId="77777777" w:rsidR="001C3A55" w:rsidRPr="000F19E1" w:rsidRDefault="001C3A55" w:rsidP="00510003">
            <w:pPr>
              <w:tabs>
                <w:tab w:val="center" w:pos="3152"/>
              </w:tabs>
              <w:rPr>
                <w:rFonts w:cs="Arial"/>
                <w:sz w:val="8"/>
                <w:szCs w:val="8"/>
                <w:lang w:val="en-US"/>
              </w:rPr>
            </w:pPr>
          </w:p>
        </w:tc>
      </w:tr>
      <w:tr w:rsidR="00E87799" w:rsidRPr="00126CCD" w14:paraId="55C32AA6" w14:textId="77777777" w:rsidTr="00562CE4">
        <w:tc>
          <w:tcPr>
            <w:tcW w:w="5000" w:type="pct"/>
            <w:gridSpan w:val="4"/>
            <w:shd w:val="clear" w:color="auto" w:fill="008232"/>
            <w:tcMar>
              <w:top w:w="57" w:type="dxa"/>
              <w:bottom w:w="57" w:type="dxa"/>
            </w:tcMar>
          </w:tcPr>
          <w:p w14:paraId="7A3EC973" w14:textId="165B1D55" w:rsidR="00E87799" w:rsidRPr="00F66949" w:rsidRDefault="00E87799" w:rsidP="00E87799">
            <w:pPr>
              <w:rPr>
                <w:rFonts w:cs="Arial"/>
                <w:noProof/>
                <w:color w:val="FFFFFF"/>
                <w:sz w:val="16"/>
                <w:szCs w:val="16"/>
              </w:rPr>
            </w:pPr>
            <w:r w:rsidRPr="004642B4">
              <w:rPr>
                <w:rFonts w:cs="Arial"/>
                <w:b/>
                <w:bCs/>
                <w:i/>
                <w:iCs/>
                <w:color w:val="FFFFFF"/>
                <w:sz w:val="22"/>
                <w:szCs w:val="20"/>
                <w:lang w:val="en-US"/>
              </w:rPr>
              <w:t xml:space="preserve">Other </w:t>
            </w:r>
            <w:r>
              <w:rPr>
                <w:rFonts w:cs="Arial"/>
                <w:b/>
                <w:bCs/>
                <w:i/>
                <w:iCs/>
                <w:color w:val="FFFFFF"/>
                <w:sz w:val="22"/>
                <w:szCs w:val="20"/>
                <w:lang w:val="en-US"/>
              </w:rPr>
              <w:t>UK/</w:t>
            </w:r>
            <w:r w:rsidRPr="004642B4">
              <w:rPr>
                <w:rFonts w:cs="Arial"/>
                <w:b/>
                <w:bCs/>
                <w:i/>
                <w:iCs/>
                <w:color w:val="FFFFFF"/>
                <w:sz w:val="22"/>
                <w:szCs w:val="20"/>
                <w:lang w:val="en-US"/>
              </w:rPr>
              <w:t>EU developments</w:t>
            </w:r>
            <w:r w:rsidR="00F66949">
              <w:rPr>
                <w:rFonts w:cs="Arial"/>
                <w:b/>
                <w:bCs/>
                <w:i/>
                <w:iCs/>
                <w:color w:val="FFFFFF"/>
                <w:sz w:val="22"/>
                <w:szCs w:val="20"/>
                <w:lang w:val="en-US"/>
              </w:rPr>
              <w:t xml:space="preserve"> </w:t>
            </w:r>
            <w:r w:rsidR="00F66949" w:rsidRPr="00F66949">
              <w:rPr>
                <w:rFonts w:cs="Arial"/>
                <w:b/>
                <w:bCs/>
                <w:color w:val="FFFFFF"/>
                <w:sz w:val="16"/>
                <w:szCs w:val="14"/>
                <w:lang w:val="en-US"/>
              </w:rPr>
              <w:t>(continued)</w:t>
            </w:r>
          </w:p>
        </w:tc>
      </w:tr>
      <w:tr w:rsidR="00C96C52" w14:paraId="3DD7417C" w14:textId="77777777" w:rsidTr="00EA4E49">
        <w:tc>
          <w:tcPr>
            <w:tcW w:w="1447" w:type="pct"/>
            <w:gridSpan w:val="3"/>
            <w:shd w:val="clear" w:color="auto" w:fill="auto"/>
            <w:tcMar>
              <w:top w:w="57" w:type="dxa"/>
              <w:bottom w:w="57" w:type="dxa"/>
            </w:tcMar>
          </w:tcPr>
          <w:p w14:paraId="1E009938" w14:textId="3772E072" w:rsidR="00C96C52" w:rsidRPr="00780EAB" w:rsidRDefault="00C96C52" w:rsidP="00C96C52">
            <w:pPr>
              <w:rPr>
                <w:rFonts w:cs="Arial"/>
                <w:szCs w:val="19"/>
              </w:rPr>
            </w:pPr>
            <w:r w:rsidRPr="003E23F7">
              <w:rPr>
                <w:rFonts w:cs="Arial"/>
                <w:szCs w:val="19"/>
              </w:rPr>
              <w:t>Bexotegrast</w:t>
            </w:r>
            <w:r>
              <w:rPr>
                <w:rFonts w:cs="Arial"/>
                <w:szCs w:val="19"/>
              </w:rPr>
              <w:t xml:space="preserve"> </w:t>
            </w:r>
          </w:p>
        </w:tc>
        <w:tc>
          <w:tcPr>
            <w:tcW w:w="3553" w:type="pct"/>
            <w:shd w:val="clear" w:color="auto" w:fill="auto"/>
            <w:tcMar>
              <w:top w:w="57" w:type="dxa"/>
              <w:bottom w:w="57" w:type="dxa"/>
            </w:tcMar>
          </w:tcPr>
          <w:p w14:paraId="1802C89F" w14:textId="5F6C9D80" w:rsidR="00C96C52" w:rsidRPr="0041467B" w:rsidRDefault="00C96C52" w:rsidP="00C96C52">
            <w:pPr>
              <w:tabs>
                <w:tab w:val="center" w:pos="3152"/>
              </w:tabs>
              <w:rPr>
                <w:rFonts w:cs="Arial"/>
                <w:szCs w:val="19"/>
                <w:lang w:val="en-US"/>
              </w:rPr>
            </w:pPr>
            <w:r w:rsidRPr="000A7827">
              <w:rPr>
                <w:rFonts w:cs="Arial"/>
                <w:szCs w:val="19"/>
                <w:lang w:val="en-US"/>
              </w:rPr>
              <w:t>Idiopathic pulmonary fibrosis in adults</w:t>
            </w:r>
            <w:r>
              <w:rPr>
                <w:rFonts w:cs="Arial"/>
                <w:szCs w:val="19"/>
                <w:lang w:val="en-US"/>
              </w:rPr>
              <w:t xml:space="preserve"> – development discontinued (safety concerns)</w:t>
            </w:r>
          </w:p>
        </w:tc>
      </w:tr>
      <w:tr w:rsidR="00C96C52" w14:paraId="00407AAB" w14:textId="77777777" w:rsidTr="00EA4E49">
        <w:tc>
          <w:tcPr>
            <w:tcW w:w="1447" w:type="pct"/>
            <w:gridSpan w:val="3"/>
            <w:shd w:val="clear" w:color="auto" w:fill="auto"/>
            <w:tcMar>
              <w:top w:w="57" w:type="dxa"/>
              <w:bottom w:w="57" w:type="dxa"/>
            </w:tcMar>
          </w:tcPr>
          <w:p w14:paraId="50CBF48A" w14:textId="205EA0E5" w:rsidR="00C96C52" w:rsidRPr="005E371E" w:rsidRDefault="00C96C52" w:rsidP="00C96C52">
            <w:pPr>
              <w:rPr>
                <w:rFonts w:cs="Arial"/>
                <w:szCs w:val="19"/>
              </w:rPr>
            </w:pPr>
            <w:r w:rsidRPr="00780EAB">
              <w:rPr>
                <w:rFonts w:cs="Arial"/>
                <w:szCs w:val="19"/>
              </w:rPr>
              <w:t>Cilofexor + firsocostat</w:t>
            </w:r>
          </w:p>
        </w:tc>
        <w:tc>
          <w:tcPr>
            <w:tcW w:w="3553" w:type="pct"/>
            <w:shd w:val="clear" w:color="auto" w:fill="auto"/>
            <w:tcMar>
              <w:top w:w="57" w:type="dxa"/>
              <w:bottom w:w="57" w:type="dxa"/>
            </w:tcMar>
          </w:tcPr>
          <w:p w14:paraId="3B712FB8" w14:textId="1D389A8B" w:rsidR="00C96C52" w:rsidRPr="0043716F" w:rsidRDefault="00C96C52" w:rsidP="00C96C52">
            <w:pPr>
              <w:tabs>
                <w:tab w:val="center" w:pos="3152"/>
              </w:tabs>
              <w:rPr>
                <w:rFonts w:cs="Arial"/>
                <w:szCs w:val="19"/>
                <w:lang w:val="en-US"/>
              </w:rPr>
            </w:pPr>
            <w:r w:rsidRPr="0041467B">
              <w:rPr>
                <w:rFonts w:cs="Arial"/>
                <w:szCs w:val="19"/>
                <w:lang w:val="en-US"/>
              </w:rPr>
              <w:t>Metabolic dysfunction-associated steatohepatitis in adults with stage 4</w:t>
            </w:r>
            <w:r>
              <w:rPr>
                <w:rFonts w:cs="Arial"/>
                <w:szCs w:val="19"/>
                <w:lang w:val="en-US"/>
              </w:rPr>
              <w:t xml:space="preserve"> </w:t>
            </w:r>
            <w:r w:rsidRPr="0041467B">
              <w:rPr>
                <w:rFonts w:cs="Arial"/>
                <w:szCs w:val="19"/>
                <w:lang w:val="en-US"/>
              </w:rPr>
              <w:t>fibrosis ± semaglutide</w:t>
            </w:r>
            <w:r>
              <w:rPr>
                <w:rFonts w:cs="Arial"/>
                <w:szCs w:val="19"/>
                <w:lang w:val="en-US"/>
              </w:rPr>
              <w:t xml:space="preserve"> – development discontinued (company decision)</w:t>
            </w:r>
          </w:p>
        </w:tc>
      </w:tr>
      <w:tr w:rsidR="00C96C52" w14:paraId="0E6A58C3" w14:textId="77777777" w:rsidTr="00EA4E49">
        <w:tc>
          <w:tcPr>
            <w:tcW w:w="1447" w:type="pct"/>
            <w:gridSpan w:val="3"/>
            <w:shd w:val="clear" w:color="auto" w:fill="auto"/>
            <w:tcMar>
              <w:top w:w="57" w:type="dxa"/>
              <w:bottom w:w="57" w:type="dxa"/>
            </w:tcMar>
          </w:tcPr>
          <w:p w14:paraId="4098F801" w14:textId="78BCEB4F" w:rsidR="00C96C52" w:rsidRPr="006976FC" w:rsidRDefault="00C96C52" w:rsidP="00C96C52">
            <w:pPr>
              <w:rPr>
                <w:rFonts w:cs="Arial"/>
                <w:szCs w:val="19"/>
              </w:rPr>
            </w:pPr>
            <w:r w:rsidRPr="005E371E">
              <w:rPr>
                <w:rFonts w:cs="Arial"/>
                <w:szCs w:val="19"/>
              </w:rPr>
              <w:t>Clarithromycin + clofazimine + rifabutin</w:t>
            </w:r>
          </w:p>
        </w:tc>
        <w:tc>
          <w:tcPr>
            <w:tcW w:w="3553" w:type="pct"/>
            <w:shd w:val="clear" w:color="auto" w:fill="auto"/>
            <w:tcMar>
              <w:top w:w="57" w:type="dxa"/>
              <w:bottom w:w="57" w:type="dxa"/>
            </w:tcMar>
          </w:tcPr>
          <w:p w14:paraId="476F2850" w14:textId="3D59B5D7" w:rsidR="00C96C52" w:rsidRDefault="00C96C52" w:rsidP="00C96C52">
            <w:pPr>
              <w:tabs>
                <w:tab w:val="center" w:pos="3152"/>
              </w:tabs>
              <w:rPr>
                <w:rFonts w:cs="Arial"/>
                <w:szCs w:val="19"/>
                <w:lang w:val="en-US"/>
              </w:rPr>
            </w:pPr>
            <w:r w:rsidRPr="0043716F">
              <w:rPr>
                <w:rFonts w:cs="Arial"/>
                <w:szCs w:val="19"/>
                <w:lang w:val="en-US"/>
              </w:rPr>
              <w:t xml:space="preserve">Crohn's disease </w:t>
            </w:r>
            <w:r w:rsidRPr="0043716F">
              <w:rPr>
                <w:rFonts w:cs="Arial"/>
                <w:szCs w:val="19"/>
                <w:lang w:val="en-US"/>
              </w:rPr>
              <w:tab/>
              <w:t xml:space="preserve">secondary to </w:t>
            </w:r>
            <w:r w:rsidRPr="0043716F">
              <w:rPr>
                <w:rFonts w:cs="Arial"/>
                <w:i/>
                <w:iCs/>
                <w:szCs w:val="19"/>
                <w:lang w:val="en-US"/>
              </w:rPr>
              <w:t>Mycobacterium avium ssp. paratuberculosis</w:t>
            </w:r>
            <w:r w:rsidRPr="0043716F">
              <w:rPr>
                <w:rFonts w:cs="Arial"/>
                <w:szCs w:val="19"/>
                <w:lang w:val="en-US"/>
              </w:rPr>
              <w:t xml:space="preserve"> </w:t>
            </w:r>
            <w:r>
              <w:rPr>
                <w:rFonts w:cs="Arial"/>
                <w:szCs w:val="19"/>
                <w:lang w:val="en-US"/>
              </w:rPr>
              <w:t>– development discontinued (company decision)</w:t>
            </w:r>
          </w:p>
        </w:tc>
      </w:tr>
      <w:tr w:rsidR="00C96C52" w14:paraId="1BA84EFA" w14:textId="77777777" w:rsidTr="00EA4E49">
        <w:tc>
          <w:tcPr>
            <w:tcW w:w="1447" w:type="pct"/>
            <w:gridSpan w:val="3"/>
            <w:shd w:val="clear" w:color="auto" w:fill="auto"/>
            <w:tcMar>
              <w:top w:w="57" w:type="dxa"/>
              <w:bottom w:w="57" w:type="dxa"/>
            </w:tcMar>
          </w:tcPr>
          <w:p w14:paraId="066386D7" w14:textId="08B8AB9F" w:rsidR="00C96C52" w:rsidRPr="00575ACF" w:rsidRDefault="00C96C52" w:rsidP="00C96C52">
            <w:pPr>
              <w:rPr>
                <w:rFonts w:cs="Arial"/>
                <w:szCs w:val="19"/>
              </w:rPr>
            </w:pPr>
            <w:r w:rsidRPr="006976FC">
              <w:rPr>
                <w:rFonts w:cs="Arial"/>
                <w:szCs w:val="19"/>
              </w:rPr>
              <w:t>Clofazimine</w:t>
            </w:r>
            <w:r>
              <w:rPr>
                <w:rFonts w:cs="Arial"/>
                <w:szCs w:val="19"/>
              </w:rPr>
              <w:t xml:space="preserve"> </w:t>
            </w:r>
          </w:p>
        </w:tc>
        <w:tc>
          <w:tcPr>
            <w:tcW w:w="3553" w:type="pct"/>
            <w:shd w:val="clear" w:color="auto" w:fill="auto"/>
            <w:tcMar>
              <w:top w:w="57" w:type="dxa"/>
              <w:bottom w:w="57" w:type="dxa"/>
            </w:tcMar>
          </w:tcPr>
          <w:p w14:paraId="33388DE5" w14:textId="25327FE6" w:rsidR="00C96C52" w:rsidRPr="008E1233" w:rsidRDefault="00C96C52" w:rsidP="00C96C52">
            <w:pPr>
              <w:tabs>
                <w:tab w:val="center" w:pos="3152"/>
              </w:tabs>
              <w:rPr>
                <w:rFonts w:cs="Arial"/>
                <w:szCs w:val="19"/>
                <w:lang w:val="en-US"/>
              </w:rPr>
            </w:pPr>
            <w:r>
              <w:rPr>
                <w:rFonts w:cs="Arial"/>
                <w:szCs w:val="19"/>
                <w:lang w:val="en-US"/>
              </w:rPr>
              <w:t>Refractory pulmonary</w:t>
            </w:r>
            <w:r w:rsidRPr="000569C0">
              <w:rPr>
                <w:rFonts w:cs="Arial"/>
                <w:szCs w:val="19"/>
                <w:lang w:val="en-US"/>
              </w:rPr>
              <w:t xml:space="preserve"> non-tubercular</w:t>
            </w:r>
            <w:r>
              <w:rPr>
                <w:rFonts w:cs="Arial"/>
                <w:szCs w:val="19"/>
                <w:lang w:val="en-US"/>
              </w:rPr>
              <w:t xml:space="preserve"> m</w:t>
            </w:r>
            <w:r w:rsidRPr="000569C0">
              <w:rPr>
                <w:rFonts w:cs="Arial"/>
                <w:szCs w:val="19"/>
                <w:lang w:val="en-US"/>
              </w:rPr>
              <w:t>ycobacterial disease</w:t>
            </w:r>
            <w:r>
              <w:rPr>
                <w:rFonts w:cs="Arial"/>
                <w:szCs w:val="19"/>
                <w:lang w:val="en-US"/>
              </w:rPr>
              <w:t xml:space="preserve"> in</w:t>
            </w:r>
            <w:r w:rsidRPr="000569C0">
              <w:rPr>
                <w:rFonts w:cs="Arial"/>
                <w:szCs w:val="19"/>
                <w:lang w:val="en-US"/>
              </w:rPr>
              <w:t xml:space="preserve"> adults</w:t>
            </w:r>
            <w:r>
              <w:rPr>
                <w:rFonts w:cs="Arial"/>
                <w:szCs w:val="19"/>
                <w:lang w:val="en-US"/>
              </w:rPr>
              <w:t xml:space="preserve"> – development discontinued (lack of efficacy)</w:t>
            </w:r>
          </w:p>
        </w:tc>
      </w:tr>
      <w:tr w:rsidR="00C96C52" w14:paraId="5A2C18CC" w14:textId="77777777" w:rsidTr="00EA4E49">
        <w:tc>
          <w:tcPr>
            <w:tcW w:w="1447" w:type="pct"/>
            <w:gridSpan w:val="3"/>
            <w:shd w:val="clear" w:color="auto" w:fill="auto"/>
            <w:tcMar>
              <w:top w:w="57" w:type="dxa"/>
              <w:bottom w:w="57" w:type="dxa"/>
            </w:tcMar>
          </w:tcPr>
          <w:p w14:paraId="0E1C92AF" w14:textId="1464E331" w:rsidR="00C96C52" w:rsidRDefault="00C96C52" w:rsidP="00C96C52">
            <w:pPr>
              <w:rPr>
                <w:rFonts w:cs="Arial"/>
                <w:szCs w:val="19"/>
              </w:rPr>
            </w:pPr>
            <w:r w:rsidRPr="00575ACF">
              <w:rPr>
                <w:rFonts w:cs="Arial"/>
                <w:szCs w:val="19"/>
              </w:rPr>
              <w:t>DNL-343</w:t>
            </w:r>
          </w:p>
        </w:tc>
        <w:tc>
          <w:tcPr>
            <w:tcW w:w="3553" w:type="pct"/>
            <w:shd w:val="clear" w:color="auto" w:fill="auto"/>
            <w:tcMar>
              <w:top w:w="57" w:type="dxa"/>
              <w:bottom w:w="57" w:type="dxa"/>
            </w:tcMar>
          </w:tcPr>
          <w:p w14:paraId="7933FADE" w14:textId="4866DD1A" w:rsidR="00C96C52" w:rsidRPr="00C2720F" w:rsidRDefault="00C96C52" w:rsidP="00C96C52">
            <w:pPr>
              <w:tabs>
                <w:tab w:val="center" w:pos="3152"/>
              </w:tabs>
              <w:rPr>
                <w:rFonts w:cs="Arial"/>
                <w:szCs w:val="19"/>
                <w:lang w:val="en-US"/>
              </w:rPr>
            </w:pPr>
            <w:r w:rsidRPr="008E1233">
              <w:rPr>
                <w:rFonts w:cs="Arial"/>
                <w:szCs w:val="19"/>
                <w:lang w:val="en-US"/>
              </w:rPr>
              <w:t xml:space="preserve">Amyotrophic lateral sclerosis </w:t>
            </w:r>
            <w:r>
              <w:rPr>
                <w:rFonts w:cs="Arial"/>
                <w:szCs w:val="19"/>
                <w:lang w:val="en-US"/>
              </w:rPr>
              <w:t>i</w:t>
            </w:r>
            <w:r w:rsidRPr="008E1233">
              <w:rPr>
                <w:rFonts w:cs="Arial"/>
                <w:szCs w:val="19"/>
                <w:lang w:val="en-US"/>
              </w:rPr>
              <w:t>n adults</w:t>
            </w:r>
            <w:r>
              <w:rPr>
                <w:rFonts w:cs="Arial"/>
                <w:szCs w:val="19"/>
                <w:lang w:val="en-US"/>
              </w:rPr>
              <w:t xml:space="preserve"> – development discontinued (lack of efficacy)</w:t>
            </w:r>
          </w:p>
        </w:tc>
      </w:tr>
      <w:tr w:rsidR="00C96C52" w14:paraId="6E8E58FC" w14:textId="77777777" w:rsidTr="00EA4E49">
        <w:tc>
          <w:tcPr>
            <w:tcW w:w="1447" w:type="pct"/>
            <w:gridSpan w:val="3"/>
            <w:shd w:val="clear" w:color="auto" w:fill="auto"/>
            <w:tcMar>
              <w:top w:w="57" w:type="dxa"/>
              <w:bottom w:w="57" w:type="dxa"/>
            </w:tcMar>
          </w:tcPr>
          <w:p w14:paraId="2999A48C" w14:textId="34FF100D" w:rsidR="00C96C52" w:rsidRPr="001E1899" w:rsidRDefault="00C96C52" w:rsidP="00C96C52">
            <w:pPr>
              <w:rPr>
                <w:rFonts w:cs="Arial"/>
                <w:szCs w:val="19"/>
              </w:rPr>
            </w:pPr>
            <w:r>
              <w:rPr>
                <w:rFonts w:cs="Arial"/>
                <w:szCs w:val="19"/>
              </w:rPr>
              <w:t>E</w:t>
            </w:r>
            <w:r w:rsidRPr="000C32BC">
              <w:rPr>
                <w:rFonts w:cs="Arial"/>
                <w:szCs w:val="19"/>
              </w:rPr>
              <w:t>nsifentrine (</w:t>
            </w:r>
            <w:r w:rsidRPr="000C32BC">
              <w:rPr>
                <w:rFonts w:cs="Arial"/>
                <w:i/>
                <w:iCs/>
                <w:szCs w:val="19"/>
              </w:rPr>
              <w:t>Ohtuvayre</w:t>
            </w:r>
            <w:r w:rsidRPr="000C32BC">
              <w:rPr>
                <w:rFonts w:cs="Arial"/>
                <w:szCs w:val="19"/>
              </w:rPr>
              <w:t>)</w:t>
            </w:r>
          </w:p>
        </w:tc>
        <w:tc>
          <w:tcPr>
            <w:tcW w:w="3553" w:type="pct"/>
            <w:shd w:val="clear" w:color="auto" w:fill="auto"/>
            <w:tcMar>
              <w:top w:w="57" w:type="dxa"/>
              <w:bottom w:w="57" w:type="dxa"/>
            </w:tcMar>
          </w:tcPr>
          <w:p w14:paraId="064A6196" w14:textId="7ADE6900" w:rsidR="00C96C52" w:rsidRDefault="00C96C52" w:rsidP="00C96C52">
            <w:pPr>
              <w:tabs>
                <w:tab w:val="center" w:pos="3152"/>
              </w:tabs>
              <w:rPr>
                <w:rFonts w:cs="Arial"/>
                <w:szCs w:val="19"/>
                <w:lang w:val="en-US"/>
              </w:rPr>
            </w:pPr>
            <w:r w:rsidRPr="00C2720F">
              <w:rPr>
                <w:rFonts w:cs="Arial"/>
                <w:szCs w:val="19"/>
                <w:lang w:val="en-US"/>
              </w:rPr>
              <w:t>Maintenance treatment in symptomatic adults with chronic obstructive pulmonary disease</w:t>
            </w:r>
            <w:r>
              <w:rPr>
                <w:rFonts w:cs="Arial"/>
                <w:szCs w:val="19"/>
                <w:lang w:val="en-US"/>
              </w:rPr>
              <w:t xml:space="preserve"> – UK and EU filings withdrawn</w:t>
            </w:r>
          </w:p>
        </w:tc>
      </w:tr>
      <w:tr w:rsidR="00C96C52" w14:paraId="1682A188" w14:textId="77777777" w:rsidTr="00EA4E49">
        <w:tc>
          <w:tcPr>
            <w:tcW w:w="1447" w:type="pct"/>
            <w:gridSpan w:val="3"/>
            <w:shd w:val="clear" w:color="auto" w:fill="auto"/>
            <w:tcMar>
              <w:top w:w="57" w:type="dxa"/>
              <w:bottom w:w="57" w:type="dxa"/>
            </w:tcMar>
          </w:tcPr>
          <w:p w14:paraId="4FE2EEAE" w14:textId="0AB1ED1F" w:rsidR="00C96C52" w:rsidRDefault="00C96C52" w:rsidP="00C96C52">
            <w:pPr>
              <w:rPr>
                <w:rFonts w:cs="Arial"/>
                <w:szCs w:val="19"/>
              </w:rPr>
            </w:pPr>
            <w:r w:rsidRPr="001E1899">
              <w:rPr>
                <w:rFonts w:cs="Arial"/>
                <w:szCs w:val="19"/>
              </w:rPr>
              <w:t>Fosgonimeton</w:t>
            </w:r>
            <w:r>
              <w:rPr>
                <w:rFonts w:cs="Arial"/>
                <w:szCs w:val="19"/>
              </w:rPr>
              <w:t xml:space="preserve"> </w:t>
            </w:r>
          </w:p>
        </w:tc>
        <w:tc>
          <w:tcPr>
            <w:tcW w:w="3553" w:type="pct"/>
            <w:shd w:val="clear" w:color="auto" w:fill="auto"/>
            <w:tcMar>
              <w:top w:w="57" w:type="dxa"/>
              <w:bottom w:w="57" w:type="dxa"/>
            </w:tcMar>
          </w:tcPr>
          <w:p w14:paraId="4FEB7209" w14:textId="12BF6726" w:rsidR="00C96C52" w:rsidRPr="008D4820" w:rsidRDefault="00C96C52" w:rsidP="00C96C52">
            <w:pPr>
              <w:tabs>
                <w:tab w:val="center" w:pos="3152"/>
              </w:tabs>
              <w:rPr>
                <w:rFonts w:cs="Arial"/>
                <w:szCs w:val="19"/>
                <w:lang w:val="en-US"/>
              </w:rPr>
            </w:pPr>
            <w:r>
              <w:rPr>
                <w:rFonts w:cs="Arial"/>
                <w:szCs w:val="19"/>
                <w:lang w:val="en-US"/>
              </w:rPr>
              <w:t>M</w:t>
            </w:r>
            <w:r w:rsidRPr="00BF1415">
              <w:rPr>
                <w:rFonts w:cs="Arial"/>
                <w:szCs w:val="19"/>
                <w:lang w:val="en-US"/>
              </w:rPr>
              <w:t>ild-to-moderate</w:t>
            </w:r>
            <w:r>
              <w:rPr>
                <w:rFonts w:cs="Arial"/>
                <w:szCs w:val="19"/>
                <w:lang w:val="en-US"/>
              </w:rPr>
              <w:t xml:space="preserve"> </w:t>
            </w:r>
            <w:r w:rsidRPr="00BF1415">
              <w:rPr>
                <w:rFonts w:cs="Arial"/>
                <w:szCs w:val="19"/>
                <w:lang w:val="en-US"/>
              </w:rPr>
              <w:t>Alzheimer's disease in adults</w:t>
            </w:r>
            <w:r>
              <w:rPr>
                <w:rFonts w:cs="Arial"/>
                <w:szCs w:val="19"/>
                <w:lang w:val="en-US"/>
              </w:rPr>
              <w:t>,</w:t>
            </w:r>
            <w:r w:rsidRPr="00BF1415">
              <w:rPr>
                <w:rFonts w:cs="Arial"/>
                <w:szCs w:val="19"/>
                <w:lang w:val="en-US"/>
              </w:rPr>
              <w:t xml:space="preserve"> monotherapy or with acetylcholinesterase inhibitor treatment</w:t>
            </w:r>
            <w:r>
              <w:rPr>
                <w:rFonts w:cs="Arial"/>
                <w:szCs w:val="19"/>
                <w:lang w:val="en-US"/>
              </w:rPr>
              <w:t xml:space="preserve"> – development discontinued (lack of efficacy)</w:t>
            </w:r>
          </w:p>
        </w:tc>
      </w:tr>
      <w:tr w:rsidR="00C96C52" w14:paraId="0F9DD484" w14:textId="77777777" w:rsidTr="00EA4E49">
        <w:tc>
          <w:tcPr>
            <w:tcW w:w="1447" w:type="pct"/>
            <w:gridSpan w:val="3"/>
            <w:shd w:val="clear" w:color="auto" w:fill="auto"/>
            <w:tcMar>
              <w:top w:w="57" w:type="dxa"/>
              <w:bottom w:w="57" w:type="dxa"/>
            </w:tcMar>
          </w:tcPr>
          <w:p w14:paraId="30571767" w14:textId="10428D89" w:rsidR="00C96C52" w:rsidRDefault="00C96C52" w:rsidP="00C96C52">
            <w:pPr>
              <w:rPr>
                <w:rFonts w:cs="Arial"/>
                <w:szCs w:val="19"/>
              </w:rPr>
            </w:pPr>
            <w:r>
              <w:rPr>
                <w:rFonts w:cs="Arial"/>
                <w:szCs w:val="19"/>
              </w:rPr>
              <w:t>Leronlimab</w:t>
            </w:r>
          </w:p>
        </w:tc>
        <w:tc>
          <w:tcPr>
            <w:tcW w:w="3553" w:type="pct"/>
            <w:shd w:val="clear" w:color="auto" w:fill="auto"/>
            <w:tcMar>
              <w:top w:w="57" w:type="dxa"/>
              <w:bottom w:w="57" w:type="dxa"/>
            </w:tcMar>
          </w:tcPr>
          <w:p w14:paraId="18299DF7" w14:textId="7280D74B" w:rsidR="00C96C52" w:rsidRDefault="00C96C52" w:rsidP="00C96C52">
            <w:pPr>
              <w:tabs>
                <w:tab w:val="center" w:pos="3152"/>
              </w:tabs>
              <w:rPr>
                <w:rFonts w:cs="Arial"/>
                <w:szCs w:val="19"/>
                <w:lang w:val="en-US"/>
              </w:rPr>
            </w:pPr>
            <w:r w:rsidRPr="008D4820">
              <w:rPr>
                <w:rFonts w:cs="Arial"/>
                <w:szCs w:val="19"/>
                <w:lang w:val="en-US"/>
              </w:rPr>
              <w:t xml:space="preserve">Metabolic dysfunction-associated steatohepatitis </w:t>
            </w:r>
            <w:r>
              <w:rPr>
                <w:rFonts w:cs="Arial"/>
                <w:szCs w:val="19"/>
                <w:lang w:val="en-US"/>
              </w:rPr>
              <w:t>i</w:t>
            </w:r>
            <w:r w:rsidRPr="008D4820">
              <w:rPr>
                <w:rFonts w:cs="Arial"/>
                <w:szCs w:val="19"/>
                <w:lang w:val="en-US"/>
              </w:rPr>
              <w:t>n adults with stage 2 or 3</w:t>
            </w:r>
            <w:r>
              <w:rPr>
                <w:rFonts w:cs="Arial"/>
                <w:szCs w:val="19"/>
                <w:lang w:val="en-US"/>
              </w:rPr>
              <w:t xml:space="preserve"> </w:t>
            </w:r>
            <w:r w:rsidRPr="008D4820">
              <w:rPr>
                <w:rFonts w:cs="Arial"/>
                <w:szCs w:val="19"/>
                <w:lang w:val="en-US"/>
              </w:rPr>
              <w:t>fibrosis</w:t>
            </w:r>
            <w:r>
              <w:rPr>
                <w:rFonts w:cs="Arial"/>
                <w:szCs w:val="19"/>
                <w:lang w:val="en-US"/>
              </w:rPr>
              <w:t xml:space="preserve"> – development discontinued (lack of efficacy)</w:t>
            </w:r>
          </w:p>
        </w:tc>
      </w:tr>
      <w:tr w:rsidR="00C96C52" w14:paraId="1355EE37" w14:textId="77777777" w:rsidTr="00EA4E49">
        <w:tc>
          <w:tcPr>
            <w:tcW w:w="1447" w:type="pct"/>
            <w:gridSpan w:val="3"/>
            <w:shd w:val="clear" w:color="auto" w:fill="auto"/>
            <w:tcMar>
              <w:top w:w="57" w:type="dxa"/>
              <w:bottom w:w="57" w:type="dxa"/>
            </w:tcMar>
          </w:tcPr>
          <w:p w14:paraId="3539EEE4" w14:textId="392AEDFE" w:rsidR="00C96C52" w:rsidRPr="00DD1F2F" w:rsidRDefault="00C96C52" w:rsidP="00C96C52">
            <w:pPr>
              <w:rPr>
                <w:rFonts w:cs="Arial"/>
                <w:szCs w:val="19"/>
              </w:rPr>
            </w:pPr>
            <w:r w:rsidRPr="00EC1811">
              <w:rPr>
                <w:rFonts w:cs="Arial"/>
                <w:szCs w:val="19"/>
              </w:rPr>
              <w:t>Mazindol (</w:t>
            </w:r>
            <w:r w:rsidRPr="00EC1811">
              <w:rPr>
                <w:rFonts w:cs="Arial"/>
                <w:i/>
                <w:iCs/>
                <w:szCs w:val="19"/>
              </w:rPr>
              <w:t>Quilience</w:t>
            </w:r>
            <w:r w:rsidRPr="00EC1811">
              <w:rPr>
                <w:rFonts w:cs="Arial"/>
                <w:szCs w:val="19"/>
              </w:rPr>
              <w:t>)</w:t>
            </w:r>
          </w:p>
        </w:tc>
        <w:tc>
          <w:tcPr>
            <w:tcW w:w="3553" w:type="pct"/>
            <w:shd w:val="clear" w:color="auto" w:fill="auto"/>
            <w:tcMar>
              <w:top w:w="57" w:type="dxa"/>
              <w:bottom w:w="57" w:type="dxa"/>
            </w:tcMar>
          </w:tcPr>
          <w:p w14:paraId="25E86356" w14:textId="77777777" w:rsidR="00C96C52" w:rsidRDefault="00C96C52" w:rsidP="00C96C52">
            <w:pPr>
              <w:tabs>
                <w:tab w:val="center" w:pos="3152"/>
              </w:tabs>
              <w:rPr>
                <w:rFonts w:cs="Arial"/>
                <w:szCs w:val="19"/>
                <w:lang w:val="en-US"/>
              </w:rPr>
            </w:pPr>
            <w:r w:rsidRPr="001338F7">
              <w:rPr>
                <w:rFonts w:cs="Arial"/>
                <w:szCs w:val="19"/>
                <w:lang w:val="en-US"/>
              </w:rPr>
              <w:t xml:space="preserve">Narcolepsy with cataplexy type </w:t>
            </w:r>
            <w:r>
              <w:rPr>
                <w:rFonts w:cs="Arial"/>
                <w:szCs w:val="19"/>
                <w:lang w:val="en-US"/>
              </w:rPr>
              <w:t>1</w:t>
            </w:r>
            <w:r w:rsidRPr="001338F7">
              <w:rPr>
                <w:rFonts w:cs="Arial"/>
                <w:szCs w:val="19"/>
                <w:lang w:val="en-US"/>
              </w:rPr>
              <w:t xml:space="preserve"> in adults</w:t>
            </w:r>
            <w:r>
              <w:rPr>
                <w:rFonts w:cs="Arial"/>
                <w:szCs w:val="19"/>
                <w:lang w:val="en-US"/>
              </w:rPr>
              <w:t xml:space="preserve"> – development discontinued </w:t>
            </w:r>
          </w:p>
          <w:p w14:paraId="0A8E6218" w14:textId="01DD67EB" w:rsidR="00C96C52" w:rsidRDefault="00C96C52" w:rsidP="00C96C52">
            <w:pPr>
              <w:tabs>
                <w:tab w:val="center" w:pos="3152"/>
              </w:tabs>
              <w:rPr>
                <w:rFonts w:cs="Arial"/>
                <w:szCs w:val="19"/>
                <w:lang w:val="en-US"/>
              </w:rPr>
            </w:pPr>
            <w:r>
              <w:rPr>
                <w:rFonts w:cs="Arial"/>
                <w:szCs w:val="19"/>
                <w:lang w:val="en-US"/>
              </w:rPr>
              <w:t>(company decision)</w:t>
            </w:r>
          </w:p>
        </w:tc>
      </w:tr>
      <w:tr w:rsidR="00C96C52" w14:paraId="32F9E2E0" w14:textId="77777777" w:rsidTr="00EA4E49">
        <w:tc>
          <w:tcPr>
            <w:tcW w:w="1447" w:type="pct"/>
            <w:gridSpan w:val="3"/>
            <w:shd w:val="clear" w:color="auto" w:fill="auto"/>
            <w:tcMar>
              <w:top w:w="57" w:type="dxa"/>
              <w:bottom w:w="57" w:type="dxa"/>
            </w:tcMar>
          </w:tcPr>
          <w:p w14:paraId="786E644B" w14:textId="24B2F2BF" w:rsidR="00C96C52" w:rsidRPr="007753F3" w:rsidRDefault="00C96C52" w:rsidP="00C96C52">
            <w:pPr>
              <w:rPr>
                <w:rFonts w:cs="Arial"/>
                <w:szCs w:val="19"/>
              </w:rPr>
            </w:pPr>
            <w:r w:rsidRPr="00DD1F2F">
              <w:rPr>
                <w:rFonts w:cs="Arial"/>
                <w:szCs w:val="19"/>
              </w:rPr>
              <w:t>Milvexian</w:t>
            </w:r>
            <w:r>
              <w:rPr>
                <w:rFonts w:cs="Arial"/>
                <w:szCs w:val="19"/>
              </w:rPr>
              <w:t xml:space="preserve"> </w:t>
            </w:r>
          </w:p>
        </w:tc>
        <w:tc>
          <w:tcPr>
            <w:tcW w:w="3553" w:type="pct"/>
            <w:shd w:val="clear" w:color="auto" w:fill="auto"/>
            <w:tcMar>
              <w:top w:w="57" w:type="dxa"/>
              <w:bottom w:w="57" w:type="dxa"/>
            </w:tcMar>
          </w:tcPr>
          <w:p w14:paraId="247BBF46" w14:textId="77777777" w:rsidR="00C96C52" w:rsidRDefault="00C96C52" w:rsidP="00C96C52">
            <w:pPr>
              <w:tabs>
                <w:tab w:val="center" w:pos="3152"/>
              </w:tabs>
              <w:rPr>
                <w:rFonts w:cs="Arial"/>
                <w:szCs w:val="19"/>
                <w:lang w:val="en-US"/>
              </w:rPr>
            </w:pPr>
            <w:r>
              <w:rPr>
                <w:rFonts w:cs="Arial"/>
                <w:szCs w:val="19"/>
                <w:lang w:val="en-US"/>
              </w:rPr>
              <w:t>P</w:t>
            </w:r>
            <w:r w:rsidRPr="00392820">
              <w:rPr>
                <w:rFonts w:cs="Arial"/>
                <w:szCs w:val="19"/>
                <w:lang w:val="en-US"/>
              </w:rPr>
              <w:t>revention of cardiovascular events in adults</w:t>
            </w:r>
            <w:r>
              <w:rPr>
                <w:rFonts w:cs="Arial"/>
                <w:szCs w:val="19"/>
                <w:lang w:val="en-US"/>
              </w:rPr>
              <w:t xml:space="preserve"> after a</w:t>
            </w:r>
            <w:r w:rsidRPr="00392820">
              <w:rPr>
                <w:rFonts w:cs="Arial"/>
                <w:szCs w:val="19"/>
                <w:lang w:val="en-US"/>
              </w:rPr>
              <w:t>cute coronary syndrome, in addition to standard of care antiplatelet therapy</w:t>
            </w:r>
            <w:r>
              <w:rPr>
                <w:rFonts w:cs="Arial"/>
                <w:szCs w:val="19"/>
                <w:lang w:val="en-US"/>
              </w:rPr>
              <w:t xml:space="preserve"> – development discontinued </w:t>
            </w:r>
          </w:p>
          <w:p w14:paraId="3E0A7A12" w14:textId="5A30FD8C" w:rsidR="00C96C52" w:rsidRPr="00F65AC3" w:rsidRDefault="00C96C52" w:rsidP="00C96C52">
            <w:pPr>
              <w:tabs>
                <w:tab w:val="center" w:pos="3152"/>
              </w:tabs>
              <w:rPr>
                <w:rFonts w:cs="Arial"/>
                <w:szCs w:val="19"/>
                <w:lang w:val="en-US"/>
              </w:rPr>
            </w:pPr>
            <w:r>
              <w:rPr>
                <w:rFonts w:cs="Arial"/>
                <w:szCs w:val="19"/>
                <w:lang w:val="en-US"/>
              </w:rPr>
              <w:t>(lack of efficacy)</w:t>
            </w:r>
          </w:p>
        </w:tc>
      </w:tr>
      <w:tr w:rsidR="00C96C52" w14:paraId="3764D797" w14:textId="77777777" w:rsidTr="00EA4E49">
        <w:tc>
          <w:tcPr>
            <w:tcW w:w="1447" w:type="pct"/>
            <w:gridSpan w:val="3"/>
            <w:shd w:val="clear" w:color="auto" w:fill="auto"/>
            <w:tcMar>
              <w:top w:w="57" w:type="dxa"/>
              <w:bottom w:w="57" w:type="dxa"/>
            </w:tcMar>
          </w:tcPr>
          <w:p w14:paraId="1FD41655" w14:textId="4AD7DE4C" w:rsidR="00C96C52" w:rsidRPr="002A65E9" w:rsidRDefault="00C96C52" w:rsidP="00C96C52">
            <w:pPr>
              <w:rPr>
                <w:rFonts w:cs="Arial"/>
                <w:szCs w:val="19"/>
              </w:rPr>
            </w:pPr>
            <w:r>
              <w:rPr>
                <w:rFonts w:cs="Arial"/>
                <w:szCs w:val="19"/>
              </w:rPr>
              <w:t>Pridopidine (</w:t>
            </w:r>
            <w:r>
              <w:rPr>
                <w:rFonts w:cs="Arial"/>
                <w:i/>
                <w:iCs/>
                <w:szCs w:val="19"/>
              </w:rPr>
              <w:t>Nurzigma</w:t>
            </w:r>
            <w:r>
              <w:rPr>
                <w:rFonts w:cs="Arial"/>
                <w:szCs w:val="19"/>
              </w:rPr>
              <w:t>)</w:t>
            </w:r>
          </w:p>
        </w:tc>
        <w:tc>
          <w:tcPr>
            <w:tcW w:w="3553" w:type="pct"/>
            <w:shd w:val="clear" w:color="auto" w:fill="auto"/>
            <w:tcMar>
              <w:top w:w="57" w:type="dxa"/>
              <w:bottom w:w="57" w:type="dxa"/>
            </w:tcMar>
          </w:tcPr>
          <w:p w14:paraId="26697972" w14:textId="7F991D40" w:rsidR="00C96C52" w:rsidRPr="001D2238" w:rsidRDefault="00C96C52" w:rsidP="00C96C52">
            <w:pPr>
              <w:tabs>
                <w:tab w:val="center" w:pos="3152"/>
              </w:tabs>
              <w:rPr>
                <w:rFonts w:cs="Arial"/>
                <w:szCs w:val="19"/>
                <w:lang w:val="en-US"/>
              </w:rPr>
            </w:pPr>
            <w:r>
              <w:rPr>
                <w:rFonts w:cs="Arial"/>
                <w:szCs w:val="19"/>
                <w:lang w:val="en-US"/>
              </w:rPr>
              <w:t xml:space="preserve">Treatment of </w:t>
            </w:r>
            <w:r w:rsidRPr="00C96179">
              <w:rPr>
                <w:rFonts w:cs="Arial"/>
                <w:szCs w:val="19"/>
                <w:lang w:val="en-US"/>
              </w:rPr>
              <w:t>Huntington's disease in adults</w:t>
            </w:r>
            <w:r>
              <w:rPr>
                <w:rFonts w:cs="Arial"/>
                <w:szCs w:val="19"/>
                <w:lang w:val="en-US"/>
              </w:rPr>
              <w:t xml:space="preserve"> – EU filing withdrawn</w:t>
            </w:r>
          </w:p>
        </w:tc>
      </w:tr>
      <w:tr w:rsidR="00C96C52" w14:paraId="633A1002" w14:textId="77777777" w:rsidTr="00EA4E49">
        <w:tc>
          <w:tcPr>
            <w:tcW w:w="1447" w:type="pct"/>
            <w:gridSpan w:val="3"/>
            <w:shd w:val="clear" w:color="auto" w:fill="auto"/>
            <w:tcMar>
              <w:top w:w="57" w:type="dxa"/>
              <w:bottom w:w="57" w:type="dxa"/>
            </w:tcMar>
          </w:tcPr>
          <w:p w14:paraId="254356C5" w14:textId="6DA2481A" w:rsidR="00C96C52" w:rsidRPr="007753F3" w:rsidRDefault="00C96C52" w:rsidP="00C96C52">
            <w:pPr>
              <w:rPr>
                <w:rFonts w:cs="Arial"/>
                <w:szCs w:val="19"/>
              </w:rPr>
            </w:pPr>
            <w:r w:rsidRPr="00C86767">
              <w:rPr>
                <w:rFonts w:cs="Arial"/>
                <w:szCs w:val="19"/>
              </w:rPr>
              <w:t>Rencofilstat</w:t>
            </w:r>
          </w:p>
        </w:tc>
        <w:tc>
          <w:tcPr>
            <w:tcW w:w="3553" w:type="pct"/>
            <w:shd w:val="clear" w:color="auto" w:fill="auto"/>
            <w:tcMar>
              <w:top w:w="57" w:type="dxa"/>
              <w:bottom w:w="57" w:type="dxa"/>
            </w:tcMar>
          </w:tcPr>
          <w:p w14:paraId="23648B20" w14:textId="5DC13FC8" w:rsidR="00C96C52" w:rsidRPr="00F65AC3" w:rsidRDefault="00C96C52" w:rsidP="00C96C52">
            <w:pPr>
              <w:tabs>
                <w:tab w:val="center" w:pos="3152"/>
              </w:tabs>
              <w:rPr>
                <w:rFonts w:cs="Arial"/>
                <w:szCs w:val="19"/>
                <w:lang w:val="en-US"/>
              </w:rPr>
            </w:pPr>
            <w:r w:rsidRPr="001D2238">
              <w:rPr>
                <w:rFonts w:cs="Arial"/>
                <w:szCs w:val="19"/>
                <w:lang w:val="en-US"/>
              </w:rPr>
              <w:t>Metabolic dysfunction-associated steatohepatitis in adults with stage 2 or 3 fibrosis</w:t>
            </w:r>
            <w:r>
              <w:rPr>
                <w:rFonts w:cs="Arial"/>
                <w:szCs w:val="19"/>
                <w:lang w:val="en-US"/>
              </w:rPr>
              <w:t xml:space="preserve"> – development discontinued (company decision)</w:t>
            </w:r>
          </w:p>
        </w:tc>
      </w:tr>
      <w:tr w:rsidR="00C96C52" w14:paraId="47E34B96" w14:textId="77777777" w:rsidTr="00EA4E49">
        <w:tc>
          <w:tcPr>
            <w:tcW w:w="1447" w:type="pct"/>
            <w:gridSpan w:val="3"/>
            <w:shd w:val="clear" w:color="auto" w:fill="auto"/>
            <w:tcMar>
              <w:top w:w="57" w:type="dxa"/>
              <w:bottom w:w="57" w:type="dxa"/>
            </w:tcMar>
          </w:tcPr>
          <w:p w14:paraId="34EE7FE1" w14:textId="3026C0E7" w:rsidR="00C96C52" w:rsidRPr="00672A42" w:rsidRDefault="00C96C52" w:rsidP="00C96C52">
            <w:pPr>
              <w:rPr>
                <w:rFonts w:cs="Arial"/>
                <w:szCs w:val="19"/>
              </w:rPr>
            </w:pPr>
            <w:r w:rsidRPr="007753F3">
              <w:rPr>
                <w:rFonts w:cs="Arial"/>
                <w:szCs w:val="19"/>
              </w:rPr>
              <w:t>Resamirigene bilparvovec</w:t>
            </w:r>
          </w:p>
        </w:tc>
        <w:tc>
          <w:tcPr>
            <w:tcW w:w="3553" w:type="pct"/>
            <w:shd w:val="clear" w:color="auto" w:fill="auto"/>
            <w:tcMar>
              <w:top w:w="57" w:type="dxa"/>
              <w:bottom w:w="57" w:type="dxa"/>
            </w:tcMar>
          </w:tcPr>
          <w:p w14:paraId="3CACAFDB" w14:textId="1C67CFE0" w:rsidR="00C96C52" w:rsidRDefault="00C96C52" w:rsidP="00C96C52">
            <w:pPr>
              <w:tabs>
                <w:tab w:val="center" w:pos="3152"/>
              </w:tabs>
              <w:rPr>
                <w:rFonts w:cs="Arial"/>
                <w:szCs w:val="19"/>
                <w:lang w:val="en-US"/>
              </w:rPr>
            </w:pPr>
            <w:r w:rsidRPr="00F65AC3">
              <w:rPr>
                <w:rFonts w:cs="Arial"/>
                <w:szCs w:val="19"/>
                <w:lang w:val="en-US"/>
              </w:rPr>
              <w:t xml:space="preserve">X-linked myotubular </w:t>
            </w:r>
            <w:r>
              <w:rPr>
                <w:rFonts w:cs="Arial"/>
                <w:szCs w:val="19"/>
                <w:lang w:val="en-US"/>
              </w:rPr>
              <w:t>myopathy</w:t>
            </w:r>
            <w:r w:rsidRPr="00F65AC3">
              <w:rPr>
                <w:rFonts w:cs="Arial"/>
                <w:szCs w:val="19"/>
                <w:lang w:val="en-US"/>
              </w:rPr>
              <w:t xml:space="preserve"> in boys aged &lt;5 years </w:t>
            </w:r>
            <w:r>
              <w:rPr>
                <w:rFonts w:cs="Arial"/>
                <w:szCs w:val="19"/>
                <w:lang w:val="en-US"/>
              </w:rPr>
              <w:t>– development discontinued (safety concerns)</w:t>
            </w:r>
          </w:p>
        </w:tc>
      </w:tr>
      <w:tr w:rsidR="00C96C52" w14:paraId="572F1D15" w14:textId="77777777" w:rsidTr="00EA4E49">
        <w:tc>
          <w:tcPr>
            <w:tcW w:w="1447" w:type="pct"/>
            <w:gridSpan w:val="3"/>
            <w:shd w:val="clear" w:color="auto" w:fill="auto"/>
            <w:tcMar>
              <w:top w:w="57" w:type="dxa"/>
              <w:bottom w:w="57" w:type="dxa"/>
            </w:tcMar>
          </w:tcPr>
          <w:p w14:paraId="7D74BB39" w14:textId="18A70343" w:rsidR="00C96C52" w:rsidRDefault="00C96C52" w:rsidP="00C96C52">
            <w:pPr>
              <w:rPr>
                <w:rFonts w:cs="Arial"/>
                <w:szCs w:val="19"/>
              </w:rPr>
            </w:pPr>
            <w:r>
              <w:rPr>
                <w:rFonts w:cs="Arial"/>
                <w:szCs w:val="19"/>
              </w:rPr>
              <w:t xml:space="preserve">Semaglutide </w:t>
            </w:r>
          </w:p>
        </w:tc>
        <w:tc>
          <w:tcPr>
            <w:tcW w:w="3553" w:type="pct"/>
            <w:shd w:val="clear" w:color="auto" w:fill="auto"/>
            <w:tcMar>
              <w:top w:w="57" w:type="dxa"/>
              <w:bottom w:w="57" w:type="dxa"/>
            </w:tcMar>
          </w:tcPr>
          <w:p w14:paraId="023F7318" w14:textId="74311A89" w:rsidR="00C96C52" w:rsidRPr="00790CB1" w:rsidRDefault="00C96C52" w:rsidP="00C96C52">
            <w:pPr>
              <w:tabs>
                <w:tab w:val="center" w:pos="3152"/>
              </w:tabs>
              <w:rPr>
                <w:rFonts w:cs="Arial"/>
                <w:szCs w:val="19"/>
                <w:lang w:val="en-US"/>
              </w:rPr>
            </w:pPr>
            <w:r>
              <w:rPr>
                <w:rFonts w:cs="Arial"/>
                <w:szCs w:val="19"/>
                <w:lang w:val="en-US"/>
              </w:rPr>
              <w:t xml:space="preserve">Early </w:t>
            </w:r>
            <w:r w:rsidRPr="00FD61A7">
              <w:rPr>
                <w:rFonts w:cs="Arial"/>
                <w:szCs w:val="19"/>
                <w:lang w:val="en-US"/>
              </w:rPr>
              <w:t>Alzheimer's disease in adults</w:t>
            </w:r>
            <w:r>
              <w:rPr>
                <w:rFonts w:cs="Arial"/>
                <w:szCs w:val="19"/>
                <w:lang w:val="en-US"/>
              </w:rPr>
              <w:t xml:space="preserve"> – development discontinued (lack of efficacy)</w:t>
            </w:r>
          </w:p>
        </w:tc>
      </w:tr>
      <w:tr w:rsidR="00C96C52" w14:paraId="40E6475B" w14:textId="77777777" w:rsidTr="00EA4E49">
        <w:tc>
          <w:tcPr>
            <w:tcW w:w="1447" w:type="pct"/>
            <w:gridSpan w:val="3"/>
            <w:shd w:val="clear" w:color="auto" w:fill="auto"/>
            <w:tcMar>
              <w:top w:w="57" w:type="dxa"/>
              <w:bottom w:w="57" w:type="dxa"/>
            </w:tcMar>
          </w:tcPr>
          <w:p w14:paraId="75D789F6" w14:textId="70C83F52" w:rsidR="00C96C52" w:rsidRPr="00E80FE6" w:rsidRDefault="00C96C52" w:rsidP="00C96C52">
            <w:pPr>
              <w:rPr>
                <w:rFonts w:cs="Arial"/>
                <w:i/>
                <w:iCs/>
                <w:szCs w:val="19"/>
              </w:rPr>
            </w:pPr>
            <w:r>
              <w:rPr>
                <w:rFonts w:cs="Arial"/>
                <w:szCs w:val="19"/>
              </w:rPr>
              <w:t>Semaglutide (</w:t>
            </w:r>
            <w:r w:rsidRPr="00E80FE6">
              <w:rPr>
                <w:rFonts w:cs="Arial"/>
                <w:i/>
                <w:iCs/>
                <w:szCs w:val="19"/>
              </w:rPr>
              <w:t>Rybelsus</w:t>
            </w:r>
            <w:r>
              <w:rPr>
                <w:rFonts w:cs="Arial"/>
                <w:szCs w:val="19"/>
              </w:rPr>
              <w:t>)</w:t>
            </w:r>
          </w:p>
        </w:tc>
        <w:tc>
          <w:tcPr>
            <w:tcW w:w="3553" w:type="pct"/>
            <w:shd w:val="clear" w:color="auto" w:fill="auto"/>
            <w:tcMar>
              <w:top w:w="57" w:type="dxa"/>
              <w:bottom w:w="57" w:type="dxa"/>
            </w:tcMar>
          </w:tcPr>
          <w:p w14:paraId="68D4A5B7" w14:textId="246C65F2" w:rsidR="00C96C52" w:rsidRPr="008E641A" w:rsidRDefault="00C96C52" w:rsidP="00C96C52">
            <w:pPr>
              <w:tabs>
                <w:tab w:val="center" w:pos="3152"/>
              </w:tabs>
              <w:rPr>
                <w:rFonts w:cs="Arial"/>
                <w:szCs w:val="19"/>
                <w:lang w:val="en-US"/>
              </w:rPr>
            </w:pPr>
            <w:r w:rsidRPr="00790CB1">
              <w:rPr>
                <w:rFonts w:cs="Arial"/>
                <w:szCs w:val="19"/>
                <w:lang w:val="en-US"/>
              </w:rPr>
              <w:tab/>
            </w:r>
            <w:r>
              <w:rPr>
                <w:rFonts w:cs="Arial"/>
                <w:szCs w:val="19"/>
                <w:lang w:val="en-US"/>
              </w:rPr>
              <w:t>T</w:t>
            </w:r>
            <w:r w:rsidRPr="00790CB1">
              <w:rPr>
                <w:rFonts w:cs="Arial"/>
                <w:szCs w:val="19"/>
                <w:lang w:val="en-US"/>
              </w:rPr>
              <w:t xml:space="preserve">o reduce cardiovascular </w:t>
            </w:r>
            <w:r>
              <w:rPr>
                <w:rFonts w:cs="Arial"/>
                <w:szCs w:val="19"/>
                <w:lang w:val="en-US"/>
              </w:rPr>
              <w:t xml:space="preserve">(CV) </w:t>
            </w:r>
            <w:r w:rsidRPr="00790CB1">
              <w:rPr>
                <w:rFonts w:cs="Arial"/>
                <w:szCs w:val="19"/>
                <w:lang w:val="en-US"/>
              </w:rPr>
              <w:t>death, heart attack and stroke in adults with type 2 diabetes mellitus and established CV</w:t>
            </w:r>
            <w:r>
              <w:rPr>
                <w:rFonts w:cs="Arial"/>
                <w:szCs w:val="19"/>
                <w:lang w:val="en-US"/>
              </w:rPr>
              <w:t xml:space="preserve"> disease</w:t>
            </w:r>
            <w:r w:rsidRPr="00790CB1">
              <w:rPr>
                <w:rFonts w:cs="Arial"/>
                <w:szCs w:val="19"/>
                <w:lang w:val="en-US"/>
              </w:rPr>
              <w:t xml:space="preserve"> and/or chronic kidney disease</w:t>
            </w:r>
            <w:r>
              <w:rPr>
                <w:rFonts w:cs="Arial"/>
                <w:szCs w:val="19"/>
                <w:lang w:val="en-US"/>
              </w:rPr>
              <w:t xml:space="preserve"> – MHRA updates SmPC with CV</w:t>
            </w:r>
            <w:r w:rsidRPr="00187444">
              <w:rPr>
                <w:rFonts w:cs="Arial"/>
                <w:szCs w:val="19"/>
                <w:lang w:val="en-US"/>
              </w:rPr>
              <w:t xml:space="preserve"> outcomes data from the SOUL study but no change made to the licensed indication</w:t>
            </w:r>
          </w:p>
        </w:tc>
      </w:tr>
      <w:tr w:rsidR="00C96C52" w14:paraId="25A0A276" w14:textId="77777777" w:rsidTr="00EA4E49">
        <w:tc>
          <w:tcPr>
            <w:tcW w:w="1447" w:type="pct"/>
            <w:gridSpan w:val="3"/>
            <w:shd w:val="clear" w:color="auto" w:fill="auto"/>
            <w:tcMar>
              <w:top w:w="57" w:type="dxa"/>
              <w:bottom w:w="57" w:type="dxa"/>
            </w:tcMar>
          </w:tcPr>
          <w:p w14:paraId="578A3185" w14:textId="0E7810EC" w:rsidR="00C96C52" w:rsidRPr="00A1374E" w:rsidRDefault="00C96C52" w:rsidP="00C96C52">
            <w:pPr>
              <w:rPr>
                <w:rFonts w:cs="Arial"/>
                <w:szCs w:val="19"/>
              </w:rPr>
            </w:pPr>
            <w:r w:rsidRPr="00A1374E">
              <w:rPr>
                <w:rFonts w:cs="Arial"/>
                <w:szCs w:val="19"/>
              </w:rPr>
              <w:t>Sipavibart</w:t>
            </w:r>
            <w:r>
              <w:rPr>
                <w:rFonts w:cs="Arial"/>
                <w:szCs w:val="19"/>
              </w:rPr>
              <w:t xml:space="preserve"> (</w:t>
            </w:r>
            <w:r>
              <w:rPr>
                <w:rFonts w:cs="Arial"/>
                <w:i/>
                <w:iCs/>
                <w:szCs w:val="19"/>
              </w:rPr>
              <w:t>Kavigale</w:t>
            </w:r>
            <w:r>
              <w:rPr>
                <w:rFonts w:cs="Arial"/>
                <w:szCs w:val="19"/>
              </w:rPr>
              <w:t>)</w:t>
            </w:r>
          </w:p>
        </w:tc>
        <w:tc>
          <w:tcPr>
            <w:tcW w:w="3553" w:type="pct"/>
            <w:shd w:val="clear" w:color="auto" w:fill="auto"/>
            <w:tcMar>
              <w:top w:w="57" w:type="dxa"/>
              <w:bottom w:w="57" w:type="dxa"/>
            </w:tcMar>
          </w:tcPr>
          <w:p w14:paraId="6B9A9DB2" w14:textId="25672604" w:rsidR="00C96C52" w:rsidRPr="001A7D04" w:rsidRDefault="00C96C52" w:rsidP="00C96C52">
            <w:pPr>
              <w:tabs>
                <w:tab w:val="center" w:pos="3152"/>
              </w:tabs>
              <w:rPr>
                <w:rFonts w:cs="Arial"/>
                <w:szCs w:val="19"/>
                <w:lang w:val="en-US"/>
              </w:rPr>
            </w:pPr>
            <w:r w:rsidRPr="00E61B0B">
              <w:rPr>
                <w:rFonts w:cs="Arial"/>
                <w:szCs w:val="19"/>
                <w:lang w:val="en-US"/>
              </w:rPr>
              <w:t>Pre</w:t>
            </w:r>
            <w:r w:rsidRPr="00E61B0B">
              <w:rPr>
                <w:rFonts w:ascii="Cambria Math" w:hAnsi="Cambria Math" w:cs="Cambria Math"/>
                <w:szCs w:val="19"/>
                <w:lang w:val="en-US"/>
              </w:rPr>
              <w:t>‑</w:t>
            </w:r>
            <w:r w:rsidRPr="00E61B0B">
              <w:rPr>
                <w:rFonts w:cs="Arial"/>
                <w:szCs w:val="19"/>
                <w:lang w:val="en-US"/>
              </w:rPr>
              <w:t xml:space="preserve">exposure prophylaxis of COVID-19 in adults and adolescents </w:t>
            </w:r>
            <w:r>
              <w:rPr>
                <w:rFonts w:cs="Arial"/>
                <w:szCs w:val="19"/>
                <w:lang w:val="en-US"/>
              </w:rPr>
              <w:t>aged ≥</w:t>
            </w:r>
            <w:r w:rsidRPr="00E61B0B">
              <w:rPr>
                <w:rFonts w:cs="Arial"/>
                <w:szCs w:val="19"/>
                <w:lang w:val="en-US"/>
              </w:rPr>
              <w:t xml:space="preserve">12 years weighing </w:t>
            </w:r>
            <w:r>
              <w:rPr>
                <w:rFonts w:cs="Arial"/>
                <w:szCs w:val="19"/>
                <w:lang w:val="en-US"/>
              </w:rPr>
              <w:t>≥</w:t>
            </w:r>
            <w:r w:rsidRPr="00E61B0B">
              <w:rPr>
                <w:rFonts w:cs="Arial"/>
                <w:szCs w:val="19"/>
                <w:lang w:val="en-US"/>
              </w:rPr>
              <w:t>40kg and who are immunocompromised due to a medical condition or receipt of immunosuppressive treatments</w:t>
            </w:r>
            <w:r>
              <w:rPr>
                <w:rFonts w:cs="Arial"/>
                <w:szCs w:val="19"/>
                <w:lang w:val="en-US"/>
              </w:rPr>
              <w:t xml:space="preserve"> – UK filing withdrawn</w:t>
            </w:r>
          </w:p>
        </w:tc>
      </w:tr>
      <w:tr w:rsidR="00C96C52" w14:paraId="28456B98" w14:textId="77777777" w:rsidTr="00EA4E49">
        <w:tc>
          <w:tcPr>
            <w:tcW w:w="1447" w:type="pct"/>
            <w:gridSpan w:val="3"/>
            <w:shd w:val="clear" w:color="auto" w:fill="auto"/>
            <w:tcMar>
              <w:top w:w="57" w:type="dxa"/>
              <w:bottom w:w="57" w:type="dxa"/>
            </w:tcMar>
          </w:tcPr>
          <w:p w14:paraId="5D4C3AC9" w14:textId="233C5671" w:rsidR="00C96C52" w:rsidRPr="00BB7671" w:rsidRDefault="00C96C52" w:rsidP="00C96C52">
            <w:pPr>
              <w:rPr>
                <w:rFonts w:cs="Arial"/>
                <w:szCs w:val="19"/>
              </w:rPr>
            </w:pPr>
            <w:r w:rsidRPr="00F02A4D">
              <w:rPr>
                <w:rFonts w:cs="Arial"/>
                <w:szCs w:val="19"/>
              </w:rPr>
              <w:t>Tasimelteon (</w:t>
            </w:r>
            <w:r w:rsidRPr="00F02A4D">
              <w:rPr>
                <w:rFonts w:cs="Arial"/>
                <w:i/>
                <w:iCs/>
                <w:szCs w:val="19"/>
              </w:rPr>
              <w:t>Hetlioz</w:t>
            </w:r>
            <w:r>
              <w:rPr>
                <w:rFonts w:cs="Arial"/>
                <w:szCs w:val="19"/>
              </w:rPr>
              <w:t>)</w:t>
            </w:r>
          </w:p>
        </w:tc>
        <w:tc>
          <w:tcPr>
            <w:tcW w:w="3553" w:type="pct"/>
            <w:shd w:val="clear" w:color="auto" w:fill="auto"/>
            <w:tcMar>
              <w:top w:w="57" w:type="dxa"/>
              <w:bottom w:w="57" w:type="dxa"/>
            </w:tcMar>
          </w:tcPr>
          <w:p w14:paraId="50780ADC" w14:textId="41C691D4" w:rsidR="00C96C52" w:rsidRDefault="00C96C52" w:rsidP="00C96C52">
            <w:pPr>
              <w:tabs>
                <w:tab w:val="center" w:pos="3152"/>
              </w:tabs>
              <w:rPr>
                <w:rFonts w:cs="Arial"/>
                <w:szCs w:val="19"/>
                <w:lang w:val="en-US"/>
              </w:rPr>
            </w:pPr>
            <w:r w:rsidRPr="001A7D04">
              <w:rPr>
                <w:rFonts w:cs="Arial"/>
                <w:szCs w:val="19"/>
                <w:lang w:val="en-US"/>
              </w:rPr>
              <w:t xml:space="preserve">Treatment of nighttime sleep disturbances in Smith-Magenis </w:t>
            </w:r>
            <w:r>
              <w:rPr>
                <w:rFonts w:cs="Arial"/>
                <w:szCs w:val="19"/>
                <w:lang w:val="en-US"/>
              </w:rPr>
              <w:t>s</w:t>
            </w:r>
            <w:r w:rsidRPr="001A7D04">
              <w:rPr>
                <w:rFonts w:cs="Arial"/>
                <w:szCs w:val="19"/>
                <w:lang w:val="en-US"/>
              </w:rPr>
              <w:t>yndrome</w:t>
            </w:r>
            <w:r>
              <w:rPr>
                <w:rFonts w:cs="Arial"/>
                <w:szCs w:val="19"/>
                <w:lang w:val="en-US"/>
              </w:rPr>
              <w:t xml:space="preserve"> – not recommended for approval in EU</w:t>
            </w:r>
          </w:p>
        </w:tc>
      </w:tr>
      <w:tr w:rsidR="00C96C52" w:rsidRPr="000F19E1" w14:paraId="0833B050" w14:textId="77777777" w:rsidTr="00EA4E49">
        <w:tc>
          <w:tcPr>
            <w:tcW w:w="1447" w:type="pct"/>
            <w:gridSpan w:val="3"/>
            <w:shd w:val="clear" w:color="auto" w:fill="auto"/>
            <w:tcMar>
              <w:top w:w="0" w:type="dxa"/>
              <w:bottom w:w="0" w:type="dxa"/>
            </w:tcMar>
          </w:tcPr>
          <w:p w14:paraId="0A3D7F9D" w14:textId="77777777" w:rsidR="00C96C52" w:rsidRPr="000F19E1" w:rsidRDefault="00C96C52" w:rsidP="00C96C52">
            <w:pPr>
              <w:rPr>
                <w:rFonts w:cs="Arial"/>
                <w:bCs/>
                <w:sz w:val="8"/>
                <w:szCs w:val="8"/>
              </w:rPr>
            </w:pPr>
          </w:p>
        </w:tc>
        <w:tc>
          <w:tcPr>
            <w:tcW w:w="3553" w:type="pct"/>
            <w:shd w:val="clear" w:color="auto" w:fill="auto"/>
            <w:tcMar>
              <w:top w:w="0" w:type="dxa"/>
              <w:bottom w:w="0" w:type="dxa"/>
            </w:tcMar>
          </w:tcPr>
          <w:p w14:paraId="745551E5" w14:textId="77777777" w:rsidR="00C96C52" w:rsidRPr="000F19E1" w:rsidRDefault="00C96C52" w:rsidP="00C96C52">
            <w:pPr>
              <w:tabs>
                <w:tab w:val="center" w:pos="3152"/>
              </w:tabs>
              <w:rPr>
                <w:rFonts w:cs="Arial"/>
                <w:sz w:val="8"/>
                <w:szCs w:val="8"/>
                <w:lang w:val="en-US"/>
              </w:rPr>
            </w:pPr>
          </w:p>
        </w:tc>
      </w:tr>
      <w:tr w:rsidR="00C96C52" w:rsidRPr="000F19E1" w14:paraId="17695F59" w14:textId="77777777" w:rsidTr="00155BD9">
        <w:tc>
          <w:tcPr>
            <w:tcW w:w="1355" w:type="pct"/>
            <w:gridSpan w:val="2"/>
            <w:shd w:val="clear" w:color="auto" w:fill="DAEEF3"/>
            <w:tcMar>
              <w:top w:w="0" w:type="dxa"/>
              <w:bottom w:w="0" w:type="dxa"/>
            </w:tcMar>
          </w:tcPr>
          <w:p w14:paraId="41FF92C0" w14:textId="77777777" w:rsidR="00C96C52" w:rsidRPr="000F19E1" w:rsidRDefault="00C96C52" w:rsidP="00C96C52">
            <w:pPr>
              <w:rPr>
                <w:rFonts w:cs="Arial"/>
                <w:bCs/>
                <w:sz w:val="8"/>
                <w:szCs w:val="8"/>
              </w:rPr>
            </w:pPr>
          </w:p>
        </w:tc>
        <w:tc>
          <w:tcPr>
            <w:tcW w:w="3645" w:type="pct"/>
            <w:gridSpan w:val="2"/>
            <w:shd w:val="clear" w:color="auto" w:fill="DAEEF3"/>
            <w:tcMar>
              <w:top w:w="0" w:type="dxa"/>
              <w:bottom w:w="0" w:type="dxa"/>
            </w:tcMar>
          </w:tcPr>
          <w:p w14:paraId="04ADB79B" w14:textId="77777777" w:rsidR="00C96C52" w:rsidRPr="000F19E1" w:rsidRDefault="00C96C52" w:rsidP="00C96C52">
            <w:pPr>
              <w:tabs>
                <w:tab w:val="center" w:pos="3152"/>
              </w:tabs>
              <w:rPr>
                <w:rFonts w:cs="Arial"/>
                <w:sz w:val="8"/>
                <w:szCs w:val="8"/>
                <w:lang w:val="en-US"/>
              </w:rPr>
            </w:pPr>
          </w:p>
        </w:tc>
      </w:tr>
    </w:tbl>
    <w:p w14:paraId="407B88FD" w14:textId="77777777" w:rsidR="001A42CE" w:rsidRDefault="001A42CE">
      <w:pPr>
        <w:rPr>
          <w:sz w:val="18"/>
        </w:rPr>
      </w:pPr>
    </w:p>
    <w:p w14:paraId="122EA4E1" w14:textId="77777777" w:rsidR="006825BB" w:rsidRPr="008949EF" w:rsidRDefault="006825BB" w:rsidP="003D16EF">
      <w:pPr>
        <w:rPr>
          <w:sz w:val="8"/>
          <w:szCs w:val="8"/>
        </w:rPr>
      </w:pPr>
    </w:p>
    <w:sectPr w:rsidR="006825BB" w:rsidRPr="008949EF" w:rsidSect="00F566AB">
      <w:headerReference w:type="even" r:id="rId20"/>
      <w:headerReference w:type="default" r:id="rId21"/>
      <w:footerReference w:type="default" r:id="rId22"/>
      <w:headerReference w:type="first" r:id="rId23"/>
      <w:type w:val="evenPage"/>
      <w:pgSz w:w="11906" w:h="16838" w:code="9"/>
      <w:pgMar w:top="1021" w:right="851" w:bottom="102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CA7D" w14:textId="77777777" w:rsidR="008F2C8E" w:rsidRDefault="008F2C8E">
      <w:r>
        <w:separator/>
      </w:r>
    </w:p>
  </w:endnote>
  <w:endnote w:type="continuationSeparator" w:id="0">
    <w:p w14:paraId="084675F6" w14:textId="77777777" w:rsidR="008F2C8E" w:rsidRDefault="008F2C8E">
      <w:r>
        <w:continuationSeparator/>
      </w:r>
    </w:p>
  </w:endnote>
  <w:endnote w:type="continuationNotice" w:id="1">
    <w:p w14:paraId="25D701ED" w14:textId="77777777" w:rsidR="008F2C8E" w:rsidRDefault="008F2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303" w:type="dxa"/>
      <w:tblBorders>
        <w:top w:val="single" w:sz="4" w:space="0" w:color="000000"/>
        <w:left w:val="single" w:sz="4" w:space="0" w:color="000000"/>
        <w:bottom w:val="single" w:sz="4" w:space="0" w:color="000000"/>
        <w:right w:val="single" w:sz="4" w:space="0" w:color="000000"/>
        <w:insideH w:val="single" w:sz="4" w:space="0" w:color="000000"/>
      </w:tblBorders>
      <w:tblLook w:val="01E0" w:firstRow="1" w:lastRow="1" w:firstColumn="1" w:lastColumn="1" w:noHBand="0" w:noVBand="0"/>
    </w:tblPr>
    <w:tblGrid>
      <w:gridCol w:w="10980"/>
    </w:tblGrid>
    <w:tr w:rsidR="000D44DB" w:rsidRPr="00710A1C" w14:paraId="37FC0FF9" w14:textId="77777777">
      <w:tc>
        <w:tcPr>
          <w:tcW w:w="10980" w:type="dxa"/>
          <w:shd w:val="clear" w:color="auto" w:fill="3366FF"/>
          <w:tcMar>
            <w:top w:w="28" w:type="dxa"/>
            <w:left w:w="57" w:type="dxa"/>
            <w:bottom w:w="28" w:type="dxa"/>
            <w:right w:w="57" w:type="dxa"/>
          </w:tcMar>
        </w:tcPr>
        <w:p w14:paraId="4CA38397" w14:textId="77777777" w:rsidR="000D44DB" w:rsidRPr="00710A1C" w:rsidRDefault="000D44DB" w:rsidP="00710A1C">
          <w:pPr>
            <w:spacing w:before="60" w:after="60"/>
            <w:ind w:right="57"/>
            <w:rPr>
              <w:rFonts w:ascii="Verdana" w:hAnsi="Verdana" w:cs="Arial"/>
              <w:b/>
              <w:bCs/>
              <w:color w:val="000080"/>
              <w:sz w:val="15"/>
              <w:szCs w:val="15"/>
              <w:lang w:val="en-US"/>
            </w:rPr>
          </w:pPr>
          <w:r w:rsidRPr="00710A1C">
            <w:rPr>
              <w:rFonts w:ascii="Verdana" w:hAnsi="Verdana" w:cs="Arial"/>
              <w:b/>
              <w:bCs/>
              <w:color w:val="FFFFFF"/>
              <w:sz w:val="15"/>
              <w:szCs w:val="15"/>
              <w:lang w:val="en-US"/>
            </w:rPr>
            <w:t xml:space="preserve">If you do not wish to continue receiving NDO </w:t>
          </w:r>
          <w:r w:rsidRPr="00710A1C">
            <w:rPr>
              <w:rFonts w:ascii="Verdana" w:hAnsi="Verdana" w:cs="Arial"/>
              <w:b/>
              <w:bCs/>
              <w:i/>
              <w:color w:val="FFFFFF"/>
              <w:sz w:val="15"/>
              <w:szCs w:val="15"/>
              <w:lang w:val="en-US"/>
            </w:rPr>
            <w:t>Newsletter</w:t>
          </w:r>
          <w:r w:rsidRPr="00710A1C">
            <w:rPr>
              <w:rFonts w:ascii="Verdana" w:hAnsi="Verdana" w:cs="Arial"/>
              <w:b/>
              <w:bCs/>
              <w:color w:val="FFFFFF"/>
              <w:sz w:val="15"/>
              <w:szCs w:val="15"/>
              <w:lang w:val="en-US"/>
            </w:rPr>
            <w:t xml:space="preserve"> log in and update your profile at </w:t>
          </w:r>
          <w:hyperlink r:id="rId1" w:history="1">
            <w:r w:rsidRPr="00710A1C">
              <w:rPr>
                <w:rStyle w:val="Hyperlink"/>
                <w:rFonts w:cs="Arial"/>
                <w:b/>
                <w:bCs/>
                <w:color w:val="FFFFFF"/>
                <w:sz w:val="15"/>
                <w:szCs w:val="15"/>
                <w:lang w:val="en-US"/>
              </w:rPr>
              <w:t>www.ukmi.nhs.uk/ndo</w:t>
            </w:r>
          </w:hyperlink>
        </w:p>
      </w:tc>
    </w:tr>
    <w:tr w:rsidR="000D44DB" w14:paraId="29495826" w14:textId="77777777">
      <w:tc>
        <w:tcPr>
          <w:tcW w:w="10980" w:type="dxa"/>
          <w:shd w:val="clear" w:color="auto" w:fill="auto"/>
          <w:tcMar>
            <w:left w:w="28" w:type="dxa"/>
            <w:right w:w="28" w:type="dxa"/>
          </w:tcMar>
        </w:tcPr>
        <w:p w14:paraId="5BFD8E4F" w14:textId="77777777" w:rsidR="000D44DB" w:rsidRPr="00710A1C" w:rsidRDefault="000D44DB" w:rsidP="00710A1C">
          <w:pPr>
            <w:spacing w:before="120" w:after="60"/>
            <w:ind w:left="57" w:right="57"/>
            <w:rPr>
              <w:sz w:val="15"/>
              <w:szCs w:val="15"/>
            </w:rPr>
          </w:pPr>
          <w:r w:rsidRPr="00710A1C">
            <w:rPr>
              <w:rFonts w:ascii="Verdana" w:hAnsi="Verdana" w:cs="Arial"/>
              <w:b/>
              <w:bCs/>
              <w:color w:val="333399"/>
              <w:sz w:val="15"/>
              <w:szCs w:val="15"/>
              <w:lang w:val="en-US"/>
            </w:rPr>
            <w:t>In September 2011</w:t>
          </w:r>
          <w:r w:rsidRPr="00710A1C">
            <w:rPr>
              <w:rFonts w:ascii="Verdana" w:hAnsi="Verdana" w:cs="Arial"/>
              <w:bCs/>
              <w:color w:val="000000"/>
              <w:sz w:val="15"/>
              <w:szCs w:val="15"/>
              <w:lang w:val="en-US"/>
            </w:rPr>
            <w:t xml:space="preserve"> </w:t>
          </w:r>
          <w:r w:rsidRPr="00710A1C">
            <w:rPr>
              <w:rFonts w:ascii="Verdana" w:hAnsi="Verdana" w:cs="Arial"/>
              <w:b/>
              <w:bCs/>
              <w:color w:val="000000"/>
              <w:sz w:val="15"/>
              <w:szCs w:val="15"/>
              <w:lang w:val="en-US"/>
            </w:rPr>
            <w:t>| 229 monographs updated | 14 evidence-based evaluations added | 2,200 registered NDO users</w:t>
          </w:r>
        </w:p>
      </w:tc>
    </w:tr>
  </w:tbl>
  <w:p w14:paraId="7DC76F69" w14:textId="77777777" w:rsidR="000D44DB" w:rsidRDefault="000D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6C6E1F13" w14:textId="77777777" w:rsidTr="001734BF">
      <w:trPr>
        <w:trHeight w:val="262"/>
      </w:trPr>
      <w:tc>
        <w:tcPr>
          <w:tcW w:w="10774" w:type="dxa"/>
          <w:shd w:val="clear" w:color="auto" w:fill="0070C0"/>
          <w:tcMar>
            <w:top w:w="28" w:type="dxa"/>
            <w:left w:w="57" w:type="dxa"/>
            <w:bottom w:w="28" w:type="dxa"/>
            <w:right w:w="57" w:type="dxa"/>
          </w:tcMar>
        </w:tcPr>
        <w:p w14:paraId="06830BF3"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201E2987" w14:textId="77777777" w:rsidTr="001734BF">
      <w:trPr>
        <w:trHeight w:val="331"/>
      </w:trPr>
      <w:tc>
        <w:tcPr>
          <w:tcW w:w="10774" w:type="dxa"/>
          <w:shd w:val="clear" w:color="auto" w:fill="DAEEF3"/>
          <w:tcMar>
            <w:left w:w="28" w:type="dxa"/>
            <w:right w:w="28" w:type="dxa"/>
          </w:tcMar>
        </w:tcPr>
        <w:p w14:paraId="57AB05C6"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57097018"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402BED98" w14:textId="77777777" w:rsidR="000D44DB" w:rsidRDefault="000D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227" w:type="dxa"/>
      <w:tblLook w:val="01E0" w:firstRow="1" w:lastRow="1" w:firstColumn="1" w:lastColumn="1" w:noHBand="0" w:noVBand="0"/>
    </w:tblPr>
    <w:tblGrid>
      <w:gridCol w:w="10774"/>
    </w:tblGrid>
    <w:tr w:rsidR="001F4283" w:rsidRPr="00862949" w14:paraId="1A714A38" w14:textId="77777777" w:rsidTr="001734BF">
      <w:trPr>
        <w:trHeight w:val="262"/>
      </w:trPr>
      <w:tc>
        <w:tcPr>
          <w:tcW w:w="10774" w:type="dxa"/>
          <w:shd w:val="clear" w:color="auto" w:fill="0070C0"/>
          <w:tcMar>
            <w:top w:w="28" w:type="dxa"/>
            <w:left w:w="57" w:type="dxa"/>
            <w:bottom w:w="28" w:type="dxa"/>
            <w:right w:w="57" w:type="dxa"/>
          </w:tcMar>
        </w:tcPr>
        <w:p w14:paraId="4EFEA79E" w14:textId="77777777" w:rsidR="001F4283" w:rsidRPr="00114EBA" w:rsidRDefault="001F4283" w:rsidP="001F4283">
          <w:pPr>
            <w:spacing w:before="60" w:after="60"/>
            <w:ind w:right="57"/>
            <w:jc w:val="center"/>
            <w:rPr>
              <w:rFonts w:cs="Arial"/>
              <w:bCs/>
              <w:color w:val="F2F2F2"/>
              <w:sz w:val="17"/>
              <w:szCs w:val="17"/>
              <w:lang w:val="en-US"/>
            </w:rPr>
          </w:pPr>
          <w:r w:rsidRPr="00114EBA">
            <w:rPr>
              <w:rFonts w:cs="Arial"/>
              <w:b/>
              <w:bCs/>
              <w:color w:val="FFFFFF"/>
              <w:sz w:val="17"/>
              <w:szCs w:val="17"/>
              <w:lang w:val="en-US"/>
            </w:rPr>
            <w:t>This is a NHS document not to be used for commercial purposes</w:t>
          </w:r>
        </w:p>
      </w:tc>
    </w:tr>
    <w:tr w:rsidR="001F4283" w:rsidRPr="00862949" w14:paraId="2D4E1FAE" w14:textId="77777777" w:rsidTr="001734BF">
      <w:trPr>
        <w:trHeight w:val="331"/>
      </w:trPr>
      <w:tc>
        <w:tcPr>
          <w:tcW w:w="10774" w:type="dxa"/>
          <w:shd w:val="clear" w:color="auto" w:fill="DAEEF3"/>
          <w:tcMar>
            <w:left w:w="28" w:type="dxa"/>
            <w:right w:w="28" w:type="dxa"/>
          </w:tcMar>
        </w:tcPr>
        <w:p w14:paraId="0738F674" w14:textId="77777777" w:rsidR="001F4283" w:rsidRDefault="001F4283" w:rsidP="001F4283">
          <w:pPr>
            <w:spacing w:before="60" w:after="60"/>
            <w:ind w:right="57"/>
            <w:rPr>
              <w:rFonts w:cs="Arial"/>
              <w:bCs/>
              <w:color w:val="000000"/>
              <w:sz w:val="17"/>
              <w:szCs w:val="17"/>
              <w:lang w:val="en-US"/>
            </w:rPr>
          </w:pPr>
          <w:r w:rsidRPr="00562CE4">
            <w:rPr>
              <w:rFonts w:cs="Arial"/>
              <w:bCs/>
              <w:color w:val="008232"/>
              <w:sz w:val="17"/>
              <w:szCs w:val="17"/>
              <w:lang w:val="en-US"/>
            </w:rPr>
            <w:t xml:space="preserve">New Medicines </w:t>
          </w:r>
          <w:r w:rsidRPr="00114EBA">
            <w:rPr>
              <w:rStyle w:val="Hyperlink"/>
              <w:rFonts w:ascii="Arial" w:hAnsi="Arial"/>
              <w:i/>
              <w:color w:val="0070C0"/>
              <w:sz w:val="17"/>
              <w:szCs w:val="17"/>
              <w:u w:val="none"/>
            </w:rPr>
            <w:t>News</w:t>
          </w:r>
          <w:r w:rsidRPr="00114EBA">
            <w:rPr>
              <w:rFonts w:cs="Arial"/>
              <w:bCs/>
              <w:color w:val="F2F2F2"/>
              <w:sz w:val="17"/>
              <w:szCs w:val="17"/>
              <w:lang w:val="en-US"/>
            </w:rPr>
            <w:t xml:space="preserve"> </w:t>
          </w:r>
          <w:r w:rsidRPr="00114EBA">
            <w:rPr>
              <w:rFonts w:cs="Arial"/>
              <w:bCs/>
              <w:color w:val="000000"/>
              <w:sz w:val="17"/>
              <w:szCs w:val="17"/>
              <w:lang w:val="en-US"/>
            </w:rPr>
            <w:t xml:space="preserve">is one of several horizon scanning resources produced by </w:t>
          </w:r>
          <w:r>
            <w:rPr>
              <w:rFonts w:cs="Arial"/>
              <w:bCs/>
              <w:color w:val="000000"/>
              <w:sz w:val="17"/>
              <w:szCs w:val="17"/>
              <w:lang w:val="en-US"/>
            </w:rPr>
            <w:t>the Specialist Pharmacy Service</w:t>
          </w:r>
          <w:r w:rsidRPr="00114EBA">
            <w:rPr>
              <w:rFonts w:cs="Arial"/>
              <w:bCs/>
              <w:color w:val="000000"/>
              <w:sz w:val="17"/>
              <w:szCs w:val="17"/>
              <w:lang w:val="en-US"/>
            </w:rPr>
            <w:t xml:space="preserve"> to support managed introduction of new medicines into the NHS,</w:t>
          </w:r>
          <w:r w:rsidRPr="00114EBA">
            <w:rPr>
              <w:color w:val="000000"/>
              <w:sz w:val="17"/>
              <w:szCs w:val="17"/>
            </w:rPr>
            <w:t xml:space="preserve"> </w:t>
          </w:r>
          <w:r w:rsidRPr="00114EBA">
            <w:rPr>
              <w:rFonts w:cs="Arial"/>
              <w:bCs/>
              <w:color w:val="000000"/>
              <w:sz w:val="17"/>
              <w:szCs w:val="17"/>
              <w:lang w:val="en-US"/>
            </w:rPr>
            <w:t xml:space="preserve">to help organisations develop medicines management policies and to inform prescribing decisions when a product has been launched. </w:t>
          </w:r>
        </w:p>
        <w:p w14:paraId="2F5364C8" w14:textId="77777777" w:rsidR="001F4283" w:rsidRPr="00114EBA" w:rsidRDefault="001F4283" w:rsidP="001F4283">
          <w:pPr>
            <w:spacing w:before="60" w:after="60"/>
            <w:ind w:right="57"/>
            <w:jc w:val="right"/>
            <w:rPr>
              <w:rFonts w:cs="Arial"/>
              <w:bCs/>
              <w:color w:val="000000"/>
              <w:sz w:val="17"/>
              <w:szCs w:val="17"/>
              <w:lang w:val="en-US"/>
            </w:rPr>
          </w:pPr>
          <w:r w:rsidRPr="00114EBA">
            <w:rPr>
              <w:rFonts w:cs="Arial"/>
              <w:bCs/>
              <w:color w:val="000000"/>
              <w:sz w:val="17"/>
              <w:szCs w:val="17"/>
              <w:lang w:val="en-US"/>
            </w:rPr>
            <w:t>For more information</w:t>
          </w:r>
          <w:r>
            <w:rPr>
              <w:rFonts w:cs="Arial"/>
              <w:bCs/>
              <w:color w:val="000000"/>
              <w:sz w:val="17"/>
              <w:szCs w:val="17"/>
              <w:lang w:val="en-US"/>
            </w:rPr>
            <w:t xml:space="preserve"> or </w:t>
          </w:r>
          <w:r w:rsidRPr="00114EBA">
            <w:rPr>
              <w:rFonts w:cs="Arial"/>
              <w:bCs/>
              <w:color w:val="000000"/>
              <w:sz w:val="17"/>
              <w:szCs w:val="17"/>
              <w:lang w:val="en-US"/>
            </w:rPr>
            <w:t>if you have a question about this newsletter, contact</w:t>
          </w:r>
          <w:r>
            <w:rPr>
              <w:rFonts w:cs="Arial"/>
              <w:bCs/>
              <w:color w:val="000000"/>
              <w:sz w:val="17"/>
              <w:szCs w:val="17"/>
              <w:lang w:val="en-US"/>
            </w:rPr>
            <w:t xml:space="preserve"> </w:t>
          </w:r>
          <w:hyperlink r:id="rId1" w:history="1">
            <w:r w:rsidRPr="00114EBA">
              <w:rPr>
                <w:rStyle w:val="Hyperlink"/>
                <w:rFonts w:ascii="Arial" w:hAnsi="Arial" w:cs="Arial"/>
                <w:bCs/>
                <w:sz w:val="17"/>
                <w:szCs w:val="17"/>
                <w:lang w:val="en-US"/>
              </w:rPr>
              <w:t>nwmedinfo@nhs.net</w:t>
            </w:r>
          </w:hyperlink>
          <w:r w:rsidRPr="00114EBA">
            <w:rPr>
              <w:rFonts w:cs="Arial"/>
              <w:bCs/>
              <w:color w:val="000000"/>
              <w:sz w:val="17"/>
              <w:szCs w:val="17"/>
              <w:lang w:val="en-US"/>
            </w:rPr>
            <w:t>.</w:t>
          </w:r>
        </w:p>
      </w:tc>
    </w:tr>
  </w:tbl>
  <w:p w14:paraId="29221394" w14:textId="77777777" w:rsidR="000D44DB" w:rsidRPr="00862949" w:rsidRDefault="000D44DB" w:rsidP="00F95449">
    <w:pPr>
      <w:spacing w:before="60" w:after="60"/>
      <w:ind w:left="57" w:right="57"/>
      <w:jc w:val="center"/>
      <w:rPr>
        <w:rFonts w:cs="Arial"/>
        <w:bCs/>
        <w:color w:val="333399"/>
        <w:sz w:val="8"/>
        <w:szCs w:val="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CAAD" w14:textId="77777777" w:rsidR="008F2C8E" w:rsidRDefault="008F2C8E">
      <w:r>
        <w:separator/>
      </w:r>
    </w:p>
  </w:footnote>
  <w:footnote w:type="continuationSeparator" w:id="0">
    <w:p w14:paraId="305F1B4C" w14:textId="77777777" w:rsidR="008F2C8E" w:rsidRDefault="008F2C8E">
      <w:r>
        <w:continuationSeparator/>
      </w:r>
    </w:p>
  </w:footnote>
  <w:footnote w:type="continuationNotice" w:id="1">
    <w:p w14:paraId="5F84ACC1" w14:textId="77777777" w:rsidR="008F2C8E" w:rsidRDefault="008F2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224B" w14:textId="30A4A3B8" w:rsidR="000D44DB" w:rsidRPr="00CD021E" w:rsidRDefault="00CD021E" w:rsidP="009A09B7">
    <w:pPr>
      <w:pStyle w:val="Header"/>
      <w:rPr>
        <w:rFonts w:ascii="Verdana" w:hAnsi="Verdana" w:cs="Arial"/>
        <w:b/>
        <w:bCs/>
        <w:i/>
        <w:color w:val="33CCCC"/>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2" behindDoc="1" locked="0" layoutInCell="1" allowOverlap="1" wp14:anchorId="17280ED3" wp14:editId="76CD72B1">
          <wp:simplePos x="0" y="0"/>
          <wp:positionH relativeFrom="column">
            <wp:posOffset>5715000</wp:posOffset>
          </wp:positionH>
          <wp:positionV relativeFrom="paragraph">
            <wp:posOffset>10795</wp:posOffset>
          </wp:positionV>
          <wp:extent cx="816610" cy="463550"/>
          <wp:effectExtent l="0" t="0" r="2540" b="0"/>
          <wp:wrapTight wrapText="bothSides">
            <wp:wrapPolygon edited="0">
              <wp:start x="0" y="0"/>
              <wp:lineTo x="0" y="20416"/>
              <wp:lineTo x="21163" y="20416"/>
              <wp:lineTo x="21163" y="0"/>
              <wp:lineTo x="0" y="0"/>
            </wp:wrapPolygon>
          </wp:wrapTight>
          <wp:docPr id="1372052531" name="Picture 1372052531" descr="UKMi logo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KMi logo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2B5D96D" wp14:editId="5562FE71">
          <wp:simplePos x="0" y="0"/>
          <wp:positionH relativeFrom="column">
            <wp:posOffset>5193665</wp:posOffset>
          </wp:positionH>
          <wp:positionV relativeFrom="paragraph">
            <wp:posOffset>116205</wp:posOffset>
          </wp:positionV>
          <wp:extent cx="533400" cy="219075"/>
          <wp:effectExtent l="0" t="0" r="0" b="9525"/>
          <wp:wrapTight wrapText="bothSides">
            <wp:wrapPolygon edited="0">
              <wp:start x="0" y="0"/>
              <wp:lineTo x="0" y="20661"/>
              <wp:lineTo x="20829" y="20661"/>
              <wp:lineTo x="20829" y="0"/>
              <wp:lineTo x="0" y="0"/>
            </wp:wrapPolygon>
          </wp:wrapTight>
          <wp:docPr id="2119660951" name="Picture 2119660951"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1C818B4" wp14:editId="0468A190">
          <wp:extent cx="1075055" cy="467995"/>
          <wp:effectExtent l="0" t="0" r="0" b="8255"/>
          <wp:docPr id="198913519" name="Picture 198913519" descr="N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5055" cy="467995"/>
                  </a:xfrm>
                  <a:prstGeom prst="rect">
                    <a:avLst/>
                  </a:prstGeom>
                  <a:noFill/>
                  <a:ln>
                    <a:noFill/>
                  </a:ln>
                </pic:spPr>
              </pic:pic>
            </a:graphicData>
          </a:graphic>
        </wp:inline>
      </w:drawing>
    </w:r>
    <w:r w:rsidR="000D44DB" w:rsidRPr="00CD021E">
      <w:rPr>
        <w:rFonts w:ascii="Verdana" w:hAnsi="Verdana" w:cs="Arial"/>
        <w:b/>
        <w:bCs/>
        <w:i/>
        <w:color w:val="33CCCC"/>
        <w:sz w:val="44"/>
        <w:szCs w:val="44"/>
        <w14:shadow w14:blurRad="50800" w14:dist="38100" w14:dir="2700000" w14:sx="100000" w14:sy="100000" w14:kx="0" w14:ky="0" w14:algn="tl">
          <w14:srgbClr w14:val="000000">
            <w14:alpha w14:val="60000"/>
          </w14:srgbClr>
        </w14:shadow>
      </w:rPr>
      <w:t>Newsletter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562D" w14:textId="372993CD" w:rsidR="000D44DB" w:rsidRPr="00CD021E" w:rsidRDefault="00A75BCB" w:rsidP="00BA65A9">
    <w:pPr>
      <w:pStyle w:val="Header"/>
      <w:ind w:left="-142"/>
      <w:rPr>
        <w:rFonts w:cs="Arial"/>
        <w:b/>
        <w:bCs/>
        <w:color w:val="244061"/>
        <w:sz w:val="32"/>
        <w:szCs w:val="32"/>
        <w14:shadow w14:blurRad="50800" w14:dist="38100" w14:dir="2700000" w14:sx="100000" w14:sy="100000" w14:kx="0" w14:ky="0" w14:algn="tl">
          <w14:srgbClr w14:val="000000">
            <w14:alpha w14:val="60000"/>
          </w14:srgbClr>
        </w14:shadow>
      </w:rPr>
    </w:pPr>
    <w:r>
      <w:rPr>
        <w:noProof/>
        <w:color w:val="00B050"/>
        <w:sz w:val="32"/>
        <w:szCs w:val="32"/>
      </w:rPr>
      <w:drawing>
        <wp:anchor distT="0" distB="0" distL="114300" distR="114300" simplePos="0" relativeHeight="251658240" behindDoc="0" locked="0" layoutInCell="1" allowOverlap="1" wp14:anchorId="3D0AC191" wp14:editId="60B0B09D">
          <wp:simplePos x="0" y="0"/>
          <wp:positionH relativeFrom="column">
            <wp:posOffset>6073775</wp:posOffset>
          </wp:positionH>
          <wp:positionV relativeFrom="paragraph">
            <wp:posOffset>-21590</wp:posOffset>
          </wp:positionV>
          <wp:extent cx="521335" cy="213995"/>
          <wp:effectExtent l="0" t="0" r="0" b="0"/>
          <wp:wrapNone/>
          <wp:docPr id="382675172" name="Picture 382675172"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3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AC4F5" w14:textId="77777777" w:rsidR="000D44DB" w:rsidRPr="00CD021E" w:rsidRDefault="00CB5BC1" w:rsidP="00CB5BC1">
    <w:pPr>
      <w:pStyle w:val="Header"/>
      <w:tabs>
        <w:tab w:val="left" w:pos="7830"/>
      </w:tabs>
      <w:rPr>
        <w:rFonts w:cs="Arial"/>
        <w:b/>
        <w:bCs/>
        <w:i/>
        <w:color w:val="244061"/>
        <w:sz w:val="72"/>
        <w:szCs w:val="72"/>
        <w14:shadow w14:blurRad="50800" w14:dist="38100" w14:dir="2700000" w14:sx="100000" w14:sy="100000" w14:kx="0" w14:ky="0" w14:algn="tl">
          <w14:srgbClr w14:val="000000">
            <w14:alpha w14:val="60000"/>
          </w14:srgbClr>
        </w14:shadow>
      </w:rPr>
    </w:pPr>
    <w:r w:rsidRPr="00562CE4">
      <w:rPr>
        <w:rFonts w:cs="Arial"/>
        <w:b/>
        <w:bCs/>
        <w:noProof/>
        <w:color w:val="008232"/>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0" behindDoc="0" locked="0" layoutInCell="1" allowOverlap="1" wp14:anchorId="0DCD6AD4" wp14:editId="1C8810D3">
          <wp:simplePos x="0" y="0"/>
          <wp:positionH relativeFrom="column">
            <wp:posOffset>-146685</wp:posOffset>
          </wp:positionH>
          <wp:positionV relativeFrom="paragraph">
            <wp:posOffset>115570</wp:posOffset>
          </wp:positionV>
          <wp:extent cx="1079500" cy="344170"/>
          <wp:effectExtent l="0" t="0" r="6350" b="0"/>
          <wp:wrapSquare wrapText="bothSides"/>
          <wp:docPr id="741007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0"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44DB" w:rsidRPr="00562CE4">
      <w:rPr>
        <w:rFonts w:cs="Arial"/>
        <w:b/>
        <w:bCs/>
        <w:color w:val="008232"/>
        <w:sz w:val="72"/>
        <w:szCs w:val="72"/>
        <w14:shadow w14:blurRad="50800" w14:dist="38100" w14:dir="2700000" w14:sx="100000" w14:sy="100000" w14:kx="0" w14:ky="0" w14:algn="tl">
          <w14:srgbClr w14:val="000000">
            <w14:alpha w14:val="60000"/>
          </w14:srgbClr>
        </w14:shadow>
      </w:rPr>
      <w:t>New Medicines</w:t>
    </w:r>
    <w:r w:rsidR="000D44DB" w:rsidRPr="00CB5BC1">
      <w:rPr>
        <w:rFonts w:cs="Arial"/>
        <w:b/>
        <w:bCs/>
        <w:i/>
        <w:color w:val="00A249"/>
        <w:sz w:val="72"/>
        <w:szCs w:val="72"/>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72"/>
        <w:szCs w:val="72"/>
        <w14:shadow w14:blurRad="50800" w14:dist="38100" w14:dir="2700000" w14:sx="100000" w14:sy="100000" w14:kx="0" w14:ky="0" w14:algn="tl">
          <w14:srgbClr w14:val="000000">
            <w14:alpha w14:val="60000"/>
          </w14:srgbClr>
        </w14:shadow>
      </w:rPr>
      <w:t>News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D44DB" w:rsidRPr="00CD021E" w14:paraId="01A505B7" w14:textId="77777777" w:rsidTr="002772ED">
      <w:tc>
        <w:tcPr>
          <w:tcW w:w="10774" w:type="dxa"/>
          <w:tcBorders>
            <w:top w:val="nil"/>
            <w:left w:val="nil"/>
            <w:bottom w:val="nil"/>
            <w:right w:val="nil"/>
          </w:tcBorders>
          <w:shd w:val="clear" w:color="auto" w:fill="DAEEF3"/>
        </w:tcPr>
        <w:p w14:paraId="49529EDB" w14:textId="09424FD1" w:rsidR="000D44DB" w:rsidRPr="00CD021E" w:rsidRDefault="0061667F" w:rsidP="00EB3E6F">
          <w:pPr>
            <w:pStyle w:val="Header"/>
            <w:spacing w:before="60" w:after="60"/>
            <w:rPr>
              <w:rFonts w:cs="Arial"/>
              <w:b/>
              <w:bCs/>
              <w:color w:val="000000"/>
              <w:sz w:val="36"/>
              <w:szCs w:val="36"/>
              <w14:shadow w14:blurRad="50800" w14:dist="38100" w14:dir="2700000" w14:sx="100000" w14:sy="100000" w14:kx="0" w14:ky="0" w14:algn="tl">
                <w14:srgbClr w14:val="000000">
                  <w14:alpha w14:val="60000"/>
                </w14:srgbClr>
              </w14:shadow>
            </w:rPr>
          </w:pPr>
          <w:r>
            <w:rPr>
              <w:rFonts w:cs="Arial"/>
              <w:b/>
              <w:bCs/>
              <w:color w:val="0070C0"/>
              <w:sz w:val="36"/>
              <w:szCs w:val="36"/>
              <w14:shadow w14:blurRad="50800" w14:dist="38100" w14:dir="2700000" w14:sx="100000" w14:sy="100000" w14:kx="0" w14:ky="0" w14:algn="tl">
                <w14:srgbClr w14:val="000000">
                  <w14:alpha w14:val="60000"/>
                </w14:srgbClr>
              </w14:shadow>
            </w:rPr>
            <w:t>November</w:t>
          </w:r>
          <w:r w:rsidR="00A75BCB">
            <w:rPr>
              <w:rFonts w:cs="Arial"/>
              <w:b/>
              <w:bCs/>
              <w:color w:val="0070C0"/>
              <w:sz w:val="36"/>
              <w:szCs w:val="36"/>
              <w14:shadow w14:blurRad="50800" w14:dist="38100" w14:dir="2700000" w14:sx="100000" w14:sy="100000" w14:kx="0" w14:ky="0" w14:algn="tl">
                <w14:srgbClr w14:val="000000">
                  <w14:alpha w14:val="60000"/>
                </w14:srgbClr>
              </w14:shadow>
            </w:rPr>
            <w:t xml:space="preserve"> 202</w:t>
          </w:r>
          <w:r w:rsidR="00532402">
            <w:rPr>
              <w:rFonts w:cs="Arial"/>
              <w:b/>
              <w:bCs/>
              <w:color w:val="0070C0"/>
              <w:sz w:val="36"/>
              <w:szCs w:val="36"/>
              <w14:shadow w14:blurRad="50800" w14:dist="38100" w14:dir="2700000" w14:sx="100000" w14:sy="100000" w14:kx="0" w14:ky="0" w14:algn="tl">
                <w14:srgbClr w14:val="000000">
                  <w14:alpha w14:val="60000"/>
                </w14:srgbClr>
              </w14:shadow>
            </w:rPr>
            <w:t>5</w:t>
          </w:r>
        </w:p>
      </w:tc>
    </w:tr>
    <w:tr w:rsidR="000D44DB" w:rsidRPr="00CD021E" w14:paraId="4478FD04" w14:textId="77777777" w:rsidTr="002772ED">
      <w:tc>
        <w:tcPr>
          <w:tcW w:w="10774" w:type="dxa"/>
          <w:tcBorders>
            <w:top w:val="nil"/>
            <w:left w:val="nil"/>
            <w:bottom w:val="nil"/>
            <w:right w:val="nil"/>
          </w:tcBorders>
          <w:shd w:val="clear" w:color="auto" w:fill="0070C0"/>
        </w:tcPr>
        <w:p w14:paraId="32D8DBE7" w14:textId="77777777" w:rsidR="000D44DB" w:rsidRPr="00CD021E" w:rsidRDefault="000D44DB" w:rsidP="00395D20">
          <w:pPr>
            <w:pStyle w:val="Header"/>
            <w:tabs>
              <w:tab w:val="clear" w:pos="4153"/>
              <w:tab w:val="clear" w:pos="8306"/>
              <w:tab w:val="left" w:pos="2197"/>
            </w:tabs>
            <w:rPr>
              <w:rFonts w:cs="Arial"/>
              <w:b/>
              <w:bCs/>
              <w:color w:val="0070C0"/>
              <w:sz w:val="8"/>
              <w:szCs w:val="8"/>
              <w14:shadow w14:blurRad="50800" w14:dist="38100" w14:dir="2700000" w14:sx="100000" w14:sy="100000" w14:kx="0" w14:ky="0" w14:algn="tl">
                <w14:srgbClr w14:val="000000">
                  <w14:alpha w14:val="60000"/>
                </w14:srgbClr>
              </w14:shadow>
            </w:rPr>
          </w:pPr>
          <w:r w:rsidRPr="00CD021E">
            <w:rPr>
              <w:rFonts w:cs="Arial"/>
              <w:b/>
              <w:bCs/>
              <w:color w:val="0070C0"/>
              <w:sz w:val="28"/>
              <w:szCs w:val="28"/>
              <w14:shadow w14:blurRad="50800" w14:dist="38100" w14:dir="2700000" w14:sx="100000" w14:sy="100000" w14:kx="0" w14:ky="0" w14:algn="tl">
                <w14:srgbClr w14:val="000000">
                  <w14:alpha w14:val="60000"/>
                </w14:srgbClr>
              </w14:shadow>
            </w:rPr>
            <w:tab/>
          </w:r>
        </w:p>
      </w:tc>
    </w:tr>
    <w:tr w:rsidR="000D44DB" w:rsidRPr="00CD021E" w14:paraId="498D8B85" w14:textId="77777777" w:rsidTr="002772ED">
      <w:tc>
        <w:tcPr>
          <w:tcW w:w="10774" w:type="dxa"/>
          <w:tcBorders>
            <w:top w:val="nil"/>
            <w:left w:val="nil"/>
            <w:bottom w:val="nil"/>
            <w:right w:val="nil"/>
          </w:tcBorders>
          <w:shd w:val="clear" w:color="auto" w:fill="DAEEF3"/>
        </w:tcPr>
        <w:p w14:paraId="708F6E76" w14:textId="77777777" w:rsidR="000D44DB" w:rsidRPr="00C315D6" w:rsidRDefault="00885CAE" w:rsidP="00CB6344">
          <w:pPr>
            <w:pStyle w:val="Header"/>
            <w:tabs>
              <w:tab w:val="clear" w:pos="4153"/>
              <w:tab w:val="clear" w:pos="8306"/>
              <w:tab w:val="left" w:pos="2197"/>
            </w:tabs>
            <w:spacing w:before="120" w:after="120"/>
            <w:rPr>
              <w:rFonts w:cs="Arial"/>
              <w:b/>
              <w:bCs/>
              <w:color w:val="0070C0"/>
              <w:sz w:val="18"/>
              <w:szCs w:val="18"/>
            </w:rPr>
          </w:pPr>
          <w:r w:rsidRPr="009B0BCE">
            <w:rPr>
              <w:rFonts w:cs="Arial"/>
              <w:b/>
              <w:bCs/>
              <w:color w:val="0070C0"/>
              <w:sz w:val="18"/>
              <w:szCs w:val="18"/>
            </w:rPr>
            <w:t xml:space="preserve">This newsletter is produced by </w:t>
          </w:r>
          <w:hyperlink r:id="rId3" w:history="1">
            <w:r w:rsidRPr="00551321">
              <w:rPr>
                <w:rStyle w:val="Hyperlink"/>
                <w:rFonts w:ascii="Arial" w:hAnsi="Arial" w:cs="Arial"/>
                <w:b/>
                <w:bCs/>
              </w:rPr>
              <w:t xml:space="preserve">SPS </w:t>
            </w:r>
            <w:r w:rsidR="003C4624">
              <w:rPr>
                <w:rStyle w:val="Hyperlink"/>
                <w:rFonts w:ascii="Arial" w:hAnsi="Arial" w:cs="Arial"/>
                <w:b/>
                <w:bCs/>
              </w:rPr>
              <w:t>H</w:t>
            </w:r>
            <w:r w:rsidRPr="00551321">
              <w:rPr>
                <w:rStyle w:val="Hyperlink"/>
                <w:rFonts w:ascii="Arial" w:hAnsi="Arial" w:cs="Arial"/>
                <w:b/>
                <w:bCs/>
              </w:rPr>
              <w:t xml:space="preserve">orizon </w:t>
            </w:r>
            <w:r w:rsidR="003C4624">
              <w:rPr>
                <w:rStyle w:val="Hyperlink"/>
                <w:rFonts w:ascii="Arial" w:hAnsi="Arial" w:cs="Arial"/>
                <w:b/>
                <w:bCs/>
              </w:rPr>
              <w:t>S</w:t>
            </w:r>
            <w:r w:rsidRPr="00551321">
              <w:rPr>
                <w:rStyle w:val="Hyperlink"/>
                <w:rFonts w:ascii="Arial" w:hAnsi="Arial" w:cs="Arial"/>
                <w:b/>
                <w:bCs/>
              </w:rPr>
              <w:t>canning</w:t>
            </w:r>
          </w:hyperlink>
          <w:r w:rsidRPr="009B0BCE">
            <w:rPr>
              <w:rFonts w:cs="Arial"/>
              <w:b/>
              <w:bCs/>
              <w:color w:val="0070C0"/>
              <w:sz w:val="18"/>
              <w:szCs w:val="18"/>
            </w:rPr>
            <w:t xml:space="preserve"> and highlights recent</w:t>
          </w:r>
          <w:r>
            <w:rPr>
              <w:rFonts w:cs="Arial"/>
              <w:b/>
              <w:bCs/>
              <w:color w:val="0070C0"/>
              <w:sz w:val="18"/>
              <w:szCs w:val="18"/>
            </w:rPr>
            <w:t xml:space="preserve"> new product launches and </w:t>
          </w:r>
          <w:r w:rsidRPr="009B0BCE">
            <w:rPr>
              <w:rFonts w:cs="Arial"/>
              <w:b/>
              <w:bCs/>
              <w:color w:val="0070C0"/>
              <w:sz w:val="18"/>
              <w:szCs w:val="18"/>
            </w:rPr>
            <w:t xml:space="preserve">medicines regulatory changes. More detailed information on medicines </w:t>
          </w:r>
          <w:r>
            <w:rPr>
              <w:rFonts w:cs="Arial"/>
              <w:b/>
              <w:bCs/>
              <w:color w:val="0070C0"/>
              <w:sz w:val="18"/>
              <w:szCs w:val="18"/>
            </w:rPr>
            <w:t>estimated</w:t>
          </w:r>
          <w:r w:rsidRPr="009B0BCE">
            <w:rPr>
              <w:rFonts w:cs="Arial"/>
              <w:b/>
              <w:bCs/>
              <w:color w:val="0070C0"/>
              <w:sz w:val="18"/>
              <w:szCs w:val="18"/>
            </w:rPr>
            <w:t xml:space="preserve"> to </w:t>
          </w:r>
          <w:r>
            <w:rPr>
              <w:rFonts w:cs="Arial"/>
              <w:b/>
              <w:bCs/>
              <w:color w:val="0070C0"/>
              <w:sz w:val="18"/>
              <w:szCs w:val="18"/>
            </w:rPr>
            <w:t>become available for use</w:t>
          </w:r>
          <w:r w:rsidRPr="009B0BCE">
            <w:rPr>
              <w:rFonts w:cs="Arial"/>
              <w:b/>
              <w:bCs/>
              <w:color w:val="0070C0"/>
              <w:sz w:val="18"/>
              <w:szCs w:val="18"/>
            </w:rPr>
            <w:t xml:space="preserve"> in the next 2</w:t>
          </w:r>
          <w:r>
            <w:rPr>
              <w:rFonts w:cs="Arial"/>
              <w:b/>
              <w:bCs/>
              <w:color w:val="0070C0"/>
              <w:sz w:val="18"/>
              <w:szCs w:val="18"/>
            </w:rPr>
            <w:t xml:space="preserve"> financial years</w:t>
          </w:r>
          <w:r w:rsidRPr="009B0BCE">
            <w:rPr>
              <w:rFonts w:cs="Arial"/>
              <w:b/>
              <w:bCs/>
              <w:color w:val="0070C0"/>
              <w:sz w:val="18"/>
              <w:szCs w:val="18"/>
            </w:rPr>
            <w:t xml:space="preserve"> and on marketed medicines expected to have major new indications approved</w:t>
          </w:r>
          <w:r>
            <w:rPr>
              <w:rFonts w:cs="Arial"/>
              <w:b/>
              <w:bCs/>
              <w:color w:val="0070C0"/>
              <w:sz w:val="18"/>
              <w:szCs w:val="18"/>
            </w:rPr>
            <w:t xml:space="preserve"> is</w:t>
          </w:r>
          <w:r w:rsidRPr="009B0BCE">
            <w:rPr>
              <w:rFonts w:cs="Arial"/>
              <w:b/>
              <w:bCs/>
              <w:color w:val="0070C0"/>
              <w:sz w:val="18"/>
              <w:szCs w:val="18"/>
            </w:rPr>
            <w:t xml:space="preserve"> in </w:t>
          </w:r>
          <w:hyperlink r:id="rId4" w:history="1">
            <w:r w:rsidRPr="009B0BCE">
              <w:rPr>
                <w:rStyle w:val="Hyperlink"/>
                <w:rFonts w:ascii="Arial" w:hAnsi="Arial" w:cs="Arial"/>
                <w:b/>
                <w:bCs/>
              </w:rPr>
              <w:t>Prescribing Outlook</w:t>
            </w:r>
          </w:hyperlink>
          <w:r w:rsidRPr="009B0BCE">
            <w:rPr>
              <w:rFonts w:cs="Arial"/>
              <w:b/>
              <w:bCs/>
              <w:color w:val="0070C0"/>
              <w:sz w:val="18"/>
              <w:szCs w:val="18"/>
            </w:rPr>
            <w:t>.</w:t>
          </w:r>
        </w:p>
      </w:tc>
    </w:tr>
  </w:tbl>
  <w:p w14:paraId="562E4176" w14:textId="77777777" w:rsidR="000D44DB" w:rsidRPr="00CD021E" w:rsidRDefault="000D44DB" w:rsidP="00A56726">
    <w:pPr>
      <w:pStyle w:val="Header"/>
      <w:rPr>
        <w:rFonts w:cs="Arial"/>
        <w:b/>
        <w:bCs/>
        <w:color w:val="244061"/>
        <w:sz w:val="8"/>
        <w:szCs w:val="8"/>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C340" w14:textId="6F6C812E" w:rsidR="0090527B" w:rsidRDefault="00905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258F" w14:textId="1B9F9375" w:rsidR="0090527B" w:rsidRDefault="00905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4630" w14:textId="53E8BB08" w:rsidR="000D44DB" w:rsidRPr="00CD021E" w:rsidRDefault="00CB5BC1" w:rsidP="00AC0996">
    <w:pPr>
      <w:pStyle w:val="Header"/>
      <w:tabs>
        <w:tab w:val="clear" w:pos="8306"/>
        <w:tab w:val="left" w:pos="7830"/>
      </w:tabs>
      <w:spacing w:before="120"/>
      <w:ind w:left="-170"/>
      <w:rPr>
        <w:rFonts w:cs="Arial"/>
        <w:b/>
        <w:bCs/>
        <w:i/>
        <w:color w:val="31849B"/>
        <w:sz w:val="44"/>
        <w:szCs w:val="44"/>
        <w14:shadow w14:blurRad="50800" w14:dist="38100" w14:dir="2700000" w14:sx="100000" w14:sy="100000" w14:kx="0" w14:ky="0" w14:algn="tl">
          <w14:srgbClr w14:val="000000">
            <w14:alpha w14:val="60000"/>
          </w14:srgbClr>
        </w14:shadow>
      </w:rPr>
    </w:pPr>
    <w:r w:rsidRPr="00CB5BC1">
      <w:rPr>
        <w:rFonts w:cs="Arial"/>
        <w:b/>
        <w:bCs/>
        <w:noProof/>
        <w:color w:val="008A3E"/>
        <w:sz w:val="72"/>
        <w:szCs w:val="72"/>
        <w14:shadow w14:blurRad="50800" w14:dist="38100" w14:dir="2700000" w14:sx="100000" w14:sy="100000" w14:kx="0" w14:ky="0" w14:algn="tl">
          <w14:srgbClr w14:val="000000">
            <w14:alpha w14:val="60000"/>
          </w14:srgbClr>
        </w14:shadow>
      </w:rPr>
      <w:drawing>
        <wp:anchor distT="0" distB="0" distL="114300" distR="114300" simplePos="0" relativeHeight="251658251" behindDoc="0" locked="0" layoutInCell="1" allowOverlap="1" wp14:anchorId="5536EC7C" wp14:editId="371B3587">
          <wp:simplePos x="0" y="0"/>
          <wp:positionH relativeFrom="column">
            <wp:posOffset>-89535</wp:posOffset>
          </wp:positionH>
          <wp:positionV relativeFrom="paragraph">
            <wp:posOffset>120650</wp:posOffset>
          </wp:positionV>
          <wp:extent cx="999490" cy="318770"/>
          <wp:effectExtent l="0" t="0" r="0" b="5080"/>
          <wp:wrapSquare wrapText="bothSides"/>
          <wp:docPr id="1918491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BCB" w:rsidRPr="00CB5BC1">
      <w:rPr>
        <w:rFonts w:cs="Arial"/>
        <w:noProof/>
        <w:color w:val="008A3E"/>
        <w:sz w:val="40"/>
        <w:szCs w:val="40"/>
      </w:rPr>
      <w:drawing>
        <wp:anchor distT="0" distB="0" distL="114300" distR="114300" simplePos="0" relativeHeight="251658243" behindDoc="0" locked="0" layoutInCell="1" allowOverlap="1" wp14:anchorId="29E145C6" wp14:editId="423E8C94">
          <wp:simplePos x="0" y="0"/>
          <wp:positionH relativeFrom="column">
            <wp:posOffset>6182360</wp:posOffset>
          </wp:positionH>
          <wp:positionV relativeFrom="paragraph">
            <wp:posOffset>93345</wp:posOffset>
          </wp:positionV>
          <wp:extent cx="469265" cy="192405"/>
          <wp:effectExtent l="0" t="0" r="6985" b="0"/>
          <wp:wrapNone/>
          <wp:docPr id="8" name="Picture 8" descr="NHS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19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DB" w:rsidRPr="00CB5BC1">
      <w:rPr>
        <w:rFonts w:cs="Arial"/>
        <w:b/>
        <w:bCs/>
        <w:color w:val="008A3E"/>
        <w:sz w:val="44"/>
        <w:szCs w:val="44"/>
        <w14:shadow w14:blurRad="50800" w14:dist="38100" w14:dir="2700000" w14:sx="100000" w14:sy="100000" w14:kx="0" w14:ky="0" w14:algn="tl">
          <w14:srgbClr w14:val="000000">
            <w14:alpha w14:val="60000"/>
          </w14:srgbClr>
        </w14:shadow>
      </w:rPr>
      <w:t>New Medicines</w:t>
    </w:r>
    <w:r w:rsidR="000D44DB" w:rsidRPr="00CD021E">
      <w:rPr>
        <w:rFonts w:cs="Arial"/>
        <w:b/>
        <w:bCs/>
        <w:i/>
        <w:color w:val="244061"/>
        <w:sz w:val="44"/>
        <w:szCs w:val="44"/>
        <w14:shadow w14:blurRad="50800" w14:dist="38100" w14:dir="2700000" w14:sx="100000" w14:sy="100000" w14:kx="0" w14:ky="0" w14:algn="tl">
          <w14:srgbClr w14:val="000000">
            <w14:alpha w14:val="60000"/>
          </w14:srgbClr>
        </w14:shadow>
      </w:rPr>
      <w:t xml:space="preserve"> </w:t>
    </w:r>
    <w:r w:rsidR="000D44DB" w:rsidRPr="00CD021E">
      <w:rPr>
        <w:rFonts w:cs="Arial"/>
        <w:b/>
        <w:bCs/>
        <w:i/>
        <w:color w:val="0070C0"/>
        <w:sz w:val="44"/>
        <w:szCs w:val="44"/>
        <w14:shadow w14:blurRad="50800" w14:dist="38100" w14:dir="2700000" w14:sx="100000" w14:sy="100000" w14:kx="0" w14:ky="0" w14:algn="tl">
          <w14:srgbClr w14:val="000000">
            <w14:alpha w14:val="60000"/>
          </w14:srgbClr>
        </w14:shadow>
      </w:rPr>
      <w:t>News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B1A1" w14:textId="5117DDAA" w:rsidR="0090527B" w:rsidRDefault="0090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2.5pt;height:499pt;visibility:visible;mso-wrap-style:square" o:bullet="t">
        <v:imagedata r:id="rId1" o:title=""/>
      </v:shape>
    </w:pict>
  </w:numPicBullet>
  <w:abstractNum w:abstractNumId="0" w15:restartNumberingAfterBreak="0">
    <w:nsid w:val="429E6EF9"/>
    <w:multiLevelType w:val="multilevel"/>
    <w:tmpl w:val="29F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55FA1"/>
    <w:multiLevelType w:val="hybridMultilevel"/>
    <w:tmpl w:val="BCF48EAE"/>
    <w:lvl w:ilvl="0" w:tplc="1AB04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104711">
    <w:abstractNumId w:val="1"/>
  </w:num>
  <w:num w:numId="2" w16cid:durableId="42692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D"/>
    <w:rsid w:val="0000035C"/>
    <w:rsid w:val="000005B6"/>
    <w:rsid w:val="000005EF"/>
    <w:rsid w:val="0000094D"/>
    <w:rsid w:val="00000A0A"/>
    <w:rsid w:val="00000BE4"/>
    <w:rsid w:val="00000F87"/>
    <w:rsid w:val="0000199C"/>
    <w:rsid w:val="00001F19"/>
    <w:rsid w:val="0000290B"/>
    <w:rsid w:val="00002A08"/>
    <w:rsid w:val="00003329"/>
    <w:rsid w:val="00003421"/>
    <w:rsid w:val="000034B3"/>
    <w:rsid w:val="00003C95"/>
    <w:rsid w:val="00003D95"/>
    <w:rsid w:val="000042E9"/>
    <w:rsid w:val="00005014"/>
    <w:rsid w:val="00005119"/>
    <w:rsid w:val="00005271"/>
    <w:rsid w:val="000052F0"/>
    <w:rsid w:val="00005673"/>
    <w:rsid w:val="00005703"/>
    <w:rsid w:val="000057D2"/>
    <w:rsid w:val="00005CE9"/>
    <w:rsid w:val="00006527"/>
    <w:rsid w:val="000065F4"/>
    <w:rsid w:val="000072EC"/>
    <w:rsid w:val="0000751E"/>
    <w:rsid w:val="000075ED"/>
    <w:rsid w:val="0000769C"/>
    <w:rsid w:val="00007B75"/>
    <w:rsid w:val="000102A1"/>
    <w:rsid w:val="000102E8"/>
    <w:rsid w:val="00010447"/>
    <w:rsid w:val="0001067C"/>
    <w:rsid w:val="00010B1D"/>
    <w:rsid w:val="00011176"/>
    <w:rsid w:val="000111C5"/>
    <w:rsid w:val="000114B1"/>
    <w:rsid w:val="00011D4B"/>
    <w:rsid w:val="00011E5B"/>
    <w:rsid w:val="00012B74"/>
    <w:rsid w:val="00012BA7"/>
    <w:rsid w:val="00012DCA"/>
    <w:rsid w:val="00012E19"/>
    <w:rsid w:val="00012E28"/>
    <w:rsid w:val="000132A0"/>
    <w:rsid w:val="00013575"/>
    <w:rsid w:val="000135BF"/>
    <w:rsid w:val="00013853"/>
    <w:rsid w:val="00013B16"/>
    <w:rsid w:val="00013CD9"/>
    <w:rsid w:val="00013E21"/>
    <w:rsid w:val="00014028"/>
    <w:rsid w:val="00014115"/>
    <w:rsid w:val="00014240"/>
    <w:rsid w:val="0001441B"/>
    <w:rsid w:val="00014631"/>
    <w:rsid w:val="00014657"/>
    <w:rsid w:val="000148ED"/>
    <w:rsid w:val="00014AFE"/>
    <w:rsid w:val="00015455"/>
    <w:rsid w:val="000158C2"/>
    <w:rsid w:val="00015915"/>
    <w:rsid w:val="000159C6"/>
    <w:rsid w:val="00015A48"/>
    <w:rsid w:val="00015B43"/>
    <w:rsid w:val="000165BE"/>
    <w:rsid w:val="000165FF"/>
    <w:rsid w:val="000166D7"/>
    <w:rsid w:val="0001694F"/>
    <w:rsid w:val="00016C87"/>
    <w:rsid w:val="00016CDC"/>
    <w:rsid w:val="00016E17"/>
    <w:rsid w:val="000171BC"/>
    <w:rsid w:val="000173BA"/>
    <w:rsid w:val="0001791D"/>
    <w:rsid w:val="00017CA2"/>
    <w:rsid w:val="00017D66"/>
    <w:rsid w:val="00020261"/>
    <w:rsid w:val="000202B3"/>
    <w:rsid w:val="000202FE"/>
    <w:rsid w:val="000203F6"/>
    <w:rsid w:val="000207FB"/>
    <w:rsid w:val="00020D00"/>
    <w:rsid w:val="0002143C"/>
    <w:rsid w:val="0002181A"/>
    <w:rsid w:val="000225BB"/>
    <w:rsid w:val="000225EE"/>
    <w:rsid w:val="0002265E"/>
    <w:rsid w:val="0002269F"/>
    <w:rsid w:val="00022775"/>
    <w:rsid w:val="0002291B"/>
    <w:rsid w:val="000229C8"/>
    <w:rsid w:val="00022CCE"/>
    <w:rsid w:val="00022FB9"/>
    <w:rsid w:val="0002372C"/>
    <w:rsid w:val="00023B87"/>
    <w:rsid w:val="00023E2E"/>
    <w:rsid w:val="00023FBB"/>
    <w:rsid w:val="00025142"/>
    <w:rsid w:val="00025A1E"/>
    <w:rsid w:val="00025AD9"/>
    <w:rsid w:val="00025B8F"/>
    <w:rsid w:val="00026E35"/>
    <w:rsid w:val="00026FAE"/>
    <w:rsid w:val="0002715B"/>
    <w:rsid w:val="00027AC3"/>
    <w:rsid w:val="00027B21"/>
    <w:rsid w:val="00027C1C"/>
    <w:rsid w:val="00027D1D"/>
    <w:rsid w:val="00027E7C"/>
    <w:rsid w:val="00030002"/>
    <w:rsid w:val="0003000F"/>
    <w:rsid w:val="000305BA"/>
    <w:rsid w:val="00030663"/>
    <w:rsid w:val="0003082E"/>
    <w:rsid w:val="0003092A"/>
    <w:rsid w:val="00030ADE"/>
    <w:rsid w:val="00030B98"/>
    <w:rsid w:val="00030E87"/>
    <w:rsid w:val="00031218"/>
    <w:rsid w:val="000312D3"/>
    <w:rsid w:val="00031336"/>
    <w:rsid w:val="00031909"/>
    <w:rsid w:val="00031E46"/>
    <w:rsid w:val="000320DC"/>
    <w:rsid w:val="000322AB"/>
    <w:rsid w:val="000327BA"/>
    <w:rsid w:val="00032BD9"/>
    <w:rsid w:val="0003313C"/>
    <w:rsid w:val="00033349"/>
    <w:rsid w:val="0003344C"/>
    <w:rsid w:val="000341CF"/>
    <w:rsid w:val="0003447E"/>
    <w:rsid w:val="0003499B"/>
    <w:rsid w:val="00034BCE"/>
    <w:rsid w:val="00034E8C"/>
    <w:rsid w:val="00035436"/>
    <w:rsid w:val="0003552B"/>
    <w:rsid w:val="00035A42"/>
    <w:rsid w:val="00035B23"/>
    <w:rsid w:val="00035CA7"/>
    <w:rsid w:val="00035D82"/>
    <w:rsid w:val="00035DBD"/>
    <w:rsid w:val="00036A16"/>
    <w:rsid w:val="000373F3"/>
    <w:rsid w:val="0003742D"/>
    <w:rsid w:val="000374FF"/>
    <w:rsid w:val="000375C8"/>
    <w:rsid w:val="000378F6"/>
    <w:rsid w:val="000379EB"/>
    <w:rsid w:val="00037AE9"/>
    <w:rsid w:val="00037BAB"/>
    <w:rsid w:val="00037BE4"/>
    <w:rsid w:val="00040013"/>
    <w:rsid w:val="0004019A"/>
    <w:rsid w:val="000401A1"/>
    <w:rsid w:val="00040734"/>
    <w:rsid w:val="00040B83"/>
    <w:rsid w:val="00040CA3"/>
    <w:rsid w:val="0004147D"/>
    <w:rsid w:val="000416FC"/>
    <w:rsid w:val="00041AC8"/>
    <w:rsid w:val="00041BDC"/>
    <w:rsid w:val="0004243E"/>
    <w:rsid w:val="000427D5"/>
    <w:rsid w:val="00042CCD"/>
    <w:rsid w:val="00043342"/>
    <w:rsid w:val="000435DE"/>
    <w:rsid w:val="00043A2D"/>
    <w:rsid w:val="00043ED2"/>
    <w:rsid w:val="00044148"/>
    <w:rsid w:val="00044204"/>
    <w:rsid w:val="00044475"/>
    <w:rsid w:val="00044C33"/>
    <w:rsid w:val="000452E2"/>
    <w:rsid w:val="00045745"/>
    <w:rsid w:val="0004575D"/>
    <w:rsid w:val="000457B4"/>
    <w:rsid w:val="00045D5B"/>
    <w:rsid w:val="00045DDF"/>
    <w:rsid w:val="0004601F"/>
    <w:rsid w:val="00046375"/>
    <w:rsid w:val="00046777"/>
    <w:rsid w:val="00046C42"/>
    <w:rsid w:val="00046CCE"/>
    <w:rsid w:val="0004702B"/>
    <w:rsid w:val="0004733A"/>
    <w:rsid w:val="00047608"/>
    <w:rsid w:val="00050249"/>
    <w:rsid w:val="000504EB"/>
    <w:rsid w:val="000507C3"/>
    <w:rsid w:val="00050920"/>
    <w:rsid w:val="0005105D"/>
    <w:rsid w:val="000515F0"/>
    <w:rsid w:val="00051791"/>
    <w:rsid w:val="000517D3"/>
    <w:rsid w:val="000518A6"/>
    <w:rsid w:val="000519EA"/>
    <w:rsid w:val="00051B61"/>
    <w:rsid w:val="00051F32"/>
    <w:rsid w:val="000523FE"/>
    <w:rsid w:val="00052436"/>
    <w:rsid w:val="000529B6"/>
    <w:rsid w:val="00052AD4"/>
    <w:rsid w:val="00052BA6"/>
    <w:rsid w:val="0005342A"/>
    <w:rsid w:val="00053F21"/>
    <w:rsid w:val="00054462"/>
    <w:rsid w:val="0005460C"/>
    <w:rsid w:val="000560A4"/>
    <w:rsid w:val="000560AF"/>
    <w:rsid w:val="00056696"/>
    <w:rsid w:val="000566A1"/>
    <w:rsid w:val="00056809"/>
    <w:rsid w:val="000569C0"/>
    <w:rsid w:val="00056DB0"/>
    <w:rsid w:val="000570FC"/>
    <w:rsid w:val="0005783A"/>
    <w:rsid w:val="00057C03"/>
    <w:rsid w:val="00057FA2"/>
    <w:rsid w:val="0006026C"/>
    <w:rsid w:val="0006036B"/>
    <w:rsid w:val="00060AC6"/>
    <w:rsid w:val="00060BB0"/>
    <w:rsid w:val="0006109A"/>
    <w:rsid w:val="0006141D"/>
    <w:rsid w:val="00061A5F"/>
    <w:rsid w:val="00061B9D"/>
    <w:rsid w:val="00061FEF"/>
    <w:rsid w:val="00062740"/>
    <w:rsid w:val="00062834"/>
    <w:rsid w:val="00062B47"/>
    <w:rsid w:val="00062F98"/>
    <w:rsid w:val="0006320B"/>
    <w:rsid w:val="00063C19"/>
    <w:rsid w:val="000646B3"/>
    <w:rsid w:val="00064C77"/>
    <w:rsid w:val="00064E8C"/>
    <w:rsid w:val="00064EB7"/>
    <w:rsid w:val="00064EF7"/>
    <w:rsid w:val="0006514E"/>
    <w:rsid w:val="000652C1"/>
    <w:rsid w:val="00065458"/>
    <w:rsid w:val="00066145"/>
    <w:rsid w:val="0006622F"/>
    <w:rsid w:val="00066787"/>
    <w:rsid w:val="00066A42"/>
    <w:rsid w:val="00066B48"/>
    <w:rsid w:val="00067279"/>
    <w:rsid w:val="000672F8"/>
    <w:rsid w:val="0006730B"/>
    <w:rsid w:val="00067942"/>
    <w:rsid w:val="00067D4E"/>
    <w:rsid w:val="00067D5B"/>
    <w:rsid w:val="000702DB"/>
    <w:rsid w:val="00070948"/>
    <w:rsid w:val="00070A7A"/>
    <w:rsid w:val="00071178"/>
    <w:rsid w:val="0007155B"/>
    <w:rsid w:val="000719B7"/>
    <w:rsid w:val="00071A86"/>
    <w:rsid w:val="00071BD9"/>
    <w:rsid w:val="00071DB1"/>
    <w:rsid w:val="0007203F"/>
    <w:rsid w:val="0007204B"/>
    <w:rsid w:val="00072F47"/>
    <w:rsid w:val="00073808"/>
    <w:rsid w:val="00074396"/>
    <w:rsid w:val="0007446E"/>
    <w:rsid w:val="00074745"/>
    <w:rsid w:val="00074951"/>
    <w:rsid w:val="00074F67"/>
    <w:rsid w:val="0007521F"/>
    <w:rsid w:val="000752E8"/>
    <w:rsid w:val="000755B8"/>
    <w:rsid w:val="00075D05"/>
    <w:rsid w:val="00075D4B"/>
    <w:rsid w:val="0007679E"/>
    <w:rsid w:val="00077371"/>
    <w:rsid w:val="00077C0C"/>
    <w:rsid w:val="00080116"/>
    <w:rsid w:val="000808F9"/>
    <w:rsid w:val="00080A6B"/>
    <w:rsid w:val="00080EE8"/>
    <w:rsid w:val="0008125C"/>
    <w:rsid w:val="00081277"/>
    <w:rsid w:val="000813E4"/>
    <w:rsid w:val="00081417"/>
    <w:rsid w:val="0008159C"/>
    <w:rsid w:val="0008195B"/>
    <w:rsid w:val="00081CFF"/>
    <w:rsid w:val="0008258A"/>
    <w:rsid w:val="00082A61"/>
    <w:rsid w:val="00082DF6"/>
    <w:rsid w:val="00082E64"/>
    <w:rsid w:val="0008303B"/>
    <w:rsid w:val="00083231"/>
    <w:rsid w:val="000834AE"/>
    <w:rsid w:val="00083FAC"/>
    <w:rsid w:val="0008405B"/>
    <w:rsid w:val="00084760"/>
    <w:rsid w:val="00085268"/>
    <w:rsid w:val="00085475"/>
    <w:rsid w:val="0008576B"/>
    <w:rsid w:val="000858D1"/>
    <w:rsid w:val="000859AA"/>
    <w:rsid w:val="00085A04"/>
    <w:rsid w:val="00085C5D"/>
    <w:rsid w:val="00085CCC"/>
    <w:rsid w:val="00085DA5"/>
    <w:rsid w:val="000863E2"/>
    <w:rsid w:val="000864A2"/>
    <w:rsid w:val="0008668D"/>
    <w:rsid w:val="00086F97"/>
    <w:rsid w:val="00087308"/>
    <w:rsid w:val="00087474"/>
    <w:rsid w:val="0008785C"/>
    <w:rsid w:val="00087A3E"/>
    <w:rsid w:val="00090233"/>
    <w:rsid w:val="000906FB"/>
    <w:rsid w:val="000907E5"/>
    <w:rsid w:val="0009090E"/>
    <w:rsid w:val="00091245"/>
    <w:rsid w:val="00091EAA"/>
    <w:rsid w:val="00092238"/>
    <w:rsid w:val="0009266A"/>
    <w:rsid w:val="00092AEC"/>
    <w:rsid w:val="000933A6"/>
    <w:rsid w:val="00093CB7"/>
    <w:rsid w:val="0009414D"/>
    <w:rsid w:val="00094388"/>
    <w:rsid w:val="00094B31"/>
    <w:rsid w:val="00094FC6"/>
    <w:rsid w:val="0009514E"/>
    <w:rsid w:val="0009515F"/>
    <w:rsid w:val="000951E1"/>
    <w:rsid w:val="000954DD"/>
    <w:rsid w:val="000955AC"/>
    <w:rsid w:val="00095653"/>
    <w:rsid w:val="000957EA"/>
    <w:rsid w:val="00095818"/>
    <w:rsid w:val="00095974"/>
    <w:rsid w:val="00095AC5"/>
    <w:rsid w:val="00095B4D"/>
    <w:rsid w:val="00095EE7"/>
    <w:rsid w:val="000966BB"/>
    <w:rsid w:val="0009677E"/>
    <w:rsid w:val="00096800"/>
    <w:rsid w:val="00096BBF"/>
    <w:rsid w:val="00096C4B"/>
    <w:rsid w:val="0009792A"/>
    <w:rsid w:val="00097B79"/>
    <w:rsid w:val="00097E17"/>
    <w:rsid w:val="000A0040"/>
    <w:rsid w:val="000A02AD"/>
    <w:rsid w:val="000A0B38"/>
    <w:rsid w:val="000A1199"/>
    <w:rsid w:val="000A22E9"/>
    <w:rsid w:val="000A241E"/>
    <w:rsid w:val="000A2810"/>
    <w:rsid w:val="000A289B"/>
    <w:rsid w:val="000A2C52"/>
    <w:rsid w:val="000A2E37"/>
    <w:rsid w:val="000A36D0"/>
    <w:rsid w:val="000A3B1E"/>
    <w:rsid w:val="000A41D4"/>
    <w:rsid w:val="000A421F"/>
    <w:rsid w:val="000A4BCB"/>
    <w:rsid w:val="000A4BE4"/>
    <w:rsid w:val="000A5077"/>
    <w:rsid w:val="000A50F2"/>
    <w:rsid w:val="000A534D"/>
    <w:rsid w:val="000A5ABE"/>
    <w:rsid w:val="000A5B0D"/>
    <w:rsid w:val="000A60E1"/>
    <w:rsid w:val="000A60F4"/>
    <w:rsid w:val="000A61FB"/>
    <w:rsid w:val="000A7827"/>
    <w:rsid w:val="000A7A40"/>
    <w:rsid w:val="000A7AD6"/>
    <w:rsid w:val="000A7C5A"/>
    <w:rsid w:val="000B001D"/>
    <w:rsid w:val="000B015F"/>
    <w:rsid w:val="000B0274"/>
    <w:rsid w:val="000B038E"/>
    <w:rsid w:val="000B08CB"/>
    <w:rsid w:val="000B08D1"/>
    <w:rsid w:val="000B0A95"/>
    <w:rsid w:val="000B0ADF"/>
    <w:rsid w:val="000B0C23"/>
    <w:rsid w:val="000B18C2"/>
    <w:rsid w:val="000B1AAB"/>
    <w:rsid w:val="000B1C18"/>
    <w:rsid w:val="000B1C59"/>
    <w:rsid w:val="000B2C16"/>
    <w:rsid w:val="000B2FC7"/>
    <w:rsid w:val="000B310F"/>
    <w:rsid w:val="000B38C0"/>
    <w:rsid w:val="000B3DAA"/>
    <w:rsid w:val="000B3EEB"/>
    <w:rsid w:val="000B466E"/>
    <w:rsid w:val="000B4681"/>
    <w:rsid w:val="000B4763"/>
    <w:rsid w:val="000B4E20"/>
    <w:rsid w:val="000B4EDC"/>
    <w:rsid w:val="000B5120"/>
    <w:rsid w:val="000B515F"/>
    <w:rsid w:val="000B5605"/>
    <w:rsid w:val="000B57AA"/>
    <w:rsid w:val="000B5AF8"/>
    <w:rsid w:val="000B5F2C"/>
    <w:rsid w:val="000B6184"/>
    <w:rsid w:val="000B6843"/>
    <w:rsid w:val="000B6EB2"/>
    <w:rsid w:val="000B706F"/>
    <w:rsid w:val="000B77F8"/>
    <w:rsid w:val="000B78CC"/>
    <w:rsid w:val="000B7AE2"/>
    <w:rsid w:val="000C0203"/>
    <w:rsid w:val="000C041C"/>
    <w:rsid w:val="000C091B"/>
    <w:rsid w:val="000C0F48"/>
    <w:rsid w:val="000C0F5C"/>
    <w:rsid w:val="000C1356"/>
    <w:rsid w:val="000C18D0"/>
    <w:rsid w:val="000C1FB5"/>
    <w:rsid w:val="000C200D"/>
    <w:rsid w:val="000C20E9"/>
    <w:rsid w:val="000C2555"/>
    <w:rsid w:val="000C25C3"/>
    <w:rsid w:val="000C2DF1"/>
    <w:rsid w:val="000C32BC"/>
    <w:rsid w:val="000C35ED"/>
    <w:rsid w:val="000C3692"/>
    <w:rsid w:val="000C37AC"/>
    <w:rsid w:val="000C3B1F"/>
    <w:rsid w:val="000C43D9"/>
    <w:rsid w:val="000C44B7"/>
    <w:rsid w:val="000C458C"/>
    <w:rsid w:val="000C4D1E"/>
    <w:rsid w:val="000C5329"/>
    <w:rsid w:val="000C53D0"/>
    <w:rsid w:val="000C5D43"/>
    <w:rsid w:val="000C5F42"/>
    <w:rsid w:val="000C60E6"/>
    <w:rsid w:val="000C6548"/>
    <w:rsid w:val="000C6591"/>
    <w:rsid w:val="000C6D2E"/>
    <w:rsid w:val="000C709F"/>
    <w:rsid w:val="000C72CA"/>
    <w:rsid w:val="000C769F"/>
    <w:rsid w:val="000C7872"/>
    <w:rsid w:val="000C7AFF"/>
    <w:rsid w:val="000C7BA9"/>
    <w:rsid w:val="000C7C7C"/>
    <w:rsid w:val="000C7CAA"/>
    <w:rsid w:val="000D0476"/>
    <w:rsid w:val="000D04C1"/>
    <w:rsid w:val="000D0624"/>
    <w:rsid w:val="000D0DF7"/>
    <w:rsid w:val="000D0E50"/>
    <w:rsid w:val="000D1171"/>
    <w:rsid w:val="000D13A6"/>
    <w:rsid w:val="000D2113"/>
    <w:rsid w:val="000D2266"/>
    <w:rsid w:val="000D2736"/>
    <w:rsid w:val="000D2C27"/>
    <w:rsid w:val="000D30E7"/>
    <w:rsid w:val="000D35F7"/>
    <w:rsid w:val="000D3646"/>
    <w:rsid w:val="000D3760"/>
    <w:rsid w:val="000D3BCC"/>
    <w:rsid w:val="000D43AC"/>
    <w:rsid w:val="000D44DB"/>
    <w:rsid w:val="000D4645"/>
    <w:rsid w:val="000D467B"/>
    <w:rsid w:val="000D58C9"/>
    <w:rsid w:val="000D5DA8"/>
    <w:rsid w:val="000D5F42"/>
    <w:rsid w:val="000D62F3"/>
    <w:rsid w:val="000D6630"/>
    <w:rsid w:val="000D682D"/>
    <w:rsid w:val="000D7E24"/>
    <w:rsid w:val="000D7EAD"/>
    <w:rsid w:val="000E06CA"/>
    <w:rsid w:val="000E07FC"/>
    <w:rsid w:val="000E0B79"/>
    <w:rsid w:val="000E0C92"/>
    <w:rsid w:val="000E0D69"/>
    <w:rsid w:val="000E0ECF"/>
    <w:rsid w:val="000E0F57"/>
    <w:rsid w:val="000E12A8"/>
    <w:rsid w:val="000E13A4"/>
    <w:rsid w:val="000E184E"/>
    <w:rsid w:val="000E1A44"/>
    <w:rsid w:val="000E1DE0"/>
    <w:rsid w:val="000E21D3"/>
    <w:rsid w:val="000E247B"/>
    <w:rsid w:val="000E247C"/>
    <w:rsid w:val="000E27E9"/>
    <w:rsid w:val="000E2A6C"/>
    <w:rsid w:val="000E2DC9"/>
    <w:rsid w:val="000E2E4B"/>
    <w:rsid w:val="000E2FF1"/>
    <w:rsid w:val="000E3D17"/>
    <w:rsid w:val="000E3DFD"/>
    <w:rsid w:val="000E4477"/>
    <w:rsid w:val="000E45E9"/>
    <w:rsid w:val="000E4A24"/>
    <w:rsid w:val="000E5217"/>
    <w:rsid w:val="000E5C17"/>
    <w:rsid w:val="000E6471"/>
    <w:rsid w:val="000E69A5"/>
    <w:rsid w:val="000E721B"/>
    <w:rsid w:val="000E74D2"/>
    <w:rsid w:val="000E7518"/>
    <w:rsid w:val="000E789D"/>
    <w:rsid w:val="000F0055"/>
    <w:rsid w:val="000F0481"/>
    <w:rsid w:val="000F04BF"/>
    <w:rsid w:val="000F0699"/>
    <w:rsid w:val="000F078E"/>
    <w:rsid w:val="000F0BA2"/>
    <w:rsid w:val="000F0F98"/>
    <w:rsid w:val="000F1485"/>
    <w:rsid w:val="000F19E1"/>
    <w:rsid w:val="000F1B61"/>
    <w:rsid w:val="000F2032"/>
    <w:rsid w:val="000F22ED"/>
    <w:rsid w:val="000F2362"/>
    <w:rsid w:val="000F2F12"/>
    <w:rsid w:val="000F35A9"/>
    <w:rsid w:val="000F377A"/>
    <w:rsid w:val="000F3964"/>
    <w:rsid w:val="000F3BFE"/>
    <w:rsid w:val="000F3C1E"/>
    <w:rsid w:val="000F3DE4"/>
    <w:rsid w:val="000F3EC1"/>
    <w:rsid w:val="000F40FF"/>
    <w:rsid w:val="000F4C32"/>
    <w:rsid w:val="000F4C9B"/>
    <w:rsid w:val="000F52A7"/>
    <w:rsid w:val="000F58A1"/>
    <w:rsid w:val="000F5AA4"/>
    <w:rsid w:val="000F5AC6"/>
    <w:rsid w:val="000F5C5A"/>
    <w:rsid w:val="000F5D25"/>
    <w:rsid w:val="000F613C"/>
    <w:rsid w:val="000F6985"/>
    <w:rsid w:val="000F715A"/>
    <w:rsid w:val="000F72CB"/>
    <w:rsid w:val="000F7AE5"/>
    <w:rsid w:val="000F7B5F"/>
    <w:rsid w:val="001007E8"/>
    <w:rsid w:val="0010093F"/>
    <w:rsid w:val="00100AA8"/>
    <w:rsid w:val="00100B3E"/>
    <w:rsid w:val="00100F4E"/>
    <w:rsid w:val="0010109D"/>
    <w:rsid w:val="00101327"/>
    <w:rsid w:val="001017B0"/>
    <w:rsid w:val="0010229B"/>
    <w:rsid w:val="00102869"/>
    <w:rsid w:val="00102BB5"/>
    <w:rsid w:val="001036A5"/>
    <w:rsid w:val="00103E3B"/>
    <w:rsid w:val="001044CC"/>
    <w:rsid w:val="00104591"/>
    <w:rsid w:val="00104765"/>
    <w:rsid w:val="00104B62"/>
    <w:rsid w:val="00104CAF"/>
    <w:rsid w:val="00104F3E"/>
    <w:rsid w:val="00105230"/>
    <w:rsid w:val="001054D4"/>
    <w:rsid w:val="00105520"/>
    <w:rsid w:val="0010589B"/>
    <w:rsid w:val="00105BB1"/>
    <w:rsid w:val="00105C0B"/>
    <w:rsid w:val="00105CAF"/>
    <w:rsid w:val="0010629A"/>
    <w:rsid w:val="00106609"/>
    <w:rsid w:val="00106691"/>
    <w:rsid w:val="00107637"/>
    <w:rsid w:val="001079F5"/>
    <w:rsid w:val="00107BCE"/>
    <w:rsid w:val="00107E98"/>
    <w:rsid w:val="00110139"/>
    <w:rsid w:val="00110B0E"/>
    <w:rsid w:val="00110D86"/>
    <w:rsid w:val="00110E83"/>
    <w:rsid w:val="00110F6A"/>
    <w:rsid w:val="00111092"/>
    <w:rsid w:val="00111226"/>
    <w:rsid w:val="00111231"/>
    <w:rsid w:val="00111769"/>
    <w:rsid w:val="00111903"/>
    <w:rsid w:val="001119E0"/>
    <w:rsid w:val="001120C7"/>
    <w:rsid w:val="001122A8"/>
    <w:rsid w:val="00112340"/>
    <w:rsid w:val="00112FE4"/>
    <w:rsid w:val="0011301C"/>
    <w:rsid w:val="0011309C"/>
    <w:rsid w:val="00113644"/>
    <w:rsid w:val="00113D17"/>
    <w:rsid w:val="00113E55"/>
    <w:rsid w:val="00113F26"/>
    <w:rsid w:val="0011452F"/>
    <w:rsid w:val="001146D7"/>
    <w:rsid w:val="00114791"/>
    <w:rsid w:val="001149FA"/>
    <w:rsid w:val="00114A1E"/>
    <w:rsid w:val="00114AB9"/>
    <w:rsid w:val="00114DA9"/>
    <w:rsid w:val="00114EBA"/>
    <w:rsid w:val="00114F6B"/>
    <w:rsid w:val="0011546D"/>
    <w:rsid w:val="001155CF"/>
    <w:rsid w:val="00115872"/>
    <w:rsid w:val="00116043"/>
    <w:rsid w:val="001160C4"/>
    <w:rsid w:val="00116463"/>
    <w:rsid w:val="00116637"/>
    <w:rsid w:val="001168CC"/>
    <w:rsid w:val="001169DD"/>
    <w:rsid w:val="0011771E"/>
    <w:rsid w:val="001200DD"/>
    <w:rsid w:val="0012045D"/>
    <w:rsid w:val="001209AC"/>
    <w:rsid w:val="00120B32"/>
    <w:rsid w:val="0012143F"/>
    <w:rsid w:val="00122124"/>
    <w:rsid w:val="001221E3"/>
    <w:rsid w:val="0012226D"/>
    <w:rsid w:val="0012281C"/>
    <w:rsid w:val="00122966"/>
    <w:rsid w:val="00122EC3"/>
    <w:rsid w:val="00123512"/>
    <w:rsid w:val="00123811"/>
    <w:rsid w:val="00123C6D"/>
    <w:rsid w:val="00123FBB"/>
    <w:rsid w:val="001241B1"/>
    <w:rsid w:val="00124603"/>
    <w:rsid w:val="0012477A"/>
    <w:rsid w:val="00124CBF"/>
    <w:rsid w:val="00124FE3"/>
    <w:rsid w:val="0012683D"/>
    <w:rsid w:val="00126CCD"/>
    <w:rsid w:val="00126E8C"/>
    <w:rsid w:val="00127081"/>
    <w:rsid w:val="001271F3"/>
    <w:rsid w:val="0012736E"/>
    <w:rsid w:val="00127A3E"/>
    <w:rsid w:val="00130301"/>
    <w:rsid w:val="001304D0"/>
    <w:rsid w:val="00130543"/>
    <w:rsid w:val="00130B6B"/>
    <w:rsid w:val="00130D1C"/>
    <w:rsid w:val="001314D3"/>
    <w:rsid w:val="001314E0"/>
    <w:rsid w:val="0013190B"/>
    <w:rsid w:val="00131942"/>
    <w:rsid w:val="00131B41"/>
    <w:rsid w:val="00131B76"/>
    <w:rsid w:val="00131CFA"/>
    <w:rsid w:val="00131D4C"/>
    <w:rsid w:val="00131DE4"/>
    <w:rsid w:val="001325E6"/>
    <w:rsid w:val="0013261A"/>
    <w:rsid w:val="00132D15"/>
    <w:rsid w:val="001338F7"/>
    <w:rsid w:val="001338F8"/>
    <w:rsid w:val="00134027"/>
    <w:rsid w:val="0013460E"/>
    <w:rsid w:val="00134DB3"/>
    <w:rsid w:val="00134DB5"/>
    <w:rsid w:val="00135434"/>
    <w:rsid w:val="00135B8B"/>
    <w:rsid w:val="00135D8F"/>
    <w:rsid w:val="00136298"/>
    <w:rsid w:val="00136887"/>
    <w:rsid w:val="00136EE3"/>
    <w:rsid w:val="00136FC4"/>
    <w:rsid w:val="001370F3"/>
    <w:rsid w:val="001373C5"/>
    <w:rsid w:val="001375C8"/>
    <w:rsid w:val="00137605"/>
    <w:rsid w:val="00137C23"/>
    <w:rsid w:val="00137EA2"/>
    <w:rsid w:val="00140395"/>
    <w:rsid w:val="00140724"/>
    <w:rsid w:val="0014076F"/>
    <w:rsid w:val="00140EF1"/>
    <w:rsid w:val="0014109C"/>
    <w:rsid w:val="001410D6"/>
    <w:rsid w:val="00141635"/>
    <w:rsid w:val="00141796"/>
    <w:rsid w:val="001429B9"/>
    <w:rsid w:val="00142EAA"/>
    <w:rsid w:val="00144258"/>
    <w:rsid w:val="00144425"/>
    <w:rsid w:val="0014519F"/>
    <w:rsid w:val="00145426"/>
    <w:rsid w:val="001455B3"/>
    <w:rsid w:val="00145984"/>
    <w:rsid w:val="001459AF"/>
    <w:rsid w:val="00145A91"/>
    <w:rsid w:val="00145B63"/>
    <w:rsid w:val="00145CFD"/>
    <w:rsid w:val="00145DFA"/>
    <w:rsid w:val="00146059"/>
    <w:rsid w:val="001460E1"/>
    <w:rsid w:val="00146C32"/>
    <w:rsid w:val="00147177"/>
    <w:rsid w:val="001473E8"/>
    <w:rsid w:val="001474FC"/>
    <w:rsid w:val="00147874"/>
    <w:rsid w:val="00147DEE"/>
    <w:rsid w:val="00147E5F"/>
    <w:rsid w:val="00150038"/>
    <w:rsid w:val="00150095"/>
    <w:rsid w:val="00150374"/>
    <w:rsid w:val="00150648"/>
    <w:rsid w:val="001507BD"/>
    <w:rsid w:val="001508D4"/>
    <w:rsid w:val="001509A6"/>
    <w:rsid w:val="00150AB6"/>
    <w:rsid w:val="0015194F"/>
    <w:rsid w:val="0015213C"/>
    <w:rsid w:val="001521A6"/>
    <w:rsid w:val="00153126"/>
    <w:rsid w:val="00153942"/>
    <w:rsid w:val="00153ECC"/>
    <w:rsid w:val="001540C5"/>
    <w:rsid w:val="00154281"/>
    <w:rsid w:val="0015493E"/>
    <w:rsid w:val="0015496C"/>
    <w:rsid w:val="00154F9D"/>
    <w:rsid w:val="00155081"/>
    <w:rsid w:val="001552E6"/>
    <w:rsid w:val="0015546F"/>
    <w:rsid w:val="00155BD9"/>
    <w:rsid w:val="00155D5A"/>
    <w:rsid w:val="00156078"/>
    <w:rsid w:val="00156870"/>
    <w:rsid w:val="00156AAF"/>
    <w:rsid w:val="00156CE9"/>
    <w:rsid w:val="00157445"/>
    <w:rsid w:val="001575AB"/>
    <w:rsid w:val="00157760"/>
    <w:rsid w:val="00157B8C"/>
    <w:rsid w:val="00157C96"/>
    <w:rsid w:val="00157FB1"/>
    <w:rsid w:val="001605B9"/>
    <w:rsid w:val="00160A03"/>
    <w:rsid w:val="00160C3F"/>
    <w:rsid w:val="00160C4D"/>
    <w:rsid w:val="00160CE3"/>
    <w:rsid w:val="00161702"/>
    <w:rsid w:val="00161AC5"/>
    <w:rsid w:val="00162022"/>
    <w:rsid w:val="0016202E"/>
    <w:rsid w:val="001620E8"/>
    <w:rsid w:val="00162453"/>
    <w:rsid w:val="00162626"/>
    <w:rsid w:val="00162C56"/>
    <w:rsid w:val="0016413C"/>
    <w:rsid w:val="001642D5"/>
    <w:rsid w:val="00164428"/>
    <w:rsid w:val="001647B8"/>
    <w:rsid w:val="00164CA0"/>
    <w:rsid w:val="00164FB6"/>
    <w:rsid w:val="001650FE"/>
    <w:rsid w:val="001655B0"/>
    <w:rsid w:val="001655B4"/>
    <w:rsid w:val="001655F0"/>
    <w:rsid w:val="00165695"/>
    <w:rsid w:val="0016571D"/>
    <w:rsid w:val="00165736"/>
    <w:rsid w:val="001659BD"/>
    <w:rsid w:val="001659E9"/>
    <w:rsid w:val="0016613D"/>
    <w:rsid w:val="00166961"/>
    <w:rsid w:val="00166A99"/>
    <w:rsid w:val="00166B54"/>
    <w:rsid w:val="00166B7F"/>
    <w:rsid w:val="00166E75"/>
    <w:rsid w:val="00166FC3"/>
    <w:rsid w:val="00167172"/>
    <w:rsid w:val="00167697"/>
    <w:rsid w:val="0016788F"/>
    <w:rsid w:val="001678DC"/>
    <w:rsid w:val="00167A77"/>
    <w:rsid w:val="00167B77"/>
    <w:rsid w:val="00167C18"/>
    <w:rsid w:val="001705BD"/>
    <w:rsid w:val="00170609"/>
    <w:rsid w:val="00170759"/>
    <w:rsid w:val="001709BB"/>
    <w:rsid w:val="001709F6"/>
    <w:rsid w:val="00170A84"/>
    <w:rsid w:val="00170FE8"/>
    <w:rsid w:val="0017100D"/>
    <w:rsid w:val="001714C4"/>
    <w:rsid w:val="00171709"/>
    <w:rsid w:val="00171736"/>
    <w:rsid w:val="001719DC"/>
    <w:rsid w:val="00171B78"/>
    <w:rsid w:val="00171F52"/>
    <w:rsid w:val="0017278A"/>
    <w:rsid w:val="001731F8"/>
    <w:rsid w:val="00173504"/>
    <w:rsid w:val="001736EE"/>
    <w:rsid w:val="001738EB"/>
    <w:rsid w:val="00173AE7"/>
    <w:rsid w:val="00173BE6"/>
    <w:rsid w:val="00173F9E"/>
    <w:rsid w:val="00174031"/>
    <w:rsid w:val="00174144"/>
    <w:rsid w:val="001745D3"/>
    <w:rsid w:val="00174929"/>
    <w:rsid w:val="0017531D"/>
    <w:rsid w:val="00175832"/>
    <w:rsid w:val="00175908"/>
    <w:rsid w:val="00175B07"/>
    <w:rsid w:val="001760AF"/>
    <w:rsid w:val="0017623C"/>
    <w:rsid w:val="00176444"/>
    <w:rsid w:val="00176569"/>
    <w:rsid w:val="001765B1"/>
    <w:rsid w:val="001766A3"/>
    <w:rsid w:val="00176A18"/>
    <w:rsid w:val="00176C78"/>
    <w:rsid w:val="00176D60"/>
    <w:rsid w:val="00176FAB"/>
    <w:rsid w:val="00177544"/>
    <w:rsid w:val="0017769E"/>
    <w:rsid w:val="0017782F"/>
    <w:rsid w:val="00177EF9"/>
    <w:rsid w:val="001802BD"/>
    <w:rsid w:val="0018042E"/>
    <w:rsid w:val="001804CD"/>
    <w:rsid w:val="00180B42"/>
    <w:rsid w:val="00180D2E"/>
    <w:rsid w:val="00180F31"/>
    <w:rsid w:val="00181004"/>
    <w:rsid w:val="001812E2"/>
    <w:rsid w:val="001817C8"/>
    <w:rsid w:val="00181854"/>
    <w:rsid w:val="001819C5"/>
    <w:rsid w:val="00181FA9"/>
    <w:rsid w:val="00182666"/>
    <w:rsid w:val="00182900"/>
    <w:rsid w:val="00183709"/>
    <w:rsid w:val="00183750"/>
    <w:rsid w:val="001844DA"/>
    <w:rsid w:val="00184F1D"/>
    <w:rsid w:val="00185114"/>
    <w:rsid w:val="0018553B"/>
    <w:rsid w:val="00185C20"/>
    <w:rsid w:val="00185D40"/>
    <w:rsid w:val="0018631D"/>
    <w:rsid w:val="00186487"/>
    <w:rsid w:val="0018699B"/>
    <w:rsid w:val="00186F8A"/>
    <w:rsid w:val="001873D4"/>
    <w:rsid w:val="00187444"/>
    <w:rsid w:val="001877D8"/>
    <w:rsid w:val="0018793A"/>
    <w:rsid w:val="00187A70"/>
    <w:rsid w:val="00187BB1"/>
    <w:rsid w:val="00187C58"/>
    <w:rsid w:val="00187CDB"/>
    <w:rsid w:val="00190171"/>
    <w:rsid w:val="001905A1"/>
    <w:rsid w:val="00190606"/>
    <w:rsid w:val="00190876"/>
    <w:rsid w:val="00190C73"/>
    <w:rsid w:val="00190CC6"/>
    <w:rsid w:val="00190DD4"/>
    <w:rsid w:val="00191B7B"/>
    <w:rsid w:val="00191C5D"/>
    <w:rsid w:val="00192083"/>
    <w:rsid w:val="00192383"/>
    <w:rsid w:val="00192A12"/>
    <w:rsid w:val="00192F26"/>
    <w:rsid w:val="001930CC"/>
    <w:rsid w:val="00193B7B"/>
    <w:rsid w:val="00193CF3"/>
    <w:rsid w:val="00193F5C"/>
    <w:rsid w:val="00194127"/>
    <w:rsid w:val="00194410"/>
    <w:rsid w:val="00194557"/>
    <w:rsid w:val="00194620"/>
    <w:rsid w:val="001948CB"/>
    <w:rsid w:val="00194D95"/>
    <w:rsid w:val="00194D9C"/>
    <w:rsid w:val="00194F99"/>
    <w:rsid w:val="00195377"/>
    <w:rsid w:val="00195A3C"/>
    <w:rsid w:val="00195D18"/>
    <w:rsid w:val="00195E3A"/>
    <w:rsid w:val="0019676F"/>
    <w:rsid w:val="0019683F"/>
    <w:rsid w:val="00196A61"/>
    <w:rsid w:val="00196A8B"/>
    <w:rsid w:val="0019715F"/>
    <w:rsid w:val="001972B1"/>
    <w:rsid w:val="001974D4"/>
    <w:rsid w:val="001975FB"/>
    <w:rsid w:val="001977EC"/>
    <w:rsid w:val="001978AE"/>
    <w:rsid w:val="00197BE4"/>
    <w:rsid w:val="001A0763"/>
    <w:rsid w:val="001A1339"/>
    <w:rsid w:val="001A1527"/>
    <w:rsid w:val="001A1555"/>
    <w:rsid w:val="001A1661"/>
    <w:rsid w:val="001A175F"/>
    <w:rsid w:val="001A19B4"/>
    <w:rsid w:val="001A1B68"/>
    <w:rsid w:val="001A1BB2"/>
    <w:rsid w:val="001A27B9"/>
    <w:rsid w:val="001A2A37"/>
    <w:rsid w:val="001A2B11"/>
    <w:rsid w:val="001A2F36"/>
    <w:rsid w:val="001A2FFF"/>
    <w:rsid w:val="001A31FA"/>
    <w:rsid w:val="001A3496"/>
    <w:rsid w:val="001A381D"/>
    <w:rsid w:val="001A3DFA"/>
    <w:rsid w:val="001A3EF1"/>
    <w:rsid w:val="001A4093"/>
    <w:rsid w:val="001A42CE"/>
    <w:rsid w:val="001A43F6"/>
    <w:rsid w:val="001A453A"/>
    <w:rsid w:val="001A46DA"/>
    <w:rsid w:val="001A4757"/>
    <w:rsid w:val="001A4D97"/>
    <w:rsid w:val="001A4FB3"/>
    <w:rsid w:val="001A501A"/>
    <w:rsid w:val="001A52CF"/>
    <w:rsid w:val="001A5914"/>
    <w:rsid w:val="001A5BFF"/>
    <w:rsid w:val="001A5E41"/>
    <w:rsid w:val="001A6195"/>
    <w:rsid w:val="001A62CD"/>
    <w:rsid w:val="001A639A"/>
    <w:rsid w:val="001A6519"/>
    <w:rsid w:val="001A66F9"/>
    <w:rsid w:val="001A6715"/>
    <w:rsid w:val="001A6A70"/>
    <w:rsid w:val="001A6F06"/>
    <w:rsid w:val="001A719C"/>
    <w:rsid w:val="001A7C03"/>
    <w:rsid w:val="001A7CE0"/>
    <w:rsid w:val="001A7D04"/>
    <w:rsid w:val="001A7D50"/>
    <w:rsid w:val="001A7E97"/>
    <w:rsid w:val="001B058C"/>
    <w:rsid w:val="001B0E9E"/>
    <w:rsid w:val="001B0F05"/>
    <w:rsid w:val="001B10C5"/>
    <w:rsid w:val="001B12D9"/>
    <w:rsid w:val="001B12FB"/>
    <w:rsid w:val="001B16C8"/>
    <w:rsid w:val="001B1A60"/>
    <w:rsid w:val="001B1CF8"/>
    <w:rsid w:val="001B20B3"/>
    <w:rsid w:val="001B20EC"/>
    <w:rsid w:val="001B3187"/>
    <w:rsid w:val="001B322B"/>
    <w:rsid w:val="001B3587"/>
    <w:rsid w:val="001B364C"/>
    <w:rsid w:val="001B38ED"/>
    <w:rsid w:val="001B3B03"/>
    <w:rsid w:val="001B3C11"/>
    <w:rsid w:val="001B3C27"/>
    <w:rsid w:val="001B3C2A"/>
    <w:rsid w:val="001B4020"/>
    <w:rsid w:val="001B406D"/>
    <w:rsid w:val="001B40C8"/>
    <w:rsid w:val="001B42D3"/>
    <w:rsid w:val="001B5580"/>
    <w:rsid w:val="001B5808"/>
    <w:rsid w:val="001B5AEE"/>
    <w:rsid w:val="001B5E4E"/>
    <w:rsid w:val="001B5EBE"/>
    <w:rsid w:val="001B608F"/>
    <w:rsid w:val="001B6210"/>
    <w:rsid w:val="001B630E"/>
    <w:rsid w:val="001B6498"/>
    <w:rsid w:val="001B6EB6"/>
    <w:rsid w:val="001B700A"/>
    <w:rsid w:val="001B7294"/>
    <w:rsid w:val="001B7AC1"/>
    <w:rsid w:val="001B7C4F"/>
    <w:rsid w:val="001B7CFF"/>
    <w:rsid w:val="001C03E9"/>
    <w:rsid w:val="001C0985"/>
    <w:rsid w:val="001C0BB4"/>
    <w:rsid w:val="001C0CFC"/>
    <w:rsid w:val="001C0F6D"/>
    <w:rsid w:val="001C12DF"/>
    <w:rsid w:val="001C162D"/>
    <w:rsid w:val="001C19C1"/>
    <w:rsid w:val="001C21C3"/>
    <w:rsid w:val="001C2379"/>
    <w:rsid w:val="001C24D1"/>
    <w:rsid w:val="001C257C"/>
    <w:rsid w:val="001C26D4"/>
    <w:rsid w:val="001C29D1"/>
    <w:rsid w:val="001C304B"/>
    <w:rsid w:val="001C3113"/>
    <w:rsid w:val="001C3616"/>
    <w:rsid w:val="001C372A"/>
    <w:rsid w:val="001C38E9"/>
    <w:rsid w:val="001C3954"/>
    <w:rsid w:val="001C3A55"/>
    <w:rsid w:val="001C3A64"/>
    <w:rsid w:val="001C3A6B"/>
    <w:rsid w:val="001C42F0"/>
    <w:rsid w:val="001C44CF"/>
    <w:rsid w:val="001C4891"/>
    <w:rsid w:val="001C491E"/>
    <w:rsid w:val="001C51D6"/>
    <w:rsid w:val="001C52EB"/>
    <w:rsid w:val="001C53CD"/>
    <w:rsid w:val="001C5587"/>
    <w:rsid w:val="001C5C58"/>
    <w:rsid w:val="001C5F2F"/>
    <w:rsid w:val="001C6350"/>
    <w:rsid w:val="001C6762"/>
    <w:rsid w:val="001C6A94"/>
    <w:rsid w:val="001C6F75"/>
    <w:rsid w:val="001C7BB7"/>
    <w:rsid w:val="001C7F0D"/>
    <w:rsid w:val="001D00BE"/>
    <w:rsid w:val="001D059B"/>
    <w:rsid w:val="001D0BAA"/>
    <w:rsid w:val="001D194C"/>
    <w:rsid w:val="001D19F8"/>
    <w:rsid w:val="001D1AC6"/>
    <w:rsid w:val="001D1BE1"/>
    <w:rsid w:val="001D1C22"/>
    <w:rsid w:val="001D1CB8"/>
    <w:rsid w:val="001D1EE8"/>
    <w:rsid w:val="001D2238"/>
    <w:rsid w:val="001D25F7"/>
    <w:rsid w:val="001D2869"/>
    <w:rsid w:val="001D290D"/>
    <w:rsid w:val="001D3504"/>
    <w:rsid w:val="001D3E33"/>
    <w:rsid w:val="001D44A9"/>
    <w:rsid w:val="001D477C"/>
    <w:rsid w:val="001D48C2"/>
    <w:rsid w:val="001D4F72"/>
    <w:rsid w:val="001D5156"/>
    <w:rsid w:val="001D51EE"/>
    <w:rsid w:val="001D553A"/>
    <w:rsid w:val="001D56D8"/>
    <w:rsid w:val="001D5D63"/>
    <w:rsid w:val="001D5E32"/>
    <w:rsid w:val="001D662A"/>
    <w:rsid w:val="001D6674"/>
    <w:rsid w:val="001D68A9"/>
    <w:rsid w:val="001D69F6"/>
    <w:rsid w:val="001D6ED1"/>
    <w:rsid w:val="001D73E9"/>
    <w:rsid w:val="001D7529"/>
    <w:rsid w:val="001D7622"/>
    <w:rsid w:val="001D7849"/>
    <w:rsid w:val="001E0988"/>
    <w:rsid w:val="001E0B4B"/>
    <w:rsid w:val="001E1104"/>
    <w:rsid w:val="001E17EE"/>
    <w:rsid w:val="001E1899"/>
    <w:rsid w:val="001E2057"/>
    <w:rsid w:val="001E3126"/>
    <w:rsid w:val="001E342F"/>
    <w:rsid w:val="001E3641"/>
    <w:rsid w:val="001E3BB7"/>
    <w:rsid w:val="001E4075"/>
    <w:rsid w:val="001E4458"/>
    <w:rsid w:val="001E4A4E"/>
    <w:rsid w:val="001E4EC8"/>
    <w:rsid w:val="001E5296"/>
    <w:rsid w:val="001E52D0"/>
    <w:rsid w:val="001E5898"/>
    <w:rsid w:val="001E679C"/>
    <w:rsid w:val="001E6E9B"/>
    <w:rsid w:val="001E74A2"/>
    <w:rsid w:val="001E7571"/>
    <w:rsid w:val="001E79EC"/>
    <w:rsid w:val="001E7C9C"/>
    <w:rsid w:val="001E7D80"/>
    <w:rsid w:val="001F0064"/>
    <w:rsid w:val="001F019D"/>
    <w:rsid w:val="001F02C9"/>
    <w:rsid w:val="001F04C1"/>
    <w:rsid w:val="001F066B"/>
    <w:rsid w:val="001F06CB"/>
    <w:rsid w:val="001F0917"/>
    <w:rsid w:val="001F0E07"/>
    <w:rsid w:val="001F10BF"/>
    <w:rsid w:val="001F1264"/>
    <w:rsid w:val="001F24ED"/>
    <w:rsid w:val="001F265E"/>
    <w:rsid w:val="001F27EF"/>
    <w:rsid w:val="001F2A08"/>
    <w:rsid w:val="001F2AF4"/>
    <w:rsid w:val="001F2BDD"/>
    <w:rsid w:val="001F2EC3"/>
    <w:rsid w:val="001F3363"/>
    <w:rsid w:val="001F3A14"/>
    <w:rsid w:val="001F3F6B"/>
    <w:rsid w:val="001F4031"/>
    <w:rsid w:val="001F4041"/>
    <w:rsid w:val="001F4283"/>
    <w:rsid w:val="001F4BC4"/>
    <w:rsid w:val="001F4FE5"/>
    <w:rsid w:val="001F51FB"/>
    <w:rsid w:val="001F526D"/>
    <w:rsid w:val="001F6640"/>
    <w:rsid w:val="001F668A"/>
    <w:rsid w:val="001F692A"/>
    <w:rsid w:val="001F6A76"/>
    <w:rsid w:val="001F6B79"/>
    <w:rsid w:val="001F70B0"/>
    <w:rsid w:val="001F7219"/>
    <w:rsid w:val="001F7299"/>
    <w:rsid w:val="001F739B"/>
    <w:rsid w:val="001F74EC"/>
    <w:rsid w:val="001F7675"/>
    <w:rsid w:val="001F78C4"/>
    <w:rsid w:val="001F7A57"/>
    <w:rsid w:val="001F7BE1"/>
    <w:rsid w:val="001F7FE3"/>
    <w:rsid w:val="0020001D"/>
    <w:rsid w:val="00200066"/>
    <w:rsid w:val="0020021E"/>
    <w:rsid w:val="00200846"/>
    <w:rsid w:val="002008F6"/>
    <w:rsid w:val="00200ACA"/>
    <w:rsid w:val="00200FAF"/>
    <w:rsid w:val="0020101A"/>
    <w:rsid w:val="002012D2"/>
    <w:rsid w:val="002014B8"/>
    <w:rsid w:val="002014D6"/>
    <w:rsid w:val="00201CE7"/>
    <w:rsid w:val="0020209C"/>
    <w:rsid w:val="00202205"/>
    <w:rsid w:val="002025B5"/>
    <w:rsid w:val="00202618"/>
    <w:rsid w:val="0020266D"/>
    <w:rsid w:val="00202F0E"/>
    <w:rsid w:val="002032D7"/>
    <w:rsid w:val="002035D3"/>
    <w:rsid w:val="00203771"/>
    <w:rsid w:val="00203EAB"/>
    <w:rsid w:val="00203EED"/>
    <w:rsid w:val="0020407D"/>
    <w:rsid w:val="002048E5"/>
    <w:rsid w:val="00205930"/>
    <w:rsid w:val="00206439"/>
    <w:rsid w:val="00206457"/>
    <w:rsid w:val="00206488"/>
    <w:rsid w:val="00206A85"/>
    <w:rsid w:val="00206B8C"/>
    <w:rsid w:val="00206B91"/>
    <w:rsid w:val="00206F96"/>
    <w:rsid w:val="00207716"/>
    <w:rsid w:val="00210012"/>
    <w:rsid w:val="002103DD"/>
    <w:rsid w:val="00210665"/>
    <w:rsid w:val="00210E29"/>
    <w:rsid w:val="00210E3C"/>
    <w:rsid w:val="002116E1"/>
    <w:rsid w:val="00211AEA"/>
    <w:rsid w:val="00211DBE"/>
    <w:rsid w:val="00211E03"/>
    <w:rsid w:val="00211E9E"/>
    <w:rsid w:val="002122ED"/>
    <w:rsid w:val="002129BF"/>
    <w:rsid w:val="00212C2D"/>
    <w:rsid w:val="002136A6"/>
    <w:rsid w:val="00213AAA"/>
    <w:rsid w:val="0021490D"/>
    <w:rsid w:val="00214A82"/>
    <w:rsid w:val="00214C79"/>
    <w:rsid w:val="00214D19"/>
    <w:rsid w:val="00214DE3"/>
    <w:rsid w:val="00215003"/>
    <w:rsid w:val="002152D9"/>
    <w:rsid w:val="00215812"/>
    <w:rsid w:val="00215CD2"/>
    <w:rsid w:val="00215D95"/>
    <w:rsid w:val="002164C7"/>
    <w:rsid w:val="0021683B"/>
    <w:rsid w:val="00216A24"/>
    <w:rsid w:val="00216A67"/>
    <w:rsid w:val="00216AC5"/>
    <w:rsid w:val="002170B5"/>
    <w:rsid w:val="00217308"/>
    <w:rsid w:val="002173B6"/>
    <w:rsid w:val="00217568"/>
    <w:rsid w:val="00217608"/>
    <w:rsid w:val="002176E7"/>
    <w:rsid w:val="00217885"/>
    <w:rsid w:val="002178E0"/>
    <w:rsid w:val="002179F4"/>
    <w:rsid w:val="00217AF0"/>
    <w:rsid w:val="00217B22"/>
    <w:rsid w:val="00217C37"/>
    <w:rsid w:val="00217D57"/>
    <w:rsid w:val="00217E5F"/>
    <w:rsid w:val="00220199"/>
    <w:rsid w:val="00221008"/>
    <w:rsid w:val="00221168"/>
    <w:rsid w:val="00221460"/>
    <w:rsid w:val="00221936"/>
    <w:rsid w:val="002222EC"/>
    <w:rsid w:val="00222562"/>
    <w:rsid w:val="00222611"/>
    <w:rsid w:val="0022269C"/>
    <w:rsid w:val="00222C72"/>
    <w:rsid w:val="00223048"/>
    <w:rsid w:val="002230B3"/>
    <w:rsid w:val="00223499"/>
    <w:rsid w:val="00223525"/>
    <w:rsid w:val="00223BD2"/>
    <w:rsid w:val="002243B2"/>
    <w:rsid w:val="00224558"/>
    <w:rsid w:val="002250B5"/>
    <w:rsid w:val="00225968"/>
    <w:rsid w:val="00226AC8"/>
    <w:rsid w:val="00226B8B"/>
    <w:rsid w:val="00227007"/>
    <w:rsid w:val="00227831"/>
    <w:rsid w:val="00227D77"/>
    <w:rsid w:val="00227D9A"/>
    <w:rsid w:val="00227EE4"/>
    <w:rsid w:val="0023026E"/>
    <w:rsid w:val="002306DA"/>
    <w:rsid w:val="002308E6"/>
    <w:rsid w:val="00230AC9"/>
    <w:rsid w:val="00230ADF"/>
    <w:rsid w:val="00230D85"/>
    <w:rsid w:val="00230ED9"/>
    <w:rsid w:val="002313E1"/>
    <w:rsid w:val="0023181D"/>
    <w:rsid w:val="0023182B"/>
    <w:rsid w:val="00231D41"/>
    <w:rsid w:val="00232009"/>
    <w:rsid w:val="00232690"/>
    <w:rsid w:val="00232775"/>
    <w:rsid w:val="002328B4"/>
    <w:rsid w:val="00232CE9"/>
    <w:rsid w:val="00233281"/>
    <w:rsid w:val="00233467"/>
    <w:rsid w:val="002337E3"/>
    <w:rsid w:val="00233F46"/>
    <w:rsid w:val="00234384"/>
    <w:rsid w:val="002344C2"/>
    <w:rsid w:val="00234984"/>
    <w:rsid w:val="00234F01"/>
    <w:rsid w:val="002351A0"/>
    <w:rsid w:val="0023524B"/>
    <w:rsid w:val="00235925"/>
    <w:rsid w:val="00235CCC"/>
    <w:rsid w:val="00236081"/>
    <w:rsid w:val="00236831"/>
    <w:rsid w:val="00236B8C"/>
    <w:rsid w:val="00236D6E"/>
    <w:rsid w:val="00236DF8"/>
    <w:rsid w:val="00236F7D"/>
    <w:rsid w:val="00237301"/>
    <w:rsid w:val="00237491"/>
    <w:rsid w:val="002375C3"/>
    <w:rsid w:val="00237742"/>
    <w:rsid w:val="002377CA"/>
    <w:rsid w:val="00237E30"/>
    <w:rsid w:val="002401AA"/>
    <w:rsid w:val="002403AB"/>
    <w:rsid w:val="00240540"/>
    <w:rsid w:val="002406C1"/>
    <w:rsid w:val="00240970"/>
    <w:rsid w:val="002413F9"/>
    <w:rsid w:val="002418C5"/>
    <w:rsid w:val="00241952"/>
    <w:rsid w:val="00241CE5"/>
    <w:rsid w:val="00242508"/>
    <w:rsid w:val="002428CD"/>
    <w:rsid w:val="00242E99"/>
    <w:rsid w:val="0024358F"/>
    <w:rsid w:val="002436C3"/>
    <w:rsid w:val="0024378C"/>
    <w:rsid w:val="00243B48"/>
    <w:rsid w:val="002442D2"/>
    <w:rsid w:val="002446F5"/>
    <w:rsid w:val="002452CD"/>
    <w:rsid w:val="00245778"/>
    <w:rsid w:val="002459A7"/>
    <w:rsid w:val="00245CD4"/>
    <w:rsid w:val="002461A0"/>
    <w:rsid w:val="00246381"/>
    <w:rsid w:val="0024647E"/>
    <w:rsid w:val="00246488"/>
    <w:rsid w:val="002464D6"/>
    <w:rsid w:val="00246D42"/>
    <w:rsid w:val="002474BB"/>
    <w:rsid w:val="00247547"/>
    <w:rsid w:val="0024757C"/>
    <w:rsid w:val="0024791E"/>
    <w:rsid w:val="00247DA9"/>
    <w:rsid w:val="00247EEF"/>
    <w:rsid w:val="00250008"/>
    <w:rsid w:val="002500A3"/>
    <w:rsid w:val="00250197"/>
    <w:rsid w:val="00250199"/>
    <w:rsid w:val="002508C0"/>
    <w:rsid w:val="00250BBC"/>
    <w:rsid w:val="0025166D"/>
    <w:rsid w:val="002517D6"/>
    <w:rsid w:val="00251857"/>
    <w:rsid w:val="00251CAD"/>
    <w:rsid w:val="00251CDB"/>
    <w:rsid w:val="00251F27"/>
    <w:rsid w:val="0025271A"/>
    <w:rsid w:val="0025288D"/>
    <w:rsid w:val="0025295F"/>
    <w:rsid w:val="00252CAC"/>
    <w:rsid w:val="00252F03"/>
    <w:rsid w:val="00254068"/>
    <w:rsid w:val="00254132"/>
    <w:rsid w:val="0025437F"/>
    <w:rsid w:val="002543B7"/>
    <w:rsid w:val="002543E4"/>
    <w:rsid w:val="0025491D"/>
    <w:rsid w:val="00254C66"/>
    <w:rsid w:val="00254F01"/>
    <w:rsid w:val="00255EE8"/>
    <w:rsid w:val="00255FCE"/>
    <w:rsid w:val="00256194"/>
    <w:rsid w:val="002561EB"/>
    <w:rsid w:val="002562FC"/>
    <w:rsid w:val="0025655B"/>
    <w:rsid w:val="00256DF7"/>
    <w:rsid w:val="00257417"/>
    <w:rsid w:val="0025779A"/>
    <w:rsid w:val="0025779D"/>
    <w:rsid w:val="0026029A"/>
    <w:rsid w:val="00260D15"/>
    <w:rsid w:val="00260E67"/>
    <w:rsid w:val="00260F20"/>
    <w:rsid w:val="00261176"/>
    <w:rsid w:val="00261393"/>
    <w:rsid w:val="002613DB"/>
    <w:rsid w:val="002618A3"/>
    <w:rsid w:val="00262123"/>
    <w:rsid w:val="00262646"/>
    <w:rsid w:val="00262D2B"/>
    <w:rsid w:val="002636FF"/>
    <w:rsid w:val="002645DA"/>
    <w:rsid w:val="00264E7D"/>
    <w:rsid w:val="0026556F"/>
    <w:rsid w:val="002657DE"/>
    <w:rsid w:val="002664C8"/>
    <w:rsid w:val="00266664"/>
    <w:rsid w:val="00266C14"/>
    <w:rsid w:val="00266FD1"/>
    <w:rsid w:val="00267219"/>
    <w:rsid w:val="002676F0"/>
    <w:rsid w:val="002678EF"/>
    <w:rsid w:val="00270446"/>
    <w:rsid w:val="002709C0"/>
    <w:rsid w:val="002709E6"/>
    <w:rsid w:val="00270AFC"/>
    <w:rsid w:val="00270D16"/>
    <w:rsid w:val="00270ED1"/>
    <w:rsid w:val="0027103B"/>
    <w:rsid w:val="0027108A"/>
    <w:rsid w:val="0027121E"/>
    <w:rsid w:val="00271908"/>
    <w:rsid w:val="002719B4"/>
    <w:rsid w:val="00271DA3"/>
    <w:rsid w:val="00272180"/>
    <w:rsid w:val="00272224"/>
    <w:rsid w:val="0027239D"/>
    <w:rsid w:val="00272821"/>
    <w:rsid w:val="00272AB6"/>
    <w:rsid w:val="00272F4D"/>
    <w:rsid w:val="0027343A"/>
    <w:rsid w:val="0027364E"/>
    <w:rsid w:val="00273CD5"/>
    <w:rsid w:val="00274631"/>
    <w:rsid w:val="00274945"/>
    <w:rsid w:val="00274BBF"/>
    <w:rsid w:val="0027520A"/>
    <w:rsid w:val="00275496"/>
    <w:rsid w:val="0027561D"/>
    <w:rsid w:val="0027585D"/>
    <w:rsid w:val="00275FB4"/>
    <w:rsid w:val="00276C06"/>
    <w:rsid w:val="00276E24"/>
    <w:rsid w:val="002772ED"/>
    <w:rsid w:val="00277358"/>
    <w:rsid w:val="00277383"/>
    <w:rsid w:val="0027787A"/>
    <w:rsid w:val="00277E59"/>
    <w:rsid w:val="00277F37"/>
    <w:rsid w:val="00277FA6"/>
    <w:rsid w:val="002803B0"/>
    <w:rsid w:val="0028083E"/>
    <w:rsid w:val="002808C0"/>
    <w:rsid w:val="00280A17"/>
    <w:rsid w:val="002810C1"/>
    <w:rsid w:val="0028153E"/>
    <w:rsid w:val="00281667"/>
    <w:rsid w:val="00281697"/>
    <w:rsid w:val="00281FAA"/>
    <w:rsid w:val="00281FDB"/>
    <w:rsid w:val="0028231C"/>
    <w:rsid w:val="002823E7"/>
    <w:rsid w:val="002824CF"/>
    <w:rsid w:val="002832D4"/>
    <w:rsid w:val="00283478"/>
    <w:rsid w:val="00283911"/>
    <w:rsid w:val="00283CB0"/>
    <w:rsid w:val="00283F18"/>
    <w:rsid w:val="00283F7A"/>
    <w:rsid w:val="00283F89"/>
    <w:rsid w:val="00284054"/>
    <w:rsid w:val="00284309"/>
    <w:rsid w:val="0028484C"/>
    <w:rsid w:val="00284A2D"/>
    <w:rsid w:val="00284AC3"/>
    <w:rsid w:val="00284BAB"/>
    <w:rsid w:val="00284BEB"/>
    <w:rsid w:val="00285217"/>
    <w:rsid w:val="00285391"/>
    <w:rsid w:val="00285468"/>
    <w:rsid w:val="00285C95"/>
    <w:rsid w:val="00285DB7"/>
    <w:rsid w:val="0028600C"/>
    <w:rsid w:val="00286614"/>
    <w:rsid w:val="0028663B"/>
    <w:rsid w:val="002872FD"/>
    <w:rsid w:val="002873A1"/>
    <w:rsid w:val="00287719"/>
    <w:rsid w:val="00287779"/>
    <w:rsid w:val="002879F7"/>
    <w:rsid w:val="00287E8A"/>
    <w:rsid w:val="00290279"/>
    <w:rsid w:val="00290C6C"/>
    <w:rsid w:val="002910D9"/>
    <w:rsid w:val="00291C64"/>
    <w:rsid w:val="00291ECE"/>
    <w:rsid w:val="00292281"/>
    <w:rsid w:val="002922FD"/>
    <w:rsid w:val="002928CE"/>
    <w:rsid w:val="00292D97"/>
    <w:rsid w:val="00293126"/>
    <w:rsid w:val="002931D4"/>
    <w:rsid w:val="002934DD"/>
    <w:rsid w:val="00293867"/>
    <w:rsid w:val="00293C95"/>
    <w:rsid w:val="00293CD8"/>
    <w:rsid w:val="002941AC"/>
    <w:rsid w:val="00294484"/>
    <w:rsid w:val="00294DEF"/>
    <w:rsid w:val="00295028"/>
    <w:rsid w:val="00295262"/>
    <w:rsid w:val="002955A7"/>
    <w:rsid w:val="002958D3"/>
    <w:rsid w:val="00295902"/>
    <w:rsid w:val="00295BB7"/>
    <w:rsid w:val="00295F1E"/>
    <w:rsid w:val="00295FEA"/>
    <w:rsid w:val="00296333"/>
    <w:rsid w:val="00296462"/>
    <w:rsid w:val="0029646F"/>
    <w:rsid w:val="00296630"/>
    <w:rsid w:val="00296802"/>
    <w:rsid w:val="002968A9"/>
    <w:rsid w:val="00296B5F"/>
    <w:rsid w:val="00296BAF"/>
    <w:rsid w:val="00296FDD"/>
    <w:rsid w:val="0029703E"/>
    <w:rsid w:val="002970D6"/>
    <w:rsid w:val="002970ED"/>
    <w:rsid w:val="00297669"/>
    <w:rsid w:val="00297711"/>
    <w:rsid w:val="00297BDD"/>
    <w:rsid w:val="00297D57"/>
    <w:rsid w:val="002A005D"/>
    <w:rsid w:val="002A0275"/>
    <w:rsid w:val="002A0C6D"/>
    <w:rsid w:val="002A0DC3"/>
    <w:rsid w:val="002A113E"/>
    <w:rsid w:val="002A13AA"/>
    <w:rsid w:val="002A1658"/>
    <w:rsid w:val="002A1691"/>
    <w:rsid w:val="002A1C66"/>
    <w:rsid w:val="002A1C73"/>
    <w:rsid w:val="002A2277"/>
    <w:rsid w:val="002A27A0"/>
    <w:rsid w:val="002A3751"/>
    <w:rsid w:val="002A38A0"/>
    <w:rsid w:val="002A3F2C"/>
    <w:rsid w:val="002A4093"/>
    <w:rsid w:val="002A4128"/>
    <w:rsid w:val="002A4668"/>
    <w:rsid w:val="002A48F7"/>
    <w:rsid w:val="002A4A88"/>
    <w:rsid w:val="002A5138"/>
    <w:rsid w:val="002A5147"/>
    <w:rsid w:val="002A552B"/>
    <w:rsid w:val="002A55E2"/>
    <w:rsid w:val="002A56EA"/>
    <w:rsid w:val="002A57FC"/>
    <w:rsid w:val="002A5875"/>
    <w:rsid w:val="002A59D9"/>
    <w:rsid w:val="002A6072"/>
    <w:rsid w:val="002A64C7"/>
    <w:rsid w:val="002A65E9"/>
    <w:rsid w:val="002A6761"/>
    <w:rsid w:val="002A6BD3"/>
    <w:rsid w:val="002A6DA7"/>
    <w:rsid w:val="002A72AF"/>
    <w:rsid w:val="002A72DE"/>
    <w:rsid w:val="002A75FA"/>
    <w:rsid w:val="002A7722"/>
    <w:rsid w:val="002A7C62"/>
    <w:rsid w:val="002A7FD3"/>
    <w:rsid w:val="002B0125"/>
    <w:rsid w:val="002B0601"/>
    <w:rsid w:val="002B0C0C"/>
    <w:rsid w:val="002B0D66"/>
    <w:rsid w:val="002B10C1"/>
    <w:rsid w:val="002B10D7"/>
    <w:rsid w:val="002B1B71"/>
    <w:rsid w:val="002B1C28"/>
    <w:rsid w:val="002B1D1D"/>
    <w:rsid w:val="002B2009"/>
    <w:rsid w:val="002B20ED"/>
    <w:rsid w:val="002B23C6"/>
    <w:rsid w:val="002B2526"/>
    <w:rsid w:val="002B28AE"/>
    <w:rsid w:val="002B2EDF"/>
    <w:rsid w:val="002B2FC0"/>
    <w:rsid w:val="002B2FD5"/>
    <w:rsid w:val="002B30EB"/>
    <w:rsid w:val="002B31A3"/>
    <w:rsid w:val="002B336E"/>
    <w:rsid w:val="002B34B2"/>
    <w:rsid w:val="002B38F1"/>
    <w:rsid w:val="002B3C01"/>
    <w:rsid w:val="002B3D58"/>
    <w:rsid w:val="002B435F"/>
    <w:rsid w:val="002B43A2"/>
    <w:rsid w:val="002B43C9"/>
    <w:rsid w:val="002B5110"/>
    <w:rsid w:val="002B51FD"/>
    <w:rsid w:val="002B5479"/>
    <w:rsid w:val="002B56A5"/>
    <w:rsid w:val="002B5C09"/>
    <w:rsid w:val="002B602B"/>
    <w:rsid w:val="002B64DB"/>
    <w:rsid w:val="002B6B56"/>
    <w:rsid w:val="002B6C12"/>
    <w:rsid w:val="002B72BD"/>
    <w:rsid w:val="002B7E68"/>
    <w:rsid w:val="002B7FAB"/>
    <w:rsid w:val="002C002D"/>
    <w:rsid w:val="002C029E"/>
    <w:rsid w:val="002C02C7"/>
    <w:rsid w:val="002C0380"/>
    <w:rsid w:val="002C077D"/>
    <w:rsid w:val="002C0931"/>
    <w:rsid w:val="002C10CE"/>
    <w:rsid w:val="002C1246"/>
    <w:rsid w:val="002C1393"/>
    <w:rsid w:val="002C179E"/>
    <w:rsid w:val="002C1B55"/>
    <w:rsid w:val="002C1C98"/>
    <w:rsid w:val="002C1ED9"/>
    <w:rsid w:val="002C2AC0"/>
    <w:rsid w:val="002C362D"/>
    <w:rsid w:val="002C3BCC"/>
    <w:rsid w:val="002C420F"/>
    <w:rsid w:val="002C426A"/>
    <w:rsid w:val="002C47BE"/>
    <w:rsid w:val="002C48CD"/>
    <w:rsid w:val="002C4ACD"/>
    <w:rsid w:val="002C51FF"/>
    <w:rsid w:val="002C5267"/>
    <w:rsid w:val="002C5815"/>
    <w:rsid w:val="002C5863"/>
    <w:rsid w:val="002C5BCB"/>
    <w:rsid w:val="002C5C27"/>
    <w:rsid w:val="002C5EC5"/>
    <w:rsid w:val="002C6327"/>
    <w:rsid w:val="002C656E"/>
    <w:rsid w:val="002C684F"/>
    <w:rsid w:val="002C686F"/>
    <w:rsid w:val="002C6B91"/>
    <w:rsid w:val="002C6BA2"/>
    <w:rsid w:val="002C6CA2"/>
    <w:rsid w:val="002C6F2A"/>
    <w:rsid w:val="002C70B9"/>
    <w:rsid w:val="002C716C"/>
    <w:rsid w:val="002C78F7"/>
    <w:rsid w:val="002C7C1C"/>
    <w:rsid w:val="002D02AE"/>
    <w:rsid w:val="002D06D3"/>
    <w:rsid w:val="002D074A"/>
    <w:rsid w:val="002D0A34"/>
    <w:rsid w:val="002D13A2"/>
    <w:rsid w:val="002D1513"/>
    <w:rsid w:val="002D1592"/>
    <w:rsid w:val="002D1932"/>
    <w:rsid w:val="002D194C"/>
    <w:rsid w:val="002D1A4A"/>
    <w:rsid w:val="002D202D"/>
    <w:rsid w:val="002D219F"/>
    <w:rsid w:val="002D2442"/>
    <w:rsid w:val="002D26ED"/>
    <w:rsid w:val="002D2901"/>
    <w:rsid w:val="002D2BDD"/>
    <w:rsid w:val="002D2D26"/>
    <w:rsid w:val="002D2F9B"/>
    <w:rsid w:val="002D3267"/>
    <w:rsid w:val="002D33E0"/>
    <w:rsid w:val="002D3400"/>
    <w:rsid w:val="002D3674"/>
    <w:rsid w:val="002D4119"/>
    <w:rsid w:val="002D424E"/>
    <w:rsid w:val="002D4298"/>
    <w:rsid w:val="002D432D"/>
    <w:rsid w:val="002D4FCA"/>
    <w:rsid w:val="002D53FA"/>
    <w:rsid w:val="002D5439"/>
    <w:rsid w:val="002D5710"/>
    <w:rsid w:val="002D57DD"/>
    <w:rsid w:val="002D582F"/>
    <w:rsid w:val="002D5B8B"/>
    <w:rsid w:val="002D5BE6"/>
    <w:rsid w:val="002D655C"/>
    <w:rsid w:val="002D69C3"/>
    <w:rsid w:val="002D6EB1"/>
    <w:rsid w:val="002D7226"/>
    <w:rsid w:val="002D779F"/>
    <w:rsid w:val="002D77A7"/>
    <w:rsid w:val="002D7C5E"/>
    <w:rsid w:val="002E070D"/>
    <w:rsid w:val="002E073E"/>
    <w:rsid w:val="002E0DCF"/>
    <w:rsid w:val="002E1352"/>
    <w:rsid w:val="002E1417"/>
    <w:rsid w:val="002E1873"/>
    <w:rsid w:val="002E23CB"/>
    <w:rsid w:val="002E2774"/>
    <w:rsid w:val="002E27E7"/>
    <w:rsid w:val="002E29CE"/>
    <w:rsid w:val="002E2B15"/>
    <w:rsid w:val="002E30EE"/>
    <w:rsid w:val="002E3651"/>
    <w:rsid w:val="002E367B"/>
    <w:rsid w:val="002E43EB"/>
    <w:rsid w:val="002E44A8"/>
    <w:rsid w:val="002E4627"/>
    <w:rsid w:val="002E4B6E"/>
    <w:rsid w:val="002E4E4E"/>
    <w:rsid w:val="002E5146"/>
    <w:rsid w:val="002E5748"/>
    <w:rsid w:val="002E57CF"/>
    <w:rsid w:val="002E595A"/>
    <w:rsid w:val="002E5991"/>
    <w:rsid w:val="002E5CE7"/>
    <w:rsid w:val="002E64B4"/>
    <w:rsid w:val="002E64FC"/>
    <w:rsid w:val="002E701E"/>
    <w:rsid w:val="002E7020"/>
    <w:rsid w:val="002E73C6"/>
    <w:rsid w:val="002E793A"/>
    <w:rsid w:val="002E7CC8"/>
    <w:rsid w:val="002F0135"/>
    <w:rsid w:val="002F0446"/>
    <w:rsid w:val="002F0A00"/>
    <w:rsid w:val="002F0A87"/>
    <w:rsid w:val="002F0EA1"/>
    <w:rsid w:val="002F2242"/>
    <w:rsid w:val="002F244C"/>
    <w:rsid w:val="002F24CE"/>
    <w:rsid w:val="002F24D8"/>
    <w:rsid w:val="002F2671"/>
    <w:rsid w:val="002F27FC"/>
    <w:rsid w:val="002F299B"/>
    <w:rsid w:val="002F2A3F"/>
    <w:rsid w:val="002F2C51"/>
    <w:rsid w:val="002F3890"/>
    <w:rsid w:val="002F3B20"/>
    <w:rsid w:val="002F4ABE"/>
    <w:rsid w:val="002F4AE9"/>
    <w:rsid w:val="002F51E1"/>
    <w:rsid w:val="002F561B"/>
    <w:rsid w:val="002F5B3D"/>
    <w:rsid w:val="002F697E"/>
    <w:rsid w:val="002F6A2E"/>
    <w:rsid w:val="002F6B4E"/>
    <w:rsid w:val="002F73AB"/>
    <w:rsid w:val="002F73AD"/>
    <w:rsid w:val="002F79F1"/>
    <w:rsid w:val="00300059"/>
    <w:rsid w:val="00300393"/>
    <w:rsid w:val="00300520"/>
    <w:rsid w:val="00300AE4"/>
    <w:rsid w:val="00300C62"/>
    <w:rsid w:val="00301756"/>
    <w:rsid w:val="0030185F"/>
    <w:rsid w:val="00301C99"/>
    <w:rsid w:val="00302229"/>
    <w:rsid w:val="00302636"/>
    <w:rsid w:val="0030267A"/>
    <w:rsid w:val="00302715"/>
    <w:rsid w:val="00302957"/>
    <w:rsid w:val="00302C9E"/>
    <w:rsid w:val="003034DA"/>
    <w:rsid w:val="0030355A"/>
    <w:rsid w:val="00303866"/>
    <w:rsid w:val="00303CC6"/>
    <w:rsid w:val="00303CF1"/>
    <w:rsid w:val="0030453B"/>
    <w:rsid w:val="00304577"/>
    <w:rsid w:val="00304656"/>
    <w:rsid w:val="003048BD"/>
    <w:rsid w:val="00304905"/>
    <w:rsid w:val="00304ABA"/>
    <w:rsid w:val="00304D42"/>
    <w:rsid w:val="0030564B"/>
    <w:rsid w:val="00305A04"/>
    <w:rsid w:val="00305AD9"/>
    <w:rsid w:val="00305F70"/>
    <w:rsid w:val="00306641"/>
    <w:rsid w:val="003067EE"/>
    <w:rsid w:val="003069A8"/>
    <w:rsid w:val="0030711A"/>
    <w:rsid w:val="003073A2"/>
    <w:rsid w:val="003078C4"/>
    <w:rsid w:val="00307E91"/>
    <w:rsid w:val="003102EC"/>
    <w:rsid w:val="00310786"/>
    <w:rsid w:val="00310992"/>
    <w:rsid w:val="003111E6"/>
    <w:rsid w:val="00311634"/>
    <w:rsid w:val="003117DF"/>
    <w:rsid w:val="00311D65"/>
    <w:rsid w:val="0031223E"/>
    <w:rsid w:val="00312A72"/>
    <w:rsid w:val="00312ECF"/>
    <w:rsid w:val="00313BDB"/>
    <w:rsid w:val="00314148"/>
    <w:rsid w:val="00314648"/>
    <w:rsid w:val="0031470E"/>
    <w:rsid w:val="00314B94"/>
    <w:rsid w:val="0031590F"/>
    <w:rsid w:val="00315B98"/>
    <w:rsid w:val="00315BBF"/>
    <w:rsid w:val="00316376"/>
    <w:rsid w:val="003163DD"/>
    <w:rsid w:val="00316455"/>
    <w:rsid w:val="0031679D"/>
    <w:rsid w:val="003168F4"/>
    <w:rsid w:val="00316FBB"/>
    <w:rsid w:val="00317A0A"/>
    <w:rsid w:val="00317AE6"/>
    <w:rsid w:val="00317CEC"/>
    <w:rsid w:val="0032048A"/>
    <w:rsid w:val="003206E0"/>
    <w:rsid w:val="003209CB"/>
    <w:rsid w:val="00320BAD"/>
    <w:rsid w:val="00320D0B"/>
    <w:rsid w:val="00320FE8"/>
    <w:rsid w:val="0032121F"/>
    <w:rsid w:val="00321788"/>
    <w:rsid w:val="00321BE4"/>
    <w:rsid w:val="00322892"/>
    <w:rsid w:val="0032292D"/>
    <w:rsid w:val="0032298C"/>
    <w:rsid w:val="003237A6"/>
    <w:rsid w:val="0032395B"/>
    <w:rsid w:val="00323C16"/>
    <w:rsid w:val="00323C42"/>
    <w:rsid w:val="00323E89"/>
    <w:rsid w:val="00324107"/>
    <w:rsid w:val="00324172"/>
    <w:rsid w:val="00324521"/>
    <w:rsid w:val="003247C9"/>
    <w:rsid w:val="00324E8B"/>
    <w:rsid w:val="00325027"/>
    <w:rsid w:val="0032527A"/>
    <w:rsid w:val="00325376"/>
    <w:rsid w:val="003253C8"/>
    <w:rsid w:val="00325C4E"/>
    <w:rsid w:val="00325D50"/>
    <w:rsid w:val="00325E0B"/>
    <w:rsid w:val="00325E3B"/>
    <w:rsid w:val="00326A49"/>
    <w:rsid w:val="00326D45"/>
    <w:rsid w:val="0032718E"/>
    <w:rsid w:val="003271F0"/>
    <w:rsid w:val="00327D5E"/>
    <w:rsid w:val="00327DFB"/>
    <w:rsid w:val="003304C7"/>
    <w:rsid w:val="00330516"/>
    <w:rsid w:val="00330519"/>
    <w:rsid w:val="003309C5"/>
    <w:rsid w:val="00330CB0"/>
    <w:rsid w:val="003316AF"/>
    <w:rsid w:val="00331E19"/>
    <w:rsid w:val="00331E50"/>
    <w:rsid w:val="00332332"/>
    <w:rsid w:val="0033241E"/>
    <w:rsid w:val="003324DE"/>
    <w:rsid w:val="003326CC"/>
    <w:rsid w:val="003327C5"/>
    <w:rsid w:val="003328E3"/>
    <w:rsid w:val="00332D03"/>
    <w:rsid w:val="0033305D"/>
    <w:rsid w:val="003339B9"/>
    <w:rsid w:val="00333F11"/>
    <w:rsid w:val="0033402E"/>
    <w:rsid w:val="0033461F"/>
    <w:rsid w:val="003349B3"/>
    <w:rsid w:val="00334CFD"/>
    <w:rsid w:val="00334E1E"/>
    <w:rsid w:val="00335004"/>
    <w:rsid w:val="0033521F"/>
    <w:rsid w:val="00335FB8"/>
    <w:rsid w:val="00336166"/>
    <w:rsid w:val="003361B1"/>
    <w:rsid w:val="00336E06"/>
    <w:rsid w:val="00336E33"/>
    <w:rsid w:val="00336EBB"/>
    <w:rsid w:val="0033762D"/>
    <w:rsid w:val="003379BA"/>
    <w:rsid w:val="00337D7B"/>
    <w:rsid w:val="00340303"/>
    <w:rsid w:val="0034038D"/>
    <w:rsid w:val="0034089C"/>
    <w:rsid w:val="00340BEA"/>
    <w:rsid w:val="00340F30"/>
    <w:rsid w:val="00340F89"/>
    <w:rsid w:val="00341B3D"/>
    <w:rsid w:val="00341B8F"/>
    <w:rsid w:val="00341CA3"/>
    <w:rsid w:val="00341E5D"/>
    <w:rsid w:val="003420C4"/>
    <w:rsid w:val="00342233"/>
    <w:rsid w:val="00342728"/>
    <w:rsid w:val="00342C76"/>
    <w:rsid w:val="00342D6B"/>
    <w:rsid w:val="00343340"/>
    <w:rsid w:val="00343361"/>
    <w:rsid w:val="00343912"/>
    <w:rsid w:val="00343C82"/>
    <w:rsid w:val="0034409F"/>
    <w:rsid w:val="003443F0"/>
    <w:rsid w:val="00344407"/>
    <w:rsid w:val="00344B74"/>
    <w:rsid w:val="00344C48"/>
    <w:rsid w:val="00344F44"/>
    <w:rsid w:val="00344FE7"/>
    <w:rsid w:val="00345955"/>
    <w:rsid w:val="00345C33"/>
    <w:rsid w:val="00345FAA"/>
    <w:rsid w:val="00346459"/>
    <w:rsid w:val="0034649F"/>
    <w:rsid w:val="003468F1"/>
    <w:rsid w:val="00346C32"/>
    <w:rsid w:val="00347072"/>
    <w:rsid w:val="00347414"/>
    <w:rsid w:val="003475C1"/>
    <w:rsid w:val="00347782"/>
    <w:rsid w:val="003479AF"/>
    <w:rsid w:val="00350390"/>
    <w:rsid w:val="003508FF"/>
    <w:rsid w:val="00350B83"/>
    <w:rsid w:val="00350E61"/>
    <w:rsid w:val="003512E5"/>
    <w:rsid w:val="0035147C"/>
    <w:rsid w:val="00351B63"/>
    <w:rsid w:val="00352144"/>
    <w:rsid w:val="003523AB"/>
    <w:rsid w:val="00352581"/>
    <w:rsid w:val="00352EA7"/>
    <w:rsid w:val="00353DAF"/>
    <w:rsid w:val="0035474A"/>
    <w:rsid w:val="00354CC4"/>
    <w:rsid w:val="00354D0C"/>
    <w:rsid w:val="00354DAE"/>
    <w:rsid w:val="00355241"/>
    <w:rsid w:val="0035528E"/>
    <w:rsid w:val="0035578E"/>
    <w:rsid w:val="00355825"/>
    <w:rsid w:val="00355A16"/>
    <w:rsid w:val="00355B51"/>
    <w:rsid w:val="00356626"/>
    <w:rsid w:val="00357023"/>
    <w:rsid w:val="003574E3"/>
    <w:rsid w:val="003575E6"/>
    <w:rsid w:val="00357E81"/>
    <w:rsid w:val="0036014A"/>
    <w:rsid w:val="00360153"/>
    <w:rsid w:val="00360316"/>
    <w:rsid w:val="00360AE9"/>
    <w:rsid w:val="00360F70"/>
    <w:rsid w:val="003610ED"/>
    <w:rsid w:val="00361DC0"/>
    <w:rsid w:val="00361F12"/>
    <w:rsid w:val="00362096"/>
    <w:rsid w:val="003620D8"/>
    <w:rsid w:val="00362421"/>
    <w:rsid w:val="00362C25"/>
    <w:rsid w:val="003630CC"/>
    <w:rsid w:val="0036312D"/>
    <w:rsid w:val="003634C1"/>
    <w:rsid w:val="00363BA7"/>
    <w:rsid w:val="0036427D"/>
    <w:rsid w:val="00364875"/>
    <w:rsid w:val="00364C1A"/>
    <w:rsid w:val="00365813"/>
    <w:rsid w:val="00365B22"/>
    <w:rsid w:val="00365B95"/>
    <w:rsid w:val="003661C5"/>
    <w:rsid w:val="003662E5"/>
    <w:rsid w:val="003666DC"/>
    <w:rsid w:val="00366B6A"/>
    <w:rsid w:val="00366D64"/>
    <w:rsid w:val="00367233"/>
    <w:rsid w:val="0036771C"/>
    <w:rsid w:val="0036792E"/>
    <w:rsid w:val="00367A2F"/>
    <w:rsid w:val="00367A5E"/>
    <w:rsid w:val="00367B65"/>
    <w:rsid w:val="00367BB1"/>
    <w:rsid w:val="00367D24"/>
    <w:rsid w:val="00370379"/>
    <w:rsid w:val="0037050D"/>
    <w:rsid w:val="003709D5"/>
    <w:rsid w:val="00370AA8"/>
    <w:rsid w:val="00370AE9"/>
    <w:rsid w:val="00370C38"/>
    <w:rsid w:val="00371254"/>
    <w:rsid w:val="003713AE"/>
    <w:rsid w:val="0037198B"/>
    <w:rsid w:val="003719D1"/>
    <w:rsid w:val="0037277E"/>
    <w:rsid w:val="0037294B"/>
    <w:rsid w:val="003729AD"/>
    <w:rsid w:val="00372E11"/>
    <w:rsid w:val="00372FAB"/>
    <w:rsid w:val="0037308D"/>
    <w:rsid w:val="003730B9"/>
    <w:rsid w:val="00373885"/>
    <w:rsid w:val="00373EB0"/>
    <w:rsid w:val="00374017"/>
    <w:rsid w:val="003745F4"/>
    <w:rsid w:val="00374661"/>
    <w:rsid w:val="00374992"/>
    <w:rsid w:val="00374E6B"/>
    <w:rsid w:val="00375D55"/>
    <w:rsid w:val="00375FF5"/>
    <w:rsid w:val="0037627E"/>
    <w:rsid w:val="003762D9"/>
    <w:rsid w:val="003765F0"/>
    <w:rsid w:val="00376A21"/>
    <w:rsid w:val="00376DA8"/>
    <w:rsid w:val="003770B5"/>
    <w:rsid w:val="003771CB"/>
    <w:rsid w:val="0037766D"/>
    <w:rsid w:val="00377B1E"/>
    <w:rsid w:val="00377BFB"/>
    <w:rsid w:val="00377DA9"/>
    <w:rsid w:val="0038016B"/>
    <w:rsid w:val="0038022C"/>
    <w:rsid w:val="00380683"/>
    <w:rsid w:val="003809C8"/>
    <w:rsid w:val="00380F9F"/>
    <w:rsid w:val="00381607"/>
    <w:rsid w:val="00381643"/>
    <w:rsid w:val="003818C6"/>
    <w:rsid w:val="0038195D"/>
    <w:rsid w:val="00382698"/>
    <w:rsid w:val="003826DB"/>
    <w:rsid w:val="00382762"/>
    <w:rsid w:val="00382D32"/>
    <w:rsid w:val="00382E6A"/>
    <w:rsid w:val="00382F7E"/>
    <w:rsid w:val="00383059"/>
    <w:rsid w:val="003834DF"/>
    <w:rsid w:val="00383A8F"/>
    <w:rsid w:val="00383C0F"/>
    <w:rsid w:val="00383CAB"/>
    <w:rsid w:val="00383D55"/>
    <w:rsid w:val="00383E25"/>
    <w:rsid w:val="00384120"/>
    <w:rsid w:val="0038419E"/>
    <w:rsid w:val="00384865"/>
    <w:rsid w:val="00384C56"/>
    <w:rsid w:val="00384CE5"/>
    <w:rsid w:val="00384F80"/>
    <w:rsid w:val="003857F4"/>
    <w:rsid w:val="00385BC6"/>
    <w:rsid w:val="00385EF9"/>
    <w:rsid w:val="00386415"/>
    <w:rsid w:val="003865C8"/>
    <w:rsid w:val="00386C60"/>
    <w:rsid w:val="00386D01"/>
    <w:rsid w:val="00387529"/>
    <w:rsid w:val="0039035E"/>
    <w:rsid w:val="003903F6"/>
    <w:rsid w:val="00390620"/>
    <w:rsid w:val="0039065B"/>
    <w:rsid w:val="00390732"/>
    <w:rsid w:val="00390AEA"/>
    <w:rsid w:val="0039104A"/>
    <w:rsid w:val="0039143C"/>
    <w:rsid w:val="0039174F"/>
    <w:rsid w:val="0039199B"/>
    <w:rsid w:val="003921FB"/>
    <w:rsid w:val="00392300"/>
    <w:rsid w:val="0039255E"/>
    <w:rsid w:val="00392796"/>
    <w:rsid w:val="003927D4"/>
    <w:rsid w:val="00392820"/>
    <w:rsid w:val="00392C21"/>
    <w:rsid w:val="00393210"/>
    <w:rsid w:val="0039331E"/>
    <w:rsid w:val="00393882"/>
    <w:rsid w:val="003946D6"/>
    <w:rsid w:val="0039479A"/>
    <w:rsid w:val="00394B90"/>
    <w:rsid w:val="0039578A"/>
    <w:rsid w:val="00395D20"/>
    <w:rsid w:val="00395D28"/>
    <w:rsid w:val="003962B1"/>
    <w:rsid w:val="003962EA"/>
    <w:rsid w:val="00396F81"/>
    <w:rsid w:val="003972DA"/>
    <w:rsid w:val="0039753D"/>
    <w:rsid w:val="003976A2"/>
    <w:rsid w:val="003978EB"/>
    <w:rsid w:val="00397951"/>
    <w:rsid w:val="00397BEA"/>
    <w:rsid w:val="003A073D"/>
    <w:rsid w:val="003A0CDC"/>
    <w:rsid w:val="003A0D57"/>
    <w:rsid w:val="003A0E08"/>
    <w:rsid w:val="003A1183"/>
    <w:rsid w:val="003A120F"/>
    <w:rsid w:val="003A1A56"/>
    <w:rsid w:val="003A1ED5"/>
    <w:rsid w:val="003A25AD"/>
    <w:rsid w:val="003A25B8"/>
    <w:rsid w:val="003A26E3"/>
    <w:rsid w:val="003A2CE5"/>
    <w:rsid w:val="003A2F62"/>
    <w:rsid w:val="003A2F68"/>
    <w:rsid w:val="003A33D8"/>
    <w:rsid w:val="003A3782"/>
    <w:rsid w:val="003A37C9"/>
    <w:rsid w:val="003A39AA"/>
    <w:rsid w:val="003A3C8A"/>
    <w:rsid w:val="003A3F32"/>
    <w:rsid w:val="003A40BC"/>
    <w:rsid w:val="003A4BD5"/>
    <w:rsid w:val="003A4BE5"/>
    <w:rsid w:val="003A4F03"/>
    <w:rsid w:val="003A4FAF"/>
    <w:rsid w:val="003A4FDF"/>
    <w:rsid w:val="003A5141"/>
    <w:rsid w:val="003A5689"/>
    <w:rsid w:val="003A56A2"/>
    <w:rsid w:val="003A6049"/>
    <w:rsid w:val="003A6B12"/>
    <w:rsid w:val="003A6D26"/>
    <w:rsid w:val="003A6E2C"/>
    <w:rsid w:val="003A715A"/>
    <w:rsid w:val="003A7594"/>
    <w:rsid w:val="003A7659"/>
    <w:rsid w:val="003A7B3A"/>
    <w:rsid w:val="003A7D64"/>
    <w:rsid w:val="003B0061"/>
    <w:rsid w:val="003B014D"/>
    <w:rsid w:val="003B0537"/>
    <w:rsid w:val="003B0D57"/>
    <w:rsid w:val="003B0E1F"/>
    <w:rsid w:val="003B12B4"/>
    <w:rsid w:val="003B169B"/>
    <w:rsid w:val="003B1A50"/>
    <w:rsid w:val="003B23D6"/>
    <w:rsid w:val="003B23DC"/>
    <w:rsid w:val="003B2A0B"/>
    <w:rsid w:val="003B2C6B"/>
    <w:rsid w:val="003B2E04"/>
    <w:rsid w:val="003B2FCA"/>
    <w:rsid w:val="003B36CB"/>
    <w:rsid w:val="003B37EE"/>
    <w:rsid w:val="003B3A4F"/>
    <w:rsid w:val="003B3C7C"/>
    <w:rsid w:val="003B3DE4"/>
    <w:rsid w:val="003B3F00"/>
    <w:rsid w:val="003B442D"/>
    <w:rsid w:val="003B45F2"/>
    <w:rsid w:val="003B4BAE"/>
    <w:rsid w:val="003B4DE1"/>
    <w:rsid w:val="003B4F0F"/>
    <w:rsid w:val="003B4F75"/>
    <w:rsid w:val="003B5210"/>
    <w:rsid w:val="003B534D"/>
    <w:rsid w:val="003B5364"/>
    <w:rsid w:val="003B5410"/>
    <w:rsid w:val="003B55B3"/>
    <w:rsid w:val="003B56ED"/>
    <w:rsid w:val="003B5A9C"/>
    <w:rsid w:val="003B5BC4"/>
    <w:rsid w:val="003B5E5E"/>
    <w:rsid w:val="003B5F5B"/>
    <w:rsid w:val="003B60A5"/>
    <w:rsid w:val="003B61F9"/>
    <w:rsid w:val="003B6275"/>
    <w:rsid w:val="003B6519"/>
    <w:rsid w:val="003B6568"/>
    <w:rsid w:val="003B6AC6"/>
    <w:rsid w:val="003B755C"/>
    <w:rsid w:val="003B7E25"/>
    <w:rsid w:val="003B7ECB"/>
    <w:rsid w:val="003C010A"/>
    <w:rsid w:val="003C0C11"/>
    <w:rsid w:val="003C12D1"/>
    <w:rsid w:val="003C12E3"/>
    <w:rsid w:val="003C1324"/>
    <w:rsid w:val="003C2148"/>
    <w:rsid w:val="003C2320"/>
    <w:rsid w:val="003C236F"/>
    <w:rsid w:val="003C2670"/>
    <w:rsid w:val="003C27A5"/>
    <w:rsid w:val="003C2BDF"/>
    <w:rsid w:val="003C2DC1"/>
    <w:rsid w:val="003C2E43"/>
    <w:rsid w:val="003C2F9E"/>
    <w:rsid w:val="003C32C5"/>
    <w:rsid w:val="003C3604"/>
    <w:rsid w:val="003C3631"/>
    <w:rsid w:val="003C39C7"/>
    <w:rsid w:val="003C3AAC"/>
    <w:rsid w:val="003C404C"/>
    <w:rsid w:val="003C41CE"/>
    <w:rsid w:val="003C44AD"/>
    <w:rsid w:val="003C4624"/>
    <w:rsid w:val="003C49A2"/>
    <w:rsid w:val="003C4C7E"/>
    <w:rsid w:val="003C4FFE"/>
    <w:rsid w:val="003C5049"/>
    <w:rsid w:val="003C558A"/>
    <w:rsid w:val="003C55C6"/>
    <w:rsid w:val="003C55E3"/>
    <w:rsid w:val="003C5C3F"/>
    <w:rsid w:val="003C5E38"/>
    <w:rsid w:val="003C6397"/>
    <w:rsid w:val="003C6399"/>
    <w:rsid w:val="003C63C2"/>
    <w:rsid w:val="003C652A"/>
    <w:rsid w:val="003C665E"/>
    <w:rsid w:val="003C69FB"/>
    <w:rsid w:val="003C71DE"/>
    <w:rsid w:val="003C7209"/>
    <w:rsid w:val="003C730A"/>
    <w:rsid w:val="003C7384"/>
    <w:rsid w:val="003C767E"/>
    <w:rsid w:val="003C78AA"/>
    <w:rsid w:val="003C79C7"/>
    <w:rsid w:val="003C7B15"/>
    <w:rsid w:val="003C7DAE"/>
    <w:rsid w:val="003C7F87"/>
    <w:rsid w:val="003C7FC2"/>
    <w:rsid w:val="003D000D"/>
    <w:rsid w:val="003D006D"/>
    <w:rsid w:val="003D033A"/>
    <w:rsid w:val="003D051B"/>
    <w:rsid w:val="003D0A61"/>
    <w:rsid w:val="003D0FB8"/>
    <w:rsid w:val="003D1616"/>
    <w:rsid w:val="003D16EF"/>
    <w:rsid w:val="003D1D00"/>
    <w:rsid w:val="003D2023"/>
    <w:rsid w:val="003D21E7"/>
    <w:rsid w:val="003D23FD"/>
    <w:rsid w:val="003D2477"/>
    <w:rsid w:val="003D2826"/>
    <w:rsid w:val="003D2915"/>
    <w:rsid w:val="003D298E"/>
    <w:rsid w:val="003D2E40"/>
    <w:rsid w:val="003D2ECA"/>
    <w:rsid w:val="003D3467"/>
    <w:rsid w:val="003D3668"/>
    <w:rsid w:val="003D3A89"/>
    <w:rsid w:val="003D3AF3"/>
    <w:rsid w:val="003D42F1"/>
    <w:rsid w:val="003D4486"/>
    <w:rsid w:val="003D4D1D"/>
    <w:rsid w:val="003D4EDC"/>
    <w:rsid w:val="003D4FF9"/>
    <w:rsid w:val="003D507F"/>
    <w:rsid w:val="003D5530"/>
    <w:rsid w:val="003D560C"/>
    <w:rsid w:val="003D5961"/>
    <w:rsid w:val="003D5A56"/>
    <w:rsid w:val="003D5CE8"/>
    <w:rsid w:val="003D5E09"/>
    <w:rsid w:val="003D64A6"/>
    <w:rsid w:val="003D6C63"/>
    <w:rsid w:val="003D6D36"/>
    <w:rsid w:val="003D6ED6"/>
    <w:rsid w:val="003D751B"/>
    <w:rsid w:val="003D76E5"/>
    <w:rsid w:val="003D781E"/>
    <w:rsid w:val="003D7A02"/>
    <w:rsid w:val="003D7C32"/>
    <w:rsid w:val="003D7C90"/>
    <w:rsid w:val="003E06F6"/>
    <w:rsid w:val="003E079F"/>
    <w:rsid w:val="003E097D"/>
    <w:rsid w:val="003E0FBF"/>
    <w:rsid w:val="003E10D0"/>
    <w:rsid w:val="003E1131"/>
    <w:rsid w:val="003E137F"/>
    <w:rsid w:val="003E14C9"/>
    <w:rsid w:val="003E18C3"/>
    <w:rsid w:val="003E18D4"/>
    <w:rsid w:val="003E23F7"/>
    <w:rsid w:val="003E26ED"/>
    <w:rsid w:val="003E2A10"/>
    <w:rsid w:val="003E2D28"/>
    <w:rsid w:val="003E2FF0"/>
    <w:rsid w:val="003E337B"/>
    <w:rsid w:val="003E3AB7"/>
    <w:rsid w:val="003E428A"/>
    <w:rsid w:val="003E4923"/>
    <w:rsid w:val="003E4D74"/>
    <w:rsid w:val="003E51A4"/>
    <w:rsid w:val="003E5319"/>
    <w:rsid w:val="003E58C2"/>
    <w:rsid w:val="003E5916"/>
    <w:rsid w:val="003E5A76"/>
    <w:rsid w:val="003E6376"/>
    <w:rsid w:val="003E63C7"/>
    <w:rsid w:val="003E6459"/>
    <w:rsid w:val="003E6687"/>
    <w:rsid w:val="003E6B27"/>
    <w:rsid w:val="003E6B9D"/>
    <w:rsid w:val="003E72B1"/>
    <w:rsid w:val="003E764F"/>
    <w:rsid w:val="003E7A12"/>
    <w:rsid w:val="003E7AC5"/>
    <w:rsid w:val="003E7DC6"/>
    <w:rsid w:val="003F00DF"/>
    <w:rsid w:val="003F02CB"/>
    <w:rsid w:val="003F0522"/>
    <w:rsid w:val="003F0FD9"/>
    <w:rsid w:val="003F12EC"/>
    <w:rsid w:val="003F14FD"/>
    <w:rsid w:val="003F172A"/>
    <w:rsid w:val="003F1C3D"/>
    <w:rsid w:val="003F1FDA"/>
    <w:rsid w:val="003F23D3"/>
    <w:rsid w:val="003F25E9"/>
    <w:rsid w:val="003F2602"/>
    <w:rsid w:val="003F2678"/>
    <w:rsid w:val="003F2797"/>
    <w:rsid w:val="003F2FAE"/>
    <w:rsid w:val="003F33C3"/>
    <w:rsid w:val="003F37AB"/>
    <w:rsid w:val="003F387F"/>
    <w:rsid w:val="003F3ABA"/>
    <w:rsid w:val="003F3E96"/>
    <w:rsid w:val="003F452D"/>
    <w:rsid w:val="003F45D6"/>
    <w:rsid w:val="003F4BFE"/>
    <w:rsid w:val="003F4F25"/>
    <w:rsid w:val="003F5BE6"/>
    <w:rsid w:val="003F60FD"/>
    <w:rsid w:val="003F6D16"/>
    <w:rsid w:val="003F6D25"/>
    <w:rsid w:val="003F6F5A"/>
    <w:rsid w:val="003F7603"/>
    <w:rsid w:val="003F788F"/>
    <w:rsid w:val="003F797D"/>
    <w:rsid w:val="003F7A45"/>
    <w:rsid w:val="0040000C"/>
    <w:rsid w:val="004001E8"/>
    <w:rsid w:val="00400302"/>
    <w:rsid w:val="004009D9"/>
    <w:rsid w:val="00400F52"/>
    <w:rsid w:val="00401764"/>
    <w:rsid w:val="0040189C"/>
    <w:rsid w:val="00401C21"/>
    <w:rsid w:val="00401DC8"/>
    <w:rsid w:val="00402A89"/>
    <w:rsid w:val="00403293"/>
    <w:rsid w:val="0040338B"/>
    <w:rsid w:val="004035DD"/>
    <w:rsid w:val="004038B3"/>
    <w:rsid w:val="0040398A"/>
    <w:rsid w:val="00403CA0"/>
    <w:rsid w:val="00403E2F"/>
    <w:rsid w:val="00404BDC"/>
    <w:rsid w:val="00404D7B"/>
    <w:rsid w:val="00404E4D"/>
    <w:rsid w:val="00405871"/>
    <w:rsid w:val="00405CD9"/>
    <w:rsid w:val="0040653F"/>
    <w:rsid w:val="00406651"/>
    <w:rsid w:val="00406703"/>
    <w:rsid w:val="00406B25"/>
    <w:rsid w:val="00406BCD"/>
    <w:rsid w:val="00407142"/>
    <w:rsid w:val="0040736D"/>
    <w:rsid w:val="00407382"/>
    <w:rsid w:val="0040745B"/>
    <w:rsid w:val="0040758D"/>
    <w:rsid w:val="00407E97"/>
    <w:rsid w:val="00410065"/>
    <w:rsid w:val="00411BCB"/>
    <w:rsid w:val="00411FC4"/>
    <w:rsid w:val="0041234E"/>
    <w:rsid w:val="0041253D"/>
    <w:rsid w:val="00412813"/>
    <w:rsid w:val="004129C0"/>
    <w:rsid w:val="00412EE0"/>
    <w:rsid w:val="0041338E"/>
    <w:rsid w:val="004133C3"/>
    <w:rsid w:val="00413660"/>
    <w:rsid w:val="004137F1"/>
    <w:rsid w:val="0041384B"/>
    <w:rsid w:val="004138A4"/>
    <w:rsid w:val="00414055"/>
    <w:rsid w:val="004143E8"/>
    <w:rsid w:val="004144CF"/>
    <w:rsid w:val="0041463A"/>
    <w:rsid w:val="0041467B"/>
    <w:rsid w:val="0041476E"/>
    <w:rsid w:val="00414823"/>
    <w:rsid w:val="004152CD"/>
    <w:rsid w:val="0041533B"/>
    <w:rsid w:val="0041555C"/>
    <w:rsid w:val="00415A63"/>
    <w:rsid w:val="00415AC4"/>
    <w:rsid w:val="00415ED1"/>
    <w:rsid w:val="0041620C"/>
    <w:rsid w:val="00416BBD"/>
    <w:rsid w:val="00416C06"/>
    <w:rsid w:val="00416C36"/>
    <w:rsid w:val="004172A8"/>
    <w:rsid w:val="0041733C"/>
    <w:rsid w:val="0041772B"/>
    <w:rsid w:val="004179DB"/>
    <w:rsid w:val="004179EA"/>
    <w:rsid w:val="00417D4E"/>
    <w:rsid w:val="004200C3"/>
    <w:rsid w:val="00420212"/>
    <w:rsid w:val="00420865"/>
    <w:rsid w:val="00420A55"/>
    <w:rsid w:val="00420A5C"/>
    <w:rsid w:val="00420E60"/>
    <w:rsid w:val="0042178F"/>
    <w:rsid w:val="0042190C"/>
    <w:rsid w:val="004219A7"/>
    <w:rsid w:val="00422049"/>
    <w:rsid w:val="00422232"/>
    <w:rsid w:val="0042226E"/>
    <w:rsid w:val="004222F3"/>
    <w:rsid w:val="00423192"/>
    <w:rsid w:val="00423816"/>
    <w:rsid w:val="00423B70"/>
    <w:rsid w:val="00423BE9"/>
    <w:rsid w:val="00423D75"/>
    <w:rsid w:val="0042453A"/>
    <w:rsid w:val="0042465E"/>
    <w:rsid w:val="00424683"/>
    <w:rsid w:val="004246C9"/>
    <w:rsid w:val="00424B98"/>
    <w:rsid w:val="00424B9C"/>
    <w:rsid w:val="00425006"/>
    <w:rsid w:val="004255E5"/>
    <w:rsid w:val="00425DEC"/>
    <w:rsid w:val="004263BC"/>
    <w:rsid w:val="004270FE"/>
    <w:rsid w:val="0042793F"/>
    <w:rsid w:val="00427D7C"/>
    <w:rsid w:val="00430378"/>
    <w:rsid w:val="00430858"/>
    <w:rsid w:val="00430BD9"/>
    <w:rsid w:val="0043106B"/>
    <w:rsid w:val="0043119A"/>
    <w:rsid w:val="004312B6"/>
    <w:rsid w:val="0043178A"/>
    <w:rsid w:val="004317C7"/>
    <w:rsid w:val="00431A22"/>
    <w:rsid w:val="0043230A"/>
    <w:rsid w:val="0043233C"/>
    <w:rsid w:val="00432422"/>
    <w:rsid w:val="004324FB"/>
    <w:rsid w:val="00432B97"/>
    <w:rsid w:val="004336E6"/>
    <w:rsid w:val="004337C6"/>
    <w:rsid w:val="0043393D"/>
    <w:rsid w:val="00433D25"/>
    <w:rsid w:val="00433D3E"/>
    <w:rsid w:val="00433F16"/>
    <w:rsid w:val="00434140"/>
    <w:rsid w:val="00434275"/>
    <w:rsid w:val="004346A9"/>
    <w:rsid w:val="00434904"/>
    <w:rsid w:val="00434B5B"/>
    <w:rsid w:val="00434B6E"/>
    <w:rsid w:val="00434EAB"/>
    <w:rsid w:val="00435761"/>
    <w:rsid w:val="00435AD6"/>
    <w:rsid w:val="004362B0"/>
    <w:rsid w:val="00436464"/>
    <w:rsid w:val="0043651B"/>
    <w:rsid w:val="004367C1"/>
    <w:rsid w:val="00436EBA"/>
    <w:rsid w:val="00436F1D"/>
    <w:rsid w:val="00436F32"/>
    <w:rsid w:val="00436F50"/>
    <w:rsid w:val="0043716F"/>
    <w:rsid w:val="004373A2"/>
    <w:rsid w:val="0043769C"/>
    <w:rsid w:val="004376DB"/>
    <w:rsid w:val="004376EE"/>
    <w:rsid w:val="00437764"/>
    <w:rsid w:val="00437925"/>
    <w:rsid w:val="00437AA7"/>
    <w:rsid w:val="00437ABF"/>
    <w:rsid w:val="00437E05"/>
    <w:rsid w:val="00440608"/>
    <w:rsid w:val="004406EE"/>
    <w:rsid w:val="00440855"/>
    <w:rsid w:val="00440F2E"/>
    <w:rsid w:val="00441251"/>
    <w:rsid w:val="00441324"/>
    <w:rsid w:val="004413AD"/>
    <w:rsid w:val="004414B8"/>
    <w:rsid w:val="0044178A"/>
    <w:rsid w:val="004418A6"/>
    <w:rsid w:val="00441A2F"/>
    <w:rsid w:val="00441F70"/>
    <w:rsid w:val="004426B8"/>
    <w:rsid w:val="004428CE"/>
    <w:rsid w:val="00442EC7"/>
    <w:rsid w:val="00442F62"/>
    <w:rsid w:val="00443120"/>
    <w:rsid w:val="00443D7E"/>
    <w:rsid w:val="00443E53"/>
    <w:rsid w:val="00443E6D"/>
    <w:rsid w:val="0044411D"/>
    <w:rsid w:val="004442B5"/>
    <w:rsid w:val="00444A3B"/>
    <w:rsid w:val="00444C15"/>
    <w:rsid w:val="00444DE6"/>
    <w:rsid w:val="00444FE2"/>
    <w:rsid w:val="00445828"/>
    <w:rsid w:val="00445954"/>
    <w:rsid w:val="00445DC2"/>
    <w:rsid w:val="00445F43"/>
    <w:rsid w:val="00445FA0"/>
    <w:rsid w:val="004467D3"/>
    <w:rsid w:val="00446B0F"/>
    <w:rsid w:val="00446DC5"/>
    <w:rsid w:val="00446E09"/>
    <w:rsid w:val="00446EBD"/>
    <w:rsid w:val="00447030"/>
    <w:rsid w:val="00447884"/>
    <w:rsid w:val="00447B74"/>
    <w:rsid w:val="00447E6B"/>
    <w:rsid w:val="00447EB2"/>
    <w:rsid w:val="00447F8E"/>
    <w:rsid w:val="00450AEA"/>
    <w:rsid w:val="00450FDD"/>
    <w:rsid w:val="0045175C"/>
    <w:rsid w:val="00451C3D"/>
    <w:rsid w:val="00452298"/>
    <w:rsid w:val="004526DA"/>
    <w:rsid w:val="00452C33"/>
    <w:rsid w:val="00452C7B"/>
    <w:rsid w:val="00452CD6"/>
    <w:rsid w:val="0045334B"/>
    <w:rsid w:val="0045456C"/>
    <w:rsid w:val="004545B7"/>
    <w:rsid w:val="00454FF5"/>
    <w:rsid w:val="004551A9"/>
    <w:rsid w:val="0045595B"/>
    <w:rsid w:val="004559AE"/>
    <w:rsid w:val="00455D79"/>
    <w:rsid w:val="00455F0E"/>
    <w:rsid w:val="00456453"/>
    <w:rsid w:val="00456B6B"/>
    <w:rsid w:val="00456BE5"/>
    <w:rsid w:val="00456DFE"/>
    <w:rsid w:val="004573E5"/>
    <w:rsid w:val="00457544"/>
    <w:rsid w:val="00457999"/>
    <w:rsid w:val="00457A73"/>
    <w:rsid w:val="00457E4A"/>
    <w:rsid w:val="00457F43"/>
    <w:rsid w:val="00460642"/>
    <w:rsid w:val="00460A31"/>
    <w:rsid w:val="00460B3B"/>
    <w:rsid w:val="00460B68"/>
    <w:rsid w:val="00461CC8"/>
    <w:rsid w:val="00462038"/>
    <w:rsid w:val="0046286D"/>
    <w:rsid w:val="004629AB"/>
    <w:rsid w:val="00463171"/>
    <w:rsid w:val="00463337"/>
    <w:rsid w:val="004633E0"/>
    <w:rsid w:val="0046387D"/>
    <w:rsid w:val="004638DB"/>
    <w:rsid w:val="00463A01"/>
    <w:rsid w:val="004642B4"/>
    <w:rsid w:val="0046486E"/>
    <w:rsid w:val="00464A42"/>
    <w:rsid w:val="00464CAE"/>
    <w:rsid w:val="00464E42"/>
    <w:rsid w:val="0046502C"/>
    <w:rsid w:val="004650E4"/>
    <w:rsid w:val="004655C6"/>
    <w:rsid w:val="00465634"/>
    <w:rsid w:val="0046569A"/>
    <w:rsid w:val="004656BF"/>
    <w:rsid w:val="00465D17"/>
    <w:rsid w:val="00465FB0"/>
    <w:rsid w:val="004664DB"/>
    <w:rsid w:val="0046658D"/>
    <w:rsid w:val="00466FB5"/>
    <w:rsid w:val="004703E1"/>
    <w:rsid w:val="004709B2"/>
    <w:rsid w:val="00470BAF"/>
    <w:rsid w:val="00470C96"/>
    <w:rsid w:val="00470D00"/>
    <w:rsid w:val="00471B00"/>
    <w:rsid w:val="00472AE1"/>
    <w:rsid w:val="00472EA9"/>
    <w:rsid w:val="00473157"/>
    <w:rsid w:val="00473176"/>
    <w:rsid w:val="004734B6"/>
    <w:rsid w:val="004734C5"/>
    <w:rsid w:val="0047364B"/>
    <w:rsid w:val="0047374E"/>
    <w:rsid w:val="00473B3D"/>
    <w:rsid w:val="00473E7E"/>
    <w:rsid w:val="00473E90"/>
    <w:rsid w:val="00473EBB"/>
    <w:rsid w:val="004741F7"/>
    <w:rsid w:val="004742BB"/>
    <w:rsid w:val="004744DB"/>
    <w:rsid w:val="0047477B"/>
    <w:rsid w:val="0047497B"/>
    <w:rsid w:val="00474C6B"/>
    <w:rsid w:val="00475321"/>
    <w:rsid w:val="0047565B"/>
    <w:rsid w:val="0047634F"/>
    <w:rsid w:val="00476358"/>
    <w:rsid w:val="00476B07"/>
    <w:rsid w:val="00476C35"/>
    <w:rsid w:val="00476FD3"/>
    <w:rsid w:val="00477808"/>
    <w:rsid w:val="004779D0"/>
    <w:rsid w:val="00477C19"/>
    <w:rsid w:val="00477DBB"/>
    <w:rsid w:val="004801E0"/>
    <w:rsid w:val="00480BB7"/>
    <w:rsid w:val="00480EE3"/>
    <w:rsid w:val="004812FB"/>
    <w:rsid w:val="004816CA"/>
    <w:rsid w:val="004817BE"/>
    <w:rsid w:val="00481E5F"/>
    <w:rsid w:val="00481E92"/>
    <w:rsid w:val="004826AF"/>
    <w:rsid w:val="0048272F"/>
    <w:rsid w:val="00482D54"/>
    <w:rsid w:val="00483271"/>
    <w:rsid w:val="004835C2"/>
    <w:rsid w:val="00483859"/>
    <w:rsid w:val="00483B46"/>
    <w:rsid w:val="00483D3B"/>
    <w:rsid w:val="004841EF"/>
    <w:rsid w:val="004845F1"/>
    <w:rsid w:val="004850B3"/>
    <w:rsid w:val="004857E7"/>
    <w:rsid w:val="00486130"/>
    <w:rsid w:val="004865A8"/>
    <w:rsid w:val="00486ADC"/>
    <w:rsid w:val="00486B96"/>
    <w:rsid w:val="00486C58"/>
    <w:rsid w:val="0048777D"/>
    <w:rsid w:val="004879AF"/>
    <w:rsid w:val="00487D18"/>
    <w:rsid w:val="00490038"/>
    <w:rsid w:val="00490059"/>
    <w:rsid w:val="00490162"/>
    <w:rsid w:val="004904F7"/>
    <w:rsid w:val="00490A5D"/>
    <w:rsid w:val="00491030"/>
    <w:rsid w:val="004910AC"/>
    <w:rsid w:val="004914D8"/>
    <w:rsid w:val="00491673"/>
    <w:rsid w:val="004919E8"/>
    <w:rsid w:val="00491B4D"/>
    <w:rsid w:val="00491E18"/>
    <w:rsid w:val="00491F91"/>
    <w:rsid w:val="00491FF6"/>
    <w:rsid w:val="00492145"/>
    <w:rsid w:val="004928CE"/>
    <w:rsid w:val="00492A2F"/>
    <w:rsid w:val="00492BA1"/>
    <w:rsid w:val="00492D7E"/>
    <w:rsid w:val="00493540"/>
    <w:rsid w:val="00493607"/>
    <w:rsid w:val="004939E4"/>
    <w:rsid w:val="00493D36"/>
    <w:rsid w:val="00493E35"/>
    <w:rsid w:val="00494AD6"/>
    <w:rsid w:val="00495120"/>
    <w:rsid w:val="00495E67"/>
    <w:rsid w:val="004963F9"/>
    <w:rsid w:val="0049698A"/>
    <w:rsid w:val="00496B4E"/>
    <w:rsid w:val="00496DE2"/>
    <w:rsid w:val="00497448"/>
    <w:rsid w:val="004975AA"/>
    <w:rsid w:val="00497935"/>
    <w:rsid w:val="004A034A"/>
    <w:rsid w:val="004A0476"/>
    <w:rsid w:val="004A07D7"/>
    <w:rsid w:val="004A0A69"/>
    <w:rsid w:val="004A0F9E"/>
    <w:rsid w:val="004A10D4"/>
    <w:rsid w:val="004A1130"/>
    <w:rsid w:val="004A1219"/>
    <w:rsid w:val="004A1A77"/>
    <w:rsid w:val="004A1DAA"/>
    <w:rsid w:val="004A23D2"/>
    <w:rsid w:val="004A25A0"/>
    <w:rsid w:val="004A285D"/>
    <w:rsid w:val="004A2D1D"/>
    <w:rsid w:val="004A302B"/>
    <w:rsid w:val="004A3242"/>
    <w:rsid w:val="004A3838"/>
    <w:rsid w:val="004A4467"/>
    <w:rsid w:val="004A4957"/>
    <w:rsid w:val="004A5258"/>
    <w:rsid w:val="004A5467"/>
    <w:rsid w:val="004A5AE2"/>
    <w:rsid w:val="004A5BB1"/>
    <w:rsid w:val="004A5CB1"/>
    <w:rsid w:val="004A5E3E"/>
    <w:rsid w:val="004A5EAA"/>
    <w:rsid w:val="004A638D"/>
    <w:rsid w:val="004A64EC"/>
    <w:rsid w:val="004A695F"/>
    <w:rsid w:val="004A697B"/>
    <w:rsid w:val="004A6A35"/>
    <w:rsid w:val="004A6EA6"/>
    <w:rsid w:val="004A7550"/>
    <w:rsid w:val="004A7966"/>
    <w:rsid w:val="004A7A54"/>
    <w:rsid w:val="004B0239"/>
    <w:rsid w:val="004B0379"/>
    <w:rsid w:val="004B05D5"/>
    <w:rsid w:val="004B0A69"/>
    <w:rsid w:val="004B0D1E"/>
    <w:rsid w:val="004B0E2E"/>
    <w:rsid w:val="004B1604"/>
    <w:rsid w:val="004B1701"/>
    <w:rsid w:val="004B1804"/>
    <w:rsid w:val="004B18CC"/>
    <w:rsid w:val="004B2609"/>
    <w:rsid w:val="004B2722"/>
    <w:rsid w:val="004B2F3D"/>
    <w:rsid w:val="004B32A0"/>
    <w:rsid w:val="004B36C1"/>
    <w:rsid w:val="004B3A60"/>
    <w:rsid w:val="004B3FCD"/>
    <w:rsid w:val="004B4C62"/>
    <w:rsid w:val="004B4D15"/>
    <w:rsid w:val="004B5064"/>
    <w:rsid w:val="004B5078"/>
    <w:rsid w:val="004B5096"/>
    <w:rsid w:val="004B51DA"/>
    <w:rsid w:val="004B54EF"/>
    <w:rsid w:val="004B592E"/>
    <w:rsid w:val="004B5CE2"/>
    <w:rsid w:val="004B5DAC"/>
    <w:rsid w:val="004B6147"/>
    <w:rsid w:val="004B6184"/>
    <w:rsid w:val="004B6634"/>
    <w:rsid w:val="004B67BB"/>
    <w:rsid w:val="004B67F1"/>
    <w:rsid w:val="004B6812"/>
    <w:rsid w:val="004B6EE4"/>
    <w:rsid w:val="004B7293"/>
    <w:rsid w:val="004B7DD1"/>
    <w:rsid w:val="004C0096"/>
    <w:rsid w:val="004C00A3"/>
    <w:rsid w:val="004C00F4"/>
    <w:rsid w:val="004C037B"/>
    <w:rsid w:val="004C082A"/>
    <w:rsid w:val="004C0830"/>
    <w:rsid w:val="004C085B"/>
    <w:rsid w:val="004C0BDA"/>
    <w:rsid w:val="004C1472"/>
    <w:rsid w:val="004C165E"/>
    <w:rsid w:val="004C1BF9"/>
    <w:rsid w:val="004C1C3E"/>
    <w:rsid w:val="004C23BD"/>
    <w:rsid w:val="004C2498"/>
    <w:rsid w:val="004C331E"/>
    <w:rsid w:val="004C333F"/>
    <w:rsid w:val="004C33BC"/>
    <w:rsid w:val="004C3D19"/>
    <w:rsid w:val="004C3FC0"/>
    <w:rsid w:val="004C42C9"/>
    <w:rsid w:val="004C483E"/>
    <w:rsid w:val="004C4D54"/>
    <w:rsid w:val="004C5B42"/>
    <w:rsid w:val="004C5ECB"/>
    <w:rsid w:val="004C6672"/>
    <w:rsid w:val="004C68B6"/>
    <w:rsid w:val="004C74F1"/>
    <w:rsid w:val="004D039F"/>
    <w:rsid w:val="004D04F6"/>
    <w:rsid w:val="004D0ED5"/>
    <w:rsid w:val="004D12A8"/>
    <w:rsid w:val="004D1906"/>
    <w:rsid w:val="004D1C16"/>
    <w:rsid w:val="004D203B"/>
    <w:rsid w:val="004D240F"/>
    <w:rsid w:val="004D2434"/>
    <w:rsid w:val="004D2710"/>
    <w:rsid w:val="004D29CC"/>
    <w:rsid w:val="004D2AB8"/>
    <w:rsid w:val="004D2D7A"/>
    <w:rsid w:val="004D37B3"/>
    <w:rsid w:val="004D391B"/>
    <w:rsid w:val="004D3E11"/>
    <w:rsid w:val="004D4043"/>
    <w:rsid w:val="004D42B4"/>
    <w:rsid w:val="004D4304"/>
    <w:rsid w:val="004D470B"/>
    <w:rsid w:val="004D4840"/>
    <w:rsid w:val="004D4CD1"/>
    <w:rsid w:val="004D4E73"/>
    <w:rsid w:val="004D503B"/>
    <w:rsid w:val="004D50AB"/>
    <w:rsid w:val="004D514C"/>
    <w:rsid w:val="004D524E"/>
    <w:rsid w:val="004D5266"/>
    <w:rsid w:val="004D54B7"/>
    <w:rsid w:val="004D60DF"/>
    <w:rsid w:val="004D6786"/>
    <w:rsid w:val="004D69E1"/>
    <w:rsid w:val="004D7869"/>
    <w:rsid w:val="004D7EE4"/>
    <w:rsid w:val="004E0137"/>
    <w:rsid w:val="004E11CF"/>
    <w:rsid w:val="004E121B"/>
    <w:rsid w:val="004E18E7"/>
    <w:rsid w:val="004E1E29"/>
    <w:rsid w:val="004E1ECE"/>
    <w:rsid w:val="004E1EF5"/>
    <w:rsid w:val="004E23F7"/>
    <w:rsid w:val="004E24D1"/>
    <w:rsid w:val="004E2A73"/>
    <w:rsid w:val="004E2B5D"/>
    <w:rsid w:val="004E3268"/>
    <w:rsid w:val="004E33F8"/>
    <w:rsid w:val="004E368A"/>
    <w:rsid w:val="004E3801"/>
    <w:rsid w:val="004E39C9"/>
    <w:rsid w:val="004E417F"/>
    <w:rsid w:val="004E41A1"/>
    <w:rsid w:val="004E4391"/>
    <w:rsid w:val="004E46F5"/>
    <w:rsid w:val="004E4CA8"/>
    <w:rsid w:val="004E4D78"/>
    <w:rsid w:val="004E4E20"/>
    <w:rsid w:val="004E500B"/>
    <w:rsid w:val="004E5153"/>
    <w:rsid w:val="004E5C65"/>
    <w:rsid w:val="004E5FE0"/>
    <w:rsid w:val="004E687B"/>
    <w:rsid w:val="004E70F3"/>
    <w:rsid w:val="004E713A"/>
    <w:rsid w:val="004E7649"/>
    <w:rsid w:val="004E79EC"/>
    <w:rsid w:val="004E7AD7"/>
    <w:rsid w:val="004E7B2E"/>
    <w:rsid w:val="004E7BDD"/>
    <w:rsid w:val="004F01C2"/>
    <w:rsid w:val="004F01D5"/>
    <w:rsid w:val="004F0439"/>
    <w:rsid w:val="004F0738"/>
    <w:rsid w:val="004F0A17"/>
    <w:rsid w:val="004F10A7"/>
    <w:rsid w:val="004F115C"/>
    <w:rsid w:val="004F13A0"/>
    <w:rsid w:val="004F17D0"/>
    <w:rsid w:val="004F1BB6"/>
    <w:rsid w:val="004F2044"/>
    <w:rsid w:val="004F20DC"/>
    <w:rsid w:val="004F23BA"/>
    <w:rsid w:val="004F2856"/>
    <w:rsid w:val="004F33A6"/>
    <w:rsid w:val="004F35B2"/>
    <w:rsid w:val="004F35D6"/>
    <w:rsid w:val="004F3982"/>
    <w:rsid w:val="004F3A47"/>
    <w:rsid w:val="004F3AE1"/>
    <w:rsid w:val="004F3C71"/>
    <w:rsid w:val="004F3CDC"/>
    <w:rsid w:val="004F4537"/>
    <w:rsid w:val="004F4797"/>
    <w:rsid w:val="004F5068"/>
    <w:rsid w:val="004F51E9"/>
    <w:rsid w:val="004F54F5"/>
    <w:rsid w:val="004F551A"/>
    <w:rsid w:val="004F5C06"/>
    <w:rsid w:val="004F5FCC"/>
    <w:rsid w:val="004F63CD"/>
    <w:rsid w:val="004F63D5"/>
    <w:rsid w:val="004F64E4"/>
    <w:rsid w:val="004F662E"/>
    <w:rsid w:val="004F6A3A"/>
    <w:rsid w:val="004F6D13"/>
    <w:rsid w:val="004F6D20"/>
    <w:rsid w:val="004F6E61"/>
    <w:rsid w:val="004F71AC"/>
    <w:rsid w:val="004F75B7"/>
    <w:rsid w:val="004F783D"/>
    <w:rsid w:val="004F798E"/>
    <w:rsid w:val="005004E2"/>
    <w:rsid w:val="005009D1"/>
    <w:rsid w:val="005012E6"/>
    <w:rsid w:val="00501B88"/>
    <w:rsid w:val="00501E25"/>
    <w:rsid w:val="00501FDD"/>
    <w:rsid w:val="0050246A"/>
    <w:rsid w:val="005025AD"/>
    <w:rsid w:val="005029B4"/>
    <w:rsid w:val="005033B1"/>
    <w:rsid w:val="0050348C"/>
    <w:rsid w:val="005039C8"/>
    <w:rsid w:val="00503A7E"/>
    <w:rsid w:val="00503ADE"/>
    <w:rsid w:val="00503BA8"/>
    <w:rsid w:val="00504660"/>
    <w:rsid w:val="0050475D"/>
    <w:rsid w:val="00504D6A"/>
    <w:rsid w:val="0050501E"/>
    <w:rsid w:val="00505BCC"/>
    <w:rsid w:val="00505CD4"/>
    <w:rsid w:val="005062E0"/>
    <w:rsid w:val="00506869"/>
    <w:rsid w:val="00506974"/>
    <w:rsid w:val="00506E52"/>
    <w:rsid w:val="00507135"/>
    <w:rsid w:val="005072C5"/>
    <w:rsid w:val="005078D1"/>
    <w:rsid w:val="00510003"/>
    <w:rsid w:val="00510174"/>
    <w:rsid w:val="005104D5"/>
    <w:rsid w:val="0051091F"/>
    <w:rsid w:val="00510AC0"/>
    <w:rsid w:val="00511028"/>
    <w:rsid w:val="0051115B"/>
    <w:rsid w:val="00511482"/>
    <w:rsid w:val="00511611"/>
    <w:rsid w:val="005117FB"/>
    <w:rsid w:val="00511A63"/>
    <w:rsid w:val="00511A77"/>
    <w:rsid w:val="00511AC5"/>
    <w:rsid w:val="00512305"/>
    <w:rsid w:val="00512844"/>
    <w:rsid w:val="00512B6C"/>
    <w:rsid w:val="00512C52"/>
    <w:rsid w:val="00512FFF"/>
    <w:rsid w:val="00513075"/>
    <w:rsid w:val="0051350B"/>
    <w:rsid w:val="00513592"/>
    <w:rsid w:val="00513851"/>
    <w:rsid w:val="00513D9B"/>
    <w:rsid w:val="00514152"/>
    <w:rsid w:val="0051436F"/>
    <w:rsid w:val="0051498D"/>
    <w:rsid w:val="00514D56"/>
    <w:rsid w:val="00514F71"/>
    <w:rsid w:val="005158B6"/>
    <w:rsid w:val="005158C0"/>
    <w:rsid w:val="005159D9"/>
    <w:rsid w:val="00515A24"/>
    <w:rsid w:val="00515DD3"/>
    <w:rsid w:val="00515E0B"/>
    <w:rsid w:val="00515ED5"/>
    <w:rsid w:val="00516523"/>
    <w:rsid w:val="005166CD"/>
    <w:rsid w:val="00516705"/>
    <w:rsid w:val="005169BC"/>
    <w:rsid w:val="00516B0E"/>
    <w:rsid w:val="00517A06"/>
    <w:rsid w:val="00517BD2"/>
    <w:rsid w:val="00517CD1"/>
    <w:rsid w:val="00517FA7"/>
    <w:rsid w:val="0052026F"/>
    <w:rsid w:val="005203C5"/>
    <w:rsid w:val="0052042A"/>
    <w:rsid w:val="00520AA1"/>
    <w:rsid w:val="005213EA"/>
    <w:rsid w:val="00521578"/>
    <w:rsid w:val="00521BA2"/>
    <w:rsid w:val="0052217F"/>
    <w:rsid w:val="00522204"/>
    <w:rsid w:val="0052237E"/>
    <w:rsid w:val="0052269D"/>
    <w:rsid w:val="00522E94"/>
    <w:rsid w:val="00522EEE"/>
    <w:rsid w:val="005231EC"/>
    <w:rsid w:val="005233DC"/>
    <w:rsid w:val="00523E4B"/>
    <w:rsid w:val="005241BC"/>
    <w:rsid w:val="00524468"/>
    <w:rsid w:val="00524EDE"/>
    <w:rsid w:val="0052534A"/>
    <w:rsid w:val="005255A6"/>
    <w:rsid w:val="005255B4"/>
    <w:rsid w:val="00526648"/>
    <w:rsid w:val="005266F3"/>
    <w:rsid w:val="0052770D"/>
    <w:rsid w:val="00527EBA"/>
    <w:rsid w:val="00527FDA"/>
    <w:rsid w:val="00530135"/>
    <w:rsid w:val="005302FC"/>
    <w:rsid w:val="00530B8F"/>
    <w:rsid w:val="005315C8"/>
    <w:rsid w:val="005315E4"/>
    <w:rsid w:val="005316DB"/>
    <w:rsid w:val="00531966"/>
    <w:rsid w:val="00532066"/>
    <w:rsid w:val="005321A2"/>
    <w:rsid w:val="0053222A"/>
    <w:rsid w:val="00532396"/>
    <w:rsid w:val="00532402"/>
    <w:rsid w:val="00532417"/>
    <w:rsid w:val="00532418"/>
    <w:rsid w:val="0053254C"/>
    <w:rsid w:val="00532933"/>
    <w:rsid w:val="00532A29"/>
    <w:rsid w:val="00532BC4"/>
    <w:rsid w:val="00533380"/>
    <w:rsid w:val="00533417"/>
    <w:rsid w:val="005337F7"/>
    <w:rsid w:val="00533A0B"/>
    <w:rsid w:val="00533C23"/>
    <w:rsid w:val="00533C90"/>
    <w:rsid w:val="00534950"/>
    <w:rsid w:val="00534A0C"/>
    <w:rsid w:val="00534B75"/>
    <w:rsid w:val="00534E2E"/>
    <w:rsid w:val="005351E4"/>
    <w:rsid w:val="00535465"/>
    <w:rsid w:val="005355A6"/>
    <w:rsid w:val="0053561B"/>
    <w:rsid w:val="00535AC6"/>
    <w:rsid w:val="00535BD2"/>
    <w:rsid w:val="00535FD3"/>
    <w:rsid w:val="005360FC"/>
    <w:rsid w:val="005363F4"/>
    <w:rsid w:val="00536F72"/>
    <w:rsid w:val="00537690"/>
    <w:rsid w:val="00537A6F"/>
    <w:rsid w:val="00537B0E"/>
    <w:rsid w:val="00537EFF"/>
    <w:rsid w:val="00540565"/>
    <w:rsid w:val="00540AA0"/>
    <w:rsid w:val="0054113C"/>
    <w:rsid w:val="0054195C"/>
    <w:rsid w:val="00541BCD"/>
    <w:rsid w:val="00541CAA"/>
    <w:rsid w:val="00542522"/>
    <w:rsid w:val="00542AA2"/>
    <w:rsid w:val="00542B06"/>
    <w:rsid w:val="00542B7D"/>
    <w:rsid w:val="00542BCC"/>
    <w:rsid w:val="00542E14"/>
    <w:rsid w:val="00542FA8"/>
    <w:rsid w:val="00543058"/>
    <w:rsid w:val="00543280"/>
    <w:rsid w:val="00543BA1"/>
    <w:rsid w:val="00543FFA"/>
    <w:rsid w:val="00544148"/>
    <w:rsid w:val="00544398"/>
    <w:rsid w:val="0054463A"/>
    <w:rsid w:val="00544845"/>
    <w:rsid w:val="005448C9"/>
    <w:rsid w:val="00544B14"/>
    <w:rsid w:val="0054518F"/>
    <w:rsid w:val="00545300"/>
    <w:rsid w:val="0054571A"/>
    <w:rsid w:val="005457D4"/>
    <w:rsid w:val="0054591C"/>
    <w:rsid w:val="00545B9B"/>
    <w:rsid w:val="00545CBC"/>
    <w:rsid w:val="00545DF4"/>
    <w:rsid w:val="00545FB6"/>
    <w:rsid w:val="005463A2"/>
    <w:rsid w:val="0054677C"/>
    <w:rsid w:val="005469A6"/>
    <w:rsid w:val="00546B77"/>
    <w:rsid w:val="00547AA9"/>
    <w:rsid w:val="00550112"/>
    <w:rsid w:val="0055100A"/>
    <w:rsid w:val="005516B3"/>
    <w:rsid w:val="00551800"/>
    <w:rsid w:val="00551AE2"/>
    <w:rsid w:val="00551B81"/>
    <w:rsid w:val="00551C21"/>
    <w:rsid w:val="0055250F"/>
    <w:rsid w:val="00552BF6"/>
    <w:rsid w:val="005534FA"/>
    <w:rsid w:val="00553CA4"/>
    <w:rsid w:val="00554897"/>
    <w:rsid w:val="005550CA"/>
    <w:rsid w:val="0055522B"/>
    <w:rsid w:val="00555785"/>
    <w:rsid w:val="0055594C"/>
    <w:rsid w:val="00555BDF"/>
    <w:rsid w:val="00555C10"/>
    <w:rsid w:val="00555D4A"/>
    <w:rsid w:val="00555FBA"/>
    <w:rsid w:val="00556368"/>
    <w:rsid w:val="005567A5"/>
    <w:rsid w:val="0055742C"/>
    <w:rsid w:val="00557471"/>
    <w:rsid w:val="005578D0"/>
    <w:rsid w:val="00557AA6"/>
    <w:rsid w:val="00560BA8"/>
    <w:rsid w:val="005610E1"/>
    <w:rsid w:val="005618E0"/>
    <w:rsid w:val="005619AA"/>
    <w:rsid w:val="00561B6E"/>
    <w:rsid w:val="00562394"/>
    <w:rsid w:val="00562529"/>
    <w:rsid w:val="00562BE1"/>
    <w:rsid w:val="00562CE4"/>
    <w:rsid w:val="00563106"/>
    <w:rsid w:val="00563255"/>
    <w:rsid w:val="00563563"/>
    <w:rsid w:val="005635AA"/>
    <w:rsid w:val="00563762"/>
    <w:rsid w:val="00563C9E"/>
    <w:rsid w:val="005640B5"/>
    <w:rsid w:val="005644F1"/>
    <w:rsid w:val="0056462D"/>
    <w:rsid w:val="00564A38"/>
    <w:rsid w:val="00564B47"/>
    <w:rsid w:val="00564B73"/>
    <w:rsid w:val="00564E65"/>
    <w:rsid w:val="00564E90"/>
    <w:rsid w:val="00564F88"/>
    <w:rsid w:val="00565212"/>
    <w:rsid w:val="005652AF"/>
    <w:rsid w:val="005652C6"/>
    <w:rsid w:val="00565929"/>
    <w:rsid w:val="00565AF7"/>
    <w:rsid w:val="00565E5B"/>
    <w:rsid w:val="00565E87"/>
    <w:rsid w:val="00566273"/>
    <w:rsid w:val="005662BC"/>
    <w:rsid w:val="005665DB"/>
    <w:rsid w:val="00566A09"/>
    <w:rsid w:val="00566A47"/>
    <w:rsid w:val="00566A6D"/>
    <w:rsid w:val="00566ACF"/>
    <w:rsid w:val="00566AE8"/>
    <w:rsid w:val="00566DA7"/>
    <w:rsid w:val="00570064"/>
    <w:rsid w:val="0057069F"/>
    <w:rsid w:val="00570776"/>
    <w:rsid w:val="00570FAD"/>
    <w:rsid w:val="00570FE4"/>
    <w:rsid w:val="00571B29"/>
    <w:rsid w:val="00571E28"/>
    <w:rsid w:val="0057277D"/>
    <w:rsid w:val="00572ACB"/>
    <w:rsid w:val="00572CEF"/>
    <w:rsid w:val="00572E2C"/>
    <w:rsid w:val="00573117"/>
    <w:rsid w:val="00573409"/>
    <w:rsid w:val="0057350C"/>
    <w:rsid w:val="00573BD3"/>
    <w:rsid w:val="00573D00"/>
    <w:rsid w:val="00573E67"/>
    <w:rsid w:val="00573F30"/>
    <w:rsid w:val="00574AA0"/>
    <w:rsid w:val="00574FCC"/>
    <w:rsid w:val="00575587"/>
    <w:rsid w:val="00575AAB"/>
    <w:rsid w:val="00575ACF"/>
    <w:rsid w:val="005769B5"/>
    <w:rsid w:val="00576CC9"/>
    <w:rsid w:val="00577116"/>
    <w:rsid w:val="00577515"/>
    <w:rsid w:val="005775E2"/>
    <w:rsid w:val="00577816"/>
    <w:rsid w:val="00577A1C"/>
    <w:rsid w:val="00577B64"/>
    <w:rsid w:val="005800B7"/>
    <w:rsid w:val="005802D0"/>
    <w:rsid w:val="005804DF"/>
    <w:rsid w:val="005807D8"/>
    <w:rsid w:val="00580CE8"/>
    <w:rsid w:val="00580D6B"/>
    <w:rsid w:val="00581383"/>
    <w:rsid w:val="00581737"/>
    <w:rsid w:val="00581C48"/>
    <w:rsid w:val="00581FC5"/>
    <w:rsid w:val="005820A6"/>
    <w:rsid w:val="0058212D"/>
    <w:rsid w:val="00582229"/>
    <w:rsid w:val="005822C5"/>
    <w:rsid w:val="00582516"/>
    <w:rsid w:val="00582C63"/>
    <w:rsid w:val="0058361C"/>
    <w:rsid w:val="00583778"/>
    <w:rsid w:val="0058383C"/>
    <w:rsid w:val="005838B8"/>
    <w:rsid w:val="0058391D"/>
    <w:rsid w:val="0058398E"/>
    <w:rsid w:val="00583C79"/>
    <w:rsid w:val="00583C90"/>
    <w:rsid w:val="00584505"/>
    <w:rsid w:val="00584604"/>
    <w:rsid w:val="005846A8"/>
    <w:rsid w:val="005847E6"/>
    <w:rsid w:val="00584806"/>
    <w:rsid w:val="00584831"/>
    <w:rsid w:val="00584A09"/>
    <w:rsid w:val="00584A21"/>
    <w:rsid w:val="00584AB8"/>
    <w:rsid w:val="00584D83"/>
    <w:rsid w:val="005852EB"/>
    <w:rsid w:val="005856A7"/>
    <w:rsid w:val="00585768"/>
    <w:rsid w:val="00585A42"/>
    <w:rsid w:val="00585F27"/>
    <w:rsid w:val="00586120"/>
    <w:rsid w:val="00586531"/>
    <w:rsid w:val="00586A0A"/>
    <w:rsid w:val="00586E21"/>
    <w:rsid w:val="00586EA5"/>
    <w:rsid w:val="00586F35"/>
    <w:rsid w:val="0058704D"/>
    <w:rsid w:val="00587430"/>
    <w:rsid w:val="0058746A"/>
    <w:rsid w:val="005874A3"/>
    <w:rsid w:val="00587C9D"/>
    <w:rsid w:val="00587D7C"/>
    <w:rsid w:val="00587DC2"/>
    <w:rsid w:val="00590176"/>
    <w:rsid w:val="0059045F"/>
    <w:rsid w:val="00590567"/>
    <w:rsid w:val="00590750"/>
    <w:rsid w:val="00590BDF"/>
    <w:rsid w:val="00590F26"/>
    <w:rsid w:val="005913B3"/>
    <w:rsid w:val="00591656"/>
    <w:rsid w:val="00592157"/>
    <w:rsid w:val="005929EA"/>
    <w:rsid w:val="005929EC"/>
    <w:rsid w:val="00592CF7"/>
    <w:rsid w:val="00592EB2"/>
    <w:rsid w:val="00592F94"/>
    <w:rsid w:val="005934AC"/>
    <w:rsid w:val="0059365F"/>
    <w:rsid w:val="00593788"/>
    <w:rsid w:val="0059391A"/>
    <w:rsid w:val="00593A5A"/>
    <w:rsid w:val="00593C45"/>
    <w:rsid w:val="0059453A"/>
    <w:rsid w:val="00594AE8"/>
    <w:rsid w:val="00594B4B"/>
    <w:rsid w:val="00594BDC"/>
    <w:rsid w:val="005953E3"/>
    <w:rsid w:val="0059564B"/>
    <w:rsid w:val="005956AF"/>
    <w:rsid w:val="00595C9E"/>
    <w:rsid w:val="005960EF"/>
    <w:rsid w:val="005961D5"/>
    <w:rsid w:val="005962B7"/>
    <w:rsid w:val="00596420"/>
    <w:rsid w:val="005969C4"/>
    <w:rsid w:val="005969EC"/>
    <w:rsid w:val="005972A7"/>
    <w:rsid w:val="00597393"/>
    <w:rsid w:val="00597639"/>
    <w:rsid w:val="0059772F"/>
    <w:rsid w:val="00597DBA"/>
    <w:rsid w:val="005A02B1"/>
    <w:rsid w:val="005A057F"/>
    <w:rsid w:val="005A059E"/>
    <w:rsid w:val="005A05B4"/>
    <w:rsid w:val="005A06B0"/>
    <w:rsid w:val="005A0A58"/>
    <w:rsid w:val="005A0C38"/>
    <w:rsid w:val="005A0F4F"/>
    <w:rsid w:val="005A0FCF"/>
    <w:rsid w:val="005A183D"/>
    <w:rsid w:val="005A1A1F"/>
    <w:rsid w:val="005A1AF5"/>
    <w:rsid w:val="005A1D6F"/>
    <w:rsid w:val="005A242A"/>
    <w:rsid w:val="005A26CC"/>
    <w:rsid w:val="005A2B28"/>
    <w:rsid w:val="005A31F6"/>
    <w:rsid w:val="005A37B6"/>
    <w:rsid w:val="005A39B7"/>
    <w:rsid w:val="005A3AAC"/>
    <w:rsid w:val="005A4ACE"/>
    <w:rsid w:val="005A4E51"/>
    <w:rsid w:val="005A4FD2"/>
    <w:rsid w:val="005A5104"/>
    <w:rsid w:val="005A52C4"/>
    <w:rsid w:val="005A5975"/>
    <w:rsid w:val="005A59E3"/>
    <w:rsid w:val="005A663A"/>
    <w:rsid w:val="005A69B8"/>
    <w:rsid w:val="005A6B60"/>
    <w:rsid w:val="005A6DB1"/>
    <w:rsid w:val="005A729F"/>
    <w:rsid w:val="005A7396"/>
    <w:rsid w:val="005A73F3"/>
    <w:rsid w:val="005A7824"/>
    <w:rsid w:val="005A7E09"/>
    <w:rsid w:val="005A7F44"/>
    <w:rsid w:val="005B08FF"/>
    <w:rsid w:val="005B0F65"/>
    <w:rsid w:val="005B1334"/>
    <w:rsid w:val="005B19CD"/>
    <w:rsid w:val="005B2C14"/>
    <w:rsid w:val="005B2C54"/>
    <w:rsid w:val="005B3B48"/>
    <w:rsid w:val="005B4580"/>
    <w:rsid w:val="005B4768"/>
    <w:rsid w:val="005B489D"/>
    <w:rsid w:val="005B4A6E"/>
    <w:rsid w:val="005B4C2D"/>
    <w:rsid w:val="005B55C2"/>
    <w:rsid w:val="005B5739"/>
    <w:rsid w:val="005B5791"/>
    <w:rsid w:val="005B6005"/>
    <w:rsid w:val="005B6213"/>
    <w:rsid w:val="005B62F3"/>
    <w:rsid w:val="005B7047"/>
    <w:rsid w:val="005B711D"/>
    <w:rsid w:val="005B7276"/>
    <w:rsid w:val="005B785B"/>
    <w:rsid w:val="005B7BD0"/>
    <w:rsid w:val="005B7BEE"/>
    <w:rsid w:val="005B7D6D"/>
    <w:rsid w:val="005C0072"/>
    <w:rsid w:val="005C009B"/>
    <w:rsid w:val="005C01D9"/>
    <w:rsid w:val="005C0ACF"/>
    <w:rsid w:val="005C0C7B"/>
    <w:rsid w:val="005C0D5D"/>
    <w:rsid w:val="005C118D"/>
    <w:rsid w:val="005C126B"/>
    <w:rsid w:val="005C18B8"/>
    <w:rsid w:val="005C1B14"/>
    <w:rsid w:val="005C1F09"/>
    <w:rsid w:val="005C216F"/>
    <w:rsid w:val="005C244F"/>
    <w:rsid w:val="005C2625"/>
    <w:rsid w:val="005C26BE"/>
    <w:rsid w:val="005C29F5"/>
    <w:rsid w:val="005C2E8B"/>
    <w:rsid w:val="005C3959"/>
    <w:rsid w:val="005C3ADC"/>
    <w:rsid w:val="005C4A8B"/>
    <w:rsid w:val="005C4D91"/>
    <w:rsid w:val="005C6369"/>
    <w:rsid w:val="005C7170"/>
    <w:rsid w:val="005C743D"/>
    <w:rsid w:val="005D05B7"/>
    <w:rsid w:val="005D12B6"/>
    <w:rsid w:val="005D17FB"/>
    <w:rsid w:val="005D1956"/>
    <w:rsid w:val="005D1973"/>
    <w:rsid w:val="005D1E51"/>
    <w:rsid w:val="005D24BC"/>
    <w:rsid w:val="005D26BD"/>
    <w:rsid w:val="005D28C6"/>
    <w:rsid w:val="005D2D22"/>
    <w:rsid w:val="005D34C9"/>
    <w:rsid w:val="005D34D5"/>
    <w:rsid w:val="005D37C7"/>
    <w:rsid w:val="005D3E98"/>
    <w:rsid w:val="005D41AA"/>
    <w:rsid w:val="005D4771"/>
    <w:rsid w:val="005D47AD"/>
    <w:rsid w:val="005D47E4"/>
    <w:rsid w:val="005D485D"/>
    <w:rsid w:val="005D4955"/>
    <w:rsid w:val="005D4DAC"/>
    <w:rsid w:val="005D51CD"/>
    <w:rsid w:val="005D5337"/>
    <w:rsid w:val="005D53B1"/>
    <w:rsid w:val="005D53BB"/>
    <w:rsid w:val="005D562A"/>
    <w:rsid w:val="005D5685"/>
    <w:rsid w:val="005D5831"/>
    <w:rsid w:val="005D589A"/>
    <w:rsid w:val="005D5ADE"/>
    <w:rsid w:val="005D5DC7"/>
    <w:rsid w:val="005D60F5"/>
    <w:rsid w:val="005D6411"/>
    <w:rsid w:val="005D6595"/>
    <w:rsid w:val="005D68E0"/>
    <w:rsid w:val="005D6C85"/>
    <w:rsid w:val="005D6D4E"/>
    <w:rsid w:val="005D707A"/>
    <w:rsid w:val="005D7268"/>
    <w:rsid w:val="005D7480"/>
    <w:rsid w:val="005D7556"/>
    <w:rsid w:val="005D78D0"/>
    <w:rsid w:val="005D7CCD"/>
    <w:rsid w:val="005D7D5E"/>
    <w:rsid w:val="005E0545"/>
    <w:rsid w:val="005E0829"/>
    <w:rsid w:val="005E08C6"/>
    <w:rsid w:val="005E08F5"/>
    <w:rsid w:val="005E0CA4"/>
    <w:rsid w:val="005E10A1"/>
    <w:rsid w:val="005E1164"/>
    <w:rsid w:val="005E11A1"/>
    <w:rsid w:val="005E12A3"/>
    <w:rsid w:val="005E1625"/>
    <w:rsid w:val="005E18E3"/>
    <w:rsid w:val="005E20EE"/>
    <w:rsid w:val="005E29DC"/>
    <w:rsid w:val="005E2C13"/>
    <w:rsid w:val="005E2DA3"/>
    <w:rsid w:val="005E3316"/>
    <w:rsid w:val="005E33FF"/>
    <w:rsid w:val="005E3455"/>
    <w:rsid w:val="005E365F"/>
    <w:rsid w:val="005E371E"/>
    <w:rsid w:val="005E3A8B"/>
    <w:rsid w:val="005E3C2F"/>
    <w:rsid w:val="005E3D47"/>
    <w:rsid w:val="005E3D69"/>
    <w:rsid w:val="005E413B"/>
    <w:rsid w:val="005E4150"/>
    <w:rsid w:val="005E4453"/>
    <w:rsid w:val="005E473D"/>
    <w:rsid w:val="005E48B4"/>
    <w:rsid w:val="005E4916"/>
    <w:rsid w:val="005E50A7"/>
    <w:rsid w:val="005E50F0"/>
    <w:rsid w:val="005E653B"/>
    <w:rsid w:val="005E6A7A"/>
    <w:rsid w:val="005E6D07"/>
    <w:rsid w:val="005E6F38"/>
    <w:rsid w:val="005E6F3B"/>
    <w:rsid w:val="005E7606"/>
    <w:rsid w:val="005E7E61"/>
    <w:rsid w:val="005E7F69"/>
    <w:rsid w:val="005F00AF"/>
    <w:rsid w:val="005F00B0"/>
    <w:rsid w:val="005F0960"/>
    <w:rsid w:val="005F0CB7"/>
    <w:rsid w:val="005F0EF2"/>
    <w:rsid w:val="005F1083"/>
    <w:rsid w:val="005F1784"/>
    <w:rsid w:val="005F17B1"/>
    <w:rsid w:val="005F2955"/>
    <w:rsid w:val="005F2BB6"/>
    <w:rsid w:val="005F3115"/>
    <w:rsid w:val="005F31C7"/>
    <w:rsid w:val="005F3411"/>
    <w:rsid w:val="005F3517"/>
    <w:rsid w:val="005F3752"/>
    <w:rsid w:val="005F380F"/>
    <w:rsid w:val="005F40C3"/>
    <w:rsid w:val="005F4128"/>
    <w:rsid w:val="005F42F9"/>
    <w:rsid w:val="005F4347"/>
    <w:rsid w:val="005F435C"/>
    <w:rsid w:val="005F49A9"/>
    <w:rsid w:val="005F4ABE"/>
    <w:rsid w:val="005F4C78"/>
    <w:rsid w:val="005F4F1D"/>
    <w:rsid w:val="005F5735"/>
    <w:rsid w:val="005F5A1F"/>
    <w:rsid w:val="005F65BC"/>
    <w:rsid w:val="005F6645"/>
    <w:rsid w:val="005F67A3"/>
    <w:rsid w:val="005F6C8C"/>
    <w:rsid w:val="005F6CE5"/>
    <w:rsid w:val="005F6D92"/>
    <w:rsid w:val="005F7012"/>
    <w:rsid w:val="005F7017"/>
    <w:rsid w:val="005F7A87"/>
    <w:rsid w:val="005F7AD7"/>
    <w:rsid w:val="005F7DD2"/>
    <w:rsid w:val="006004F3"/>
    <w:rsid w:val="00600653"/>
    <w:rsid w:val="00600996"/>
    <w:rsid w:val="0060184C"/>
    <w:rsid w:val="00601E0D"/>
    <w:rsid w:val="00601E97"/>
    <w:rsid w:val="006020D0"/>
    <w:rsid w:val="006020F1"/>
    <w:rsid w:val="006022C7"/>
    <w:rsid w:val="00602778"/>
    <w:rsid w:val="00602C3D"/>
    <w:rsid w:val="00602D87"/>
    <w:rsid w:val="00602F91"/>
    <w:rsid w:val="00603232"/>
    <w:rsid w:val="006036B2"/>
    <w:rsid w:val="00603754"/>
    <w:rsid w:val="00603E5C"/>
    <w:rsid w:val="00603F06"/>
    <w:rsid w:val="0060439D"/>
    <w:rsid w:val="006043A8"/>
    <w:rsid w:val="00604BBE"/>
    <w:rsid w:val="0060605D"/>
    <w:rsid w:val="00606236"/>
    <w:rsid w:val="00606886"/>
    <w:rsid w:val="00606B99"/>
    <w:rsid w:val="00606CB7"/>
    <w:rsid w:val="00607705"/>
    <w:rsid w:val="00607B52"/>
    <w:rsid w:val="00607F14"/>
    <w:rsid w:val="006109BB"/>
    <w:rsid w:val="0061106D"/>
    <w:rsid w:val="0061109B"/>
    <w:rsid w:val="0061134E"/>
    <w:rsid w:val="006113BD"/>
    <w:rsid w:val="006113CC"/>
    <w:rsid w:val="006117B4"/>
    <w:rsid w:val="00611953"/>
    <w:rsid w:val="00611C90"/>
    <w:rsid w:val="00611F6C"/>
    <w:rsid w:val="00612578"/>
    <w:rsid w:val="0061258B"/>
    <w:rsid w:val="006127BF"/>
    <w:rsid w:val="006128F8"/>
    <w:rsid w:val="00612A80"/>
    <w:rsid w:val="00612F0B"/>
    <w:rsid w:val="006130A6"/>
    <w:rsid w:val="0061356B"/>
    <w:rsid w:val="006137F8"/>
    <w:rsid w:val="006137FE"/>
    <w:rsid w:val="0061394D"/>
    <w:rsid w:val="00613C48"/>
    <w:rsid w:val="00613E3B"/>
    <w:rsid w:val="00613F1E"/>
    <w:rsid w:val="00614695"/>
    <w:rsid w:val="00614A56"/>
    <w:rsid w:val="00614CC2"/>
    <w:rsid w:val="00615085"/>
    <w:rsid w:val="0061540E"/>
    <w:rsid w:val="00615C24"/>
    <w:rsid w:val="00615D1F"/>
    <w:rsid w:val="00616442"/>
    <w:rsid w:val="006164D9"/>
    <w:rsid w:val="006164F3"/>
    <w:rsid w:val="00616661"/>
    <w:rsid w:val="0061667F"/>
    <w:rsid w:val="00616747"/>
    <w:rsid w:val="00616BDB"/>
    <w:rsid w:val="00616C25"/>
    <w:rsid w:val="00616CE0"/>
    <w:rsid w:val="00616D73"/>
    <w:rsid w:val="00617728"/>
    <w:rsid w:val="006177F6"/>
    <w:rsid w:val="00617B24"/>
    <w:rsid w:val="00617D7E"/>
    <w:rsid w:val="00617F8D"/>
    <w:rsid w:val="00620253"/>
    <w:rsid w:val="0062124C"/>
    <w:rsid w:val="0062157E"/>
    <w:rsid w:val="006218CE"/>
    <w:rsid w:val="006219C5"/>
    <w:rsid w:val="00621AEC"/>
    <w:rsid w:val="00622144"/>
    <w:rsid w:val="00622FBB"/>
    <w:rsid w:val="006231ED"/>
    <w:rsid w:val="0062388A"/>
    <w:rsid w:val="006238CC"/>
    <w:rsid w:val="006243E7"/>
    <w:rsid w:val="006245CA"/>
    <w:rsid w:val="00624EEE"/>
    <w:rsid w:val="00624F7C"/>
    <w:rsid w:val="00625077"/>
    <w:rsid w:val="00625DC4"/>
    <w:rsid w:val="00626112"/>
    <w:rsid w:val="006262C6"/>
    <w:rsid w:val="0062643E"/>
    <w:rsid w:val="00626D56"/>
    <w:rsid w:val="00627100"/>
    <w:rsid w:val="00627384"/>
    <w:rsid w:val="006276AF"/>
    <w:rsid w:val="00627745"/>
    <w:rsid w:val="0062791F"/>
    <w:rsid w:val="00627B83"/>
    <w:rsid w:val="00627E57"/>
    <w:rsid w:val="00630BAF"/>
    <w:rsid w:val="00631C65"/>
    <w:rsid w:val="00631E20"/>
    <w:rsid w:val="00632A22"/>
    <w:rsid w:val="00632C95"/>
    <w:rsid w:val="006332A7"/>
    <w:rsid w:val="00633304"/>
    <w:rsid w:val="006336AF"/>
    <w:rsid w:val="00633874"/>
    <w:rsid w:val="00633889"/>
    <w:rsid w:val="006339D0"/>
    <w:rsid w:val="00633EAA"/>
    <w:rsid w:val="006340C6"/>
    <w:rsid w:val="006341ED"/>
    <w:rsid w:val="00634454"/>
    <w:rsid w:val="0063447D"/>
    <w:rsid w:val="00634937"/>
    <w:rsid w:val="00634D37"/>
    <w:rsid w:val="00634F5F"/>
    <w:rsid w:val="00635016"/>
    <w:rsid w:val="0063506E"/>
    <w:rsid w:val="006354C2"/>
    <w:rsid w:val="0063573E"/>
    <w:rsid w:val="00636005"/>
    <w:rsid w:val="006360B8"/>
    <w:rsid w:val="006360F9"/>
    <w:rsid w:val="00636168"/>
    <w:rsid w:val="00636241"/>
    <w:rsid w:val="006362D3"/>
    <w:rsid w:val="00636812"/>
    <w:rsid w:val="00636BBD"/>
    <w:rsid w:val="0063767F"/>
    <w:rsid w:val="00637827"/>
    <w:rsid w:val="00637D54"/>
    <w:rsid w:val="00637FAC"/>
    <w:rsid w:val="00640005"/>
    <w:rsid w:val="00640498"/>
    <w:rsid w:val="006405D7"/>
    <w:rsid w:val="00640834"/>
    <w:rsid w:val="006416F0"/>
    <w:rsid w:val="00641707"/>
    <w:rsid w:val="00641B8D"/>
    <w:rsid w:val="00641B96"/>
    <w:rsid w:val="00641BA2"/>
    <w:rsid w:val="00642092"/>
    <w:rsid w:val="006421AD"/>
    <w:rsid w:val="0064283F"/>
    <w:rsid w:val="00642A9B"/>
    <w:rsid w:val="00642D02"/>
    <w:rsid w:val="00642EB6"/>
    <w:rsid w:val="0064301A"/>
    <w:rsid w:val="006435FD"/>
    <w:rsid w:val="00643AA2"/>
    <w:rsid w:val="00643BDB"/>
    <w:rsid w:val="00643DE7"/>
    <w:rsid w:val="00644900"/>
    <w:rsid w:val="006449E0"/>
    <w:rsid w:val="00644DFE"/>
    <w:rsid w:val="00644ED1"/>
    <w:rsid w:val="00645360"/>
    <w:rsid w:val="006455AE"/>
    <w:rsid w:val="006457D8"/>
    <w:rsid w:val="00645B7E"/>
    <w:rsid w:val="00645D75"/>
    <w:rsid w:val="00645DBA"/>
    <w:rsid w:val="006461EB"/>
    <w:rsid w:val="006467A3"/>
    <w:rsid w:val="00646CCB"/>
    <w:rsid w:val="006470EE"/>
    <w:rsid w:val="006471E1"/>
    <w:rsid w:val="0064734F"/>
    <w:rsid w:val="006475B9"/>
    <w:rsid w:val="00647644"/>
    <w:rsid w:val="00647C50"/>
    <w:rsid w:val="00647D2A"/>
    <w:rsid w:val="00647D74"/>
    <w:rsid w:val="006500A7"/>
    <w:rsid w:val="00650265"/>
    <w:rsid w:val="006503F5"/>
    <w:rsid w:val="006504E2"/>
    <w:rsid w:val="00650F3C"/>
    <w:rsid w:val="00650FEF"/>
    <w:rsid w:val="006511C7"/>
    <w:rsid w:val="006512F6"/>
    <w:rsid w:val="0065169A"/>
    <w:rsid w:val="006517D6"/>
    <w:rsid w:val="0065193C"/>
    <w:rsid w:val="00652167"/>
    <w:rsid w:val="00652396"/>
    <w:rsid w:val="00652DEF"/>
    <w:rsid w:val="00653332"/>
    <w:rsid w:val="00653422"/>
    <w:rsid w:val="00653476"/>
    <w:rsid w:val="006534CF"/>
    <w:rsid w:val="0065370B"/>
    <w:rsid w:val="00653EA6"/>
    <w:rsid w:val="0065404E"/>
    <w:rsid w:val="006540D0"/>
    <w:rsid w:val="006540FC"/>
    <w:rsid w:val="006544F2"/>
    <w:rsid w:val="00654D04"/>
    <w:rsid w:val="00655518"/>
    <w:rsid w:val="00655BCB"/>
    <w:rsid w:val="00655F5B"/>
    <w:rsid w:val="0065646A"/>
    <w:rsid w:val="006565CD"/>
    <w:rsid w:val="00656770"/>
    <w:rsid w:val="00656B4A"/>
    <w:rsid w:val="00656B78"/>
    <w:rsid w:val="00657024"/>
    <w:rsid w:val="006575CD"/>
    <w:rsid w:val="006578EA"/>
    <w:rsid w:val="00657AA5"/>
    <w:rsid w:val="00657B78"/>
    <w:rsid w:val="00657C90"/>
    <w:rsid w:val="0066003A"/>
    <w:rsid w:val="00660633"/>
    <w:rsid w:val="0066082F"/>
    <w:rsid w:val="006609D4"/>
    <w:rsid w:val="00660B05"/>
    <w:rsid w:val="00660E90"/>
    <w:rsid w:val="006611BE"/>
    <w:rsid w:val="00661248"/>
    <w:rsid w:val="00661277"/>
    <w:rsid w:val="00661CF1"/>
    <w:rsid w:val="00661D96"/>
    <w:rsid w:val="00661E48"/>
    <w:rsid w:val="00662122"/>
    <w:rsid w:val="006621A9"/>
    <w:rsid w:val="006628A0"/>
    <w:rsid w:val="00662E06"/>
    <w:rsid w:val="0066382F"/>
    <w:rsid w:val="006638A6"/>
    <w:rsid w:val="00663988"/>
    <w:rsid w:val="0066433A"/>
    <w:rsid w:val="00664451"/>
    <w:rsid w:val="006645CA"/>
    <w:rsid w:val="00664AEE"/>
    <w:rsid w:val="00664B59"/>
    <w:rsid w:val="00664BEE"/>
    <w:rsid w:val="00664CBC"/>
    <w:rsid w:val="00664D95"/>
    <w:rsid w:val="0066517F"/>
    <w:rsid w:val="00665353"/>
    <w:rsid w:val="00666221"/>
    <w:rsid w:val="006665C4"/>
    <w:rsid w:val="006666CE"/>
    <w:rsid w:val="006669DB"/>
    <w:rsid w:val="00666DA4"/>
    <w:rsid w:val="006671C9"/>
    <w:rsid w:val="0066761D"/>
    <w:rsid w:val="0066762D"/>
    <w:rsid w:val="00667634"/>
    <w:rsid w:val="00667C8A"/>
    <w:rsid w:val="00667ED5"/>
    <w:rsid w:val="00670501"/>
    <w:rsid w:val="00670855"/>
    <w:rsid w:val="00670B9E"/>
    <w:rsid w:val="00670BBD"/>
    <w:rsid w:val="00670BEE"/>
    <w:rsid w:val="00670D0F"/>
    <w:rsid w:val="00670DCE"/>
    <w:rsid w:val="00670F29"/>
    <w:rsid w:val="00670F9D"/>
    <w:rsid w:val="006716EC"/>
    <w:rsid w:val="00672825"/>
    <w:rsid w:val="0067295B"/>
    <w:rsid w:val="00672A42"/>
    <w:rsid w:val="00672B92"/>
    <w:rsid w:val="00672DD7"/>
    <w:rsid w:val="00673092"/>
    <w:rsid w:val="0067398F"/>
    <w:rsid w:val="00673C4F"/>
    <w:rsid w:val="0067423D"/>
    <w:rsid w:val="00674B54"/>
    <w:rsid w:val="006751ED"/>
    <w:rsid w:val="006751F0"/>
    <w:rsid w:val="00675A29"/>
    <w:rsid w:val="00675E7A"/>
    <w:rsid w:val="00675EF9"/>
    <w:rsid w:val="00676167"/>
    <w:rsid w:val="006762C1"/>
    <w:rsid w:val="006768A0"/>
    <w:rsid w:val="00676D1E"/>
    <w:rsid w:val="00676F7A"/>
    <w:rsid w:val="0067702C"/>
    <w:rsid w:val="00677172"/>
    <w:rsid w:val="00677637"/>
    <w:rsid w:val="00677F91"/>
    <w:rsid w:val="0068009E"/>
    <w:rsid w:val="0068014B"/>
    <w:rsid w:val="006807EC"/>
    <w:rsid w:val="00680991"/>
    <w:rsid w:val="00680E0A"/>
    <w:rsid w:val="00681108"/>
    <w:rsid w:val="00681688"/>
    <w:rsid w:val="00681D9D"/>
    <w:rsid w:val="00682125"/>
    <w:rsid w:val="0068227D"/>
    <w:rsid w:val="006822C1"/>
    <w:rsid w:val="00682346"/>
    <w:rsid w:val="006825BB"/>
    <w:rsid w:val="00682A3E"/>
    <w:rsid w:val="00682F54"/>
    <w:rsid w:val="00683084"/>
    <w:rsid w:val="0068336A"/>
    <w:rsid w:val="00683988"/>
    <w:rsid w:val="006839C4"/>
    <w:rsid w:val="0068426D"/>
    <w:rsid w:val="0068481E"/>
    <w:rsid w:val="00684AA5"/>
    <w:rsid w:val="00684DA6"/>
    <w:rsid w:val="00684FBB"/>
    <w:rsid w:val="00685310"/>
    <w:rsid w:val="0068569E"/>
    <w:rsid w:val="00685B0A"/>
    <w:rsid w:val="00686A94"/>
    <w:rsid w:val="00686F3B"/>
    <w:rsid w:val="00687341"/>
    <w:rsid w:val="00687611"/>
    <w:rsid w:val="00687FB5"/>
    <w:rsid w:val="006902BA"/>
    <w:rsid w:val="006902EB"/>
    <w:rsid w:val="0069037C"/>
    <w:rsid w:val="00690EB0"/>
    <w:rsid w:val="006910C3"/>
    <w:rsid w:val="00691133"/>
    <w:rsid w:val="00691AD0"/>
    <w:rsid w:val="00691BCD"/>
    <w:rsid w:val="00691D8B"/>
    <w:rsid w:val="0069207C"/>
    <w:rsid w:val="00692305"/>
    <w:rsid w:val="006928BA"/>
    <w:rsid w:val="006929A8"/>
    <w:rsid w:val="00692C58"/>
    <w:rsid w:val="0069313E"/>
    <w:rsid w:val="00693C16"/>
    <w:rsid w:val="006941C5"/>
    <w:rsid w:val="006943A3"/>
    <w:rsid w:val="0069492A"/>
    <w:rsid w:val="0069495B"/>
    <w:rsid w:val="00694A7C"/>
    <w:rsid w:val="00694A90"/>
    <w:rsid w:val="00694C07"/>
    <w:rsid w:val="00694CA9"/>
    <w:rsid w:val="00694E2B"/>
    <w:rsid w:val="006951A5"/>
    <w:rsid w:val="006954B0"/>
    <w:rsid w:val="0069567D"/>
    <w:rsid w:val="00695E0E"/>
    <w:rsid w:val="00696680"/>
    <w:rsid w:val="006967E0"/>
    <w:rsid w:val="00696C25"/>
    <w:rsid w:val="00696FCD"/>
    <w:rsid w:val="0069764B"/>
    <w:rsid w:val="006976FC"/>
    <w:rsid w:val="00697D72"/>
    <w:rsid w:val="00697DDD"/>
    <w:rsid w:val="00697F54"/>
    <w:rsid w:val="006A06A3"/>
    <w:rsid w:val="006A0A11"/>
    <w:rsid w:val="006A0C5B"/>
    <w:rsid w:val="006A0EEF"/>
    <w:rsid w:val="006A11A6"/>
    <w:rsid w:val="006A11E4"/>
    <w:rsid w:val="006A121F"/>
    <w:rsid w:val="006A1BC4"/>
    <w:rsid w:val="006A21E5"/>
    <w:rsid w:val="006A21F4"/>
    <w:rsid w:val="006A22C1"/>
    <w:rsid w:val="006A28B6"/>
    <w:rsid w:val="006A2D65"/>
    <w:rsid w:val="006A300A"/>
    <w:rsid w:val="006A359D"/>
    <w:rsid w:val="006A36AE"/>
    <w:rsid w:val="006A38CF"/>
    <w:rsid w:val="006A3B7B"/>
    <w:rsid w:val="006A3DD4"/>
    <w:rsid w:val="006A497C"/>
    <w:rsid w:val="006A4A8C"/>
    <w:rsid w:val="006A4F9B"/>
    <w:rsid w:val="006A5031"/>
    <w:rsid w:val="006A5658"/>
    <w:rsid w:val="006A579F"/>
    <w:rsid w:val="006A57FB"/>
    <w:rsid w:val="006A61AA"/>
    <w:rsid w:val="006A6377"/>
    <w:rsid w:val="006A6C5B"/>
    <w:rsid w:val="006A7950"/>
    <w:rsid w:val="006A7D15"/>
    <w:rsid w:val="006B03DF"/>
    <w:rsid w:val="006B0587"/>
    <w:rsid w:val="006B061A"/>
    <w:rsid w:val="006B06B0"/>
    <w:rsid w:val="006B0F57"/>
    <w:rsid w:val="006B1017"/>
    <w:rsid w:val="006B12A7"/>
    <w:rsid w:val="006B1390"/>
    <w:rsid w:val="006B1499"/>
    <w:rsid w:val="006B157C"/>
    <w:rsid w:val="006B162E"/>
    <w:rsid w:val="006B17AD"/>
    <w:rsid w:val="006B1847"/>
    <w:rsid w:val="006B1887"/>
    <w:rsid w:val="006B19C4"/>
    <w:rsid w:val="006B1C99"/>
    <w:rsid w:val="006B1CAE"/>
    <w:rsid w:val="006B204A"/>
    <w:rsid w:val="006B2954"/>
    <w:rsid w:val="006B2A89"/>
    <w:rsid w:val="006B339A"/>
    <w:rsid w:val="006B3C78"/>
    <w:rsid w:val="006B40F4"/>
    <w:rsid w:val="006B4337"/>
    <w:rsid w:val="006B4774"/>
    <w:rsid w:val="006B47BE"/>
    <w:rsid w:val="006B4829"/>
    <w:rsid w:val="006B5318"/>
    <w:rsid w:val="006B53A4"/>
    <w:rsid w:val="006B5481"/>
    <w:rsid w:val="006B59E3"/>
    <w:rsid w:val="006B5D8F"/>
    <w:rsid w:val="006B61D0"/>
    <w:rsid w:val="006B62D9"/>
    <w:rsid w:val="006B6E64"/>
    <w:rsid w:val="006B7096"/>
    <w:rsid w:val="006B767C"/>
    <w:rsid w:val="006B79CB"/>
    <w:rsid w:val="006B7F05"/>
    <w:rsid w:val="006C04E7"/>
    <w:rsid w:val="006C069F"/>
    <w:rsid w:val="006C0907"/>
    <w:rsid w:val="006C10E5"/>
    <w:rsid w:val="006C1FD2"/>
    <w:rsid w:val="006C20D0"/>
    <w:rsid w:val="006C28F0"/>
    <w:rsid w:val="006C2E24"/>
    <w:rsid w:val="006C32D8"/>
    <w:rsid w:val="006C3466"/>
    <w:rsid w:val="006C35BE"/>
    <w:rsid w:val="006C39D5"/>
    <w:rsid w:val="006C3B47"/>
    <w:rsid w:val="006C3BDD"/>
    <w:rsid w:val="006C3E21"/>
    <w:rsid w:val="006C44F0"/>
    <w:rsid w:val="006C4525"/>
    <w:rsid w:val="006C4717"/>
    <w:rsid w:val="006C5726"/>
    <w:rsid w:val="006C58DA"/>
    <w:rsid w:val="006C5DC5"/>
    <w:rsid w:val="006C607C"/>
    <w:rsid w:val="006C6147"/>
    <w:rsid w:val="006C6364"/>
    <w:rsid w:val="006C642F"/>
    <w:rsid w:val="006C647D"/>
    <w:rsid w:val="006C668E"/>
    <w:rsid w:val="006C67C5"/>
    <w:rsid w:val="006C67CF"/>
    <w:rsid w:val="006C69B2"/>
    <w:rsid w:val="006C6A64"/>
    <w:rsid w:val="006C730B"/>
    <w:rsid w:val="006C7548"/>
    <w:rsid w:val="006C7B7A"/>
    <w:rsid w:val="006C7FC1"/>
    <w:rsid w:val="006D06D3"/>
    <w:rsid w:val="006D1003"/>
    <w:rsid w:val="006D11D6"/>
    <w:rsid w:val="006D163F"/>
    <w:rsid w:val="006D17AB"/>
    <w:rsid w:val="006D17B1"/>
    <w:rsid w:val="006D209B"/>
    <w:rsid w:val="006D22FB"/>
    <w:rsid w:val="006D2420"/>
    <w:rsid w:val="006D2602"/>
    <w:rsid w:val="006D2944"/>
    <w:rsid w:val="006D2BB9"/>
    <w:rsid w:val="006D3175"/>
    <w:rsid w:val="006D3280"/>
    <w:rsid w:val="006D3472"/>
    <w:rsid w:val="006D3550"/>
    <w:rsid w:val="006D35A6"/>
    <w:rsid w:val="006D36F5"/>
    <w:rsid w:val="006D374C"/>
    <w:rsid w:val="006D3AC0"/>
    <w:rsid w:val="006D3D8F"/>
    <w:rsid w:val="006D3E5D"/>
    <w:rsid w:val="006D466B"/>
    <w:rsid w:val="006D4759"/>
    <w:rsid w:val="006D48BE"/>
    <w:rsid w:val="006D4B29"/>
    <w:rsid w:val="006D4F5A"/>
    <w:rsid w:val="006D52DC"/>
    <w:rsid w:val="006D5332"/>
    <w:rsid w:val="006D5460"/>
    <w:rsid w:val="006D54F5"/>
    <w:rsid w:val="006D5BAB"/>
    <w:rsid w:val="006D6DD3"/>
    <w:rsid w:val="006D7828"/>
    <w:rsid w:val="006D7FA2"/>
    <w:rsid w:val="006E0038"/>
    <w:rsid w:val="006E0125"/>
    <w:rsid w:val="006E0197"/>
    <w:rsid w:val="006E04C4"/>
    <w:rsid w:val="006E0CFD"/>
    <w:rsid w:val="006E1253"/>
    <w:rsid w:val="006E1338"/>
    <w:rsid w:val="006E1592"/>
    <w:rsid w:val="006E15C8"/>
    <w:rsid w:val="006E1614"/>
    <w:rsid w:val="006E1622"/>
    <w:rsid w:val="006E1BEA"/>
    <w:rsid w:val="006E1E35"/>
    <w:rsid w:val="006E2007"/>
    <w:rsid w:val="006E2442"/>
    <w:rsid w:val="006E245B"/>
    <w:rsid w:val="006E249C"/>
    <w:rsid w:val="006E2680"/>
    <w:rsid w:val="006E2822"/>
    <w:rsid w:val="006E2A83"/>
    <w:rsid w:val="006E2E7D"/>
    <w:rsid w:val="006E3CAC"/>
    <w:rsid w:val="006E3EEF"/>
    <w:rsid w:val="006E44EC"/>
    <w:rsid w:val="006E4C29"/>
    <w:rsid w:val="006E4DBD"/>
    <w:rsid w:val="006E4EA2"/>
    <w:rsid w:val="006E5418"/>
    <w:rsid w:val="006E5545"/>
    <w:rsid w:val="006E5D4C"/>
    <w:rsid w:val="006E6041"/>
    <w:rsid w:val="006E6049"/>
    <w:rsid w:val="006E6419"/>
    <w:rsid w:val="006E695F"/>
    <w:rsid w:val="006E6ED9"/>
    <w:rsid w:val="006E719C"/>
    <w:rsid w:val="006E7271"/>
    <w:rsid w:val="006E76A3"/>
    <w:rsid w:val="006E7B09"/>
    <w:rsid w:val="006E7B3E"/>
    <w:rsid w:val="006E7ED0"/>
    <w:rsid w:val="006E7FD1"/>
    <w:rsid w:val="006F0138"/>
    <w:rsid w:val="006F0480"/>
    <w:rsid w:val="006F0553"/>
    <w:rsid w:val="006F0583"/>
    <w:rsid w:val="006F0889"/>
    <w:rsid w:val="006F0DD8"/>
    <w:rsid w:val="006F10BB"/>
    <w:rsid w:val="006F127E"/>
    <w:rsid w:val="006F15F0"/>
    <w:rsid w:val="006F179F"/>
    <w:rsid w:val="006F1A7B"/>
    <w:rsid w:val="006F2133"/>
    <w:rsid w:val="006F22B9"/>
    <w:rsid w:val="006F2609"/>
    <w:rsid w:val="006F2B36"/>
    <w:rsid w:val="006F3123"/>
    <w:rsid w:val="006F32E8"/>
    <w:rsid w:val="006F348F"/>
    <w:rsid w:val="006F446C"/>
    <w:rsid w:val="006F4BAD"/>
    <w:rsid w:val="006F4C36"/>
    <w:rsid w:val="006F51D6"/>
    <w:rsid w:val="006F5232"/>
    <w:rsid w:val="006F59AB"/>
    <w:rsid w:val="006F5B61"/>
    <w:rsid w:val="006F5E7E"/>
    <w:rsid w:val="006F61CA"/>
    <w:rsid w:val="006F658F"/>
    <w:rsid w:val="006F6A40"/>
    <w:rsid w:val="006F6B5E"/>
    <w:rsid w:val="006F6BF0"/>
    <w:rsid w:val="006F6F3F"/>
    <w:rsid w:val="006F70E1"/>
    <w:rsid w:val="006F7301"/>
    <w:rsid w:val="006F7AA6"/>
    <w:rsid w:val="006F7B37"/>
    <w:rsid w:val="006F7BB6"/>
    <w:rsid w:val="00700038"/>
    <w:rsid w:val="0070050E"/>
    <w:rsid w:val="00700D7D"/>
    <w:rsid w:val="00701C61"/>
    <w:rsid w:val="00702087"/>
    <w:rsid w:val="007024B9"/>
    <w:rsid w:val="007028BD"/>
    <w:rsid w:val="00702929"/>
    <w:rsid w:val="00702C18"/>
    <w:rsid w:val="00702DC4"/>
    <w:rsid w:val="0070330F"/>
    <w:rsid w:val="00703351"/>
    <w:rsid w:val="00703D71"/>
    <w:rsid w:val="00703DCE"/>
    <w:rsid w:val="00704754"/>
    <w:rsid w:val="00704AA2"/>
    <w:rsid w:val="00704C4A"/>
    <w:rsid w:val="00704EFC"/>
    <w:rsid w:val="0070507B"/>
    <w:rsid w:val="0070543F"/>
    <w:rsid w:val="0070555E"/>
    <w:rsid w:val="00705E66"/>
    <w:rsid w:val="00706047"/>
    <w:rsid w:val="0070633E"/>
    <w:rsid w:val="007073DE"/>
    <w:rsid w:val="007073F3"/>
    <w:rsid w:val="00707ABF"/>
    <w:rsid w:val="00707F9A"/>
    <w:rsid w:val="0071061B"/>
    <w:rsid w:val="00710A1C"/>
    <w:rsid w:val="00710AC1"/>
    <w:rsid w:val="00710E84"/>
    <w:rsid w:val="007111FD"/>
    <w:rsid w:val="00711290"/>
    <w:rsid w:val="00711489"/>
    <w:rsid w:val="007114B5"/>
    <w:rsid w:val="0071190A"/>
    <w:rsid w:val="00711B79"/>
    <w:rsid w:val="00711C32"/>
    <w:rsid w:val="00712386"/>
    <w:rsid w:val="0071239A"/>
    <w:rsid w:val="00712607"/>
    <w:rsid w:val="007126C3"/>
    <w:rsid w:val="007129FF"/>
    <w:rsid w:val="0071309D"/>
    <w:rsid w:val="0071314E"/>
    <w:rsid w:val="0071326B"/>
    <w:rsid w:val="00713717"/>
    <w:rsid w:val="00713CEF"/>
    <w:rsid w:val="00714233"/>
    <w:rsid w:val="007143A4"/>
    <w:rsid w:val="007147E9"/>
    <w:rsid w:val="007149EF"/>
    <w:rsid w:val="00715192"/>
    <w:rsid w:val="007152F9"/>
    <w:rsid w:val="007162D2"/>
    <w:rsid w:val="00716310"/>
    <w:rsid w:val="007165ED"/>
    <w:rsid w:val="00716F0E"/>
    <w:rsid w:val="00716F5A"/>
    <w:rsid w:val="00717404"/>
    <w:rsid w:val="00717F5C"/>
    <w:rsid w:val="007200F4"/>
    <w:rsid w:val="00720508"/>
    <w:rsid w:val="00720CFB"/>
    <w:rsid w:val="00720DBC"/>
    <w:rsid w:val="00720F9E"/>
    <w:rsid w:val="007216AD"/>
    <w:rsid w:val="00721979"/>
    <w:rsid w:val="00721C39"/>
    <w:rsid w:val="00721E0E"/>
    <w:rsid w:val="00721E59"/>
    <w:rsid w:val="00721F48"/>
    <w:rsid w:val="00721FE3"/>
    <w:rsid w:val="007222C0"/>
    <w:rsid w:val="00722492"/>
    <w:rsid w:val="00723718"/>
    <w:rsid w:val="00723804"/>
    <w:rsid w:val="007239DF"/>
    <w:rsid w:val="007239F0"/>
    <w:rsid w:val="00723A5B"/>
    <w:rsid w:val="007240B5"/>
    <w:rsid w:val="00724C16"/>
    <w:rsid w:val="00724DB0"/>
    <w:rsid w:val="00724FFA"/>
    <w:rsid w:val="0072515F"/>
    <w:rsid w:val="00725667"/>
    <w:rsid w:val="00725D10"/>
    <w:rsid w:val="007266AB"/>
    <w:rsid w:val="007266C9"/>
    <w:rsid w:val="00726F37"/>
    <w:rsid w:val="00727412"/>
    <w:rsid w:val="00727574"/>
    <w:rsid w:val="007276AA"/>
    <w:rsid w:val="00727945"/>
    <w:rsid w:val="00727D6A"/>
    <w:rsid w:val="007300AE"/>
    <w:rsid w:val="007301A0"/>
    <w:rsid w:val="007307F0"/>
    <w:rsid w:val="007308A7"/>
    <w:rsid w:val="00730A2B"/>
    <w:rsid w:val="007313DB"/>
    <w:rsid w:val="007314D9"/>
    <w:rsid w:val="007318B3"/>
    <w:rsid w:val="00731F81"/>
    <w:rsid w:val="0073224D"/>
    <w:rsid w:val="00732821"/>
    <w:rsid w:val="00732B14"/>
    <w:rsid w:val="00732BF8"/>
    <w:rsid w:val="00732CB5"/>
    <w:rsid w:val="00732FFC"/>
    <w:rsid w:val="0073324D"/>
    <w:rsid w:val="00733251"/>
    <w:rsid w:val="00733268"/>
    <w:rsid w:val="007335E3"/>
    <w:rsid w:val="00733E6A"/>
    <w:rsid w:val="007344D8"/>
    <w:rsid w:val="007349B7"/>
    <w:rsid w:val="00734BA5"/>
    <w:rsid w:val="007352A1"/>
    <w:rsid w:val="007355BF"/>
    <w:rsid w:val="0073564E"/>
    <w:rsid w:val="00735AD3"/>
    <w:rsid w:val="00735D01"/>
    <w:rsid w:val="00736681"/>
    <w:rsid w:val="0073687D"/>
    <w:rsid w:val="00736F50"/>
    <w:rsid w:val="00737730"/>
    <w:rsid w:val="00737B4A"/>
    <w:rsid w:val="00737DEF"/>
    <w:rsid w:val="00740010"/>
    <w:rsid w:val="00740792"/>
    <w:rsid w:val="00740FC8"/>
    <w:rsid w:val="0074116E"/>
    <w:rsid w:val="00741435"/>
    <w:rsid w:val="00741ED9"/>
    <w:rsid w:val="007420DA"/>
    <w:rsid w:val="007428FB"/>
    <w:rsid w:val="00742B09"/>
    <w:rsid w:val="00742EEF"/>
    <w:rsid w:val="0074320A"/>
    <w:rsid w:val="0074324C"/>
    <w:rsid w:val="00743672"/>
    <w:rsid w:val="00743D92"/>
    <w:rsid w:val="0074432D"/>
    <w:rsid w:val="00744734"/>
    <w:rsid w:val="00744952"/>
    <w:rsid w:val="007452E4"/>
    <w:rsid w:val="007456E9"/>
    <w:rsid w:val="007459DD"/>
    <w:rsid w:val="00745A08"/>
    <w:rsid w:val="00745CDE"/>
    <w:rsid w:val="00745D6A"/>
    <w:rsid w:val="00745E43"/>
    <w:rsid w:val="00745EE1"/>
    <w:rsid w:val="00745F11"/>
    <w:rsid w:val="0074665A"/>
    <w:rsid w:val="00746E70"/>
    <w:rsid w:val="00747176"/>
    <w:rsid w:val="0074747A"/>
    <w:rsid w:val="00747490"/>
    <w:rsid w:val="0074757A"/>
    <w:rsid w:val="00750192"/>
    <w:rsid w:val="007504A5"/>
    <w:rsid w:val="007505C2"/>
    <w:rsid w:val="00751158"/>
    <w:rsid w:val="007513C1"/>
    <w:rsid w:val="00751892"/>
    <w:rsid w:val="00751C2D"/>
    <w:rsid w:val="00752701"/>
    <w:rsid w:val="00752816"/>
    <w:rsid w:val="00752D52"/>
    <w:rsid w:val="0075322A"/>
    <w:rsid w:val="0075377E"/>
    <w:rsid w:val="00753CB8"/>
    <w:rsid w:val="007542D4"/>
    <w:rsid w:val="00754422"/>
    <w:rsid w:val="00754CFD"/>
    <w:rsid w:val="00754F18"/>
    <w:rsid w:val="007552AF"/>
    <w:rsid w:val="00755374"/>
    <w:rsid w:val="00755481"/>
    <w:rsid w:val="00755516"/>
    <w:rsid w:val="00755553"/>
    <w:rsid w:val="00755678"/>
    <w:rsid w:val="00755DFE"/>
    <w:rsid w:val="00755E26"/>
    <w:rsid w:val="0075625C"/>
    <w:rsid w:val="007575DC"/>
    <w:rsid w:val="007575E8"/>
    <w:rsid w:val="007602A0"/>
    <w:rsid w:val="007604E1"/>
    <w:rsid w:val="00760725"/>
    <w:rsid w:val="00760A52"/>
    <w:rsid w:val="00761385"/>
    <w:rsid w:val="00761730"/>
    <w:rsid w:val="0076181A"/>
    <w:rsid w:val="007619C2"/>
    <w:rsid w:val="007619DE"/>
    <w:rsid w:val="00761B35"/>
    <w:rsid w:val="00761B5A"/>
    <w:rsid w:val="0076201F"/>
    <w:rsid w:val="00762372"/>
    <w:rsid w:val="00762837"/>
    <w:rsid w:val="00762AA6"/>
    <w:rsid w:val="00762D57"/>
    <w:rsid w:val="0076318A"/>
    <w:rsid w:val="007637C1"/>
    <w:rsid w:val="0076397D"/>
    <w:rsid w:val="00763A76"/>
    <w:rsid w:val="0076416B"/>
    <w:rsid w:val="00764E4B"/>
    <w:rsid w:val="007653D8"/>
    <w:rsid w:val="00765643"/>
    <w:rsid w:val="00765708"/>
    <w:rsid w:val="00765917"/>
    <w:rsid w:val="007659BA"/>
    <w:rsid w:val="007659EB"/>
    <w:rsid w:val="00765E87"/>
    <w:rsid w:val="007660E3"/>
    <w:rsid w:val="00766384"/>
    <w:rsid w:val="007664FC"/>
    <w:rsid w:val="00766931"/>
    <w:rsid w:val="007669E5"/>
    <w:rsid w:val="00766EC6"/>
    <w:rsid w:val="00767779"/>
    <w:rsid w:val="007678A0"/>
    <w:rsid w:val="00767A1F"/>
    <w:rsid w:val="00767AE4"/>
    <w:rsid w:val="00767BBB"/>
    <w:rsid w:val="00770172"/>
    <w:rsid w:val="00770D87"/>
    <w:rsid w:val="0077105B"/>
    <w:rsid w:val="007713EB"/>
    <w:rsid w:val="00771C67"/>
    <w:rsid w:val="00771FEF"/>
    <w:rsid w:val="0077261B"/>
    <w:rsid w:val="00772C12"/>
    <w:rsid w:val="0077321D"/>
    <w:rsid w:val="007735F8"/>
    <w:rsid w:val="00773854"/>
    <w:rsid w:val="00773BB7"/>
    <w:rsid w:val="00773D63"/>
    <w:rsid w:val="00773DB6"/>
    <w:rsid w:val="007740A5"/>
    <w:rsid w:val="007740F7"/>
    <w:rsid w:val="0077410C"/>
    <w:rsid w:val="0077443C"/>
    <w:rsid w:val="00774746"/>
    <w:rsid w:val="00774C25"/>
    <w:rsid w:val="00774FDB"/>
    <w:rsid w:val="007753F3"/>
    <w:rsid w:val="0077559D"/>
    <w:rsid w:val="00775AA8"/>
    <w:rsid w:val="00775B75"/>
    <w:rsid w:val="00775E64"/>
    <w:rsid w:val="00776D2B"/>
    <w:rsid w:val="00776E2C"/>
    <w:rsid w:val="007770E6"/>
    <w:rsid w:val="007772EF"/>
    <w:rsid w:val="00777432"/>
    <w:rsid w:val="00777986"/>
    <w:rsid w:val="00777BFE"/>
    <w:rsid w:val="00780897"/>
    <w:rsid w:val="00780EAB"/>
    <w:rsid w:val="007815ED"/>
    <w:rsid w:val="0078192A"/>
    <w:rsid w:val="00781C68"/>
    <w:rsid w:val="00781E69"/>
    <w:rsid w:val="007821C1"/>
    <w:rsid w:val="00782D62"/>
    <w:rsid w:val="007838FF"/>
    <w:rsid w:val="00783EBB"/>
    <w:rsid w:val="0078438B"/>
    <w:rsid w:val="0078451D"/>
    <w:rsid w:val="00784A2B"/>
    <w:rsid w:val="00784CAD"/>
    <w:rsid w:val="00784D68"/>
    <w:rsid w:val="007851A8"/>
    <w:rsid w:val="0078531C"/>
    <w:rsid w:val="0078544D"/>
    <w:rsid w:val="00785485"/>
    <w:rsid w:val="00785788"/>
    <w:rsid w:val="00785862"/>
    <w:rsid w:val="0078649D"/>
    <w:rsid w:val="007864C1"/>
    <w:rsid w:val="007865A6"/>
    <w:rsid w:val="00786A09"/>
    <w:rsid w:val="00786EAA"/>
    <w:rsid w:val="007871CA"/>
    <w:rsid w:val="007874F6"/>
    <w:rsid w:val="00787A69"/>
    <w:rsid w:val="00787EEF"/>
    <w:rsid w:val="0079034C"/>
    <w:rsid w:val="0079040F"/>
    <w:rsid w:val="0079062A"/>
    <w:rsid w:val="00790899"/>
    <w:rsid w:val="00790CB1"/>
    <w:rsid w:val="00791007"/>
    <w:rsid w:val="007912F9"/>
    <w:rsid w:val="00791DD8"/>
    <w:rsid w:val="00792041"/>
    <w:rsid w:val="00792444"/>
    <w:rsid w:val="007924E3"/>
    <w:rsid w:val="0079273F"/>
    <w:rsid w:val="00792899"/>
    <w:rsid w:val="00792BAF"/>
    <w:rsid w:val="00792D5D"/>
    <w:rsid w:val="007930B2"/>
    <w:rsid w:val="007930F4"/>
    <w:rsid w:val="00793975"/>
    <w:rsid w:val="007943EE"/>
    <w:rsid w:val="00794469"/>
    <w:rsid w:val="00795383"/>
    <w:rsid w:val="0079692E"/>
    <w:rsid w:val="00796942"/>
    <w:rsid w:val="00796A34"/>
    <w:rsid w:val="00797011"/>
    <w:rsid w:val="007974B5"/>
    <w:rsid w:val="00797AB1"/>
    <w:rsid w:val="00797BC8"/>
    <w:rsid w:val="00797F59"/>
    <w:rsid w:val="007A0036"/>
    <w:rsid w:val="007A0284"/>
    <w:rsid w:val="007A02BC"/>
    <w:rsid w:val="007A05D5"/>
    <w:rsid w:val="007A069F"/>
    <w:rsid w:val="007A08D1"/>
    <w:rsid w:val="007A0C74"/>
    <w:rsid w:val="007A0E8E"/>
    <w:rsid w:val="007A128E"/>
    <w:rsid w:val="007A14A3"/>
    <w:rsid w:val="007A1DCB"/>
    <w:rsid w:val="007A20B9"/>
    <w:rsid w:val="007A235A"/>
    <w:rsid w:val="007A28AB"/>
    <w:rsid w:val="007A28EC"/>
    <w:rsid w:val="007A2A3A"/>
    <w:rsid w:val="007A2D8C"/>
    <w:rsid w:val="007A34AE"/>
    <w:rsid w:val="007A35CD"/>
    <w:rsid w:val="007A3A9B"/>
    <w:rsid w:val="007A3AD9"/>
    <w:rsid w:val="007A3B98"/>
    <w:rsid w:val="007A3E1C"/>
    <w:rsid w:val="007A43DE"/>
    <w:rsid w:val="007A4682"/>
    <w:rsid w:val="007A47C1"/>
    <w:rsid w:val="007A48A3"/>
    <w:rsid w:val="007A4CC8"/>
    <w:rsid w:val="007A4DFF"/>
    <w:rsid w:val="007A54C5"/>
    <w:rsid w:val="007A5B1C"/>
    <w:rsid w:val="007A5D40"/>
    <w:rsid w:val="007A62BB"/>
    <w:rsid w:val="007A63C1"/>
    <w:rsid w:val="007A6501"/>
    <w:rsid w:val="007A65BD"/>
    <w:rsid w:val="007A67B3"/>
    <w:rsid w:val="007A6FCF"/>
    <w:rsid w:val="007A736E"/>
    <w:rsid w:val="007A77E8"/>
    <w:rsid w:val="007A7857"/>
    <w:rsid w:val="007B01E9"/>
    <w:rsid w:val="007B0265"/>
    <w:rsid w:val="007B0DAA"/>
    <w:rsid w:val="007B0EF2"/>
    <w:rsid w:val="007B10A8"/>
    <w:rsid w:val="007B1429"/>
    <w:rsid w:val="007B1811"/>
    <w:rsid w:val="007B21C2"/>
    <w:rsid w:val="007B225A"/>
    <w:rsid w:val="007B2492"/>
    <w:rsid w:val="007B2504"/>
    <w:rsid w:val="007B2F5E"/>
    <w:rsid w:val="007B32BA"/>
    <w:rsid w:val="007B3B23"/>
    <w:rsid w:val="007B4164"/>
    <w:rsid w:val="007B42CE"/>
    <w:rsid w:val="007B4C05"/>
    <w:rsid w:val="007B556F"/>
    <w:rsid w:val="007B55D6"/>
    <w:rsid w:val="007B55E8"/>
    <w:rsid w:val="007B59C2"/>
    <w:rsid w:val="007B5B27"/>
    <w:rsid w:val="007B5D6B"/>
    <w:rsid w:val="007B5F5F"/>
    <w:rsid w:val="007B63FA"/>
    <w:rsid w:val="007B6524"/>
    <w:rsid w:val="007B7166"/>
    <w:rsid w:val="007B7278"/>
    <w:rsid w:val="007B73AA"/>
    <w:rsid w:val="007B7420"/>
    <w:rsid w:val="007B79E7"/>
    <w:rsid w:val="007B79F1"/>
    <w:rsid w:val="007B7B93"/>
    <w:rsid w:val="007B7F30"/>
    <w:rsid w:val="007C04A5"/>
    <w:rsid w:val="007C07F7"/>
    <w:rsid w:val="007C0B77"/>
    <w:rsid w:val="007C0FAA"/>
    <w:rsid w:val="007C16B2"/>
    <w:rsid w:val="007C19C8"/>
    <w:rsid w:val="007C1AA6"/>
    <w:rsid w:val="007C2536"/>
    <w:rsid w:val="007C2C3F"/>
    <w:rsid w:val="007C2CAF"/>
    <w:rsid w:val="007C35C9"/>
    <w:rsid w:val="007C3A5D"/>
    <w:rsid w:val="007C3CF5"/>
    <w:rsid w:val="007C3D73"/>
    <w:rsid w:val="007C4012"/>
    <w:rsid w:val="007C4633"/>
    <w:rsid w:val="007C4CA0"/>
    <w:rsid w:val="007C4DF0"/>
    <w:rsid w:val="007C4E3D"/>
    <w:rsid w:val="007C5F2F"/>
    <w:rsid w:val="007C5F78"/>
    <w:rsid w:val="007C6163"/>
    <w:rsid w:val="007C6177"/>
    <w:rsid w:val="007C65F9"/>
    <w:rsid w:val="007C7529"/>
    <w:rsid w:val="007C762F"/>
    <w:rsid w:val="007C7A1B"/>
    <w:rsid w:val="007C7A6C"/>
    <w:rsid w:val="007C7C71"/>
    <w:rsid w:val="007C7CA6"/>
    <w:rsid w:val="007C7D00"/>
    <w:rsid w:val="007C7E05"/>
    <w:rsid w:val="007D018E"/>
    <w:rsid w:val="007D01FD"/>
    <w:rsid w:val="007D0289"/>
    <w:rsid w:val="007D0382"/>
    <w:rsid w:val="007D06B1"/>
    <w:rsid w:val="007D08EA"/>
    <w:rsid w:val="007D120C"/>
    <w:rsid w:val="007D14CF"/>
    <w:rsid w:val="007D16FA"/>
    <w:rsid w:val="007D1855"/>
    <w:rsid w:val="007D193D"/>
    <w:rsid w:val="007D1EA4"/>
    <w:rsid w:val="007D2332"/>
    <w:rsid w:val="007D24BA"/>
    <w:rsid w:val="007D2579"/>
    <w:rsid w:val="007D2656"/>
    <w:rsid w:val="007D2940"/>
    <w:rsid w:val="007D2D22"/>
    <w:rsid w:val="007D3125"/>
    <w:rsid w:val="007D3B5C"/>
    <w:rsid w:val="007D3D59"/>
    <w:rsid w:val="007D4266"/>
    <w:rsid w:val="007D43EC"/>
    <w:rsid w:val="007D4529"/>
    <w:rsid w:val="007D45C3"/>
    <w:rsid w:val="007D46BA"/>
    <w:rsid w:val="007D46FC"/>
    <w:rsid w:val="007D4886"/>
    <w:rsid w:val="007D4971"/>
    <w:rsid w:val="007D4ABA"/>
    <w:rsid w:val="007D4F32"/>
    <w:rsid w:val="007D5037"/>
    <w:rsid w:val="007D54B3"/>
    <w:rsid w:val="007D57E8"/>
    <w:rsid w:val="007D5C6F"/>
    <w:rsid w:val="007D5F20"/>
    <w:rsid w:val="007D6142"/>
    <w:rsid w:val="007D61F3"/>
    <w:rsid w:val="007D6740"/>
    <w:rsid w:val="007D6ACF"/>
    <w:rsid w:val="007D6BCD"/>
    <w:rsid w:val="007D702F"/>
    <w:rsid w:val="007D73D7"/>
    <w:rsid w:val="007D7D67"/>
    <w:rsid w:val="007E01ED"/>
    <w:rsid w:val="007E0D0E"/>
    <w:rsid w:val="007E1314"/>
    <w:rsid w:val="007E13FF"/>
    <w:rsid w:val="007E2120"/>
    <w:rsid w:val="007E2130"/>
    <w:rsid w:val="007E237C"/>
    <w:rsid w:val="007E260F"/>
    <w:rsid w:val="007E2FCF"/>
    <w:rsid w:val="007E3C41"/>
    <w:rsid w:val="007E3C8C"/>
    <w:rsid w:val="007E3F39"/>
    <w:rsid w:val="007E418F"/>
    <w:rsid w:val="007E43EA"/>
    <w:rsid w:val="007E44B7"/>
    <w:rsid w:val="007E47F6"/>
    <w:rsid w:val="007E5EAC"/>
    <w:rsid w:val="007E5EC6"/>
    <w:rsid w:val="007E613A"/>
    <w:rsid w:val="007E6291"/>
    <w:rsid w:val="007E7408"/>
    <w:rsid w:val="007E7AE8"/>
    <w:rsid w:val="007E7C36"/>
    <w:rsid w:val="007F05D4"/>
    <w:rsid w:val="007F0E97"/>
    <w:rsid w:val="007F109F"/>
    <w:rsid w:val="007F1200"/>
    <w:rsid w:val="007F167E"/>
    <w:rsid w:val="007F16D4"/>
    <w:rsid w:val="007F1A02"/>
    <w:rsid w:val="007F216A"/>
    <w:rsid w:val="007F2273"/>
    <w:rsid w:val="007F2285"/>
    <w:rsid w:val="007F261E"/>
    <w:rsid w:val="007F262C"/>
    <w:rsid w:val="007F2B77"/>
    <w:rsid w:val="007F3B8F"/>
    <w:rsid w:val="007F45FE"/>
    <w:rsid w:val="007F4AC8"/>
    <w:rsid w:val="007F4C18"/>
    <w:rsid w:val="007F4E4C"/>
    <w:rsid w:val="007F6156"/>
    <w:rsid w:val="007F6379"/>
    <w:rsid w:val="007F648B"/>
    <w:rsid w:val="007F6657"/>
    <w:rsid w:val="007F6805"/>
    <w:rsid w:val="007F6B57"/>
    <w:rsid w:val="007F6C13"/>
    <w:rsid w:val="007F7043"/>
    <w:rsid w:val="007F7190"/>
    <w:rsid w:val="007F72C9"/>
    <w:rsid w:val="007F744F"/>
    <w:rsid w:val="007F7A92"/>
    <w:rsid w:val="00800A3E"/>
    <w:rsid w:val="00800C44"/>
    <w:rsid w:val="00800CDA"/>
    <w:rsid w:val="00800D86"/>
    <w:rsid w:val="00800EA0"/>
    <w:rsid w:val="0080117E"/>
    <w:rsid w:val="008013C4"/>
    <w:rsid w:val="00801451"/>
    <w:rsid w:val="008014E9"/>
    <w:rsid w:val="0080160E"/>
    <w:rsid w:val="00801802"/>
    <w:rsid w:val="00801C6C"/>
    <w:rsid w:val="00801D40"/>
    <w:rsid w:val="00801E11"/>
    <w:rsid w:val="00801EAB"/>
    <w:rsid w:val="00802064"/>
    <w:rsid w:val="008024AA"/>
    <w:rsid w:val="00802FC4"/>
    <w:rsid w:val="00803ADC"/>
    <w:rsid w:val="00803E8D"/>
    <w:rsid w:val="0080410C"/>
    <w:rsid w:val="0080446C"/>
    <w:rsid w:val="008044AA"/>
    <w:rsid w:val="008058D7"/>
    <w:rsid w:val="00805D04"/>
    <w:rsid w:val="00805E7F"/>
    <w:rsid w:val="00806081"/>
    <w:rsid w:val="0080637B"/>
    <w:rsid w:val="0080652B"/>
    <w:rsid w:val="00806819"/>
    <w:rsid w:val="00807036"/>
    <w:rsid w:val="0080755F"/>
    <w:rsid w:val="0080760E"/>
    <w:rsid w:val="0080764B"/>
    <w:rsid w:val="008077E2"/>
    <w:rsid w:val="00807C7C"/>
    <w:rsid w:val="00810386"/>
    <w:rsid w:val="008115DE"/>
    <w:rsid w:val="008118BE"/>
    <w:rsid w:val="00811CCA"/>
    <w:rsid w:val="00811EE5"/>
    <w:rsid w:val="00811EF9"/>
    <w:rsid w:val="008120EE"/>
    <w:rsid w:val="00812296"/>
    <w:rsid w:val="0081272F"/>
    <w:rsid w:val="00812A22"/>
    <w:rsid w:val="00813256"/>
    <w:rsid w:val="00813950"/>
    <w:rsid w:val="008140BB"/>
    <w:rsid w:val="00814138"/>
    <w:rsid w:val="0081419D"/>
    <w:rsid w:val="008145E2"/>
    <w:rsid w:val="00815261"/>
    <w:rsid w:val="00815348"/>
    <w:rsid w:val="0081564B"/>
    <w:rsid w:val="0081572D"/>
    <w:rsid w:val="00815B1A"/>
    <w:rsid w:val="00815BDA"/>
    <w:rsid w:val="008162D4"/>
    <w:rsid w:val="00816332"/>
    <w:rsid w:val="008167D6"/>
    <w:rsid w:val="00816CA6"/>
    <w:rsid w:val="00816DCD"/>
    <w:rsid w:val="00816FD8"/>
    <w:rsid w:val="00816FFA"/>
    <w:rsid w:val="0081722D"/>
    <w:rsid w:val="00817513"/>
    <w:rsid w:val="00817E9A"/>
    <w:rsid w:val="00817EA6"/>
    <w:rsid w:val="00817EF0"/>
    <w:rsid w:val="008200F3"/>
    <w:rsid w:val="008203CF"/>
    <w:rsid w:val="008205DB"/>
    <w:rsid w:val="0082114F"/>
    <w:rsid w:val="00821337"/>
    <w:rsid w:val="008219AF"/>
    <w:rsid w:val="00821CF6"/>
    <w:rsid w:val="008222E0"/>
    <w:rsid w:val="00822D87"/>
    <w:rsid w:val="008231F9"/>
    <w:rsid w:val="0082356F"/>
    <w:rsid w:val="0082358D"/>
    <w:rsid w:val="008236D2"/>
    <w:rsid w:val="0082374B"/>
    <w:rsid w:val="00823CDA"/>
    <w:rsid w:val="00824072"/>
    <w:rsid w:val="0082413A"/>
    <w:rsid w:val="00824508"/>
    <w:rsid w:val="0082454E"/>
    <w:rsid w:val="0082518B"/>
    <w:rsid w:val="00826469"/>
    <w:rsid w:val="008264C2"/>
    <w:rsid w:val="00826C10"/>
    <w:rsid w:val="00826C96"/>
    <w:rsid w:val="00826DF0"/>
    <w:rsid w:val="008275D0"/>
    <w:rsid w:val="0082772E"/>
    <w:rsid w:val="00830052"/>
    <w:rsid w:val="00830080"/>
    <w:rsid w:val="008302CC"/>
    <w:rsid w:val="00830A0D"/>
    <w:rsid w:val="00830C70"/>
    <w:rsid w:val="008311BD"/>
    <w:rsid w:val="008315B7"/>
    <w:rsid w:val="00831779"/>
    <w:rsid w:val="00831923"/>
    <w:rsid w:val="00831A40"/>
    <w:rsid w:val="00831B61"/>
    <w:rsid w:val="00831CE6"/>
    <w:rsid w:val="00831F58"/>
    <w:rsid w:val="00832044"/>
    <w:rsid w:val="008325B8"/>
    <w:rsid w:val="00832674"/>
    <w:rsid w:val="008326F6"/>
    <w:rsid w:val="0083296B"/>
    <w:rsid w:val="008329A9"/>
    <w:rsid w:val="00833A87"/>
    <w:rsid w:val="00833A9F"/>
    <w:rsid w:val="00833D24"/>
    <w:rsid w:val="00833E31"/>
    <w:rsid w:val="00833E52"/>
    <w:rsid w:val="00833ED5"/>
    <w:rsid w:val="00834730"/>
    <w:rsid w:val="0083475D"/>
    <w:rsid w:val="008348F3"/>
    <w:rsid w:val="00834C6B"/>
    <w:rsid w:val="008351BD"/>
    <w:rsid w:val="00835CA0"/>
    <w:rsid w:val="00835D55"/>
    <w:rsid w:val="00835DE8"/>
    <w:rsid w:val="0083720E"/>
    <w:rsid w:val="008376DB"/>
    <w:rsid w:val="0083774D"/>
    <w:rsid w:val="00837B3C"/>
    <w:rsid w:val="00837E2F"/>
    <w:rsid w:val="008402F2"/>
    <w:rsid w:val="0084050F"/>
    <w:rsid w:val="00840C10"/>
    <w:rsid w:val="00840CF5"/>
    <w:rsid w:val="00840E91"/>
    <w:rsid w:val="00840F0C"/>
    <w:rsid w:val="008410BE"/>
    <w:rsid w:val="00841211"/>
    <w:rsid w:val="00841259"/>
    <w:rsid w:val="008413CD"/>
    <w:rsid w:val="008416DD"/>
    <w:rsid w:val="008419EA"/>
    <w:rsid w:val="00841A8D"/>
    <w:rsid w:val="008422A9"/>
    <w:rsid w:val="00842CC4"/>
    <w:rsid w:val="00842F2F"/>
    <w:rsid w:val="008438AF"/>
    <w:rsid w:val="00843B03"/>
    <w:rsid w:val="00843C94"/>
    <w:rsid w:val="00843F95"/>
    <w:rsid w:val="00844BBD"/>
    <w:rsid w:val="00844C51"/>
    <w:rsid w:val="00845809"/>
    <w:rsid w:val="00845D05"/>
    <w:rsid w:val="008465C4"/>
    <w:rsid w:val="00846694"/>
    <w:rsid w:val="008471EB"/>
    <w:rsid w:val="00847300"/>
    <w:rsid w:val="00847436"/>
    <w:rsid w:val="00847590"/>
    <w:rsid w:val="008475A0"/>
    <w:rsid w:val="008475B5"/>
    <w:rsid w:val="0084769B"/>
    <w:rsid w:val="00847B76"/>
    <w:rsid w:val="00847E48"/>
    <w:rsid w:val="00850CA7"/>
    <w:rsid w:val="00850EF5"/>
    <w:rsid w:val="008517B6"/>
    <w:rsid w:val="00851F99"/>
    <w:rsid w:val="00852428"/>
    <w:rsid w:val="00852858"/>
    <w:rsid w:val="00852B24"/>
    <w:rsid w:val="00852CAE"/>
    <w:rsid w:val="00852D6D"/>
    <w:rsid w:val="00852EDF"/>
    <w:rsid w:val="00853444"/>
    <w:rsid w:val="008534E6"/>
    <w:rsid w:val="008536B8"/>
    <w:rsid w:val="008537D9"/>
    <w:rsid w:val="0085389A"/>
    <w:rsid w:val="00854075"/>
    <w:rsid w:val="0085468E"/>
    <w:rsid w:val="008549A6"/>
    <w:rsid w:val="008549DE"/>
    <w:rsid w:val="00855A18"/>
    <w:rsid w:val="00855DD9"/>
    <w:rsid w:val="00856266"/>
    <w:rsid w:val="008565A6"/>
    <w:rsid w:val="00856A2D"/>
    <w:rsid w:val="00856AF6"/>
    <w:rsid w:val="00856DC4"/>
    <w:rsid w:val="0085707D"/>
    <w:rsid w:val="008572A0"/>
    <w:rsid w:val="0085730B"/>
    <w:rsid w:val="00857596"/>
    <w:rsid w:val="00857A80"/>
    <w:rsid w:val="00857A96"/>
    <w:rsid w:val="00857B28"/>
    <w:rsid w:val="00860317"/>
    <w:rsid w:val="008603FA"/>
    <w:rsid w:val="00860B89"/>
    <w:rsid w:val="0086166B"/>
    <w:rsid w:val="00861A2B"/>
    <w:rsid w:val="00861B19"/>
    <w:rsid w:val="008628EA"/>
    <w:rsid w:val="00862949"/>
    <w:rsid w:val="00862DA5"/>
    <w:rsid w:val="008639F3"/>
    <w:rsid w:val="00863DF2"/>
    <w:rsid w:val="00863FB2"/>
    <w:rsid w:val="008641C5"/>
    <w:rsid w:val="00864E63"/>
    <w:rsid w:val="00864EFD"/>
    <w:rsid w:val="0086523C"/>
    <w:rsid w:val="0086535C"/>
    <w:rsid w:val="00865C9B"/>
    <w:rsid w:val="0086624C"/>
    <w:rsid w:val="008664B3"/>
    <w:rsid w:val="0086687C"/>
    <w:rsid w:val="00866CC6"/>
    <w:rsid w:val="00866EC0"/>
    <w:rsid w:val="00867047"/>
    <w:rsid w:val="0086711E"/>
    <w:rsid w:val="0086791E"/>
    <w:rsid w:val="008679CB"/>
    <w:rsid w:val="00867EB0"/>
    <w:rsid w:val="008706AE"/>
    <w:rsid w:val="0087171C"/>
    <w:rsid w:val="008718F2"/>
    <w:rsid w:val="00871AD3"/>
    <w:rsid w:val="00872220"/>
    <w:rsid w:val="0087223E"/>
    <w:rsid w:val="008725F3"/>
    <w:rsid w:val="008726B8"/>
    <w:rsid w:val="008733E0"/>
    <w:rsid w:val="00873539"/>
    <w:rsid w:val="008737DA"/>
    <w:rsid w:val="00873827"/>
    <w:rsid w:val="0087419B"/>
    <w:rsid w:val="008743BB"/>
    <w:rsid w:val="00874644"/>
    <w:rsid w:val="00874730"/>
    <w:rsid w:val="00875C0D"/>
    <w:rsid w:val="00875EF1"/>
    <w:rsid w:val="00875FCC"/>
    <w:rsid w:val="00876025"/>
    <w:rsid w:val="008760F3"/>
    <w:rsid w:val="00876482"/>
    <w:rsid w:val="0087675C"/>
    <w:rsid w:val="00877191"/>
    <w:rsid w:val="008773F4"/>
    <w:rsid w:val="00877421"/>
    <w:rsid w:val="00877433"/>
    <w:rsid w:val="008774A9"/>
    <w:rsid w:val="008774CB"/>
    <w:rsid w:val="008779FF"/>
    <w:rsid w:val="0088039B"/>
    <w:rsid w:val="008803E8"/>
    <w:rsid w:val="00880B6F"/>
    <w:rsid w:val="0088142E"/>
    <w:rsid w:val="00881AFF"/>
    <w:rsid w:val="00881B49"/>
    <w:rsid w:val="00882366"/>
    <w:rsid w:val="0088236C"/>
    <w:rsid w:val="0088251A"/>
    <w:rsid w:val="00882692"/>
    <w:rsid w:val="008828FA"/>
    <w:rsid w:val="00882A68"/>
    <w:rsid w:val="00882C58"/>
    <w:rsid w:val="00882FDE"/>
    <w:rsid w:val="00883035"/>
    <w:rsid w:val="008831BD"/>
    <w:rsid w:val="00883214"/>
    <w:rsid w:val="0088328C"/>
    <w:rsid w:val="008834FB"/>
    <w:rsid w:val="008835A8"/>
    <w:rsid w:val="0088374E"/>
    <w:rsid w:val="00884080"/>
    <w:rsid w:val="00884218"/>
    <w:rsid w:val="0088422E"/>
    <w:rsid w:val="0088425A"/>
    <w:rsid w:val="00884914"/>
    <w:rsid w:val="00884BEA"/>
    <w:rsid w:val="00884C0E"/>
    <w:rsid w:val="00884CB4"/>
    <w:rsid w:val="00884E51"/>
    <w:rsid w:val="00885CAE"/>
    <w:rsid w:val="00885E17"/>
    <w:rsid w:val="00885FC2"/>
    <w:rsid w:val="008860CC"/>
    <w:rsid w:val="00886CB7"/>
    <w:rsid w:val="008870B3"/>
    <w:rsid w:val="0088780F"/>
    <w:rsid w:val="00887A91"/>
    <w:rsid w:val="00887CEB"/>
    <w:rsid w:val="0089017C"/>
    <w:rsid w:val="008903FB"/>
    <w:rsid w:val="00890BEB"/>
    <w:rsid w:val="00891346"/>
    <w:rsid w:val="00891CDA"/>
    <w:rsid w:val="00891D6F"/>
    <w:rsid w:val="00892841"/>
    <w:rsid w:val="00892898"/>
    <w:rsid w:val="008928C6"/>
    <w:rsid w:val="008929C9"/>
    <w:rsid w:val="00892B50"/>
    <w:rsid w:val="00892F8F"/>
    <w:rsid w:val="008930A4"/>
    <w:rsid w:val="00893101"/>
    <w:rsid w:val="00893225"/>
    <w:rsid w:val="00893A94"/>
    <w:rsid w:val="00893B13"/>
    <w:rsid w:val="00893C8C"/>
    <w:rsid w:val="00894417"/>
    <w:rsid w:val="0089449E"/>
    <w:rsid w:val="0089456A"/>
    <w:rsid w:val="0089468A"/>
    <w:rsid w:val="008949EF"/>
    <w:rsid w:val="008952F3"/>
    <w:rsid w:val="0089548F"/>
    <w:rsid w:val="00895527"/>
    <w:rsid w:val="008955A8"/>
    <w:rsid w:val="00895AC7"/>
    <w:rsid w:val="00895E29"/>
    <w:rsid w:val="0089647F"/>
    <w:rsid w:val="00896AE9"/>
    <w:rsid w:val="00896D1E"/>
    <w:rsid w:val="00896FAD"/>
    <w:rsid w:val="0089786D"/>
    <w:rsid w:val="00897936"/>
    <w:rsid w:val="008A00D2"/>
    <w:rsid w:val="008A0357"/>
    <w:rsid w:val="008A03E2"/>
    <w:rsid w:val="008A08FD"/>
    <w:rsid w:val="008A1526"/>
    <w:rsid w:val="008A15DB"/>
    <w:rsid w:val="008A17A1"/>
    <w:rsid w:val="008A1977"/>
    <w:rsid w:val="008A1CA2"/>
    <w:rsid w:val="008A1D4D"/>
    <w:rsid w:val="008A1DD4"/>
    <w:rsid w:val="008A1DD5"/>
    <w:rsid w:val="008A1FDD"/>
    <w:rsid w:val="008A201A"/>
    <w:rsid w:val="008A2465"/>
    <w:rsid w:val="008A256C"/>
    <w:rsid w:val="008A282A"/>
    <w:rsid w:val="008A2852"/>
    <w:rsid w:val="008A2AF4"/>
    <w:rsid w:val="008A2C28"/>
    <w:rsid w:val="008A2DD7"/>
    <w:rsid w:val="008A351C"/>
    <w:rsid w:val="008A3B35"/>
    <w:rsid w:val="008A40A1"/>
    <w:rsid w:val="008A4139"/>
    <w:rsid w:val="008A4323"/>
    <w:rsid w:val="008A45C1"/>
    <w:rsid w:val="008A46D1"/>
    <w:rsid w:val="008A4964"/>
    <w:rsid w:val="008A4C3C"/>
    <w:rsid w:val="008A4DF9"/>
    <w:rsid w:val="008A4E5C"/>
    <w:rsid w:val="008A517C"/>
    <w:rsid w:val="008A51D1"/>
    <w:rsid w:val="008A52C8"/>
    <w:rsid w:val="008A560C"/>
    <w:rsid w:val="008A5AEF"/>
    <w:rsid w:val="008A5E56"/>
    <w:rsid w:val="008A63B9"/>
    <w:rsid w:val="008A66BF"/>
    <w:rsid w:val="008A70F4"/>
    <w:rsid w:val="008A7697"/>
    <w:rsid w:val="008A7745"/>
    <w:rsid w:val="008A7B18"/>
    <w:rsid w:val="008A7E9E"/>
    <w:rsid w:val="008A7EB5"/>
    <w:rsid w:val="008B0487"/>
    <w:rsid w:val="008B0646"/>
    <w:rsid w:val="008B0CB1"/>
    <w:rsid w:val="008B0EC4"/>
    <w:rsid w:val="008B18D4"/>
    <w:rsid w:val="008B1940"/>
    <w:rsid w:val="008B1A68"/>
    <w:rsid w:val="008B1E65"/>
    <w:rsid w:val="008B1FEE"/>
    <w:rsid w:val="008B23DC"/>
    <w:rsid w:val="008B2817"/>
    <w:rsid w:val="008B2867"/>
    <w:rsid w:val="008B2B54"/>
    <w:rsid w:val="008B2CA0"/>
    <w:rsid w:val="008B2CB4"/>
    <w:rsid w:val="008B2DC6"/>
    <w:rsid w:val="008B307A"/>
    <w:rsid w:val="008B36AD"/>
    <w:rsid w:val="008B4358"/>
    <w:rsid w:val="008B44C4"/>
    <w:rsid w:val="008B468E"/>
    <w:rsid w:val="008B4972"/>
    <w:rsid w:val="008B512F"/>
    <w:rsid w:val="008B517D"/>
    <w:rsid w:val="008B55BE"/>
    <w:rsid w:val="008B57AA"/>
    <w:rsid w:val="008B57E8"/>
    <w:rsid w:val="008B58AF"/>
    <w:rsid w:val="008B597B"/>
    <w:rsid w:val="008B5F6C"/>
    <w:rsid w:val="008B62C9"/>
    <w:rsid w:val="008B6862"/>
    <w:rsid w:val="008B6F06"/>
    <w:rsid w:val="008B70BC"/>
    <w:rsid w:val="008B7E06"/>
    <w:rsid w:val="008B7EF2"/>
    <w:rsid w:val="008C0444"/>
    <w:rsid w:val="008C0588"/>
    <w:rsid w:val="008C0F1A"/>
    <w:rsid w:val="008C102A"/>
    <w:rsid w:val="008C103B"/>
    <w:rsid w:val="008C137C"/>
    <w:rsid w:val="008C157A"/>
    <w:rsid w:val="008C179F"/>
    <w:rsid w:val="008C1B8A"/>
    <w:rsid w:val="008C1D02"/>
    <w:rsid w:val="008C1FD7"/>
    <w:rsid w:val="008C20A0"/>
    <w:rsid w:val="008C21B7"/>
    <w:rsid w:val="008C22F1"/>
    <w:rsid w:val="008C2379"/>
    <w:rsid w:val="008C2575"/>
    <w:rsid w:val="008C2661"/>
    <w:rsid w:val="008C2734"/>
    <w:rsid w:val="008C28F3"/>
    <w:rsid w:val="008C33C8"/>
    <w:rsid w:val="008C3519"/>
    <w:rsid w:val="008C377C"/>
    <w:rsid w:val="008C38C0"/>
    <w:rsid w:val="008C41AD"/>
    <w:rsid w:val="008C4550"/>
    <w:rsid w:val="008C456F"/>
    <w:rsid w:val="008C4E2E"/>
    <w:rsid w:val="008C5555"/>
    <w:rsid w:val="008C5B89"/>
    <w:rsid w:val="008C5E3C"/>
    <w:rsid w:val="008C6B23"/>
    <w:rsid w:val="008C6CE9"/>
    <w:rsid w:val="008C7013"/>
    <w:rsid w:val="008C7394"/>
    <w:rsid w:val="008C73EC"/>
    <w:rsid w:val="008C75A7"/>
    <w:rsid w:val="008C792A"/>
    <w:rsid w:val="008C7B89"/>
    <w:rsid w:val="008C7F97"/>
    <w:rsid w:val="008D01B9"/>
    <w:rsid w:val="008D03FB"/>
    <w:rsid w:val="008D0D3F"/>
    <w:rsid w:val="008D0E74"/>
    <w:rsid w:val="008D146A"/>
    <w:rsid w:val="008D16BA"/>
    <w:rsid w:val="008D1809"/>
    <w:rsid w:val="008D18B0"/>
    <w:rsid w:val="008D1D76"/>
    <w:rsid w:val="008D2747"/>
    <w:rsid w:val="008D390E"/>
    <w:rsid w:val="008D3EF1"/>
    <w:rsid w:val="008D3F17"/>
    <w:rsid w:val="008D4045"/>
    <w:rsid w:val="008D426D"/>
    <w:rsid w:val="008D4460"/>
    <w:rsid w:val="008D4820"/>
    <w:rsid w:val="008D49CA"/>
    <w:rsid w:val="008D4D53"/>
    <w:rsid w:val="008D530E"/>
    <w:rsid w:val="008D5EF0"/>
    <w:rsid w:val="008D60EF"/>
    <w:rsid w:val="008D62ED"/>
    <w:rsid w:val="008D63BE"/>
    <w:rsid w:val="008D66EC"/>
    <w:rsid w:val="008D6A94"/>
    <w:rsid w:val="008D6B34"/>
    <w:rsid w:val="008D6DCA"/>
    <w:rsid w:val="008D6DE3"/>
    <w:rsid w:val="008D6F39"/>
    <w:rsid w:val="008D78DE"/>
    <w:rsid w:val="008E015C"/>
    <w:rsid w:val="008E01E0"/>
    <w:rsid w:val="008E02E1"/>
    <w:rsid w:val="008E0610"/>
    <w:rsid w:val="008E0717"/>
    <w:rsid w:val="008E0B8B"/>
    <w:rsid w:val="008E0C83"/>
    <w:rsid w:val="008E0CC2"/>
    <w:rsid w:val="008E0EB6"/>
    <w:rsid w:val="008E10FC"/>
    <w:rsid w:val="008E1233"/>
    <w:rsid w:val="008E1D6F"/>
    <w:rsid w:val="008E220F"/>
    <w:rsid w:val="008E267F"/>
    <w:rsid w:val="008E27DE"/>
    <w:rsid w:val="008E299C"/>
    <w:rsid w:val="008E2BCC"/>
    <w:rsid w:val="008E3077"/>
    <w:rsid w:val="008E30CF"/>
    <w:rsid w:val="008E369E"/>
    <w:rsid w:val="008E3771"/>
    <w:rsid w:val="008E383B"/>
    <w:rsid w:val="008E3E2C"/>
    <w:rsid w:val="008E4133"/>
    <w:rsid w:val="008E433C"/>
    <w:rsid w:val="008E481B"/>
    <w:rsid w:val="008E4CCB"/>
    <w:rsid w:val="008E4FFA"/>
    <w:rsid w:val="008E577C"/>
    <w:rsid w:val="008E5887"/>
    <w:rsid w:val="008E5D1D"/>
    <w:rsid w:val="008E63E0"/>
    <w:rsid w:val="008E641A"/>
    <w:rsid w:val="008E70F6"/>
    <w:rsid w:val="008E7649"/>
    <w:rsid w:val="008E77F2"/>
    <w:rsid w:val="008E7D20"/>
    <w:rsid w:val="008F0E28"/>
    <w:rsid w:val="008F0F3C"/>
    <w:rsid w:val="008F10F8"/>
    <w:rsid w:val="008F1231"/>
    <w:rsid w:val="008F1300"/>
    <w:rsid w:val="008F1563"/>
    <w:rsid w:val="008F18CA"/>
    <w:rsid w:val="008F1AB0"/>
    <w:rsid w:val="008F1EA4"/>
    <w:rsid w:val="008F2666"/>
    <w:rsid w:val="008F286E"/>
    <w:rsid w:val="008F2B09"/>
    <w:rsid w:val="008F2C8E"/>
    <w:rsid w:val="008F35B5"/>
    <w:rsid w:val="008F3778"/>
    <w:rsid w:val="008F3817"/>
    <w:rsid w:val="008F4146"/>
    <w:rsid w:val="008F45BE"/>
    <w:rsid w:val="008F4B49"/>
    <w:rsid w:val="008F4BE6"/>
    <w:rsid w:val="008F5026"/>
    <w:rsid w:val="008F5345"/>
    <w:rsid w:val="008F5464"/>
    <w:rsid w:val="008F54C1"/>
    <w:rsid w:val="008F54F0"/>
    <w:rsid w:val="008F5A6E"/>
    <w:rsid w:val="008F5CE6"/>
    <w:rsid w:val="008F60D5"/>
    <w:rsid w:val="008F6214"/>
    <w:rsid w:val="008F62A1"/>
    <w:rsid w:val="008F67C4"/>
    <w:rsid w:val="008F67CF"/>
    <w:rsid w:val="008F6DBC"/>
    <w:rsid w:val="008F6EE6"/>
    <w:rsid w:val="008F71BD"/>
    <w:rsid w:val="008F7378"/>
    <w:rsid w:val="008F773C"/>
    <w:rsid w:val="008F78D6"/>
    <w:rsid w:val="008F79A0"/>
    <w:rsid w:val="0090006C"/>
    <w:rsid w:val="00900B03"/>
    <w:rsid w:val="00900CE0"/>
    <w:rsid w:val="00901145"/>
    <w:rsid w:val="00901D4A"/>
    <w:rsid w:val="0090234B"/>
    <w:rsid w:val="009023F9"/>
    <w:rsid w:val="0090266F"/>
    <w:rsid w:val="00903515"/>
    <w:rsid w:val="009035B4"/>
    <w:rsid w:val="00903BCA"/>
    <w:rsid w:val="00904598"/>
    <w:rsid w:val="0090527B"/>
    <w:rsid w:val="00905620"/>
    <w:rsid w:val="00905743"/>
    <w:rsid w:val="00905ECE"/>
    <w:rsid w:val="00906333"/>
    <w:rsid w:val="00906371"/>
    <w:rsid w:val="009067C5"/>
    <w:rsid w:val="009067ED"/>
    <w:rsid w:val="00906BCE"/>
    <w:rsid w:val="0090760B"/>
    <w:rsid w:val="00907659"/>
    <w:rsid w:val="0090785F"/>
    <w:rsid w:val="00907923"/>
    <w:rsid w:val="00907EBE"/>
    <w:rsid w:val="009101B1"/>
    <w:rsid w:val="0091063B"/>
    <w:rsid w:val="00911075"/>
    <w:rsid w:val="009113E6"/>
    <w:rsid w:val="0091177F"/>
    <w:rsid w:val="00911945"/>
    <w:rsid w:val="00911DAF"/>
    <w:rsid w:val="00912637"/>
    <w:rsid w:val="00912804"/>
    <w:rsid w:val="00912A27"/>
    <w:rsid w:val="00912A5B"/>
    <w:rsid w:val="00912A6C"/>
    <w:rsid w:val="00912DA6"/>
    <w:rsid w:val="00912DC5"/>
    <w:rsid w:val="009138B1"/>
    <w:rsid w:val="009139C5"/>
    <w:rsid w:val="00913CD1"/>
    <w:rsid w:val="00913D57"/>
    <w:rsid w:val="00913DE6"/>
    <w:rsid w:val="009144AF"/>
    <w:rsid w:val="009148D3"/>
    <w:rsid w:val="00914B4C"/>
    <w:rsid w:val="00915595"/>
    <w:rsid w:val="00915752"/>
    <w:rsid w:val="00915B47"/>
    <w:rsid w:val="00915D5A"/>
    <w:rsid w:val="00915E0D"/>
    <w:rsid w:val="00916472"/>
    <w:rsid w:val="0091685C"/>
    <w:rsid w:val="00916D7B"/>
    <w:rsid w:val="00916DF0"/>
    <w:rsid w:val="00916E29"/>
    <w:rsid w:val="0091705E"/>
    <w:rsid w:val="00917223"/>
    <w:rsid w:val="0092034C"/>
    <w:rsid w:val="009207E8"/>
    <w:rsid w:val="00920943"/>
    <w:rsid w:val="0092105F"/>
    <w:rsid w:val="009214A4"/>
    <w:rsid w:val="0092153C"/>
    <w:rsid w:val="009215E6"/>
    <w:rsid w:val="00921E3B"/>
    <w:rsid w:val="009221D3"/>
    <w:rsid w:val="009225DB"/>
    <w:rsid w:val="0092328E"/>
    <w:rsid w:val="0092330C"/>
    <w:rsid w:val="00923568"/>
    <w:rsid w:val="009237C2"/>
    <w:rsid w:val="0092380A"/>
    <w:rsid w:val="00923902"/>
    <w:rsid w:val="009239E8"/>
    <w:rsid w:val="00923F5A"/>
    <w:rsid w:val="00924235"/>
    <w:rsid w:val="0092476E"/>
    <w:rsid w:val="00925205"/>
    <w:rsid w:val="009253D8"/>
    <w:rsid w:val="009257EF"/>
    <w:rsid w:val="00926664"/>
    <w:rsid w:val="009267EF"/>
    <w:rsid w:val="009268FC"/>
    <w:rsid w:val="00926A7D"/>
    <w:rsid w:val="00926F3B"/>
    <w:rsid w:val="009272DD"/>
    <w:rsid w:val="009278CF"/>
    <w:rsid w:val="00927921"/>
    <w:rsid w:val="009279CD"/>
    <w:rsid w:val="00927A35"/>
    <w:rsid w:val="00927C3C"/>
    <w:rsid w:val="00927E1F"/>
    <w:rsid w:val="00930096"/>
    <w:rsid w:val="00930D87"/>
    <w:rsid w:val="00930E1E"/>
    <w:rsid w:val="00931089"/>
    <w:rsid w:val="0093111B"/>
    <w:rsid w:val="0093178B"/>
    <w:rsid w:val="0093218B"/>
    <w:rsid w:val="00932612"/>
    <w:rsid w:val="0093266A"/>
    <w:rsid w:val="0093278B"/>
    <w:rsid w:val="00932822"/>
    <w:rsid w:val="00932828"/>
    <w:rsid w:val="009332E8"/>
    <w:rsid w:val="00933575"/>
    <w:rsid w:val="009338F8"/>
    <w:rsid w:val="00933DEB"/>
    <w:rsid w:val="00933EF0"/>
    <w:rsid w:val="009346B6"/>
    <w:rsid w:val="009348D9"/>
    <w:rsid w:val="00934C4D"/>
    <w:rsid w:val="00934C4F"/>
    <w:rsid w:val="009350C6"/>
    <w:rsid w:val="00935349"/>
    <w:rsid w:val="009353FA"/>
    <w:rsid w:val="009354D9"/>
    <w:rsid w:val="00935641"/>
    <w:rsid w:val="00935FEA"/>
    <w:rsid w:val="009365A5"/>
    <w:rsid w:val="00936F59"/>
    <w:rsid w:val="009370CE"/>
    <w:rsid w:val="00937272"/>
    <w:rsid w:val="00937317"/>
    <w:rsid w:val="009377C0"/>
    <w:rsid w:val="00937A99"/>
    <w:rsid w:val="009400BF"/>
    <w:rsid w:val="009409B6"/>
    <w:rsid w:val="00940B15"/>
    <w:rsid w:val="00940ED8"/>
    <w:rsid w:val="00941464"/>
    <w:rsid w:val="009414D7"/>
    <w:rsid w:val="009419CD"/>
    <w:rsid w:val="00941CB7"/>
    <w:rsid w:val="00942428"/>
    <w:rsid w:val="009429C4"/>
    <w:rsid w:val="00942C22"/>
    <w:rsid w:val="00942D64"/>
    <w:rsid w:val="00942D96"/>
    <w:rsid w:val="00943159"/>
    <w:rsid w:val="009432D8"/>
    <w:rsid w:val="009434B9"/>
    <w:rsid w:val="009434CE"/>
    <w:rsid w:val="009435BC"/>
    <w:rsid w:val="00943BC3"/>
    <w:rsid w:val="009444C2"/>
    <w:rsid w:val="00944673"/>
    <w:rsid w:val="00944751"/>
    <w:rsid w:val="009447E3"/>
    <w:rsid w:val="00944A91"/>
    <w:rsid w:val="0094500A"/>
    <w:rsid w:val="009453FE"/>
    <w:rsid w:val="0094597B"/>
    <w:rsid w:val="00945F66"/>
    <w:rsid w:val="009462F5"/>
    <w:rsid w:val="0094635A"/>
    <w:rsid w:val="00946462"/>
    <w:rsid w:val="00946606"/>
    <w:rsid w:val="0094682C"/>
    <w:rsid w:val="009470DE"/>
    <w:rsid w:val="00947464"/>
    <w:rsid w:val="00947777"/>
    <w:rsid w:val="00947907"/>
    <w:rsid w:val="00947A68"/>
    <w:rsid w:val="00947D22"/>
    <w:rsid w:val="00950670"/>
    <w:rsid w:val="00952349"/>
    <w:rsid w:val="009529A0"/>
    <w:rsid w:val="00952E84"/>
    <w:rsid w:val="009530AE"/>
    <w:rsid w:val="00953574"/>
    <w:rsid w:val="0095371E"/>
    <w:rsid w:val="00953A30"/>
    <w:rsid w:val="0095418D"/>
    <w:rsid w:val="009543FF"/>
    <w:rsid w:val="00954A20"/>
    <w:rsid w:val="009551A2"/>
    <w:rsid w:val="009554F2"/>
    <w:rsid w:val="0095563D"/>
    <w:rsid w:val="0095568E"/>
    <w:rsid w:val="00955C65"/>
    <w:rsid w:val="00955CE4"/>
    <w:rsid w:val="00955E81"/>
    <w:rsid w:val="009564D1"/>
    <w:rsid w:val="00957622"/>
    <w:rsid w:val="00957CF8"/>
    <w:rsid w:val="00957EC2"/>
    <w:rsid w:val="0096028C"/>
    <w:rsid w:val="00960563"/>
    <w:rsid w:val="00960791"/>
    <w:rsid w:val="00960A3D"/>
    <w:rsid w:val="00960EA8"/>
    <w:rsid w:val="00960FA5"/>
    <w:rsid w:val="00961218"/>
    <w:rsid w:val="009613C1"/>
    <w:rsid w:val="009614F1"/>
    <w:rsid w:val="0096165E"/>
    <w:rsid w:val="009616E2"/>
    <w:rsid w:val="00961B9C"/>
    <w:rsid w:val="009622F3"/>
    <w:rsid w:val="00962304"/>
    <w:rsid w:val="00962B6C"/>
    <w:rsid w:val="0096301A"/>
    <w:rsid w:val="0096313F"/>
    <w:rsid w:val="00963479"/>
    <w:rsid w:val="009639B7"/>
    <w:rsid w:val="00964337"/>
    <w:rsid w:val="00964389"/>
    <w:rsid w:val="00964467"/>
    <w:rsid w:val="009650EF"/>
    <w:rsid w:val="00965331"/>
    <w:rsid w:val="00966052"/>
    <w:rsid w:val="009661D0"/>
    <w:rsid w:val="00966C36"/>
    <w:rsid w:val="00967139"/>
    <w:rsid w:val="0096727A"/>
    <w:rsid w:val="00967773"/>
    <w:rsid w:val="0096781B"/>
    <w:rsid w:val="00967D09"/>
    <w:rsid w:val="00970377"/>
    <w:rsid w:val="00970392"/>
    <w:rsid w:val="00970FC6"/>
    <w:rsid w:val="0097157E"/>
    <w:rsid w:val="00971A21"/>
    <w:rsid w:val="00972054"/>
    <w:rsid w:val="00972C44"/>
    <w:rsid w:val="009733AE"/>
    <w:rsid w:val="00973545"/>
    <w:rsid w:val="00973CBA"/>
    <w:rsid w:val="00973F8E"/>
    <w:rsid w:val="0097465C"/>
    <w:rsid w:val="009746F4"/>
    <w:rsid w:val="00975A9A"/>
    <w:rsid w:val="009764E2"/>
    <w:rsid w:val="0097673A"/>
    <w:rsid w:val="00976F7F"/>
    <w:rsid w:val="009770CC"/>
    <w:rsid w:val="00977ABA"/>
    <w:rsid w:val="00980128"/>
    <w:rsid w:val="009801FC"/>
    <w:rsid w:val="0098098C"/>
    <w:rsid w:val="00980EBD"/>
    <w:rsid w:val="009826D9"/>
    <w:rsid w:val="00983533"/>
    <w:rsid w:val="0098373B"/>
    <w:rsid w:val="0098393E"/>
    <w:rsid w:val="00983943"/>
    <w:rsid w:val="00983BF4"/>
    <w:rsid w:val="00983EBA"/>
    <w:rsid w:val="00983F8E"/>
    <w:rsid w:val="00984696"/>
    <w:rsid w:val="009846F6"/>
    <w:rsid w:val="00984892"/>
    <w:rsid w:val="00984D31"/>
    <w:rsid w:val="00984D7A"/>
    <w:rsid w:val="00984EE1"/>
    <w:rsid w:val="00984F46"/>
    <w:rsid w:val="009850B8"/>
    <w:rsid w:val="00985C15"/>
    <w:rsid w:val="00985F89"/>
    <w:rsid w:val="00986457"/>
    <w:rsid w:val="00986530"/>
    <w:rsid w:val="00986A78"/>
    <w:rsid w:val="00987332"/>
    <w:rsid w:val="0098777E"/>
    <w:rsid w:val="00987B7F"/>
    <w:rsid w:val="00987C13"/>
    <w:rsid w:val="0099008A"/>
    <w:rsid w:val="00990411"/>
    <w:rsid w:val="00990413"/>
    <w:rsid w:val="009906A4"/>
    <w:rsid w:val="00990C77"/>
    <w:rsid w:val="00990EE0"/>
    <w:rsid w:val="00990FC4"/>
    <w:rsid w:val="009911FD"/>
    <w:rsid w:val="0099178E"/>
    <w:rsid w:val="00991CCA"/>
    <w:rsid w:val="00992C96"/>
    <w:rsid w:val="00993226"/>
    <w:rsid w:val="0099322F"/>
    <w:rsid w:val="00993A68"/>
    <w:rsid w:val="00993C37"/>
    <w:rsid w:val="00993DE6"/>
    <w:rsid w:val="009945B3"/>
    <w:rsid w:val="00994831"/>
    <w:rsid w:val="00994CC6"/>
    <w:rsid w:val="00995180"/>
    <w:rsid w:val="00995427"/>
    <w:rsid w:val="0099549A"/>
    <w:rsid w:val="00995CEA"/>
    <w:rsid w:val="00995D5B"/>
    <w:rsid w:val="00995F52"/>
    <w:rsid w:val="00996240"/>
    <w:rsid w:val="009964BA"/>
    <w:rsid w:val="0099653D"/>
    <w:rsid w:val="009967CC"/>
    <w:rsid w:val="00996DE6"/>
    <w:rsid w:val="00997235"/>
    <w:rsid w:val="00997286"/>
    <w:rsid w:val="00997540"/>
    <w:rsid w:val="009976BD"/>
    <w:rsid w:val="00997F4F"/>
    <w:rsid w:val="009A09B7"/>
    <w:rsid w:val="009A0ECF"/>
    <w:rsid w:val="009A1119"/>
    <w:rsid w:val="009A1369"/>
    <w:rsid w:val="009A1547"/>
    <w:rsid w:val="009A177E"/>
    <w:rsid w:val="009A1A32"/>
    <w:rsid w:val="009A1A84"/>
    <w:rsid w:val="009A28BA"/>
    <w:rsid w:val="009A2FDC"/>
    <w:rsid w:val="009A34BE"/>
    <w:rsid w:val="009A35B0"/>
    <w:rsid w:val="009A35CA"/>
    <w:rsid w:val="009A4096"/>
    <w:rsid w:val="009A4B84"/>
    <w:rsid w:val="009A4E1D"/>
    <w:rsid w:val="009A5151"/>
    <w:rsid w:val="009A58B0"/>
    <w:rsid w:val="009A5D7A"/>
    <w:rsid w:val="009A5F87"/>
    <w:rsid w:val="009A5F8E"/>
    <w:rsid w:val="009A62F4"/>
    <w:rsid w:val="009A6C43"/>
    <w:rsid w:val="009A6F6B"/>
    <w:rsid w:val="009A6FFE"/>
    <w:rsid w:val="009A774C"/>
    <w:rsid w:val="009A7C0B"/>
    <w:rsid w:val="009A7CE0"/>
    <w:rsid w:val="009A7CFC"/>
    <w:rsid w:val="009B008F"/>
    <w:rsid w:val="009B0233"/>
    <w:rsid w:val="009B043E"/>
    <w:rsid w:val="009B06CF"/>
    <w:rsid w:val="009B0B9C"/>
    <w:rsid w:val="009B0BCE"/>
    <w:rsid w:val="009B0BD8"/>
    <w:rsid w:val="009B0BF5"/>
    <w:rsid w:val="009B1134"/>
    <w:rsid w:val="009B1990"/>
    <w:rsid w:val="009B377B"/>
    <w:rsid w:val="009B3A98"/>
    <w:rsid w:val="009B3D5F"/>
    <w:rsid w:val="009B446F"/>
    <w:rsid w:val="009B4F17"/>
    <w:rsid w:val="009B4F9E"/>
    <w:rsid w:val="009B4FE5"/>
    <w:rsid w:val="009B5A8F"/>
    <w:rsid w:val="009B5D53"/>
    <w:rsid w:val="009B6113"/>
    <w:rsid w:val="009B6501"/>
    <w:rsid w:val="009B6C22"/>
    <w:rsid w:val="009B6EFC"/>
    <w:rsid w:val="009B73AE"/>
    <w:rsid w:val="009B7771"/>
    <w:rsid w:val="009B78A4"/>
    <w:rsid w:val="009B7E53"/>
    <w:rsid w:val="009B7F61"/>
    <w:rsid w:val="009C015B"/>
    <w:rsid w:val="009C01BD"/>
    <w:rsid w:val="009C01DD"/>
    <w:rsid w:val="009C06CE"/>
    <w:rsid w:val="009C0B7E"/>
    <w:rsid w:val="009C1390"/>
    <w:rsid w:val="009C15E8"/>
    <w:rsid w:val="009C16CD"/>
    <w:rsid w:val="009C17E5"/>
    <w:rsid w:val="009C1A1A"/>
    <w:rsid w:val="009C22D6"/>
    <w:rsid w:val="009C2581"/>
    <w:rsid w:val="009C28A4"/>
    <w:rsid w:val="009C2B38"/>
    <w:rsid w:val="009C30CF"/>
    <w:rsid w:val="009C3444"/>
    <w:rsid w:val="009C385C"/>
    <w:rsid w:val="009C3C1A"/>
    <w:rsid w:val="009C4096"/>
    <w:rsid w:val="009C4947"/>
    <w:rsid w:val="009C4C59"/>
    <w:rsid w:val="009C5383"/>
    <w:rsid w:val="009C539A"/>
    <w:rsid w:val="009C53D5"/>
    <w:rsid w:val="009C5643"/>
    <w:rsid w:val="009C5B64"/>
    <w:rsid w:val="009C5B8D"/>
    <w:rsid w:val="009C5E7B"/>
    <w:rsid w:val="009C6040"/>
    <w:rsid w:val="009C6BF6"/>
    <w:rsid w:val="009C6C0E"/>
    <w:rsid w:val="009C6C69"/>
    <w:rsid w:val="009C6D9F"/>
    <w:rsid w:val="009C7264"/>
    <w:rsid w:val="009C72FB"/>
    <w:rsid w:val="009C7783"/>
    <w:rsid w:val="009C7897"/>
    <w:rsid w:val="009C7BC8"/>
    <w:rsid w:val="009D032A"/>
    <w:rsid w:val="009D04C7"/>
    <w:rsid w:val="009D05F9"/>
    <w:rsid w:val="009D08B1"/>
    <w:rsid w:val="009D0ADE"/>
    <w:rsid w:val="009D0B13"/>
    <w:rsid w:val="009D20E0"/>
    <w:rsid w:val="009D2ED3"/>
    <w:rsid w:val="009D315F"/>
    <w:rsid w:val="009D33C3"/>
    <w:rsid w:val="009D3A1D"/>
    <w:rsid w:val="009D3FF3"/>
    <w:rsid w:val="009D424A"/>
    <w:rsid w:val="009D471A"/>
    <w:rsid w:val="009D4D91"/>
    <w:rsid w:val="009D4EFF"/>
    <w:rsid w:val="009D5361"/>
    <w:rsid w:val="009D564A"/>
    <w:rsid w:val="009D641B"/>
    <w:rsid w:val="009D67EF"/>
    <w:rsid w:val="009D6D1E"/>
    <w:rsid w:val="009D6E84"/>
    <w:rsid w:val="009D73F2"/>
    <w:rsid w:val="009D7B22"/>
    <w:rsid w:val="009D7E09"/>
    <w:rsid w:val="009E00C8"/>
    <w:rsid w:val="009E04D4"/>
    <w:rsid w:val="009E0708"/>
    <w:rsid w:val="009E095D"/>
    <w:rsid w:val="009E100C"/>
    <w:rsid w:val="009E1258"/>
    <w:rsid w:val="009E1296"/>
    <w:rsid w:val="009E1888"/>
    <w:rsid w:val="009E19E0"/>
    <w:rsid w:val="009E1E01"/>
    <w:rsid w:val="009E22FD"/>
    <w:rsid w:val="009E2416"/>
    <w:rsid w:val="009E2AC9"/>
    <w:rsid w:val="009E2B1B"/>
    <w:rsid w:val="009E2FF5"/>
    <w:rsid w:val="009E3D4A"/>
    <w:rsid w:val="009E4841"/>
    <w:rsid w:val="009E4D8C"/>
    <w:rsid w:val="009E4FC9"/>
    <w:rsid w:val="009E561F"/>
    <w:rsid w:val="009E6502"/>
    <w:rsid w:val="009E655A"/>
    <w:rsid w:val="009E6EA2"/>
    <w:rsid w:val="009E79A0"/>
    <w:rsid w:val="009E7ABF"/>
    <w:rsid w:val="009F000F"/>
    <w:rsid w:val="009F0146"/>
    <w:rsid w:val="009F1934"/>
    <w:rsid w:val="009F1B0D"/>
    <w:rsid w:val="009F1F30"/>
    <w:rsid w:val="009F224F"/>
    <w:rsid w:val="009F2467"/>
    <w:rsid w:val="009F2A02"/>
    <w:rsid w:val="009F2A77"/>
    <w:rsid w:val="009F3414"/>
    <w:rsid w:val="009F368A"/>
    <w:rsid w:val="009F3D2F"/>
    <w:rsid w:val="009F3FBC"/>
    <w:rsid w:val="009F446F"/>
    <w:rsid w:val="009F4515"/>
    <w:rsid w:val="009F4BB8"/>
    <w:rsid w:val="009F5231"/>
    <w:rsid w:val="009F587F"/>
    <w:rsid w:val="009F59B1"/>
    <w:rsid w:val="009F5CDC"/>
    <w:rsid w:val="009F5D43"/>
    <w:rsid w:val="009F6020"/>
    <w:rsid w:val="009F6877"/>
    <w:rsid w:val="009F6893"/>
    <w:rsid w:val="009F6DAD"/>
    <w:rsid w:val="009F6FCB"/>
    <w:rsid w:val="009F70F9"/>
    <w:rsid w:val="009F7710"/>
    <w:rsid w:val="009F7CAC"/>
    <w:rsid w:val="00A002FD"/>
    <w:rsid w:val="00A0046D"/>
    <w:rsid w:val="00A01161"/>
    <w:rsid w:val="00A012BB"/>
    <w:rsid w:val="00A013D9"/>
    <w:rsid w:val="00A014C3"/>
    <w:rsid w:val="00A0171C"/>
    <w:rsid w:val="00A01A51"/>
    <w:rsid w:val="00A01A6F"/>
    <w:rsid w:val="00A0260A"/>
    <w:rsid w:val="00A0268A"/>
    <w:rsid w:val="00A02AE2"/>
    <w:rsid w:val="00A032D3"/>
    <w:rsid w:val="00A038CC"/>
    <w:rsid w:val="00A044A1"/>
    <w:rsid w:val="00A04C74"/>
    <w:rsid w:val="00A04F52"/>
    <w:rsid w:val="00A05136"/>
    <w:rsid w:val="00A05F06"/>
    <w:rsid w:val="00A06219"/>
    <w:rsid w:val="00A0757A"/>
    <w:rsid w:val="00A075A3"/>
    <w:rsid w:val="00A0763F"/>
    <w:rsid w:val="00A076AF"/>
    <w:rsid w:val="00A07AB9"/>
    <w:rsid w:val="00A07AE9"/>
    <w:rsid w:val="00A07B29"/>
    <w:rsid w:val="00A1024C"/>
    <w:rsid w:val="00A102B1"/>
    <w:rsid w:val="00A1096A"/>
    <w:rsid w:val="00A109A0"/>
    <w:rsid w:val="00A10E5C"/>
    <w:rsid w:val="00A11547"/>
    <w:rsid w:val="00A115E1"/>
    <w:rsid w:val="00A11911"/>
    <w:rsid w:val="00A11A8E"/>
    <w:rsid w:val="00A11DBB"/>
    <w:rsid w:val="00A12169"/>
    <w:rsid w:val="00A122B0"/>
    <w:rsid w:val="00A122BF"/>
    <w:rsid w:val="00A12FAC"/>
    <w:rsid w:val="00A1321B"/>
    <w:rsid w:val="00A133FF"/>
    <w:rsid w:val="00A1374E"/>
    <w:rsid w:val="00A1393D"/>
    <w:rsid w:val="00A13CA8"/>
    <w:rsid w:val="00A13E0A"/>
    <w:rsid w:val="00A13FEF"/>
    <w:rsid w:val="00A14012"/>
    <w:rsid w:val="00A14384"/>
    <w:rsid w:val="00A147EB"/>
    <w:rsid w:val="00A14992"/>
    <w:rsid w:val="00A14D22"/>
    <w:rsid w:val="00A14D61"/>
    <w:rsid w:val="00A14DF6"/>
    <w:rsid w:val="00A1576A"/>
    <w:rsid w:val="00A157AC"/>
    <w:rsid w:val="00A158D2"/>
    <w:rsid w:val="00A1660B"/>
    <w:rsid w:val="00A16640"/>
    <w:rsid w:val="00A16855"/>
    <w:rsid w:val="00A168F1"/>
    <w:rsid w:val="00A169B3"/>
    <w:rsid w:val="00A17464"/>
    <w:rsid w:val="00A1783D"/>
    <w:rsid w:val="00A178DB"/>
    <w:rsid w:val="00A2001F"/>
    <w:rsid w:val="00A20098"/>
    <w:rsid w:val="00A200FD"/>
    <w:rsid w:val="00A206A9"/>
    <w:rsid w:val="00A20828"/>
    <w:rsid w:val="00A20D6C"/>
    <w:rsid w:val="00A21058"/>
    <w:rsid w:val="00A21148"/>
    <w:rsid w:val="00A21583"/>
    <w:rsid w:val="00A219FD"/>
    <w:rsid w:val="00A21D83"/>
    <w:rsid w:val="00A2205A"/>
    <w:rsid w:val="00A2239A"/>
    <w:rsid w:val="00A22F58"/>
    <w:rsid w:val="00A23263"/>
    <w:rsid w:val="00A23358"/>
    <w:rsid w:val="00A2369F"/>
    <w:rsid w:val="00A23A9F"/>
    <w:rsid w:val="00A24335"/>
    <w:rsid w:val="00A24529"/>
    <w:rsid w:val="00A247C5"/>
    <w:rsid w:val="00A24BBA"/>
    <w:rsid w:val="00A24CB8"/>
    <w:rsid w:val="00A24E81"/>
    <w:rsid w:val="00A24F45"/>
    <w:rsid w:val="00A252AE"/>
    <w:rsid w:val="00A253AC"/>
    <w:rsid w:val="00A257D1"/>
    <w:rsid w:val="00A25DEF"/>
    <w:rsid w:val="00A26093"/>
    <w:rsid w:val="00A26170"/>
    <w:rsid w:val="00A26177"/>
    <w:rsid w:val="00A26323"/>
    <w:rsid w:val="00A263EB"/>
    <w:rsid w:val="00A26A18"/>
    <w:rsid w:val="00A26A4C"/>
    <w:rsid w:val="00A2709E"/>
    <w:rsid w:val="00A27142"/>
    <w:rsid w:val="00A2725C"/>
    <w:rsid w:val="00A2748F"/>
    <w:rsid w:val="00A2752C"/>
    <w:rsid w:val="00A27792"/>
    <w:rsid w:val="00A27896"/>
    <w:rsid w:val="00A30290"/>
    <w:rsid w:val="00A3053B"/>
    <w:rsid w:val="00A30613"/>
    <w:rsid w:val="00A30AA2"/>
    <w:rsid w:val="00A31DBF"/>
    <w:rsid w:val="00A31E63"/>
    <w:rsid w:val="00A32465"/>
    <w:rsid w:val="00A32625"/>
    <w:rsid w:val="00A331C8"/>
    <w:rsid w:val="00A3330A"/>
    <w:rsid w:val="00A3374E"/>
    <w:rsid w:val="00A337C0"/>
    <w:rsid w:val="00A33B0C"/>
    <w:rsid w:val="00A33BD1"/>
    <w:rsid w:val="00A33FED"/>
    <w:rsid w:val="00A3414F"/>
    <w:rsid w:val="00A348A3"/>
    <w:rsid w:val="00A3499F"/>
    <w:rsid w:val="00A3558D"/>
    <w:rsid w:val="00A35BDE"/>
    <w:rsid w:val="00A35E05"/>
    <w:rsid w:val="00A35E90"/>
    <w:rsid w:val="00A35F5A"/>
    <w:rsid w:val="00A35FE9"/>
    <w:rsid w:val="00A35FF9"/>
    <w:rsid w:val="00A368C0"/>
    <w:rsid w:val="00A369EF"/>
    <w:rsid w:val="00A37007"/>
    <w:rsid w:val="00A37866"/>
    <w:rsid w:val="00A37999"/>
    <w:rsid w:val="00A379C7"/>
    <w:rsid w:val="00A37C7C"/>
    <w:rsid w:val="00A408C8"/>
    <w:rsid w:val="00A40BAA"/>
    <w:rsid w:val="00A40F85"/>
    <w:rsid w:val="00A40F94"/>
    <w:rsid w:val="00A41924"/>
    <w:rsid w:val="00A41A3C"/>
    <w:rsid w:val="00A423B0"/>
    <w:rsid w:val="00A42667"/>
    <w:rsid w:val="00A42F5B"/>
    <w:rsid w:val="00A431BA"/>
    <w:rsid w:val="00A43499"/>
    <w:rsid w:val="00A43EC7"/>
    <w:rsid w:val="00A44216"/>
    <w:rsid w:val="00A44409"/>
    <w:rsid w:val="00A4457E"/>
    <w:rsid w:val="00A44871"/>
    <w:rsid w:val="00A44E6D"/>
    <w:rsid w:val="00A45015"/>
    <w:rsid w:val="00A4505B"/>
    <w:rsid w:val="00A4537B"/>
    <w:rsid w:val="00A453B0"/>
    <w:rsid w:val="00A454FC"/>
    <w:rsid w:val="00A4565F"/>
    <w:rsid w:val="00A45846"/>
    <w:rsid w:val="00A45EF0"/>
    <w:rsid w:val="00A45F6E"/>
    <w:rsid w:val="00A46195"/>
    <w:rsid w:val="00A46A4C"/>
    <w:rsid w:val="00A46C7E"/>
    <w:rsid w:val="00A46E0B"/>
    <w:rsid w:val="00A4766A"/>
    <w:rsid w:val="00A502BA"/>
    <w:rsid w:val="00A50371"/>
    <w:rsid w:val="00A505C0"/>
    <w:rsid w:val="00A5060F"/>
    <w:rsid w:val="00A50660"/>
    <w:rsid w:val="00A50681"/>
    <w:rsid w:val="00A5082F"/>
    <w:rsid w:val="00A508DC"/>
    <w:rsid w:val="00A510DE"/>
    <w:rsid w:val="00A51B2A"/>
    <w:rsid w:val="00A51B53"/>
    <w:rsid w:val="00A521C1"/>
    <w:rsid w:val="00A522B0"/>
    <w:rsid w:val="00A5235B"/>
    <w:rsid w:val="00A52966"/>
    <w:rsid w:val="00A52B98"/>
    <w:rsid w:val="00A5372B"/>
    <w:rsid w:val="00A545BF"/>
    <w:rsid w:val="00A54B50"/>
    <w:rsid w:val="00A54D6B"/>
    <w:rsid w:val="00A550B8"/>
    <w:rsid w:val="00A55A10"/>
    <w:rsid w:val="00A55DC8"/>
    <w:rsid w:val="00A55ED3"/>
    <w:rsid w:val="00A55F9D"/>
    <w:rsid w:val="00A5632B"/>
    <w:rsid w:val="00A563D3"/>
    <w:rsid w:val="00A56579"/>
    <w:rsid w:val="00A56726"/>
    <w:rsid w:val="00A56765"/>
    <w:rsid w:val="00A56AC5"/>
    <w:rsid w:val="00A574F0"/>
    <w:rsid w:val="00A57755"/>
    <w:rsid w:val="00A57B63"/>
    <w:rsid w:val="00A57BA9"/>
    <w:rsid w:val="00A60132"/>
    <w:rsid w:val="00A60939"/>
    <w:rsid w:val="00A60A0F"/>
    <w:rsid w:val="00A60A69"/>
    <w:rsid w:val="00A617E7"/>
    <w:rsid w:val="00A619F3"/>
    <w:rsid w:val="00A61DC9"/>
    <w:rsid w:val="00A61F1E"/>
    <w:rsid w:val="00A61F43"/>
    <w:rsid w:val="00A62ED1"/>
    <w:rsid w:val="00A62FAE"/>
    <w:rsid w:val="00A633E0"/>
    <w:rsid w:val="00A63601"/>
    <w:rsid w:val="00A63B2D"/>
    <w:rsid w:val="00A63D29"/>
    <w:rsid w:val="00A6404F"/>
    <w:rsid w:val="00A640B5"/>
    <w:rsid w:val="00A64426"/>
    <w:rsid w:val="00A64468"/>
    <w:rsid w:val="00A64728"/>
    <w:rsid w:val="00A64904"/>
    <w:rsid w:val="00A64C1C"/>
    <w:rsid w:val="00A64CBA"/>
    <w:rsid w:val="00A64E4E"/>
    <w:rsid w:val="00A659D8"/>
    <w:rsid w:val="00A65AFA"/>
    <w:rsid w:val="00A65B38"/>
    <w:rsid w:val="00A65E89"/>
    <w:rsid w:val="00A66603"/>
    <w:rsid w:val="00A66D4C"/>
    <w:rsid w:val="00A67379"/>
    <w:rsid w:val="00A67676"/>
    <w:rsid w:val="00A67BCA"/>
    <w:rsid w:val="00A67CCE"/>
    <w:rsid w:val="00A70B78"/>
    <w:rsid w:val="00A70EBC"/>
    <w:rsid w:val="00A70FE3"/>
    <w:rsid w:val="00A710D0"/>
    <w:rsid w:val="00A7118D"/>
    <w:rsid w:val="00A71339"/>
    <w:rsid w:val="00A7135B"/>
    <w:rsid w:val="00A71759"/>
    <w:rsid w:val="00A71A83"/>
    <w:rsid w:val="00A72091"/>
    <w:rsid w:val="00A723BF"/>
    <w:rsid w:val="00A72469"/>
    <w:rsid w:val="00A72829"/>
    <w:rsid w:val="00A72BFA"/>
    <w:rsid w:val="00A72CAF"/>
    <w:rsid w:val="00A730EA"/>
    <w:rsid w:val="00A73139"/>
    <w:rsid w:val="00A7374F"/>
    <w:rsid w:val="00A73894"/>
    <w:rsid w:val="00A73993"/>
    <w:rsid w:val="00A73BB9"/>
    <w:rsid w:val="00A73F82"/>
    <w:rsid w:val="00A742B1"/>
    <w:rsid w:val="00A74CDF"/>
    <w:rsid w:val="00A75408"/>
    <w:rsid w:val="00A75598"/>
    <w:rsid w:val="00A756D0"/>
    <w:rsid w:val="00A75BCB"/>
    <w:rsid w:val="00A75CC3"/>
    <w:rsid w:val="00A75F1D"/>
    <w:rsid w:val="00A75F8C"/>
    <w:rsid w:val="00A761CF"/>
    <w:rsid w:val="00A7631D"/>
    <w:rsid w:val="00A7667E"/>
    <w:rsid w:val="00A76D19"/>
    <w:rsid w:val="00A775E6"/>
    <w:rsid w:val="00A7768F"/>
    <w:rsid w:val="00A7771D"/>
    <w:rsid w:val="00A80BF6"/>
    <w:rsid w:val="00A80E98"/>
    <w:rsid w:val="00A81694"/>
    <w:rsid w:val="00A817CD"/>
    <w:rsid w:val="00A818A0"/>
    <w:rsid w:val="00A81935"/>
    <w:rsid w:val="00A82113"/>
    <w:rsid w:val="00A82421"/>
    <w:rsid w:val="00A825A5"/>
    <w:rsid w:val="00A82899"/>
    <w:rsid w:val="00A82D87"/>
    <w:rsid w:val="00A83251"/>
    <w:rsid w:val="00A83ACB"/>
    <w:rsid w:val="00A844C2"/>
    <w:rsid w:val="00A84BBC"/>
    <w:rsid w:val="00A85698"/>
    <w:rsid w:val="00A859E4"/>
    <w:rsid w:val="00A85BDC"/>
    <w:rsid w:val="00A85C83"/>
    <w:rsid w:val="00A85CBA"/>
    <w:rsid w:val="00A861BB"/>
    <w:rsid w:val="00A8620B"/>
    <w:rsid w:val="00A866EE"/>
    <w:rsid w:val="00A8686B"/>
    <w:rsid w:val="00A875BA"/>
    <w:rsid w:val="00A875BE"/>
    <w:rsid w:val="00A87D9B"/>
    <w:rsid w:val="00A87DB4"/>
    <w:rsid w:val="00A901A1"/>
    <w:rsid w:val="00A9043C"/>
    <w:rsid w:val="00A90BEF"/>
    <w:rsid w:val="00A90D4F"/>
    <w:rsid w:val="00A90DF4"/>
    <w:rsid w:val="00A91492"/>
    <w:rsid w:val="00A9166F"/>
    <w:rsid w:val="00A91DEE"/>
    <w:rsid w:val="00A92531"/>
    <w:rsid w:val="00A92A1A"/>
    <w:rsid w:val="00A937D2"/>
    <w:rsid w:val="00A94191"/>
    <w:rsid w:val="00A9428C"/>
    <w:rsid w:val="00A94A38"/>
    <w:rsid w:val="00A94E56"/>
    <w:rsid w:val="00A956DD"/>
    <w:rsid w:val="00A95A68"/>
    <w:rsid w:val="00A95ACC"/>
    <w:rsid w:val="00A95F24"/>
    <w:rsid w:val="00A96451"/>
    <w:rsid w:val="00A96524"/>
    <w:rsid w:val="00A9665E"/>
    <w:rsid w:val="00A96673"/>
    <w:rsid w:val="00A96DEB"/>
    <w:rsid w:val="00A96E97"/>
    <w:rsid w:val="00A96F5F"/>
    <w:rsid w:val="00A97168"/>
    <w:rsid w:val="00A9755C"/>
    <w:rsid w:val="00A978CC"/>
    <w:rsid w:val="00A97A15"/>
    <w:rsid w:val="00A97A3F"/>
    <w:rsid w:val="00A97BF0"/>
    <w:rsid w:val="00AA00E4"/>
    <w:rsid w:val="00AA0275"/>
    <w:rsid w:val="00AA04F7"/>
    <w:rsid w:val="00AA06BA"/>
    <w:rsid w:val="00AA0CBC"/>
    <w:rsid w:val="00AA0E60"/>
    <w:rsid w:val="00AA0EF1"/>
    <w:rsid w:val="00AA15D3"/>
    <w:rsid w:val="00AA1639"/>
    <w:rsid w:val="00AA165D"/>
    <w:rsid w:val="00AA1F49"/>
    <w:rsid w:val="00AA21D3"/>
    <w:rsid w:val="00AA2482"/>
    <w:rsid w:val="00AA25C1"/>
    <w:rsid w:val="00AA2EEE"/>
    <w:rsid w:val="00AA31A5"/>
    <w:rsid w:val="00AA3BB3"/>
    <w:rsid w:val="00AA42BD"/>
    <w:rsid w:val="00AA4F20"/>
    <w:rsid w:val="00AA617C"/>
    <w:rsid w:val="00AA626C"/>
    <w:rsid w:val="00AA65C9"/>
    <w:rsid w:val="00AA6BD8"/>
    <w:rsid w:val="00AA7B21"/>
    <w:rsid w:val="00AA7ED7"/>
    <w:rsid w:val="00AA7EE4"/>
    <w:rsid w:val="00AB0537"/>
    <w:rsid w:val="00AB06EC"/>
    <w:rsid w:val="00AB0845"/>
    <w:rsid w:val="00AB08D7"/>
    <w:rsid w:val="00AB0984"/>
    <w:rsid w:val="00AB0DC4"/>
    <w:rsid w:val="00AB0EFB"/>
    <w:rsid w:val="00AB28F6"/>
    <w:rsid w:val="00AB2949"/>
    <w:rsid w:val="00AB2B40"/>
    <w:rsid w:val="00AB2B51"/>
    <w:rsid w:val="00AB2C97"/>
    <w:rsid w:val="00AB304A"/>
    <w:rsid w:val="00AB331C"/>
    <w:rsid w:val="00AB34E3"/>
    <w:rsid w:val="00AB3533"/>
    <w:rsid w:val="00AB354B"/>
    <w:rsid w:val="00AB3B1C"/>
    <w:rsid w:val="00AB3B95"/>
    <w:rsid w:val="00AB45BE"/>
    <w:rsid w:val="00AB4670"/>
    <w:rsid w:val="00AB4835"/>
    <w:rsid w:val="00AB4A4E"/>
    <w:rsid w:val="00AB4CB4"/>
    <w:rsid w:val="00AB4DB7"/>
    <w:rsid w:val="00AB4EBF"/>
    <w:rsid w:val="00AB5709"/>
    <w:rsid w:val="00AB57CB"/>
    <w:rsid w:val="00AB57DC"/>
    <w:rsid w:val="00AB592A"/>
    <w:rsid w:val="00AB5C1D"/>
    <w:rsid w:val="00AB5C38"/>
    <w:rsid w:val="00AB5EBC"/>
    <w:rsid w:val="00AB751C"/>
    <w:rsid w:val="00AB7625"/>
    <w:rsid w:val="00AB7910"/>
    <w:rsid w:val="00AB7C8E"/>
    <w:rsid w:val="00AC0214"/>
    <w:rsid w:val="00AC0251"/>
    <w:rsid w:val="00AC0646"/>
    <w:rsid w:val="00AC06D6"/>
    <w:rsid w:val="00AC0996"/>
    <w:rsid w:val="00AC0BA3"/>
    <w:rsid w:val="00AC0E98"/>
    <w:rsid w:val="00AC1341"/>
    <w:rsid w:val="00AC146B"/>
    <w:rsid w:val="00AC1919"/>
    <w:rsid w:val="00AC19A1"/>
    <w:rsid w:val="00AC1B23"/>
    <w:rsid w:val="00AC1FB2"/>
    <w:rsid w:val="00AC24B4"/>
    <w:rsid w:val="00AC2A78"/>
    <w:rsid w:val="00AC2C4C"/>
    <w:rsid w:val="00AC2C5B"/>
    <w:rsid w:val="00AC2D57"/>
    <w:rsid w:val="00AC2DCB"/>
    <w:rsid w:val="00AC3531"/>
    <w:rsid w:val="00AC3665"/>
    <w:rsid w:val="00AC389A"/>
    <w:rsid w:val="00AC38A9"/>
    <w:rsid w:val="00AC3BC2"/>
    <w:rsid w:val="00AC40CC"/>
    <w:rsid w:val="00AC4122"/>
    <w:rsid w:val="00AC4946"/>
    <w:rsid w:val="00AC4C3A"/>
    <w:rsid w:val="00AC4DEF"/>
    <w:rsid w:val="00AC4F21"/>
    <w:rsid w:val="00AC4FD5"/>
    <w:rsid w:val="00AC4FF5"/>
    <w:rsid w:val="00AC547E"/>
    <w:rsid w:val="00AC54F6"/>
    <w:rsid w:val="00AC5642"/>
    <w:rsid w:val="00AC61B7"/>
    <w:rsid w:val="00AC6345"/>
    <w:rsid w:val="00AC656B"/>
    <w:rsid w:val="00AC67DD"/>
    <w:rsid w:val="00AC6F08"/>
    <w:rsid w:val="00AC7039"/>
    <w:rsid w:val="00AC7174"/>
    <w:rsid w:val="00AC7595"/>
    <w:rsid w:val="00AC7801"/>
    <w:rsid w:val="00AC79F8"/>
    <w:rsid w:val="00AC7F37"/>
    <w:rsid w:val="00AD004B"/>
    <w:rsid w:val="00AD049F"/>
    <w:rsid w:val="00AD0C1E"/>
    <w:rsid w:val="00AD0E10"/>
    <w:rsid w:val="00AD12B8"/>
    <w:rsid w:val="00AD2D23"/>
    <w:rsid w:val="00AD2DBB"/>
    <w:rsid w:val="00AD2EFE"/>
    <w:rsid w:val="00AD317F"/>
    <w:rsid w:val="00AD3868"/>
    <w:rsid w:val="00AD4106"/>
    <w:rsid w:val="00AD4620"/>
    <w:rsid w:val="00AD4C1D"/>
    <w:rsid w:val="00AD5BF8"/>
    <w:rsid w:val="00AD5E5E"/>
    <w:rsid w:val="00AD602C"/>
    <w:rsid w:val="00AD6141"/>
    <w:rsid w:val="00AD62A3"/>
    <w:rsid w:val="00AD6432"/>
    <w:rsid w:val="00AD657D"/>
    <w:rsid w:val="00AD660E"/>
    <w:rsid w:val="00AD6D8B"/>
    <w:rsid w:val="00AD6FA9"/>
    <w:rsid w:val="00AD6FC8"/>
    <w:rsid w:val="00AD739E"/>
    <w:rsid w:val="00AD7937"/>
    <w:rsid w:val="00AD7C60"/>
    <w:rsid w:val="00AE013C"/>
    <w:rsid w:val="00AE0375"/>
    <w:rsid w:val="00AE044B"/>
    <w:rsid w:val="00AE061D"/>
    <w:rsid w:val="00AE06C9"/>
    <w:rsid w:val="00AE0777"/>
    <w:rsid w:val="00AE0879"/>
    <w:rsid w:val="00AE0B80"/>
    <w:rsid w:val="00AE137C"/>
    <w:rsid w:val="00AE13AD"/>
    <w:rsid w:val="00AE1601"/>
    <w:rsid w:val="00AE18EF"/>
    <w:rsid w:val="00AE20B3"/>
    <w:rsid w:val="00AE228C"/>
    <w:rsid w:val="00AE2757"/>
    <w:rsid w:val="00AE2DB2"/>
    <w:rsid w:val="00AE31F9"/>
    <w:rsid w:val="00AE3435"/>
    <w:rsid w:val="00AE34E1"/>
    <w:rsid w:val="00AE3C76"/>
    <w:rsid w:val="00AE3D7A"/>
    <w:rsid w:val="00AE4060"/>
    <w:rsid w:val="00AE4B0F"/>
    <w:rsid w:val="00AE4F52"/>
    <w:rsid w:val="00AE5F79"/>
    <w:rsid w:val="00AE6AA2"/>
    <w:rsid w:val="00AE6CA7"/>
    <w:rsid w:val="00AE7293"/>
    <w:rsid w:val="00AE761B"/>
    <w:rsid w:val="00AF0080"/>
    <w:rsid w:val="00AF020A"/>
    <w:rsid w:val="00AF0365"/>
    <w:rsid w:val="00AF0760"/>
    <w:rsid w:val="00AF0B54"/>
    <w:rsid w:val="00AF0D06"/>
    <w:rsid w:val="00AF0F01"/>
    <w:rsid w:val="00AF1227"/>
    <w:rsid w:val="00AF1AF2"/>
    <w:rsid w:val="00AF1E4E"/>
    <w:rsid w:val="00AF22DA"/>
    <w:rsid w:val="00AF306E"/>
    <w:rsid w:val="00AF3538"/>
    <w:rsid w:val="00AF387E"/>
    <w:rsid w:val="00AF39AD"/>
    <w:rsid w:val="00AF3B0A"/>
    <w:rsid w:val="00AF4055"/>
    <w:rsid w:val="00AF40DB"/>
    <w:rsid w:val="00AF4110"/>
    <w:rsid w:val="00AF45F2"/>
    <w:rsid w:val="00AF4672"/>
    <w:rsid w:val="00AF4A64"/>
    <w:rsid w:val="00AF550D"/>
    <w:rsid w:val="00AF5F2C"/>
    <w:rsid w:val="00AF6052"/>
    <w:rsid w:val="00AF614E"/>
    <w:rsid w:val="00AF638E"/>
    <w:rsid w:val="00AF63CB"/>
    <w:rsid w:val="00AF66E5"/>
    <w:rsid w:val="00AF6717"/>
    <w:rsid w:val="00AF715D"/>
    <w:rsid w:val="00AF7FE0"/>
    <w:rsid w:val="00B001A4"/>
    <w:rsid w:val="00B00499"/>
    <w:rsid w:val="00B006BD"/>
    <w:rsid w:val="00B0084A"/>
    <w:rsid w:val="00B01065"/>
    <w:rsid w:val="00B01112"/>
    <w:rsid w:val="00B024DF"/>
    <w:rsid w:val="00B0257E"/>
    <w:rsid w:val="00B02B74"/>
    <w:rsid w:val="00B035BC"/>
    <w:rsid w:val="00B03661"/>
    <w:rsid w:val="00B03856"/>
    <w:rsid w:val="00B042C2"/>
    <w:rsid w:val="00B04665"/>
    <w:rsid w:val="00B04C1F"/>
    <w:rsid w:val="00B04C3B"/>
    <w:rsid w:val="00B04F8B"/>
    <w:rsid w:val="00B057B8"/>
    <w:rsid w:val="00B059B9"/>
    <w:rsid w:val="00B0678A"/>
    <w:rsid w:val="00B06859"/>
    <w:rsid w:val="00B06C77"/>
    <w:rsid w:val="00B0744B"/>
    <w:rsid w:val="00B07605"/>
    <w:rsid w:val="00B07B64"/>
    <w:rsid w:val="00B07BB2"/>
    <w:rsid w:val="00B101F3"/>
    <w:rsid w:val="00B10408"/>
    <w:rsid w:val="00B106E2"/>
    <w:rsid w:val="00B1097C"/>
    <w:rsid w:val="00B10DBF"/>
    <w:rsid w:val="00B10E4A"/>
    <w:rsid w:val="00B10FAB"/>
    <w:rsid w:val="00B110B4"/>
    <w:rsid w:val="00B114BF"/>
    <w:rsid w:val="00B116EF"/>
    <w:rsid w:val="00B11861"/>
    <w:rsid w:val="00B126D6"/>
    <w:rsid w:val="00B128F9"/>
    <w:rsid w:val="00B129C4"/>
    <w:rsid w:val="00B12C78"/>
    <w:rsid w:val="00B12EE3"/>
    <w:rsid w:val="00B13500"/>
    <w:rsid w:val="00B1373F"/>
    <w:rsid w:val="00B13830"/>
    <w:rsid w:val="00B13C92"/>
    <w:rsid w:val="00B13D65"/>
    <w:rsid w:val="00B14227"/>
    <w:rsid w:val="00B14651"/>
    <w:rsid w:val="00B14738"/>
    <w:rsid w:val="00B14AF7"/>
    <w:rsid w:val="00B14F4E"/>
    <w:rsid w:val="00B15478"/>
    <w:rsid w:val="00B15797"/>
    <w:rsid w:val="00B15A5B"/>
    <w:rsid w:val="00B15B47"/>
    <w:rsid w:val="00B15FC9"/>
    <w:rsid w:val="00B16166"/>
    <w:rsid w:val="00B166EB"/>
    <w:rsid w:val="00B168D1"/>
    <w:rsid w:val="00B16D40"/>
    <w:rsid w:val="00B16DA1"/>
    <w:rsid w:val="00B173D9"/>
    <w:rsid w:val="00B1741E"/>
    <w:rsid w:val="00B17F04"/>
    <w:rsid w:val="00B2013D"/>
    <w:rsid w:val="00B20236"/>
    <w:rsid w:val="00B202A7"/>
    <w:rsid w:val="00B20535"/>
    <w:rsid w:val="00B21592"/>
    <w:rsid w:val="00B21CDE"/>
    <w:rsid w:val="00B22497"/>
    <w:rsid w:val="00B22786"/>
    <w:rsid w:val="00B228A5"/>
    <w:rsid w:val="00B22968"/>
    <w:rsid w:val="00B22B05"/>
    <w:rsid w:val="00B238C1"/>
    <w:rsid w:val="00B23E9D"/>
    <w:rsid w:val="00B24054"/>
    <w:rsid w:val="00B240CB"/>
    <w:rsid w:val="00B24453"/>
    <w:rsid w:val="00B244B9"/>
    <w:rsid w:val="00B24B62"/>
    <w:rsid w:val="00B24BE1"/>
    <w:rsid w:val="00B2536C"/>
    <w:rsid w:val="00B25A88"/>
    <w:rsid w:val="00B25D3C"/>
    <w:rsid w:val="00B2602A"/>
    <w:rsid w:val="00B260A5"/>
    <w:rsid w:val="00B2621D"/>
    <w:rsid w:val="00B26A85"/>
    <w:rsid w:val="00B2708A"/>
    <w:rsid w:val="00B27DBC"/>
    <w:rsid w:val="00B27DD2"/>
    <w:rsid w:val="00B317D1"/>
    <w:rsid w:val="00B31CAC"/>
    <w:rsid w:val="00B31E02"/>
    <w:rsid w:val="00B3330F"/>
    <w:rsid w:val="00B334A7"/>
    <w:rsid w:val="00B3359A"/>
    <w:rsid w:val="00B3372F"/>
    <w:rsid w:val="00B337F4"/>
    <w:rsid w:val="00B33B4C"/>
    <w:rsid w:val="00B3441E"/>
    <w:rsid w:val="00B34F9E"/>
    <w:rsid w:val="00B35048"/>
    <w:rsid w:val="00B35250"/>
    <w:rsid w:val="00B3582D"/>
    <w:rsid w:val="00B35926"/>
    <w:rsid w:val="00B359DB"/>
    <w:rsid w:val="00B35ABB"/>
    <w:rsid w:val="00B35BA6"/>
    <w:rsid w:val="00B361E0"/>
    <w:rsid w:val="00B3675A"/>
    <w:rsid w:val="00B36927"/>
    <w:rsid w:val="00B373FA"/>
    <w:rsid w:val="00B37963"/>
    <w:rsid w:val="00B37C4D"/>
    <w:rsid w:val="00B37D48"/>
    <w:rsid w:val="00B37E43"/>
    <w:rsid w:val="00B40734"/>
    <w:rsid w:val="00B40D66"/>
    <w:rsid w:val="00B410BA"/>
    <w:rsid w:val="00B41511"/>
    <w:rsid w:val="00B41998"/>
    <w:rsid w:val="00B41C57"/>
    <w:rsid w:val="00B41DA2"/>
    <w:rsid w:val="00B41F4B"/>
    <w:rsid w:val="00B42035"/>
    <w:rsid w:val="00B4240B"/>
    <w:rsid w:val="00B42525"/>
    <w:rsid w:val="00B42526"/>
    <w:rsid w:val="00B42C18"/>
    <w:rsid w:val="00B42CB3"/>
    <w:rsid w:val="00B42D7C"/>
    <w:rsid w:val="00B42FED"/>
    <w:rsid w:val="00B4322C"/>
    <w:rsid w:val="00B4324C"/>
    <w:rsid w:val="00B43E18"/>
    <w:rsid w:val="00B43E91"/>
    <w:rsid w:val="00B444A9"/>
    <w:rsid w:val="00B44AE5"/>
    <w:rsid w:val="00B44D61"/>
    <w:rsid w:val="00B454F3"/>
    <w:rsid w:val="00B45A17"/>
    <w:rsid w:val="00B45E84"/>
    <w:rsid w:val="00B4650D"/>
    <w:rsid w:val="00B46571"/>
    <w:rsid w:val="00B4657C"/>
    <w:rsid w:val="00B4667D"/>
    <w:rsid w:val="00B466D1"/>
    <w:rsid w:val="00B4683D"/>
    <w:rsid w:val="00B46907"/>
    <w:rsid w:val="00B46B38"/>
    <w:rsid w:val="00B46C0D"/>
    <w:rsid w:val="00B46CC8"/>
    <w:rsid w:val="00B46D06"/>
    <w:rsid w:val="00B47381"/>
    <w:rsid w:val="00B47724"/>
    <w:rsid w:val="00B47839"/>
    <w:rsid w:val="00B47991"/>
    <w:rsid w:val="00B47E30"/>
    <w:rsid w:val="00B502F9"/>
    <w:rsid w:val="00B506D1"/>
    <w:rsid w:val="00B5074D"/>
    <w:rsid w:val="00B50CE6"/>
    <w:rsid w:val="00B510EC"/>
    <w:rsid w:val="00B5160D"/>
    <w:rsid w:val="00B51656"/>
    <w:rsid w:val="00B51745"/>
    <w:rsid w:val="00B51A4C"/>
    <w:rsid w:val="00B51B65"/>
    <w:rsid w:val="00B51E74"/>
    <w:rsid w:val="00B522E0"/>
    <w:rsid w:val="00B52359"/>
    <w:rsid w:val="00B5250D"/>
    <w:rsid w:val="00B5279D"/>
    <w:rsid w:val="00B52894"/>
    <w:rsid w:val="00B53506"/>
    <w:rsid w:val="00B5350C"/>
    <w:rsid w:val="00B536C4"/>
    <w:rsid w:val="00B53715"/>
    <w:rsid w:val="00B53D25"/>
    <w:rsid w:val="00B53DA1"/>
    <w:rsid w:val="00B53F14"/>
    <w:rsid w:val="00B551C4"/>
    <w:rsid w:val="00B553E8"/>
    <w:rsid w:val="00B554A0"/>
    <w:rsid w:val="00B55A94"/>
    <w:rsid w:val="00B55CD5"/>
    <w:rsid w:val="00B561B3"/>
    <w:rsid w:val="00B57550"/>
    <w:rsid w:val="00B57908"/>
    <w:rsid w:val="00B57CBD"/>
    <w:rsid w:val="00B57DC8"/>
    <w:rsid w:val="00B60447"/>
    <w:rsid w:val="00B60819"/>
    <w:rsid w:val="00B60887"/>
    <w:rsid w:val="00B609E0"/>
    <w:rsid w:val="00B61427"/>
    <w:rsid w:val="00B6270E"/>
    <w:rsid w:val="00B629E7"/>
    <w:rsid w:val="00B62ABF"/>
    <w:rsid w:val="00B62D32"/>
    <w:rsid w:val="00B63594"/>
    <w:rsid w:val="00B6383A"/>
    <w:rsid w:val="00B638C5"/>
    <w:rsid w:val="00B63E7F"/>
    <w:rsid w:val="00B640A0"/>
    <w:rsid w:val="00B6489E"/>
    <w:rsid w:val="00B6494F"/>
    <w:rsid w:val="00B64A1C"/>
    <w:rsid w:val="00B64E53"/>
    <w:rsid w:val="00B64EF0"/>
    <w:rsid w:val="00B658E6"/>
    <w:rsid w:val="00B6599C"/>
    <w:rsid w:val="00B665EE"/>
    <w:rsid w:val="00B666AB"/>
    <w:rsid w:val="00B66B42"/>
    <w:rsid w:val="00B66E89"/>
    <w:rsid w:val="00B6715C"/>
    <w:rsid w:val="00B677F3"/>
    <w:rsid w:val="00B67C95"/>
    <w:rsid w:val="00B7040F"/>
    <w:rsid w:val="00B709AD"/>
    <w:rsid w:val="00B70ED5"/>
    <w:rsid w:val="00B712A1"/>
    <w:rsid w:val="00B7139C"/>
    <w:rsid w:val="00B7171E"/>
    <w:rsid w:val="00B719F8"/>
    <w:rsid w:val="00B720D1"/>
    <w:rsid w:val="00B72173"/>
    <w:rsid w:val="00B7220E"/>
    <w:rsid w:val="00B72C03"/>
    <w:rsid w:val="00B72C33"/>
    <w:rsid w:val="00B72EA2"/>
    <w:rsid w:val="00B72EE3"/>
    <w:rsid w:val="00B72FCB"/>
    <w:rsid w:val="00B73A04"/>
    <w:rsid w:val="00B73C01"/>
    <w:rsid w:val="00B73C54"/>
    <w:rsid w:val="00B74070"/>
    <w:rsid w:val="00B74B48"/>
    <w:rsid w:val="00B74C67"/>
    <w:rsid w:val="00B74C8F"/>
    <w:rsid w:val="00B74DBE"/>
    <w:rsid w:val="00B754A2"/>
    <w:rsid w:val="00B7598D"/>
    <w:rsid w:val="00B75DB6"/>
    <w:rsid w:val="00B75E41"/>
    <w:rsid w:val="00B7631F"/>
    <w:rsid w:val="00B766D8"/>
    <w:rsid w:val="00B76A9D"/>
    <w:rsid w:val="00B77544"/>
    <w:rsid w:val="00B7772A"/>
    <w:rsid w:val="00B77C61"/>
    <w:rsid w:val="00B77DC4"/>
    <w:rsid w:val="00B77F5B"/>
    <w:rsid w:val="00B801B0"/>
    <w:rsid w:val="00B807D8"/>
    <w:rsid w:val="00B8092F"/>
    <w:rsid w:val="00B80F88"/>
    <w:rsid w:val="00B81261"/>
    <w:rsid w:val="00B81987"/>
    <w:rsid w:val="00B81BE4"/>
    <w:rsid w:val="00B81E3B"/>
    <w:rsid w:val="00B81FD8"/>
    <w:rsid w:val="00B8235A"/>
    <w:rsid w:val="00B826F5"/>
    <w:rsid w:val="00B8291A"/>
    <w:rsid w:val="00B82DCD"/>
    <w:rsid w:val="00B83136"/>
    <w:rsid w:val="00B8325C"/>
    <w:rsid w:val="00B83CA3"/>
    <w:rsid w:val="00B83F54"/>
    <w:rsid w:val="00B840C8"/>
    <w:rsid w:val="00B8442C"/>
    <w:rsid w:val="00B855D9"/>
    <w:rsid w:val="00B856BA"/>
    <w:rsid w:val="00B85859"/>
    <w:rsid w:val="00B8600A"/>
    <w:rsid w:val="00B86261"/>
    <w:rsid w:val="00B8639B"/>
    <w:rsid w:val="00B86764"/>
    <w:rsid w:val="00B87561"/>
    <w:rsid w:val="00B87596"/>
    <w:rsid w:val="00B87721"/>
    <w:rsid w:val="00B8772F"/>
    <w:rsid w:val="00B87BA2"/>
    <w:rsid w:val="00B90433"/>
    <w:rsid w:val="00B9061C"/>
    <w:rsid w:val="00B908AA"/>
    <w:rsid w:val="00B90EAE"/>
    <w:rsid w:val="00B90F57"/>
    <w:rsid w:val="00B91894"/>
    <w:rsid w:val="00B91C4A"/>
    <w:rsid w:val="00B91F3B"/>
    <w:rsid w:val="00B9237D"/>
    <w:rsid w:val="00B92E95"/>
    <w:rsid w:val="00B937B5"/>
    <w:rsid w:val="00B938A0"/>
    <w:rsid w:val="00B938BA"/>
    <w:rsid w:val="00B94311"/>
    <w:rsid w:val="00B944CC"/>
    <w:rsid w:val="00B94553"/>
    <w:rsid w:val="00B94B2D"/>
    <w:rsid w:val="00B94D07"/>
    <w:rsid w:val="00B94DDD"/>
    <w:rsid w:val="00B94F7C"/>
    <w:rsid w:val="00B95063"/>
    <w:rsid w:val="00B955DE"/>
    <w:rsid w:val="00B957B1"/>
    <w:rsid w:val="00B95942"/>
    <w:rsid w:val="00B95C5E"/>
    <w:rsid w:val="00B96463"/>
    <w:rsid w:val="00B96A98"/>
    <w:rsid w:val="00B96E45"/>
    <w:rsid w:val="00B96F11"/>
    <w:rsid w:val="00BA09EA"/>
    <w:rsid w:val="00BA0A64"/>
    <w:rsid w:val="00BA0AA5"/>
    <w:rsid w:val="00BA0AE1"/>
    <w:rsid w:val="00BA0DBB"/>
    <w:rsid w:val="00BA1359"/>
    <w:rsid w:val="00BA1B39"/>
    <w:rsid w:val="00BA1DD6"/>
    <w:rsid w:val="00BA2416"/>
    <w:rsid w:val="00BA30C4"/>
    <w:rsid w:val="00BA326A"/>
    <w:rsid w:val="00BA32CB"/>
    <w:rsid w:val="00BA3D4F"/>
    <w:rsid w:val="00BA3E27"/>
    <w:rsid w:val="00BA3FD8"/>
    <w:rsid w:val="00BA41DC"/>
    <w:rsid w:val="00BA4402"/>
    <w:rsid w:val="00BA44A8"/>
    <w:rsid w:val="00BA4DB5"/>
    <w:rsid w:val="00BA56C3"/>
    <w:rsid w:val="00BA65A9"/>
    <w:rsid w:val="00BA6967"/>
    <w:rsid w:val="00BA6983"/>
    <w:rsid w:val="00BA6B44"/>
    <w:rsid w:val="00BA7251"/>
    <w:rsid w:val="00BA7320"/>
    <w:rsid w:val="00BA7712"/>
    <w:rsid w:val="00BA7C0C"/>
    <w:rsid w:val="00BB0503"/>
    <w:rsid w:val="00BB1143"/>
    <w:rsid w:val="00BB115A"/>
    <w:rsid w:val="00BB1A5C"/>
    <w:rsid w:val="00BB1CCC"/>
    <w:rsid w:val="00BB21AA"/>
    <w:rsid w:val="00BB24DB"/>
    <w:rsid w:val="00BB24FE"/>
    <w:rsid w:val="00BB2777"/>
    <w:rsid w:val="00BB2A1B"/>
    <w:rsid w:val="00BB2D69"/>
    <w:rsid w:val="00BB3F8B"/>
    <w:rsid w:val="00BB429F"/>
    <w:rsid w:val="00BB45B7"/>
    <w:rsid w:val="00BB51AE"/>
    <w:rsid w:val="00BB5BE7"/>
    <w:rsid w:val="00BB6025"/>
    <w:rsid w:val="00BB624A"/>
    <w:rsid w:val="00BB63B6"/>
    <w:rsid w:val="00BB6451"/>
    <w:rsid w:val="00BB64E2"/>
    <w:rsid w:val="00BB653D"/>
    <w:rsid w:val="00BB6A29"/>
    <w:rsid w:val="00BB6E1A"/>
    <w:rsid w:val="00BB731C"/>
    <w:rsid w:val="00BB7470"/>
    <w:rsid w:val="00BB7671"/>
    <w:rsid w:val="00BC0016"/>
    <w:rsid w:val="00BC0399"/>
    <w:rsid w:val="00BC0D47"/>
    <w:rsid w:val="00BC0F34"/>
    <w:rsid w:val="00BC1223"/>
    <w:rsid w:val="00BC1278"/>
    <w:rsid w:val="00BC153B"/>
    <w:rsid w:val="00BC156A"/>
    <w:rsid w:val="00BC1791"/>
    <w:rsid w:val="00BC1DCC"/>
    <w:rsid w:val="00BC2582"/>
    <w:rsid w:val="00BC28E9"/>
    <w:rsid w:val="00BC2C71"/>
    <w:rsid w:val="00BC2FBD"/>
    <w:rsid w:val="00BC348F"/>
    <w:rsid w:val="00BC36CF"/>
    <w:rsid w:val="00BC39F8"/>
    <w:rsid w:val="00BC3BA2"/>
    <w:rsid w:val="00BC3CC1"/>
    <w:rsid w:val="00BC47F7"/>
    <w:rsid w:val="00BC4808"/>
    <w:rsid w:val="00BC490A"/>
    <w:rsid w:val="00BC4A08"/>
    <w:rsid w:val="00BC4CE5"/>
    <w:rsid w:val="00BC4CF2"/>
    <w:rsid w:val="00BC4D7B"/>
    <w:rsid w:val="00BC607E"/>
    <w:rsid w:val="00BC637E"/>
    <w:rsid w:val="00BC6401"/>
    <w:rsid w:val="00BC651F"/>
    <w:rsid w:val="00BC6901"/>
    <w:rsid w:val="00BC6A9D"/>
    <w:rsid w:val="00BC6F0A"/>
    <w:rsid w:val="00BC6FD6"/>
    <w:rsid w:val="00BC71B8"/>
    <w:rsid w:val="00BC76B8"/>
    <w:rsid w:val="00BD0A4C"/>
    <w:rsid w:val="00BD0D7D"/>
    <w:rsid w:val="00BD0D96"/>
    <w:rsid w:val="00BD12C4"/>
    <w:rsid w:val="00BD1929"/>
    <w:rsid w:val="00BD2465"/>
    <w:rsid w:val="00BD27E4"/>
    <w:rsid w:val="00BD2DF0"/>
    <w:rsid w:val="00BD31F3"/>
    <w:rsid w:val="00BD3ABB"/>
    <w:rsid w:val="00BD3EAE"/>
    <w:rsid w:val="00BD44C2"/>
    <w:rsid w:val="00BD490F"/>
    <w:rsid w:val="00BD4AA1"/>
    <w:rsid w:val="00BD55C2"/>
    <w:rsid w:val="00BD5716"/>
    <w:rsid w:val="00BD59A6"/>
    <w:rsid w:val="00BD59AA"/>
    <w:rsid w:val="00BD5C11"/>
    <w:rsid w:val="00BD5C90"/>
    <w:rsid w:val="00BD5CD1"/>
    <w:rsid w:val="00BD60F0"/>
    <w:rsid w:val="00BD677F"/>
    <w:rsid w:val="00BD6DA7"/>
    <w:rsid w:val="00BD6EF0"/>
    <w:rsid w:val="00BD6F0B"/>
    <w:rsid w:val="00BD7081"/>
    <w:rsid w:val="00BD718A"/>
    <w:rsid w:val="00BD728B"/>
    <w:rsid w:val="00BD761F"/>
    <w:rsid w:val="00BD76EA"/>
    <w:rsid w:val="00BD78A0"/>
    <w:rsid w:val="00BD790D"/>
    <w:rsid w:val="00BE0557"/>
    <w:rsid w:val="00BE06B6"/>
    <w:rsid w:val="00BE06E8"/>
    <w:rsid w:val="00BE0BE3"/>
    <w:rsid w:val="00BE12F5"/>
    <w:rsid w:val="00BE14F6"/>
    <w:rsid w:val="00BE15A9"/>
    <w:rsid w:val="00BE1669"/>
    <w:rsid w:val="00BE18D4"/>
    <w:rsid w:val="00BE1BA1"/>
    <w:rsid w:val="00BE25C0"/>
    <w:rsid w:val="00BE27F2"/>
    <w:rsid w:val="00BE290C"/>
    <w:rsid w:val="00BE2963"/>
    <w:rsid w:val="00BE319B"/>
    <w:rsid w:val="00BE3619"/>
    <w:rsid w:val="00BE3B0F"/>
    <w:rsid w:val="00BE4068"/>
    <w:rsid w:val="00BE4A38"/>
    <w:rsid w:val="00BE4C8B"/>
    <w:rsid w:val="00BE5A1D"/>
    <w:rsid w:val="00BE5D38"/>
    <w:rsid w:val="00BE5DDA"/>
    <w:rsid w:val="00BE621A"/>
    <w:rsid w:val="00BE670A"/>
    <w:rsid w:val="00BE6B8C"/>
    <w:rsid w:val="00BE6BCE"/>
    <w:rsid w:val="00BE6D6C"/>
    <w:rsid w:val="00BE6DC1"/>
    <w:rsid w:val="00BE72D2"/>
    <w:rsid w:val="00BE72D4"/>
    <w:rsid w:val="00BE7433"/>
    <w:rsid w:val="00BE7618"/>
    <w:rsid w:val="00BE79AB"/>
    <w:rsid w:val="00BE7AFB"/>
    <w:rsid w:val="00BF06B6"/>
    <w:rsid w:val="00BF0A8D"/>
    <w:rsid w:val="00BF0C1D"/>
    <w:rsid w:val="00BF0E00"/>
    <w:rsid w:val="00BF133B"/>
    <w:rsid w:val="00BF1415"/>
    <w:rsid w:val="00BF1937"/>
    <w:rsid w:val="00BF1A02"/>
    <w:rsid w:val="00BF1A9C"/>
    <w:rsid w:val="00BF1AB6"/>
    <w:rsid w:val="00BF1C3C"/>
    <w:rsid w:val="00BF1FA4"/>
    <w:rsid w:val="00BF2309"/>
    <w:rsid w:val="00BF2597"/>
    <w:rsid w:val="00BF337F"/>
    <w:rsid w:val="00BF380D"/>
    <w:rsid w:val="00BF3867"/>
    <w:rsid w:val="00BF40A6"/>
    <w:rsid w:val="00BF4122"/>
    <w:rsid w:val="00BF41E2"/>
    <w:rsid w:val="00BF4910"/>
    <w:rsid w:val="00BF4E4A"/>
    <w:rsid w:val="00BF5399"/>
    <w:rsid w:val="00BF57D7"/>
    <w:rsid w:val="00BF5CE5"/>
    <w:rsid w:val="00BF5E79"/>
    <w:rsid w:val="00BF648C"/>
    <w:rsid w:val="00BF7B16"/>
    <w:rsid w:val="00BF7BBC"/>
    <w:rsid w:val="00BF7C02"/>
    <w:rsid w:val="00BF7C26"/>
    <w:rsid w:val="00C00877"/>
    <w:rsid w:val="00C00BF6"/>
    <w:rsid w:val="00C011A5"/>
    <w:rsid w:val="00C011B1"/>
    <w:rsid w:val="00C011E4"/>
    <w:rsid w:val="00C011EC"/>
    <w:rsid w:val="00C01C82"/>
    <w:rsid w:val="00C01CC5"/>
    <w:rsid w:val="00C01CF9"/>
    <w:rsid w:val="00C01DEF"/>
    <w:rsid w:val="00C01E8D"/>
    <w:rsid w:val="00C020AC"/>
    <w:rsid w:val="00C02954"/>
    <w:rsid w:val="00C02AEA"/>
    <w:rsid w:val="00C03037"/>
    <w:rsid w:val="00C031A5"/>
    <w:rsid w:val="00C03262"/>
    <w:rsid w:val="00C034BB"/>
    <w:rsid w:val="00C034F9"/>
    <w:rsid w:val="00C035CB"/>
    <w:rsid w:val="00C0368E"/>
    <w:rsid w:val="00C03788"/>
    <w:rsid w:val="00C03AC7"/>
    <w:rsid w:val="00C03D25"/>
    <w:rsid w:val="00C040CF"/>
    <w:rsid w:val="00C0422F"/>
    <w:rsid w:val="00C04588"/>
    <w:rsid w:val="00C046E0"/>
    <w:rsid w:val="00C046EE"/>
    <w:rsid w:val="00C0475C"/>
    <w:rsid w:val="00C04CF0"/>
    <w:rsid w:val="00C04D2A"/>
    <w:rsid w:val="00C0514C"/>
    <w:rsid w:val="00C05298"/>
    <w:rsid w:val="00C054D6"/>
    <w:rsid w:val="00C055A5"/>
    <w:rsid w:val="00C05695"/>
    <w:rsid w:val="00C05D41"/>
    <w:rsid w:val="00C05FAF"/>
    <w:rsid w:val="00C061A5"/>
    <w:rsid w:val="00C064D4"/>
    <w:rsid w:val="00C065F5"/>
    <w:rsid w:val="00C068D6"/>
    <w:rsid w:val="00C07572"/>
    <w:rsid w:val="00C0786D"/>
    <w:rsid w:val="00C07FC7"/>
    <w:rsid w:val="00C1049E"/>
    <w:rsid w:val="00C10FEB"/>
    <w:rsid w:val="00C11239"/>
    <w:rsid w:val="00C1176E"/>
    <w:rsid w:val="00C119CC"/>
    <w:rsid w:val="00C11CE5"/>
    <w:rsid w:val="00C11E5F"/>
    <w:rsid w:val="00C127B2"/>
    <w:rsid w:val="00C12E50"/>
    <w:rsid w:val="00C133B1"/>
    <w:rsid w:val="00C133C1"/>
    <w:rsid w:val="00C1381E"/>
    <w:rsid w:val="00C13858"/>
    <w:rsid w:val="00C1394A"/>
    <w:rsid w:val="00C13DB9"/>
    <w:rsid w:val="00C13F70"/>
    <w:rsid w:val="00C14423"/>
    <w:rsid w:val="00C14E00"/>
    <w:rsid w:val="00C15627"/>
    <w:rsid w:val="00C15696"/>
    <w:rsid w:val="00C1588C"/>
    <w:rsid w:val="00C15932"/>
    <w:rsid w:val="00C15A5A"/>
    <w:rsid w:val="00C15F19"/>
    <w:rsid w:val="00C1624A"/>
    <w:rsid w:val="00C16A8B"/>
    <w:rsid w:val="00C17519"/>
    <w:rsid w:val="00C1790D"/>
    <w:rsid w:val="00C17919"/>
    <w:rsid w:val="00C17C6C"/>
    <w:rsid w:val="00C17F4D"/>
    <w:rsid w:val="00C20121"/>
    <w:rsid w:val="00C202FA"/>
    <w:rsid w:val="00C208FE"/>
    <w:rsid w:val="00C20BFC"/>
    <w:rsid w:val="00C20FA0"/>
    <w:rsid w:val="00C2260B"/>
    <w:rsid w:val="00C22F97"/>
    <w:rsid w:val="00C22FA7"/>
    <w:rsid w:val="00C23113"/>
    <w:rsid w:val="00C23158"/>
    <w:rsid w:val="00C23666"/>
    <w:rsid w:val="00C24067"/>
    <w:rsid w:val="00C2406D"/>
    <w:rsid w:val="00C241B3"/>
    <w:rsid w:val="00C24E68"/>
    <w:rsid w:val="00C255D8"/>
    <w:rsid w:val="00C256D8"/>
    <w:rsid w:val="00C2572B"/>
    <w:rsid w:val="00C259B2"/>
    <w:rsid w:val="00C25AC1"/>
    <w:rsid w:val="00C2616C"/>
    <w:rsid w:val="00C2656D"/>
    <w:rsid w:val="00C26E51"/>
    <w:rsid w:val="00C2720F"/>
    <w:rsid w:val="00C272A8"/>
    <w:rsid w:val="00C273F9"/>
    <w:rsid w:val="00C27DB6"/>
    <w:rsid w:val="00C30029"/>
    <w:rsid w:val="00C3042A"/>
    <w:rsid w:val="00C304FE"/>
    <w:rsid w:val="00C3065B"/>
    <w:rsid w:val="00C30662"/>
    <w:rsid w:val="00C306EF"/>
    <w:rsid w:val="00C30DA4"/>
    <w:rsid w:val="00C3123C"/>
    <w:rsid w:val="00C314C5"/>
    <w:rsid w:val="00C315D6"/>
    <w:rsid w:val="00C316B1"/>
    <w:rsid w:val="00C31F2E"/>
    <w:rsid w:val="00C31FCB"/>
    <w:rsid w:val="00C3217F"/>
    <w:rsid w:val="00C3234E"/>
    <w:rsid w:val="00C32473"/>
    <w:rsid w:val="00C3249F"/>
    <w:rsid w:val="00C32771"/>
    <w:rsid w:val="00C32981"/>
    <w:rsid w:val="00C32D0D"/>
    <w:rsid w:val="00C32E2F"/>
    <w:rsid w:val="00C32E35"/>
    <w:rsid w:val="00C336A0"/>
    <w:rsid w:val="00C337F5"/>
    <w:rsid w:val="00C33A95"/>
    <w:rsid w:val="00C33F24"/>
    <w:rsid w:val="00C33FD7"/>
    <w:rsid w:val="00C33FF1"/>
    <w:rsid w:val="00C34B4F"/>
    <w:rsid w:val="00C34DA4"/>
    <w:rsid w:val="00C34DBA"/>
    <w:rsid w:val="00C34F52"/>
    <w:rsid w:val="00C3515C"/>
    <w:rsid w:val="00C353C6"/>
    <w:rsid w:val="00C35B4B"/>
    <w:rsid w:val="00C35C36"/>
    <w:rsid w:val="00C35F16"/>
    <w:rsid w:val="00C36277"/>
    <w:rsid w:val="00C36907"/>
    <w:rsid w:val="00C37450"/>
    <w:rsid w:val="00C374B9"/>
    <w:rsid w:val="00C37827"/>
    <w:rsid w:val="00C37894"/>
    <w:rsid w:val="00C41021"/>
    <w:rsid w:val="00C41315"/>
    <w:rsid w:val="00C4144B"/>
    <w:rsid w:val="00C4144E"/>
    <w:rsid w:val="00C415D1"/>
    <w:rsid w:val="00C41937"/>
    <w:rsid w:val="00C41DC4"/>
    <w:rsid w:val="00C41F79"/>
    <w:rsid w:val="00C420D9"/>
    <w:rsid w:val="00C42249"/>
    <w:rsid w:val="00C42525"/>
    <w:rsid w:val="00C430F1"/>
    <w:rsid w:val="00C43331"/>
    <w:rsid w:val="00C4391C"/>
    <w:rsid w:val="00C43B8C"/>
    <w:rsid w:val="00C4407C"/>
    <w:rsid w:val="00C4439D"/>
    <w:rsid w:val="00C443CA"/>
    <w:rsid w:val="00C44643"/>
    <w:rsid w:val="00C44B84"/>
    <w:rsid w:val="00C44BBE"/>
    <w:rsid w:val="00C44C55"/>
    <w:rsid w:val="00C450D9"/>
    <w:rsid w:val="00C45917"/>
    <w:rsid w:val="00C45C22"/>
    <w:rsid w:val="00C45D1F"/>
    <w:rsid w:val="00C46448"/>
    <w:rsid w:val="00C4652B"/>
    <w:rsid w:val="00C46605"/>
    <w:rsid w:val="00C46662"/>
    <w:rsid w:val="00C466BC"/>
    <w:rsid w:val="00C467ED"/>
    <w:rsid w:val="00C46866"/>
    <w:rsid w:val="00C469F0"/>
    <w:rsid w:val="00C46E53"/>
    <w:rsid w:val="00C46F20"/>
    <w:rsid w:val="00C4705F"/>
    <w:rsid w:val="00C47207"/>
    <w:rsid w:val="00C473F7"/>
    <w:rsid w:val="00C476CC"/>
    <w:rsid w:val="00C47864"/>
    <w:rsid w:val="00C50190"/>
    <w:rsid w:val="00C501B3"/>
    <w:rsid w:val="00C502F9"/>
    <w:rsid w:val="00C50307"/>
    <w:rsid w:val="00C5044E"/>
    <w:rsid w:val="00C50646"/>
    <w:rsid w:val="00C508ED"/>
    <w:rsid w:val="00C50ACB"/>
    <w:rsid w:val="00C50C36"/>
    <w:rsid w:val="00C50C44"/>
    <w:rsid w:val="00C511E1"/>
    <w:rsid w:val="00C5176A"/>
    <w:rsid w:val="00C5188E"/>
    <w:rsid w:val="00C5191D"/>
    <w:rsid w:val="00C51F95"/>
    <w:rsid w:val="00C5208F"/>
    <w:rsid w:val="00C5247E"/>
    <w:rsid w:val="00C52F7E"/>
    <w:rsid w:val="00C537A0"/>
    <w:rsid w:val="00C53913"/>
    <w:rsid w:val="00C53BB9"/>
    <w:rsid w:val="00C53EA4"/>
    <w:rsid w:val="00C547C3"/>
    <w:rsid w:val="00C550F7"/>
    <w:rsid w:val="00C553D5"/>
    <w:rsid w:val="00C55BC6"/>
    <w:rsid w:val="00C55FCD"/>
    <w:rsid w:val="00C5625F"/>
    <w:rsid w:val="00C5636F"/>
    <w:rsid w:val="00C568D5"/>
    <w:rsid w:val="00C57248"/>
    <w:rsid w:val="00C57595"/>
    <w:rsid w:val="00C57852"/>
    <w:rsid w:val="00C6021D"/>
    <w:rsid w:val="00C603C5"/>
    <w:rsid w:val="00C60B1F"/>
    <w:rsid w:val="00C60D71"/>
    <w:rsid w:val="00C60D8F"/>
    <w:rsid w:val="00C60E2A"/>
    <w:rsid w:val="00C60E31"/>
    <w:rsid w:val="00C610AB"/>
    <w:rsid w:val="00C6145A"/>
    <w:rsid w:val="00C61CDA"/>
    <w:rsid w:val="00C61F78"/>
    <w:rsid w:val="00C621D4"/>
    <w:rsid w:val="00C621F6"/>
    <w:rsid w:val="00C623C1"/>
    <w:rsid w:val="00C6279E"/>
    <w:rsid w:val="00C6294E"/>
    <w:rsid w:val="00C62EA3"/>
    <w:rsid w:val="00C635E0"/>
    <w:rsid w:val="00C63701"/>
    <w:rsid w:val="00C63A69"/>
    <w:rsid w:val="00C63A94"/>
    <w:rsid w:val="00C63B07"/>
    <w:rsid w:val="00C63E3E"/>
    <w:rsid w:val="00C647C5"/>
    <w:rsid w:val="00C64989"/>
    <w:rsid w:val="00C659F9"/>
    <w:rsid w:val="00C65D21"/>
    <w:rsid w:val="00C65FDD"/>
    <w:rsid w:val="00C662DB"/>
    <w:rsid w:val="00C66666"/>
    <w:rsid w:val="00C66669"/>
    <w:rsid w:val="00C66DE2"/>
    <w:rsid w:val="00C66E87"/>
    <w:rsid w:val="00C6730B"/>
    <w:rsid w:val="00C67DE5"/>
    <w:rsid w:val="00C70743"/>
    <w:rsid w:val="00C70884"/>
    <w:rsid w:val="00C708E3"/>
    <w:rsid w:val="00C709B9"/>
    <w:rsid w:val="00C70DF7"/>
    <w:rsid w:val="00C70EF3"/>
    <w:rsid w:val="00C711AB"/>
    <w:rsid w:val="00C71469"/>
    <w:rsid w:val="00C717E7"/>
    <w:rsid w:val="00C7199F"/>
    <w:rsid w:val="00C71CA4"/>
    <w:rsid w:val="00C725D8"/>
    <w:rsid w:val="00C72A4D"/>
    <w:rsid w:val="00C7306C"/>
    <w:rsid w:val="00C733ED"/>
    <w:rsid w:val="00C735CC"/>
    <w:rsid w:val="00C7390B"/>
    <w:rsid w:val="00C739A6"/>
    <w:rsid w:val="00C739FC"/>
    <w:rsid w:val="00C739FF"/>
    <w:rsid w:val="00C73AF8"/>
    <w:rsid w:val="00C74A34"/>
    <w:rsid w:val="00C7537A"/>
    <w:rsid w:val="00C75665"/>
    <w:rsid w:val="00C75E90"/>
    <w:rsid w:val="00C761BD"/>
    <w:rsid w:val="00C761BE"/>
    <w:rsid w:val="00C762F4"/>
    <w:rsid w:val="00C763E3"/>
    <w:rsid w:val="00C7657E"/>
    <w:rsid w:val="00C766EE"/>
    <w:rsid w:val="00C769DC"/>
    <w:rsid w:val="00C76FF2"/>
    <w:rsid w:val="00C7702F"/>
    <w:rsid w:val="00C77054"/>
    <w:rsid w:val="00C77222"/>
    <w:rsid w:val="00C77EF6"/>
    <w:rsid w:val="00C80278"/>
    <w:rsid w:val="00C808EC"/>
    <w:rsid w:val="00C80A5B"/>
    <w:rsid w:val="00C80A9E"/>
    <w:rsid w:val="00C80D20"/>
    <w:rsid w:val="00C8151C"/>
    <w:rsid w:val="00C8155D"/>
    <w:rsid w:val="00C817C3"/>
    <w:rsid w:val="00C81848"/>
    <w:rsid w:val="00C81E75"/>
    <w:rsid w:val="00C81EB1"/>
    <w:rsid w:val="00C82012"/>
    <w:rsid w:val="00C82387"/>
    <w:rsid w:val="00C82548"/>
    <w:rsid w:val="00C828BA"/>
    <w:rsid w:val="00C82990"/>
    <w:rsid w:val="00C82D95"/>
    <w:rsid w:val="00C82F34"/>
    <w:rsid w:val="00C835CD"/>
    <w:rsid w:val="00C83787"/>
    <w:rsid w:val="00C8394C"/>
    <w:rsid w:val="00C83C6D"/>
    <w:rsid w:val="00C84372"/>
    <w:rsid w:val="00C84400"/>
    <w:rsid w:val="00C8443D"/>
    <w:rsid w:val="00C845E7"/>
    <w:rsid w:val="00C84627"/>
    <w:rsid w:val="00C84CDA"/>
    <w:rsid w:val="00C85352"/>
    <w:rsid w:val="00C85938"/>
    <w:rsid w:val="00C860B6"/>
    <w:rsid w:val="00C86767"/>
    <w:rsid w:val="00C86B6D"/>
    <w:rsid w:val="00C86EC5"/>
    <w:rsid w:val="00C87072"/>
    <w:rsid w:val="00C870C0"/>
    <w:rsid w:val="00C87383"/>
    <w:rsid w:val="00C873C1"/>
    <w:rsid w:val="00C87E79"/>
    <w:rsid w:val="00C87FCB"/>
    <w:rsid w:val="00C90123"/>
    <w:rsid w:val="00C9022E"/>
    <w:rsid w:val="00C90244"/>
    <w:rsid w:val="00C902C5"/>
    <w:rsid w:val="00C902E5"/>
    <w:rsid w:val="00C903EE"/>
    <w:rsid w:val="00C905F6"/>
    <w:rsid w:val="00C9097A"/>
    <w:rsid w:val="00C9104E"/>
    <w:rsid w:val="00C91554"/>
    <w:rsid w:val="00C91770"/>
    <w:rsid w:val="00C91884"/>
    <w:rsid w:val="00C91F7F"/>
    <w:rsid w:val="00C9218E"/>
    <w:rsid w:val="00C922BB"/>
    <w:rsid w:val="00C927F3"/>
    <w:rsid w:val="00C9308C"/>
    <w:rsid w:val="00C93FDC"/>
    <w:rsid w:val="00C946AC"/>
    <w:rsid w:val="00C95099"/>
    <w:rsid w:val="00C951CA"/>
    <w:rsid w:val="00C95518"/>
    <w:rsid w:val="00C955D2"/>
    <w:rsid w:val="00C95866"/>
    <w:rsid w:val="00C96179"/>
    <w:rsid w:val="00C96C52"/>
    <w:rsid w:val="00C96D33"/>
    <w:rsid w:val="00C96DA8"/>
    <w:rsid w:val="00C96FB2"/>
    <w:rsid w:val="00C97137"/>
    <w:rsid w:val="00C972E0"/>
    <w:rsid w:val="00C972FE"/>
    <w:rsid w:val="00C976C5"/>
    <w:rsid w:val="00C97A1B"/>
    <w:rsid w:val="00CA02CE"/>
    <w:rsid w:val="00CA02CF"/>
    <w:rsid w:val="00CA03EC"/>
    <w:rsid w:val="00CA0984"/>
    <w:rsid w:val="00CA0AC9"/>
    <w:rsid w:val="00CA128F"/>
    <w:rsid w:val="00CA1C89"/>
    <w:rsid w:val="00CA1E33"/>
    <w:rsid w:val="00CA1ED3"/>
    <w:rsid w:val="00CA2AFD"/>
    <w:rsid w:val="00CA2C66"/>
    <w:rsid w:val="00CA2E00"/>
    <w:rsid w:val="00CA3558"/>
    <w:rsid w:val="00CA3950"/>
    <w:rsid w:val="00CA3A6C"/>
    <w:rsid w:val="00CA3B6B"/>
    <w:rsid w:val="00CA3CB8"/>
    <w:rsid w:val="00CA3CFB"/>
    <w:rsid w:val="00CA42E1"/>
    <w:rsid w:val="00CA4BB7"/>
    <w:rsid w:val="00CA4D0F"/>
    <w:rsid w:val="00CA5EBA"/>
    <w:rsid w:val="00CA5F70"/>
    <w:rsid w:val="00CA6488"/>
    <w:rsid w:val="00CA64CB"/>
    <w:rsid w:val="00CA6799"/>
    <w:rsid w:val="00CA6987"/>
    <w:rsid w:val="00CA69C5"/>
    <w:rsid w:val="00CA6A66"/>
    <w:rsid w:val="00CA6B8F"/>
    <w:rsid w:val="00CA6BD2"/>
    <w:rsid w:val="00CA6C49"/>
    <w:rsid w:val="00CA6CC0"/>
    <w:rsid w:val="00CA7CB0"/>
    <w:rsid w:val="00CA7E94"/>
    <w:rsid w:val="00CA7EAF"/>
    <w:rsid w:val="00CB01D3"/>
    <w:rsid w:val="00CB0465"/>
    <w:rsid w:val="00CB04F1"/>
    <w:rsid w:val="00CB0918"/>
    <w:rsid w:val="00CB0E4C"/>
    <w:rsid w:val="00CB1154"/>
    <w:rsid w:val="00CB18E2"/>
    <w:rsid w:val="00CB2789"/>
    <w:rsid w:val="00CB2827"/>
    <w:rsid w:val="00CB2A8C"/>
    <w:rsid w:val="00CB2C72"/>
    <w:rsid w:val="00CB2EA9"/>
    <w:rsid w:val="00CB2FD6"/>
    <w:rsid w:val="00CB3124"/>
    <w:rsid w:val="00CB32C7"/>
    <w:rsid w:val="00CB3DB0"/>
    <w:rsid w:val="00CB3F6E"/>
    <w:rsid w:val="00CB4309"/>
    <w:rsid w:val="00CB4950"/>
    <w:rsid w:val="00CB4A0E"/>
    <w:rsid w:val="00CB4C8C"/>
    <w:rsid w:val="00CB4FA4"/>
    <w:rsid w:val="00CB55D5"/>
    <w:rsid w:val="00CB5BC1"/>
    <w:rsid w:val="00CB5DEA"/>
    <w:rsid w:val="00CB6269"/>
    <w:rsid w:val="00CB62F1"/>
    <w:rsid w:val="00CB6344"/>
    <w:rsid w:val="00CB66DE"/>
    <w:rsid w:val="00CB67C5"/>
    <w:rsid w:val="00CB6DA0"/>
    <w:rsid w:val="00CB6FC5"/>
    <w:rsid w:val="00CB7B12"/>
    <w:rsid w:val="00CB7C0A"/>
    <w:rsid w:val="00CB7CB1"/>
    <w:rsid w:val="00CC0827"/>
    <w:rsid w:val="00CC0AB9"/>
    <w:rsid w:val="00CC0CA3"/>
    <w:rsid w:val="00CC112F"/>
    <w:rsid w:val="00CC1466"/>
    <w:rsid w:val="00CC15E9"/>
    <w:rsid w:val="00CC19B8"/>
    <w:rsid w:val="00CC1B9B"/>
    <w:rsid w:val="00CC22BF"/>
    <w:rsid w:val="00CC2BB1"/>
    <w:rsid w:val="00CC2DE3"/>
    <w:rsid w:val="00CC3403"/>
    <w:rsid w:val="00CC34BB"/>
    <w:rsid w:val="00CC3E5D"/>
    <w:rsid w:val="00CC4261"/>
    <w:rsid w:val="00CC44A5"/>
    <w:rsid w:val="00CC50DB"/>
    <w:rsid w:val="00CC53D9"/>
    <w:rsid w:val="00CC74F6"/>
    <w:rsid w:val="00CC7980"/>
    <w:rsid w:val="00CD003F"/>
    <w:rsid w:val="00CD021E"/>
    <w:rsid w:val="00CD03EC"/>
    <w:rsid w:val="00CD072C"/>
    <w:rsid w:val="00CD087F"/>
    <w:rsid w:val="00CD0892"/>
    <w:rsid w:val="00CD0DE6"/>
    <w:rsid w:val="00CD14F9"/>
    <w:rsid w:val="00CD1C33"/>
    <w:rsid w:val="00CD27BA"/>
    <w:rsid w:val="00CD2944"/>
    <w:rsid w:val="00CD2B5B"/>
    <w:rsid w:val="00CD2DA6"/>
    <w:rsid w:val="00CD2F65"/>
    <w:rsid w:val="00CD2FF2"/>
    <w:rsid w:val="00CD311C"/>
    <w:rsid w:val="00CD32F4"/>
    <w:rsid w:val="00CD3362"/>
    <w:rsid w:val="00CD33AD"/>
    <w:rsid w:val="00CD3806"/>
    <w:rsid w:val="00CD408D"/>
    <w:rsid w:val="00CD4120"/>
    <w:rsid w:val="00CD412E"/>
    <w:rsid w:val="00CD442C"/>
    <w:rsid w:val="00CD48EC"/>
    <w:rsid w:val="00CD4AA5"/>
    <w:rsid w:val="00CD5201"/>
    <w:rsid w:val="00CD5351"/>
    <w:rsid w:val="00CD5537"/>
    <w:rsid w:val="00CD5682"/>
    <w:rsid w:val="00CD66B3"/>
    <w:rsid w:val="00CD6825"/>
    <w:rsid w:val="00CD6DFF"/>
    <w:rsid w:val="00CD6FAE"/>
    <w:rsid w:val="00CE0076"/>
    <w:rsid w:val="00CE00B5"/>
    <w:rsid w:val="00CE00B7"/>
    <w:rsid w:val="00CE01A8"/>
    <w:rsid w:val="00CE024F"/>
    <w:rsid w:val="00CE06C4"/>
    <w:rsid w:val="00CE0752"/>
    <w:rsid w:val="00CE0962"/>
    <w:rsid w:val="00CE0CA4"/>
    <w:rsid w:val="00CE16BE"/>
    <w:rsid w:val="00CE1774"/>
    <w:rsid w:val="00CE1957"/>
    <w:rsid w:val="00CE1977"/>
    <w:rsid w:val="00CE202D"/>
    <w:rsid w:val="00CE230F"/>
    <w:rsid w:val="00CE2B54"/>
    <w:rsid w:val="00CE2C1E"/>
    <w:rsid w:val="00CE3531"/>
    <w:rsid w:val="00CE3D80"/>
    <w:rsid w:val="00CE3F0B"/>
    <w:rsid w:val="00CE4C99"/>
    <w:rsid w:val="00CE4DCA"/>
    <w:rsid w:val="00CE4DEC"/>
    <w:rsid w:val="00CE5093"/>
    <w:rsid w:val="00CE55D9"/>
    <w:rsid w:val="00CE57A1"/>
    <w:rsid w:val="00CE6002"/>
    <w:rsid w:val="00CE60CA"/>
    <w:rsid w:val="00CE613A"/>
    <w:rsid w:val="00CE6CB6"/>
    <w:rsid w:val="00CE6FBA"/>
    <w:rsid w:val="00CE7321"/>
    <w:rsid w:val="00CE741B"/>
    <w:rsid w:val="00CE7733"/>
    <w:rsid w:val="00CE78C1"/>
    <w:rsid w:val="00CE78D7"/>
    <w:rsid w:val="00CE7CF2"/>
    <w:rsid w:val="00CF0112"/>
    <w:rsid w:val="00CF02FE"/>
    <w:rsid w:val="00CF0788"/>
    <w:rsid w:val="00CF0A9D"/>
    <w:rsid w:val="00CF0D15"/>
    <w:rsid w:val="00CF0D7F"/>
    <w:rsid w:val="00CF0EA2"/>
    <w:rsid w:val="00CF0ED8"/>
    <w:rsid w:val="00CF0F4D"/>
    <w:rsid w:val="00CF11B0"/>
    <w:rsid w:val="00CF134F"/>
    <w:rsid w:val="00CF13CC"/>
    <w:rsid w:val="00CF1788"/>
    <w:rsid w:val="00CF17A6"/>
    <w:rsid w:val="00CF18BA"/>
    <w:rsid w:val="00CF1E64"/>
    <w:rsid w:val="00CF224B"/>
    <w:rsid w:val="00CF2503"/>
    <w:rsid w:val="00CF2889"/>
    <w:rsid w:val="00CF2A7D"/>
    <w:rsid w:val="00CF2C08"/>
    <w:rsid w:val="00CF2C65"/>
    <w:rsid w:val="00CF2CA9"/>
    <w:rsid w:val="00CF2E0D"/>
    <w:rsid w:val="00CF324E"/>
    <w:rsid w:val="00CF3934"/>
    <w:rsid w:val="00CF3986"/>
    <w:rsid w:val="00CF39E8"/>
    <w:rsid w:val="00CF3A14"/>
    <w:rsid w:val="00CF42AF"/>
    <w:rsid w:val="00CF43BA"/>
    <w:rsid w:val="00CF44F4"/>
    <w:rsid w:val="00CF450C"/>
    <w:rsid w:val="00CF472B"/>
    <w:rsid w:val="00CF51DE"/>
    <w:rsid w:val="00CF56B7"/>
    <w:rsid w:val="00CF56D5"/>
    <w:rsid w:val="00CF581C"/>
    <w:rsid w:val="00CF5F3A"/>
    <w:rsid w:val="00CF6318"/>
    <w:rsid w:val="00CF6E1B"/>
    <w:rsid w:val="00CF6FF1"/>
    <w:rsid w:val="00CF702F"/>
    <w:rsid w:val="00CF7075"/>
    <w:rsid w:val="00CF724E"/>
    <w:rsid w:val="00CF75A4"/>
    <w:rsid w:val="00CF773E"/>
    <w:rsid w:val="00CF7757"/>
    <w:rsid w:val="00CF7859"/>
    <w:rsid w:val="00CF7C54"/>
    <w:rsid w:val="00CF7D1F"/>
    <w:rsid w:val="00D000F1"/>
    <w:rsid w:val="00D00297"/>
    <w:rsid w:val="00D0081E"/>
    <w:rsid w:val="00D00C46"/>
    <w:rsid w:val="00D010A1"/>
    <w:rsid w:val="00D013D0"/>
    <w:rsid w:val="00D0148E"/>
    <w:rsid w:val="00D01491"/>
    <w:rsid w:val="00D014BC"/>
    <w:rsid w:val="00D0181A"/>
    <w:rsid w:val="00D01FC6"/>
    <w:rsid w:val="00D02280"/>
    <w:rsid w:val="00D0248A"/>
    <w:rsid w:val="00D025B4"/>
    <w:rsid w:val="00D02B3C"/>
    <w:rsid w:val="00D038AC"/>
    <w:rsid w:val="00D03A90"/>
    <w:rsid w:val="00D03E66"/>
    <w:rsid w:val="00D0403D"/>
    <w:rsid w:val="00D04E3E"/>
    <w:rsid w:val="00D05196"/>
    <w:rsid w:val="00D052D5"/>
    <w:rsid w:val="00D05624"/>
    <w:rsid w:val="00D05E6C"/>
    <w:rsid w:val="00D062D0"/>
    <w:rsid w:val="00D06301"/>
    <w:rsid w:val="00D06335"/>
    <w:rsid w:val="00D06A58"/>
    <w:rsid w:val="00D07354"/>
    <w:rsid w:val="00D076B1"/>
    <w:rsid w:val="00D078CA"/>
    <w:rsid w:val="00D07B7A"/>
    <w:rsid w:val="00D07DF8"/>
    <w:rsid w:val="00D07EE1"/>
    <w:rsid w:val="00D07F92"/>
    <w:rsid w:val="00D10645"/>
    <w:rsid w:val="00D10E41"/>
    <w:rsid w:val="00D111FB"/>
    <w:rsid w:val="00D115F2"/>
    <w:rsid w:val="00D11B16"/>
    <w:rsid w:val="00D12872"/>
    <w:rsid w:val="00D12FF9"/>
    <w:rsid w:val="00D132B2"/>
    <w:rsid w:val="00D136E5"/>
    <w:rsid w:val="00D13A0B"/>
    <w:rsid w:val="00D13D58"/>
    <w:rsid w:val="00D14922"/>
    <w:rsid w:val="00D14D14"/>
    <w:rsid w:val="00D14EB4"/>
    <w:rsid w:val="00D150AE"/>
    <w:rsid w:val="00D1540B"/>
    <w:rsid w:val="00D156F3"/>
    <w:rsid w:val="00D15796"/>
    <w:rsid w:val="00D159CF"/>
    <w:rsid w:val="00D15C52"/>
    <w:rsid w:val="00D16648"/>
    <w:rsid w:val="00D16B48"/>
    <w:rsid w:val="00D16BB4"/>
    <w:rsid w:val="00D16CE7"/>
    <w:rsid w:val="00D170D2"/>
    <w:rsid w:val="00D17228"/>
    <w:rsid w:val="00D1733C"/>
    <w:rsid w:val="00D1753D"/>
    <w:rsid w:val="00D17E7C"/>
    <w:rsid w:val="00D203D0"/>
    <w:rsid w:val="00D20966"/>
    <w:rsid w:val="00D20CDE"/>
    <w:rsid w:val="00D20DB8"/>
    <w:rsid w:val="00D21302"/>
    <w:rsid w:val="00D2167E"/>
    <w:rsid w:val="00D21C13"/>
    <w:rsid w:val="00D229CF"/>
    <w:rsid w:val="00D22BE6"/>
    <w:rsid w:val="00D22D56"/>
    <w:rsid w:val="00D23356"/>
    <w:rsid w:val="00D234C6"/>
    <w:rsid w:val="00D236FD"/>
    <w:rsid w:val="00D23AF3"/>
    <w:rsid w:val="00D23C83"/>
    <w:rsid w:val="00D23E16"/>
    <w:rsid w:val="00D23E40"/>
    <w:rsid w:val="00D2402E"/>
    <w:rsid w:val="00D242D2"/>
    <w:rsid w:val="00D24C6C"/>
    <w:rsid w:val="00D24D8E"/>
    <w:rsid w:val="00D24FD9"/>
    <w:rsid w:val="00D25395"/>
    <w:rsid w:val="00D25B96"/>
    <w:rsid w:val="00D260F4"/>
    <w:rsid w:val="00D26EAF"/>
    <w:rsid w:val="00D27694"/>
    <w:rsid w:val="00D27ADE"/>
    <w:rsid w:val="00D27F3B"/>
    <w:rsid w:val="00D30031"/>
    <w:rsid w:val="00D30799"/>
    <w:rsid w:val="00D3124C"/>
    <w:rsid w:val="00D31967"/>
    <w:rsid w:val="00D31DE7"/>
    <w:rsid w:val="00D31DFF"/>
    <w:rsid w:val="00D32557"/>
    <w:rsid w:val="00D32F47"/>
    <w:rsid w:val="00D330A5"/>
    <w:rsid w:val="00D33121"/>
    <w:rsid w:val="00D33576"/>
    <w:rsid w:val="00D337C4"/>
    <w:rsid w:val="00D33A99"/>
    <w:rsid w:val="00D33BCB"/>
    <w:rsid w:val="00D33CE4"/>
    <w:rsid w:val="00D3479A"/>
    <w:rsid w:val="00D34A0E"/>
    <w:rsid w:val="00D34BBF"/>
    <w:rsid w:val="00D34E03"/>
    <w:rsid w:val="00D34E47"/>
    <w:rsid w:val="00D358F0"/>
    <w:rsid w:val="00D35CBE"/>
    <w:rsid w:val="00D368DE"/>
    <w:rsid w:val="00D36CFF"/>
    <w:rsid w:val="00D375EB"/>
    <w:rsid w:val="00D377B1"/>
    <w:rsid w:val="00D400A1"/>
    <w:rsid w:val="00D400C3"/>
    <w:rsid w:val="00D4051E"/>
    <w:rsid w:val="00D40ABC"/>
    <w:rsid w:val="00D40AF0"/>
    <w:rsid w:val="00D410F2"/>
    <w:rsid w:val="00D4169C"/>
    <w:rsid w:val="00D425AC"/>
    <w:rsid w:val="00D42871"/>
    <w:rsid w:val="00D42880"/>
    <w:rsid w:val="00D42F41"/>
    <w:rsid w:val="00D4302F"/>
    <w:rsid w:val="00D430C5"/>
    <w:rsid w:val="00D43176"/>
    <w:rsid w:val="00D4363E"/>
    <w:rsid w:val="00D43ABD"/>
    <w:rsid w:val="00D43D09"/>
    <w:rsid w:val="00D448EA"/>
    <w:rsid w:val="00D44CFD"/>
    <w:rsid w:val="00D44EC1"/>
    <w:rsid w:val="00D45D49"/>
    <w:rsid w:val="00D45EF7"/>
    <w:rsid w:val="00D45FB6"/>
    <w:rsid w:val="00D46304"/>
    <w:rsid w:val="00D46D2E"/>
    <w:rsid w:val="00D46FDC"/>
    <w:rsid w:val="00D47044"/>
    <w:rsid w:val="00D47EE2"/>
    <w:rsid w:val="00D50110"/>
    <w:rsid w:val="00D5046F"/>
    <w:rsid w:val="00D5078E"/>
    <w:rsid w:val="00D50CCB"/>
    <w:rsid w:val="00D511E6"/>
    <w:rsid w:val="00D513BC"/>
    <w:rsid w:val="00D5160C"/>
    <w:rsid w:val="00D516B9"/>
    <w:rsid w:val="00D521C5"/>
    <w:rsid w:val="00D522A3"/>
    <w:rsid w:val="00D5264F"/>
    <w:rsid w:val="00D526CA"/>
    <w:rsid w:val="00D528B8"/>
    <w:rsid w:val="00D52BCB"/>
    <w:rsid w:val="00D535C5"/>
    <w:rsid w:val="00D535F7"/>
    <w:rsid w:val="00D536C0"/>
    <w:rsid w:val="00D5400D"/>
    <w:rsid w:val="00D549A2"/>
    <w:rsid w:val="00D55016"/>
    <w:rsid w:val="00D55737"/>
    <w:rsid w:val="00D558B1"/>
    <w:rsid w:val="00D55A1B"/>
    <w:rsid w:val="00D55F0A"/>
    <w:rsid w:val="00D56055"/>
    <w:rsid w:val="00D56177"/>
    <w:rsid w:val="00D563D5"/>
    <w:rsid w:val="00D5673E"/>
    <w:rsid w:val="00D56B32"/>
    <w:rsid w:val="00D5745C"/>
    <w:rsid w:val="00D57466"/>
    <w:rsid w:val="00D576FB"/>
    <w:rsid w:val="00D578EC"/>
    <w:rsid w:val="00D60052"/>
    <w:rsid w:val="00D60261"/>
    <w:rsid w:val="00D6038E"/>
    <w:rsid w:val="00D605D4"/>
    <w:rsid w:val="00D60DA1"/>
    <w:rsid w:val="00D610C1"/>
    <w:rsid w:val="00D6149D"/>
    <w:rsid w:val="00D61D28"/>
    <w:rsid w:val="00D620C4"/>
    <w:rsid w:val="00D622BD"/>
    <w:rsid w:val="00D625E7"/>
    <w:rsid w:val="00D627F7"/>
    <w:rsid w:val="00D62B05"/>
    <w:rsid w:val="00D62FA1"/>
    <w:rsid w:val="00D6304D"/>
    <w:rsid w:val="00D63380"/>
    <w:rsid w:val="00D633AF"/>
    <w:rsid w:val="00D6360C"/>
    <w:rsid w:val="00D638FC"/>
    <w:rsid w:val="00D63978"/>
    <w:rsid w:val="00D63CA0"/>
    <w:rsid w:val="00D63CE4"/>
    <w:rsid w:val="00D63F75"/>
    <w:rsid w:val="00D640E6"/>
    <w:rsid w:val="00D64961"/>
    <w:rsid w:val="00D64D63"/>
    <w:rsid w:val="00D6510E"/>
    <w:rsid w:val="00D65371"/>
    <w:rsid w:val="00D6586C"/>
    <w:rsid w:val="00D6598B"/>
    <w:rsid w:val="00D659A4"/>
    <w:rsid w:val="00D66145"/>
    <w:rsid w:val="00D66A8A"/>
    <w:rsid w:val="00D66B13"/>
    <w:rsid w:val="00D66C1C"/>
    <w:rsid w:val="00D66F0E"/>
    <w:rsid w:val="00D67889"/>
    <w:rsid w:val="00D701B9"/>
    <w:rsid w:val="00D70333"/>
    <w:rsid w:val="00D70460"/>
    <w:rsid w:val="00D7104B"/>
    <w:rsid w:val="00D71280"/>
    <w:rsid w:val="00D71617"/>
    <w:rsid w:val="00D71EB0"/>
    <w:rsid w:val="00D722CF"/>
    <w:rsid w:val="00D72B52"/>
    <w:rsid w:val="00D72F11"/>
    <w:rsid w:val="00D7318B"/>
    <w:rsid w:val="00D73210"/>
    <w:rsid w:val="00D732C3"/>
    <w:rsid w:val="00D737DE"/>
    <w:rsid w:val="00D748E9"/>
    <w:rsid w:val="00D74BF2"/>
    <w:rsid w:val="00D75030"/>
    <w:rsid w:val="00D750A5"/>
    <w:rsid w:val="00D7511C"/>
    <w:rsid w:val="00D755E7"/>
    <w:rsid w:val="00D7587E"/>
    <w:rsid w:val="00D75D40"/>
    <w:rsid w:val="00D760C5"/>
    <w:rsid w:val="00D7695A"/>
    <w:rsid w:val="00D77649"/>
    <w:rsid w:val="00D7788C"/>
    <w:rsid w:val="00D779F9"/>
    <w:rsid w:val="00D77AF0"/>
    <w:rsid w:val="00D77DFF"/>
    <w:rsid w:val="00D80053"/>
    <w:rsid w:val="00D80337"/>
    <w:rsid w:val="00D80462"/>
    <w:rsid w:val="00D80670"/>
    <w:rsid w:val="00D807B7"/>
    <w:rsid w:val="00D8080B"/>
    <w:rsid w:val="00D80A4F"/>
    <w:rsid w:val="00D80BB3"/>
    <w:rsid w:val="00D80DD3"/>
    <w:rsid w:val="00D80E33"/>
    <w:rsid w:val="00D81386"/>
    <w:rsid w:val="00D81EC5"/>
    <w:rsid w:val="00D81F1F"/>
    <w:rsid w:val="00D8212C"/>
    <w:rsid w:val="00D824D5"/>
    <w:rsid w:val="00D827E2"/>
    <w:rsid w:val="00D82AB8"/>
    <w:rsid w:val="00D830A0"/>
    <w:rsid w:val="00D83912"/>
    <w:rsid w:val="00D84009"/>
    <w:rsid w:val="00D840BB"/>
    <w:rsid w:val="00D845A3"/>
    <w:rsid w:val="00D847F5"/>
    <w:rsid w:val="00D849DB"/>
    <w:rsid w:val="00D84B46"/>
    <w:rsid w:val="00D85210"/>
    <w:rsid w:val="00D86791"/>
    <w:rsid w:val="00D86A15"/>
    <w:rsid w:val="00D86B32"/>
    <w:rsid w:val="00D86CDD"/>
    <w:rsid w:val="00D86D62"/>
    <w:rsid w:val="00D86D91"/>
    <w:rsid w:val="00D873CC"/>
    <w:rsid w:val="00D8757F"/>
    <w:rsid w:val="00D876DD"/>
    <w:rsid w:val="00D87AA3"/>
    <w:rsid w:val="00D87ADC"/>
    <w:rsid w:val="00D87BEC"/>
    <w:rsid w:val="00D87E58"/>
    <w:rsid w:val="00D9006C"/>
    <w:rsid w:val="00D9024E"/>
    <w:rsid w:val="00D903F4"/>
    <w:rsid w:val="00D90D80"/>
    <w:rsid w:val="00D910D6"/>
    <w:rsid w:val="00D91386"/>
    <w:rsid w:val="00D922E7"/>
    <w:rsid w:val="00D9255F"/>
    <w:rsid w:val="00D92609"/>
    <w:rsid w:val="00D9266C"/>
    <w:rsid w:val="00D92E4A"/>
    <w:rsid w:val="00D93267"/>
    <w:rsid w:val="00D94257"/>
    <w:rsid w:val="00D94DF7"/>
    <w:rsid w:val="00D9560C"/>
    <w:rsid w:val="00D95A82"/>
    <w:rsid w:val="00D9625F"/>
    <w:rsid w:val="00D963B5"/>
    <w:rsid w:val="00D96488"/>
    <w:rsid w:val="00D967C8"/>
    <w:rsid w:val="00D968CA"/>
    <w:rsid w:val="00D96B03"/>
    <w:rsid w:val="00D96D60"/>
    <w:rsid w:val="00D96DAA"/>
    <w:rsid w:val="00D9756E"/>
    <w:rsid w:val="00D976C2"/>
    <w:rsid w:val="00D97A49"/>
    <w:rsid w:val="00D97CDE"/>
    <w:rsid w:val="00D97DAB"/>
    <w:rsid w:val="00D97ED6"/>
    <w:rsid w:val="00DA0163"/>
    <w:rsid w:val="00DA0296"/>
    <w:rsid w:val="00DA0762"/>
    <w:rsid w:val="00DA098A"/>
    <w:rsid w:val="00DA0C94"/>
    <w:rsid w:val="00DA0F0A"/>
    <w:rsid w:val="00DA1332"/>
    <w:rsid w:val="00DA13A0"/>
    <w:rsid w:val="00DA15D4"/>
    <w:rsid w:val="00DA17D0"/>
    <w:rsid w:val="00DA1984"/>
    <w:rsid w:val="00DA1C9F"/>
    <w:rsid w:val="00DA1D64"/>
    <w:rsid w:val="00DA1DFB"/>
    <w:rsid w:val="00DA2028"/>
    <w:rsid w:val="00DA2185"/>
    <w:rsid w:val="00DA2297"/>
    <w:rsid w:val="00DA231C"/>
    <w:rsid w:val="00DA235A"/>
    <w:rsid w:val="00DA2395"/>
    <w:rsid w:val="00DA2920"/>
    <w:rsid w:val="00DA2973"/>
    <w:rsid w:val="00DA30B7"/>
    <w:rsid w:val="00DA3370"/>
    <w:rsid w:val="00DA37FE"/>
    <w:rsid w:val="00DA395C"/>
    <w:rsid w:val="00DA3A22"/>
    <w:rsid w:val="00DA3AF4"/>
    <w:rsid w:val="00DA3FEC"/>
    <w:rsid w:val="00DA422C"/>
    <w:rsid w:val="00DA46B2"/>
    <w:rsid w:val="00DA4706"/>
    <w:rsid w:val="00DA4A0E"/>
    <w:rsid w:val="00DA4DD5"/>
    <w:rsid w:val="00DA5B86"/>
    <w:rsid w:val="00DA5EBB"/>
    <w:rsid w:val="00DA6372"/>
    <w:rsid w:val="00DA63D2"/>
    <w:rsid w:val="00DA65B4"/>
    <w:rsid w:val="00DA6D29"/>
    <w:rsid w:val="00DA7003"/>
    <w:rsid w:val="00DA71CF"/>
    <w:rsid w:val="00DA7390"/>
    <w:rsid w:val="00DA7974"/>
    <w:rsid w:val="00DA79C0"/>
    <w:rsid w:val="00DA7F78"/>
    <w:rsid w:val="00DA7FBB"/>
    <w:rsid w:val="00DA7FEA"/>
    <w:rsid w:val="00DB013B"/>
    <w:rsid w:val="00DB039E"/>
    <w:rsid w:val="00DB03D5"/>
    <w:rsid w:val="00DB0904"/>
    <w:rsid w:val="00DB1851"/>
    <w:rsid w:val="00DB1C06"/>
    <w:rsid w:val="00DB1CD2"/>
    <w:rsid w:val="00DB1D28"/>
    <w:rsid w:val="00DB1FD6"/>
    <w:rsid w:val="00DB2990"/>
    <w:rsid w:val="00DB311E"/>
    <w:rsid w:val="00DB331B"/>
    <w:rsid w:val="00DB33FD"/>
    <w:rsid w:val="00DB3427"/>
    <w:rsid w:val="00DB36C3"/>
    <w:rsid w:val="00DB3C34"/>
    <w:rsid w:val="00DB3D43"/>
    <w:rsid w:val="00DB3FA3"/>
    <w:rsid w:val="00DB41C2"/>
    <w:rsid w:val="00DB45C2"/>
    <w:rsid w:val="00DB4676"/>
    <w:rsid w:val="00DB4E53"/>
    <w:rsid w:val="00DB5B68"/>
    <w:rsid w:val="00DB5E66"/>
    <w:rsid w:val="00DB5EDB"/>
    <w:rsid w:val="00DB61C3"/>
    <w:rsid w:val="00DB691D"/>
    <w:rsid w:val="00DB6A90"/>
    <w:rsid w:val="00DB6C82"/>
    <w:rsid w:val="00DB6CB7"/>
    <w:rsid w:val="00DB7A41"/>
    <w:rsid w:val="00DB7CC3"/>
    <w:rsid w:val="00DB7D2E"/>
    <w:rsid w:val="00DB7E00"/>
    <w:rsid w:val="00DB7E70"/>
    <w:rsid w:val="00DB7F03"/>
    <w:rsid w:val="00DC0252"/>
    <w:rsid w:val="00DC0913"/>
    <w:rsid w:val="00DC0B96"/>
    <w:rsid w:val="00DC1044"/>
    <w:rsid w:val="00DC146A"/>
    <w:rsid w:val="00DC14BE"/>
    <w:rsid w:val="00DC15D0"/>
    <w:rsid w:val="00DC180D"/>
    <w:rsid w:val="00DC180F"/>
    <w:rsid w:val="00DC1B38"/>
    <w:rsid w:val="00DC1B5C"/>
    <w:rsid w:val="00DC1C83"/>
    <w:rsid w:val="00DC1EDE"/>
    <w:rsid w:val="00DC1FAB"/>
    <w:rsid w:val="00DC1FD0"/>
    <w:rsid w:val="00DC208E"/>
    <w:rsid w:val="00DC2104"/>
    <w:rsid w:val="00DC21E0"/>
    <w:rsid w:val="00DC220E"/>
    <w:rsid w:val="00DC2489"/>
    <w:rsid w:val="00DC268A"/>
    <w:rsid w:val="00DC2889"/>
    <w:rsid w:val="00DC296A"/>
    <w:rsid w:val="00DC29D6"/>
    <w:rsid w:val="00DC2B64"/>
    <w:rsid w:val="00DC2BEA"/>
    <w:rsid w:val="00DC2D77"/>
    <w:rsid w:val="00DC33BF"/>
    <w:rsid w:val="00DC3873"/>
    <w:rsid w:val="00DC38D1"/>
    <w:rsid w:val="00DC393F"/>
    <w:rsid w:val="00DC3969"/>
    <w:rsid w:val="00DC3A76"/>
    <w:rsid w:val="00DC3AEA"/>
    <w:rsid w:val="00DC3B40"/>
    <w:rsid w:val="00DC499D"/>
    <w:rsid w:val="00DC4A9E"/>
    <w:rsid w:val="00DC50B5"/>
    <w:rsid w:val="00DC5135"/>
    <w:rsid w:val="00DC5951"/>
    <w:rsid w:val="00DC5953"/>
    <w:rsid w:val="00DC59C8"/>
    <w:rsid w:val="00DC5DC5"/>
    <w:rsid w:val="00DC5EEA"/>
    <w:rsid w:val="00DD0382"/>
    <w:rsid w:val="00DD0E3B"/>
    <w:rsid w:val="00DD1020"/>
    <w:rsid w:val="00DD1EB5"/>
    <w:rsid w:val="00DD1F2F"/>
    <w:rsid w:val="00DD2373"/>
    <w:rsid w:val="00DD24C7"/>
    <w:rsid w:val="00DD2B86"/>
    <w:rsid w:val="00DD2E62"/>
    <w:rsid w:val="00DD2EB6"/>
    <w:rsid w:val="00DD385E"/>
    <w:rsid w:val="00DD3F4A"/>
    <w:rsid w:val="00DD40C1"/>
    <w:rsid w:val="00DD42E4"/>
    <w:rsid w:val="00DD4329"/>
    <w:rsid w:val="00DD4899"/>
    <w:rsid w:val="00DD5552"/>
    <w:rsid w:val="00DD5679"/>
    <w:rsid w:val="00DD5DD3"/>
    <w:rsid w:val="00DD6030"/>
    <w:rsid w:val="00DD6199"/>
    <w:rsid w:val="00DD6234"/>
    <w:rsid w:val="00DD64F3"/>
    <w:rsid w:val="00DD6C04"/>
    <w:rsid w:val="00DD6F77"/>
    <w:rsid w:val="00DD70E9"/>
    <w:rsid w:val="00DD7545"/>
    <w:rsid w:val="00DD75BC"/>
    <w:rsid w:val="00DD770D"/>
    <w:rsid w:val="00DD7936"/>
    <w:rsid w:val="00DD7E11"/>
    <w:rsid w:val="00DE08EE"/>
    <w:rsid w:val="00DE0C6A"/>
    <w:rsid w:val="00DE103F"/>
    <w:rsid w:val="00DE1855"/>
    <w:rsid w:val="00DE1EAB"/>
    <w:rsid w:val="00DE1F2F"/>
    <w:rsid w:val="00DE2061"/>
    <w:rsid w:val="00DE26EE"/>
    <w:rsid w:val="00DE27FA"/>
    <w:rsid w:val="00DE2A82"/>
    <w:rsid w:val="00DE2B6D"/>
    <w:rsid w:val="00DE2E7D"/>
    <w:rsid w:val="00DE3406"/>
    <w:rsid w:val="00DE37E1"/>
    <w:rsid w:val="00DE3814"/>
    <w:rsid w:val="00DE391D"/>
    <w:rsid w:val="00DE39A1"/>
    <w:rsid w:val="00DE3C60"/>
    <w:rsid w:val="00DE3EED"/>
    <w:rsid w:val="00DE4593"/>
    <w:rsid w:val="00DE4A83"/>
    <w:rsid w:val="00DE4AD5"/>
    <w:rsid w:val="00DE5580"/>
    <w:rsid w:val="00DE5B20"/>
    <w:rsid w:val="00DE5DB5"/>
    <w:rsid w:val="00DE5FF3"/>
    <w:rsid w:val="00DE60E5"/>
    <w:rsid w:val="00DE634F"/>
    <w:rsid w:val="00DE664D"/>
    <w:rsid w:val="00DE6A7B"/>
    <w:rsid w:val="00DE6B0F"/>
    <w:rsid w:val="00DE6C09"/>
    <w:rsid w:val="00DE709A"/>
    <w:rsid w:val="00DE7116"/>
    <w:rsid w:val="00DE75F5"/>
    <w:rsid w:val="00DE76B5"/>
    <w:rsid w:val="00DE7E07"/>
    <w:rsid w:val="00DF004F"/>
    <w:rsid w:val="00DF052F"/>
    <w:rsid w:val="00DF06CB"/>
    <w:rsid w:val="00DF07BA"/>
    <w:rsid w:val="00DF08F2"/>
    <w:rsid w:val="00DF0F35"/>
    <w:rsid w:val="00DF0FF5"/>
    <w:rsid w:val="00DF11FA"/>
    <w:rsid w:val="00DF124D"/>
    <w:rsid w:val="00DF1331"/>
    <w:rsid w:val="00DF13F5"/>
    <w:rsid w:val="00DF194D"/>
    <w:rsid w:val="00DF1B3E"/>
    <w:rsid w:val="00DF1D2E"/>
    <w:rsid w:val="00DF1F77"/>
    <w:rsid w:val="00DF24E3"/>
    <w:rsid w:val="00DF2B33"/>
    <w:rsid w:val="00DF493E"/>
    <w:rsid w:val="00DF49B5"/>
    <w:rsid w:val="00DF49FA"/>
    <w:rsid w:val="00DF4FC6"/>
    <w:rsid w:val="00DF4FCB"/>
    <w:rsid w:val="00DF5619"/>
    <w:rsid w:val="00DF5CAB"/>
    <w:rsid w:val="00DF5EDF"/>
    <w:rsid w:val="00DF615A"/>
    <w:rsid w:val="00DF6519"/>
    <w:rsid w:val="00DF679C"/>
    <w:rsid w:val="00DF6841"/>
    <w:rsid w:val="00DF7114"/>
    <w:rsid w:val="00DF7492"/>
    <w:rsid w:val="00DF75E6"/>
    <w:rsid w:val="00DF7806"/>
    <w:rsid w:val="00DF7D65"/>
    <w:rsid w:val="00DF7F98"/>
    <w:rsid w:val="00DF7FD1"/>
    <w:rsid w:val="00E0005B"/>
    <w:rsid w:val="00E00672"/>
    <w:rsid w:val="00E0077C"/>
    <w:rsid w:val="00E010D7"/>
    <w:rsid w:val="00E011DC"/>
    <w:rsid w:val="00E013E6"/>
    <w:rsid w:val="00E0165C"/>
    <w:rsid w:val="00E016CB"/>
    <w:rsid w:val="00E01775"/>
    <w:rsid w:val="00E01AC9"/>
    <w:rsid w:val="00E01B79"/>
    <w:rsid w:val="00E02412"/>
    <w:rsid w:val="00E024E6"/>
    <w:rsid w:val="00E0278D"/>
    <w:rsid w:val="00E02A70"/>
    <w:rsid w:val="00E02BC4"/>
    <w:rsid w:val="00E02DC9"/>
    <w:rsid w:val="00E02F19"/>
    <w:rsid w:val="00E032C0"/>
    <w:rsid w:val="00E0380B"/>
    <w:rsid w:val="00E03AF9"/>
    <w:rsid w:val="00E03B96"/>
    <w:rsid w:val="00E045F6"/>
    <w:rsid w:val="00E04A2D"/>
    <w:rsid w:val="00E04B9A"/>
    <w:rsid w:val="00E04FB9"/>
    <w:rsid w:val="00E05408"/>
    <w:rsid w:val="00E055A1"/>
    <w:rsid w:val="00E05EA7"/>
    <w:rsid w:val="00E0691D"/>
    <w:rsid w:val="00E06C3E"/>
    <w:rsid w:val="00E07667"/>
    <w:rsid w:val="00E0773C"/>
    <w:rsid w:val="00E0798C"/>
    <w:rsid w:val="00E07B89"/>
    <w:rsid w:val="00E07FF0"/>
    <w:rsid w:val="00E1021B"/>
    <w:rsid w:val="00E10344"/>
    <w:rsid w:val="00E10ED5"/>
    <w:rsid w:val="00E112B8"/>
    <w:rsid w:val="00E11342"/>
    <w:rsid w:val="00E11449"/>
    <w:rsid w:val="00E11642"/>
    <w:rsid w:val="00E11825"/>
    <w:rsid w:val="00E11BF1"/>
    <w:rsid w:val="00E11C50"/>
    <w:rsid w:val="00E11F29"/>
    <w:rsid w:val="00E11F2D"/>
    <w:rsid w:val="00E1210B"/>
    <w:rsid w:val="00E12139"/>
    <w:rsid w:val="00E122D6"/>
    <w:rsid w:val="00E12A55"/>
    <w:rsid w:val="00E12E22"/>
    <w:rsid w:val="00E12E28"/>
    <w:rsid w:val="00E12F0A"/>
    <w:rsid w:val="00E12F43"/>
    <w:rsid w:val="00E13357"/>
    <w:rsid w:val="00E13796"/>
    <w:rsid w:val="00E13ED2"/>
    <w:rsid w:val="00E14132"/>
    <w:rsid w:val="00E14A2D"/>
    <w:rsid w:val="00E15278"/>
    <w:rsid w:val="00E15345"/>
    <w:rsid w:val="00E15770"/>
    <w:rsid w:val="00E1581C"/>
    <w:rsid w:val="00E15F47"/>
    <w:rsid w:val="00E16353"/>
    <w:rsid w:val="00E1693D"/>
    <w:rsid w:val="00E16A5A"/>
    <w:rsid w:val="00E16D36"/>
    <w:rsid w:val="00E16FE5"/>
    <w:rsid w:val="00E17D2A"/>
    <w:rsid w:val="00E203B7"/>
    <w:rsid w:val="00E20632"/>
    <w:rsid w:val="00E208BE"/>
    <w:rsid w:val="00E20BE5"/>
    <w:rsid w:val="00E20D5E"/>
    <w:rsid w:val="00E20F4E"/>
    <w:rsid w:val="00E2144F"/>
    <w:rsid w:val="00E2153E"/>
    <w:rsid w:val="00E215F1"/>
    <w:rsid w:val="00E2345B"/>
    <w:rsid w:val="00E2387C"/>
    <w:rsid w:val="00E238D0"/>
    <w:rsid w:val="00E23DFE"/>
    <w:rsid w:val="00E24251"/>
    <w:rsid w:val="00E246E9"/>
    <w:rsid w:val="00E24A0F"/>
    <w:rsid w:val="00E24E9F"/>
    <w:rsid w:val="00E25E5A"/>
    <w:rsid w:val="00E2611D"/>
    <w:rsid w:val="00E261BF"/>
    <w:rsid w:val="00E2685B"/>
    <w:rsid w:val="00E26987"/>
    <w:rsid w:val="00E26B36"/>
    <w:rsid w:val="00E26DD6"/>
    <w:rsid w:val="00E26E2C"/>
    <w:rsid w:val="00E2707B"/>
    <w:rsid w:val="00E2749F"/>
    <w:rsid w:val="00E27601"/>
    <w:rsid w:val="00E27645"/>
    <w:rsid w:val="00E30031"/>
    <w:rsid w:val="00E304F8"/>
    <w:rsid w:val="00E30702"/>
    <w:rsid w:val="00E3078D"/>
    <w:rsid w:val="00E3173F"/>
    <w:rsid w:val="00E31C45"/>
    <w:rsid w:val="00E31ED9"/>
    <w:rsid w:val="00E322C8"/>
    <w:rsid w:val="00E325E4"/>
    <w:rsid w:val="00E32727"/>
    <w:rsid w:val="00E32E4C"/>
    <w:rsid w:val="00E3307E"/>
    <w:rsid w:val="00E335D0"/>
    <w:rsid w:val="00E33BB0"/>
    <w:rsid w:val="00E33F91"/>
    <w:rsid w:val="00E343B2"/>
    <w:rsid w:val="00E346DF"/>
    <w:rsid w:val="00E35012"/>
    <w:rsid w:val="00E351EA"/>
    <w:rsid w:val="00E35607"/>
    <w:rsid w:val="00E367E4"/>
    <w:rsid w:val="00E369CC"/>
    <w:rsid w:val="00E36C0B"/>
    <w:rsid w:val="00E36E4A"/>
    <w:rsid w:val="00E37A29"/>
    <w:rsid w:val="00E4018F"/>
    <w:rsid w:val="00E402D6"/>
    <w:rsid w:val="00E4080F"/>
    <w:rsid w:val="00E408BF"/>
    <w:rsid w:val="00E409D7"/>
    <w:rsid w:val="00E40BCB"/>
    <w:rsid w:val="00E40CAD"/>
    <w:rsid w:val="00E40D08"/>
    <w:rsid w:val="00E411E8"/>
    <w:rsid w:val="00E4138F"/>
    <w:rsid w:val="00E41814"/>
    <w:rsid w:val="00E41893"/>
    <w:rsid w:val="00E418A4"/>
    <w:rsid w:val="00E41DB1"/>
    <w:rsid w:val="00E42018"/>
    <w:rsid w:val="00E42245"/>
    <w:rsid w:val="00E42CF2"/>
    <w:rsid w:val="00E43329"/>
    <w:rsid w:val="00E43391"/>
    <w:rsid w:val="00E4362C"/>
    <w:rsid w:val="00E438A6"/>
    <w:rsid w:val="00E43EF7"/>
    <w:rsid w:val="00E43FA9"/>
    <w:rsid w:val="00E4401D"/>
    <w:rsid w:val="00E44075"/>
    <w:rsid w:val="00E4437D"/>
    <w:rsid w:val="00E4446A"/>
    <w:rsid w:val="00E44579"/>
    <w:rsid w:val="00E451D7"/>
    <w:rsid w:val="00E452AC"/>
    <w:rsid w:val="00E4544B"/>
    <w:rsid w:val="00E457EB"/>
    <w:rsid w:val="00E4597D"/>
    <w:rsid w:val="00E45EBE"/>
    <w:rsid w:val="00E463A2"/>
    <w:rsid w:val="00E4650F"/>
    <w:rsid w:val="00E46555"/>
    <w:rsid w:val="00E46EC1"/>
    <w:rsid w:val="00E46F75"/>
    <w:rsid w:val="00E47325"/>
    <w:rsid w:val="00E4794F"/>
    <w:rsid w:val="00E47D3F"/>
    <w:rsid w:val="00E47DA3"/>
    <w:rsid w:val="00E47FA6"/>
    <w:rsid w:val="00E5062B"/>
    <w:rsid w:val="00E5066E"/>
    <w:rsid w:val="00E50CBB"/>
    <w:rsid w:val="00E50D53"/>
    <w:rsid w:val="00E51A36"/>
    <w:rsid w:val="00E51A61"/>
    <w:rsid w:val="00E51CC1"/>
    <w:rsid w:val="00E520D3"/>
    <w:rsid w:val="00E52385"/>
    <w:rsid w:val="00E529B5"/>
    <w:rsid w:val="00E52FC8"/>
    <w:rsid w:val="00E5378B"/>
    <w:rsid w:val="00E53CD7"/>
    <w:rsid w:val="00E541AD"/>
    <w:rsid w:val="00E54354"/>
    <w:rsid w:val="00E54BED"/>
    <w:rsid w:val="00E551C7"/>
    <w:rsid w:val="00E5522B"/>
    <w:rsid w:val="00E556F9"/>
    <w:rsid w:val="00E55844"/>
    <w:rsid w:val="00E55FD5"/>
    <w:rsid w:val="00E56330"/>
    <w:rsid w:val="00E563B1"/>
    <w:rsid w:val="00E56DC3"/>
    <w:rsid w:val="00E56EA4"/>
    <w:rsid w:val="00E570B0"/>
    <w:rsid w:val="00E571B1"/>
    <w:rsid w:val="00E5770B"/>
    <w:rsid w:val="00E57D2F"/>
    <w:rsid w:val="00E6023E"/>
    <w:rsid w:val="00E602E5"/>
    <w:rsid w:val="00E6036E"/>
    <w:rsid w:val="00E603AF"/>
    <w:rsid w:val="00E60991"/>
    <w:rsid w:val="00E60C38"/>
    <w:rsid w:val="00E60C4A"/>
    <w:rsid w:val="00E61336"/>
    <w:rsid w:val="00E61727"/>
    <w:rsid w:val="00E61931"/>
    <w:rsid w:val="00E61B0B"/>
    <w:rsid w:val="00E61F88"/>
    <w:rsid w:val="00E626B9"/>
    <w:rsid w:val="00E62730"/>
    <w:rsid w:val="00E6284F"/>
    <w:rsid w:val="00E62B8B"/>
    <w:rsid w:val="00E630B8"/>
    <w:rsid w:val="00E63396"/>
    <w:rsid w:val="00E6360A"/>
    <w:rsid w:val="00E636D4"/>
    <w:rsid w:val="00E637AB"/>
    <w:rsid w:val="00E63D29"/>
    <w:rsid w:val="00E64355"/>
    <w:rsid w:val="00E64400"/>
    <w:rsid w:val="00E64567"/>
    <w:rsid w:val="00E645EF"/>
    <w:rsid w:val="00E64615"/>
    <w:rsid w:val="00E6498A"/>
    <w:rsid w:val="00E64A18"/>
    <w:rsid w:val="00E64BB0"/>
    <w:rsid w:val="00E65438"/>
    <w:rsid w:val="00E65979"/>
    <w:rsid w:val="00E65A02"/>
    <w:rsid w:val="00E65B71"/>
    <w:rsid w:val="00E66176"/>
    <w:rsid w:val="00E66452"/>
    <w:rsid w:val="00E66ADA"/>
    <w:rsid w:val="00E674C1"/>
    <w:rsid w:val="00E6750B"/>
    <w:rsid w:val="00E679EF"/>
    <w:rsid w:val="00E7030D"/>
    <w:rsid w:val="00E70748"/>
    <w:rsid w:val="00E707FE"/>
    <w:rsid w:val="00E70E2D"/>
    <w:rsid w:val="00E70FF1"/>
    <w:rsid w:val="00E7125D"/>
    <w:rsid w:val="00E71723"/>
    <w:rsid w:val="00E71926"/>
    <w:rsid w:val="00E71AAB"/>
    <w:rsid w:val="00E71BB4"/>
    <w:rsid w:val="00E7221E"/>
    <w:rsid w:val="00E722BC"/>
    <w:rsid w:val="00E722C6"/>
    <w:rsid w:val="00E72A2C"/>
    <w:rsid w:val="00E72B09"/>
    <w:rsid w:val="00E72BC5"/>
    <w:rsid w:val="00E72DB8"/>
    <w:rsid w:val="00E7309D"/>
    <w:rsid w:val="00E734CB"/>
    <w:rsid w:val="00E735F2"/>
    <w:rsid w:val="00E73615"/>
    <w:rsid w:val="00E73841"/>
    <w:rsid w:val="00E73976"/>
    <w:rsid w:val="00E742CD"/>
    <w:rsid w:val="00E74C4C"/>
    <w:rsid w:val="00E74FB6"/>
    <w:rsid w:val="00E75356"/>
    <w:rsid w:val="00E7537E"/>
    <w:rsid w:val="00E754BB"/>
    <w:rsid w:val="00E75896"/>
    <w:rsid w:val="00E75DAE"/>
    <w:rsid w:val="00E75F59"/>
    <w:rsid w:val="00E760DB"/>
    <w:rsid w:val="00E76429"/>
    <w:rsid w:val="00E766C2"/>
    <w:rsid w:val="00E766E3"/>
    <w:rsid w:val="00E76A87"/>
    <w:rsid w:val="00E76FCF"/>
    <w:rsid w:val="00E771F5"/>
    <w:rsid w:val="00E7793F"/>
    <w:rsid w:val="00E77E4B"/>
    <w:rsid w:val="00E80394"/>
    <w:rsid w:val="00E803FE"/>
    <w:rsid w:val="00E806C3"/>
    <w:rsid w:val="00E80C95"/>
    <w:rsid w:val="00E80CC0"/>
    <w:rsid w:val="00E80FE6"/>
    <w:rsid w:val="00E81BB1"/>
    <w:rsid w:val="00E81C2E"/>
    <w:rsid w:val="00E81D02"/>
    <w:rsid w:val="00E82145"/>
    <w:rsid w:val="00E8273A"/>
    <w:rsid w:val="00E82A0E"/>
    <w:rsid w:val="00E82DBE"/>
    <w:rsid w:val="00E82EBA"/>
    <w:rsid w:val="00E82FCA"/>
    <w:rsid w:val="00E83232"/>
    <w:rsid w:val="00E833EC"/>
    <w:rsid w:val="00E8356B"/>
    <w:rsid w:val="00E83CF9"/>
    <w:rsid w:val="00E8417B"/>
    <w:rsid w:val="00E846B8"/>
    <w:rsid w:val="00E84D1C"/>
    <w:rsid w:val="00E84F38"/>
    <w:rsid w:val="00E852DD"/>
    <w:rsid w:val="00E8549B"/>
    <w:rsid w:val="00E859AB"/>
    <w:rsid w:val="00E85E42"/>
    <w:rsid w:val="00E8606E"/>
    <w:rsid w:val="00E86381"/>
    <w:rsid w:val="00E863CE"/>
    <w:rsid w:val="00E86515"/>
    <w:rsid w:val="00E87799"/>
    <w:rsid w:val="00E87855"/>
    <w:rsid w:val="00E878EC"/>
    <w:rsid w:val="00E87932"/>
    <w:rsid w:val="00E87C3E"/>
    <w:rsid w:val="00E87C51"/>
    <w:rsid w:val="00E87D08"/>
    <w:rsid w:val="00E87F1E"/>
    <w:rsid w:val="00E90436"/>
    <w:rsid w:val="00E908CF"/>
    <w:rsid w:val="00E90A69"/>
    <w:rsid w:val="00E91231"/>
    <w:rsid w:val="00E9138E"/>
    <w:rsid w:val="00E9159C"/>
    <w:rsid w:val="00E91649"/>
    <w:rsid w:val="00E91C5B"/>
    <w:rsid w:val="00E92ADF"/>
    <w:rsid w:val="00E933AC"/>
    <w:rsid w:val="00E936F1"/>
    <w:rsid w:val="00E9497A"/>
    <w:rsid w:val="00E949D3"/>
    <w:rsid w:val="00E94B22"/>
    <w:rsid w:val="00E94D6A"/>
    <w:rsid w:val="00E94DF0"/>
    <w:rsid w:val="00E95199"/>
    <w:rsid w:val="00E953A5"/>
    <w:rsid w:val="00E95466"/>
    <w:rsid w:val="00E957A2"/>
    <w:rsid w:val="00E9584C"/>
    <w:rsid w:val="00E958F1"/>
    <w:rsid w:val="00E959E8"/>
    <w:rsid w:val="00E96455"/>
    <w:rsid w:val="00E965BC"/>
    <w:rsid w:val="00E965ED"/>
    <w:rsid w:val="00E96634"/>
    <w:rsid w:val="00E96855"/>
    <w:rsid w:val="00E975A4"/>
    <w:rsid w:val="00EA0CC4"/>
    <w:rsid w:val="00EA13BF"/>
    <w:rsid w:val="00EA13FD"/>
    <w:rsid w:val="00EA1656"/>
    <w:rsid w:val="00EA1BBB"/>
    <w:rsid w:val="00EA2380"/>
    <w:rsid w:val="00EA2C30"/>
    <w:rsid w:val="00EA2CB7"/>
    <w:rsid w:val="00EA2DD9"/>
    <w:rsid w:val="00EA3435"/>
    <w:rsid w:val="00EA43FC"/>
    <w:rsid w:val="00EA4E49"/>
    <w:rsid w:val="00EA51C2"/>
    <w:rsid w:val="00EA5582"/>
    <w:rsid w:val="00EA5A2A"/>
    <w:rsid w:val="00EA60EC"/>
    <w:rsid w:val="00EA6374"/>
    <w:rsid w:val="00EA669D"/>
    <w:rsid w:val="00EA6C55"/>
    <w:rsid w:val="00EA7446"/>
    <w:rsid w:val="00EB0679"/>
    <w:rsid w:val="00EB06B1"/>
    <w:rsid w:val="00EB06DD"/>
    <w:rsid w:val="00EB0959"/>
    <w:rsid w:val="00EB0B01"/>
    <w:rsid w:val="00EB0CE3"/>
    <w:rsid w:val="00EB15BE"/>
    <w:rsid w:val="00EB15E4"/>
    <w:rsid w:val="00EB1947"/>
    <w:rsid w:val="00EB1964"/>
    <w:rsid w:val="00EB1DD4"/>
    <w:rsid w:val="00EB1E12"/>
    <w:rsid w:val="00EB2719"/>
    <w:rsid w:val="00EB2801"/>
    <w:rsid w:val="00EB312F"/>
    <w:rsid w:val="00EB33B1"/>
    <w:rsid w:val="00EB35D8"/>
    <w:rsid w:val="00EB367F"/>
    <w:rsid w:val="00EB3716"/>
    <w:rsid w:val="00EB378C"/>
    <w:rsid w:val="00EB3B93"/>
    <w:rsid w:val="00EB3C93"/>
    <w:rsid w:val="00EB3E6F"/>
    <w:rsid w:val="00EB3EF4"/>
    <w:rsid w:val="00EB4056"/>
    <w:rsid w:val="00EB43BA"/>
    <w:rsid w:val="00EB4437"/>
    <w:rsid w:val="00EB4894"/>
    <w:rsid w:val="00EB4FF7"/>
    <w:rsid w:val="00EB503F"/>
    <w:rsid w:val="00EB50FD"/>
    <w:rsid w:val="00EB575F"/>
    <w:rsid w:val="00EB59A8"/>
    <w:rsid w:val="00EB5AA6"/>
    <w:rsid w:val="00EB693F"/>
    <w:rsid w:val="00EB695C"/>
    <w:rsid w:val="00EB6C89"/>
    <w:rsid w:val="00EB6FA6"/>
    <w:rsid w:val="00EB7233"/>
    <w:rsid w:val="00EB7250"/>
    <w:rsid w:val="00EB7436"/>
    <w:rsid w:val="00EB7D3A"/>
    <w:rsid w:val="00EC005A"/>
    <w:rsid w:val="00EC0167"/>
    <w:rsid w:val="00EC0666"/>
    <w:rsid w:val="00EC0B95"/>
    <w:rsid w:val="00EC0CF2"/>
    <w:rsid w:val="00EC12D6"/>
    <w:rsid w:val="00EC1811"/>
    <w:rsid w:val="00EC20C9"/>
    <w:rsid w:val="00EC2166"/>
    <w:rsid w:val="00EC269F"/>
    <w:rsid w:val="00EC272E"/>
    <w:rsid w:val="00EC273E"/>
    <w:rsid w:val="00EC475D"/>
    <w:rsid w:val="00EC4876"/>
    <w:rsid w:val="00EC4ED4"/>
    <w:rsid w:val="00EC5042"/>
    <w:rsid w:val="00EC50B7"/>
    <w:rsid w:val="00EC5607"/>
    <w:rsid w:val="00EC5899"/>
    <w:rsid w:val="00EC59A2"/>
    <w:rsid w:val="00EC60A2"/>
    <w:rsid w:val="00EC633F"/>
    <w:rsid w:val="00EC6D09"/>
    <w:rsid w:val="00EC70D3"/>
    <w:rsid w:val="00EC739D"/>
    <w:rsid w:val="00EC791A"/>
    <w:rsid w:val="00EC79AA"/>
    <w:rsid w:val="00EC7DD8"/>
    <w:rsid w:val="00EC7F35"/>
    <w:rsid w:val="00EC7FA3"/>
    <w:rsid w:val="00ED017D"/>
    <w:rsid w:val="00ED02AB"/>
    <w:rsid w:val="00ED02E6"/>
    <w:rsid w:val="00ED0328"/>
    <w:rsid w:val="00ED04FB"/>
    <w:rsid w:val="00ED0516"/>
    <w:rsid w:val="00ED0619"/>
    <w:rsid w:val="00ED163A"/>
    <w:rsid w:val="00ED17E7"/>
    <w:rsid w:val="00ED1893"/>
    <w:rsid w:val="00ED1D71"/>
    <w:rsid w:val="00ED2277"/>
    <w:rsid w:val="00ED2544"/>
    <w:rsid w:val="00ED2B7E"/>
    <w:rsid w:val="00ED36E6"/>
    <w:rsid w:val="00ED3705"/>
    <w:rsid w:val="00ED3B86"/>
    <w:rsid w:val="00ED417C"/>
    <w:rsid w:val="00ED4351"/>
    <w:rsid w:val="00ED47D4"/>
    <w:rsid w:val="00ED4955"/>
    <w:rsid w:val="00ED4971"/>
    <w:rsid w:val="00ED4AD7"/>
    <w:rsid w:val="00ED4C35"/>
    <w:rsid w:val="00ED5075"/>
    <w:rsid w:val="00ED5115"/>
    <w:rsid w:val="00ED5560"/>
    <w:rsid w:val="00ED56CC"/>
    <w:rsid w:val="00ED585E"/>
    <w:rsid w:val="00ED5E81"/>
    <w:rsid w:val="00ED6083"/>
    <w:rsid w:val="00ED613D"/>
    <w:rsid w:val="00ED6C45"/>
    <w:rsid w:val="00ED6EE6"/>
    <w:rsid w:val="00ED7245"/>
    <w:rsid w:val="00ED726E"/>
    <w:rsid w:val="00ED77DC"/>
    <w:rsid w:val="00ED7BB2"/>
    <w:rsid w:val="00ED7E8C"/>
    <w:rsid w:val="00EE0871"/>
    <w:rsid w:val="00EE0D6E"/>
    <w:rsid w:val="00EE0E5A"/>
    <w:rsid w:val="00EE1058"/>
    <w:rsid w:val="00EE1251"/>
    <w:rsid w:val="00EE130E"/>
    <w:rsid w:val="00EE148B"/>
    <w:rsid w:val="00EE16D8"/>
    <w:rsid w:val="00EE17BB"/>
    <w:rsid w:val="00EE19E7"/>
    <w:rsid w:val="00EE1B54"/>
    <w:rsid w:val="00EE1E16"/>
    <w:rsid w:val="00EE2153"/>
    <w:rsid w:val="00EE23B4"/>
    <w:rsid w:val="00EE2930"/>
    <w:rsid w:val="00EE3150"/>
    <w:rsid w:val="00EE3248"/>
    <w:rsid w:val="00EE3FDA"/>
    <w:rsid w:val="00EE4165"/>
    <w:rsid w:val="00EE44B0"/>
    <w:rsid w:val="00EE4BF8"/>
    <w:rsid w:val="00EE4D62"/>
    <w:rsid w:val="00EE5081"/>
    <w:rsid w:val="00EE5325"/>
    <w:rsid w:val="00EE539B"/>
    <w:rsid w:val="00EE5582"/>
    <w:rsid w:val="00EE564E"/>
    <w:rsid w:val="00EE5771"/>
    <w:rsid w:val="00EE5A01"/>
    <w:rsid w:val="00EE5C21"/>
    <w:rsid w:val="00EE602C"/>
    <w:rsid w:val="00EE60A5"/>
    <w:rsid w:val="00EE62E3"/>
    <w:rsid w:val="00EE6483"/>
    <w:rsid w:val="00EE687D"/>
    <w:rsid w:val="00EE6A95"/>
    <w:rsid w:val="00EE6C36"/>
    <w:rsid w:val="00EE6C44"/>
    <w:rsid w:val="00EE7646"/>
    <w:rsid w:val="00EE7AC0"/>
    <w:rsid w:val="00EE7DF4"/>
    <w:rsid w:val="00EF0153"/>
    <w:rsid w:val="00EF0218"/>
    <w:rsid w:val="00EF03DA"/>
    <w:rsid w:val="00EF0C96"/>
    <w:rsid w:val="00EF0D7F"/>
    <w:rsid w:val="00EF0E33"/>
    <w:rsid w:val="00EF1AEC"/>
    <w:rsid w:val="00EF1B43"/>
    <w:rsid w:val="00EF1BB0"/>
    <w:rsid w:val="00EF1C74"/>
    <w:rsid w:val="00EF29F1"/>
    <w:rsid w:val="00EF2A1B"/>
    <w:rsid w:val="00EF2B0C"/>
    <w:rsid w:val="00EF2D67"/>
    <w:rsid w:val="00EF307C"/>
    <w:rsid w:val="00EF312E"/>
    <w:rsid w:val="00EF33CE"/>
    <w:rsid w:val="00EF3511"/>
    <w:rsid w:val="00EF35D4"/>
    <w:rsid w:val="00EF36DF"/>
    <w:rsid w:val="00EF38BF"/>
    <w:rsid w:val="00EF39A3"/>
    <w:rsid w:val="00EF3F7B"/>
    <w:rsid w:val="00EF4515"/>
    <w:rsid w:val="00EF4594"/>
    <w:rsid w:val="00EF4690"/>
    <w:rsid w:val="00EF476C"/>
    <w:rsid w:val="00EF4921"/>
    <w:rsid w:val="00EF4A7B"/>
    <w:rsid w:val="00EF4B8D"/>
    <w:rsid w:val="00EF4D37"/>
    <w:rsid w:val="00EF5501"/>
    <w:rsid w:val="00EF56FD"/>
    <w:rsid w:val="00EF5AEE"/>
    <w:rsid w:val="00EF5C07"/>
    <w:rsid w:val="00EF5EC7"/>
    <w:rsid w:val="00EF61DB"/>
    <w:rsid w:val="00EF695C"/>
    <w:rsid w:val="00EF6D9D"/>
    <w:rsid w:val="00EF732C"/>
    <w:rsid w:val="00EF7677"/>
    <w:rsid w:val="00EF7DCB"/>
    <w:rsid w:val="00EF7F83"/>
    <w:rsid w:val="00F0014F"/>
    <w:rsid w:val="00F0016F"/>
    <w:rsid w:val="00F006A7"/>
    <w:rsid w:val="00F006E4"/>
    <w:rsid w:val="00F00776"/>
    <w:rsid w:val="00F00B43"/>
    <w:rsid w:val="00F00C1D"/>
    <w:rsid w:val="00F00D0D"/>
    <w:rsid w:val="00F00EC4"/>
    <w:rsid w:val="00F00F38"/>
    <w:rsid w:val="00F00FBC"/>
    <w:rsid w:val="00F0132F"/>
    <w:rsid w:val="00F01512"/>
    <w:rsid w:val="00F01771"/>
    <w:rsid w:val="00F01A6C"/>
    <w:rsid w:val="00F01CD3"/>
    <w:rsid w:val="00F01EB6"/>
    <w:rsid w:val="00F0232F"/>
    <w:rsid w:val="00F023C6"/>
    <w:rsid w:val="00F02A4D"/>
    <w:rsid w:val="00F02F7E"/>
    <w:rsid w:val="00F0318D"/>
    <w:rsid w:val="00F0321E"/>
    <w:rsid w:val="00F0361C"/>
    <w:rsid w:val="00F03A7B"/>
    <w:rsid w:val="00F03B86"/>
    <w:rsid w:val="00F03BCF"/>
    <w:rsid w:val="00F03C1E"/>
    <w:rsid w:val="00F03D9C"/>
    <w:rsid w:val="00F03DD6"/>
    <w:rsid w:val="00F04214"/>
    <w:rsid w:val="00F043EF"/>
    <w:rsid w:val="00F05678"/>
    <w:rsid w:val="00F0567D"/>
    <w:rsid w:val="00F05A49"/>
    <w:rsid w:val="00F05BD3"/>
    <w:rsid w:val="00F06022"/>
    <w:rsid w:val="00F06190"/>
    <w:rsid w:val="00F062D7"/>
    <w:rsid w:val="00F06745"/>
    <w:rsid w:val="00F06B3F"/>
    <w:rsid w:val="00F06C4F"/>
    <w:rsid w:val="00F0719A"/>
    <w:rsid w:val="00F072AE"/>
    <w:rsid w:val="00F0730A"/>
    <w:rsid w:val="00F073EA"/>
    <w:rsid w:val="00F07896"/>
    <w:rsid w:val="00F07AC6"/>
    <w:rsid w:val="00F07BA8"/>
    <w:rsid w:val="00F07C03"/>
    <w:rsid w:val="00F101AC"/>
    <w:rsid w:val="00F1081A"/>
    <w:rsid w:val="00F10C55"/>
    <w:rsid w:val="00F110FA"/>
    <w:rsid w:val="00F11303"/>
    <w:rsid w:val="00F115EC"/>
    <w:rsid w:val="00F12691"/>
    <w:rsid w:val="00F13248"/>
    <w:rsid w:val="00F132A4"/>
    <w:rsid w:val="00F1347B"/>
    <w:rsid w:val="00F13564"/>
    <w:rsid w:val="00F136DD"/>
    <w:rsid w:val="00F139CA"/>
    <w:rsid w:val="00F13A19"/>
    <w:rsid w:val="00F13BB3"/>
    <w:rsid w:val="00F13D7E"/>
    <w:rsid w:val="00F14047"/>
    <w:rsid w:val="00F1490E"/>
    <w:rsid w:val="00F14AC9"/>
    <w:rsid w:val="00F152D6"/>
    <w:rsid w:val="00F1588B"/>
    <w:rsid w:val="00F159B9"/>
    <w:rsid w:val="00F15C7B"/>
    <w:rsid w:val="00F15EA4"/>
    <w:rsid w:val="00F1620C"/>
    <w:rsid w:val="00F17111"/>
    <w:rsid w:val="00F1754F"/>
    <w:rsid w:val="00F1755C"/>
    <w:rsid w:val="00F175FD"/>
    <w:rsid w:val="00F17781"/>
    <w:rsid w:val="00F17803"/>
    <w:rsid w:val="00F178BE"/>
    <w:rsid w:val="00F17E1D"/>
    <w:rsid w:val="00F17FF9"/>
    <w:rsid w:val="00F20462"/>
    <w:rsid w:val="00F2065D"/>
    <w:rsid w:val="00F21B8C"/>
    <w:rsid w:val="00F21C72"/>
    <w:rsid w:val="00F21D0B"/>
    <w:rsid w:val="00F2210D"/>
    <w:rsid w:val="00F2216F"/>
    <w:rsid w:val="00F22578"/>
    <w:rsid w:val="00F23134"/>
    <w:rsid w:val="00F238D2"/>
    <w:rsid w:val="00F23AAB"/>
    <w:rsid w:val="00F2405E"/>
    <w:rsid w:val="00F2411C"/>
    <w:rsid w:val="00F24281"/>
    <w:rsid w:val="00F2450A"/>
    <w:rsid w:val="00F2465C"/>
    <w:rsid w:val="00F249D2"/>
    <w:rsid w:val="00F24C32"/>
    <w:rsid w:val="00F25109"/>
    <w:rsid w:val="00F25560"/>
    <w:rsid w:val="00F2581F"/>
    <w:rsid w:val="00F263D9"/>
    <w:rsid w:val="00F26475"/>
    <w:rsid w:val="00F26721"/>
    <w:rsid w:val="00F26865"/>
    <w:rsid w:val="00F26967"/>
    <w:rsid w:val="00F26D11"/>
    <w:rsid w:val="00F27156"/>
    <w:rsid w:val="00F2758F"/>
    <w:rsid w:val="00F279B8"/>
    <w:rsid w:val="00F27B13"/>
    <w:rsid w:val="00F3033A"/>
    <w:rsid w:val="00F3074E"/>
    <w:rsid w:val="00F30936"/>
    <w:rsid w:val="00F3115F"/>
    <w:rsid w:val="00F311BF"/>
    <w:rsid w:val="00F3175A"/>
    <w:rsid w:val="00F31CCE"/>
    <w:rsid w:val="00F31CD9"/>
    <w:rsid w:val="00F32149"/>
    <w:rsid w:val="00F3231E"/>
    <w:rsid w:val="00F32D6D"/>
    <w:rsid w:val="00F33646"/>
    <w:rsid w:val="00F33681"/>
    <w:rsid w:val="00F3370B"/>
    <w:rsid w:val="00F33BD9"/>
    <w:rsid w:val="00F34707"/>
    <w:rsid w:val="00F34A91"/>
    <w:rsid w:val="00F34DCE"/>
    <w:rsid w:val="00F34F03"/>
    <w:rsid w:val="00F35039"/>
    <w:rsid w:val="00F35101"/>
    <w:rsid w:val="00F351DC"/>
    <w:rsid w:val="00F35BFD"/>
    <w:rsid w:val="00F35EBE"/>
    <w:rsid w:val="00F364A6"/>
    <w:rsid w:val="00F36EE2"/>
    <w:rsid w:val="00F3726A"/>
    <w:rsid w:val="00F37993"/>
    <w:rsid w:val="00F37DFB"/>
    <w:rsid w:val="00F404A2"/>
    <w:rsid w:val="00F40F05"/>
    <w:rsid w:val="00F41BA7"/>
    <w:rsid w:val="00F42613"/>
    <w:rsid w:val="00F427EB"/>
    <w:rsid w:val="00F4296F"/>
    <w:rsid w:val="00F42A7B"/>
    <w:rsid w:val="00F42B39"/>
    <w:rsid w:val="00F42C9B"/>
    <w:rsid w:val="00F43160"/>
    <w:rsid w:val="00F4323A"/>
    <w:rsid w:val="00F43817"/>
    <w:rsid w:val="00F43A48"/>
    <w:rsid w:val="00F43A75"/>
    <w:rsid w:val="00F43C2F"/>
    <w:rsid w:val="00F443C7"/>
    <w:rsid w:val="00F4444E"/>
    <w:rsid w:val="00F44657"/>
    <w:rsid w:val="00F44B7B"/>
    <w:rsid w:val="00F4500B"/>
    <w:rsid w:val="00F455F3"/>
    <w:rsid w:val="00F45CE7"/>
    <w:rsid w:val="00F45E2C"/>
    <w:rsid w:val="00F465B1"/>
    <w:rsid w:val="00F46756"/>
    <w:rsid w:val="00F46788"/>
    <w:rsid w:val="00F46A12"/>
    <w:rsid w:val="00F46A5E"/>
    <w:rsid w:val="00F46E18"/>
    <w:rsid w:val="00F47145"/>
    <w:rsid w:val="00F474C4"/>
    <w:rsid w:val="00F4755B"/>
    <w:rsid w:val="00F47572"/>
    <w:rsid w:val="00F477DE"/>
    <w:rsid w:val="00F47A07"/>
    <w:rsid w:val="00F47E33"/>
    <w:rsid w:val="00F502B4"/>
    <w:rsid w:val="00F50475"/>
    <w:rsid w:val="00F50A4F"/>
    <w:rsid w:val="00F51096"/>
    <w:rsid w:val="00F51413"/>
    <w:rsid w:val="00F515C9"/>
    <w:rsid w:val="00F51781"/>
    <w:rsid w:val="00F517B7"/>
    <w:rsid w:val="00F517FC"/>
    <w:rsid w:val="00F51994"/>
    <w:rsid w:val="00F51EE6"/>
    <w:rsid w:val="00F5247C"/>
    <w:rsid w:val="00F525CC"/>
    <w:rsid w:val="00F52858"/>
    <w:rsid w:val="00F52EC4"/>
    <w:rsid w:val="00F52F9E"/>
    <w:rsid w:val="00F53258"/>
    <w:rsid w:val="00F5331A"/>
    <w:rsid w:val="00F5354A"/>
    <w:rsid w:val="00F53720"/>
    <w:rsid w:val="00F53740"/>
    <w:rsid w:val="00F53817"/>
    <w:rsid w:val="00F538D8"/>
    <w:rsid w:val="00F53E5F"/>
    <w:rsid w:val="00F5406D"/>
    <w:rsid w:val="00F540C7"/>
    <w:rsid w:val="00F54129"/>
    <w:rsid w:val="00F5419A"/>
    <w:rsid w:val="00F545E0"/>
    <w:rsid w:val="00F545EE"/>
    <w:rsid w:val="00F546FD"/>
    <w:rsid w:val="00F54E1E"/>
    <w:rsid w:val="00F5501A"/>
    <w:rsid w:val="00F55251"/>
    <w:rsid w:val="00F553C5"/>
    <w:rsid w:val="00F5549C"/>
    <w:rsid w:val="00F55B06"/>
    <w:rsid w:val="00F55CAB"/>
    <w:rsid w:val="00F55DA0"/>
    <w:rsid w:val="00F55DF1"/>
    <w:rsid w:val="00F56007"/>
    <w:rsid w:val="00F564B1"/>
    <w:rsid w:val="00F56502"/>
    <w:rsid w:val="00F566AB"/>
    <w:rsid w:val="00F568AA"/>
    <w:rsid w:val="00F574D8"/>
    <w:rsid w:val="00F575E8"/>
    <w:rsid w:val="00F57956"/>
    <w:rsid w:val="00F57CEB"/>
    <w:rsid w:val="00F57E29"/>
    <w:rsid w:val="00F60330"/>
    <w:rsid w:val="00F6039C"/>
    <w:rsid w:val="00F609A0"/>
    <w:rsid w:val="00F60E04"/>
    <w:rsid w:val="00F61870"/>
    <w:rsid w:val="00F61893"/>
    <w:rsid w:val="00F61E8B"/>
    <w:rsid w:val="00F6288D"/>
    <w:rsid w:val="00F62E6F"/>
    <w:rsid w:val="00F630AF"/>
    <w:rsid w:val="00F632B5"/>
    <w:rsid w:val="00F633CD"/>
    <w:rsid w:val="00F63680"/>
    <w:rsid w:val="00F63A3C"/>
    <w:rsid w:val="00F63D77"/>
    <w:rsid w:val="00F63F6B"/>
    <w:rsid w:val="00F63FDF"/>
    <w:rsid w:val="00F64096"/>
    <w:rsid w:val="00F64964"/>
    <w:rsid w:val="00F64AEE"/>
    <w:rsid w:val="00F64D2F"/>
    <w:rsid w:val="00F6509A"/>
    <w:rsid w:val="00F65AC3"/>
    <w:rsid w:val="00F6608E"/>
    <w:rsid w:val="00F6620B"/>
    <w:rsid w:val="00F6625F"/>
    <w:rsid w:val="00F66631"/>
    <w:rsid w:val="00F66722"/>
    <w:rsid w:val="00F66949"/>
    <w:rsid w:val="00F66B82"/>
    <w:rsid w:val="00F66C8A"/>
    <w:rsid w:val="00F676F9"/>
    <w:rsid w:val="00F6775D"/>
    <w:rsid w:val="00F677EA"/>
    <w:rsid w:val="00F679DE"/>
    <w:rsid w:val="00F67D52"/>
    <w:rsid w:val="00F67DD2"/>
    <w:rsid w:val="00F70308"/>
    <w:rsid w:val="00F703BD"/>
    <w:rsid w:val="00F705EC"/>
    <w:rsid w:val="00F70602"/>
    <w:rsid w:val="00F70669"/>
    <w:rsid w:val="00F70F5B"/>
    <w:rsid w:val="00F71511"/>
    <w:rsid w:val="00F7165F"/>
    <w:rsid w:val="00F71A12"/>
    <w:rsid w:val="00F71B1C"/>
    <w:rsid w:val="00F71B30"/>
    <w:rsid w:val="00F72163"/>
    <w:rsid w:val="00F721F0"/>
    <w:rsid w:val="00F72482"/>
    <w:rsid w:val="00F72977"/>
    <w:rsid w:val="00F73476"/>
    <w:rsid w:val="00F7348B"/>
    <w:rsid w:val="00F73E97"/>
    <w:rsid w:val="00F73FA8"/>
    <w:rsid w:val="00F740C0"/>
    <w:rsid w:val="00F74539"/>
    <w:rsid w:val="00F74863"/>
    <w:rsid w:val="00F748AA"/>
    <w:rsid w:val="00F74E51"/>
    <w:rsid w:val="00F74F33"/>
    <w:rsid w:val="00F76162"/>
    <w:rsid w:val="00F761D4"/>
    <w:rsid w:val="00F764D0"/>
    <w:rsid w:val="00F764E9"/>
    <w:rsid w:val="00F76590"/>
    <w:rsid w:val="00F7665B"/>
    <w:rsid w:val="00F7688B"/>
    <w:rsid w:val="00F76C10"/>
    <w:rsid w:val="00F76DAF"/>
    <w:rsid w:val="00F77977"/>
    <w:rsid w:val="00F77A4A"/>
    <w:rsid w:val="00F77A59"/>
    <w:rsid w:val="00F77DB5"/>
    <w:rsid w:val="00F80764"/>
    <w:rsid w:val="00F807EB"/>
    <w:rsid w:val="00F808CE"/>
    <w:rsid w:val="00F80A72"/>
    <w:rsid w:val="00F810C3"/>
    <w:rsid w:val="00F81370"/>
    <w:rsid w:val="00F816C4"/>
    <w:rsid w:val="00F81A28"/>
    <w:rsid w:val="00F81E5A"/>
    <w:rsid w:val="00F81FDD"/>
    <w:rsid w:val="00F821E8"/>
    <w:rsid w:val="00F82A66"/>
    <w:rsid w:val="00F82DD4"/>
    <w:rsid w:val="00F838D2"/>
    <w:rsid w:val="00F83BCA"/>
    <w:rsid w:val="00F83BCC"/>
    <w:rsid w:val="00F84160"/>
    <w:rsid w:val="00F844F2"/>
    <w:rsid w:val="00F84799"/>
    <w:rsid w:val="00F84C50"/>
    <w:rsid w:val="00F84D0B"/>
    <w:rsid w:val="00F85925"/>
    <w:rsid w:val="00F85B3C"/>
    <w:rsid w:val="00F85F3E"/>
    <w:rsid w:val="00F865DF"/>
    <w:rsid w:val="00F86F69"/>
    <w:rsid w:val="00F871F7"/>
    <w:rsid w:val="00F8758B"/>
    <w:rsid w:val="00F87700"/>
    <w:rsid w:val="00F87947"/>
    <w:rsid w:val="00F87F06"/>
    <w:rsid w:val="00F900C1"/>
    <w:rsid w:val="00F9096C"/>
    <w:rsid w:val="00F90AC7"/>
    <w:rsid w:val="00F90CEE"/>
    <w:rsid w:val="00F91339"/>
    <w:rsid w:val="00F9153D"/>
    <w:rsid w:val="00F91ADB"/>
    <w:rsid w:val="00F92078"/>
    <w:rsid w:val="00F9219F"/>
    <w:rsid w:val="00F924AD"/>
    <w:rsid w:val="00F92F39"/>
    <w:rsid w:val="00F93032"/>
    <w:rsid w:val="00F930BC"/>
    <w:rsid w:val="00F934ED"/>
    <w:rsid w:val="00F93A88"/>
    <w:rsid w:val="00F93D58"/>
    <w:rsid w:val="00F942DB"/>
    <w:rsid w:val="00F94560"/>
    <w:rsid w:val="00F946C9"/>
    <w:rsid w:val="00F94C1F"/>
    <w:rsid w:val="00F94FCA"/>
    <w:rsid w:val="00F9509C"/>
    <w:rsid w:val="00F95449"/>
    <w:rsid w:val="00F9562F"/>
    <w:rsid w:val="00F956D6"/>
    <w:rsid w:val="00F956F9"/>
    <w:rsid w:val="00F957B7"/>
    <w:rsid w:val="00F95A96"/>
    <w:rsid w:val="00F95B1C"/>
    <w:rsid w:val="00F960CD"/>
    <w:rsid w:val="00F96281"/>
    <w:rsid w:val="00F9680A"/>
    <w:rsid w:val="00F96869"/>
    <w:rsid w:val="00F9686B"/>
    <w:rsid w:val="00F96A38"/>
    <w:rsid w:val="00F96B17"/>
    <w:rsid w:val="00F96CBA"/>
    <w:rsid w:val="00F96E18"/>
    <w:rsid w:val="00F9701E"/>
    <w:rsid w:val="00F9751F"/>
    <w:rsid w:val="00F97943"/>
    <w:rsid w:val="00F97E6C"/>
    <w:rsid w:val="00FA0351"/>
    <w:rsid w:val="00FA0F6F"/>
    <w:rsid w:val="00FA1134"/>
    <w:rsid w:val="00FA16B9"/>
    <w:rsid w:val="00FA1726"/>
    <w:rsid w:val="00FA1980"/>
    <w:rsid w:val="00FA1D87"/>
    <w:rsid w:val="00FA284D"/>
    <w:rsid w:val="00FA296B"/>
    <w:rsid w:val="00FA2FFA"/>
    <w:rsid w:val="00FA3470"/>
    <w:rsid w:val="00FA3B3A"/>
    <w:rsid w:val="00FA42D5"/>
    <w:rsid w:val="00FA45E6"/>
    <w:rsid w:val="00FA461D"/>
    <w:rsid w:val="00FA4688"/>
    <w:rsid w:val="00FA48B7"/>
    <w:rsid w:val="00FA5060"/>
    <w:rsid w:val="00FA50F9"/>
    <w:rsid w:val="00FA5574"/>
    <w:rsid w:val="00FA5580"/>
    <w:rsid w:val="00FA558C"/>
    <w:rsid w:val="00FA597F"/>
    <w:rsid w:val="00FA5B47"/>
    <w:rsid w:val="00FA5C3E"/>
    <w:rsid w:val="00FA6138"/>
    <w:rsid w:val="00FA6649"/>
    <w:rsid w:val="00FA66B1"/>
    <w:rsid w:val="00FA6982"/>
    <w:rsid w:val="00FA6FDB"/>
    <w:rsid w:val="00FA7140"/>
    <w:rsid w:val="00FA7211"/>
    <w:rsid w:val="00FA72E3"/>
    <w:rsid w:val="00FA7CC5"/>
    <w:rsid w:val="00FA7D6D"/>
    <w:rsid w:val="00FA7E55"/>
    <w:rsid w:val="00FA7F80"/>
    <w:rsid w:val="00FB01A0"/>
    <w:rsid w:val="00FB08FC"/>
    <w:rsid w:val="00FB0D95"/>
    <w:rsid w:val="00FB23A3"/>
    <w:rsid w:val="00FB26F2"/>
    <w:rsid w:val="00FB270D"/>
    <w:rsid w:val="00FB2909"/>
    <w:rsid w:val="00FB2C62"/>
    <w:rsid w:val="00FB2F0D"/>
    <w:rsid w:val="00FB32B9"/>
    <w:rsid w:val="00FB34E1"/>
    <w:rsid w:val="00FB38F2"/>
    <w:rsid w:val="00FB3B9A"/>
    <w:rsid w:val="00FB435C"/>
    <w:rsid w:val="00FB45F6"/>
    <w:rsid w:val="00FB4B0C"/>
    <w:rsid w:val="00FB4B19"/>
    <w:rsid w:val="00FB4CDD"/>
    <w:rsid w:val="00FB4D2C"/>
    <w:rsid w:val="00FB50D1"/>
    <w:rsid w:val="00FB5287"/>
    <w:rsid w:val="00FB5789"/>
    <w:rsid w:val="00FB5B35"/>
    <w:rsid w:val="00FB62AA"/>
    <w:rsid w:val="00FB6858"/>
    <w:rsid w:val="00FB6928"/>
    <w:rsid w:val="00FB6AB1"/>
    <w:rsid w:val="00FB6EB9"/>
    <w:rsid w:val="00FB6ECD"/>
    <w:rsid w:val="00FB6F2E"/>
    <w:rsid w:val="00FB6F82"/>
    <w:rsid w:val="00FB7190"/>
    <w:rsid w:val="00FB731C"/>
    <w:rsid w:val="00FB76C8"/>
    <w:rsid w:val="00FB76E5"/>
    <w:rsid w:val="00FB7A17"/>
    <w:rsid w:val="00FB7E3B"/>
    <w:rsid w:val="00FC030F"/>
    <w:rsid w:val="00FC092D"/>
    <w:rsid w:val="00FC0D64"/>
    <w:rsid w:val="00FC137A"/>
    <w:rsid w:val="00FC158F"/>
    <w:rsid w:val="00FC1D68"/>
    <w:rsid w:val="00FC1E65"/>
    <w:rsid w:val="00FC2119"/>
    <w:rsid w:val="00FC37C5"/>
    <w:rsid w:val="00FC3893"/>
    <w:rsid w:val="00FC3BC2"/>
    <w:rsid w:val="00FC3D1F"/>
    <w:rsid w:val="00FC426A"/>
    <w:rsid w:val="00FC4326"/>
    <w:rsid w:val="00FC4B88"/>
    <w:rsid w:val="00FC4C25"/>
    <w:rsid w:val="00FC4F30"/>
    <w:rsid w:val="00FC5426"/>
    <w:rsid w:val="00FC5AD5"/>
    <w:rsid w:val="00FC5BF2"/>
    <w:rsid w:val="00FC5D55"/>
    <w:rsid w:val="00FC5E15"/>
    <w:rsid w:val="00FC5F7A"/>
    <w:rsid w:val="00FC6103"/>
    <w:rsid w:val="00FC6371"/>
    <w:rsid w:val="00FC657E"/>
    <w:rsid w:val="00FC6872"/>
    <w:rsid w:val="00FC6B31"/>
    <w:rsid w:val="00FC6C2F"/>
    <w:rsid w:val="00FC6C40"/>
    <w:rsid w:val="00FC6D65"/>
    <w:rsid w:val="00FC736F"/>
    <w:rsid w:val="00FC7D05"/>
    <w:rsid w:val="00FC7E74"/>
    <w:rsid w:val="00FD020F"/>
    <w:rsid w:val="00FD04E9"/>
    <w:rsid w:val="00FD09EE"/>
    <w:rsid w:val="00FD0BD2"/>
    <w:rsid w:val="00FD1304"/>
    <w:rsid w:val="00FD13FA"/>
    <w:rsid w:val="00FD1421"/>
    <w:rsid w:val="00FD19EA"/>
    <w:rsid w:val="00FD1FF2"/>
    <w:rsid w:val="00FD24E5"/>
    <w:rsid w:val="00FD2986"/>
    <w:rsid w:val="00FD31E6"/>
    <w:rsid w:val="00FD329D"/>
    <w:rsid w:val="00FD3590"/>
    <w:rsid w:val="00FD41D8"/>
    <w:rsid w:val="00FD437B"/>
    <w:rsid w:val="00FD446E"/>
    <w:rsid w:val="00FD4626"/>
    <w:rsid w:val="00FD4881"/>
    <w:rsid w:val="00FD5525"/>
    <w:rsid w:val="00FD5553"/>
    <w:rsid w:val="00FD56F5"/>
    <w:rsid w:val="00FD58D9"/>
    <w:rsid w:val="00FD5B0B"/>
    <w:rsid w:val="00FD5C08"/>
    <w:rsid w:val="00FD5CF6"/>
    <w:rsid w:val="00FD60F3"/>
    <w:rsid w:val="00FD61A7"/>
    <w:rsid w:val="00FD6209"/>
    <w:rsid w:val="00FD6996"/>
    <w:rsid w:val="00FD7798"/>
    <w:rsid w:val="00FD7917"/>
    <w:rsid w:val="00FD7B33"/>
    <w:rsid w:val="00FD7CC4"/>
    <w:rsid w:val="00FD7EC9"/>
    <w:rsid w:val="00FE0028"/>
    <w:rsid w:val="00FE036D"/>
    <w:rsid w:val="00FE0B2E"/>
    <w:rsid w:val="00FE14EC"/>
    <w:rsid w:val="00FE1887"/>
    <w:rsid w:val="00FE1ECC"/>
    <w:rsid w:val="00FE2122"/>
    <w:rsid w:val="00FE23B6"/>
    <w:rsid w:val="00FE29AA"/>
    <w:rsid w:val="00FE2D10"/>
    <w:rsid w:val="00FE3067"/>
    <w:rsid w:val="00FE3957"/>
    <w:rsid w:val="00FE3A5A"/>
    <w:rsid w:val="00FE3EC2"/>
    <w:rsid w:val="00FE3F6B"/>
    <w:rsid w:val="00FE4003"/>
    <w:rsid w:val="00FE4E99"/>
    <w:rsid w:val="00FE519B"/>
    <w:rsid w:val="00FE53A1"/>
    <w:rsid w:val="00FE5673"/>
    <w:rsid w:val="00FE5866"/>
    <w:rsid w:val="00FE60CA"/>
    <w:rsid w:val="00FE60D6"/>
    <w:rsid w:val="00FE692B"/>
    <w:rsid w:val="00FE6AC5"/>
    <w:rsid w:val="00FE6D55"/>
    <w:rsid w:val="00FE6E8C"/>
    <w:rsid w:val="00FE6EA1"/>
    <w:rsid w:val="00FE6F14"/>
    <w:rsid w:val="00FE7437"/>
    <w:rsid w:val="00FE799B"/>
    <w:rsid w:val="00FE7EBD"/>
    <w:rsid w:val="00FF09D0"/>
    <w:rsid w:val="00FF0A58"/>
    <w:rsid w:val="00FF0A75"/>
    <w:rsid w:val="00FF0FBF"/>
    <w:rsid w:val="00FF1241"/>
    <w:rsid w:val="00FF14E7"/>
    <w:rsid w:val="00FF1892"/>
    <w:rsid w:val="00FF1915"/>
    <w:rsid w:val="00FF198C"/>
    <w:rsid w:val="00FF1A9B"/>
    <w:rsid w:val="00FF2C6E"/>
    <w:rsid w:val="00FF2E3D"/>
    <w:rsid w:val="00FF32FB"/>
    <w:rsid w:val="00FF3986"/>
    <w:rsid w:val="00FF3A27"/>
    <w:rsid w:val="00FF3AB2"/>
    <w:rsid w:val="00FF3CB7"/>
    <w:rsid w:val="00FF3F46"/>
    <w:rsid w:val="00FF409C"/>
    <w:rsid w:val="00FF43D5"/>
    <w:rsid w:val="00FF4FEE"/>
    <w:rsid w:val="00FF52F7"/>
    <w:rsid w:val="00FF5417"/>
    <w:rsid w:val="00FF5869"/>
    <w:rsid w:val="00FF5ADC"/>
    <w:rsid w:val="00FF5B3D"/>
    <w:rsid w:val="00FF5C6B"/>
    <w:rsid w:val="00FF5CAC"/>
    <w:rsid w:val="00FF5EEB"/>
    <w:rsid w:val="00FF6186"/>
    <w:rsid w:val="00FF65BC"/>
    <w:rsid w:val="00FF6A62"/>
    <w:rsid w:val="00FF6B15"/>
    <w:rsid w:val="00FF6B1B"/>
    <w:rsid w:val="00FF703D"/>
    <w:rsid w:val="00FF711A"/>
    <w:rsid w:val="00FF7128"/>
    <w:rsid w:val="00FF7144"/>
    <w:rsid w:val="00FF7151"/>
    <w:rsid w:val="00FF71DE"/>
    <w:rsid w:val="00FF7592"/>
    <w:rsid w:val="00FF770B"/>
    <w:rsid w:val="00FF78EA"/>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style="mso-width-relative:margin;mso-height-relative:margin" fill="f" fillcolor="white" stroke="f">
      <v:fill color="white" on="f"/>
      <v:stroke on="f"/>
    </o:shapedefaults>
    <o:shapelayout v:ext="edit">
      <o:idmap v:ext="edit" data="2"/>
    </o:shapelayout>
  </w:shapeDefaults>
  <w:decimalSymbol w:val="."/>
  <w:listSeparator w:val=","/>
  <w14:docId w14:val="11C71E38"/>
  <w15:docId w15:val="{A1F1253D-9E25-488A-B0F8-617331A7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21E"/>
    <w:rPr>
      <w:rFonts w:ascii="Arial" w:hAnsi="Arial"/>
      <w:sz w:val="19"/>
      <w:szCs w:val="24"/>
    </w:rPr>
  </w:style>
  <w:style w:type="paragraph" w:styleId="Heading1">
    <w:name w:val="heading 1"/>
    <w:basedOn w:val="Normal"/>
    <w:next w:val="Normal"/>
    <w:link w:val="Heading1Char"/>
    <w:qFormat/>
    <w:rsid w:val="00F9686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9661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16A5A"/>
    <w:pPr>
      <w:tabs>
        <w:tab w:val="center" w:pos="4153"/>
        <w:tab w:val="right" w:pos="8306"/>
      </w:tabs>
    </w:pPr>
  </w:style>
  <w:style w:type="paragraph" w:styleId="Footer">
    <w:name w:val="footer"/>
    <w:basedOn w:val="Normal"/>
    <w:rsid w:val="00E16A5A"/>
    <w:pPr>
      <w:tabs>
        <w:tab w:val="center" w:pos="4153"/>
        <w:tab w:val="right" w:pos="8306"/>
      </w:tabs>
    </w:pPr>
  </w:style>
  <w:style w:type="character" w:styleId="Hyperlink">
    <w:name w:val="Hyperlink"/>
    <w:rsid w:val="00C61CDA"/>
    <w:rPr>
      <w:rFonts w:ascii="Verdana" w:hAnsi="Verdana"/>
      <w:color w:val="000080"/>
      <w:sz w:val="18"/>
      <w:szCs w:val="18"/>
      <w:u w:val="single" w:color="000080"/>
    </w:rPr>
  </w:style>
  <w:style w:type="character" w:styleId="FollowedHyperlink">
    <w:name w:val="FollowedHyperlink"/>
    <w:rsid w:val="00C61CDA"/>
    <w:rPr>
      <w:rFonts w:ascii="Verdana" w:hAnsi="Verdana"/>
      <w:color w:val="800080"/>
      <w:sz w:val="18"/>
      <w:szCs w:val="18"/>
      <w:u w:val="single" w:color="800080"/>
    </w:rPr>
  </w:style>
  <w:style w:type="paragraph" w:styleId="BalloonText">
    <w:name w:val="Balloon Text"/>
    <w:basedOn w:val="Normal"/>
    <w:semiHidden/>
    <w:rsid w:val="00B53715"/>
    <w:rPr>
      <w:rFonts w:ascii="Tahoma" w:hAnsi="Tahoma" w:cs="Tahoma"/>
      <w:sz w:val="16"/>
      <w:szCs w:val="16"/>
    </w:rPr>
  </w:style>
  <w:style w:type="paragraph" w:customStyle="1" w:styleId="Default">
    <w:name w:val="Default"/>
    <w:rsid w:val="0076397D"/>
    <w:pPr>
      <w:autoSpaceDE w:val="0"/>
      <w:autoSpaceDN w:val="0"/>
      <w:adjustRightInd w:val="0"/>
    </w:pPr>
    <w:rPr>
      <w:rFonts w:ascii="Verdana" w:hAnsi="Verdana" w:cs="Verdana"/>
      <w:color w:val="000000"/>
      <w:sz w:val="24"/>
      <w:szCs w:val="24"/>
    </w:rPr>
  </w:style>
  <w:style w:type="character" w:styleId="CommentReference">
    <w:name w:val="annotation reference"/>
    <w:rsid w:val="00C273F9"/>
    <w:rPr>
      <w:sz w:val="16"/>
      <w:szCs w:val="16"/>
    </w:rPr>
  </w:style>
  <w:style w:type="paragraph" w:styleId="CommentText">
    <w:name w:val="annotation text"/>
    <w:basedOn w:val="Normal"/>
    <w:link w:val="CommentTextChar"/>
    <w:rsid w:val="00C273F9"/>
    <w:rPr>
      <w:sz w:val="20"/>
      <w:szCs w:val="20"/>
    </w:rPr>
  </w:style>
  <w:style w:type="character" w:customStyle="1" w:styleId="CommentTextChar">
    <w:name w:val="Comment Text Char"/>
    <w:basedOn w:val="DefaultParagraphFont"/>
    <w:link w:val="CommentText"/>
    <w:rsid w:val="00C273F9"/>
  </w:style>
  <w:style w:type="paragraph" w:styleId="CommentSubject">
    <w:name w:val="annotation subject"/>
    <w:basedOn w:val="CommentText"/>
    <w:next w:val="CommentText"/>
    <w:link w:val="CommentSubjectChar"/>
    <w:rsid w:val="00C273F9"/>
    <w:rPr>
      <w:b/>
      <w:bCs/>
    </w:rPr>
  </w:style>
  <w:style w:type="character" w:customStyle="1" w:styleId="CommentSubjectChar">
    <w:name w:val="Comment Subject Char"/>
    <w:link w:val="CommentSubject"/>
    <w:rsid w:val="00C273F9"/>
    <w:rPr>
      <w:b/>
      <w:bCs/>
    </w:rPr>
  </w:style>
  <w:style w:type="character" w:customStyle="1" w:styleId="Heading3Char">
    <w:name w:val="Heading 3 Char"/>
    <w:link w:val="Heading3"/>
    <w:semiHidden/>
    <w:rsid w:val="009661D0"/>
    <w:rPr>
      <w:rFonts w:ascii="Cambria" w:eastAsia="Times New Roman" w:hAnsi="Cambria" w:cs="Times New Roman"/>
      <w:b/>
      <w:bCs/>
      <w:sz w:val="26"/>
      <w:szCs w:val="26"/>
    </w:rPr>
  </w:style>
  <w:style w:type="character" w:customStyle="1" w:styleId="Heading1Char">
    <w:name w:val="Heading 1 Char"/>
    <w:link w:val="Heading1"/>
    <w:rsid w:val="00F96869"/>
    <w:rPr>
      <w:rFonts w:ascii="Cambria" w:eastAsia="Times New Roman" w:hAnsi="Cambria" w:cs="Times New Roman"/>
      <w:b/>
      <w:bCs/>
      <w:kern w:val="32"/>
      <w:sz w:val="32"/>
      <w:szCs w:val="32"/>
    </w:rPr>
  </w:style>
  <w:style w:type="paragraph" w:customStyle="1" w:styleId="Explanatorytext">
    <w:name w:val="Explanatory text"/>
    <w:basedOn w:val="Normal"/>
    <w:link w:val="ExplanatorytextChar"/>
    <w:qFormat/>
    <w:rsid w:val="00CD021E"/>
    <w:pPr>
      <w:tabs>
        <w:tab w:val="center" w:pos="3152"/>
      </w:tabs>
    </w:pPr>
    <w:rPr>
      <w:rFonts w:cs="Arial"/>
      <w:sz w:val="16"/>
      <w:szCs w:val="19"/>
      <w:lang w:val="en-US"/>
    </w:rPr>
  </w:style>
  <w:style w:type="character" w:customStyle="1" w:styleId="ExplanatorytextChar">
    <w:name w:val="Explanatory text Char"/>
    <w:basedOn w:val="DefaultParagraphFont"/>
    <w:link w:val="Explanatorytext"/>
    <w:rsid w:val="00CD021E"/>
    <w:rPr>
      <w:rFonts w:ascii="Arial" w:hAnsi="Arial" w:cs="Arial"/>
      <w:sz w:val="16"/>
      <w:szCs w:val="19"/>
      <w:lang w:val="en-US"/>
    </w:rPr>
  </w:style>
  <w:style w:type="paragraph" w:styleId="NormalWeb">
    <w:name w:val="Normal (Web)"/>
    <w:basedOn w:val="Normal"/>
    <w:semiHidden/>
    <w:unhideWhenUsed/>
    <w:rsid w:val="00CB5BC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2655">
      <w:bodyDiv w:val="1"/>
      <w:marLeft w:val="0"/>
      <w:marRight w:val="0"/>
      <w:marTop w:val="0"/>
      <w:marBottom w:val="0"/>
      <w:divBdr>
        <w:top w:val="none" w:sz="0" w:space="0" w:color="auto"/>
        <w:left w:val="none" w:sz="0" w:space="0" w:color="auto"/>
        <w:bottom w:val="none" w:sz="0" w:space="0" w:color="auto"/>
        <w:right w:val="none" w:sz="0" w:space="0" w:color="auto"/>
      </w:divBdr>
    </w:div>
    <w:div w:id="18940625">
      <w:bodyDiv w:val="1"/>
      <w:marLeft w:val="0"/>
      <w:marRight w:val="0"/>
      <w:marTop w:val="0"/>
      <w:marBottom w:val="0"/>
      <w:divBdr>
        <w:top w:val="none" w:sz="0" w:space="0" w:color="auto"/>
        <w:left w:val="none" w:sz="0" w:space="0" w:color="auto"/>
        <w:bottom w:val="none" w:sz="0" w:space="0" w:color="auto"/>
        <w:right w:val="none" w:sz="0" w:space="0" w:color="auto"/>
      </w:divBdr>
    </w:div>
    <w:div w:id="36780126">
      <w:bodyDiv w:val="1"/>
      <w:marLeft w:val="0"/>
      <w:marRight w:val="0"/>
      <w:marTop w:val="0"/>
      <w:marBottom w:val="0"/>
      <w:divBdr>
        <w:top w:val="none" w:sz="0" w:space="0" w:color="auto"/>
        <w:left w:val="none" w:sz="0" w:space="0" w:color="auto"/>
        <w:bottom w:val="none" w:sz="0" w:space="0" w:color="auto"/>
        <w:right w:val="none" w:sz="0" w:space="0" w:color="auto"/>
      </w:divBdr>
    </w:div>
    <w:div w:id="44254406">
      <w:bodyDiv w:val="1"/>
      <w:marLeft w:val="0"/>
      <w:marRight w:val="0"/>
      <w:marTop w:val="0"/>
      <w:marBottom w:val="0"/>
      <w:divBdr>
        <w:top w:val="none" w:sz="0" w:space="0" w:color="auto"/>
        <w:left w:val="none" w:sz="0" w:space="0" w:color="auto"/>
        <w:bottom w:val="none" w:sz="0" w:space="0" w:color="auto"/>
        <w:right w:val="none" w:sz="0" w:space="0" w:color="auto"/>
      </w:divBdr>
    </w:div>
    <w:div w:id="49577063">
      <w:bodyDiv w:val="1"/>
      <w:marLeft w:val="0"/>
      <w:marRight w:val="0"/>
      <w:marTop w:val="0"/>
      <w:marBottom w:val="0"/>
      <w:divBdr>
        <w:top w:val="none" w:sz="0" w:space="0" w:color="auto"/>
        <w:left w:val="none" w:sz="0" w:space="0" w:color="auto"/>
        <w:bottom w:val="none" w:sz="0" w:space="0" w:color="auto"/>
        <w:right w:val="none" w:sz="0" w:space="0" w:color="auto"/>
      </w:divBdr>
    </w:div>
    <w:div w:id="50203157">
      <w:bodyDiv w:val="1"/>
      <w:marLeft w:val="0"/>
      <w:marRight w:val="0"/>
      <w:marTop w:val="0"/>
      <w:marBottom w:val="0"/>
      <w:divBdr>
        <w:top w:val="none" w:sz="0" w:space="0" w:color="auto"/>
        <w:left w:val="none" w:sz="0" w:space="0" w:color="auto"/>
        <w:bottom w:val="none" w:sz="0" w:space="0" w:color="auto"/>
        <w:right w:val="none" w:sz="0" w:space="0" w:color="auto"/>
      </w:divBdr>
    </w:div>
    <w:div w:id="75133025">
      <w:bodyDiv w:val="1"/>
      <w:marLeft w:val="0"/>
      <w:marRight w:val="0"/>
      <w:marTop w:val="0"/>
      <w:marBottom w:val="0"/>
      <w:divBdr>
        <w:top w:val="none" w:sz="0" w:space="0" w:color="auto"/>
        <w:left w:val="none" w:sz="0" w:space="0" w:color="auto"/>
        <w:bottom w:val="none" w:sz="0" w:space="0" w:color="auto"/>
        <w:right w:val="none" w:sz="0" w:space="0" w:color="auto"/>
      </w:divBdr>
    </w:div>
    <w:div w:id="105078129">
      <w:bodyDiv w:val="1"/>
      <w:marLeft w:val="0"/>
      <w:marRight w:val="0"/>
      <w:marTop w:val="0"/>
      <w:marBottom w:val="0"/>
      <w:divBdr>
        <w:top w:val="none" w:sz="0" w:space="0" w:color="auto"/>
        <w:left w:val="none" w:sz="0" w:space="0" w:color="auto"/>
        <w:bottom w:val="none" w:sz="0" w:space="0" w:color="auto"/>
        <w:right w:val="none" w:sz="0" w:space="0" w:color="auto"/>
      </w:divBdr>
    </w:div>
    <w:div w:id="166293802">
      <w:bodyDiv w:val="1"/>
      <w:marLeft w:val="0"/>
      <w:marRight w:val="0"/>
      <w:marTop w:val="0"/>
      <w:marBottom w:val="0"/>
      <w:divBdr>
        <w:top w:val="none" w:sz="0" w:space="0" w:color="auto"/>
        <w:left w:val="none" w:sz="0" w:space="0" w:color="auto"/>
        <w:bottom w:val="none" w:sz="0" w:space="0" w:color="auto"/>
        <w:right w:val="none" w:sz="0" w:space="0" w:color="auto"/>
      </w:divBdr>
    </w:div>
    <w:div w:id="182062482">
      <w:bodyDiv w:val="1"/>
      <w:marLeft w:val="0"/>
      <w:marRight w:val="0"/>
      <w:marTop w:val="0"/>
      <w:marBottom w:val="0"/>
      <w:divBdr>
        <w:top w:val="none" w:sz="0" w:space="0" w:color="auto"/>
        <w:left w:val="none" w:sz="0" w:space="0" w:color="auto"/>
        <w:bottom w:val="none" w:sz="0" w:space="0" w:color="auto"/>
        <w:right w:val="none" w:sz="0" w:space="0" w:color="auto"/>
      </w:divBdr>
    </w:div>
    <w:div w:id="188568170">
      <w:bodyDiv w:val="1"/>
      <w:marLeft w:val="0"/>
      <w:marRight w:val="0"/>
      <w:marTop w:val="0"/>
      <w:marBottom w:val="0"/>
      <w:divBdr>
        <w:top w:val="none" w:sz="0" w:space="0" w:color="auto"/>
        <w:left w:val="none" w:sz="0" w:space="0" w:color="auto"/>
        <w:bottom w:val="none" w:sz="0" w:space="0" w:color="auto"/>
        <w:right w:val="none" w:sz="0" w:space="0" w:color="auto"/>
      </w:divBdr>
    </w:div>
    <w:div w:id="196285041">
      <w:bodyDiv w:val="1"/>
      <w:marLeft w:val="0"/>
      <w:marRight w:val="0"/>
      <w:marTop w:val="0"/>
      <w:marBottom w:val="0"/>
      <w:divBdr>
        <w:top w:val="none" w:sz="0" w:space="0" w:color="auto"/>
        <w:left w:val="none" w:sz="0" w:space="0" w:color="auto"/>
        <w:bottom w:val="none" w:sz="0" w:space="0" w:color="auto"/>
        <w:right w:val="none" w:sz="0" w:space="0" w:color="auto"/>
      </w:divBdr>
    </w:div>
    <w:div w:id="205456442">
      <w:bodyDiv w:val="1"/>
      <w:marLeft w:val="0"/>
      <w:marRight w:val="0"/>
      <w:marTop w:val="0"/>
      <w:marBottom w:val="0"/>
      <w:divBdr>
        <w:top w:val="none" w:sz="0" w:space="0" w:color="auto"/>
        <w:left w:val="none" w:sz="0" w:space="0" w:color="auto"/>
        <w:bottom w:val="none" w:sz="0" w:space="0" w:color="auto"/>
        <w:right w:val="none" w:sz="0" w:space="0" w:color="auto"/>
      </w:divBdr>
    </w:div>
    <w:div w:id="225457942">
      <w:bodyDiv w:val="1"/>
      <w:marLeft w:val="0"/>
      <w:marRight w:val="0"/>
      <w:marTop w:val="0"/>
      <w:marBottom w:val="0"/>
      <w:divBdr>
        <w:top w:val="none" w:sz="0" w:space="0" w:color="auto"/>
        <w:left w:val="none" w:sz="0" w:space="0" w:color="auto"/>
        <w:bottom w:val="none" w:sz="0" w:space="0" w:color="auto"/>
        <w:right w:val="none" w:sz="0" w:space="0" w:color="auto"/>
      </w:divBdr>
    </w:div>
    <w:div w:id="241646439">
      <w:bodyDiv w:val="1"/>
      <w:marLeft w:val="0"/>
      <w:marRight w:val="0"/>
      <w:marTop w:val="0"/>
      <w:marBottom w:val="0"/>
      <w:divBdr>
        <w:top w:val="none" w:sz="0" w:space="0" w:color="auto"/>
        <w:left w:val="none" w:sz="0" w:space="0" w:color="auto"/>
        <w:bottom w:val="none" w:sz="0" w:space="0" w:color="auto"/>
        <w:right w:val="none" w:sz="0" w:space="0" w:color="auto"/>
      </w:divBdr>
    </w:div>
    <w:div w:id="262612622">
      <w:bodyDiv w:val="1"/>
      <w:marLeft w:val="0"/>
      <w:marRight w:val="0"/>
      <w:marTop w:val="0"/>
      <w:marBottom w:val="0"/>
      <w:divBdr>
        <w:top w:val="none" w:sz="0" w:space="0" w:color="auto"/>
        <w:left w:val="none" w:sz="0" w:space="0" w:color="auto"/>
        <w:bottom w:val="none" w:sz="0" w:space="0" w:color="auto"/>
        <w:right w:val="none" w:sz="0" w:space="0" w:color="auto"/>
      </w:divBdr>
    </w:div>
    <w:div w:id="268316975">
      <w:bodyDiv w:val="1"/>
      <w:marLeft w:val="0"/>
      <w:marRight w:val="0"/>
      <w:marTop w:val="0"/>
      <w:marBottom w:val="0"/>
      <w:divBdr>
        <w:top w:val="none" w:sz="0" w:space="0" w:color="auto"/>
        <w:left w:val="none" w:sz="0" w:space="0" w:color="auto"/>
        <w:bottom w:val="none" w:sz="0" w:space="0" w:color="auto"/>
        <w:right w:val="none" w:sz="0" w:space="0" w:color="auto"/>
      </w:divBdr>
    </w:div>
    <w:div w:id="271980019">
      <w:bodyDiv w:val="1"/>
      <w:marLeft w:val="0"/>
      <w:marRight w:val="0"/>
      <w:marTop w:val="0"/>
      <w:marBottom w:val="0"/>
      <w:divBdr>
        <w:top w:val="none" w:sz="0" w:space="0" w:color="auto"/>
        <w:left w:val="none" w:sz="0" w:space="0" w:color="auto"/>
        <w:bottom w:val="none" w:sz="0" w:space="0" w:color="auto"/>
        <w:right w:val="none" w:sz="0" w:space="0" w:color="auto"/>
      </w:divBdr>
    </w:div>
    <w:div w:id="281309733">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301160891">
      <w:bodyDiv w:val="1"/>
      <w:marLeft w:val="0"/>
      <w:marRight w:val="0"/>
      <w:marTop w:val="0"/>
      <w:marBottom w:val="0"/>
      <w:divBdr>
        <w:top w:val="none" w:sz="0" w:space="0" w:color="auto"/>
        <w:left w:val="none" w:sz="0" w:space="0" w:color="auto"/>
        <w:bottom w:val="none" w:sz="0" w:space="0" w:color="auto"/>
        <w:right w:val="none" w:sz="0" w:space="0" w:color="auto"/>
      </w:divBdr>
    </w:div>
    <w:div w:id="304697955">
      <w:bodyDiv w:val="1"/>
      <w:marLeft w:val="0"/>
      <w:marRight w:val="0"/>
      <w:marTop w:val="0"/>
      <w:marBottom w:val="0"/>
      <w:divBdr>
        <w:top w:val="none" w:sz="0" w:space="0" w:color="auto"/>
        <w:left w:val="none" w:sz="0" w:space="0" w:color="auto"/>
        <w:bottom w:val="none" w:sz="0" w:space="0" w:color="auto"/>
        <w:right w:val="none" w:sz="0" w:space="0" w:color="auto"/>
      </w:divBdr>
    </w:div>
    <w:div w:id="313025055">
      <w:bodyDiv w:val="1"/>
      <w:marLeft w:val="0"/>
      <w:marRight w:val="0"/>
      <w:marTop w:val="0"/>
      <w:marBottom w:val="0"/>
      <w:divBdr>
        <w:top w:val="none" w:sz="0" w:space="0" w:color="auto"/>
        <w:left w:val="none" w:sz="0" w:space="0" w:color="auto"/>
        <w:bottom w:val="none" w:sz="0" w:space="0" w:color="auto"/>
        <w:right w:val="none" w:sz="0" w:space="0" w:color="auto"/>
      </w:divBdr>
    </w:div>
    <w:div w:id="329790941">
      <w:bodyDiv w:val="1"/>
      <w:marLeft w:val="0"/>
      <w:marRight w:val="0"/>
      <w:marTop w:val="0"/>
      <w:marBottom w:val="0"/>
      <w:divBdr>
        <w:top w:val="none" w:sz="0" w:space="0" w:color="auto"/>
        <w:left w:val="none" w:sz="0" w:space="0" w:color="auto"/>
        <w:bottom w:val="none" w:sz="0" w:space="0" w:color="auto"/>
        <w:right w:val="none" w:sz="0" w:space="0" w:color="auto"/>
      </w:divBdr>
    </w:div>
    <w:div w:id="350422774">
      <w:bodyDiv w:val="1"/>
      <w:marLeft w:val="0"/>
      <w:marRight w:val="0"/>
      <w:marTop w:val="0"/>
      <w:marBottom w:val="0"/>
      <w:divBdr>
        <w:top w:val="none" w:sz="0" w:space="0" w:color="auto"/>
        <w:left w:val="none" w:sz="0" w:space="0" w:color="auto"/>
        <w:bottom w:val="none" w:sz="0" w:space="0" w:color="auto"/>
        <w:right w:val="none" w:sz="0" w:space="0" w:color="auto"/>
      </w:divBdr>
    </w:div>
    <w:div w:id="353506112">
      <w:bodyDiv w:val="1"/>
      <w:marLeft w:val="0"/>
      <w:marRight w:val="0"/>
      <w:marTop w:val="0"/>
      <w:marBottom w:val="0"/>
      <w:divBdr>
        <w:top w:val="none" w:sz="0" w:space="0" w:color="auto"/>
        <w:left w:val="none" w:sz="0" w:space="0" w:color="auto"/>
        <w:bottom w:val="none" w:sz="0" w:space="0" w:color="auto"/>
        <w:right w:val="none" w:sz="0" w:space="0" w:color="auto"/>
      </w:divBdr>
    </w:div>
    <w:div w:id="357661603">
      <w:bodyDiv w:val="1"/>
      <w:marLeft w:val="0"/>
      <w:marRight w:val="0"/>
      <w:marTop w:val="0"/>
      <w:marBottom w:val="0"/>
      <w:divBdr>
        <w:top w:val="none" w:sz="0" w:space="0" w:color="auto"/>
        <w:left w:val="none" w:sz="0" w:space="0" w:color="auto"/>
        <w:bottom w:val="none" w:sz="0" w:space="0" w:color="auto"/>
        <w:right w:val="none" w:sz="0" w:space="0" w:color="auto"/>
      </w:divBdr>
    </w:div>
    <w:div w:id="410395297">
      <w:bodyDiv w:val="1"/>
      <w:marLeft w:val="0"/>
      <w:marRight w:val="0"/>
      <w:marTop w:val="0"/>
      <w:marBottom w:val="0"/>
      <w:divBdr>
        <w:top w:val="none" w:sz="0" w:space="0" w:color="auto"/>
        <w:left w:val="none" w:sz="0" w:space="0" w:color="auto"/>
        <w:bottom w:val="none" w:sz="0" w:space="0" w:color="auto"/>
        <w:right w:val="none" w:sz="0" w:space="0" w:color="auto"/>
      </w:divBdr>
    </w:div>
    <w:div w:id="440492896">
      <w:bodyDiv w:val="1"/>
      <w:marLeft w:val="0"/>
      <w:marRight w:val="0"/>
      <w:marTop w:val="0"/>
      <w:marBottom w:val="0"/>
      <w:divBdr>
        <w:top w:val="none" w:sz="0" w:space="0" w:color="auto"/>
        <w:left w:val="none" w:sz="0" w:space="0" w:color="auto"/>
        <w:bottom w:val="none" w:sz="0" w:space="0" w:color="auto"/>
        <w:right w:val="none" w:sz="0" w:space="0" w:color="auto"/>
      </w:divBdr>
    </w:div>
    <w:div w:id="470828134">
      <w:bodyDiv w:val="1"/>
      <w:marLeft w:val="0"/>
      <w:marRight w:val="0"/>
      <w:marTop w:val="0"/>
      <w:marBottom w:val="0"/>
      <w:divBdr>
        <w:top w:val="none" w:sz="0" w:space="0" w:color="auto"/>
        <w:left w:val="none" w:sz="0" w:space="0" w:color="auto"/>
        <w:bottom w:val="none" w:sz="0" w:space="0" w:color="auto"/>
        <w:right w:val="none" w:sz="0" w:space="0" w:color="auto"/>
      </w:divBdr>
    </w:div>
    <w:div w:id="480464002">
      <w:bodyDiv w:val="1"/>
      <w:marLeft w:val="0"/>
      <w:marRight w:val="0"/>
      <w:marTop w:val="0"/>
      <w:marBottom w:val="0"/>
      <w:divBdr>
        <w:top w:val="none" w:sz="0" w:space="0" w:color="auto"/>
        <w:left w:val="none" w:sz="0" w:space="0" w:color="auto"/>
        <w:bottom w:val="none" w:sz="0" w:space="0" w:color="auto"/>
        <w:right w:val="none" w:sz="0" w:space="0" w:color="auto"/>
      </w:divBdr>
    </w:div>
    <w:div w:id="496532464">
      <w:bodyDiv w:val="1"/>
      <w:marLeft w:val="0"/>
      <w:marRight w:val="0"/>
      <w:marTop w:val="0"/>
      <w:marBottom w:val="0"/>
      <w:divBdr>
        <w:top w:val="none" w:sz="0" w:space="0" w:color="auto"/>
        <w:left w:val="none" w:sz="0" w:space="0" w:color="auto"/>
        <w:bottom w:val="none" w:sz="0" w:space="0" w:color="auto"/>
        <w:right w:val="none" w:sz="0" w:space="0" w:color="auto"/>
      </w:divBdr>
    </w:div>
    <w:div w:id="505635167">
      <w:bodyDiv w:val="1"/>
      <w:marLeft w:val="0"/>
      <w:marRight w:val="0"/>
      <w:marTop w:val="0"/>
      <w:marBottom w:val="0"/>
      <w:divBdr>
        <w:top w:val="none" w:sz="0" w:space="0" w:color="auto"/>
        <w:left w:val="none" w:sz="0" w:space="0" w:color="auto"/>
        <w:bottom w:val="none" w:sz="0" w:space="0" w:color="auto"/>
        <w:right w:val="none" w:sz="0" w:space="0" w:color="auto"/>
      </w:divBdr>
    </w:div>
    <w:div w:id="526722528">
      <w:bodyDiv w:val="1"/>
      <w:marLeft w:val="0"/>
      <w:marRight w:val="0"/>
      <w:marTop w:val="0"/>
      <w:marBottom w:val="0"/>
      <w:divBdr>
        <w:top w:val="none" w:sz="0" w:space="0" w:color="auto"/>
        <w:left w:val="none" w:sz="0" w:space="0" w:color="auto"/>
        <w:bottom w:val="none" w:sz="0" w:space="0" w:color="auto"/>
        <w:right w:val="none" w:sz="0" w:space="0" w:color="auto"/>
      </w:divBdr>
    </w:div>
    <w:div w:id="546260429">
      <w:bodyDiv w:val="1"/>
      <w:marLeft w:val="0"/>
      <w:marRight w:val="0"/>
      <w:marTop w:val="0"/>
      <w:marBottom w:val="0"/>
      <w:divBdr>
        <w:top w:val="none" w:sz="0" w:space="0" w:color="auto"/>
        <w:left w:val="none" w:sz="0" w:space="0" w:color="auto"/>
        <w:bottom w:val="none" w:sz="0" w:space="0" w:color="auto"/>
        <w:right w:val="none" w:sz="0" w:space="0" w:color="auto"/>
      </w:divBdr>
    </w:div>
    <w:div w:id="576134585">
      <w:bodyDiv w:val="1"/>
      <w:marLeft w:val="0"/>
      <w:marRight w:val="0"/>
      <w:marTop w:val="0"/>
      <w:marBottom w:val="0"/>
      <w:divBdr>
        <w:top w:val="none" w:sz="0" w:space="0" w:color="auto"/>
        <w:left w:val="none" w:sz="0" w:space="0" w:color="auto"/>
        <w:bottom w:val="none" w:sz="0" w:space="0" w:color="auto"/>
        <w:right w:val="none" w:sz="0" w:space="0" w:color="auto"/>
      </w:divBdr>
    </w:div>
    <w:div w:id="596445269">
      <w:bodyDiv w:val="1"/>
      <w:marLeft w:val="0"/>
      <w:marRight w:val="0"/>
      <w:marTop w:val="0"/>
      <w:marBottom w:val="0"/>
      <w:divBdr>
        <w:top w:val="none" w:sz="0" w:space="0" w:color="auto"/>
        <w:left w:val="none" w:sz="0" w:space="0" w:color="auto"/>
        <w:bottom w:val="none" w:sz="0" w:space="0" w:color="auto"/>
        <w:right w:val="none" w:sz="0" w:space="0" w:color="auto"/>
      </w:divBdr>
    </w:div>
    <w:div w:id="604581575">
      <w:bodyDiv w:val="1"/>
      <w:marLeft w:val="0"/>
      <w:marRight w:val="0"/>
      <w:marTop w:val="0"/>
      <w:marBottom w:val="0"/>
      <w:divBdr>
        <w:top w:val="none" w:sz="0" w:space="0" w:color="auto"/>
        <w:left w:val="none" w:sz="0" w:space="0" w:color="auto"/>
        <w:bottom w:val="none" w:sz="0" w:space="0" w:color="auto"/>
        <w:right w:val="none" w:sz="0" w:space="0" w:color="auto"/>
      </w:divBdr>
    </w:div>
    <w:div w:id="641154061">
      <w:bodyDiv w:val="1"/>
      <w:marLeft w:val="0"/>
      <w:marRight w:val="0"/>
      <w:marTop w:val="0"/>
      <w:marBottom w:val="0"/>
      <w:divBdr>
        <w:top w:val="none" w:sz="0" w:space="0" w:color="auto"/>
        <w:left w:val="none" w:sz="0" w:space="0" w:color="auto"/>
        <w:bottom w:val="none" w:sz="0" w:space="0" w:color="auto"/>
        <w:right w:val="none" w:sz="0" w:space="0" w:color="auto"/>
      </w:divBdr>
    </w:div>
    <w:div w:id="651788207">
      <w:bodyDiv w:val="1"/>
      <w:marLeft w:val="0"/>
      <w:marRight w:val="0"/>
      <w:marTop w:val="0"/>
      <w:marBottom w:val="0"/>
      <w:divBdr>
        <w:top w:val="none" w:sz="0" w:space="0" w:color="auto"/>
        <w:left w:val="none" w:sz="0" w:space="0" w:color="auto"/>
        <w:bottom w:val="none" w:sz="0" w:space="0" w:color="auto"/>
        <w:right w:val="none" w:sz="0" w:space="0" w:color="auto"/>
      </w:divBdr>
    </w:div>
    <w:div w:id="686950297">
      <w:bodyDiv w:val="1"/>
      <w:marLeft w:val="0"/>
      <w:marRight w:val="0"/>
      <w:marTop w:val="0"/>
      <w:marBottom w:val="0"/>
      <w:divBdr>
        <w:top w:val="none" w:sz="0" w:space="0" w:color="auto"/>
        <w:left w:val="none" w:sz="0" w:space="0" w:color="auto"/>
        <w:bottom w:val="none" w:sz="0" w:space="0" w:color="auto"/>
        <w:right w:val="none" w:sz="0" w:space="0" w:color="auto"/>
      </w:divBdr>
    </w:div>
    <w:div w:id="716705382">
      <w:bodyDiv w:val="1"/>
      <w:marLeft w:val="0"/>
      <w:marRight w:val="0"/>
      <w:marTop w:val="0"/>
      <w:marBottom w:val="0"/>
      <w:divBdr>
        <w:top w:val="none" w:sz="0" w:space="0" w:color="auto"/>
        <w:left w:val="none" w:sz="0" w:space="0" w:color="auto"/>
        <w:bottom w:val="none" w:sz="0" w:space="0" w:color="auto"/>
        <w:right w:val="none" w:sz="0" w:space="0" w:color="auto"/>
      </w:divBdr>
    </w:div>
    <w:div w:id="719551592">
      <w:bodyDiv w:val="1"/>
      <w:marLeft w:val="0"/>
      <w:marRight w:val="0"/>
      <w:marTop w:val="0"/>
      <w:marBottom w:val="0"/>
      <w:divBdr>
        <w:top w:val="none" w:sz="0" w:space="0" w:color="auto"/>
        <w:left w:val="none" w:sz="0" w:space="0" w:color="auto"/>
        <w:bottom w:val="none" w:sz="0" w:space="0" w:color="auto"/>
        <w:right w:val="none" w:sz="0" w:space="0" w:color="auto"/>
      </w:divBdr>
    </w:div>
    <w:div w:id="768159267">
      <w:bodyDiv w:val="1"/>
      <w:marLeft w:val="0"/>
      <w:marRight w:val="0"/>
      <w:marTop w:val="0"/>
      <w:marBottom w:val="0"/>
      <w:divBdr>
        <w:top w:val="none" w:sz="0" w:space="0" w:color="auto"/>
        <w:left w:val="none" w:sz="0" w:space="0" w:color="auto"/>
        <w:bottom w:val="none" w:sz="0" w:space="0" w:color="auto"/>
        <w:right w:val="none" w:sz="0" w:space="0" w:color="auto"/>
      </w:divBdr>
    </w:div>
    <w:div w:id="775758363">
      <w:bodyDiv w:val="1"/>
      <w:marLeft w:val="0"/>
      <w:marRight w:val="0"/>
      <w:marTop w:val="0"/>
      <w:marBottom w:val="0"/>
      <w:divBdr>
        <w:top w:val="none" w:sz="0" w:space="0" w:color="auto"/>
        <w:left w:val="none" w:sz="0" w:space="0" w:color="auto"/>
        <w:bottom w:val="none" w:sz="0" w:space="0" w:color="auto"/>
        <w:right w:val="none" w:sz="0" w:space="0" w:color="auto"/>
      </w:divBdr>
    </w:div>
    <w:div w:id="775835043">
      <w:bodyDiv w:val="1"/>
      <w:marLeft w:val="0"/>
      <w:marRight w:val="0"/>
      <w:marTop w:val="0"/>
      <w:marBottom w:val="0"/>
      <w:divBdr>
        <w:top w:val="none" w:sz="0" w:space="0" w:color="auto"/>
        <w:left w:val="none" w:sz="0" w:space="0" w:color="auto"/>
        <w:bottom w:val="none" w:sz="0" w:space="0" w:color="auto"/>
        <w:right w:val="none" w:sz="0" w:space="0" w:color="auto"/>
      </w:divBdr>
    </w:div>
    <w:div w:id="812259928">
      <w:bodyDiv w:val="1"/>
      <w:marLeft w:val="0"/>
      <w:marRight w:val="0"/>
      <w:marTop w:val="0"/>
      <w:marBottom w:val="0"/>
      <w:divBdr>
        <w:top w:val="none" w:sz="0" w:space="0" w:color="auto"/>
        <w:left w:val="none" w:sz="0" w:space="0" w:color="auto"/>
        <w:bottom w:val="none" w:sz="0" w:space="0" w:color="auto"/>
        <w:right w:val="none" w:sz="0" w:space="0" w:color="auto"/>
      </w:divBdr>
    </w:div>
    <w:div w:id="836308796">
      <w:bodyDiv w:val="1"/>
      <w:marLeft w:val="0"/>
      <w:marRight w:val="0"/>
      <w:marTop w:val="0"/>
      <w:marBottom w:val="0"/>
      <w:divBdr>
        <w:top w:val="none" w:sz="0" w:space="0" w:color="auto"/>
        <w:left w:val="none" w:sz="0" w:space="0" w:color="auto"/>
        <w:bottom w:val="none" w:sz="0" w:space="0" w:color="auto"/>
        <w:right w:val="none" w:sz="0" w:space="0" w:color="auto"/>
      </w:divBdr>
    </w:div>
    <w:div w:id="845486405">
      <w:bodyDiv w:val="1"/>
      <w:marLeft w:val="0"/>
      <w:marRight w:val="0"/>
      <w:marTop w:val="0"/>
      <w:marBottom w:val="0"/>
      <w:divBdr>
        <w:top w:val="none" w:sz="0" w:space="0" w:color="auto"/>
        <w:left w:val="none" w:sz="0" w:space="0" w:color="auto"/>
        <w:bottom w:val="none" w:sz="0" w:space="0" w:color="auto"/>
        <w:right w:val="none" w:sz="0" w:space="0" w:color="auto"/>
      </w:divBdr>
    </w:div>
    <w:div w:id="850342537">
      <w:bodyDiv w:val="1"/>
      <w:marLeft w:val="0"/>
      <w:marRight w:val="0"/>
      <w:marTop w:val="0"/>
      <w:marBottom w:val="0"/>
      <w:divBdr>
        <w:top w:val="none" w:sz="0" w:space="0" w:color="auto"/>
        <w:left w:val="none" w:sz="0" w:space="0" w:color="auto"/>
        <w:bottom w:val="none" w:sz="0" w:space="0" w:color="auto"/>
        <w:right w:val="none" w:sz="0" w:space="0" w:color="auto"/>
      </w:divBdr>
    </w:div>
    <w:div w:id="893154804">
      <w:bodyDiv w:val="1"/>
      <w:marLeft w:val="0"/>
      <w:marRight w:val="0"/>
      <w:marTop w:val="0"/>
      <w:marBottom w:val="0"/>
      <w:divBdr>
        <w:top w:val="none" w:sz="0" w:space="0" w:color="auto"/>
        <w:left w:val="none" w:sz="0" w:space="0" w:color="auto"/>
        <w:bottom w:val="none" w:sz="0" w:space="0" w:color="auto"/>
        <w:right w:val="none" w:sz="0" w:space="0" w:color="auto"/>
      </w:divBdr>
    </w:div>
    <w:div w:id="901251177">
      <w:bodyDiv w:val="1"/>
      <w:marLeft w:val="0"/>
      <w:marRight w:val="0"/>
      <w:marTop w:val="0"/>
      <w:marBottom w:val="0"/>
      <w:divBdr>
        <w:top w:val="none" w:sz="0" w:space="0" w:color="auto"/>
        <w:left w:val="none" w:sz="0" w:space="0" w:color="auto"/>
        <w:bottom w:val="none" w:sz="0" w:space="0" w:color="auto"/>
        <w:right w:val="none" w:sz="0" w:space="0" w:color="auto"/>
      </w:divBdr>
    </w:div>
    <w:div w:id="937711592">
      <w:bodyDiv w:val="1"/>
      <w:marLeft w:val="0"/>
      <w:marRight w:val="0"/>
      <w:marTop w:val="0"/>
      <w:marBottom w:val="0"/>
      <w:divBdr>
        <w:top w:val="none" w:sz="0" w:space="0" w:color="auto"/>
        <w:left w:val="none" w:sz="0" w:space="0" w:color="auto"/>
        <w:bottom w:val="none" w:sz="0" w:space="0" w:color="auto"/>
        <w:right w:val="none" w:sz="0" w:space="0" w:color="auto"/>
      </w:divBdr>
    </w:div>
    <w:div w:id="960039579">
      <w:bodyDiv w:val="1"/>
      <w:marLeft w:val="0"/>
      <w:marRight w:val="0"/>
      <w:marTop w:val="0"/>
      <w:marBottom w:val="0"/>
      <w:divBdr>
        <w:top w:val="none" w:sz="0" w:space="0" w:color="auto"/>
        <w:left w:val="none" w:sz="0" w:space="0" w:color="auto"/>
        <w:bottom w:val="none" w:sz="0" w:space="0" w:color="auto"/>
        <w:right w:val="none" w:sz="0" w:space="0" w:color="auto"/>
      </w:divBdr>
    </w:div>
    <w:div w:id="990794495">
      <w:bodyDiv w:val="1"/>
      <w:marLeft w:val="0"/>
      <w:marRight w:val="0"/>
      <w:marTop w:val="0"/>
      <w:marBottom w:val="0"/>
      <w:divBdr>
        <w:top w:val="none" w:sz="0" w:space="0" w:color="auto"/>
        <w:left w:val="none" w:sz="0" w:space="0" w:color="auto"/>
        <w:bottom w:val="none" w:sz="0" w:space="0" w:color="auto"/>
        <w:right w:val="none" w:sz="0" w:space="0" w:color="auto"/>
      </w:divBdr>
    </w:div>
    <w:div w:id="1000737428">
      <w:bodyDiv w:val="1"/>
      <w:marLeft w:val="0"/>
      <w:marRight w:val="0"/>
      <w:marTop w:val="0"/>
      <w:marBottom w:val="0"/>
      <w:divBdr>
        <w:top w:val="none" w:sz="0" w:space="0" w:color="auto"/>
        <w:left w:val="none" w:sz="0" w:space="0" w:color="auto"/>
        <w:bottom w:val="none" w:sz="0" w:space="0" w:color="auto"/>
        <w:right w:val="none" w:sz="0" w:space="0" w:color="auto"/>
      </w:divBdr>
    </w:div>
    <w:div w:id="1011302341">
      <w:bodyDiv w:val="1"/>
      <w:marLeft w:val="0"/>
      <w:marRight w:val="0"/>
      <w:marTop w:val="0"/>
      <w:marBottom w:val="0"/>
      <w:divBdr>
        <w:top w:val="none" w:sz="0" w:space="0" w:color="auto"/>
        <w:left w:val="none" w:sz="0" w:space="0" w:color="auto"/>
        <w:bottom w:val="none" w:sz="0" w:space="0" w:color="auto"/>
        <w:right w:val="none" w:sz="0" w:space="0" w:color="auto"/>
      </w:divBdr>
    </w:div>
    <w:div w:id="1037196896">
      <w:bodyDiv w:val="1"/>
      <w:marLeft w:val="0"/>
      <w:marRight w:val="0"/>
      <w:marTop w:val="0"/>
      <w:marBottom w:val="0"/>
      <w:divBdr>
        <w:top w:val="none" w:sz="0" w:space="0" w:color="auto"/>
        <w:left w:val="none" w:sz="0" w:space="0" w:color="auto"/>
        <w:bottom w:val="none" w:sz="0" w:space="0" w:color="auto"/>
        <w:right w:val="none" w:sz="0" w:space="0" w:color="auto"/>
      </w:divBdr>
    </w:div>
    <w:div w:id="1043209617">
      <w:bodyDiv w:val="1"/>
      <w:marLeft w:val="0"/>
      <w:marRight w:val="0"/>
      <w:marTop w:val="0"/>
      <w:marBottom w:val="0"/>
      <w:divBdr>
        <w:top w:val="none" w:sz="0" w:space="0" w:color="auto"/>
        <w:left w:val="none" w:sz="0" w:space="0" w:color="auto"/>
        <w:bottom w:val="none" w:sz="0" w:space="0" w:color="auto"/>
        <w:right w:val="none" w:sz="0" w:space="0" w:color="auto"/>
      </w:divBdr>
    </w:div>
    <w:div w:id="1095320843">
      <w:bodyDiv w:val="1"/>
      <w:marLeft w:val="0"/>
      <w:marRight w:val="0"/>
      <w:marTop w:val="0"/>
      <w:marBottom w:val="0"/>
      <w:divBdr>
        <w:top w:val="none" w:sz="0" w:space="0" w:color="auto"/>
        <w:left w:val="none" w:sz="0" w:space="0" w:color="auto"/>
        <w:bottom w:val="none" w:sz="0" w:space="0" w:color="auto"/>
        <w:right w:val="none" w:sz="0" w:space="0" w:color="auto"/>
      </w:divBdr>
    </w:div>
    <w:div w:id="1115445023">
      <w:bodyDiv w:val="1"/>
      <w:marLeft w:val="0"/>
      <w:marRight w:val="0"/>
      <w:marTop w:val="0"/>
      <w:marBottom w:val="0"/>
      <w:divBdr>
        <w:top w:val="none" w:sz="0" w:space="0" w:color="auto"/>
        <w:left w:val="none" w:sz="0" w:space="0" w:color="auto"/>
        <w:bottom w:val="none" w:sz="0" w:space="0" w:color="auto"/>
        <w:right w:val="none" w:sz="0" w:space="0" w:color="auto"/>
      </w:divBdr>
    </w:div>
    <w:div w:id="1154033411">
      <w:bodyDiv w:val="1"/>
      <w:marLeft w:val="0"/>
      <w:marRight w:val="0"/>
      <w:marTop w:val="0"/>
      <w:marBottom w:val="0"/>
      <w:divBdr>
        <w:top w:val="none" w:sz="0" w:space="0" w:color="auto"/>
        <w:left w:val="none" w:sz="0" w:space="0" w:color="auto"/>
        <w:bottom w:val="none" w:sz="0" w:space="0" w:color="auto"/>
        <w:right w:val="none" w:sz="0" w:space="0" w:color="auto"/>
      </w:divBdr>
    </w:div>
    <w:div w:id="1185905074">
      <w:bodyDiv w:val="1"/>
      <w:marLeft w:val="0"/>
      <w:marRight w:val="0"/>
      <w:marTop w:val="0"/>
      <w:marBottom w:val="0"/>
      <w:divBdr>
        <w:top w:val="none" w:sz="0" w:space="0" w:color="auto"/>
        <w:left w:val="none" w:sz="0" w:space="0" w:color="auto"/>
        <w:bottom w:val="none" w:sz="0" w:space="0" w:color="auto"/>
        <w:right w:val="none" w:sz="0" w:space="0" w:color="auto"/>
      </w:divBdr>
    </w:div>
    <w:div w:id="1198087235">
      <w:bodyDiv w:val="1"/>
      <w:marLeft w:val="0"/>
      <w:marRight w:val="0"/>
      <w:marTop w:val="0"/>
      <w:marBottom w:val="0"/>
      <w:divBdr>
        <w:top w:val="none" w:sz="0" w:space="0" w:color="auto"/>
        <w:left w:val="none" w:sz="0" w:space="0" w:color="auto"/>
        <w:bottom w:val="none" w:sz="0" w:space="0" w:color="auto"/>
        <w:right w:val="none" w:sz="0" w:space="0" w:color="auto"/>
      </w:divBdr>
    </w:div>
    <w:div w:id="1207252199">
      <w:bodyDiv w:val="1"/>
      <w:marLeft w:val="0"/>
      <w:marRight w:val="0"/>
      <w:marTop w:val="0"/>
      <w:marBottom w:val="0"/>
      <w:divBdr>
        <w:top w:val="none" w:sz="0" w:space="0" w:color="auto"/>
        <w:left w:val="none" w:sz="0" w:space="0" w:color="auto"/>
        <w:bottom w:val="none" w:sz="0" w:space="0" w:color="auto"/>
        <w:right w:val="none" w:sz="0" w:space="0" w:color="auto"/>
      </w:divBdr>
    </w:div>
    <w:div w:id="1234967197">
      <w:bodyDiv w:val="1"/>
      <w:marLeft w:val="0"/>
      <w:marRight w:val="0"/>
      <w:marTop w:val="0"/>
      <w:marBottom w:val="0"/>
      <w:divBdr>
        <w:top w:val="none" w:sz="0" w:space="0" w:color="auto"/>
        <w:left w:val="none" w:sz="0" w:space="0" w:color="auto"/>
        <w:bottom w:val="none" w:sz="0" w:space="0" w:color="auto"/>
        <w:right w:val="none" w:sz="0" w:space="0" w:color="auto"/>
      </w:divBdr>
    </w:div>
    <w:div w:id="1242712888">
      <w:bodyDiv w:val="1"/>
      <w:marLeft w:val="0"/>
      <w:marRight w:val="0"/>
      <w:marTop w:val="0"/>
      <w:marBottom w:val="0"/>
      <w:divBdr>
        <w:top w:val="none" w:sz="0" w:space="0" w:color="auto"/>
        <w:left w:val="none" w:sz="0" w:space="0" w:color="auto"/>
        <w:bottom w:val="none" w:sz="0" w:space="0" w:color="auto"/>
        <w:right w:val="none" w:sz="0" w:space="0" w:color="auto"/>
      </w:divBdr>
    </w:div>
    <w:div w:id="1265074049">
      <w:bodyDiv w:val="1"/>
      <w:marLeft w:val="0"/>
      <w:marRight w:val="0"/>
      <w:marTop w:val="0"/>
      <w:marBottom w:val="0"/>
      <w:divBdr>
        <w:top w:val="none" w:sz="0" w:space="0" w:color="auto"/>
        <w:left w:val="none" w:sz="0" w:space="0" w:color="auto"/>
        <w:bottom w:val="none" w:sz="0" w:space="0" w:color="auto"/>
        <w:right w:val="none" w:sz="0" w:space="0" w:color="auto"/>
      </w:divBdr>
    </w:div>
    <w:div w:id="1282154651">
      <w:bodyDiv w:val="1"/>
      <w:marLeft w:val="0"/>
      <w:marRight w:val="0"/>
      <w:marTop w:val="0"/>
      <w:marBottom w:val="0"/>
      <w:divBdr>
        <w:top w:val="none" w:sz="0" w:space="0" w:color="auto"/>
        <w:left w:val="none" w:sz="0" w:space="0" w:color="auto"/>
        <w:bottom w:val="none" w:sz="0" w:space="0" w:color="auto"/>
        <w:right w:val="none" w:sz="0" w:space="0" w:color="auto"/>
      </w:divBdr>
    </w:div>
    <w:div w:id="1294480727">
      <w:bodyDiv w:val="1"/>
      <w:marLeft w:val="0"/>
      <w:marRight w:val="0"/>
      <w:marTop w:val="0"/>
      <w:marBottom w:val="0"/>
      <w:divBdr>
        <w:top w:val="none" w:sz="0" w:space="0" w:color="auto"/>
        <w:left w:val="none" w:sz="0" w:space="0" w:color="auto"/>
        <w:bottom w:val="none" w:sz="0" w:space="0" w:color="auto"/>
        <w:right w:val="none" w:sz="0" w:space="0" w:color="auto"/>
      </w:divBdr>
    </w:div>
    <w:div w:id="1296526062">
      <w:bodyDiv w:val="1"/>
      <w:marLeft w:val="0"/>
      <w:marRight w:val="0"/>
      <w:marTop w:val="0"/>
      <w:marBottom w:val="0"/>
      <w:divBdr>
        <w:top w:val="none" w:sz="0" w:space="0" w:color="auto"/>
        <w:left w:val="none" w:sz="0" w:space="0" w:color="auto"/>
        <w:bottom w:val="none" w:sz="0" w:space="0" w:color="auto"/>
        <w:right w:val="none" w:sz="0" w:space="0" w:color="auto"/>
      </w:divBdr>
    </w:div>
    <w:div w:id="1389257293">
      <w:bodyDiv w:val="1"/>
      <w:marLeft w:val="0"/>
      <w:marRight w:val="0"/>
      <w:marTop w:val="0"/>
      <w:marBottom w:val="0"/>
      <w:divBdr>
        <w:top w:val="none" w:sz="0" w:space="0" w:color="auto"/>
        <w:left w:val="none" w:sz="0" w:space="0" w:color="auto"/>
        <w:bottom w:val="none" w:sz="0" w:space="0" w:color="auto"/>
        <w:right w:val="none" w:sz="0" w:space="0" w:color="auto"/>
      </w:divBdr>
    </w:div>
    <w:div w:id="1392968968">
      <w:bodyDiv w:val="1"/>
      <w:marLeft w:val="0"/>
      <w:marRight w:val="0"/>
      <w:marTop w:val="0"/>
      <w:marBottom w:val="0"/>
      <w:divBdr>
        <w:top w:val="none" w:sz="0" w:space="0" w:color="auto"/>
        <w:left w:val="none" w:sz="0" w:space="0" w:color="auto"/>
        <w:bottom w:val="none" w:sz="0" w:space="0" w:color="auto"/>
        <w:right w:val="none" w:sz="0" w:space="0" w:color="auto"/>
      </w:divBdr>
    </w:div>
    <w:div w:id="1397703627">
      <w:bodyDiv w:val="1"/>
      <w:marLeft w:val="0"/>
      <w:marRight w:val="0"/>
      <w:marTop w:val="0"/>
      <w:marBottom w:val="0"/>
      <w:divBdr>
        <w:top w:val="none" w:sz="0" w:space="0" w:color="auto"/>
        <w:left w:val="none" w:sz="0" w:space="0" w:color="auto"/>
        <w:bottom w:val="none" w:sz="0" w:space="0" w:color="auto"/>
        <w:right w:val="none" w:sz="0" w:space="0" w:color="auto"/>
      </w:divBdr>
    </w:div>
    <w:div w:id="1404990067">
      <w:bodyDiv w:val="1"/>
      <w:marLeft w:val="0"/>
      <w:marRight w:val="0"/>
      <w:marTop w:val="0"/>
      <w:marBottom w:val="0"/>
      <w:divBdr>
        <w:top w:val="none" w:sz="0" w:space="0" w:color="auto"/>
        <w:left w:val="none" w:sz="0" w:space="0" w:color="auto"/>
        <w:bottom w:val="none" w:sz="0" w:space="0" w:color="auto"/>
        <w:right w:val="none" w:sz="0" w:space="0" w:color="auto"/>
      </w:divBdr>
    </w:div>
    <w:div w:id="1429694291">
      <w:bodyDiv w:val="1"/>
      <w:marLeft w:val="0"/>
      <w:marRight w:val="0"/>
      <w:marTop w:val="0"/>
      <w:marBottom w:val="0"/>
      <w:divBdr>
        <w:top w:val="none" w:sz="0" w:space="0" w:color="auto"/>
        <w:left w:val="none" w:sz="0" w:space="0" w:color="auto"/>
        <w:bottom w:val="none" w:sz="0" w:space="0" w:color="auto"/>
        <w:right w:val="none" w:sz="0" w:space="0" w:color="auto"/>
      </w:divBdr>
    </w:div>
    <w:div w:id="1430420429">
      <w:bodyDiv w:val="1"/>
      <w:marLeft w:val="0"/>
      <w:marRight w:val="0"/>
      <w:marTop w:val="0"/>
      <w:marBottom w:val="0"/>
      <w:divBdr>
        <w:top w:val="none" w:sz="0" w:space="0" w:color="auto"/>
        <w:left w:val="none" w:sz="0" w:space="0" w:color="auto"/>
        <w:bottom w:val="none" w:sz="0" w:space="0" w:color="auto"/>
        <w:right w:val="none" w:sz="0" w:space="0" w:color="auto"/>
      </w:divBdr>
    </w:div>
    <w:div w:id="1461341093">
      <w:bodyDiv w:val="1"/>
      <w:marLeft w:val="0"/>
      <w:marRight w:val="0"/>
      <w:marTop w:val="0"/>
      <w:marBottom w:val="0"/>
      <w:divBdr>
        <w:top w:val="none" w:sz="0" w:space="0" w:color="auto"/>
        <w:left w:val="none" w:sz="0" w:space="0" w:color="auto"/>
        <w:bottom w:val="none" w:sz="0" w:space="0" w:color="auto"/>
        <w:right w:val="none" w:sz="0" w:space="0" w:color="auto"/>
      </w:divBdr>
    </w:div>
    <w:div w:id="1468546754">
      <w:bodyDiv w:val="1"/>
      <w:marLeft w:val="0"/>
      <w:marRight w:val="0"/>
      <w:marTop w:val="0"/>
      <w:marBottom w:val="0"/>
      <w:divBdr>
        <w:top w:val="none" w:sz="0" w:space="0" w:color="auto"/>
        <w:left w:val="none" w:sz="0" w:space="0" w:color="auto"/>
        <w:bottom w:val="none" w:sz="0" w:space="0" w:color="auto"/>
        <w:right w:val="none" w:sz="0" w:space="0" w:color="auto"/>
      </w:divBdr>
    </w:div>
    <w:div w:id="1493332429">
      <w:bodyDiv w:val="1"/>
      <w:marLeft w:val="0"/>
      <w:marRight w:val="0"/>
      <w:marTop w:val="0"/>
      <w:marBottom w:val="0"/>
      <w:divBdr>
        <w:top w:val="none" w:sz="0" w:space="0" w:color="auto"/>
        <w:left w:val="none" w:sz="0" w:space="0" w:color="auto"/>
        <w:bottom w:val="none" w:sz="0" w:space="0" w:color="auto"/>
        <w:right w:val="none" w:sz="0" w:space="0" w:color="auto"/>
      </w:divBdr>
    </w:div>
    <w:div w:id="1507793962">
      <w:bodyDiv w:val="1"/>
      <w:marLeft w:val="0"/>
      <w:marRight w:val="0"/>
      <w:marTop w:val="0"/>
      <w:marBottom w:val="0"/>
      <w:divBdr>
        <w:top w:val="none" w:sz="0" w:space="0" w:color="auto"/>
        <w:left w:val="none" w:sz="0" w:space="0" w:color="auto"/>
        <w:bottom w:val="none" w:sz="0" w:space="0" w:color="auto"/>
        <w:right w:val="none" w:sz="0" w:space="0" w:color="auto"/>
      </w:divBdr>
    </w:div>
    <w:div w:id="1594124303">
      <w:bodyDiv w:val="1"/>
      <w:marLeft w:val="0"/>
      <w:marRight w:val="0"/>
      <w:marTop w:val="0"/>
      <w:marBottom w:val="0"/>
      <w:divBdr>
        <w:top w:val="none" w:sz="0" w:space="0" w:color="auto"/>
        <w:left w:val="none" w:sz="0" w:space="0" w:color="auto"/>
        <w:bottom w:val="none" w:sz="0" w:space="0" w:color="auto"/>
        <w:right w:val="none" w:sz="0" w:space="0" w:color="auto"/>
      </w:divBdr>
    </w:div>
    <w:div w:id="1611013285">
      <w:bodyDiv w:val="1"/>
      <w:marLeft w:val="0"/>
      <w:marRight w:val="0"/>
      <w:marTop w:val="0"/>
      <w:marBottom w:val="0"/>
      <w:divBdr>
        <w:top w:val="none" w:sz="0" w:space="0" w:color="auto"/>
        <w:left w:val="none" w:sz="0" w:space="0" w:color="auto"/>
        <w:bottom w:val="none" w:sz="0" w:space="0" w:color="auto"/>
        <w:right w:val="none" w:sz="0" w:space="0" w:color="auto"/>
      </w:divBdr>
    </w:div>
    <w:div w:id="1615209440">
      <w:bodyDiv w:val="1"/>
      <w:marLeft w:val="0"/>
      <w:marRight w:val="0"/>
      <w:marTop w:val="0"/>
      <w:marBottom w:val="0"/>
      <w:divBdr>
        <w:top w:val="none" w:sz="0" w:space="0" w:color="auto"/>
        <w:left w:val="none" w:sz="0" w:space="0" w:color="auto"/>
        <w:bottom w:val="none" w:sz="0" w:space="0" w:color="auto"/>
        <w:right w:val="none" w:sz="0" w:space="0" w:color="auto"/>
      </w:divBdr>
    </w:div>
    <w:div w:id="1639795843">
      <w:bodyDiv w:val="1"/>
      <w:marLeft w:val="0"/>
      <w:marRight w:val="0"/>
      <w:marTop w:val="0"/>
      <w:marBottom w:val="0"/>
      <w:divBdr>
        <w:top w:val="none" w:sz="0" w:space="0" w:color="auto"/>
        <w:left w:val="none" w:sz="0" w:space="0" w:color="auto"/>
        <w:bottom w:val="none" w:sz="0" w:space="0" w:color="auto"/>
        <w:right w:val="none" w:sz="0" w:space="0" w:color="auto"/>
      </w:divBdr>
    </w:div>
    <w:div w:id="1645811258">
      <w:bodyDiv w:val="1"/>
      <w:marLeft w:val="0"/>
      <w:marRight w:val="0"/>
      <w:marTop w:val="0"/>
      <w:marBottom w:val="0"/>
      <w:divBdr>
        <w:top w:val="none" w:sz="0" w:space="0" w:color="auto"/>
        <w:left w:val="none" w:sz="0" w:space="0" w:color="auto"/>
        <w:bottom w:val="none" w:sz="0" w:space="0" w:color="auto"/>
        <w:right w:val="none" w:sz="0" w:space="0" w:color="auto"/>
      </w:divBdr>
    </w:div>
    <w:div w:id="1651712236">
      <w:bodyDiv w:val="1"/>
      <w:marLeft w:val="0"/>
      <w:marRight w:val="0"/>
      <w:marTop w:val="0"/>
      <w:marBottom w:val="0"/>
      <w:divBdr>
        <w:top w:val="none" w:sz="0" w:space="0" w:color="auto"/>
        <w:left w:val="none" w:sz="0" w:space="0" w:color="auto"/>
        <w:bottom w:val="none" w:sz="0" w:space="0" w:color="auto"/>
        <w:right w:val="none" w:sz="0" w:space="0" w:color="auto"/>
      </w:divBdr>
    </w:div>
    <w:div w:id="1674604773">
      <w:bodyDiv w:val="1"/>
      <w:marLeft w:val="0"/>
      <w:marRight w:val="0"/>
      <w:marTop w:val="0"/>
      <w:marBottom w:val="0"/>
      <w:divBdr>
        <w:top w:val="none" w:sz="0" w:space="0" w:color="auto"/>
        <w:left w:val="none" w:sz="0" w:space="0" w:color="auto"/>
        <w:bottom w:val="none" w:sz="0" w:space="0" w:color="auto"/>
        <w:right w:val="none" w:sz="0" w:space="0" w:color="auto"/>
      </w:divBdr>
    </w:div>
    <w:div w:id="1694334174">
      <w:bodyDiv w:val="1"/>
      <w:marLeft w:val="0"/>
      <w:marRight w:val="0"/>
      <w:marTop w:val="0"/>
      <w:marBottom w:val="0"/>
      <w:divBdr>
        <w:top w:val="none" w:sz="0" w:space="0" w:color="auto"/>
        <w:left w:val="none" w:sz="0" w:space="0" w:color="auto"/>
        <w:bottom w:val="none" w:sz="0" w:space="0" w:color="auto"/>
        <w:right w:val="none" w:sz="0" w:space="0" w:color="auto"/>
      </w:divBdr>
    </w:div>
    <w:div w:id="1702977027">
      <w:bodyDiv w:val="1"/>
      <w:marLeft w:val="0"/>
      <w:marRight w:val="0"/>
      <w:marTop w:val="0"/>
      <w:marBottom w:val="0"/>
      <w:divBdr>
        <w:top w:val="none" w:sz="0" w:space="0" w:color="auto"/>
        <w:left w:val="none" w:sz="0" w:space="0" w:color="auto"/>
        <w:bottom w:val="none" w:sz="0" w:space="0" w:color="auto"/>
        <w:right w:val="none" w:sz="0" w:space="0" w:color="auto"/>
      </w:divBdr>
    </w:div>
    <w:div w:id="1714771540">
      <w:bodyDiv w:val="1"/>
      <w:marLeft w:val="0"/>
      <w:marRight w:val="0"/>
      <w:marTop w:val="0"/>
      <w:marBottom w:val="0"/>
      <w:divBdr>
        <w:top w:val="none" w:sz="0" w:space="0" w:color="auto"/>
        <w:left w:val="none" w:sz="0" w:space="0" w:color="auto"/>
        <w:bottom w:val="none" w:sz="0" w:space="0" w:color="auto"/>
        <w:right w:val="none" w:sz="0" w:space="0" w:color="auto"/>
      </w:divBdr>
    </w:div>
    <w:div w:id="1717970674">
      <w:bodyDiv w:val="1"/>
      <w:marLeft w:val="0"/>
      <w:marRight w:val="0"/>
      <w:marTop w:val="0"/>
      <w:marBottom w:val="0"/>
      <w:divBdr>
        <w:top w:val="none" w:sz="0" w:space="0" w:color="auto"/>
        <w:left w:val="none" w:sz="0" w:space="0" w:color="auto"/>
        <w:bottom w:val="none" w:sz="0" w:space="0" w:color="auto"/>
        <w:right w:val="none" w:sz="0" w:space="0" w:color="auto"/>
      </w:divBdr>
    </w:div>
    <w:div w:id="1718627999">
      <w:bodyDiv w:val="1"/>
      <w:marLeft w:val="0"/>
      <w:marRight w:val="0"/>
      <w:marTop w:val="0"/>
      <w:marBottom w:val="0"/>
      <w:divBdr>
        <w:top w:val="none" w:sz="0" w:space="0" w:color="auto"/>
        <w:left w:val="none" w:sz="0" w:space="0" w:color="auto"/>
        <w:bottom w:val="none" w:sz="0" w:space="0" w:color="auto"/>
        <w:right w:val="none" w:sz="0" w:space="0" w:color="auto"/>
      </w:divBdr>
    </w:div>
    <w:div w:id="1760364207">
      <w:bodyDiv w:val="1"/>
      <w:marLeft w:val="0"/>
      <w:marRight w:val="0"/>
      <w:marTop w:val="0"/>
      <w:marBottom w:val="0"/>
      <w:divBdr>
        <w:top w:val="none" w:sz="0" w:space="0" w:color="auto"/>
        <w:left w:val="none" w:sz="0" w:space="0" w:color="auto"/>
        <w:bottom w:val="none" w:sz="0" w:space="0" w:color="auto"/>
        <w:right w:val="none" w:sz="0" w:space="0" w:color="auto"/>
      </w:divBdr>
    </w:div>
    <w:div w:id="1788500207">
      <w:bodyDiv w:val="1"/>
      <w:marLeft w:val="0"/>
      <w:marRight w:val="0"/>
      <w:marTop w:val="0"/>
      <w:marBottom w:val="0"/>
      <w:divBdr>
        <w:top w:val="none" w:sz="0" w:space="0" w:color="auto"/>
        <w:left w:val="none" w:sz="0" w:space="0" w:color="auto"/>
        <w:bottom w:val="none" w:sz="0" w:space="0" w:color="auto"/>
        <w:right w:val="none" w:sz="0" w:space="0" w:color="auto"/>
      </w:divBdr>
    </w:div>
    <w:div w:id="1791583748">
      <w:bodyDiv w:val="1"/>
      <w:marLeft w:val="0"/>
      <w:marRight w:val="0"/>
      <w:marTop w:val="0"/>
      <w:marBottom w:val="0"/>
      <w:divBdr>
        <w:top w:val="none" w:sz="0" w:space="0" w:color="auto"/>
        <w:left w:val="none" w:sz="0" w:space="0" w:color="auto"/>
        <w:bottom w:val="none" w:sz="0" w:space="0" w:color="auto"/>
        <w:right w:val="none" w:sz="0" w:space="0" w:color="auto"/>
      </w:divBdr>
    </w:div>
    <w:div w:id="1820268103">
      <w:bodyDiv w:val="1"/>
      <w:marLeft w:val="0"/>
      <w:marRight w:val="0"/>
      <w:marTop w:val="0"/>
      <w:marBottom w:val="0"/>
      <w:divBdr>
        <w:top w:val="none" w:sz="0" w:space="0" w:color="auto"/>
        <w:left w:val="none" w:sz="0" w:space="0" w:color="auto"/>
        <w:bottom w:val="none" w:sz="0" w:space="0" w:color="auto"/>
        <w:right w:val="none" w:sz="0" w:space="0" w:color="auto"/>
      </w:divBdr>
    </w:div>
    <w:div w:id="1865365934">
      <w:bodyDiv w:val="1"/>
      <w:marLeft w:val="0"/>
      <w:marRight w:val="0"/>
      <w:marTop w:val="0"/>
      <w:marBottom w:val="0"/>
      <w:divBdr>
        <w:top w:val="none" w:sz="0" w:space="0" w:color="auto"/>
        <w:left w:val="none" w:sz="0" w:space="0" w:color="auto"/>
        <w:bottom w:val="none" w:sz="0" w:space="0" w:color="auto"/>
        <w:right w:val="none" w:sz="0" w:space="0" w:color="auto"/>
      </w:divBdr>
    </w:div>
    <w:div w:id="1870605754">
      <w:bodyDiv w:val="1"/>
      <w:marLeft w:val="0"/>
      <w:marRight w:val="0"/>
      <w:marTop w:val="0"/>
      <w:marBottom w:val="0"/>
      <w:divBdr>
        <w:top w:val="none" w:sz="0" w:space="0" w:color="auto"/>
        <w:left w:val="none" w:sz="0" w:space="0" w:color="auto"/>
        <w:bottom w:val="none" w:sz="0" w:space="0" w:color="auto"/>
        <w:right w:val="none" w:sz="0" w:space="0" w:color="auto"/>
      </w:divBdr>
    </w:div>
    <w:div w:id="1871601511">
      <w:bodyDiv w:val="1"/>
      <w:marLeft w:val="0"/>
      <w:marRight w:val="0"/>
      <w:marTop w:val="0"/>
      <w:marBottom w:val="0"/>
      <w:divBdr>
        <w:top w:val="none" w:sz="0" w:space="0" w:color="auto"/>
        <w:left w:val="none" w:sz="0" w:space="0" w:color="auto"/>
        <w:bottom w:val="none" w:sz="0" w:space="0" w:color="auto"/>
        <w:right w:val="none" w:sz="0" w:space="0" w:color="auto"/>
      </w:divBdr>
    </w:div>
    <w:div w:id="1914509998">
      <w:bodyDiv w:val="1"/>
      <w:marLeft w:val="0"/>
      <w:marRight w:val="0"/>
      <w:marTop w:val="0"/>
      <w:marBottom w:val="0"/>
      <w:divBdr>
        <w:top w:val="none" w:sz="0" w:space="0" w:color="auto"/>
        <w:left w:val="none" w:sz="0" w:space="0" w:color="auto"/>
        <w:bottom w:val="none" w:sz="0" w:space="0" w:color="auto"/>
        <w:right w:val="none" w:sz="0" w:space="0" w:color="auto"/>
      </w:divBdr>
    </w:div>
    <w:div w:id="1919703644">
      <w:bodyDiv w:val="1"/>
      <w:marLeft w:val="0"/>
      <w:marRight w:val="0"/>
      <w:marTop w:val="0"/>
      <w:marBottom w:val="0"/>
      <w:divBdr>
        <w:top w:val="none" w:sz="0" w:space="0" w:color="auto"/>
        <w:left w:val="none" w:sz="0" w:space="0" w:color="auto"/>
        <w:bottom w:val="none" w:sz="0" w:space="0" w:color="auto"/>
        <w:right w:val="none" w:sz="0" w:space="0" w:color="auto"/>
      </w:divBdr>
    </w:div>
    <w:div w:id="1963149470">
      <w:bodyDiv w:val="1"/>
      <w:marLeft w:val="0"/>
      <w:marRight w:val="0"/>
      <w:marTop w:val="0"/>
      <w:marBottom w:val="0"/>
      <w:divBdr>
        <w:top w:val="none" w:sz="0" w:space="0" w:color="auto"/>
        <w:left w:val="none" w:sz="0" w:space="0" w:color="auto"/>
        <w:bottom w:val="none" w:sz="0" w:space="0" w:color="auto"/>
        <w:right w:val="none" w:sz="0" w:space="0" w:color="auto"/>
      </w:divBdr>
    </w:div>
    <w:div w:id="1981298860">
      <w:bodyDiv w:val="1"/>
      <w:marLeft w:val="0"/>
      <w:marRight w:val="0"/>
      <w:marTop w:val="0"/>
      <w:marBottom w:val="0"/>
      <w:divBdr>
        <w:top w:val="none" w:sz="0" w:space="0" w:color="auto"/>
        <w:left w:val="none" w:sz="0" w:space="0" w:color="auto"/>
        <w:bottom w:val="none" w:sz="0" w:space="0" w:color="auto"/>
        <w:right w:val="none" w:sz="0" w:space="0" w:color="auto"/>
      </w:divBdr>
    </w:div>
    <w:div w:id="2027242316">
      <w:bodyDiv w:val="1"/>
      <w:marLeft w:val="0"/>
      <w:marRight w:val="0"/>
      <w:marTop w:val="0"/>
      <w:marBottom w:val="0"/>
      <w:divBdr>
        <w:top w:val="none" w:sz="0" w:space="0" w:color="auto"/>
        <w:left w:val="none" w:sz="0" w:space="0" w:color="auto"/>
        <w:bottom w:val="none" w:sz="0" w:space="0" w:color="auto"/>
        <w:right w:val="none" w:sz="0" w:space="0" w:color="auto"/>
      </w:divBdr>
    </w:div>
    <w:div w:id="2029721901">
      <w:bodyDiv w:val="1"/>
      <w:marLeft w:val="0"/>
      <w:marRight w:val="0"/>
      <w:marTop w:val="0"/>
      <w:marBottom w:val="0"/>
      <w:divBdr>
        <w:top w:val="none" w:sz="0" w:space="0" w:color="auto"/>
        <w:left w:val="none" w:sz="0" w:space="0" w:color="auto"/>
        <w:bottom w:val="none" w:sz="0" w:space="0" w:color="auto"/>
        <w:right w:val="none" w:sz="0" w:space="0" w:color="auto"/>
      </w:divBdr>
    </w:div>
    <w:div w:id="2135370551">
      <w:bodyDiv w:val="1"/>
      <w:marLeft w:val="0"/>
      <w:marRight w:val="0"/>
      <w:marTop w:val="0"/>
      <w:marBottom w:val="0"/>
      <w:divBdr>
        <w:top w:val="none" w:sz="0" w:space="0" w:color="auto"/>
        <w:left w:val="none" w:sz="0" w:space="0" w:color="auto"/>
        <w:bottom w:val="none" w:sz="0" w:space="0" w:color="auto"/>
        <w:right w:val="none" w:sz="0" w:space="0" w:color="auto"/>
      </w:divBdr>
      <w:divsChild>
        <w:div w:id="482041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s.mhra.gov.uk/search/?search=Bevqolva&amp;page=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nwmedinfo@nhs.net?subject=New%20Medicines%20Newslette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s.nhs.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medicines.org.uk/emc/search?q=ituxre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ukmi.nhs.uk/nd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wmedinfo@nhs.net?subject=New%20Medicines%20Newslet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s://www.sps.nhs.uk/articles/sps-horizon-scanning/" TargetMode="External"/><Relationship Id="rId2" Type="http://schemas.openxmlformats.org/officeDocument/2006/relationships/image" Target="media/image5.png"/><Relationship Id="rId1" Type="http://schemas.openxmlformats.org/officeDocument/2006/relationships/image" Target="media/image3.jpeg"/><Relationship Id="rId4" Type="http://schemas.openxmlformats.org/officeDocument/2006/relationships/hyperlink" Target="https://www.sps.nhs.uk/home/planning/annual-medicines-plannin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igitalliverpool.sharepoint.com/sites/MA/Horizon%20Scanning/SPS%20HS%20publications/New%20Medicines%20News%20(incl%20Clinical%20Pharmacist)/Admin/New%20Medicines%20News%20template%202025%20new%20logo.dotx?OR=81dd2b71-fb82-4b33-ac71-fed46bf0f87a&am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c6437e3-65b5-4a7b-a123-cc0b1a712dbe" xsi:nil="true"/>
    <Checker xmlns="bc6437e3-65b5-4a7b-a123-cc0b1a712dbe">
      <UserInfo>
        <DisplayName/>
        <AccountId xsi:nil="true"/>
        <AccountType/>
      </UserInfo>
    </Checker>
    <TaxCatchAll xmlns="9930fb2e-2b64-4524-8d19-1f206af19760" xsi:nil="true"/>
    <lcf76f155ced4ddcb4097134ff3c332f xmlns="bc6437e3-65b5-4a7b-a123-cc0b1a712dbe">
      <Terms xmlns="http://schemas.microsoft.com/office/infopath/2007/PartnerControls"/>
    </lcf76f155ced4ddcb4097134ff3c332f>
    <_Flow_SignoffStatus xmlns="bc6437e3-65b5-4a7b-a123-cc0b1a712db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F8181707A014BAADECFD0EF2EB9F0" ma:contentTypeVersion="17" ma:contentTypeDescription="Create a new document." ma:contentTypeScope="" ma:versionID="bb2474fd6bf5582551744ff9e1dd8e4d">
  <xsd:schema xmlns:xsd="http://www.w3.org/2001/XMLSchema" xmlns:xs="http://www.w3.org/2001/XMLSchema" xmlns:p="http://schemas.microsoft.com/office/2006/metadata/properties" xmlns:ns2="bc6437e3-65b5-4a7b-a123-cc0b1a712dbe" xmlns:ns3="9930fb2e-2b64-4524-8d19-1f206af19760" targetNamespace="http://schemas.microsoft.com/office/2006/metadata/properties" ma:root="true" ma:fieldsID="1f034f550e89351c40860eadeb4bb604" ns2:_="" ns3:_="">
    <xsd:import namespace="bc6437e3-65b5-4a7b-a123-cc0b1a712dbe"/>
    <xsd:import namespace="9930fb2e-2b64-4524-8d19-1f206af19760"/>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Checke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437e3-65b5-4a7b-a123-cc0b1a712dbe"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complete"/>
          <xsd:enumeration value="Draft screened"/>
          <xsd:enumeration value="Draft ready for check"/>
          <xsd:enumeration value="Draft checked"/>
          <xsd:enumeration value="Draft finali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hecker" ma:index="13" nillable="true" ma:displayName="Checker" ma:format="Dropdown" ma:list="UserInfo" ma:SharePointGroup="0" ma:internalName="Chec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0fb2e-2b64-4524-8d19-1f206af197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974dfa-c764-4829-9cd5-f0d2f4cc9654}" ma:internalName="TaxCatchAll" ma:showField="CatchAllData" ma:web="9930fb2e-2b64-4524-8d19-1f206af19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4F6B2-13C0-4835-BE83-75A0D0B4856D}">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9930fb2e-2b64-4524-8d19-1f206af19760"/>
    <ds:schemaRef ds:uri="bc6437e3-65b5-4a7b-a123-cc0b1a712dbe"/>
    <ds:schemaRef ds:uri="http://purl.org/dc/dcmitype/"/>
  </ds:schemaRefs>
</ds:datastoreItem>
</file>

<file path=customXml/itemProps2.xml><?xml version="1.0" encoding="utf-8"?>
<ds:datastoreItem xmlns:ds="http://schemas.openxmlformats.org/officeDocument/2006/customXml" ds:itemID="{E9F6E074-DAC3-464B-8E55-384774156C3A}">
  <ds:schemaRefs>
    <ds:schemaRef ds:uri="http://schemas.openxmlformats.org/officeDocument/2006/bibliography"/>
  </ds:schemaRefs>
</ds:datastoreItem>
</file>

<file path=customXml/itemProps3.xml><?xml version="1.0" encoding="utf-8"?>
<ds:datastoreItem xmlns:ds="http://schemas.openxmlformats.org/officeDocument/2006/customXml" ds:itemID="{AC8616D4-33E4-444C-8B89-04041840F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437e3-65b5-4a7b-a123-cc0b1a712dbe"/>
    <ds:schemaRef ds:uri="9930fb2e-2b64-4524-8d19-1f206af19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91869-6A80-4380-B4C8-BDFECDE46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New%20Medicines%20News%20template%202025%20new%20logo.dotx?OR=81dd2b71-fb82-4b33-ac71-fed46bf0f87a&amp;CI</Template>
  <TotalTime>1</TotalTime>
  <Pages>6</Pages>
  <Words>2994</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NDO home | Contact | Register for NDO access</vt:lpstr>
    </vt:vector>
  </TitlesOfParts>
  <Company>NMHIS</Company>
  <LinksUpToDate>false</LinksUpToDate>
  <CharactersWithSpaces>20026</CharactersWithSpaces>
  <SharedDoc>false</SharedDoc>
  <HLinks>
    <vt:vector size="498" baseType="variant">
      <vt:variant>
        <vt:i4>458841</vt:i4>
      </vt:variant>
      <vt:variant>
        <vt:i4>228</vt:i4>
      </vt:variant>
      <vt:variant>
        <vt:i4>0</vt:i4>
      </vt:variant>
      <vt:variant>
        <vt:i4>5</vt:i4>
      </vt:variant>
      <vt:variant>
        <vt:lpwstr>https://www.sps.nhs.uk/medicines/zuranolone/</vt:lpwstr>
      </vt:variant>
      <vt:variant>
        <vt:lpwstr/>
      </vt:variant>
      <vt:variant>
        <vt:i4>7602219</vt:i4>
      </vt:variant>
      <vt:variant>
        <vt:i4>225</vt:i4>
      </vt:variant>
      <vt:variant>
        <vt:i4>0</vt:i4>
      </vt:variant>
      <vt:variant>
        <vt:i4>5</vt:i4>
      </vt:variant>
      <vt:variant>
        <vt:lpwstr>https://www.sps.nhs.uk/medicines/zoliflodacin/</vt:lpwstr>
      </vt:variant>
      <vt:variant>
        <vt:lpwstr/>
      </vt:variant>
      <vt:variant>
        <vt:i4>8323111</vt:i4>
      </vt:variant>
      <vt:variant>
        <vt:i4>222</vt:i4>
      </vt:variant>
      <vt:variant>
        <vt:i4>0</vt:i4>
      </vt:variant>
      <vt:variant>
        <vt:i4>5</vt:i4>
      </vt:variant>
      <vt:variant>
        <vt:lpwstr>https://www.sps.nhs.uk/medicines/upadacitinib/</vt:lpwstr>
      </vt:variant>
      <vt:variant>
        <vt:lpwstr/>
      </vt:variant>
      <vt:variant>
        <vt:i4>5570648</vt:i4>
      </vt:variant>
      <vt:variant>
        <vt:i4>219</vt:i4>
      </vt:variant>
      <vt:variant>
        <vt:i4>0</vt:i4>
      </vt:variant>
      <vt:variant>
        <vt:i4>5</vt:i4>
      </vt:variant>
      <vt:variant>
        <vt:lpwstr>https://www.sps.nhs.uk/medicines/sep-363856/</vt:lpwstr>
      </vt:variant>
      <vt:variant>
        <vt:lpwstr/>
      </vt:variant>
      <vt:variant>
        <vt:i4>131160</vt:i4>
      </vt:variant>
      <vt:variant>
        <vt:i4>216</vt:i4>
      </vt:variant>
      <vt:variant>
        <vt:i4>0</vt:i4>
      </vt:variant>
      <vt:variant>
        <vt:i4>5</vt:i4>
      </vt:variant>
      <vt:variant>
        <vt:lpwstr>https://www.sps.nhs.uk/medicines/padesvonil/</vt:lpwstr>
      </vt:variant>
      <vt:variant>
        <vt:lpwstr/>
      </vt:variant>
      <vt:variant>
        <vt:i4>4456520</vt:i4>
      </vt:variant>
      <vt:variant>
        <vt:i4>213</vt:i4>
      </vt:variant>
      <vt:variant>
        <vt:i4>0</vt:i4>
      </vt:variant>
      <vt:variant>
        <vt:i4>5</vt:i4>
      </vt:variant>
      <vt:variant>
        <vt:lpwstr>https://www.sps.nhs.uk/medicines/opiranserin/</vt:lpwstr>
      </vt:variant>
      <vt:variant>
        <vt:lpwstr/>
      </vt:variant>
      <vt:variant>
        <vt:i4>2555944</vt:i4>
      </vt:variant>
      <vt:variant>
        <vt:i4>210</vt:i4>
      </vt:variant>
      <vt:variant>
        <vt:i4>0</vt:i4>
      </vt:variant>
      <vt:variant>
        <vt:i4>5</vt:i4>
      </vt:variant>
      <vt:variant>
        <vt:lpwstr>https://www.sps.nhs.uk/medicines/mitapivat/</vt:lpwstr>
      </vt:variant>
      <vt:variant>
        <vt:lpwstr/>
      </vt:variant>
      <vt:variant>
        <vt:i4>393288</vt:i4>
      </vt:variant>
      <vt:variant>
        <vt:i4>207</vt:i4>
      </vt:variant>
      <vt:variant>
        <vt:i4>0</vt:i4>
      </vt:variant>
      <vt:variant>
        <vt:i4>5</vt:i4>
      </vt:variant>
      <vt:variant>
        <vt:lpwstr>https://www.sps.nhs.uk/medicines/linzagolix/</vt:lpwstr>
      </vt:variant>
      <vt:variant>
        <vt:lpwstr/>
      </vt:variant>
      <vt:variant>
        <vt:i4>3604520</vt:i4>
      </vt:variant>
      <vt:variant>
        <vt:i4>204</vt:i4>
      </vt:variant>
      <vt:variant>
        <vt:i4>0</vt:i4>
      </vt:variant>
      <vt:variant>
        <vt:i4>5</vt:i4>
      </vt:variant>
      <vt:variant>
        <vt:lpwstr>https://www.sps.nhs.uk/medicines/leriglitazone/</vt:lpwstr>
      </vt:variant>
      <vt:variant>
        <vt:lpwstr/>
      </vt:variant>
      <vt:variant>
        <vt:i4>7929889</vt:i4>
      </vt:variant>
      <vt:variant>
        <vt:i4>201</vt:i4>
      </vt:variant>
      <vt:variant>
        <vt:i4>0</vt:i4>
      </vt:variant>
      <vt:variant>
        <vt:i4>5</vt:i4>
      </vt:variant>
      <vt:variant>
        <vt:lpwstr>https://www.sps.nhs.uk/medicines/lebrikizumab/</vt:lpwstr>
      </vt:variant>
      <vt:variant>
        <vt:lpwstr/>
      </vt:variant>
      <vt:variant>
        <vt:i4>524381</vt:i4>
      </vt:variant>
      <vt:variant>
        <vt:i4>198</vt:i4>
      </vt:variant>
      <vt:variant>
        <vt:i4>0</vt:i4>
      </vt:variant>
      <vt:variant>
        <vt:i4>5</vt:i4>
      </vt:variant>
      <vt:variant>
        <vt:lpwstr>https://www.sps.nhs.uk/medicines/glatiramer/</vt:lpwstr>
      </vt:variant>
      <vt:variant>
        <vt:lpwstr/>
      </vt:variant>
      <vt:variant>
        <vt:i4>5832790</vt:i4>
      </vt:variant>
      <vt:variant>
        <vt:i4>195</vt:i4>
      </vt:variant>
      <vt:variant>
        <vt:i4>0</vt:i4>
      </vt:variant>
      <vt:variant>
        <vt:i4>5</vt:i4>
      </vt:variant>
      <vt:variant>
        <vt:lpwstr>https://www.sps.nhs.uk/medicines/fcr-001/</vt:lpwstr>
      </vt:variant>
      <vt:variant>
        <vt:lpwstr/>
      </vt:variant>
      <vt:variant>
        <vt:i4>3080232</vt:i4>
      </vt:variant>
      <vt:variant>
        <vt:i4>192</vt:i4>
      </vt:variant>
      <vt:variant>
        <vt:i4>0</vt:i4>
      </vt:variant>
      <vt:variant>
        <vt:i4>5</vt:i4>
      </vt:variant>
      <vt:variant>
        <vt:lpwstr>https://www.sps.nhs.uk/medicines/empagliflozin/</vt:lpwstr>
      </vt:variant>
      <vt:variant>
        <vt:lpwstr/>
      </vt:variant>
      <vt:variant>
        <vt:i4>2752551</vt:i4>
      </vt:variant>
      <vt:variant>
        <vt:i4>189</vt:i4>
      </vt:variant>
      <vt:variant>
        <vt:i4>0</vt:i4>
      </vt:variant>
      <vt:variant>
        <vt:i4>5</vt:i4>
      </vt:variant>
      <vt:variant>
        <vt:lpwstr>https://www.sps.nhs.uk/medicines/diazoxide/</vt:lpwstr>
      </vt:variant>
      <vt:variant>
        <vt:lpwstr/>
      </vt:variant>
      <vt:variant>
        <vt:i4>6815782</vt:i4>
      </vt:variant>
      <vt:variant>
        <vt:i4>186</vt:i4>
      </vt:variant>
      <vt:variant>
        <vt:i4>0</vt:i4>
      </vt:variant>
      <vt:variant>
        <vt:i4>5</vt:i4>
      </vt:variant>
      <vt:variant>
        <vt:lpwstr>https://www.sps.nhs.uk/medicines/dasiglucagon/</vt:lpwstr>
      </vt:variant>
      <vt:variant>
        <vt:lpwstr/>
      </vt:variant>
      <vt:variant>
        <vt:i4>4194380</vt:i4>
      </vt:variant>
      <vt:variant>
        <vt:i4>183</vt:i4>
      </vt:variant>
      <vt:variant>
        <vt:i4>0</vt:i4>
      </vt:variant>
      <vt:variant>
        <vt:i4>5</vt:i4>
      </vt:variant>
      <vt:variant>
        <vt:lpwstr>https://www.sps.nhs.uk/medicines/cyclobenzaprine/</vt:lpwstr>
      </vt:variant>
      <vt:variant>
        <vt:lpwstr/>
      </vt:variant>
      <vt:variant>
        <vt:i4>1179733</vt:i4>
      </vt:variant>
      <vt:variant>
        <vt:i4>180</vt:i4>
      </vt:variant>
      <vt:variant>
        <vt:i4>0</vt:i4>
      </vt:variant>
      <vt:variant>
        <vt:i4>5</vt:i4>
      </vt:variant>
      <vt:variant>
        <vt:lpwstr>https://www.sps.nhs.uk/medicines/bumetanide/</vt:lpwstr>
      </vt:variant>
      <vt:variant>
        <vt:lpwstr/>
      </vt:variant>
      <vt:variant>
        <vt:i4>1835099</vt:i4>
      </vt:variant>
      <vt:variant>
        <vt:i4>177</vt:i4>
      </vt:variant>
      <vt:variant>
        <vt:i4>0</vt:i4>
      </vt:variant>
      <vt:variant>
        <vt:i4>5</vt:i4>
      </vt:variant>
      <vt:variant>
        <vt:lpwstr>https://www.sps.nhs.uk/medicines/budesonide/</vt:lpwstr>
      </vt:variant>
      <vt:variant>
        <vt:lpwstr/>
      </vt:variant>
      <vt:variant>
        <vt:i4>1638427</vt:i4>
      </vt:variant>
      <vt:variant>
        <vt:i4>174</vt:i4>
      </vt:variant>
      <vt:variant>
        <vt:i4>0</vt:i4>
      </vt:variant>
      <vt:variant>
        <vt:i4>5</vt:i4>
      </vt:variant>
      <vt:variant>
        <vt:lpwstr>https://www.sps.nhs.uk/medicines/bardoxolone-methyl/</vt:lpwstr>
      </vt:variant>
      <vt:variant>
        <vt:lpwstr/>
      </vt:variant>
      <vt:variant>
        <vt:i4>5767195</vt:i4>
      </vt:variant>
      <vt:variant>
        <vt:i4>171</vt:i4>
      </vt:variant>
      <vt:variant>
        <vt:i4>0</vt:i4>
      </vt:variant>
      <vt:variant>
        <vt:i4>5</vt:i4>
      </vt:variant>
      <vt:variant>
        <vt:lpwstr>https://www.sps.nhs.uk/medicines/autologous-bm-derived-stem-cell-therapy/</vt:lpwstr>
      </vt:variant>
      <vt:variant>
        <vt:lpwstr/>
      </vt:variant>
      <vt:variant>
        <vt:i4>4587591</vt:i4>
      </vt:variant>
      <vt:variant>
        <vt:i4>168</vt:i4>
      </vt:variant>
      <vt:variant>
        <vt:i4>0</vt:i4>
      </vt:variant>
      <vt:variant>
        <vt:i4>5</vt:i4>
      </vt:variant>
      <vt:variant>
        <vt:lpwstr>https://www.sps.nhs.uk/medicines/at-gtx-501/</vt:lpwstr>
      </vt:variant>
      <vt:variant>
        <vt:lpwstr/>
      </vt:variant>
      <vt:variant>
        <vt:i4>7864359</vt:i4>
      </vt:variant>
      <vt:variant>
        <vt:i4>165</vt:i4>
      </vt:variant>
      <vt:variant>
        <vt:i4>0</vt:i4>
      </vt:variant>
      <vt:variant>
        <vt:i4>5</vt:i4>
      </vt:variant>
      <vt:variant>
        <vt:lpwstr>https://www.sps.nhs.uk/medicines/telapristone/</vt:lpwstr>
      </vt:variant>
      <vt:variant>
        <vt:lpwstr/>
      </vt:variant>
      <vt:variant>
        <vt:i4>7864359</vt:i4>
      </vt:variant>
      <vt:variant>
        <vt:i4>162</vt:i4>
      </vt:variant>
      <vt:variant>
        <vt:i4>0</vt:i4>
      </vt:variant>
      <vt:variant>
        <vt:i4>5</vt:i4>
      </vt:variant>
      <vt:variant>
        <vt:lpwstr>https://www.sps.nhs.uk/medicines/telapristone/</vt:lpwstr>
      </vt:variant>
      <vt:variant>
        <vt:lpwstr/>
      </vt:variant>
      <vt:variant>
        <vt:i4>1769490</vt:i4>
      </vt:variant>
      <vt:variant>
        <vt:i4>159</vt:i4>
      </vt:variant>
      <vt:variant>
        <vt:i4>0</vt:i4>
      </vt:variant>
      <vt:variant>
        <vt:i4>5</vt:i4>
      </vt:variant>
      <vt:variant>
        <vt:lpwstr>https://www.sps.nhs.uk/medicines/t-cell-replacement-therapy/</vt:lpwstr>
      </vt:variant>
      <vt:variant>
        <vt:lpwstr/>
      </vt:variant>
      <vt:variant>
        <vt:i4>1245262</vt:i4>
      </vt:variant>
      <vt:variant>
        <vt:i4>156</vt:i4>
      </vt:variant>
      <vt:variant>
        <vt:i4>0</vt:i4>
      </vt:variant>
      <vt:variant>
        <vt:i4>5</vt:i4>
      </vt:variant>
      <vt:variant>
        <vt:lpwstr>https://www.sps.nhs.uk/medicines/salmeterol/</vt:lpwstr>
      </vt:variant>
      <vt:variant>
        <vt:lpwstr/>
      </vt:variant>
      <vt:variant>
        <vt:i4>1966174</vt:i4>
      </vt:variant>
      <vt:variant>
        <vt:i4>153</vt:i4>
      </vt:variant>
      <vt:variant>
        <vt:i4>0</vt:i4>
      </vt:variant>
      <vt:variant>
        <vt:i4>5</vt:i4>
      </vt:variant>
      <vt:variant>
        <vt:lpwstr>https://www.sps.nhs.uk/medicines/rapastinel/</vt:lpwstr>
      </vt:variant>
      <vt:variant>
        <vt:lpwstr/>
      </vt:variant>
      <vt:variant>
        <vt:i4>3276927</vt:i4>
      </vt:variant>
      <vt:variant>
        <vt:i4>150</vt:i4>
      </vt:variant>
      <vt:variant>
        <vt:i4>0</vt:i4>
      </vt:variant>
      <vt:variant>
        <vt:i4>5</vt:i4>
      </vt:variant>
      <vt:variant>
        <vt:lpwstr>https://www.sps.nhs.uk/medicines/pegylated-recombinant-human-hyaluronidase/</vt:lpwstr>
      </vt:variant>
      <vt:variant>
        <vt:lpwstr/>
      </vt:variant>
      <vt:variant>
        <vt:i4>4849741</vt:i4>
      </vt:variant>
      <vt:variant>
        <vt:i4>147</vt:i4>
      </vt:variant>
      <vt:variant>
        <vt:i4>0</vt:i4>
      </vt:variant>
      <vt:variant>
        <vt:i4>5</vt:i4>
      </vt:variant>
      <vt:variant>
        <vt:lpwstr>https://www.sps.nhs.uk/medicines/nilvadipine/</vt:lpwstr>
      </vt:variant>
      <vt:variant>
        <vt:lpwstr/>
      </vt:variant>
      <vt:variant>
        <vt:i4>7798828</vt:i4>
      </vt:variant>
      <vt:variant>
        <vt:i4>144</vt:i4>
      </vt:variant>
      <vt:variant>
        <vt:i4>0</vt:i4>
      </vt:variant>
      <vt:variant>
        <vt:i4>5</vt:i4>
      </vt:variant>
      <vt:variant>
        <vt:lpwstr>https://www.sps.nhs.uk/medicines/naloxone/</vt:lpwstr>
      </vt:variant>
      <vt:variant>
        <vt:lpwstr/>
      </vt:variant>
      <vt:variant>
        <vt:i4>1441887</vt:i4>
      </vt:variant>
      <vt:variant>
        <vt:i4>141</vt:i4>
      </vt:variant>
      <vt:variant>
        <vt:i4>0</vt:i4>
      </vt:variant>
      <vt:variant>
        <vt:i4>5</vt:i4>
      </vt:variant>
      <vt:variant>
        <vt:lpwstr>https://www.sps.nhs.uk/medicines/macitentan/</vt:lpwstr>
      </vt:variant>
      <vt:variant>
        <vt:lpwstr/>
      </vt:variant>
      <vt:variant>
        <vt:i4>6225993</vt:i4>
      </vt:variant>
      <vt:variant>
        <vt:i4>138</vt:i4>
      </vt:variant>
      <vt:variant>
        <vt:i4>0</vt:i4>
      </vt:variant>
      <vt:variant>
        <vt:i4>5</vt:i4>
      </vt:variant>
      <vt:variant>
        <vt:lpwstr>https://www.sps.nhs.uk/medicines/hydroxyprogesterone/</vt:lpwstr>
      </vt:variant>
      <vt:variant>
        <vt:lpwstr/>
      </vt:variant>
      <vt:variant>
        <vt:i4>2687026</vt:i4>
      </vt:variant>
      <vt:variant>
        <vt:i4>135</vt:i4>
      </vt:variant>
      <vt:variant>
        <vt:i4>0</vt:i4>
      </vt:variant>
      <vt:variant>
        <vt:i4>5</vt:i4>
      </vt:variant>
      <vt:variant>
        <vt:lpwstr>https://www.sps.nhs.uk/medicines/ciprofloxacin/</vt:lpwstr>
      </vt:variant>
      <vt:variant>
        <vt:lpwstr/>
      </vt:variant>
      <vt:variant>
        <vt:i4>196702</vt:i4>
      </vt:variant>
      <vt:variant>
        <vt:i4>132</vt:i4>
      </vt:variant>
      <vt:variant>
        <vt:i4>0</vt:i4>
      </vt:variant>
      <vt:variant>
        <vt:i4>5</vt:i4>
      </vt:variant>
      <vt:variant>
        <vt:lpwstr>https://www.sps.nhs.uk/medicines/calcitonin/</vt:lpwstr>
      </vt:variant>
      <vt:variant>
        <vt:lpwstr/>
      </vt:variant>
      <vt:variant>
        <vt:i4>7667749</vt:i4>
      </vt:variant>
      <vt:variant>
        <vt:i4>129</vt:i4>
      </vt:variant>
      <vt:variant>
        <vt:i4>0</vt:i4>
      </vt:variant>
      <vt:variant>
        <vt:i4>5</vt:i4>
      </vt:variant>
      <vt:variant>
        <vt:lpwstr>https://www.sps.nhs.uk/medicines/c1-esterase-inhibitor/</vt:lpwstr>
      </vt:variant>
      <vt:variant>
        <vt:lpwstr/>
      </vt:variant>
      <vt:variant>
        <vt:i4>2490478</vt:i4>
      </vt:variant>
      <vt:variant>
        <vt:i4>126</vt:i4>
      </vt:variant>
      <vt:variant>
        <vt:i4>0</vt:i4>
      </vt:variant>
      <vt:variant>
        <vt:i4>5</vt:i4>
      </vt:variant>
      <vt:variant>
        <vt:lpwstr>https://www.sps.nhs.uk/medicines/buprenorphine-samidorphan/</vt:lpwstr>
      </vt:variant>
      <vt:variant>
        <vt:lpwstr/>
      </vt:variant>
      <vt:variant>
        <vt:i4>2621493</vt:i4>
      </vt:variant>
      <vt:variant>
        <vt:i4>123</vt:i4>
      </vt:variant>
      <vt:variant>
        <vt:i4>0</vt:i4>
      </vt:variant>
      <vt:variant>
        <vt:i4>5</vt:i4>
      </vt:variant>
      <vt:variant>
        <vt:lpwstr>https://www.sps.nhs.uk/medicines/buprenorphine/</vt:lpwstr>
      </vt:variant>
      <vt:variant>
        <vt:lpwstr/>
      </vt:variant>
      <vt:variant>
        <vt:i4>3538984</vt:i4>
      </vt:variant>
      <vt:variant>
        <vt:i4>120</vt:i4>
      </vt:variant>
      <vt:variant>
        <vt:i4>0</vt:i4>
      </vt:variant>
      <vt:variant>
        <vt:i4>5</vt:i4>
      </vt:variant>
      <vt:variant>
        <vt:lpwstr>https://www.sps.nhs.uk/medicines/botulinum-a-toxin/</vt:lpwstr>
      </vt:variant>
      <vt:variant>
        <vt:lpwstr/>
      </vt:variant>
      <vt:variant>
        <vt:i4>458843</vt:i4>
      </vt:variant>
      <vt:variant>
        <vt:i4>117</vt:i4>
      </vt:variant>
      <vt:variant>
        <vt:i4>0</vt:i4>
      </vt:variant>
      <vt:variant>
        <vt:i4>5</vt:i4>
      </vt:variant>
      <vt:variant>
        <vt:lpwstr>https://www.sps.nhs.uk/medicines/biotin/</vt:lpwstr>
      </vt:variant>
      <vt:variant>
        <vt:lpwstr/>
      </vt:variant>
      <vt:variant>
        <vt:i4>3145761</vt:i4>
      </vt:variant>
      <vt:variant>
        <vt:i4>114</vt:i4>
      </vt:variant>
      <vt:variant>
        <vt:i4>0</vt:i4>
      </vt:variant>
      <vt:variant>
        <vt:i4>5</vt:i4>
      </vt:variant>
      <vt:variant>
        <vt:lpwstr>https://www.sps.nhs.uk/medicines/arbaclofen-placarbil/</vt:lpwstr>
      </vt:variant>
      <vt:variant>
        <vt:lpwstr/>
      </vt:variant>
      <vt:variant>
        <vt:i4>1572889</vt:i4>
      </vt:variant>
      <vt:variant>
        <vt:i4>111</vt:i4>
      </vt:variant>
      <vt:variant>
        <vt:i4>0</vt:i4>
      </vt:variant>
      <vt:variant>
        <vt:i4>5</vt:i4>
      </vt:variant>
      <vt:variant>
        <vt:lpwstr>https://www.sps.nhs.uk/medicines/valoctocogene-roxaparvovec/</vt:lpwstr>
      </vt:variant>
      <vt:variant>
        <vt:lpwstr/>
      </vt:variant>
      <vt:variant>
        <vt:i4>2031697</vt:i4>
      </vt:variant>
      <vt:variant>
        <vt:i4>108</vt:i4>
      </vt:variant>
      <vt:variant>
        <vt:i4>0</vt:i4>
      </vt:variant>
      <vt:variant>
        <vt:i4>5</vt:i4>
      </vt:variant>
      <vt:variant>
        <vt:lpwstr>https://www.sps.nhs.uk/medicines/meningococcal-groups-a-c-w135-y-vaccine/</vt:lpwstr>
      </vt:variant>
      <vt:variant>
        <vt:lpwstr/>
      </vt:variant>
      <vt:variant>
        <vt:i4>5374020</vt:i4>
      </vt:variant>
      <vt:variant>
        <vt:i4>105</vt:i4>
      </vt:variant>
      <vt:variant>
        <vt:i4>0</vt:i4>
      </vt:variant>
      <vt:variant>
        <vt:i4>5</vt:i4>
      </vt:variant>
      <vt:variant>
        <vt:lpwstr>https://www.sps.nhs.uk/medicines/encorafenib/</vt:lpwstr>
      </vt:variant>
      <vt:variant>
        <vt:lpwstr/>
      </vt:variant>
      <vt:variant>
        <vt:i4>7209001</vt:i4>
      </vt:variant>
      <vt:variant>
        <vt:i4>102</vt:i4>
      </vt:variant>
      <vt:variant>
        <vt:i4>0</vt:i4>
      </vt:variant>
      <vt:variant>
        <vt:i4>5</vt:i4>
      </vt:variant>
      <vt:variant>
        <vt:lpwstr>https://www.sps.nhs.uk/medicines/elexacaftor-ivacaftor-tezacaftor/</vt:lpwstr>
      </vt:variant>
      <vt:variant>
        <vt:lpwstr/>
      </vt:variant>
      <vt:variant>
        <vt:i4>4849729</vt:i4>
      </vt:variant>
      <vt:variant>
        <vt:i4>99</vt:i4>
      </vt:variant>
      <vt:variant>
        <vt:i4>0</vt:i4>
      </vt:variant>
      <vt:variant>
        <vt:i4>5</vt:i4>
      </vt:variant>
      <vt:variant>
        <vt:lpwstr>https://www.sps.nhs.uk/medicines/bulevirtide/</vt:lpwstr>
      </vt:variant>
      <vt:variant>
        <vt:lpwstr/>
      </vt:variant>
      <vt:variant>
        <vt:i4>5570637</vt:i4>
      </vt:variant>
      <vt:variant>
        <vt:i4>96</vt:i4>
      </vt:variant>
      <vt:variant>
        <vt:i4>0</vt:i4>
      </vt:variant>
      <vt:variant>
        <vt:i4>5</vt:i4>
      </vt:variant>
      <vt:variant>
        <vt:lpwstr>https://www.sps.nhs.uk/medicines/binimetinib/</vt:lpwstr>
      </vt:variant>
      <vt:variant>
        <vt:lpwstr/>
      </vt:variant>
      <vt:variant>
        <vt:i4>4128817</vt:i4>
      </vt:variant>
      <vt:variant>
        <vt:i4>93</vt:i4>
      </vt:variant>
      <vt:variant>
        <vt:i4>0</vt:i4>
      </vt:variant>
      <vt:variant>
        <vt:i4>5</vt:i4>
      </vt:variant>
      <vt:variant>
        <vt:lpwstr>https://www.sps.nhs.uk/medicines/ad26-ebov-vaccine/</vt:lpwstr>
      </vt:variant>
      <vt:variant>
        <vt:lpwstr/>
      </vt:variant>
      <vt:variant>
        <vt:i4>2555952</vt:i4>
      </vt:variant>
      <vt:variant>
        <vt:i4>90</vt:i4>
      </vt:variant>
      <vt:variant>
        <vt:i4>0</vt:i4>
      </vt:variant>
      <vt:variant>
        <vt:i4>5</vt:i4>
      </vt:variant>
      <vt:variant>
        <vt:lpwstr>https://www.sps.nhs.uk/medicines/acalabrutinib/</vt:lpwstr>
      </vt:variant>
      <vt:variant>
        <vt:lpwstr/>
      </vt:variant>
      <vt:variant>
        <vt:i4>2818164</vt:i4>
      </vt:variant>
      <vt:variant>
        <vt:i4>87</vt:i4>
      </vt:variant>
      <vt:variant>
        <vt:i4>0</vt:i4>
      </vt:variant>
      <vt:variant>
        <vt:i4>5</vt:i4>
      </vt:variant>
      <vt:variant>
        <vt:lpwstr>https://www.sps.nhs.uk/medicines/trastuzumab-emtansine/</vt:lpwstr>
      </vt:variant>
      <vt:variant>
        <vt:lpwstr/>
      </vt:variant>
      <vt:variant>
        <vt:i4>7471146</vt:i4>
      </vt:variant>
      <vt:variant>
        <vt:i4>84</vt:i4>
      </vt:variant>
      <vt:variant>
        <vt:i4>0</vt:i4>
      </vt:variant>
      <vt:variant>
        <vt:i4>5</vt:i4>
      </vt:variant>
      <vt:variant>
        <vt:lpwstr>https://www.sps.nhs.uk/medicines/solriamfetol/</vt:lpwstr>
      </vt:variant>
      <vt:variant>
        <vt:lpwstr/>
      </vt:variant>
      <vt:variant>
        <vt:i4>2621480</vt:i4>
      </vt:variant>
      <vt:variant>
        <vt:i4>81</vt:i4>
      </vt:variant>
      <vt:variant>
        <vt:i4>0</vt:i4>
      </vt:variant>
      <vt:variant>
        <vt:i4>5</vt:i4>
      </vt:variant>
      <vt:variant>
        <vt:lpwstr>https://www.sps.nhs.uk/medicines/siponimod/</vt:lpwstr>
      </vt:variant>
      <vt:variant>
        <vt:lpwstr/>
      </vt:variant>
      <vt:variant>
        <vt:i4>5308487</vt:i4>
      </vt:variant>
      <vt:variant>
        <vt:i4>78</vt:i4>
      </vt:variant>
      <vt:variant>
        <vt:i4>0</vt:i4>
      </vt:variant>
      <vt:variant>
        <vt:i4>5</vt:i4>
      </vt:variant>
      <vt:variant>
        <vt:lpwstr>https://www.sps.nhs.uk/medicines/polatuzumab/</vt:lpwstr>
      </vt:variant>
      <vt:variant>
        <vt:lpwstr/>
      </vt:variant>
      <vt:variant>
        <vt:i4>6946876</vt:i4>
      </vt:variant>
      <vt:variant>
        <vt:i4>75</vt:i4>
      </vt:variant>
      <vt:variant>
        <vt:i4>0</vt:i4>
      </vt:variant>
      <vt:variant>
        <vt:i4>5</vt:i4>
      </vt:variant>
      <vt:variant>
        <vt:lpwstr>https://www.sps.nhs.uk/medicines/osilodrostat/</vt:lpwstr>
      </vt:variant>
      <vt:variant>
        <vt:lpwstr/>
      </vt:variant>
      <vt:variant>
        <vt:i4>6291494</vt:i4>
      </vt:variant>
      <vt:variant>
        <vt:i4>72</vt:i4>
      </vt:variant>
      <vt:variant>
        <vt:i4>0</vt:i4>
      </vt:variant>
      <vt:variant>
        <vt:i4>5</vt:i4>
      </vt:variant>
      <vt:variant>
        <vt:lpwstr>https://www.sps.nhs.uk/medicines/lenalidomide/</vt:lpwstr>
      </vt:variant>
      <vt:variant>
        <vt:lpwstr/>
      </vt:variant>
      <vt:variant>
        <vt:i4>7733280</vt:i4>
      </vt:variant>
      <vt:variant>
        <vt:i4>69</vt:i4>
      </vt:variant>
      <vt:variant>
        <vt:i4>0</vt:i4>
      </vt:variant>
      <vt:variant>
        <vt:i4>5</vt:i4>
      </vt:variant>
      <vt:variant>
        <vt:lpwstr>https://www.sps.nhs.uk/medicines/fostamatinib-disodium/</vt:lpwstr>
      </vt:variant>
      <vt:variant>
        <vt:lpwstr/>
      </vt:variant>
      <vt:variant>
        <vt:i4>3342373</vt:i4>
      </vt:variant>
      <vt:variant>
        <vt:i4>66</vt:i4>
      </vt:variant>
      <vt:variant>
        <vt:i4>0</vt:i4>
      </vt:variant>
      <vt:variant>
        <vt:i4>5</vt:i4>
      </vt:variant>
      <vt:variant>
        <vt:lpwstr>https://www.sps.nhs.uk/medicines/trientine/</vt:lpwstr>
      </vt:variant>
      <vt:variant>
        <vt:lpwstr/>
      </vt:variant>
      <vt:variant>
        <vt:i4>1900625</vt:i4>
      </vt:variant>
      <vt:variant>
        <vt:i4>63</vt:i4>
      </vt:variant>
      <vt:variant>
        <vt:i4>0</vt:i4>
      </vt:variant>
      <vt:variant>
        <vt:i4>5</vt:i4>
      </vt:variant>
      <vt:variant>
        <vt:lpwstr>https://www.sps.nhs.uk/medicines/netarsudil-mesilate/</vt:lpwstr>
      </vt:variant>
      <vt:variant>
        <vt:lpwstr/>
      </vt:variant>
      <vt:variant>
        <vt:i4>7143468</vt:i4>
      </vt:variant>
      <vt:variant>
        <vt:i4>60</vt:i4>
      </vt:variant>
      <vt:variant>
        <vt:i4>0</vt:i4>
      </vt:variant>
      <vt:variant>
        <vt:i4>5</vt:i4>
      </vt:variant>
      <vt:variant>
        <vt:lpwstr>https://www.sps.nhs.uk/medicines/levodopa/</vt:lpwstr>
      </vt:variant>
      <vt:variant>
        <vt:lpwstr/>
      </vt:variant>
      <vt:variant>
        <vt:i4>852061</vt:i4>
      </vt:variant>
      <vt:variant>
        <vt:i4>57</vt:i4>
      </vt:variant>
      <vt:variant>
        <vt:i4>0</vt:i4>
      </vt:variant>
      <vt:variant>
        <vt:i4>5</vt:i4>
      </vt:variant>
      <vt:variant>
        <vt:lpwstr>https://www.sps.nhs.uk/medicines/infliximab/</vt:lpwstr>
      </vt:variant>
      <vt:variant>
        <vt:lpwstr/>
      </vt:variant>
      <vt:variant>
        <vt:i4>4063335</vt:i4>
      </vt:variant>
      <vt:variant>
        <vt:i4>54</vt:i4>
      </vt:variant>
      <vt:variant>
        <vt:i4>0</vt:i4>
      </vt:variant>
      <vt:variant>
        <vt:i4>5</vt:i4>
      </vt:variant>
      <vt:variant>
        <vt:lpwstr>https://www.sps.nhs.uk/medicines/ebola-vaccine/</vt:lpwstr>
      </vt:variant>
      <vt:variant>
        <vt:lpwstr/>
      </vt:variant>
      <vt:variant>
        <vt:i4>2621493</vt:i4>
      </vt:variant>
      <vt:variant>
        <vt:i4>51</vt:i4>
      </vt:variant>
      <vt:variant>
        <vt:i4>0</vt:i4>
      </vt:variant>
      <vt:variant>
        <vt:i4>5</vt:i4>
      </vt:variant>
      <vt:variant>
        <vt:lpwstr>https://www.sps.nhs.uk/medicines/buprenorphine/</vt:lpwstr>
      </vt:variant>
      <vt:variant>
        <vt:lpwstr/>
      </vt:variant>
      <vt:variant>
        <vt:i4>1179726</vt:i4>
      </vt:variant>
      <vt:variant>
        <vt:i4>48</vt:i4>
      </vt:variant>
      <vt:variant>
        <vt:i4>0</vt:i4>
      </vt:variant>
      <vt:variant>
        <vt:i4>5</vt:i4>
      </vt:variant>
      <vt:variant>
        <vt:lpwstr>https://www.sps.nhs.uk/medicines/arginine-lysine/</vt:lpwstr>
      </vt:variant>
      <vt:variant>
        <vt:lpwstr/>
      </vt:variant>
      <vt:variant>
        <vt:i4>7798824</vt:i4>
      </vt:variant>
      <vt:variant>
        <vt:i4>45</vt:i4>
      </vt:variant>
      <vt:variant>
        <vt:i4>0</vt:i4>
      </vt:variant>
      <vt:variant>
        <vt:i4>5</vt:i4>
      </vt:variant>
      <vt:variant>
        <vt:lpwstr>https://www.sps.nhs.uk/medicines/teriparatide/</vt:lpwstr>
      </vt:variant>
      <vt:variant>
        <vt:lpwstr/>
      </vt:variant>
      <vt:variant>
        <vt:i4>5767235</vt:i4>
      </vt:variant>
      <vt:variant>
        <vt:i4>42</vt:i4>
      </vt:variant>
      <vt:variant>
        <vt:i4>0</vt:i4>
      </vt:variant>
      <vt:variant>
        <vt:i4>5</vt:i4>
      </vt:variant>
      <vt:variant>
        <vt:lpwstr>https://www.sps.nhs.uk/medicines/paracetamol/</vt:lpwstr>
      </vt:variant>
      <vt:variant>
        <vt:lpwstr/>
      </vt:variant>
      <vt:variant>
        <vt:i4>2162736</vt:i4>
      </vt:variant>
      <vt:variant>
        <vt:i4>39</vt:i4>
      </vt:variant>
      <vt:variant>
        <vt:i4>0</vt:i4>
      </vt:variant>
      <vt:variant>
        <vt:i4>5</vt:i4>
      </vt:variant>
      <vt:variant>
        <vt:lpwstr>https://www.sps.nhs.uk/articles/ukmi-product-safety-assessments-2/</vt:lpwstr>
      </vt:variant>
      <vt:variant>
        <vt:lpwstr/>
      </vt:variant>
      <vt:variant>
        <vt:i4>5767196</vt:i4>
      </vt:variant>
      <vt:variant>
        <vt:i4>36</vt:i4>
      </vt:variant>
      <vt:variant>
        <vt:i4>0</vt:i4>
      </vt:variant>
      <vt:variant>
        <vt:i4>5</vt:i4>
      </vt:variant>
      <vt:variant>
        <vt:lpwstr>https://www.sps.nhs.uk/articles/prioritising-new-products-for-a-ukmi-product-safety-assessment-a-resource-for-ukmi-patient-safety-working-group/</vt:lpwstr>
      </vt:variant>
      <vt:variant>
        <vt:lpwstr/>
      </vt:variant>
      <vt:variant>
        <vt:i4>3211304</vt:i4>
      </vt:variant>
      <vt:variant>
        <vt:i4>33</vt:i4>
      </vt:variant>
      <vt:variant>
        <vt:i4>0</vt:i4>
      </vt:variant>
      <vt:variant>
        <vt:i4>5</vt:i4>
      </vt:variant>
      <vt:variant>
        <vt:lpwstr>https://www.sps.nhs.uk/medicines/zanamivir/</vt:lpwstr>
      </vt:variant>
      <vt:variant>
        <vt:lpwstr/>
      </vt:variant>
      <vt:variant>
        <vt:i4>5111887</vt:i4>
      </vt:variant>
      <vt:variant>
        <vt:i4>30</vt:i4>
      </vt:variant>
      <vt:variant>
        <vt:i4>0</vt:i4>
      </vt:variant>
      <vt:variant>
        <vt:i4>5</vt:i4>
      </vt:variant>
      <vt:variant>
        <vt:lpwstr>https://www.sps.nhs.uk/medicines/talazoparib/</vt:lpwstr>
      </vt:variant>
      <vt:variant>
        <vt:lpwstr/>
      </vt:variant>
      <vt:variant>
        <vt:i4>4653149</vt:i4>
      </vt:variant>
      <vt:variant>
        <vt:i4>27</vt:i4>
      </vt:variant>
      <vt:variant>
        <vt:i4>0</vt:i4>
      </vt:variant>
      <vt:variant>
        <vt:i4>5</vt:i4>
      </vt:variant>
      <vt:variant>
        <vt:lpwstr>https://www.sps.nhs.uk/medicines/ranibizumab/</vt:lpwstr>
      </vt:variant>
      <vt:variant>
        <vt:lpwstr/>
      </vt:variant>
      <vt:variant>
        <vt:i4>3801149</vt:i4>
      </vt:variant>
      <vt:variant>
        <vt:i4>24</vt:i4>
      </vt:variant>
      <vt:variant>
        <vt:i4>0</vt:i4>
      </vt:variant>
      <vt:variant>
        <vt:i4>5</vt:i4>
      </vt:variant>
      <vt:variant>
        <vt:lpwstr>https://www.sps.nhs.uk/medicines/pembrolizumab/</vt:lpwstr>
      </vt:variant>
      <vt:variant>
        <vt:lpwstr/>
      </vt:variant>
      <vt:variant>
        <vt:i4>7602210</vt:i4>
      </vt:variant>
      <vt:variant>
        <vt:i4>21</vt:i4>
      </vt:variant>
      <vt:variant>
        <vt:i4>0</vt:i4>
      </vt:variant>
      <vt:variant>
        <vt:i4>5</vt:i4>
      </vt:variant>
      <vt:variant>
        <vt:lpwstr>https://www.sps.nhs.uk/medicines/nicotine/</vt:lpwstr>
      </vt:variant>
      <vt:variant>
        <vt:lpwstr/>
      </vt:variant>
      <vt:variant>
        <vt:i4>4063329</vt:i4>
      </vt:variant>
      <vt:variant>
        <vt:i4>18</vt:i4>
      </vt:variant>
      <vt:variant>
        <vt:i4>0</vt:i4>
      </vt:variant>
      <vt:variant>
        <vt:i4>5</vt:i4>
      </vt:variant>
      <vt:variant>
        <vt:lpwstr>https://www.sps.nhs.uk/medicines/meropenem-vaborbactam/</vt:lpwstr>
      </vt:variant>
      <vt:variant>
        <vt:lpwstr/>
      </vt:variant>
      <vt:variant>
        <vt:i4>4980828</vt:i4>
      </vt:variant>
      <vt:variant>
        <vt:i4>15</vt:i4>
      </vt:variant>
      <vt:variant>
        <vt:i4>0</vt:i4>
      </vt:variant>
      <vt:variant>
        <vt:i4>5</vt:i4>
      </vt:variant>
      <vt:variant>
        <vt:lpwstr>https://www.sps.nhs.uk/medicines/liraglutide/</vt:lpwstr>
      </vt:variant>
      <vt:variant>
        <vt:lpwstr/>
      </vt:variant>
      <vt:variant>
        <vt:i4>6553663</vt:i4>
      </vt:variant>
      <vt:variant>
        <vt:i4>12</vt:i4>
      </vt:variant>
      <vt:variant>
        <vt:i4>0</vt:i4>
      </vt:variant>
      <vt:variant>
        <vt:i4>5</vt:i4>
      </vt:variant>
      <vt:variant>
        <vt:lpwstr>https://www.sps.nhs.uk/medicines/gilteritinib/</vt:lpwstr>
      </vt:variant>
      <vt:variant>
        <vt:lpwstr/>
      </vt:variant>
      <vt:variant>
        <vt:i4>4980809</vt:i4>
      </vt:variant>
      <vt:variant>
        <vt:i4>9</vt:i4>
      </vt:variant>
      <vt:variant>
        <vt:i4>0</vt:i4>
      </vt:variant>
      <vt:variant>
        <vt:i4>5</vt:i4>
      </vt:variant>
      <vt:variant>
        <vt:lpwstr>https://www.sps.nhs.uk/medicines/daratumumab/</vt:lpwstr>
      </vt:variant>
      <vt:variant>
        <vt:lpwstr/>
      </vt:variant>
      <vt:variant>
        <vt:i4>2883621</vt:i4>
      </vt:variant>
      <vt:variant>
        <vt:i4>6</vt:i4>
      </vt:variant>
      <vt:variant>
        <vt:i4>0</vt:i4>
      </vt:variant>
      <vt:variant>
        <vt:i4>5</vt:i4>
      </vt:variant>
      <vt:variant>
        <vt:lpwstr>https://www.sps.nhs.uk/medicines/beclometasone/</vt:lpwstr>
      </vt:variant>
      <vt:variant>
        <vt:lpwstr/>
      </vt:variant>
      <vt:variant>
        <vt:i4>589864</vt:i4>
      </vt:variant>
      <vt:variant>
        <vt:i4>3</vt:i4>
      </vt:variant>
      <vt:variant>
        <vt:i4>0</vt:i4>
      </vt:variant>
      <vt:variant>
        <vt:i4>5</vt:i4>
      </vt:variant>
      <vt:variant>
        <vt:lpwstr>mailto:nwmedinfo@nhs.net?subject=New%20Medicines%20Newsletter</vt:lpwstr>
      </vt:variant>
      <vt:variant>
        <vt:lpwstr/>
      </vt:variant>
      <vt:variant>
        <vt:i4>7077923</vt:i4>
      </vt:variant>
      <vt:variant>
        <vt:i4>0</vt:i4>
      </vt:variant>
      <vt:variant>
        <vt:i4>0</vt:i4>
      </vt:variant>
      <vt:variant>
        <vt:i4>5</vt:i4>
      </vt:variant>
      <vt:variant>
        <vt:lpwstr>http://www.sps.nhs.uk/</vt:lpwstr>
      </vt:variant>
      <vt:variant>
        <vt:lpwstr/>
      </vt:variant>
      <vt:variant>
        <vt:i4>589864</vt:i4>
      </vt:variant>
      <vt:variant>
        <vt:i4>18</vt:i4>
      </vt:variant>
      <vt:variant>
        <vt:i4>0</vt:i4>
      </vt:variant>
      <vt:variant>
        <vt:i4>5</vt:i4>
      </vt:variant>
      <vt:variant>
        <vt:lpwstr>mailto:nwmedinfo@nhs.net?subject=New%20Medicines%20Newsletter</vt:lpwstr>
      </vt:variant>
      <vt:variant>
        <vt:lpwstr/>
      </vt:variant>
      <vt:variant>
        <vt:i4>7929901</vt:i4>
      </vt:variant>
      <vt:variant>
        <vt:i4>15</vt:i4>
      </vt:variant>
      <vt:variant>
        <vt:i4>0</vt:i4>
      </vt:variant>
      <vt:variant>
        <vt:i4>5</vt:i4>
      </vt:variant>
      <vt:variant>
        <vt:lpwstr>https://www.sps.nhs.uk/wp-login.php?action=register</vt:lpwstr>
      </vt:variant>
      <vt:variant>
        <vt:lpwstr/>
      </vt:variant>
      <vt:variant>
        <vt:i4>7077923</vt:i4>
      </vt:variant>
      <vt:variant>
        <vt:i4>12</vt:i4>
      </vt:variant>
      <vt:variant>
        <vt:i4>0</vt:i4>
      </vt:variant>
      <vt:variant>
        <vt:i4>5</vt:i4>
      </vt:variant>
      <vt:variant>
        <vt:lpwstr>http://www.sps.nhs.uk/</vt:lpwstr>
      </vt:variant>
      <vt:variant>
        <vt:lpwstr/>
      </vt:variant>
      <vt:variant>
        <vt:i4>3211377</vt:i4>
      </vt:variant>
      <vt:variant>
        <vt:i4>9</vt:i4>
      </vt:variant>
      <vt:variant>
        <vt:i4>0</vt:i4>
      </vt:variant>
      <vt:variant>
        <vt:i4>5</vt:i4>
      </vt:variant>
      <vt:variant>
        <vt:lpwstr>http://www.ukmi.nhs.uk/ndo</vt:lpwstr>
      </vt:variant>
      <vt:variant>
        <vt:lpwstr/>
      </vt:variant>
      <vt:variant>
        <vt:i4>1638407</vt:i4>
      </vt:variant>
      <vt:variant>
        <vt:i4>6</vt:i4>
      </vt:variant>
      <vt:variant>
        <vt:i4>0</vt:i4>
      </vt:variant>
      <vt:variant>
        <vt:i4>5</vt:i4>
      </vt:variant>
      <vt:variant>
        <vt:lpwstr>https://www.sps.nhs.uk/prescribing-outlook-2019/</vt:lpwstr>
      </vt:variant>
      <vt:variant>
        <vt:lpwstr/>
      </vt:variant>
      <vt:variant>
        <vt:i4>7405691</vt:i4>
      </vt:variant>
      <vt:variant>
        <vt:i4>3</vt:i4>
      </vt:variant>
      <vt:variant>
        <vt:i4>0</vt:i4>
      </vt:variant>
      <vt:variant>
        <vt:i4>5</vt:i4>
      </vt:variant>
      <vt:variant>
        <vt:lpwstr>https://www.sps.nhs.uk/category/new-medicines/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NDO home | Contact | Register for NDO access</dc:title>
  <dc:creator>Joanne McEntee</dc:creator>
  <cp:lastModifiedBy>Joanne McEntee</cp:lastModifiedBy>
  <cp:revision>2</cp:revision>
  <cp:lastPrinted>2019-12-09T12:59:00Z</cp:lastPrinted>
  <dcterms:created xsi:type="dcterms:W3CDTF">2025-12-04T09:42:00Z</dcterms:created>
  <dcterms:modified xsi:type="dcterms:W3CDTF">2025-12-04T09:42:00Z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0x010100EF9F8181707A014BAADECFD0EF2EB9F0</vt:lpwstr>
  </property>
  <property fmtid="{D5CDD505-2E9C-101B-9397-08002B2CF9AE}" pid="4" name="MediaServiceImageTags">
    <vt:lpwstr/>
  </property>
</Properties>
</file>